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5A10" w14:textId="77777777" w:rsidR="00D1089F" w:rsidRDefault="002D20F0" w:rsidP="00F73113">
      <w:pPr>
        <w:pStyle w:val="Title2"/>
      </w:pPr>
      <w:r>
        <w:t>Denosumab for osteoporosis: utilisation analysis using PBS data</w:t>
      </w:r>
      <w:r w:rsidDel="002D20F0">
        <w:t xml:space="preserve"> </w:t>
      </w:r>
    </w:p>
    <w:p w14:paraId="68F00614" w14:textId="20B1CA29" w:rsidR="00736041" w:rsidRDefault="009053D3" w:rsidP="00F73113">
      <w:pPr>
        <w:pStyle w:val="Title2"/>
      </w:pPr>
      <w:r>
        <w:t>D</w:t>
      </w:r>
      <w:r w:rsidR="00832324" w:rsidRPr="0063631C">
        <w:t xml:space="preserve">rug utilisation sub-committee </w:t>
      </w:r>
      <w:r w:rsidR="00832324">
        <w:t>(DUSC)</w:t>
      </w:r>
    </w:p>
    <w:p w14:paraId="78148839" w14:textId="0559B408" w:rsidR="009053D3" w:rsidRPr="00F73113" w:rsidRDefault="001B239F" w:rsidP="00F73113">
      <w:pPr>
        <w:pStyle w:val="Meetingdate"/>
      </w:pPr>
      <w:r>
        <w:t>October 2020</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2F61ED5F" w14:textId="3B6530CE" w:rsidR="00633707" w:rsidRDefault="00633707" w:rsidP="00633707">
      <w:r>
        <w:t xml:space="preserve">Naik-Panvelkar et al. (2020) used MedicineInsight data to examine </w:t>
      </w:r>
      <w:r w:rsidRPr="00A40862">
        <w:t xml:space="preserve">osteoporosis </w:t>
      </w:r>
      <w:r>
        <w:t xml:space="preserve">management </w:t>
      </w:r>
      <w:r w:rsidRPr="00A40862">
        <w:t>in general practice</w:t>
      </w:r>
      <w:r>
        <w:t xml:space="preserve">, reporting that </w:t>
      </w:r>
      <w:r w:rsidRPr="00BF6F2D">
        <w:t xml:space="preserve">80% of patients who ceased denosumab treatment </w:t>
      </w:r>
      <w:r>
        <w:t xml:space="preserve">did not appear to have any record of </w:t>
      </w:r>
      <w:r w:rsidRPr="00BF6F2D">
        <w:t>subsequent bisphosphonate prescription</w:t>
      </w:r>
      <w:r w:rsidR="0003077B">
        <w:t>.</w:t>
      </w:r>
      <w:r w:rsidR="0003077B">
        <w:rPr>
          <w:rStyle w:val="FootnoteReference"/>
        </w:rPr>
        <w:footnoteReference w:id="2"/>
      </w:r>
      <w:r>
        <w:t xml:space="preserve"> This is a concern because there is evidence of </w:t>
      </w:r>
      <w:r w:rsidRPr="0002716C">
        <w:t>lower bone mineral density (BMD)</w:t>
      </w:r>
      <w:r>
        <w:t xml:space="preserve"> and </w:t>
      </w:r>
      <w:r w:rsidRPr="000416C5">
        <w:t>increased risk of multiple vertebral fractures shortly after discontinuation of denosumab</w:t>
      </w:r>
      <w:r>
        <w:t>. For this reason, i</w:t>
      </w:r>
      <w:r w:rsidRPr="007A3360">
        <w:t>t is suggested that denosumab not be discontinued without considering a substitute treatment.</w:t>
      </w:r>
      <w:r w:rsidR="0003077B">
        <w:rPr>
          <w:rStyle w:val="FootnoteReference"/>
        </w:rPr>
        <w:footnoteReference w:id="3"/>
      </w:r>
    </w:p>
    <w:p w14:paraId="5ADC2E3A" w14:textId="77777777" w:rsidR="00633707" w:rsidRDefault="00633707" w:rsidP="00633707">
      <w:r>
        <w:t xml:space="preserve">At its June 2020 meeting, </w:t>
      </w:r>
      <w:r w:rsidRPr="0002716C">
        <w:t xml:space="preserve">DUSC </w:t>
      </w:r>
      <w:r>
        <w:t xml:space="preserve">noted that the findings of Naik-Panvelkar et al. suggest that Australian patients who cease denosumab are at risk of fractures. DUSC </w:t>
      </w:r>
      <w:r w:rsidRPr="0002716C">
        <w:t xml:space="preserve">requested that </w:t>
      </w:r>
      <w:r>
        <w:t xml:space="preserve">the </w:t>
      </w:r>
      <w:r w:rsidRPr="0002716C">
        <w:t>utilisation of denosumab</w:t>
      </w:r>
      <w:r>
        <w:t>, including use of bisphosphonates or other osteoporosis medicines after denosumab discontinuation,</w:t>
      </w:r>
      <w:r w:rsidRPr="0002716C">
        <w:t xml:space="preserve"> be reviewed in the context of the total osteoporosis market</w:t>
      </w:r>
      <w:r>
        <w:t xml:space="preserve"> using both PBS dispensing data and MedicineInsight data.</w:t>
      </w:r>
    </w:p>
    <w:p w14:paraId="4BE6434E" w14:textId="77777777" w:rsidR="00633707" w:rsidRDefault="00633707" w:rsidP="00633707">
      <w:r>
        <w:t>The osteoporosis medicines included in this analysis are:</w:t>
      </w:r>
    </w:p>
    <w:p w14:paraId="5BB0F82D" w14:textId="77777777" w:rsidR="00633707" w:rsidRDefault="00633707" w:rsidP="00633707">
      <w:pPr>
        <w:pStyle w:val="ListParagraph"/>
        <w:numPr>
          <w:ilvl w:val="0"/>
          <w:numId w:val="4"/>
        </w:numPr>
      </w:pPr>
      <w:r>
        <w:t xml:space="preserve">denosumab; </w:t>
      </w:r>
    </w:p>
    <w:p w14:paraId="2F2DC551" w14:textId="77777777" w:rsidR="00633707" w:rsidRDefault="00633707" w:rsidP="00633707">
      <w:pPr>
        <w:pStyle w:val="ListParagraph"/>
        <w:numPr>
          <w:ilvl w:val="0"/>
          <w:numId w:val="4"/>
        </w:numPr>
      </w:pPr>
      <w:r>
        <w:t>bisphosphonates alone and in combination with colecalciferol and/or calcium carbonate (alendronate, risedronate and zoledronic acid</w:t>
      </w:r>
      <w:r>
        <w:rPr>
          <w:rStyle w:val="FootnoteReference"/>
        </w:rPr>
        <w:footnoteReference w:id="4"/>
      </w:r>
      <w:r>
        <w:t>);</w:t>
      </w:r>
    </w:p>
    <w:p w14:paraId="09F78EA5" w14:textId="77777777" w:rsidR="00633707" w:rsidRDefault="00633707" w:rsidP="00633707">
      <w:pPr>
        <w:pStyle w:val="ListParagraph"/>
        <w:numPr>
          <w:ilvl w:val="0"/>
          <w:numId w:val="4"/>
        </w:numPr>
      </w:pPr>
      <w:r>
        <w:t>raloxifene and teriparatide;</w:t>
      </w:r>
    </w:p>
    <w:p w14:paraId="7927F7BA" w14:textId="77777777" w:rsidR="00633707" w:rsidRDefault="00633707" w:rsidP="00633707">
      <w:pPr>
        <w:pStyle w:val="ListParagraph"/>
        <w:numPr>
          <w:ilvl w:val="0"/>
          <w:numId w:val="4"/>
        </w:numPr>
      </w:pPr>
      <w:r>
        <w:t>strontium ranelate (delisted in 2016); and</w:t>
      </w:r>
    </w:p>
    <w:p w14:paraId="0D5785B9" w14:textId="77777777" w:rsidR="00633707" w:rsidRDefault="00633707" w:rsidP="00633707">
      <w:pPr>
        <w:pStyle w:val="ListParagraph"/>
        <w:numPr>
          <w:ilvl w:val="0"/>
          <w:numId w:val="4"/>
        </w:numPr>
      </w:pPr>
      <w:r>
        <w:t>calcitriol.</w:t>
      </w:r>
    </w:p>
    <w:p w14:paraId="2117FDE7" w14:textId="77777777" w:rsidR="00802D7A" w:rsidRPr="00C74CF9" w:rsidRDefault="00802D7A" w:rsidP="00C74CF9">
      <w:pPr>
        <w:pStyle w:val="Heading3"/>
      </w:pPr>
      <w:r w:rsidRPr="00C74CF9">
        <w:t>Date of first listing on the Pharmaceutical Benefits Scheme (PBS) for the treatment of osteoporosis</w:t>
      </w:r>
    </w:p>
    <w:p w14:paraId="307453DF" w14:textId="77777777" w:rsidR="00802D7A" w:rsidRDefault="00802D7A" w:rsidP="00C74CF9">
      <w:pPr>
        <w:pStyle w:val="ListParagraph"/>
        <w:numPr>
          <w:ilvl w:val="0"/>
          <w:numId w:val="4"/>
        </w:numPr>
      </w:pPr>
      <w:r w:rsidRPr="00C74CF9">
        <w:t>Calcitriol: 1 December 1991</w:t>
      </w:r>
    </w:p>
    <w:p w14:paraId="79C25A64" w14:textId="77777777" w:rsidR="00802D7A" w:rsidRDefault="00802D7A" w:rsidP="00C74CF9">
      <w:pPr>
        <w:pStyle w:val="ListParagraph"/>
        <w:numPr>
          <w:ilvl w:val="0"/>
          <w:numId w:val="4"/>
        </w:numPr>
      </w:pPr>
      <w:r>
        <w:lastRenderedPageBreak/>
        <w:t>Disodium etidronate and calcium carbonate: 1 August 1996 (delisted September 2012)</w:t>
      </w:r>
    </w:p>
    <w:p w14:paraId="30129A00" w14:textId="77777777" w:rsidR="00802D7A" w:rsidRDefault="00802D7A" w:rsidP="00C74CF9">
      <w:pPr>
        <w:pStyle w:val="ListParagraph"/>
        <w:numPr>
          <w:ilvl w:val="0"/>
          <w:numId w:val="4"/>
        </w:numPr>
      </w:pPr>
      <w:r>
        <w:t>Alendronate: 1 November 1996</w:t>
      </w:r>
    </w:p>
    <w:p w14:paraId="54AACC96" w14:textId="77777777" w:rsidR="00802D7A" w:rsidRDefault="00802D7A" w:rsidP="00C74CF9">
      <w:pPr>
        <w:pStyle w:val="ListParagraph"/>
        <w:numPr>
          <w:ilvl w:val="0"/>
          <w:numId w:val="4"/>
        </w:numPr>
      </w:pPr>
      <w:r w:rsidRPr="00C74CF9">
        <w:t>Raloxifene: 1 November 1999</w:t>
      </w:r>
    </w:p>
    <w:p w14:paraId="3777877C" w14:textId="77777777" w:rsidR="00802D7A" w:rsidRDefault="00802D7A" w:rsidP="00C74CF9">
      <w:pPr>
        <w:pStyle w:val="ListParagraph"/>
        <w:numPr>
          <w:ilvl w:val="0"/>
          <w:numId w:val="4"/>
        </w:numPr>
      </w:pPr>
      <w:r w:rsidRPr="00C74CF9">
        <w:t>Risedronate: 1 February 2001</w:t>
      </w:r>
    </w:p>
    <w:p w14:paraId="7F957696" w14:textId="77777777" w:rsidR="00802D7A" w:rsidRDefault="00802D7A" w:rsidP="00C74CF9">
      <w:pPr>
        <w:pStyle w:val="ListParagraph"/>
        <w:numPr>
          <w:ilvl w:val="0"/>
          <w:numId w:val="4"/>
        </w:numPr>
      </w:pPr>
      <w:r w:rsidRPr="00C74CF9">
        <w:t>Risedronate and calcium carbonate: 1 April 2006</w:t>
      </w:r>
    </w:p>
    <w:p w14:paraId="23F350D4" w14:textId="77777777" w:rsidR="00802D7A" w:rsidRDefault="00802D7A" w:rsidP="00C74CF9">
      <w:pPr>
        <w:pStyle w:val="ListParagraph"/>
        <w:numPr>
          <w:ilvl w:val="0"/>
          <w:numId w:val="4"/>
        </w:numPr>
      </w:pPr>
      <w:r w:rsidRPr="00C74CF9">
        <w:t>Alendronate with colecalciferol: 1 August 2006</w:t>
      </w:r>
    </w:p>
    <w:p w14:paraId="4870A411" w14:textId="77777777" w:rsidR="00802D7A" w:rsidRDefault="00802D7A" w:rsidP="00C74CF9">
      <w:pPr>
        <w:pStyle w:val="ListParagraph"/>
        <w:numPr>
          <w:ilvl w:val="0"/>
          <w:numId w:val="4"/>
        </w:numPr>
      </w:pPr>
      <w:r w:rsidRPr="00C74CF9">
        <w:t>Strontium: 1 April 2007 (delisted 1 August 2016)</w:t>
      </w:r>
    </w:p>
    <w:p w14:paraId="2452EBDB" w14:textId="77777777" w:rsidR="00802D7A" w:rsidRDefault="00802D7A" w:rsidP="00C74CF9">
      <w:pPr>
        <w:pStyle w:val="ListParagraph"/>
        <w:numPr>
          <w:ilvl w:val="0"/>
          <w:numId w:val="4"/>
        </w:numPr>
      </w:pPr>
      <w:r>
        <w:t>Risedronate and calcium carbonate with colecalciferol (1 May 2008)</w:t>
      </w:r>
    </w:p>
    <w:p w14:paraId="1C2EF592" w14:textId="77777777" w:rsidR="00802D7A" w:rsidRDefault="00802D7A" w:rsidP="00C74CF9">
      <w:pPr>
        <w:pStyle w:val="ListParagraph"/>
        <w:numPr>
          <w:ilvl w:val="0"/>
          <w:numId w:val="4"/>
        </w:numPr>
      </w:pPr>
      <w:r w:rsidRPr="00C74CF9">
        <w:t>Zoledronic acid: 1 December 2008</w:t>
      </w:r>
    </w:p>
    <w:p w14:paraId="508FA0AE" w14:textId="77777777" w:rsidR="00802D7A" w:rsidRDefault="00802D7A" w:rsidP="00C74CF9">
      <w:pPr>
        <w:pStyle w:val="ListParagraph"/>
        <w:numPr>
          <w:ilvl w:val="0"/>
          <w:numId w:val="4"/>
        </w:numPr>
      </w:pPr>
      <w:r w:rsidRPr="00C74CF9">
        <w:t>Teriparatide: 1 May 2009</w:t>
      </w:r>
    </w:p>
    <w:p w14:paraId="3114075B" w14:textId="77777777" w:rsidR="00802D7A" w:rsidRDefault="00802D7A" w:rsidP="00C74CF9">
      <w:pPr>
        <w:pStyle w:val="ListParagraph"/>
        <w:numPr>
          <w:ilvl w:val="0"/>
          <w:numId w:val="4"/>
        </w:numPr>
      </w:pPr>
      <w:r w:rsidRPr="00C74CF9">
        <w:t>Alendronate with colecalciferol and calcium carbonate: 1 June 2010</w:t>
      </w:r>
    </w:p>
    <w:p w14:paraId="686B0739" w14:textId="77777777" w:rsidR="00802D7A" w:rsidRDefault="00802D7A" w:rsidP="00C74CF9">
      <w:pPr>
        <w:pStyle w:val="ListParagraph"/>
        <w:numPr>
          <w:ilvl w:val="0"/>
          <w:numId w:val="4"/>
        </w:numPr>
      </w:pPr>
      <w:r w:rsidRPr="00C74CF9">
        <w:t>Denosumab: 1 December 2010</w:t>
      </w:r>
    </w:p>
    <w:p w14:paraId="526743BB" w14:textId="4B2E2E3B" w:rsidR="005C6661" w:rsidRDefault="005C6661" w:rsidP="00CF5E22">
      <w:pPr>
        <w:pStyle w:val="Heading3"/>
      </w:pPr>
      <w:r>
        <w:t>Data Source / methodology</w:t>
      </w:r>
    </w:p>
    <w:p w14:paraId="45B0688C" w14:textId="44E205EC" w:rsidR="00B1286A" w:rsidRPr="00B1286A" w:rsidRDefault="00B1286A" w:rsidP="00B1286A">
      <w:pPr>
        <w:pStyle w:val="Heading3"/>
        <w:rPr>
          <w:sz w:val="22"/>
        </w:rPr>
      </w:pPr>
      <w:r w:rsidRPr="00B1286A">
        <w:rPr>
          <w:sz w:val="22"/>
        </w:rPr>
        <w:t>PBS Data</w:t>
      </w:r>
    </w:p>
    <w:p w14:paraId="5B02C420" w14:textId="0C5976B0" w:rsidR="0027422E" w:rsidRDefault="0027422E" w:rsidP="00152DD4">
      <w:pPr>
        <w:pStyle w:val="Heading3"/>
        <w:ind w:right="-115"/>
        <w:rPr>
          <w:b w:val="0"/>
          <w:bCs/>
          <w:i w:val="0"/>
        </w:rPr>
      </w:pPr>
      <w:r w:rsidRPr="00D1089F">
        <w:rPr>
          <w:b w:val="0"/>
          <w:bCs/>
          <w:i w:val="0"/>
        </w:rPr>
        <w:t xml:space="preserve">Patient counts and patient level analysis data were extracted from the </w:t>
      </w:r>
      <w:r w:rsidR="00BA7B02" w:rsidRPr="00D1089F">
        <w:rPr>
          <w:b w:val="0"/>
          <w:bCs/>
          <w:i w:val="0"/>
        </w:rPr>
        <w:t>Services Australia PBS 10% sample</w:t>
      </w:r>
      <w:r w:rsidRPr="00D1089F">
        <w:rPr>
          <w:b w:val="0"/>
          <w:bCs/>
          <w:i w:val="0"/>
        </w:rPr>
        <w:t xml:space="preserve"> database for prescriptions supplied from January 20</w:t>
      </w:r>
      <w:r w:rsidR="00B44558" w:rsidRPr="00D1089F">
        <w:rPr>
          <w:b w:val="0"/>
          <w:bCs/>
          <w:i w:val="0"/>
        </w:rPr>
        <w:t>12</w:t>
      </w:r>
      <w:r w:rsidRPr="00D1089F">
        <w:rPr>
          <w:b w:val="0"/>
          <w:bCs/>
          <w:i w:val="0"/>
        </w:rPr>
        <w:t xml:space="preserve"> to </w:t>
      </w:r>
      <w:r w:rsidR="00B44558" w:rsidRPr="00D1089F">
        <w:rPr>
          <w:b w:val="0"/>
          <w:bCs/>
          <w:i w:val="0"/>
        </w:rPr>
        <w:t>June 2019</w:t>
      </w:r>
      <w:r w:rsidRPr="00D1089F">
        <w:rPr>
          <w:b w:val="0"/>
          <w:bCs/>
          <w:i w:val="0"/>
        </w:rPr>
        <w:t xml:space="preserve">. Prescription analyses were based on prescriptions supplied from January </w:t>
      </w:r>
      <w:r w:rsidR="001A3317" w:rsidRPr="00D1089F">
        <w:rPr>
          <w:b w:val="0"/>
          <w:bCs/>
          <w:i w:val="0"/>
        </w:rPr>
        <w:t>2014</w:t>
      </w:r>
      <w:r w:rsidRPr="00D1089F">
        <w:rPr>
          <w:b w:val="0"/>
          <w:bCs/>
          <w:i w:val="0"/>
        </w:rPr>
        <w:t xml:space="preserve"> to </w:t>
      </w:r>
      <w:r w:rsidR="001A3317" w:rsidRPr="00D1089F">
        <w:rPr>
          <w:b w:val="0"/>
          <w:bCs/>
          <w:i w:val="0"/>
        </w:rPr>
        <w:t>June 2019.</w:t>
      </w:r>
      <w:r w:rsidR="00B132BF" w:rsidRPr="00D1089F">
        <w:rPr>
          <w:b w:val="0"/>
          <w:bCs/>
          <w:i w:val="0"/>
        </w:rPr>
        <w:t xml:space="preserve"> </w:t>
      </w:r>
    </w:p>
    <w:p w14:paraId="5F2AE2F3" w14:textId="519054E3" w:rsidR="00B1286A" w:rsidRPr="00B1286A" w:rsidRDefault="00B1286A" w:rsidP="00B1286A">
      <w:pPr>
        <w:pStyle w:val="Heading3"/>
        <w:rPr>
          <w:sz w:val="22"/>
        </w:rPr>
      </w:pPr>
      <w:r w:rsidRPr="00B1286A">
        <w:rPr>
          <w:sz w:val="22"/>
        </w:rPr>
        <w:t>MedicineInsight Data</w:t>
      </w:r>
    </w:p>
    <w:p w14:paraId="02A9A79A" w14:textId="77777777" w:rsidR="00B1286A" w:rsidRDefault="00B1286A" w:rsidP="00B1286A">
      <w:pPr>
        <w:pStyle w:val="NoSpacing"/>
      </w:pPr>
      <w:r w:rsidRPr="004D0430">
        <w:t xml:space="preserve">This paper </w:t>
      </w:r>
      <w:r>
        <w:t xml:space="preserve">reports on a </w:t>
      </w:r>
      <w:r w:rsidRPr="00091E71">
        <w:t xml:space="preserve">retrospective cohort study </w:t>
      </w:r>
      <w:r>
        <w:t xml:space="preserve">using </w:t>
      </w:r>
      <w:r w:rsidRPr="004D0430">
        <w:t>MedicineInsight data to explore the use of osteoporosis medicines in general practice</w:t>
      </w:r>
      <w:r>
        <w:t>, with a particular interest in the use of denosumab</w:t>
      </w:r>
      <w:r w:rsidRPr="004D0430">
        <w:t xml:space="preserve">. </w:t>
      </w:r>
      <w:r>
        <w:t xml:space="preserve">It </w:t>
      </w:r>
      <w:r w:rsidRPr="00091E71">
        <w:t>u</w:t>
      </w:r>
      <w:r>
        <w:t>ses</w:t>
      </w:r>
      <w:r w:rsidRPr="00091E71">
        <w:t xml:space="preserve"> de-identified patient data from </w:t>
      </w:r>
      <w:r>
        <w:t xml:space="preserve">the </w:t>
      </w:r>
      <w:r w:rsidRPr="00091E71">
        <w:t xml:space="preserve">clinical information system (CIS) of </w:t>
      </w:r>
      <w:r>
        <w:t xml:space="preserve">506 </w:t>
      </w:r>
      <w:r w:rsidRPr="00091E71">
        <w:t>participating general practices</w:t>
      </w:r>
      <w:r>
        <w:t xml:space="preserve"> and provides information on the following patient cohorts:</w:t>
      </w:r>
    </w:p>
    <w:p w14:paraId="418F69A8" w14:textId="77777777" w:rsidR="00B1286A" w:rsidRDefault="00B1286A" w:rsidP="00B1286A">
      <w:pPr>
        <w:pStyle w:val="NoSpacing"/>
        <w:numPr>
          <w:ilvl w:val="0"/>
          <w:numId w:val="13"/>
        </w:numPr>
      </w:pPr>
      <w:r>
        <w:t>896,548 regularly attending patients aged 50+ years who visited their general practice at least 3 times between January 2018 and December 2019 (</w:t>
      </w:r>
      <w:r w:rsidRPr="00A623AC">
        <w:rPr>
          <w:b/>
        </w:rPr>
        <w:t>regular patient prevalence study population</w:t>
      </w:r>
      <w:r>
        <w:t>)</w:t>
      </w:r>
    </w:p>
    <w:p w14:paraId="35D51A0A" w14:textId="77777777" w:rsidR="00B1286A" w:rsidRDefault="00B1286A" w:rsidP="00B1286A">
      <w:pPr>
        <w:pStyle w:val="NoSpacing"/>
        <w:numPr>
          <w:ilvl w:val="0"/>
          <w:numId w:val="13"/>
        </w:numPr>
      </w:pPr>
      <w:r>
        <w:t>120,388 patients aged 50+ years who visited their general practice at least 3 times between January 2014 and December 2017 and had a recorded diagnosis of osteoporosis prior to 1 January 2018 (</w:t>
      </w:r>
      <w:r w:rsidRPr="00A623AC">
        <w:rPr>
          <w:b/>
        </w:rPr>
        <w:t>historical osteoporosis study population</w:t>
      </w:r>
      <w:r>
        <w:t>);</w:t>
      </w:r>
    </w:p>
    <w:p w14:paraId="4B54D177" w14:textId="77777777" w:rsidR="00B1286A" w:rsidRDefault="00B1286A" w:rsidP="00B1286A">
      <w:pPr>
        <w:pStyle w:val="ListParagraph"/>
        <w:numPr>
          <w:ilvl w:val="0"/>
          <w:numId w:val="13"/>
        </w:numPr>
      </w:pPr>
      <w:r w:rsidRPr="00DD6875">
        <w:t>22,256</w:t>
      </w:r>
      <w:r>
        <w:t xml:space="preserve"> patients who </w:t>
      </w:r>
      <w:r w:rsidRPr="00750F7A">
        <w:t xml:space="preserve">were started on denosumab </w:t>
      </w:r>
      <w:r>
        <w:t xml:space="preserve">between </w:t>
      </w:r>
      <w:r w:rsidRPr="00E1564A">
        <w:t xml:space="preserve">January 2014 and December 2017 </w:t>
      </w:r>
      <w:r>
        <w:t xml:space="preserve">regardless of whether they had been prescribed </w:t>
      </w:r>
      <w:r w:rsidRPr="00750F7A">
        <w:t>another osteoporosis medicine first</w:t>
      </w:r>
      <w:r>
        <w:t xml:space="preserve"> (</w:t>
      </w:r>
      <w:r w:rsidRPr="00A623AC">
        <w:rPr>
          <w:b/>
        </w:rPr>
        <w:t>denosumab initiator population</w:t>
      </w:r>
      <w:r>
        <w:t>); and</w:t>
      </w:r>
    </w:p>
    <w:p w14:paraId="0FF4A849" w14:textId="77777777" w:rsidR="00B1286A" w:rsidRDefault="00B1286A" w:rsidP="00B1286A">
      <w:pPr>
        <w:pStyle w:val="ListParagraph"/>
        <w:numPr>
          <w:ilvl w:val="0"/>
          <w:numId w:val="13"/>
        </w:numPr>
      </w:pPr>
      <w:r>
        <w:t>11</w:t>
      </w:r>
      <w:r w:rsidRPr="005C4BDE">
        <w:t>,</w:t>
      </w:r>
      <w:r>
        <w:t>122</w:t>
      </w:r>
      <w:r w:rsidRPr="005C4BDE">
        <w:t xml:space="preserve"> patients who were started </w:t>
      </w:r>
      <w:r>
        <w:t xml:space="preserve">directly </w:t>
      </w:r>
      <w:r w:rsidRPr="005C4BDE">
        <w:t xml:space="preserve">on denosumab between January 2014 and December 2017 </w:t>
      </w:r>
      <w:r>
        <w:t xml:space="preserve">without having been prescribed </w:t>
      </w:r>
      <w:r w:rsidRPr="005C4BDE">
        <w:t>another osteoporosis medicine first (</w:t>
      </w:r>
      <w:r w:rsidRPr="00A623AC">
        <w:rPr>
          <w:b/>
        </w:rPr>
        <w:t>initiated directly on denosumab population</w:t>
      </w:r>
      <w:r w:rsidRPr="005C4BDE">
        <w:t>)</w:t>
      </w:r>
      <w:r>
        <w:t>.</w:t>
      </w:r>
    </w:p>
    <w:p w14:paraId="14966DB4" w14:textId="289DF800" w:rsidR="00DC316B" w:rsidRDefault="00DC316B">
      <w:pPr>
        <w:spacing w:line="276" w:lineRule="auto"/>
      </w:pPr>
      <w:r>
        <w:br w:type="page"/>
      </w:r>
    </w:p>
    <w:p w14:paraId="7599E7C1" w14:textId="132A7E6A" w:rsidR="005C6661" w:rsidRDefault="005C6661" w:rsidP="00CF5E22">
      <w:pPr>
        <w:pStyle w:val="Heading3"/>
      </w:pPr>
      <w:r>
        <w:lastRenderedPageBreak/>
        <w:t>Key Findings</w:t>
      </w:r>
    </w:p>
    <w:p w14:paraId="604065A6" w14:textId="76BA9D9A" w:rsidR="00B1286A" w:rsidRPr="00B1286A" w:rsidRDefault="00B1286A" w:rsidP="00B1286A">
      <w:pPr>
        <w:pStyle w:val="Heading3"/>
        <w:rPr>
          <w:sz w:val="22"/>
        </w:rPr>
      </w:pPr>
      <w:r w:rsidRPr="00B1286A">
        <w:rPr>
          <w:sz w:val="22"/>
        </w:rPr>
        <w:t>PBS Data</w:t>
      </w:r>
    </w:p>
    <w:p w14:paraId="31ABB888" w14:textId="740984AF" w:rsidR="00956859" w:rsidRDefault="0056559E" w:rsidP="008A78AB">
      <w:pPr>
        <w:pStyle w:val="NoSpacing"/>
        <w:numPr>
          <w:ilvl w:val="0"/>
          <w:numId w:val="1"/>
        </w:numPr>
      </w:pPr>
      <w:r>
        <w:t xml:space="preserve">In </w:t>
      </w:r>
      <w:r w:rsidR="007E7700">
        <w:t>2014</w:t>
      </w:r>
      <w:r>
        <w:t xml:space="preserve">, 32,277 patients in the </w:t>
      </w:r>
      <w:r w:rsidR="00F8126A">
        <w:t>10% PBS sample were</w:t>
      </w:r>
      <w:r w:rsidR="007E7700">
        <w:t xml:space="preserve"> </w:t>
      </w:r>
      <w:r w:rsidR="00F8126A">
        <w:t xml:space="preserve">dispensed an osteoporosis medicine at least once. In </w:t>
      </w:r>
      <w:r w:rsidR="007E7700">
        <w:t xml:space="preserve">2018, </w:t>
      </w:r>
      <w:r w:rsidR="00F8126A">
        <w:t>this number ha</w:t>
      </w:r>
      <w:r w:rsidR="007B0340">
        <w:t>d</w:t>
      </w:r>
      <w:r w:rsidR="00F8126A">
        <w:t xml:space="preserve"> risen to </w:t>
      </w:r>
      <w:r w:rsidR="00177524">
        <w:t>49,451 patients</w:t>
      </w:r>
      <w:r w:rsidR="00E07C26">
        <w:t xml:space="preserve"> </w:t>
      </w:r>
      <w:r w:rsidR="009366F5">
        <w:t xml:space="preserve">– a </w:t>
      </w:r>
      <w:r w:rsidR="00300165">
        <w:t>50% increase.</w:t>
      </w:r>
    </w:p>
    <w:p w14:paraId="63CA1D2F" w14:textId="6B799BF8" w:rsidR="00956859" w:rsidRDefault="00956859" w:rsidP="008A78AB">
      <w:pPr>
        <w:pStyle w:val="NoSpacing"/>
        <w:numPr>
          <w:ilvl w:val="0"/>
          <w:numId w:val="1"/>
        </w:numPr>
      </w:pPr>
      <w:r>
        <w:t>P</w:t>
      </w:r>
      <w:r w:rsidR="00064AD9">
        <w:t xml:space="preserve">atterns of dispensing </w:t>
      </w:r>
      <w:r>
        <w:t xml:space="preserve">between 2014 and 2018 </w:t>
      </w:r>
      <w:r w:rsidR="00064AD9">
        <w:t>changed</w:t>
      </w:r>
      <w:r w:rsidR="004D7A3D">
        <w:t xml:space="preserve"> with </w:t>
      </w:r>
      <w:r w:rsidR="007007DA">
        <w:t xml:space="preserve">denosumab accounting for 76.1% of </w:t>
      </w:r>
      <w:r w:rsidR="008F48FF">
        <w:t>the</w:t>
      </w:r>
      <w:r w:rsidR="001E02B9">
        <w:t xml:space="preserve"> </w:t>
      </w:r>
      <w:r w:rsidR="006575F2">
        <w:t xml:space="preserve">patients </w:t>
      </w:r>
      <w:r w:rsidR="00630DD1">
        <w:t xml:space="preserve">dispensed </w:t>
      </w:r>
      <w:r>
        <w:t xml:space="preserve">any </w:t>
      </w:r>
      <w:r w:rsidR="007007DA">
        <w:t xml:space="preserve">osteoporosis medicines in 2018 compared with </w:t>
      </w:r>
      <w:r w:rsidR="00FF03C6">
        <w:t>36.5%</w:t>
      </w:r>
      <w:r>
        <w:t xml:space="preserve"> of patients</w:t>
      </w:r>
      <w:r w:rsidR="00FF03C6">
        <w:t xml:space="preserve"> in 2014. Over the same period, the bisphosphonates </w:t>
      </w:r>
      <w:r w:rsidR="00F47B0E">
        <w:t xml:space="preserve">decreased from being dispensed to </w:t>
      </w:r>
      <w:r w:rsidR="005C7C7E">
        <w:t xml:space="preserve">46.5% of all </w:t>
      </w:r>
      <w:r w:rsidR="00FF03C6">
        <w:t>p</w:t>
      </w:r>
      <w:r>
        <w:t xml:space="preserve">atients dispensed an </w:t>
      </w:r>
      <w:r w:rsidR="00FF03C6">
        <w:t>osteoporosis medicine</w:t>
      </w:r>
      <w:r>
        <w:t xml:space="preserve"> </w:t>
      </w:r>
      <w:r w:rsidR="0003451C">
        <w:t xml:space="preserve">in </w:t>
      </w:r>
      <w:r w:rsidR="00B85ACB">
        <w:t>2014</w:t>
      </w:r>
      <w:r w:rsidR="0003451C">
        <w:t xml:space="preserve"> </w:t>
      </w:r>
      <w:r>
        <w:t xml:space="preserve">to </w:t>
      </w:r>
      <w:r w:rsidR="0003451C">
        <w:t>18.6% in 2014.</w:t>
      </w:r>
    </w:p>
    <w:p w14:paraId="515641CD" w14:textId="5FD5C5B4" w:rsidR="00783AD7" w:rsidRPr="00E15B11" w:rsidRDefault="00783AD7" w:rsidP="00783AD7">
      <w:pPr>
        <w:pStyle w:val="NoSpacing"/>
        <w:numPr>
          <w:ilvl w:val="0"/>
          <w:numId w:val="1"/>
        </w:numPr>
      </w:pPr>
      <w:r w:rsidRPr="00500103">
        <w:t>Initiations to denosumab have driven an increase in the overall number of patients initiating osteoporosis therapy from 7,202 patients initiating in 2014 to 9,514 patients in 2018, representing a 32% increase (PBS 10% sample)</w:t>
      </w:r>
      <w:r w:rsidR="00FE5F36">
        <w:t>.</w:t>
      </w:r>
    </w:p>
    <w:p w14:paraId="76B6DE3A" w14:textId="76262D12" w:rsidR="00D2093D" w:rsidRPr="00E15B11" w:rsidRDefault="00D0770D" w:rsidP="00D2093D">
      <w:pPr>
        <w:pStyle w:val="NoSpacing"/>
        <w:numPr>
          <w:ilvl w:val="0"/>
          <w:numId w:val="1"/>
        </w:numPr>
      </w:pPr>
      <w:r w:rsidRPr="00E15B11">
        <w:t xml:space="preserve">There has been a </w:t>
      </w:r>
      <w:r w:rsidR="00BB1E6C" w:rsidRPr="00E15B11">
        <w:t>2.8-fold</w:t>
      </w:r>
      <w:r w:rsidR="00D2093D" w:rsidRPr="00E15B11">
        <w:t xml:space="preserve"> increase in the rate of prevalent prescribing of denosumab</w:t>
      </w:r>
      <w:r w:rsidR="00C25BD0" w:rsidRPr="00E15B11">
        <w:t xml:space="preserve">. In 2014, the prevalent rate of prescribing </w:t>
      </w:r>
      <w:r w:rsidR="0069506D" w:rsidRPr="00E15B11">
        <w:t xml:space="preserve">was 4.5 per 1,000 persons. In 2018, the </w:t>
      </w:r>
      <w:r w:rsidR="00F3000F" w:rsidRPr="00E15B11">
        <w:t>prevalent</w:t>
      </w:r>
      <w:r w:rsidR="0069506D" w:rsidRPr="00E15B11">
        <w:t xml:space="preserve"> rate was 12.5</w:t>
      </w:r>
      <w:r w:rsidRPr="00E15B11">
        <w:t xml:space="preserve"> </w:t>
      </w:r>
      <w:r w:rsidR="00C76645" w:rsidRPr="00E15B11">
        <w:t>per 1,000 persons</w:t>
      </w:r>
      <w:r w:rsidR="00D2093D" w:rsidRPr="00E15B11">
        <w:t>.</w:t>
      </w:r>
    </w:p>
    <w:p w14:paraId="31475748" w14:textId="77777777" w:rsidR="00783AD7" w:rsidRDefault="00783AD7" w:rsidP="00783AD7">
      <w:pPr>
        <w:pStyle w:val="NoSpacing"/>
        <w:numPr>
          <w:ilvl w:val="0"/>
          <w:numId w:val="1"/>
        </w:numPr>
      </w:pPr>
      <w:r>
        <w:t xml:space="preserve">Females aged 70+ years accounted for almost two-thirds of all patients dispensed denosumab in the 10% PBS sample between January 2014 and June 2019. </w:t>
      </w:r>
    </w:p>
    <w:p w14:paraId="6240A2D1" w14:textId="78B4EF47" w:rsidR="00783AD7" w:rsidRDefault="00783AD7" w:rsidP="008A78AB">
      <w:pPr>
        <w:pStyle w:val="NoSpacing"/>
        <w:numPr>
          <w:ilvl w:val="0"/>
          <w:numId w:val="1"/>
        </w:numPr>
      </w:pPr>
      <w:r>
        <w:t xml:space="preserve">However, </w:t>
      </w:r>
      <w:r w:rsidRPr="00783AD7">
        <w:t>between 2014 and 2018 the number of male prevalent denosumab patients increased 4.6-fold compared with 3</w:t>
      </w:r>
      <w:r w:rsidR="00750CB0">
        <w:t>.0</w:t>
      </w:r>
      <w:r w:rsidRPr="00783AD7">
        <w:t xml:space="preserve">-fold for women and the number of male denosumab initiators increased by 60% compared with 40% for women. </w:t>
      </w:r>
    </w:p>
    <w:p w14:paraId="36544FCF" w14:textId="79558E4A" w:rsidR="008A78AB" w:rsidRDefault="00FA0F2E" w:rsidP="008A78AB">
      <w:pPr>
        <w:pStyle w:val="NoSpacing"/>
        <w:numPr>
          <w:ilvl w:val="0"/>
          <w:numId w:val="1"/>
        </w:numPr>
      </w:pPr>
      <w:r w:rsidRPr="00E15B11">
        <w:t>The</w:t>
      </w:r>
      <w:r w:rsidR="008A78AB" w:rsidRPr="00E15B11">
        <w:t xml:space="preserve"> number of all patients newly started on denosumab </w:t>
      </w:r>
      <w:r w:rsidR="00F70B08" w:rsidRPr="00E15B11">
        <w:t xml:space="preserve">in the 10% PBS sample </w:t>
      </w:r>
      <w:r w:rsidR="008A78AB" w:rsidRPr="00E15B11">
        <w:t xml:space="preserve">each year has stabilised </w:t>
      </w:r>
      <w:r w:rsidRPr="00E15B11">
        <w:t>in recent years</w:t>
      </w:r>
      <w:r w:rsidR="005C7975" w:rsidRPr="00E15B11">
        <w:t xml:space="preserve">. However, the </w:t>
      </w:r>
      <w:r w:rsidR="00455E00" w:rsidRPr="00E15B11">
        <w:t xml:space="preserve">number </w:t>
      </w:r>
      <w:r w:rsidR="008A78AB" w:rsidRPr="00E15B11">
        <w:t>of patients who start on denosumab despite not having used any osteoporosis medicine in the prior two years is still increasing. This suggests that denosumab is being used more and more frequently as a first-line therapy for osteoporosis</w:t>
      </w:r>
      <w:r w:rsidR="008A78AB">
        <w:t>.</w:t>
      </w:r>
    </w:p>
    <w:p w14:paraId="7E131FDB" w14:textId="0A8B238E" w:rsidR="008A78AB" w:rsidRPr="00E15B11" w:rsidRDefault="000D35EF" w:rsidP="008A78AB">
      <w:pPr>
        <w:pStyle w:val="NoSpacing"/>
        <w:numPr>
          <w:ilvl w:val="0"/>
          <w:numId w:val="1"/>
        </w:numPr>
      </w:pPr>
      <w:r w:rsidRPr="000D35EF">
        <w:t xml:space="preserve"> The proportion of patients who were directly initiated on denosumab (without previous osteoporosis therapy) increased from 55% in 2014 to 76% in 2018. However, in the MedicineInsight study, among all patients who had been prescribed denosumab at least once between 2014 and 2017, 50% were directly initiated on denosumab. The lower proportion of patients directly initiated on denosumab in the MedicineInsight study compared with the PBS 10% study could indicate that specialists are more likely to start patients directly on denosumab than GPs. The PBS 10% study may have misclassified (and overestimated) patients as new to denosumab therapy if they had previously used other osteoporosis drugs prior to 2012 which could partly explain the magnitude of the difference between the data sources.</w:t>
      </w:r>
    </w:p>
    <w:p w14:paraId="139F3538" w14:textId="53C0A74A" w:rsidR="009C1B53" w:rsidRDefault="009C1B53" w:rsidP="009C1B53">
      <w:pPr>
        <w:pStyle w:val="NoSpacing"/>
        <w:numPr>
          <w:ilvl w:val="0"/>
          <w:numId w:val="1"/>
        </w:numPr>
      </w:pPr>
      <w:r>
        <w:t>The median average duration on any initiating osteoporosis medicine was 2.1 years, including breaks or 1.8 years excluding treatment breaks.</w:t>
      </w:r>
      <w:r w:rsidR="00D94850">
        <w:t xml:space="preserve"> </w:t>
      </w:r>
    </w:p>
    <w:p w14:paraId="5DC95359" w14:textId="145EC319" w:rsidR="009C1B53" w:rsidRDefault="009C1B53" w:rsidP="009C1B53">
      <w:pPr>
        <w:pStyle w:val="NoSpacing"/>
        <w:numPr>
          <w:ilvl w:val="0"/>
          <w:numId w:val="1"/>
        </w:numPr>
      </w:pPr>
      <w:r>
        <w:t>The longest duration of therapy was seen for patients who initiate denosumab with a median average treatment duration</w:t>
      </w:r>
      <w:r w:rsidR="006A17DD">
        <w:t xml:space="preserve"> (</w:t>
      </w:r>
      <w:r>
        <w:t>including breaks</w:t>
      </w:r>
      <w:r w:rsidR="006A17DD">
        <w:t>)</w:t>
      </w:r>
      <w:r>
        <w:t xml:space="preserve"> </w:t>
      </w:r>
      <w:r w:rsidR="006A17DD">
        <w:t xml:space="preserve">of </w:t>
      </w:r>
      <w:r>
        <w:t xml:space="preserve">2.5 years. </w:t>
      </w:r>
      <w:r w:rsidR="00020E47">
        <w:t>I</w:t>
      </w:r>
      <w:r>
        <w:t>n the subset of patients with at least 3.5 years of follow-up available (sensitivity analysis), the median average treatment duration, including breaks, was 3.9 years</w:t>
      </w:r>
      <w:r w:rsidR="000366B0">
        <w:t>.</w:t>
      </w:r>
      <w:r>
        <w:t xml:space="preserve"> </w:t>
      </w:r>
      <w:r w:rsidR="000366B0">
        <w:t>The MedicineInsight data reported a</w:t>
      </w:r>
      <w:r w:rsidR="0086385B">
        <w:t xml:space="preserve"> </w:t>
      </w:r>
      <w:r w:rsidR="00A6670B" w:rsidRPr="00677912">
        <w:t>3.2-year</w:t>
      </w:r>
      <w:r w:rsidR="0086385B">
        <w:t xml:space="preserve"> median treatment duration (including breaks)</w:t>
      </w:r>
      <w:r>
        <w:t>.</w:t>
      </w:r>
    </w:p>
    <w:p w14:paraId="66825723" w14:textId="6365481F" w:rsidR="00563081" w:rsidRPr="00E15B11" w:rsidRDefault="009C1B53" w:rsidP="008A78AB">
      <w:pPr>
        <w:pStyle w:val="NoSpacing"/>
        <w:numPr>
          <w:ilvl w:val="0"/>
          <w:numId w:val="1"/>
        </w:numPr>
      </w:pPr>
      <w:r>
        <w:lastRenderedPageBreak/>
        <w:t>Patients who initiated zoledronic acid had a median average duration of therapy of 1.0 years including or excluding treatment breaks. Alendronate and risedronate had similar treatment durations, at 1.1 years including breaks and 0.7 years excluding breaks.</w:t>
      </w:r>
      <w:r w:rsidR="00B23469">
        <w:t xml:space="preserve"> </w:t>
      </w:r>
      <w:r w:rsidR="00563081">
        <w:t xml:space="preserve">Of the 11,219 patients who experienced a treatment break from the </w:t>
      </w:r>
      <w:r w:rsidR="00393482" w:rsidRPr="00E15B11">
        <w:t>very first osteoporosis medicine they were dispensed</w:t>
      </w:r>
      <w:r w:rsidR="00563081">
        <w:t>, patients on zoledronic acid and denosumab had the longest median time to first treatment break, at approximately 1 year, reflecting one supply of zoledronic acid and two supplies of denosumab</w:t>
      </w:r>
      <w:r w:rsidR="001E759C">
        <w:t>.</w:t>
      </w:r>
    </w:p>
    <w:p w14:paraId="308088AF" w14:textId="51731EB2" w:rsidR="00195110" w:rsidRPr="00E15B11" w:rsidRDefault="00AF2504" w:rsidP="008A78AB">
      <w:pPr>
        <w:pStyle w:val="NoSpacing"/>
        <w:numPr>
          <w:ilvl w:val="0"/>
          <w:numId w:val="1"/>
        </w:numPr>
      </w:pPr>
      <w:r w:rsidRPr="00AF2504">
        <w:t xml:space="preserve">Of the </w:t>
      </w:r>
      <w:r w:rsidR="00195110" w:rsidRPr="00E15B11">
        <w:t>11,533</w:t>
      </w:r>
      <w:r w:rsidR="00BB7F31" w:rsidRPr="00E15B11">
        <w:t xml:space="preserve"> of the patients who were started on denosumab (regardless of whether they had been dispensed a</w:t>
      </w:r>
      <w:r w:rsidR="00D2254F" w:rsidRPr="00E15B11">
        <w:t xml:space="preserve"> different osteoporosis medicine beforehand), </w:t>
      </w:r>
      <w:r w:rsidR="00195110" w:rsidRPr="00E15B11">
        <w:t>35.2%</w:t>
      </w:r>
      <w:r w:rsidR="00D2254F" w:rsidRPr="00E15B11">
        <w:t xml:space="preserve"> had </w:t>
      </w:r>
      <w:r w:rsidR="00195110" w:rsidRPr="00E15B11">
        <w:t xml:space="preserve">a treatment break. </w:t>
      </w:r>
      <w:r w:rsidR="00D2254F" w:rsidRPr="00E15B11">
        <w:t xml:space="preserve">During this break only </w:t>
      </w:r>
      <w:r w:rsidR="00195110" w:rsidRPr="00E15B11">
        <w:t xml:space="preserve">2.5% were covered by another prescription for osteoporosis therapy. </w:t>
      </w:r>
    </w:p>
    <w:p w14:paraId="008552CE" w14:textId="77777777" w:rsidR="00A84978" w:rsidRDefault="00F05035" w:rsidP="008A78AB">
      <w:pPr>
        <w:pStyle w:val="NoSpacing"/>
        <w:numPr>
          <w:ilvl w:val="0"/>
          <w:numId w:val="1"/>
        </w:numPr>
      </w:pPr>
      <w:r>
        <w:t>J</w:t>
      </w:r>
      <w:r w:rsidRPr="00F05035">
        <w:t xml:space="preserve">ust over a third (33.8%) of patients directly initiated on denosumab (without being dispensed a different osteoporosis medicine beforehand) had ceased therapy by the end of the study period and in the MedicineInsight study almost a quarter of patients (24.6%) had ceased denosumab treatment by study end. </w:t>
      </w:r>
    </w:p>
    <w:p w14:paraId="526581A4" w14:textId="584E0954" w:rsidR="00B1286A" w:rsidRDefault="00FA7740" w:rsidP="00B1286A">
      <w:pPr>
        <w:pStyle w:val="NoSpacing"/>
        <w:numPr>
          <w:ilvl w:val="0"/>
          <w:numId w:val="1"/>
        </w:numPr>
      </w:pPr>
      <w:r w:rsidRPr="00FA7740">
        <w:t xml:space="preserve">Of the PBS patients who ceased denosumab only 5.0% had a subsequent record of osteoporosis treatment and of the MedicineInsight patients who ceased denosumab only 13.8% had a subsequent record of osteoporosis treatment. </w:t>
      </w:r>
      <w:r w:rsidR="00A258C9" w:rsidRPr="00E15B11">
        <w:t>Patients who were directly initiated on bisphosphonates</w:t>
      </w:r>
      <w:r w:rsidR="00241EF1" w:rsidRPr="00E15B11">
        <w:t xml:space="preserve"> </w:t>
      </w:r>
      <w:r w:rsidR="00A258C9" w:rsidRPr="00E15B11">
        <w:t>were more likely to cease therapy than patients initiated on denosumab</w:t>
      </w:r>
      <w:r w:rsidR="008A2AB5" w:rsidRPr="00E15B11">
        <w:t xml:space="preserve">. They </w:t>
      </w:r>
      <w:r w:rsidR="00A258C9" w:rsidRPr="00E15B11">
        <w:t xml:space="preserve">were also more likely to start treatment with an alternative osteoporosis medicine </w:t>
      </w:r>
      <w:r w:rsidR="008A2AB5" w:rsidRPr="00E15B11">
        <w:t xml:space="preserve">(probably denosumab) </w:t>
      </w:r>
      <w:r w:rsidR="00A258C9" w:rsidRPr="00E15B11">
        <w:t>after ceasing their original medicine.</w:t>
      </w:r>
    </w:p>
    <w:p w14:paraId="7F75F745" w14:textId="4A6E08C4" w:rsidR="00B1286A" w:rsidRPr="00B1286A" w:rsidRDefault="00B1286A" w:rsidP="00B1286A">
      <w:pPr>
        <w:pStyle w:val="Heading3"/>
        <w:rPr>
          <w:sz w:val="22"/>
        </w:rPr>
      </w:pPr>
      <w:r w:rsidRPr="00B1286A">
        <w:rPr>
          <w:sz w:val="22"/>
        </w:rPr>
        <w:t>MedicineInsight Data</w:t>
      </w:r>
    </w:p>
    <w:p w14:paraId="25CC6492" w14:textId="77777777" w:rsidR="00B1286A" w:rsidRDefault="00B1286A" w:rsidP="00B1286A">
      <w:pPr>
        <w:pStyle w:val="NoSpacing"/>
        <w:numPr>
          <w:ilvl w:val="0"/>
          <w:numId w:val="1"/>
        </w:numPr>
      </w:pPr>
      <w:r w:rsidRPr="00E456FE">
        <w:t xml:space="preserve">The prevalence of osteoporosis among regularly attending </w:t>
      </w:r>
      <w:r>
        <w:t xml:space="preserve">MedicineInsight </w:t>
      </w:r>
      <w:r w:rsidRPr="00E456FE">
        <w:t>patients</w:t>
      </w:r>
      <w:r>
        <w:t>, (aged 50+ years, for all analyses),</w:t>
      </w:r>
      <w:r w:rsidRPr="00E456FE">
        <w:t xml:space="preserve"> was 13.6% (95% confidence interval [CI] 13.0 to 14.1)</w:t>
      </w:r>
      <w:r>
        <w:t>. As expected, the patient prevalence of osteoporosis was higher in women and rose with increasing age in both sexes.</w:t>
      </w:r>
    </w:p>
    <w:p w14:paraId="2D3B0D62" w14:textId="77777777" w:rsidR="00B1286A" w:rsidRDefault="00B1286A" w:rsidP="00B1286A">
      <w:pPr>
        <w:pStyle w:val="NoSpacing"/>
        <w:numPr>
          <w:ilvl w:val="0"/>
          <w:numId w:val="1"/>
        </w:numPr>
      </w:pPr>
      <w:r w:rsidRPr="002F32EC">
        <w:t>60.5% (95% CI 59.5 to 61.4)</w:t>
      </w:r>
      <w:r>
        <w:t xml:space="preserve"> </w:t>
      </w:r>
      <w:r w:rsidRPr="002F32EC">
        <w:t>of all regularly attending patients with a record of osteoporosis had been prescribed an osteoporosis medicine at least once</w:t>
      </w:r>
      <w:r>
        <w:t>.</w:t>
      </w:r>
    </w:p>
    <w:p w14:paraId="4D7D21FF" w14:textId="77777777" w:rsidR="00B1286A" w:rsidRDefault="00B1286A" w:rsidP="00B1286A">
      <w:pPr>
        <w:pStyle w:val="NoSpacing"/>
        <w:numPr>
          <w:ilvl w:val="0"/>
          <w:numId w:val="1"/>
        </w:numPr>
      </w:pPr>
      <w:r w:rsidRPr="003A6310">
        <w:t>Just over half (52.7%</w:t>
      </w:r>
      <w:r>
        <w:t>; 95% CI 51.2 to 54.1</w:t>
      </w:r>
      <w:r w:rsidRPr="003A6310">
        <w:t xml:space="preserve">) of </w:t>
      </w:r>
      <w:r>
        <w:t xml:space="preserve">regularly attending </w:t>
      </w:r>
      <w:r w:rsidRPr="003A6310">
        <w:t xml:space="preserve">men </w:t>
      </w:r>
      <w:r>
        <w:t xml:space="preserve">with recorded osteoporosis </w:t>
      </w:r>
      <w:r w:rsidRPr="003A6310">
        <w:t xml:space="preserve">had been prescribed an osteoporosis medicine at least once, compared with 62.5% </w:t>
      </w:r>
      <w:r>
        <w:t xml:space="preserve">(95% CI 61.5 to 63.5) </w:t>
      </w:r>
      <w:r w:rsidRPr="003A6310">
        <w:t xml:space="preserve">of </w:t>
      </w:r>
      <w:r>
        <w:t xml:space="preserve">regularly attending </w:t>
      </w:r>
      <w:r w:rsidRPr="003A6310">
        <w:t xml:space="preserve">women, suggesting that men may still be less likely to be treated </w:t>
      </w:r>
      <w:r>
        <w:t xml:space="preserve">for </w:t>
      </w:r>
      <w:r w:rsidRPr="003A6310">
        <w:t xml:space="preserve">osteoporosis than women even when they have </w:t>
      </w:r>
      <w:r>
        <w:t>a recorded diagnosis</w:t>
      </w:r>
      <w:r w:rsidRPr="003A6310">
        <w:t>.</w:t>
      </w:r>
    </w:p>
    <w:p w14:paraId="548E12B8" w14:textId="77777777" w:rsidR="00B1286A" w:rsidRDefault="00B1286A" w:rsidP="00B1286A">
      <w:pPr>
        <w:pStyle w:val="NoSpacing"/>
        <w:numPr>
          <w:ilvl w:val="0"/>
          <w:numId w:val="1"/>
        </w:numPr>
      </w:pPr>
      <w:r>
        <w:t xml:space="preserve">The proportion of regularly attending patients who had no record of being prescribed an osteoporosis medicine was higher in this study (39.5%; 95% CI 38.6% to 40.5%) than that reported in the </w:t>
      </w:r>
      <w:r w:rsidRPr="00BB218C">
        <w:t>Naik-Panvelkar paper</w:t>
      </w:r>
      <w:r>
        <w:t xml:space="preserve"> (23.5%). This is most likely due to differences in cohort selection, as the cohort in the </w:t>
      </w:r>
      <w:r w:rsidRPr="00BB218C">
        <w:t>Naik-Panvelkar paper</w:t>
      </w:r>
      <w:r>
        <w:t xml:space="preserve"> was restricted to patients </w:t>
      </w:r>
      <w:r w:rsidRPr="00617555">
        <w:t>seen at the general practice at least once every year over an 8-year period</w:t>
      </w:r>
      <w:r>
        <w:t>.</w:t>
      </w:r>
    </w:p>
    <w:p w14:paraId="697109F0" w14:textId="77777777" w:rsidR="00B1286A" w:rsidRDefault="00B1286A" w:rsidP="00B1286A">
      <w:pPr>
        <w:pStyle w:val="NoSpacing"/>
        <w:numPr>
          <w:ilvl w:val="0"/>
          <w:numId w:val="1"/>
        </w:numPr>
      </w:pPr>
      <w:r w:rsidRPr="00880D38">
        <w:t xml:space="preserve">Among the 22,256 patients </w:t>
      </w:r>
      <w:r>
        <w:t xml:space="preserve">in the historical osteoporosis cohort </w:t>
      </w:r>
      <w:r w:rsidRPr="00880D38">
        <w:t xml:space="preserve">who had been prescribed denosumab at least once, 50.0% were started on denosumab without any record of having been previously </w:t>
      </w:r>
      <w:r>
        <w:t>prescribed</w:t>
      </w:r>
      <w:r w:rsidRPr="00880D38">
        <w:t xml:space="preserve"> any other osteoporosis medicine.</w:t>
      </w:r>
    </w:p>
    <w:p w14:paraId="30972803" w14:textId="77777777" w:rsidR="00B1286A" w:rsidRDefault="00B1286A" w:rsidP="00B1286A">
      <w:pPr>
        <w:pStyle w:val="NoSpacing"/>
        <w:numPr>
          <w:ilvl w:val="0"/>
          <w:numId w:val="1"/>
        </w:numPr>
      </w:pPr>
      <w:r w:rsidRPr="00AE2563">
        <w:lastRenderedPageBreak/>
        <w:t xml:space="preserve">The </w:t>
      </w:r>
      <w:r>
        <w:t>m</w:t>
      </w:r>
      <w:r w:rsidRPr="008D13D6">
        <w:t>edian</w:t>
      </w:r>
      <w:r w:rsidRPr="00AE2563">
        <w:t xml:space="preserve"> duration of treatment </w:t>
      </w:r>
      <w:r>
        <w:t xml:space="preserve">of denosumab treatment </w:t>
      </w:r>
      <w:r w:rsidRPr="00AE2563">
        <w:t>(including treatment holidays) was 1,</w:t>
      </w:r>
      <w:r>
        <w:t>154</w:t>
      </w:r>
      <w:r w:rsidRPr="00AE2563">
        <w:t xml:space="preserve"> days or 3.2 years</w:t>
      </w:r>
      <w:r w:rsidRPr="008D13D6">
        <w:t xml:space="preserve"> (</w:t>
      </w:r>
      <w:r>
        <w:t xml:space="preserve">interquartile range: </w:t>
      </w:r>
      <w:r w:rsidRPr="008D13D6">
        <w:t>887 days [1st quartile] to 1</w:t>
      </w:r>
      <w:r>
        <w:t>,</w:t>
      </w:r>
      <w:r w:rsidRPr="008D13D6">
        <w:t>679 days [3rd quartile]</w:t>
      </w:r>
      <w:r>
        <w:t>).</w:t>
      </w:r>
    </w:p>
    <w:p w14:paraId="31E6BD2E" w14:textId="77777777" w:rsidR="00B1286A" w:rsidRDefault="00B1286A" w:rsidP="00B1286A">
      <w:pPr>
        <w:pStyle w:val="NoSpacing"/>
        <w:numPr>
          <w:ilvl w:val="0"/>
          <w:numId w:val="1"/>
        </w:numPr>
      </w:pPr>
      <w:r>
        <w:t xml:space="preserve">66.0% (95% CI 64.8 to 67.1) </w:t>
      </w:r>
      <w:r w:rsidRPr="006B6561">
        <w:t>of the patients started on denosumab between January 2014 and December 2017 were still on denosumab treatment on 31 December 2019. Almost a quarter of patients (24.6%; 95% CI 23.6 to 25.6) had ceased denosumab treatment</w:t>
      </w:r>
      <w:r>
        <w:t xml:space="preserve"> by this date</w:t>
      </w:r>
      <w:r w:rsidRPr="006B6561">
        <w:t>.</w:t>
      </w:r>
    </w:p>
    <w:p w14:paraId="7BF44920" w14:textId="77777777" w:rsidR="00B1286A" w:rsidRDefault="00B1286A" w:rsidP="00B1286A">
      <w:pPr>
        <w:pStyle w:val="NoSpacing"/>
        <w:numPr>
          <w:ilvl w:val="0"/>
          <w:numId w:val="1"/>
        </w:numPr>
      </w:pPr>
      <w:r w:rsidRPr="00FF1C0D">
        <w:t xml:space="preserve">86.2% </w:t>
      </w:r>
      <w:r>
        <w:t xml:space="preserve">of the historical osteoporosis cohort </w:t>
      </w:r>
      <w:r w:rsidRPr="00FF1C0D">
        <w:t xml:space="preserve">had no record of osteoporosis therapy after denosumab cessation. This is higher than that reported </w:t>
      </w:r>
      <w:r>
        <w:t>by</w:t>
      </w:r>
      <w:r w:rsidRPr="00FF1C0D">
        <w:t xml:space="preserve"> Naik-Pan</w:t>
      </w:r>
      <w:r>
        <w:t>v</w:t>
      </w:r>
      <w:r w:rsidRPr="00FF1C0D">
        <w:t>elkar</w:t>
      </w:r>
      <w:r>
        <w:t xml:space="preserve"> et al. (2020)</w:t>
      </w:r>
      <w:r w:rsidRPr="00FF1C0D">
        <w:t xml:space="preserve"> but may be explained by the differences in the study cohorts.</w:t>
      </w:r>
    </w:p>
    <w:p w14:paraId="7A531859" w14:textId="77777777" w:rsidR="00B1286A" w:rsidRPr="00B1286A" w:rsidRDefault="00B1286A" w:rsidP="00B1286A"/>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94F579F" w14:textId="48E4C2A5" w:rsidR="00C41A59" w:rsidRPr="0003077B" w:rsidRDefault="00C41A59" w:rsidP="00C41A59">
      <w:pPr>
        <w:rPr>
          <w:vertAlign w:val="superscript"/>
        </w:rPr>
      </w:pPr>
      <w:r>
        <w:t xml:space="preserve">Naik-Panvelkar et al. (2020) used MedicineInsight data to examine </w:t>
      </w:r>
      <w:r w:rsidRPr="00A40862">
        <w:t xml:space="preserve">osteoporosis </w:t>
      </w:r>
      <w:r>
        <w:t xml:space="preserve">management </w:t>
      </w:r>
      <w:r w:rsidRPr="00A40862">
        <w:t>in general practice</w:t>
      </w:r>
      <w:r>
        <w:t xml:space="preserve">, reporting that </w:t>
      </w:r>
      <w:r w:rsidRPr="00BF6F2D">
        <w:t xml:space="preserve">80% of patients who ceased denosumab treatment </w:t>
      </w:r>
      <w:r>
        <w:t xml:space="preserve">did not appear to have any record of </w:t>
      </w:r>
      <w:r w:rsidRPr="00BF6F2D">
        <w:t>subsequent bisphosphonate prescription</w:t>
      </w:r>
      <w:r w:rsidR="0003077B">
        <w:t>.</w:t>
      </w:r>
      <w:r w:rsidR="0003077B">
        <w:rPr>
          <w:vertAlign w:val="superscript"/>
        </w:rPr>
        <w:t>1</w:t>
      </w:r>
      <w:r>
        <w:t xml:space="preserve"> This is a concern because there is evidence of </w:t>
      </w:r>
      <w:r w:rsidRPr="0002716C">
        <w:t>lower bone mineral density (BMD)</w:t>
      </w:r>
      <w:r>
        <w:t xml:space="preserve"> and </w:t>
      </w:r>
      <w:r w:rsidRPr="000416C5">
        <w:t>increased risk of multiple vertebral fractures shortly after discontinuation of denosumab</w:t>
      </w:r>
      <w:r>
        <w:t>. For this reason, i</w:t>
      </w:r>
      <w:r w:rsidRPr="007A3360">
        <w:t>t is suggested that denosumab not be discontinued without considering a substitute treatment.</w:t>
      </w:r>
      <w:r w:rsidR="0003077B">
        <w:rPr>
          <w:vertAlign w:val="superscript"/>
        </w:rPr>
        <w:t>2</w:t>
      </w:r>
    </w:p>
    <w:p w14:paraId="03E157F7" w14:textId="77777777" w:rsidR="00C41A59" w:rsidRDefault="00C41A59" w:rsidP="00C41A59">
      <w:r>
        <w:t xml:space="preserve">At its June meeting, </w:t>
      </w:r>
      <w:r w:rsidRPr="0002716C">
        <w:t xml:space="preserve">DUSC </w:t>
      </w:r>
      <w:r>
        <w:t xml:space="preserve">noted that the findings of Naik-Panvelkar et al. suggests Australian patients who cease denosumab are placed at risk of fractures. DUSC </w:t>
      </w:r>
      <w:r w:rsidRPr="0002716C">
        <w:t xml:space="preserve">requested that </w:t>
      </w:r>
      <w:r>
        <w:t xml:space="preserve">the </w:t>
      </w:r>
      <w:r w:rsidRPr="0002716C">
        <w:t>utilisation of denosumab</w:t>
      </w:r>
      <w:r>
        <w:t>, including use of bisphosphonates or other osteoporosis medicines after denosumab discontinuation,</w:t>
      </w:r>
      <w:r w:rsidRPr="0002716C">
        <w:t xml:space="preserve"> be reviewed in the context of the total osteoporosis market</w:t>
      </w:r>
      <w:r>
        <w:t xml:space="preserve"> using both PBS dispensing data and MedicineInsight data.</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13AF6133" w14:textId="21014F26" w:rsidR="00DD3488" w:rsidRDefault="00DD3488" w:rsidP="00DD3488">
      <w:r>
        <w:t>Osteoporosis is a condition in which bones become weak and fragile increasing the risk of fractures. Osteoporosis is asymptomatic and often remains undiagnosed until a person presents with a fracture. Bone strength can be compromised to such an extent that a minor bump or a fall from standing height can cause a fracture (minimal trauma fracture). Some fractures, especially those in the vertebrae, never come to medical attention.</w:t>
      </w:r>
      <w:r w:rsidR="0003077B">
        <w:rPr>
          <w:rStyle w:val="FootnoteReference"/>
        </w:rPr>
        <w:footnoteReference w:id="5"/>
      </w:r>
      <w:r w:rsidR="0003077B">
        <w:rPr>
          <w:vertAlign w:val="superscript"/>
        </w:rPr>
        <w:t>,</w:t>
      </w:r>
      <w:r w:rsidR="0003077B">
        <w:rPr>
          <w:rStyle w:val="FootnoteReference"/>
        </w:rPr>
        <w:footnoteReference w:id="6"/>
      </w:r>
      <w:r w:rsidR="0003077B">
        <w:rPr>
          <w:vertAlign w:val="superscript"/>
        </w:rPr>
        <w:t>,</w:t>
      </w:r>
      <w:r w:rsidR="0003077B">
        <w:rPr>
          <w:rStyle w:val="FootnoteReference"/>
        </w:rPr>
        <w:footnoteReference w:id="7"/>
      </w:r>
      <w:r>
        <w:t xml:space="preserve"> </w:t>
      </w:r>
    </w:p>
    <w:p w14:paraId="4A30A2F0" w14:textId="07FAFD97" w:rsidR="00DD3488" w:rsidRDefault="00DD3488" w:rsidP="00DD3488">
      <w:r>
        <w:t>There are a number of modifiable and non-modifiable risk factors that contribute to an individual’s likelihood of developing osteoporosis. Non-modifiable risk factors include gender, age, being post-menopausal and family history of osteoporosis. Modifiable risk factors include physical inactivity, inadequate dietary calcium intake, low vitamin D, smoking, excessive alcohol intake and use of some medicines.</w:t>
      </w:r>
      <w:r w:rsidR="0003077B">
        <w:rPr>
          <w:vertAlign w:val="superscript"/>
        </w:rPr>
        <w:t>6</w:t>
      </w:r>
    </w:p>
    <w:p w14:paraId="46E7C0FB" w14:textId="0AAF892F" w:rsidR="00DD3488" w:rsidRDefault="00DD3488" w:rsidP="00DD3488">
      <w:r>
        <w:t>Bone mineral density (BMD) describes the density and the mineral content of bones. It is measured via dual energy X-ray absorptiometry (DEXA) scanning, typically of the hip and spine. The result is reported as a T-score, which is the difference (in standard deviations) between the person's measurement and the reference standard of the mean BMD of young adults. People with a BMD of 2.5 or more standard deviations below normal peak bone mass (ie, a T-score of –2.5 or less) are considered to have osteoporosis.</w:t>
      </w:r>
      <w:r w:rsidR="0003077B">
        <w:rPr>
          <w:vertAlign w:val="superscript"/>
        </w:rPr>
        <w:t xml:space="preserve">5,6 </w:t>
      </w:r>
    </w:p>
    <w:p w14:paraId="43E33753" w14:textId="3B923E73" w:rsidR="00DD3488" w:rsidRDefault="00DD3488" w:rsidP="00DD3488">
      <w:r>
        <w:t xml:space="preserve">Estimates from the 2017–18 National Health Survey (NHS) suggest that approximately 924,000 Australians have osteoporosis, based on self-reported data. Osteoporosis is more </w:t>
      </w:r>
      <w:r>
        <w:lastRenderedPageBreak/>
        <w:t>common in older Australians and among women. More than a quarter of Australian women over the age of 75 years report having osteoporosis.</w:t>
      </w:r>
      <w:r w:rsidR="00FA2558">
        <w:rPr>
          <w:vertAlign w:val="superscript"/>
        </w:rPr>
        <w:t>4</w:t>
      </w:r>
      <w:r>
        <w:t xml:space="preserve"> </w:t>
      </w:r>
    </w:p>
    <w:p w14:paraId="7ECE3255" w14:textId="6BFBD3D9" w:rsidR="00DD3488" w:rsidRDefault="00DD3488" w:rsidP="00DD3488">
      <w:r>
        <w:t>Bisphosphonates (alendronate, risedronate and zoledronic acid) and denosumab are the more commonly used first-line medicines for osteoporosis in Australia.</w:t>
      </w:r>
      <w:r w:rsidR="00FA2558">
        <w:rPr>
          <w:vertAlign w:val="superscript"/>
        </w:rPr>
        <w:t>1</w:t>
      </w:r>
      <w:r w:rsidR="00FA2558">
        <w:t xml:space="preserve"> </w:t>
      </w:r>
      <w:r>
        <w:t>Other osteoporosis medicines include c</w:t>
      </w:r>
      <w:r w:rsidRPr="00D20EA4">
        <w:t>alcitriol</w:t>
      </w:r>
      <w:r>
        <w:t>, raloxifene and teriparatide and until it was delisted in 2016, strontium ranelate.</w:t>
      </w:r>
      <w:r w:rsidR="00FA2558">
        <w:t xml:space="preserve"> </w:t>
      </w:r>
      <w:r w:rsidR="00FA2558">
        <w:rPr>
          <w:vertAlign w:val="superscript"/>
        </w:rPr>
        <w:t>5,6,2</w:t>
      </w:r>
    </w:p>
    <w:p w14:paraId="476DD626" w14:textId="7612ACDA" w:rsidR="00DD3488" w:rsidRDefault="00DD3488" w:rsidP="00DD3488">
      <w:r>
        <w:t>Concerns have been raised about an increased risk of multiple vertebral fractures shortly after discontinuation of denosumab, a risk not associated with cessation of bisphosphonate therapy. Cessation of denosumab is associated with a r</w:t>
      </w:r>
      <w:r w:rsidRPr="00D57213">
        <w:t xml:space="preserve">apid decrease of </w:t>
      </w:r>
      <w:r>
        <w:t xml:space="preserve">BMD </w:t>
      </w:r>
      <w:r w:rsidRPr="00D57213">
        <w:t>and a steep increase in bone turnover markers</w:t>
      </w:r>
      <w:r>
        <w:t>.</w:t>
      </w:r>
      <w:r w:rsidR="00FA2558">
        <w:rPr>
          <w:vertAlign w:val="superscript"/>
        </w:rPr>
        <w:t>2,</w:t>
      </w:r>
      <w:r w:rsidR="00FA2558">
        <w:rPr>
          <w:rStyle w:val="FootnoteReference"/>
        </w:rPr>
        <w:footnoteReference w:id="8"/>
      </w:r>
      <w:r w:rsidR="00FA2558">
        <w:rPr>
          <w:vertAlign w:val="superscript"/>
        </w:rPr>
        <w:t>,</w:t>
      </w:r>
      <w:r w:rsidR="00FA2558">
        <w:rPr>
          <w:rStyle w:val="FootnoteReference"/>
        </w:rPr>
        <w:footnoteReference w:id="9"/>
      </w:r>
      <w:r w:rsidR="00FA2558">
        <w:rPr>
          <w:vertAlign w:val="superscript"/>
        </w:rPr>
        <w:t>,</w:t>
      </w:r>
      <w:r w:rsidR="00FA2558">
        <w:rPr>
          <w:rStyle w:val="FootnoteReference"/>
        </w:rPr>
        <w:footnoteReference w:id="10"/>
      </w:r>
      <w:r>
        <w:t xml:space="preserve"> </w:t>
      </w:r>
      <w:r w:rsidRPr="00B55D06">
        <w:t>For this reason, it is suggested that denosumab not be discontinued without considering a substitute treatment</w:t>
      </w:r>
      <w:r>
        <w:t>.</w:t>
      </w:r>
      <w:r w:rsidR="00FA2558">
        <w:rPr>
          <w:vertAlign w:val="superscript"/>
        </w:rPr>
        <w:t>2</w:t>
      </w:r>
    </w:p>
    <w:p w14:paraId="0183A567" w14:textId="413DF87B" w:rsidR="007247B9" w:rsidRDefault="007247B9" w:rsidP="00CF5E22">
      <w:pPr>
        <w:pStyle w:val="Heading2"/>
      </w:pPr>
      <w:r>
        <w:t>Pharmacology</w:t>
      </w:r>
    </w:p>
    <w:p w14:paraId="06821C4B" w14:textId="5BC0AB5A" w:rsidR="00AE4BAC" w:rsidRPr="007247B9" w:rsidRDefault="00DD3488" w:rsidP="00AE4BAC">
      <w:r w:rsidRPr="00DD3488">
        <w:t>See Appendix A</w:t>
      </w:r>
      <w:r w:rsidR="00AE4BAC" w:rsidRPr="00DD3488">
        <w:t>.</w:t>
      </w:r>
    </w:p>
    <w:p w14:paraId="6AC18C88" w14:textId="2826F941"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7A34FD3D" w14:textId="19116266" w:rsidR="00C20213" w:rsidRPr="00C20213" w:rsidRDefault="009F2CDE" w:rsidP="009F2CDE">
      <w:pPr>
        <w:spacing w:after="0"/>
      </w:pPr>
      <w:r>
        <w:rPr>
          <w:b/>
          <w:shd w:val="clear" w:color="auto" w:fill="FFFFFF" w:themeFill="background1"/>
        </w:rPr>
        <w:t>Table 1: TGA approved osteoporosis* indications (as at August 2020)</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TGA approved osteoporosis indications"/>
      </w:tblPr>
      <w:tblGrid>
        <w:gridCol w:w="2000"/>
        <w:gridCol w:w="6662"/>
      </w:tblGrid>
      <w:tr w:rsidR="00C20213" w14:paraId="6D033FD5" w14:textId="77777777" w:rsidTr="00D069E4">
        <w:trPr>
          <w:trHeight w:val="977"/>
        </w:trPr>
        <w:tc>
          <w:tcPr>
            <w:tcW w:w="2000" w:type="dxa"/>
            <w:tcBorders>
              <w:top w:val="single" w:sz="4" w:space="0" w:color="auto"/>
              <w:left w:val="single" w:sz="4" w:space="0" w:color="auto"/>
              <w:bottom w:val="single" w:sz="4" w:space="0" w:color="auto"/>
              <w:right w:val="single" w:sz="4" w:space="0" w:color="auto"/>
            </w:tcBorders>
            <w:noWrap/>
            <w:hideMark/>
          </w:tcPr>
          <w:p w14:paraId="6F976B0F" w14:textId="77777777" w:rsidR="00C20213" w:rsidRDefault="00C20213" w:rsidP="00D069E4">
            <w:pPr>
              <w:spacing w:line="276" w:lineRule="auto"/>
              <w:rPr>
                <w:color w:val="000000"/>
                <w:sz w:val="20"/>
                <w:szCs w:val="20"/>
                <w:lang w:eastAsia="en-US"/>
              </w:rPr>
            </w:pPr>
            <w:r>
              <w:rPr>
                <w:color w:val="000000"/>
                <w:sz w:val="20"/>
                <w:szCs w:val="20"/>
                <w:lang w:eastAsia="en-US"/>
              </w:rPr>
              <w:t xml:space="preserve">Alendronate and combinations </w:t>
            </w:r>
          </w:p>
        </w:tc>
        <w:tc>
          <w:tcPr>
            <w:tcW w:w="6662" w:type="dxa"/>
            <w:tcBorders>
              <w:top w:val="single" w:sz="4" w:space="0" w:color="auto"/>
              <w:left w:val="single" w:sz="4" w:space="0" w:color="auto"/>
              <w:bottom w:val="single" w:sz="4" w:space="0" w:color="auto"/>
              <w:right w:val="single" w:sz="4" w:space="0" w:color="auto"/>
            </w:tcBorders>
            <w:hideMark/>
          </w:tcPr>
          <w:p w14:paraId="1EF30B3F"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including glucocorticoid-induced osteoporosis.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and prevention of glucocorticoid-induced osteoporosis in those patients on long term corticosteroid therapy.</w:t>
            </w:r>
          </w:p>
        </w:tc>
      </w:tr>
      <w:tr w:rsidR="00C20213" w14:paraId="51D16135" w14:textId="77777777" w:rsidTr="00D069E4">
        <w:trPr>
          <w:trHeight w:val="1200"/>
        </w:trPr>
        <w:tc>
          <w:tcPr>
            <w:tcW w:w="2000" w:type="dxa"/>
            <w:tcBorders>
              <w:top w:val="single" w:sz="4" w:space="0" w:color="auto"/>
              <w:left w:val="single" w:sz="4" w:space="0" w:color="auto"/>
              <w:bottom w:val="single" w:sz="4" w:space="0" w:color="auto"/>
              <w:right w:val="single" w:sz="4" w:space="0" w:color="auto"/>
            </w:tcBorders>
            <w:noWrap/>
            <w:hideMark/>
          </w:tcPr>
          <w:p w14:paraId="30B4C750" w14:textId="77777777" w:rsidR="00C20213" w:rsidRDefault="00C20213" w:rsidP="00D069E4">
            <w:pPr>
              <w:spacing w:line="276" w:lineRule="auto"/>
              <w:rPr>
                <w:color w:val="000000"/>
                <w:sz w:val="20"/>
                <w:szCs w:val="20"/>
                <w:lang w:eastAsia="en-US"/>
              </w:rPr>
            </w:pPr>
            <w:r>
              <w:rPr>
                <w:color w:val="000000"/>
                <w:sz w:val="20"/>
                <w:szCs w:val="20"/>
                <w:lang w:eastAsia="en-US"/>
              </w:rPr>
              <w:t>Calcitriol</w:t>
            </w:r>
          </w:p>
        </w:tc>
        <w:tc>
          <w:tcPr>
            <w:tcW w:w="6662" w:type="dxa"/>
            <w:tcBorders>
              <w:top w:val="single" w:sz="4" w:space="0" w:color="auto"/>
              <w:left w:val="single" w:sz="4" w:space="0" w:color="auto"/>
              <w:bottom w:val="single" w:sz="4" w:space="0" w:color="auto"/>
              <w:right w:val="single" w:sz="4" w:space="0" w:color="auto"/>
            </w:tcBorders>
            <w:hideMark/>
          </w:tcPr>
          <w:p w14:paraId="224F287F"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established osteoporosis diagnosed by objective measuring techniques, such as densitometry, or by radiographic evidence of atraumatic fracture.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Prevention of corticosteroid-induced osteoporosis in patients commencing oral steroid therapy in a dose and regimen expected to result in a significant bone loss.</w:t>
            </w:r>
          </w:p>
        </w:tc>
      </w:tr>
      <w:tr w:rsidR="00C20213" w14:paraId="52ACFBA0" w14:textId="77777777" w:rsidTr="00D069E4">
        <w:trPr>
          <w:trHeight w:val="280"/>
        </w:trPr>
        <w:tc>
          <w:tcPr>
            <w:tcW w:w="2000" w:type="dxa"/>
            <w:tcBorders>
              <w:top w:val="single" w:sz="4" w:space="0" w:color="auto"/>
              <w:left w:val="single" w:sz="4" w:space="0" w:color="auto"/>
              <w:bottom w:val="single" w:sz="4" w:space="0" w:color="auto"/>
              <w:right w:val="single" w:sz="4" w:space="0" w:color="auto"/>
            </w:tcBorders>
            <w:noWrap/>
            <w:hideMark/>
          </w:tcPr>
          <w:p w14:paraId="688B1C9F" w14:textId="77777777" w:rsidR="00C20213" w:rsidRDefault="00C20213" w:rsidP="00D069E4">
            <w:pPr>
              <w:spacing w:line="276" w:lineRule="auto"/>
              <w:rPr>
                <w:color w:val="000000"/>
                <w:sz w:val="20"/>
                <w:szCs w:val="20"/>
                <w:lang w:eastAsia="en-US"/>
              </w:rPr>
            </w:pPr>
            <w:r>
              <w:rPr>
                <w:color w:val="000000"/>
                <w:sz w:val="20"/>
                <w:szCs w:val="20"/>
                <w:lang w:eastAsia="en-US"/>
              </w:rPr>
              <w:t>Denosumab</w:t>
            </w:r>
          </w:p>
        </w:tc>
        <w:tc>
          <w:tcPr>
            <w:tcW w:w="6662" w:type="dxa"/>
            <w:tcBorders>
              <w:top w:val="single" w:sz="4" w:space="0" w:color="auto"/>
              <w:left w:val="single" w:sz="4" w:space="0" w:color="auto"/>
              <w:bottom w:val="single" w:sz="4" w:space="0" w:color="auto"/>
              <w:right w:val="single" w:sz="4" w:space="0" w:color="auto"/>
            </w:tcBorders>
            <w:hideMark/>
          </w:tcPr>
          <w:p w14:paraId="3BD5EEF5"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The treatment of osteoporosis in postmenopausal women.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to increase bone mass in men with osteopenia receiving androgen deprivation therapy for non-metastatic prostate cancer.</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to increase bone mass in men with osteoporosis at increased risk of fracture.</w:t>
            </w:r>
          </w:p>
          <w:p w14:paraId="193CF5C3"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w:t>
            </w:r>
            <w:r w:rsidRPr="005E51A3">
              <w:rPr>
                <w:rFonts w:eastAsia="Times New Roman" w:cs="Times New Roman"/>
                <w:color w:val="000000"/>
                <w:sz w:val="20"/>
                <w:szCs w:val="20"/>
                <w:lang w:eastAsia="en-US"/>
              </w:rPr>
              <w:t>Treatment to increase bone mass in women and men at increased risk of fracture due to</w:t>
            </w:r>
            <w:r>
              <w:rPr>
                <w:rFonts w:eastAsia="Times New Roman" w:cs="Times New Roman"/>
                <w:color w:val="000000"/>
                <w:sz w:val="20"/>
                <w:szCs w:val="20"/>
                <w:lang w:eastAsia="en-US"/>
              </w:rPr>
              <w:t xml:space="preserve"> </w:t>
            </w:r>
            <w:r w:rsidRPr="005E51A3">
              <w:rPr>
                <w:rFonts w:eastAsia="Times New Roman" w:cs="Times New Roman"/>
                <w:color w:val="000000"/>
                <w:sz w:val="20"/>
                <w:szCs w:val="20"/>
                <w:lang w:eastAsia="en-US"/>
              </w:rPr>
              <w:t>long-term systemic glucocorticoid therapy</w:t>
            </w:r>
            <w:r>
              <w:rPr>
                <w:rFonts w:eastAsia="Times New Roman" w:cs="Times New Roman"/>
                <w:color w:val="000000"/>
                <w:sz w:val="20"/>
                <w:szCs w:val="20"/>
                <w:lang w:eastAsia="en-US"/>
              </w:rPr>
              <w:t>.</w:t>
            </w:r>
          </w:p>
        </w:tc>
      </w:tr>
      <w:tr w:rsidR="00C20213" w14:paraId="68A7FCE9" w14:textId="77777777" w:rsidTr="00D069E4">
        <w:trPr>
          <w:trHeight w:val="445"/>
        </w:trPr>
        <w:tc>
          <w:tcPr>
            <w:tcW w:w="2000" w:type="dxa"/>
            <w:tcBorders>
              <w:top w:val="single" w:sz="4" w:space="0" w:color="auto"/>
              <w:left w:val="single" w:sz="4" w:space="0" w:color="auto"/>
              <w:bottom w:val="single" w:sz="4" w:space="0" w:color="auto"/>
              <w:right w:val="single" w:sz="4" w:space="0" w:color="auto"/>
            </w:tcBorders>
            <w:noWrap/>
            <w:hideMark/>
          </w:tcPr>
          <w:p w14:paraId="513E1565" w14:textId="77777777" w:rsidR="00C20213" w:rsidRDefault="00C20213" w:rsidP="00D069E4">
            <w:pPr>
              <w:spacing w:line="276" w:lineRule="auto"/>
              <w:rPr>
                <w:color w:val="000000"/>
                <w:sz w:val="20"/>
                <w:szCs w:val="20"/>
                <w:lang w:eastAsia="en-US"/>
              </w:rPr>
            </w:pPr>
            <w:r>
              <w:rPr>
                <w:color w:val="000000"/>
                <w:sz w:val="20"/>
                <w:szCs w:val="20"/>
                <w:lang w:eastAsia="en-US"/>
              </w:rPr>
              <w:t>Raloxifene</w:t>
            </w:r>
          </w:p>
        </w:tc>
        <w:tc>
          <w:tcPr>
            <w:tcW w:w="6662" w:type="dxa"/>
            <w:tcBorders>
              <w:top w:val="single" w:sz="4" w:space="0" w:color="auto"/>
              <w:left w:val="single" w:sz="4" w:space="0" w:color="auto"/>
              <w:bottom w:val="single" w:sz="4" w:space="0" w:color="auto"/>
              <w:right w:val="single" w:sz="4" w:space="0" w:color="auto"/>
            </w:tcBorders>
            <w:hideMark/>
          </w:tcPr>
          <w:p w14:paraId="55C7AF96"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Prevention and treatment of osteoporosis in post-menopausal women.</w:t>
            </w:r>
          </w:p>
        </w:tc>
      </w:tr>
      <w:tr w:rsidR="00C20213" w14:paraId="6B1862A8" w14:textId="77777777" w:rsidTr="00D069E4">
        <w:trPr>
          <w:trHeight w:val="900"/>
        </w:trPr>
        <w:tc>
          <w:tcPr>
            <w:tcW w:w="2000" w:type="dxa"/>
            <w:tcBorders>
              <w:top w:val="single" w:sz="4" w:space="0" w:color="auto"/>
              <w:left w:val="single" w:sz="4" w:space="0" w:color="auto"/>
              <w:bottom w:val="single" w:sz="4" w:space="0" w:color="auto"/>
              <w:right w:val="single" w:sz="4" w:space="0" w:color="auto"/>
            </w:tcBorders>
            <w:noWrap/>
            <w:hideMark/>
          </w:tcPr>
          <w:p w14:paraId="0F9E544F" w14:textId="77777777" w:rsidR="00C20213" w:rsidRDefault="00C20213" w:rsidP="00D069E4">
            <w:pPr>
              <w:spacing w:line="276" w:lineRule="auto"/>
              <w:rPr>
                <w:color w:val="000000"/>
                <w:sz w:val="20"/>
                <w:szCs w:val="20"/>
                <w:lang w:eastAsia="en-US"/>
              </w:rPr>
            </w:pPr>
            <w:r>
              <w:rPr>
                <w:color w:val="000000"/>
                <w:sz w:val="20"/>
                <w:szCs w:val="20"/>
                <w:lang w:eastAsia="en-US"/>
              </w:rPr>
              <w:lastRenderedPageBreak/>
              <w:t>Risedronate and combinations</w:t>
            </w:r>
          </w:p>
        </w:tc>
        <w:tc>
          <w:tcPr>
            <w:tcW w:w="6662" w:type="dxa"/>
            <w:tcBorders>
              <w:top w:val="single" w:sz="4" w:space="0" w:color="auto"/>
              <w:left w:val="single" w:sz="4" w:space="0" w:color="auto"/>
              <w:bottom w:val="single" w:sz="4" w:space="0" w:color="auto"/>
              <w:right w:val="single" w:sz="4" w:space="0" w:color="auto"/>
            </w:tcBorders>
            <w:hideMark/>
          </w:tcPr>
          <w:p w14:paraId="4815101F"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glucocorticoid-induced osteoporosis. </w:t>
            </w:r>
            <w:r>
              <w:rPr>
                <w:rFonts w:eastAsia="Times New Roman" w:cs="Times New Roman"/>
                <w:color w:val="000000"/>
                <w:sz w:val="20"/>
                <w:szCs w:val="20"/>
                <w:lang w:eastAsia="en-US"/>
              </w:rPr>
              <w:br/>
            </w:r>
            <w:r>
              <w:rPr>
                <w:rFonts w:eastAsia="Times New Roman" w:cs="Times New Roman"/>
                <w:color w:val="000000"/>
                <w:sz w:val="20"/>
                <w:szCs w:val="20"/>
                <w:lang w:eastAsia="en-US"/>
              </w:rPr>
              <w:sym w:font="Symbol" w:char="F0B7"/>
            </w:r>
            <w:r>
              <w:rPr>
                <w:rFonts w:eastAsia="Times New Roman" w:cs="Times New Roman"/>
                <w:color w:val="000000"/>
                <w:sz w:val="20"/>
                <w:szCs w:val="20"/>
                <w:lang w:eastAsia="en-US"/>
              </w:rPr>
              <w:t xml:space="preserve"> Preservation of bone mineral density in patients on long term corticosteroid therapy. </w:t>
            </w:r>
          </w:p>
        </w:tc>
      </w:tr>
      <w:tr w:rsidR="00C20213" w14:paraId="6782561F" w14:textId="77777777" w:rsidTr="00D069E4">
        <w:trPr>
          <w:trHeight w:val="900"/>
        </w:trPr>
        <w:tc>
          <w:tcPr>
            <w:tcW w:w="2000" w:type="dxa"/>
            <w:tcBorders>
              <w:top w:val="single" w:sz="4" w:space="0" w:color="auto"/>
              <w:left w:val="single" w:sz="4" w:space="0" w:color="auto"/>
              <w:bottom w:val="single" w:sz="4" w:space="0" w:color="auto"/>
              <w:right w:val="single" w:sz="4" w:space="0" w:color="auto"/>
            </w:tcBorders>
            <w:noWrap/>
            <w:hideMark/>
          </w:tcPr>
          <w:p w14:paraId="218DA85E" w14:textId="77777777" w:rsidR="00C20213" w:rsidRDefault="00C20213" w:rsidP="00D069E4">
            <w:pPr>
              <w:spacing w:line="276" w:lineRule="auto"/>
              <w:rPr>
                <w:color w:val="000000"/>
                <w:sz w:val="20"/>
                <w:szCs w:val="20"/>
                <w:lang w:eastAsia="en-US"/>
              </w:rPr>
            </w:pPr>
            <w:r>
              <w:rPr>
                <w:color w:val="000000"/>
                <w:sz w:val="20"/>
                <w:szCs w:val="20"/>
                <w:lang w:eastAsia="en-US"/>
              </w:rPr>
              <w:t xml:space="preserve">Strontium ranelate </w:t>
            </w:r>
          </w:p>
        </w:tc>
        <w:tc>
          <w:tcPr>
            <w:tcW w:w="6662" w:type="dxa"/>
            <w:tcBorders>
              <w:top w:val="single" w:sz="4" w:space="0" w:color="auto"/>
              <w:left w:val="single" w:sz="4" w:space="0" w:color="auto"/>
              <w:bottom w:val="single" w:sz="4" w:space="0" w:color="auto"/>
              <w:right w:val="single" w:sz="4" w:space="0" w:color="auto"/>
            </w:tcBorders>
            <w:hideMark/>
          </w:tcPr>
          <w:p w14:paraId="5280CFD3" w14:textId="77777777" w:rsidR="00C20213" w:rsidRDefault="00C20213" w:rsidP="00D069E4">
            <w:pPr>
              <w:spacing w:after="0" w:line="276" w:lineRule="auto"/>
              <w:rPr>
                <w:rFonts w:eastAsia="Times New Roman" w:cs="Times New Roman"/>
                <w:color w:val="000000"/>
                <w:sz w:val="20"/>
                <w:szCs w:val="20"/>
                <w:lang w:eastAsia="en-US"/>
              </w:rPr>
            </w:pPr>
            <w:r>
              <w:rPr>
                <w:rFonts w:eastAsia="Times New Roman" w:cs="Times New Roman"/>
                <w:color w:val="000000"/>
                <w:sz w:val="20"/>
                <w:szCs w:val="20"/>
                <w:lang w:eastAsia="en-US"/>
              </w:rPr>
              <w:t xml:space="preserve">No longer registered in Australia. Previously used for: </w:t>
            </w:r>
          </w:p>
          <w:p w14:paraId="32B1BBE7"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severe (established) osteoporosis in postmenopausal women at high risk of fracture to reduce the risk of fracture.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severe (established) osteoporosis in men at increased risk of fracture.</w:t>
            </w:r>
          </w:p>
        </w:tc>
      </w:tr>
      <w:tr w:rsidR="00C20213" w14:paraId="29B94060" w14:textId="77777777" w:rsidTr="00D069E4">
        <w:trPr>
          <w:trHeight w:val="558"/>
        </w:trPr>
        <w:tc>
          <w:tcPr>
            <w:tcW w:w="2000" w:type="dxa"/>
            <w:tcBorders>
              <w:top w:val="single" w:sz="4" w:space="0" w:color="auto"/>
              <w:left w:val="single" w:sz="4" w:space="0" w:color="auto"/>
              <w:bottom w:val="single" w:sz="4" w:space="0" w:color="auto"/>
              <w:right w:val="single" w:sz="4" w:space="0" w:color="auto"/>
            </w:tcBorders>
            <w:noWrap/>
            <w:hideMark/>
          </w:tcPr>
          <w:p w14:paraId="0E2ECEDD" w14:textId="77777777" w:rsidR="00C20213" w:rsidRDefault="00C20213" w:rsidP="00D069E4">
            <w:pPr>
              <w:spacing w:line="276" w:lineRule="auto"/>
              <w:rPr>
                <w:color w:val="000000"/>
                <w:sz w:val="20"/>
                <w:szCs w:val="20"/>
                <w:lang w:eastAsia="en-US"/>
              </w:rPr>
            </w:pPr>
            <w:r>
              <w:rPr>
                <w:color w:val="000000"/>
                <w:sz w:val="20"/>
                <w:szCs w:val="20"/>
                <w:lang w:eastAsia="en-US"/>
              </w:rPr>
              <w:t>Teriparatide (RBE)</w:t>
            </w:r>
          </w:p>
        </w:tc>
        <w:tc>
          <w:tcPr>
            <w:tcW w:w="6662" w:type="dxa"/>
            <w:tcBorders>
              <w:top w:val="single" w:sz="4" w:space="0" w:color="auto"/>
              <w:left w:val="single" w:sz="4" w:space="0" w:color="auto"/>
              <w:bottom w:val="single" w:sz="4" w:space="0" w:color="auto"/>
              <w:right w:val="single" w:sz="4" w:space="0" w:color="auto"/>
            </w:tcBorders>
            <w:hideMark/>
          </w:tcPr>
          <w:p w14:paraId="34C2A178"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postmenopausal women and the treatment of primary osteoporosis in men when other agents are considered unsuitable and when there is a high risk of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associated with sustained systemic glucocorticoid therapy in women and men at high risk for fracture.</w:t>
            </w:r>
          </w:p>
        </w:tc>
      </w:tr>
      <w:tr w:rsidR="00C20213" w14:paraId="79D80EE6" w14:textId="77777777" w:rsidTr="00D069E4">
        <w:trPr>
          <w:trHeight w:val="2313"/>
        </w:trPr>
        <w:tc>
          <w:tcPr>
            <w:tcW w:w="2000" w:type="dxa"/>
            <w:tcBorders>
              <w:top w:val="single" w:sz="4" w:space="0" w:color="auto"/>
              <w:left w:val="single" w:sz="4" w:space="0" w:color="auto"/>
              <w:bottom w:val="single" w:sz="4" w:space="0" w:color="auto"/>
              <w:right w:val="single" w:sz="4" w:space="0" w:color="auto"/>
            </w:tcBorders>
            <w:noWrap/>
            <w:hideMark/>
          </w:tcPr>
          <w:p w14:paraId="42E77D2A" w14:textId="77777777" w:rsidR="00C20213" w:rsidRDefault="00C20213" w:rsidP="00D069E4">
            <w:pPr>
              <w:spacing w:line="276" w:lineRule="auto"/>
              <w:rPr>
                <w:color w:val="000000"/>
                <w:sz w:val="20"/>
                <w:szCs w:val="20"/>
                <w:lang w:eastAsia="en-US"/>
              </w:rPr>
            </w:pPr>
            <w:r>
              <w:rPr>
                <w:color w:val="000000"/>
                <w:sz w:val="20"/>
                <w:szCs w:val="20"/>
                <w:lang w:eastAsia="en-US"/>
              </w:rPr>
              <w:t>Zoledronic acid</w:t>
            </w:r>
          </w:p>
        </w:tc>
        <w:tc>
          <w:tcPr>
            <w:tcW w:w="6662" w:type="dxa"/>
            <w:tcBorders>
              <w:top w:val="single" w:sz="4" w:space="0" w:color="auto"/>
              <w:left w:val="single" w:sz="4" w:space="0" w:color="auto"/>
              <w:bottom w:val="single" w:sz="4" w:space="0" w:color="auto"/>
              <w:right w:val="single" w:sz="4" w:space="0" w:color="auto"/>
            </w:tcBorders>
            <w:hideMark/>
          </w:tcPr>
          <w:p w14:paraId="45B98960" w14:textId="77777777" w:rsidR="00C20213" w:rsidRDefault="00C20213" w:rsidP="00D069E4">
            <w:pPr>
              <w:spacing w:after="0"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postmenopausal women to reduce the incidence of hip, vertebral and non-vertebral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patients over 50 years of age with a history of at least one low trauma hip fracture, to reduce the incidence of further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increase bone mineral density in men with osteoporosis.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increase bone mineral density in patients with osteoporosis associated with long term glucocorticoid use.</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prevent glucocorticoid-induced bone mineral density loss. </w:t>
            </w:r>
          </w:p>
        </w:tc>
      </w:tr>
    </w:tbl>
    <w:p w14:paraId="0B810487" w14:textId="2A19355E" w:rsidR="00C20213" w:rsidRPr="00A719BA" w:rsidRDefault="00A719BA" w:rsidP="00C20213">
      <w:pPr>
        <w:rPr>
          <w:sz w:val="20"/>
          <w:szCs w:val="20"/>
        </w:rPr>
      </w:pPr>
      <w:r w:rsidRPr="00A719BA">
        <w:rPr>
          <w:sz w:val="20"/>
          <w:szCs w:val="20"/>
        </w:rPr>
        <w:t xml:space="preserve">*Some medicines have additional indications. See Product Information for details, available from the </w:t>
      </w:r>
      <w:hyperlink r:id="rId8" w:history="1">
        <w:r w:rsidRPr="00281E15">
          <w:rPr>
            <w:rStyle w:val="Hyperlink"/>
            <w:sz w:val="20"/>
            <w:szCs w:val="20"/>
          </w:rPr>
          <w:t>TGA (Product Information)</w:t>
        </w:r>
      </w:hyperlink>
    </w:p>
    <w:p w14:paraId="15E919C1" w14:textId="1B3BA560" w:rsidR="006B709B" w:rsidRDefault="006B709B" w:rsidP="00CF5E22">
      <w:pPr>
        <w:pStyle w:val="Heading2"/>
      </w:pPr>
      <w:r>
        <w:t>Dosage and administration</w:t>
      </w:r>
    </w:p>
    <w:p w14:paraId="51E22FB7" w14:textId="5118E942" w:rsidR="003370D0" w:rsidRDefault="003370D0" w:rsidP="00CF5E22">
      <w:pPr>
        <w:pStyle w:val="Tabletitle"/>
        <w:rPr>
          <w:highlight w:val="yellow"/>
        </w:rPr>
      </w:pPr>
      <w:r w:rsidRPr="009E5699">
        <w:t xml:space="preserve">Table </w:t>
      </w:r>
      <w:r w:rsidR="009E5699" w:rsidRPr="009E5699">
        <w:t>2</w:t>
      </w:r>
      <w:r w:rsidRPr="009E5699">
        <w:t xml:space="preserve">: </w:t>
      </w:r>
      <w:r w:rsidR="009E5699" w:rsidRPr="009E5699">
        <w:t>Route and frequency of administration of osteoporosis medicines</w:t>
      </w:r>
    </w:p>
    <w:tbl>
      <w:tblPr>
        <w:tblW w:w="7528" w:type="dxa"/>
        <w:tblInd w:w="93" w:type="dxa"/>
        <w:tblLook w:val="04A0" w:firstRow="1" w:lastRow="0" w:firstColumn="1" w:lastColumn="0" w:noHBand="0" w:noVBand="1"/>
        <w:tblCaption w:val="Table 2: Route and frequency of administration of osteoporosis medicines"/>
      </w:tblPr>
      <w:tblGrid>
        <w:gridCol w:w="4410"/>
        <w:gridCol w:w="3118"/>
      </w:tblGrid>
      <w:tr w:rsidR="009E5699" w14:paraId="016EA6A5" w14:textId="77777777" w:rsidTr="00D069E4">
        <w:trPr>
          <w:trHeight w:val="20"/>
        </w:trPr>
        <w:tc>
          <w:tcPr>
            <w:tcW w:w="4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0C53E1" w14:textId="77777777" w:rsidR="009E5699" w:rsidRDefault="009E5699" w:rsidP="00D069E4">
            <w:pPr>
              <w:pStyle w:val="Tablewriting"/>
              <w:spacing w:before="0" w:after="0" w:line="276" w:lineRule="auto"/>
              <w:rPr>
                <w:b/>
                <w:lang w:eastAsia="en-US"/>
              </w:rPr>
            </w:pPr>
            <w:r>
              <w:rPr>
                <w:b/>
                <w:lang w:val="en-US" w:eastAsia="en-US"/>
              </w:rPr>
              <w:t>Generic Name</w:t>
            </w:r>
          </w:p>
        </w:tc>
        <w:tc>
          <w:tcPr>
            <w:tcW w:w="3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FA9D3B" w14:textId="77777777" w:rsidR="009E5699" w:rsidRDefault="009E5699" w:rsidP="00D069E4">
            <w:pPr>
              <w:pStyle w:val="Tablewriting"/>
              <w:spacing w:before="0" w:after="0" w:line="276" w:lineRule="auto"/>
              <w:rPr>
                <w:b/>
                <w:lang w:eastAsia="en-US"/>
              </w:rPr>
            </w:pPr>
            <w:r>
              <w:rPr>
                <w:b/>
                <w:lang w:val="en-US" w:eastAsia="en-US"/>
              </w:rPr>
              <w:t>Route and frequency of administration</w:t>
            </w:r>
          </w:p>
        </w:tc>
      </w:tr>
      <w:tr w:rsidR="009E5699" w14:paraId="4E758558"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0CFBC2FD" w14:textId="77777777" w:rsidR="009E5699" w:rsidRDefault="009E5699" w:rsidP="00D069E4">
            <w:pPr>
              <w:pStyle w:val="Tablewriting"/>
              <w:spacing w:before="0" w:after="0" w:line="276" w:lineRule="auto"/>
              <w:rPr>
                <w:lang w:eastAsia="en-US"/>
              </w:rPr>
            </w:pPr>
            <w:r>
              <w:rPr>
                <w:lang w:eastAsia="en-US"/>
              </w:rPr>
              <w:t>Alendronate and combinations (alendronate with colecalciferol; alendronate with colecalciferol and calcium carbonate)</w:t>
            </w:r>
          </w:p>
        </w:tc>
        <w:tc>
          <w:tcPr>
            <w:tcW w:w="3118" w:type="dxa"/>
            <w:tcBorders>
              <w:top w:val="nil"/>
              <w:left w:val="nil"/>
              <w:bottom w:val="single" w:sz="4" w:space="0" w:color="auto"/>
              <w:right w:val="single" w:sz="4" w:space="0" w:color="auto"/>
            </w:tcBorders>
            <w:vAlign w:val="center"/>
            <w:hideMark/>
          </w:tcPr>
          <w:p w14:paraId="31741C7C" w14:textId="77777777" w:rsidR="009E5699" w:rsidRDefault="009E5699" w:rsidP="00D069E4">
            <w:pPr>
              <w:pStyle w:val="Tablewriting"/>
              <w:spacing w:before="0" w:after="0" w:line="276" w:lineRule="auto"/>
              <w:rPr>
                <w:lang w:eastAsia="en-US"/>
              </w:rPr>
            </w:pPr>
            <w:r>
              <w:rPr>
                <w:lang w:val="en" w:eastAsia="en-US"/>
              </w:rPr>
              <w:t>Oral; weekly</w:t>
            </w:r>
          </w:p>
        </w:tc>
      </w:tr>
      <w:tr w:rsidR="009E5699" w14:paraId="1860F7AD"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0D895D52" w14:textId="77777777" w:rsidR="009E5699" w:rsidRDefault="009E5699" w:rsidP="00D069E4">
            <w:pPr>
              <w:pStyle w:val="Tablewriting"/>
              <w:spacing w:before="0" w:after="0" w:line="276" w:lineRule="auto"/>
              <w:rPr>
                <w:lang w:eastAsia="en-US"/>
              </w:rPr>
            </w:pPr>
            <w:r>
              <w:rPr>
                <w:lang w:eastAsia="en-US"/>
              </w:rPr>
              <w:t>Calcitriol</w:t>
            </w:r>
          </w:p>
        </w:tc>
        <w:tc>
          <w:tcPr>
            <w:tcW w:w="3118" w:type="dxa"/>
            <w:tcBorders>
              <w:top w:val="nil"/>
              <w:left w:val="nil"/>
              <w:bottom w:val="single" w:sz="4" w:space="0" w:color="auto"/>
              <w:right w:val="single" w:sz="4" w:space="0" w:color="auto"/>
            </w:tcBorders>
            <w:vAlign w:val="center"/>
            <w:hideMark/>
          </w:tcPr>
          <w:p w14:paraId="69CDD493" w14:textId="77777777" w:rsidR="009E5699" w:rsidRDefault="009E5699" w:rsidP="00D069E4">
            <w:pPr>
              <w:pStyle w:val="Tablewriting"/>
              <w:spacing w:before="0" w:after="0" w:line="276" w:lineRule="auto"/>
              <w:rPr>
                <w:lang w:eastAsia="en-US"/>
              </w:rPr>
            </w:pPr>
            <w:r>
              <w:rPr>
                <w:lang w:val="en" w:eastAsia="en-US"/>
              </w:rPr>
              <w:t>Oral; twice daily</w:t>
            </w:r>
          </w:p>
        </w:tc>
      </w:tr>
      <w:tr w:rsidR="009E5699" w14:paraId="089937B2"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5B0A6D61" w14:textId="77777777" w:rsidR="009E5699" w:rsidRDefault="009E5699" w:rsidP="00D069E4">
            <w:pPr>
              <w:pStyle w:val="Tablewriting"/>
              <w:spacing w:before="0" w:after="0" w:line="276" w:lineRule="auto"/>
              <w:rPr>
                <w:lang w:eastAsia="en-US"/>
              </w:rPr>
            </w:pPr>
            <w:r>
              <w:rPr>
                <w:lang w:eastAsia="en-US"/>
              </w:rPr>
              <w:t>Denosumab</w:t>
            </w:r>
          </w:p>
        </w:tc>
        <w:tc>
          <w:tcPr>
            <w:tcW w:w="3118" w:type="dxa"/>
            <w:tcBorders>
              <w:top w:val="nil"/>
              <w:left w:val="nil"/>
              <w:bottom w:val="single" w:sz="4" w:space="0" w:color="auto"/>
              <w:right w:val="single" w:sz="4" w:space="0" w:color="auto"/>
            </w:tcBorders>
            <w:vAlign w:val="center"/>
            <w:hideMark/>
          </w:tcPr>
          <w:p w14:paraId="3A1311A8" w14:textId="77777777" w:rsidR="009E5699" w:rsidRDefault="009E5699" w:rsidP="00D069E4">
            <w:pPr>
              <w:pStyle w:val="Tablewriting"/>
              <w:spacing w:before="0" w:after="0" w:line="276" w:lineRule="auto"/>
              <w:rPr>
                <w:lang w:eastAsia="en-US"/>
              </w:rPr>
            </w:pPr>
            <w:r>
              <w:rPr>
                <w:lang w:val="en-US" w:eastAsia="en-US"/>
              </w:rPr>
              <w:t>Subcutaneous injection; once every six months</w:t>
            </w:r>
          </w:p>
        </w:tc>
      </w:tr>
      <w:tr w:rsidR="009E5699" w14:paraId="0EB2714D"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78FA5D16" w14:textId="77777777" w:rsidR="009E5699" w:rsidRDefault="009E5699" w:rsidP="00D069E4">
            <w:pPr>
              <w:pStyle w:val="Tablewriting"/>
              <w:spacing w:before="0" w:after="0" w:line="276" w:lineRule="auto"/>
              <w:rPr>
                <w:lang w:eastAsia="en-US"/>
              </w:rPr>
            </w:pPr>
            <w:r>
              <w:rPr>
                <w:lang w:eastAsia="en-US"/>
              </w:rPr>
              <w:t>Raloxifene</w:t>
            </w:r>
          </w:p>
        </w:tc>
        <w:tc>
          <w:tcPr>
            <w:tcW w:w="3118" w:type="dxa"/>
            <w:tcBorders>
              <w:top w:val="nil"/>
              <w:left w:val="nil"/>
              <w:bottom w:val="single" w:sz="4" w:space="0" w:color="auto"/>
              <w:right w:val="single" w:sz="4" w:space="0" w:color="auto"/>
            </w:tcBorders>
            <w:vAlign w:val="center"/>
            <w:hideMark/>
          </w:tcPr>
          <w:p w14:paraId="37D20263" w14:textId="77777777" w:rsidR="009E5699" w:rsidRDefault="009E5699" w:rsidP="00D069E4">
            <w:pPr>
              <w:pStyle w:val="Tablewriting"/>
              <w:spacing w:before="0" w:after="0" w:line="276" w:lineRule="auto"/>
              <w:rPr>
                <w:lang w:eastAsia="en-US"/>
              </w:rPr>
            </w:pPr>
            <w:r>
              <w:rPr>
                <w:lang w:val="en" w:eastAsia="en-US"/>
              </w:rPr>
              <w:t>Oral; daily</w:t>
            </w:r>
          </w:p>
        </w:tc>
      </w:tr>
      <w:tr w:rsidR="009E5699" w14:paraId="28EB90FA"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6EB14893" w14:textId="77777777" w:rsidR="009E5699" w:rsidRDefault="009E5699" w:rsidP="00D069E4">
            <w:pPr>
              <w:pStyle w:val="Tablewriting"/>
              <w:spacing w:before="0" w:after="0" w:line="276" w:lineRule="auto"/>
              <w:rPr>
                <w:lang w:eastAsia="en-US"/>
              </w:rPr>
            </w:pPr>
            <w:r>
              <w:rPr>
                <w:lang w:eastAsia="en-US"/>
              </w:rPr>
              <w:t>Risedronate and combinations (risedronate and calcium carbonate)</w:t>
            </w:r>
          </w:p>
        </w:tc>
        <w:tc>
          <w:tcPr>
            <w:tcW w:w="3118" w:type="dxa"/>
            <w:tcBorders>
              <w:top w:val="nil"/>
              <w:left w:val="nil"/>
              <w:bottom w:val="single" w:sz="4" w:space="0" w:color="auto"/>
              <w:right w:val="single" w:sz="4" w:space="0" w:color="auto"/>
            </w:tcBorders>
            <w:vAlign w:val="center"/>
            <w:hideMark/>
          </w:tcPr>
          <w:p w14:paraId="223A12AF" w14:textId="77777777" w:rsidR="009E5699" w:rsidRDefault="009E5699" w:rsidP="00D069E4">
            <w:pPr>
              <w:pStyle w:val="Tablewriting"/>
              <w:spacing w:before="0" w:after="0" w:line="276" w:lineRule="auto"/>
              <w:rPr>
                <w:lang w:eastAsia="en-US"/>
              </w:rPr>
            </w:pPr>
            <w:r>
              <w:rPr>
                <w:lang w:val="en" w:eastAsia="en-US"/>
              </w:rPr>
              <w:t>Oral; daily, weekly or monthly</w:t>
            </w:r>
          </w:p>
        </w:tc>
      </w:tr>
      <w:tr w:rsidR="009E5699" w14:paraId="48A41D16"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702592A5" w14:textId="77777777" w:rsidR="009E5699" w:rsidRDefault="009E5699" w:rsidP="00D069E4">
            <w:pPr>
              <w:pStyle w:val="Tablewriting"/>
              <w:spacing w:before="0" w:after="0" w:line="276" w:lineRule="auto"/>
              <w:rPr>
                <w:lang w:eastAsia="en-US"/>
              </w:rPr>
            </w:pPr>
            <w:r>
              <w:rPr>
                <w:lang w:eastAsia="en-US"/>
              </w:rPr>
              <w:t>Strontium ranelate</w:t>
            </w:r>
          </w:p>
        </w:tc>
        <w:tc>
          <w:tcPr>
            <w:tcW w:w="3118" w:type="dxa"/>
            <w:tcBorders>
              <w:top w:val="nil"/>
              <w:left w:val="nil"/>
              <w:bottom w:val="single" w:sz="4" w:space="0" w:color="auto"/>
              <w:right w:val="single" w:sz="4" w:space="0" w:color="auto"/>
            </w:tcBorders>
            <w:vAlign w:val="center"/>
            <w:hideMark/>
          </w:tcPr>
          <w:p w14:paraId="6C77BD3F" w14:textId="77777777" w:rsidR="009E5699" w:rsidRDefault="009E5699" w:rsidP="00D069E4">
            <w:pPr>
              <w:pStyle w:val="Tablewriting"/>
              <w:spacing w:before="0" w:after="0" w:line="276" w:lineRule="auto"/>
              <w:rPr>
                <w:lang w:eastAsia="en-US"/>
              </w:rPr>
            </w:pPr>
            <w:r>
              <w:rPr>
                <w:lang w:val="en" w:eastAsia="en-US"/>
              </w:rPr>
              <w:t>No longer registered in Australia.</w:t>
            </w:r>
          </w:p>
        </w:tc>
      </w:tr>
      <w:tr w:rsidR="009E5699" w14:paraId="7CEBA80C"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5AFCB0EE" w14:textId="77777777" w:rsidR="009E5699" w:rsidRDefault="009E5699" w:rsidP="00D069E4">
            <w:pPr>
              <w:pStyle w:val="Tablewriting"/>
              <w:spacing w:before="0" w:after="0" w:line="276" w:lineRule="auto"/>
              <w:rPr>
                <w:lang w:eastAsia="en-US"/>
              </w:rPr>
            </w:pPr>
            <w:r>
              <w:rPr>
                <w:lang w:eastAsia="en-US"/>
              </w:rPr>
              <w:t>Teriparatide (RBE)</w:t>
            </w:r>
          </w:p>
        </w:tc>
        <w:tc>
          <w:tcPr>
            <w:tcW w:w="3118" w:type="dxa"/>
            <w:tcBorders>
              <w:top w:val="nil"/>
              <w:left w:val="nil"/>
              <w:bottom w:val="single" w:sz="4" w:space="0" w:color="auto"/>
              <w:right w:val="single" w:sz="4" w:space="0" w:color="auto"/>
            </w:tcBorders>
            <w:vAlign w:val="center"/>
            <w:hideMark/>
          </w:tcPr>
          <w:p w14:paraId="2B1C6F6E" w14:textId="77777777" w:rsidR="009E5699" w:rsidRDefault="009E5699" w:rsidP="00D069E4">
            <w:pPr>
              <w:pStyle w:val="Tablewriting"/>
              <w:spacing w:before="0" w:after="0" w:line="276" w:lineRule="auto"/>
              <w:rPr>
                <w:lang w:eastAsia="en-US"/>
              </w:rPr>
            </w:pPr>
            <w:r>
              <w:rPr>
                <w:lang w:val="en-US" w:eastAsia="en-US"/>
              </w:rPr>
              <w:t>Subcutaneous injection; daily. Max 18 months</w:t>
            </w:r>
          </w:p>
        </w:tc>
      </w:tr>
      <w:tr w:rsidR="009E5699" w14:paraId="7EA38DA6" w14:textId="77777777" w:rsidTr="00D069E4">
        <w:trPr>
          <w:trHeight w:val="20"/>
        </w:trPr>
        <w:tc>
          <w:tcPr>
            <w:tcW w:w="4410" w:type="dxa"/>
            <w:tcBorders>
              <w:top w:val="nil"/>
              <w:left w:val="single" w:sz="4" w:space="0" w:color="auto"/>
              <w:bottom w:val="single" w:sz="4" w:space="0" w:color="auto"/>
              <w:right w:val="single" w:sz="4" w:space="0" w:color="auto"/>
            </w:tcBorders>
            <w:vAlign w:val="center"/>
            <w:hideMark/>
          </w:tcPr>
          <w:p w14:paraId="779AD36F" w14:textId="77777777" w:rsidR="009E5699" w:rsidRDefault="009E5699" w:rsidP="00D069E4">
            <w:pPr>
              <w:pStyle w:val="Tablewriting"/>
              <w:spacing w:before="0" w:after="0" w:line="276" w:lineRule="auto"/>
              <w:rPr>
                <w:lang w:eastAsia="en-US"/>
              </w:rPr>
            </w:pPr>
            <w:r>
              <w:rPr>
                <w:lang w:eastAsia="en-US"/>
              </w:rPr>
              <w:t>Zoledronic acid</w:t>
            </w:r>
          </w:p>
        </w:tc>
        <w:tc>
          <w:tcPr>
            <w:tcW w:w="3118" w:type="dxa"/>
            <w:tcBorders>
              <w:top w:val="nil"/>
              <w:left w:val="nil"/>
              <w:bottom w:val="single" w:sz="4" w:space="0" w:color="auto"/>
              <w:right w:val="single" w:sz="4" w:space="0" w:color="auto"/>
            </w:tcBorders>
            <w:vAlign w:val="center"/>
            <w:hideMark/>
          </w:tcPr>
          <w:p w14:paraId="09AE4BEE" w14:textId="77777777" w:rsidR="009E5699" w:rsidRDefault="009E5699" w:rsidP="00D069E4">
            <w:pPr>
              <w:pStyle w:val="Tablewriting"/>
              <w:spacing w:before="0" w:after="0" w:line="276" w:lineRule="auto"/>
              <w:rPr>
                <w:lang w:eastAsia="en-US"/>
              </w:rPr>
            </w:pPr>
            <w:r>
              <w:rPr>
                <w:lang w:val="en" w:eastAsia="en-US"/>
              </w:rPr>
              <w:t>IV infusion; once per year</w:t>
            </w:r>
          </w:p>
        </w:tc>
      </w:tr>
    </w:tbl>
    <w:p w14:paraId="08559CD9" w14:textId="71BC248D" w:rsidR="00A35800" w:rsidRPr="00A35800" w:rsidRDefault="00A35800" w:rsidP="00A35800">
      <w:pPr>
        <w:pStyle w:val="Notes"/>
        <w:rPr>
          <w:highlight w:val="yellow"/>
        </w:rPr>
      </w:pPr>
    </w:p>
    <w:p w14:paraId="6682A05C" w14:textId="77777777" w:rsidR="00F17D4B" w:rsidRPr="002F61CA" w:rsidRDefault="00F17D4B" w:rsidP="00F17D4B">
      <w:r w:rsidRPr="002F61CA">
        <w:lastRenderedPageBreak/>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46E2BB42" w14:textId="38F8872B" w:rsidR="00DF0B13" w:rsidRPr="007247B9" w:rsidDel="00EE2BBB" w:rsidRDefault="00DF0B13" w:rsidP="00CF5E22">
      <w:pPr>
        <w:pStyle w:val="Heading2"/>
      </w:pPr>
      <w:r w:rsidRPr="007247B9" w:rsidDel="00EE2BBB">
        <w:t>PBS listing details</w:t>
      </w:r>
      <w:r w:rsidR="00D151EB" w:rsidDel="00EE2BBB">
        <w:t xml:space="preserve"> (as at </w:t>
      </w:r>
      <w:r w:rsidR="00EA57EB">
        <w:t>August 2020</w:t>
      </w:r>
      <w:r w:rsidR="00D151EB" w:rsidDel="00EE2BBB">
        <w:t>)</w:t>
      </w:r>
    </w:p>
    <w:p w14:paraId="76C5F4C2" w14:textId="77777777" w:rsidR="00AB4E5D" w:rsidRDefault="00AB4E5D" w:rsidP="00CF5E22">
      <w:pPr>
        <w:pStyle w:val="Tabletitle"/>
        <w:rPr>
          <w:b w:val="0"/>
        </w:rPr>
      </w:pPr>
      <w:r w:rsidRPr="00AB4E5D">
        <w:rPr>
          <w:b w:val="0"/>
        </w:rPr>
        <w:t>Table 3 provides an overview of the PBS restrictions for osteoporosis medicines.</w:t>
      </w:r>
    </w:p>
    <w:p w14:paraId="1D47784A" w14:textId="4DF87D2B" w:rsidR="001420B3" w:rsidRDefault="001420B3" w:rsidP="00CF5E22">
      <w:pPr>
        <w:pStyle w:val="Tabletitle"/>
      </w:pPr>
      <w:r w:rsidRPr="001420B3" w:rsidDel="00EE2BBB">
        <w:t xml:space="preserve">Table </w:t>
      </w:r>
      <w:r w:rsidR="00AB4E5D">
        <w:t>3</w:t>
      </w:r>
      <w:r w:rsidRPr="001420B3" w:rsidDel="00EE2BBB">
        <w:t xml:space="preserve">: </w:t>
      </w:r>
      <w:r w:rsidR="004D0DEA">
        <w:t xml:space="preserve">Summarised </w:t>
      </w:r>
      <w:r w:rsidR="009663B6" w:rsidDel="00EE2BBB">
        <w:t>PB</w:t>
      </w:r>
      <w:r w:rsidR="00D151EB" w:rsidDel="00EE2BBB">
        <w:t xml:space="preserve">S </w:t>
      </w:r>
      <w:r w:rsidR="004D0DEA">
        <w:t>restrictions as at August 2020</w:t>
      </w:r>
    </w:p>
    <w:tbl>
      <w:tblPr>
        <w:tblW w:w="9165" w:type="dxa"/>
        <w:tblInd w:w="93" w:type="dxa"/>
        <w:tblLayout w:type="fixed"/>
        <w:tblLook w:val="04A0" w:firstRow="1" w:lastRow="0" w:firstColumn="1" w:lastColumn="0" w:noHBand="0" w:noVBand="1"/>
        <w:tblCaption w:val="Table 4: Summarised PBS restrictions"/>
      </w:tblPr>
      <w:tblGrid>
        <w:gridCol w:w="2301"/>
        <w:gridCol w:w="1248"/>
        <w:gridCol w:w="1248"/>
        <w:gridCol w:w="1248"/>
        <w:gridCol w:w="1872"/>
        <w:gridCol w:w="1248"/>
      </w:tblGrid>
      <w:tr w:rsidR="004D0DEA" w14:paraId="5F1F9286" w14:textId="77777777" w:rsidTr="001E628E">
        <w:trPr>
          <w:trHeight w:val="567"/>
        </w:trPr>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82D9317" w14:textId="77777777" w:rsidR="004D0DEA" w:rsidRPr="00CB16AC" w:rsidRDefault="004D0DEA" w:rsidP="00D069E4">
            <w:pPr>
              <w:pStyle w:val="Tablewriting"/>
              <w:spacing w:before="0" w:after="0" w:line="276" w:lineRule="auto"/>
              <w:rPr>
                <w:b/>
                <w:lang w:val="en-US" w:eastAsia="en-US"/>
              </w:rPr>
            </w:pPr>
            <w:r>
              <w:rPr>
                <w:b/>
                <w:lang w:val="en-US" w:eastAsia="en-US"/>
              </w:rPr>
              <w:t>Active ingredient</w:t>
            </w:r>
          </w:p>
        </w:tc>
        <w:tc>
          <w:tcPr>
            <w:tcW w:w="124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70AC9A" w14:textId="77777777" w:rsidR="004D0DEA" w:rsidRPr="00CB16AC" w:rsidRDefault="004D0DEA" w:rsidP="00D069E4">
            <w:pPr>
              <w:pStyle w:val="Tablewriting"/>
              <w:spacing w:before="0" w:after="0" w:line="276" w:lineRule="auto"/>
              <w:rPr>
                <w:b/>
                <w:lang w:val="en-US" w:eastAsia="en-US"/>
              </w:rPr>
            </w:pPr>
            <w:r w:rsidRPr="00CB16AC">
              <w:rPr>
                <w:b/>
                <w:lang w:val="en-US" w:eastAsia="en-US"/>
              </w:rPr>
              <w:t>Minimal trauma</w:t>
            </w:r>
          </w:p>
        </w:tc>
        <w:tc>
          <w:tcPr>
            <w:tcW w:w="124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89A6237" w14:textId="77777777" w:rsidR="004D0DEA" w:rsidRPr="00CB16AC" w:rsidRDefault="004D0DEA" w:rsidP="00D069E4">
            <w:pPr>
              <w:pStyle w:val="Tablewriting"/>
              <w:spacing w:before="0" w:after="0" w:line="276" w:lineRule="auto"/>
              <w:rPr>
                <w:b/>
                <w:lang w:val="en-US" w:eastAsia="en-US"/>
              </w:rPr>
            </w:pPr>
            <w:r w:rsidRPr="00CB16AC">
              <w:rPr>
                <w:b/>
                <w:lang w:val="en-US" w:eastAsia="en-US"/>
              </w:rPr>
              <w:t>BMD -3.0 or less</w:t>
            </w:r>
          </w:p>
        </w:tc>
        <w:tc>
          <w:tcPr>
            <w:tcW w:w="124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B6C2C0" w14:textId="77777777" w:rsidR="004D0DEA" w:rsidRPr="00CB16AC" w:rsidRDefault="004D0DEA" w:rsidP="00D069E4">
            <w:pPr>
              <w:pStyle w:val="Tablewriting"/>
              <w:spacing w:before="0" w:after="0" w:line="276" w:lineRule="auto"/>
              <w:rPr>
                <w:b/>
                <w:lang w:val="en-US" w:eastAsia="en-US"/>
              </w:rPr>
            </w:pPr>
            <w:r w:rsidRPr="00CB16AC">
              <w:rPr>
                <w:b/>
                <w:lang w:val="en-US" w:eastAsia="en-US"/>
              </w:rPr>
              <w:t>BMD -2.5 or less</w:t>
            </w:r>
          </w:p>
        </w:tc>
        <w:tc>
          <w:tcPr>
            <w:tcW w:w="18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5A39BC" w14:textId="77777777" w:rsidR="004D0DEA" w:rsidRPr="00CB16AC" w:rsidRDefault="004D0DEA" w:rsidP="00D069E4">
            <w:pPr>
              <w:pStyle w:val="Tablewriting"/>
              <w:spacing w:before="0" w:after="0" w:line="276" w:lineRule="auto"/>
              <w:rPr>
                <w:b/>
                <w:lang w:val="en-US" w:eastAsia="en-US"/>
              </w:rPr>
            </w:pPr>
            <w:r w:rsidRPr="00CB16AC">
              <w:rPr>
                <w:b/>
                <w:lang w:val="en-US" w:eastAsia="en-US"/>
              </w:rPr>
              <w:t>Corticosteroid-induced</w:t>
            </w:r>
          </w:p>
        </w:tc>
        <w:tc>
          <w:tcPr>
            <w:tcW w:w="124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365B00C" w14:textId="77777777" w:rsidR="004D0DEA" w:rsidRPr="00CB16AC" w:rsidRDefault="004D0DEA" w:rsidP="00D069E4">
            <w:pPr>
              <w:pStyle w:val="Tablewriting"/>
              <w:spacing w:before="0" w:after="0" w:line="276" w:lineRule="auto"/>
              <w:rPr>
                <w:b/>
                <w:lang w:val="en-US" w:eastAsia="en-US"/>
              </w:rPr>
            </w:pPr>
            <w:r w:rsidRPr="00CB16AC">
              <w:rPr>
                <w:b/>
                <w:lang w:val="en-US" w:eastAsia="en-US"/>
              </w:rPr>
              <w:t>Men</w:t>
            </w:r>
          </w:p>
        </w:tc>
      </w:tr>
      <w:tr w:rsidR="004D0DEA" w14:paraId="29EDF724" w14:textId="77777777" w:rsidTr="001E628E">
        <w:trPr>
          <w:trHeight w:val="570"/>
        </w:trPr>
        <w:tc>
          <w:tcPr>
            <w:tcW w:w="2301" w:type="dxa"/>
            <w:tcBorders>
              <w:top w:val="nil"/>
              <w:left w:val="single" w:sz="4" w:space="0" w:color="auto"/>
              <w:bottom w:val="single" w:sz="4" w:space="0" w:color="auto"/>
              <w:right w:val="single" w:sz="4" w:space="0" w:color="auto"/>
            </w:tcBorders>
            <w:vAlign w:val="center"/>
            <w:hideMark/>
          </w:tcPr>
          <w:p w14:paraId="59451A89" w14:textId="77777777" w:rsidR="004D0DEA" w:rsidRPr="008153DD" w:rsidRDefault="004D0DEA" w:rsidP="00D069E4">
            <w:pPr>
              <w:pStyle w:val="Tablewriting"/>
              <w:spacing w:before="0" w:after="0" w:line="276" w:lineRule="auto"/>
              <w:rPr>
                <w:lang w:eastAsia="en-US"/>
              </w:rPr>
            </w:pPr>
            <w:r w:rsidRPr="008153DD">
              <w:rPr>
                <w:lang w:eastAsia="en-US"/>
              </w:rPr>
              <w:t>Alendronate and combinations</w:t>
            </w:r>
          </w:p>
        </w:tc>
        <w:tc>
          <w:tcPr>
            <w:tcW w:w="1248" w:type="dxa"/>
            <w:tcBorders>
              <w:top w:val="nil"/>
              <w:left w:val="nil"/>
              <w:bottom w:val="single" w:sz="4" w:space="0" w:color="auto"/>
              <w:right w:val="single" w:sz="4" w:space="0" w:color="auto"/>
            </w:tcBorders>
            <w:noWrap/>
            <w:vAlign w:val="center"/>
            <w:hideMark/>
          </w:tcPr>
          <w:p w14:paraId="4B17DD4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6D90A8A9"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61A33A41"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4DFEA7F4"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D7E1B6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5DE3F8CF"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292EE6D0" w14:textId="77777777" w:rsidR="004D0DEA" w:rsidRPr="008153DD" w:rsidRDefault="004D0DEA" w:rsidP="00D069E4">
            <w:pPr>
              <w:pStyle w:val="Tablewriting"/>
              <w:spacing w:before="0" w:after="0" w:line="276" w:lineRule="auto"/>
              <w:rPr>
                <w:lang w:eastAsia="en-US"/>
              </w:rPr>
            </w:pPr>
            <w:r w:rsidRPr="008153DD">
              <w:rPr>
                <w:lang w:eastAsia="en-US"/>
              </w:rPr>
              <w:t>Calcitriol</w:t>
            </w:r>
          </w:p>
        </w:tc>
        <w:tc>
          <w:tcPr>
            <w:tcW w:w="1248" w:type="dxa"/>
            <w:tcBorders>
              <w:top w:val="nil"/>
              <w:left w:val="nil"/>
              <w:bottom w:val="single" w:sz="4" w:space="0" w:color="auto"/>
              <w:right w:val="single" w:sz="4" w:space="0" w:color="auto"/>
            </w:tcBorders>
            <w:noWrap/>
            <w:vAlign w:val="center"/>
            <w:hideMark/>
          </w:tcPr>
          <w:p w14:paraId="07597F0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0F6ACB45"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0F04D17D"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46E55D7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683F426B"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30409448"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0DCCF34C" w14:textId="77777777" w:rsidR="004D0DEA" w:rsidRPr="008153DD" w:rsidRDefault="004D0DEA" w:rsidP="00D069E4">
            <w:pPr>
              <w:pStyle w:val="Tablewriting"/>
              <w:spacing w:before="0" w:after="0" w:line="276" w:lineRule="auto"/>
              <w:rPr>
                <w:lang w:eastAsia="en-US"/>
              </w:rPr>
            </w:pPr>
            <w:r w:rsidRPr="008153DD">
              <w:rPr>
                <w:lang w:eastAsia="en-US"/>
              </w:rPr>
              <w:t>Denosumab</w:t>
            </w:r>
          </w:p>
        </w:tc>
        <w:tc>
          <w:tcPr>
            <w:tcW w:w="1248" w:type="dxa"/>
            <w:tcBorders>
              <w:top w:val="nil"/>
              <w:left w:val="nil"/>
              <w:bottom w:val="single" w:sz="4" w:space="0" w:color="auto"/>
              <w:right w:val="single" w:sz="4" w:space="0" w:color="auto"/>
            </w:tcBorders>
            <w:noWrap/>
            <w:vAlign w:val="center"/>
            <w:hideMark/>
          </w:tcPr>
          <w:p w14:paraId="0A9E52C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76DA3730"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2C8434A9"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66E4F38F"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7860AFAE"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7B282310"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3885618D" w14:textId="77777777" w:rsidR="004D0DEA" w:rsidRPr="008153DD" w:rsidRDefault="004D0DEA" w:rsidP="00D069E4">
            <w:pPr>
              <w:pStyle w:val="Tablewriting"/>
              <w:spacing w:before="0" w:after="0" w:line="276" w:lineRule="auto"/>
              <w:rPr>
                <w:lang w:eastAsia="en-US"/>
              </w:rPr>
            </w:pPr>
            <w:r w:rsidRPr="008153DD">
              <w:rPr>
                <w:lang w:eastAsia="en-US"/>
              </w:rPr>
              <w:t>Raloxifene</w:t>
            </w:r>
          </w:p>
        </w:tc>
        <w:tc>
          <w:tcPr>
            <w:tcW w:w="1248" w:type="dxa"/>
            <w:tcBorders>
              <w:top w:val="nil"/>
              <w:left w:val="nil"/>
              <w:bottom w:val="single" w:sz="4" w:space="0" w:color="auto"/>
              <w:right w:val="single" w:sz="4" w:space="0" w:color="auto"/>
            </w:tcBorders>
            <w:noWrap/>
            <w:vAlign w:val="center"/>
            <w:hideMark/>
          </w:tcPr>
          <w:p w14:paraId="6FFC3E6E"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AF3E47E"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9918A38"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1F705505"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37A7004"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66D673B1" w14:textId="77777777" w:rsidTr="001E628E">
        <w:trPr>
          <w:trHeight w:val="570"/>
        </w:trPr>
        <w:tc>
          <w:tcPr>
            <w:tcW w:w="2301" w:type="dxa"/>
            <w:tcBorders>
              <w:top w:val="nil"/>
              <w:left w:val="single" w:sz="4" w:space="0" w:color="auto"/>
              <w:bottom w:val="single" w:sz="4" w:space="0" w:color="auto"/>
              <w:right w:val="single" w:sz="4" w:space="0" w:color="auto"/>
            </w:tcBorders>
            <w:vAlign w:val="center"/>
            <w:hideMark/>
          </w:tcPr>
          <w:p w14:paraId="4DD6264E" w14:textId="77777777" w:rsidR="004D0DEA" w:rsidRPr="008153DD" w:rsidRDefault="004D0DEA" w:rsidP="00D069E4">
            <w:pPr>
              <w:pStyle w:val="Tablewriting"/>
              <w:spacing w:before="0" w:after="0" w:line="276" w:lineRule="auto"/>
              <w:rPr>
                <w:lang w:eastAsia="en-US"/>
              </w:rPr>
            </w:pPr>
            <w:r w:rsidRPr="008153DD">
              <w:rPr>
                <w:lang w:eastAsia="en-US"/>
              </w:rPr>
              <w:t>Risedronate and combinations</w:t>
            </w:r>
          </w:p>
        </w:tc>
        <w:tc>
          <w:tcPr>
            <w:tcW w:w="1248" w:type="dxa"/>
            <w:tcBorders>
              <w:top w:val="nil"/>
              <w:left w:val="nil"/>
              <w:bottom w:val="single" w:sz="4" w:space="0" w:color="auto"/>
              <w:right w:val="single" w:sz="4" w:space="0" w:color="auto"/>
            </w:tcBorders>
            <w:noWrap/>
            <w:vAlign w:val="center"/>
            <w:hideMark/>
          </w:tcPr>
          <w:p w14:paraId="2B88642A"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2A777354"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43902FB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0D833CED"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7EC50179"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3A1169D8"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4C214D81" w14:textId="77777777" w:rsidR="004D0DEA" w:rsidRPr="008153DD" w:rsidRDefault="004D0DEA" w:rsidP="00D069E4">
            <w:pPr>
              <w:pStyle w:val="Tablewriting"/>
              <w:spacing w:before="0" w:after="0" w:line="276" w:lineRule="auto"/>
              <w:rPr>
                <w:lang w:eastAsia="en-US"/>
              </w:rPr>
            </w:pPr>
            <w:r w:rsidRPr="008153DD">
              <w:rPr>
                <w:lang w:eastAsia="en-US"/>
              </w:rPr>
              <w:t>Strontium ranelate (delisted August 2016)</w:t>
            </w:r>
          </w:p>
        </w:tc>
        <w:tc>
          <w:tcPr>
            <w:tcW w:w="1248" w:type="dxa"/>
            <w:tcBorders>
              <w:top w:val="nil"/>
              <w:left w:val="nil"/>
              <w:bottom w:val="single" w:sz="4" w:space="0" w:color="auto"/>
              <w:right w:val="single" w:sz="4" w:space="0" w:color="auto"/>
            </w:tcBorders>
            <w:noWrap/>
            <w:vAlign w:val="center"/>
            <w:hideMark/>
          </w:tcPr>
          <w:p w14:paraId="34A71F89"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0A71A42A"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44B3871F"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36537C04"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BC9716E"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r w:rsidR="004D0DEA" w14:paraId="4CBA6A24"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491657FD" w14:textId="77777777" w:rsidR="004D0DEA" w:rsidRPr="008153DD" w:rsidRDefault="004D0DEA" w:rsidP="00D069E4">
            <w:pPr>
              <w:pStyle w:val="Tablewriting"/>
              <w:spacing w:before="0" w:after="0" w:line="276" w:lineRule="auto"/>
              <w:rPr>
                <w:lang w:eastAsia="en-US"/>
              </w:rPr>
            </w:pPr>
            <w:r w:rsidRPr="008153DD">
              <w:rPr>
                <w:lang w:eastAsia="en-US"/>
              </w:rPr>
              <w:t>Teriparatide (RBE)*</w:t>
            </w:r>
          </w:p>
        </w:tc>
        <w:tc>
          <w:tcPr>
            <w:tcW w:w="1248" w:type="dxa"/>
            <w:tcBorders>
              <w:top w:val="nil"/>
              <w:left w:val="nil"/>
              <w:bottom w:val="single" w:sz="4" w:space="0" w:color="auto"/>
              <w:right w:val="single" w:sz="4" w:space="0" w:color="auto"/>
            </w:tcBorders>
            <w:noWrap/>
            <w:vAlign w:val="center"/>
          </w:tcPr>
          <w:p w14:paraId="793A5A8D" w14:textId="77777777" w:rsidR="004D0DEA" w:rsidRPr="008153DD" w:rsidRDefault="004D0DEA" w:rsidP="00D069E4">
            <w:pPr>
              <w:spacing w:after="0" w:line="276" w:lineRule="auto"/>
              <w:jc w:val="center"/>
              <w:rPr>
                <w:rFonts w:ascii="Wingdings" w:hAnsi="Wingdings"/>
                <w:lang w:eastAsia="en-US"/>
              </w:rPr>
            </w:pPr>
          </w:p>
        </w:tc>
        <w:tc>
          <w:tcPr>
            <w:tcW w:w="1248" w:type="dxa"/>
            <w:tcBorders>
              <w:top w:val="nil"/>
              <w:left w:val="nil"/>
              <w:bottom w:val="single" w:sz="4" w:space="0" w:color="auto"/>
              <w:right w:val="single" w:sz="4" w:space="0" w:color="auto"/>
            </w:tcBorders>
            <w:noWrap/>
            <w:vAlign w:val="center"/>
          </w:tcPr>
          <w:p w14:paraId="4EB0C4AA" w14:textId="77777777" w:rsidR="004D0DEA" w:rsidRPr="008153DD" w:rsidRDefault="004D0DEA" w:rsidP="00D069E4">
            <w:pPr>
              <w:spacing w:after="0" w:line="276" w:lineRule="auto"/>
              <w:jc w:val="center"/>
              <w:rPr>
                <w:rFonts w:ascii="Wingdings" w:hAnsi="Wingdings"/>
                <w:lang w:eastAsia="en-US"/>
              </w:rPr>
            </w:pPr>
          </w:p>
        </w:tc>
        <w:tc>
          <w:tcPr>
            <w:tcW w:w="1248" w:type="dxa"/>
            <w:tcBorders>
              <w:top w:val="nil"/>
              <w:left w:val="nil"/>
              <w:bottom w:val="single" w:sz="4" w:space="0" w:color="auto"/>
              <w:right w:val="single" w:sz="4" w:space="0" w:color="auto"/>
            </w:tcBorders>
            <w:noWrap/>
            <w:vAlign w:val="center"/>
          </w:tcPr>
          <w:p w14:paraId="6E7587E5" w14:textId="77777777" w:rsidR="004D0DEA" w:rsidRPr="008153DD" w:rsidRDefault="004D0DEA" w:rsidP="00D069E4">
            <w:pPr>
              <w:spacing w:after="0" w:line="276" w:lineRule="auto"/>
              <w:jc w:val="center"/>
              <w:rPr>
                <w:rFonts w:ascii="Wingdings" w:hAnsi="Wingdings"/>
                <w:lang w:eastAsia="en-US"/>
              </w:rPr>
            </w:pPr>
          </w:p>
        </w:tc>
        <w:tc>
          <w:tcPr>
            <w:tcW w:w="1872" w:type="dxa"/>
            <w:tcBorders>
              <w:top w:val="nil"/>
              <w:left w:val="nil"/>
              <w:bottom w:val="single" w:sz="4" w:space="0" w:color="auto"/>
              <w:right w:val="single" w:sz="4" w:space="0" w:color="auto"/>
            </w:tcBorders>
            <w:noWrap/>
            <w:vAlign w:val="center"/>
          </w:tcPr>
          <w:p w14:paraId="2DEB49BD" w14:textId="77777777" w:rsidR="004D0DEA" w:rsidRPr="008153DD" w:rsidRDefault="004D0DEA" w:rsidP="00D069E4">
            <w:pPr>
              <w:spacing w:after="0" w:line="276" w:lineRule="auto"/>
              <w:jc w:val="center"/>
              <w:rPr>
                <w:rFonts w:ascii="Wingdings" w:hAnsi="Wingdings"/>
                <w:lang w:eastAsia="en-US"/>
              </w:rPr>
            </w:pPr>
          </w:p>
        </w:tc>
        <w:tc>
          <w:tcPr>
            <w:tcW w:w="1248" w:type="dxa"/>
            <w:tcBorders>
              <w:top w:val="nil"/>
              <w:left w:val="nil"/>
              <w:bottom w:val="single" w:sz="4" w:space="0" w:color="auto"/>
              <w:right w:val="single" w:sz="4" w:space="0" w:color="auto"/>
            </w:tcBorders>
            <w:noWrap/>
            <w:vAlign w:val="center"/>
          </w:tcPr>
          <w:p w14:paraId="3678A0B7" w14:textId="77777777" w:rsidR="004D0DEA" w:rsidRPr="008153DD" w:rsidRDefault="004D0DEA" w:rsidP="00D069E4">
            <w:pPr>
              <w:spacing w:after="0" w:line="276" w:lineRule="auto"/>
              <w:jc w:val="center"/>
              <w:rPr>
                <w:rFonts w:ascii="Wingdings" w:hAnsi="Wingdings"/>
                <w:lang w:eastAsia="en-US"/>
              </w:rPr>
            </w:pPr>
          </w:p>
        </w:tc>
      </w:tr>
      <w:tr w:rsidR="004D0DEA" w14:paraId="69ED5335" w14:textId="77777777" w:rsidTr="001E628E">
        <w:trPr>
          <w:trHeight w:val="300"/>
        </w:trPr>
        <w:tc>
          <w:tcPr>
            <w:tcW w:w="2301" w:type="dxa"/>
            <w:tcBorders>
              <w:top w:val="nil"/>
              <w:left w:val="single" w:sz="4" w:space="0" w:color="auto"/>
              <w:bottom w:val="single" w:sz="4" w:space="0" w:color="auto"/>
              <w:right w:val="single" w:sz="4" w:space="0" w:color="auto"/>
            </w:tcBorders>
            <w:vAlign w:val="center"/>
            <w:hideMark/>
          </w:tcPr>
          <w:p w14:paraId="2686C2DE" w14:textId="77777777" w:rsidR="004D0DEA" w:rsidRPr="008153DD" w:rsidRDefault="004D0DEA" w:rsidP="00D069E4">
            <w:pPr>
              <w:pStyle w:val="Tablewriting"/>
              <w:spacing w:before="0" w:after="0" w:line="276" w:lineRule="auto"/>
              <w:rPr>
                <w:lang w:eastAsia="en-US"/>
              </w:rPr>
            </w:pPr>
            <w:r w:rsidRPr="008153DD">
              <w:rPr>
                <w:lang w:eastAsia="en-US"/>
              </w:rPr>
              <w:t>Zoledronic acid</w:t>
            </w:r>
          </w:p>
        </w:tc>
        <w:tc>
          <w:tcPr>
            <w:tcW w:w="1248" w:type="dxa"/>
            <w:tcBorders>
              <w:top w:val="nil"/>
              <w:left w:val="nil"/>
              <w:bottom w:val="single" w:sz="4" w:space="0" w:color="auto"/>
              <w:right w:val="single" w:sz="4" w:space="0" w:color="auto"/>
            </w:tcBorders>
            <w:noWrap/>
            <w:vAlign w:val="center"/>
            <w:hideMark/>
          </w:tcPr>
          <w:p w14:paraId="1AEE85AF"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4B8B458B"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38F7BD7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872" w:type="dxa"/>
            <w:tcBorders>
              <w:top w:val="nil"/>
              <w:left w:val="nil"/>
              <w:bottom w:val="single" w:sz="4" w:space="0" w:color="auto"/>
              <w:right w:val="single" w:sz="4" w:space="0" w:color="auto"/>
            </w:tcBorders>
            <w:noWrap/>
            <w:vAlign w:val="center"/>
            <w:hideMark/>
          </w:tcPr>
          <w:p w14:paraId="132C3B26"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c>
          <w:tcPr>
            <w:tcW w:w="1248" w:type="dxa"/>
            <w:tcBorders>
              <w:top w:val="nil"/>
              <w:left w:val="nil"/>
              <w:bottom w:val="single" w:sz="4" w:space="0" w:color="auto"/>
              <w:right w:val="single" w:sz="4" w:space="0" w:color="auto"/>
            </w:tcBorders>
            <w:noWrap/>
            <w:vAlign w:val="center"/>
            <w:hideMark/>
          </w:tcPr>
          <w:p w14:paraId="22E5EE22" w14:textId="77777777" w:rsidR="004D0DEA" w:rsidRPr="008153DD" w:rsidRDefault="004D0DEA" w:rsidP="00D069E4">
            <w:pPr>
              <w:spacing w:after="0" w:line="276" w:lineRule="auto"/>
              <w:jc w:val="center"/>
              <w:rPr>
                <w:rFonts w:ascii="Wingdings" w:hAnsi="Wingdings"/>
                <w:lang w:eastAsia="en-US"/>
              </w:rPr>
            </w:pPr>
            <w:r w:rsidRPr="008153DD">
              <w:rPr>
                <w:rFonts w:ascii="Wingdings" w:hAnsi="Wingdings"/>
                <w:lang w:eastAsia="en-US"/>
              </w:rPr>
              <w:t></w:t>
            </w:r>
          </w:p>
        </w:tc>
      </w:tr>
    </w:tbl>
    <w:p w14:paraId="1FFB3CDC" w14:textId="77777777" w:rsidR="001E628E" w:rsidRDefault="001E628E" w:rsidP="001E628E">
      <w:pPr>
        <w:rPr>
          <w:sz w:val="20"/>
          <w:szCs w:val="20"/>
        </w:rPr>
      </w:pPr>
      <w:r>
        <w:rPr>
          <w:sz w:val="20"/>
          <w:szCs w:val="20"/>
        </w:rPr>
        <w:t>* Teriparatide is only listed for severe osteoporosis: when the patient has had a two or more fractures due to minimal trauma and the BMD T-score is -3.0 or less and the patient must have experienced at least one symptomatic new fracture after at least 12 months continuous therapy with an anti-resorptive agent at adequate doses.</w:t>
      </w:r>
    </w:p>
    <w:p w14:paraId="11075969" w14:textId="77777777" w:rsidR="00834DD4" w:rsidRDefault="00834DD4" w:rsidP="00834DD4">
      <w:pPr>
        <w:pStyle w:val="Heading4"/>
        <w:rPr>
          <w:sz w:val="24"/>
          <w:szCs w:val="24"/>
        </w:rPr>
      </w:pPr>
      <w:r>
        <w:rPr>
          <w:sz w:val="24"/>
          <w:szCs w:val="24"/>
        </w:rPr>
        <w:t>Date of listing on PBS and changes to listing</w:t>
      </w:r>
    </w:p>
    <w:p w14:paraId="61FDCBA9" w14:textId="77777777" w:rsidR="00834DD4" w:rsidRDefault="00834DD4" w:rsidP="00834DD4">
      <w:r>
        <w:t>The listing dates and relevant changes to the listing of osteoporosis medicines, such as restriction changes and price reductions, can be found in Appendix B.</w:t>
      </w:r>
    </w:p>
    <w:p w14:paraId="607B0D46" w14:textId="42EF95B0" w:rsidR="00834DD4" w:rsidRDefault="00834DD4" w:rsidP="00834DD4">
      <w:r>
        <w:t>Current PBS listing details are available from</w:t>
      </w:r>
      <w:r w:rsidR="0002652B">
        <w:t xml:space="preserve"> </w:t>
      </w:r>
      <w:hyperlink r:id="rId11" w:history="1">
        <w:r w:rsidR="0002652B" w:rsidRPr="0002652B">
          <w:rPr>
            <w:rStyle w:val="Hyperlink"/>
          </w:rPr>
          <w:t>www.pbs.gov.au</w:t>
        </w:r>
      </w:hyperlink>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D841745" w14:textId="77777777" w:rsidR="00B024A6" w:rsidRDefault="00B024A6" w:rsidP="00B024A6">
      <w:r>
        <w:t>At its July 2010 meeting, the PBAC recommended listing of denosumab pre-filled syringe 60 mg in 1 mL for treatment as the sole PBS-subsidised anti-resorptive agent for osteoporosis in a woman aged 70 years of age or older with a BMD T-score of -3.0 or less on a cost-minimisation basis compared with zoledronic acid. Listing was effective from 1 December 2010.</w:t>
      </w:r>
    </w:p>
    <w:p w14:paraId="5F7DA382" w14:textId="77777777" w:rsidR="00B024A6" w:rsidRDefault="00B024A6" w:rsidP="00B024A6">
      <w:r>
        <w:t xml:space="preserve">A copy of the Public Summary Document (PSD) from the July 2010 meeting is available at the </w:t>
      </w:r>
      <w:hyperlink r:id="rId12" w:history="1">
        <w:r w:rsidRPr="00EE7145">
          <w:rPr>
            <w:rStyle w:val="Hyperlink"/>
          </w:rPr>
          <w:t>Public Summary Document for Denosumab -</w:t>
        </w:r>
        <w:r>
          <w:rPr>
            <w:rStyle w:val="Hyperlink"/>
          </w:rPr>
          <w:t xml:space="preserve"> </w:t>
        </w:r>
        <w:r w:rsidRPr="00EE7145">
          <w:rPr>
            <w:rStyle w:val="Hyperlink"/>
          </w:rPr>
          <w:t>July 2010</w:t>
        </w:r>
      </w:hyperlink>
      <w:r>
        <w:t>.</w:t>
      </w:r>
    </w:p>
    <w:p w14:paraId="71F68C36" w14:textId="77777777" w:rsidR="00B024A6" w:rsidRDefault="00B024A6" w:rsidP="00B024A6">
      <w:r>
        <w:t>Following this decision the PBAC recommended the following changes:</w:t>
      </w:r>
    </w:p>
    <w:p w14:paraId="1A6DF997" w14:textId="77777777" w:rsidR="00B024A6" w:rsidRDefault="00B024A6" w:rsidP="00B024A6">
      <w:pPr>
        <w:pStyle w:val="ListParagraph"/>
        <w:numPr>
          <w:ilvl w:val="0"/>
          <w:numId w:val="6"/>
        </w:numPr>
      </w:pPr>
      <w:r>
        <w:lastRenderedPageBreak/>
        <w:t>the current Authority Required listing for denosumab pre-filled syringe 60 mg in 1 mL for the treatment of osteoporosis be changed to a Streamlined Authority listing (November 2011 meeting)</w:t>
      </w:r>
    </w:p>
    <w:p w14:paraId="080CE702" w14:textId="77777777" w:rsidR="00B024A6" w:rsidRDefault="00B024A6" w:rsidP="00B024A6">
      <w:pPr>
        <w:pStyle w:val="ListParagraph"/>
        <w:numPr>
          <w:ilvl w:val="0"/>
          <w:numId w:val="6"/>
        </w:numPr>
      </w:pPr>
      <w:r w:rsidRPr="00D1136D">
        <w:t>the current Authority Required (S</w:t>
      </w:r>
      <w:r>
        <w:t>treamlined</w:t>
      </w:r>
      <w:r w:rsidRPr="00D1136D">
        <w:t>) listing for denosumab 60 mg in 1 mL injection for the treatment of post-menopausal osteoporosis be extended to include women aged 70 years of age or older with a bone mineral density (BMD) T-score of -</w:t>
      </w:r>
      <w:r>
        <w:t> </w:t>
      </w:r>
      <w:r w:rsidRPr="00D1136D">
        <w:t>2.5 or less</w:t>
      </w:r>
      <w:r>
        <w:t xml:space="preserve"> (</w:t>
      </w:r>
      <w:hyperlink r:id="rId13" w:history="1">
        <w:r w:rsidRPr="00F321B9">
          <w:rPr>
            <w:rStyle w:val="Hyperlink"/>
          </w:rPr>
          <w:t>March 2012 meeting</w:t>
        </w:r>
      </w:hyperlink>
      <w:r>
        <w:t>)</w:t>
      </w:r>
    </w:p>
    <w:p w14:paraId="7206E056" w14:textId="77777777" w:rsidR="00B024A6" w:rsidRDefault="00B024A6" w:rsidP="00B024A6">
      <w:pPr>
        <w:pStyle w:val="ListParagraph"/>
        <w:numPr>
          <w:ilvl w:val="0"/>
          <w:numId w:val="6"/>
        </w:numPr>
      </w:pPr>
      <w:r>
        <w:t xml:space="preserve">the current </w:t>
      </w:r>
      <w:r w:rsidRPr="00596C1F">
        <w:t xml:space="preserve">Authority required (Streamlined) benefit as the sole PBS-subsidised anti-resorptive agent for osteoporosis </w:t>
      </w:r>
      <w:r>
        <w:t xml:space="preserve">be extended to </w:t>
      </w:r>
      <w:r w:rsidRPr="00596C1F">
        <w:t>include both male and female patients</w:t>
      </w:r>
      <w:r>
        <w:t xml:space="preserve"> (</w:t>
      </w:r>
      <w:hyperlink r:id="rId14" w:history="1">
        <w:r w:rsidRPr="00AB07AA">
          <w:rPr>
            <w:rStyle w:val="Hyperlink"/>
          </w:rPr>
          <w:t>July 2013 meeting</w:t>
        </w:r>
      </w:hyperlink>
      <w:r>
        <w:t>)</w:t>
      </w:r>
    </w:p>
    <w:p w14:paraId="0CD92E51" w14:textId="77777777" w:rsidR="00B024A6" w:rsidRPr="00F65F0D" w:rsidRDefault="00B024A6" w:rsidP="00B024A6">
      <w:pPr>
        <w:pStyle w:val="ListParagraph"/>
        <w:numPr>
          <w:ilvl w:val="0"/>
          <w:numId w:val="6"/>
        </w:numPr>
      </w:pPr>
      <w:r>
        <w:t>to allow i</w:t>
      </w:r>
      <w:r w:rsidRPr="00235DE0">
        <w:t>nitiation of treatment of osteoporosis by nurse practitioners</w:t>
      </w:r>
      <w:r>
        <w:t xml:space="preserve"> (</w:t>
      </w:r>
      <w:hyperlink r:id="rId15" w:history="1">
        <w:r w:rsidRPr="00BF45F0">
          <w:rPr>
            <w:rStyle w:val="Hyperlink"/>
          </w:rPr>
          <w:t>July 201</w:t>
        </w:r>
        <w:r>
          <w:rPr>
            <w:rStyle w:val="Hyperlink"/>
          </w:rPr>
          <w:t>6 meeting</w:t>
        </w:r>
      </w:hyperlink>
      <w:r>
        <w:t>).</w:t>
      </w:r>
    </w:p>
    <w:p w14:paraId="0DEBD50F" w14:textId="69B931E7" w:rsidR="00094DCF" w:rsidRDefault="00ED633B" w:rsidP="00CF5E22">
      <w:pPr>
        <w:pStyle w:val="Heading2"/>
      </w:pPr>
      <w:r>
        <w:t xml:space="preserve">Previous reviews by </w:t>
      </w:r>
      <w:r w:rsidR="00177B86">
        <w:t xml:space="preserve">the </w:t>
      </w:r>
      <w:r>
        <w:t>DUSC</w:t>
      </w:r>
    </w:p>
    <w:p w14:paraId="3CD4A876" w14:textId="77777777" w:rsidR="00B024A6" w:rsidRPr="005A74AD" w:rsidRDefault="00B024A6" w:rsidP="00B024A6">
      <w:r>
        <w:t xml:space="preserve">In September 2016, DUSC </w:t>
      </w:r>
      <w:r w:rsidRPr="005A74AD">
        <w:t>review</w:t>
      </w:r>
      <w:r>
        <w:t>ed</w:t>
      </w:r>
      <w:r w:rsidRPr="005A74AD">
        <w:t xml:space="preserve"> the utilisation of medicines for the treatment of osteoporosis including an assessment of the predicted and actual use of denosumab</w:t>
      </w:r>
      <w:r>
        <w:t>. Of note, it found:</w:t>
      </w:r>
    </w:p>
    <w:p w14:paraId="454F90A2" w14:textId="77777777" w:rsidR="00B024A6" w:rsidRDefault="00B024A6" w:rsidP="00B024A6">
      <w:pPr>
        <w:pStyle w:val="ListParagraph"/>
        <w:numPr>
          <w:ilvl w:val="0"/>
          <w:numId w:val="5"/>
        </w:numPr>
      </w:pPr>
      <w:r>
        <w:t>Rates of treatment with osteoporosis medicines declined by 15% between 2007 and 2014 despite reports of increasing prevalence of osteoporosis.</w:t>
      </w:r>
    </w:p>
    <w:p w14:paraId="186C618F" w14:textId="77777777" w:rsidR="00B024A6" w:rsidRDefault="00B024A6" w:rsidP="00B024A6">
      <w:pPr>
        <w:pStyle w:val="ListParagraph"/>
        <w:numPr>
          <w:ilvl w:val="0"/>
          <w:numId w:val="5"/>
        </w:numPr>
      </w:pPr>
      <w:r>
        <w:t>Osteoporosis was more prevalent in women than men, with an estimated prevalence ratio in Australia of 3.8:1 for people over 50 years. The ratio of women to men aged 50 years or older treated with PBS osteoporosis medicines in 2015 was 3.9:1.</w:t>
      </w:r>
    </w:p>
    <w:p w14:paraId="10E7621A" w14:textId="77777777" w:rsidR="00B024A6" w:rsidRPr="005A74AD" w:rsidRDefault="00B024A6" w:rsidP="00B024A6">
      <w:pPr>
        <w:pStyle w:val="ListParagraph"/>
        <w:numPr>
          <w:ilvl w:val="0"/>
          <w:numId w:val="5"/>
        </w:numPr>
      </w:pPr>
      <w:r>
        <w:t>Utilisation of denosumab had been much higher than expected. Approximately half of people starting osteoporosis therapy for the first time in 2015 were prescribed denosumab. A large number of people already on treatment with other medicines had switched to denosumab. In 2015, 57% of patients initiating denosumab had previously used at least one other osteoporosis drug.</w:t>
      </w:r>
    </w:p>
    <w:p w14:paraId="17AB26EF" w14:textId="77777777" w:rsidR="00B024A6" w:rsidRPr="00ED633B" w:rsidRDefault="00B024A6" w:rsidP="00B024A6">
      <w:r>
        <w:t xml:space="preserve">For details of the DUSC consideration of osteoporosis medicines, including denosumab, refer to the </w:t>
      </w:r>
      <w:hyperlink r:id="rId16" w:history="1">
        <w:r w:rsidRPr="001C2B3A">
          <w:rPr>
            <w:rStyle w:val="Hyperlink"/>
          </w:rPr>
          <w:t>Public Release Document</w:t>
        </w:r>
      </w:hyperlink>
      <w:r>
        <w:t xml:space="preserve"> from the September 2016 DUSC meeting.</w:t>
      </w:r>
    </w:p>
    <w:p w14:paraId="0312FFEC" w14:textId="7C2B1E02" w:rsidR="00E677DD" w:rsidRDefault="00E677DD" w:rsidP="00CF5E22">
      <w:pPr>
        <w:pStyle w:val="Heading1"/>
      </w:pPr>
      <w:r w:rsidRPr="005E22C2">
        <w:t>Method</w:t>
      </w:r>
      <w:r w:rsidR="001B5D37" w:rsidRPr="005E22C2">
        <w:t>s</w:t>
      </w:r>
    </w:p>
    <w:p w14:paraId="1D2B3FBE" w14:textId="14CBAD15" w:rsidR="002C76E5" w:rsidRPr="002C76E5" w:rsidRDefault="002C76E5" w:rsidP="002C76E5">
      <w:pPr>
        <w:pStyle w:val="Heading3"/>
        <w:rPr>
          <w:sz w:val="32"/>
        </w:rPr>
      </w:pPr>
      <w:r w:rsidRPr="002C76E5">
        <w:rPr>
          <w:sz w:val="32"/>
        </w:rPr>
        <w:t>PBS Data</w:t>
      </w:r>
    </w:p>
    <w:p w14:paraId="1AF84574" w14:textId="64750D8F" w:rsidR="001F3ED0" w:rsidRDefault="001F3ED0" w:rsidP="001F3ED0">
      <w:r>
        <w:t xml:space="preserve">This is a </w:t>
      </w:r>
      <w:r w:rsidR="00890961">
        <w:t xml:space="preserve">descriptive analysis of </w:t>
      </w:r>
      <w:r w:rsidR="00E2737A">
        <w:t xml:space="preserve">5.5 years of </w:t>
      </w:r>
      <w:r w:rsidR="0082533F">
        <w:t xml:space="preserve">dispensing </w:t>
      </w:r>
      <w:r w:rsidR="00890961">
        <w:t xml:space="preserve">data extracted from the </w:t>
      </w:r>
      <w:r w:rsidR="001C74EC">
        <w:t xml:space="preserve">PBS </w:t>
      </w:r>
      <w:r w:rsidR="0082533F">
        <w:t xml:space="preserve">10% </w:t>
      </w:r>
      <w:r w:rsidR="001C74EC">
        <w:t>sample</w:t>
      </w:r>
      <w:r w:rsidR="00E2737A">
        <w:t xml:space="preserve"> (1 January 2014 to 30 June 2019)</w:t>
      </w:r>
      <w:r w:rsidR="00593D4F">
        <w:t xml:space="preserve">, with an additional </w:t>
      </w:r>
      <w:r w:rsidR="00F107E1">
        <w:t>2 year look back period (1</w:t>
      </w:r>
      <w:r w:rsidR="006C358A">
        <w:t> </w:t>
      </w:r>
      <w:r w:rsidR="00F107E1">
        <w:t>January 2012 to 31 December 2013)</w:t>
      </w:r>
      <w:r w:rsidR="008A3356">
        <w:t xml:space="preserve"> to assess initiation of osteoporosis treatment.</w:t>
      </w:r>
      <w:r w:rsidR="008B08EB">
        <w:t xml:space="preserve"> </w:t>
      </w:r>
      <w:r w:rsidR="00567D8D" w:rsidRPr="00567D8D">
        <w:t>PBS data for the remainder of 2019</w:t>
      </w:r>
      <w:r w:rsidR="00E906B1">
        <w:t xml:space="preserve"> (July to December)</w:t>
      </w:r>
      <w:r w:rsidR="00567D8D" w:rsidRPr="00567D8D">
        <w:t xml:space="preserve"> was not available</w:t>
      </w:r>
      <w:r w:rsidR="00E906B1">
        <w:t xml:space="preserve"> </w:t>
      </w:r>
      <w:r w:rsidR="00567D8D" w:rsidRPr="00567D8D">
        <w:t>in time for this report.</w:t>
      </w:r>
    </w:p>
    <w:p w14:paraId="4D15A289" w14:textId="77777777" w:rsidR="006B4553" w:rsidRDefault="0087327A" w:rsidP="00CA0F1A">
      <w:r>
        <w:t xml:space="preserve">To be eligible for inclusion in the study, patients </w:t>
      </w:r>
      <w:r w:rsidR="00237CFD">
        <w:t>must</w:t>
      </w:r>
      <w:r>
        <w:t xml:space="preserve"> </w:t>
      </w:r>
      <w:r w:rsidR="00895FA4">
        <w:t>have had at least on</w:t>
      </w:r>
      <w:r w:rsidR="00CA0F1A">
        <w:t>e</w:t>
      </w:r>
      <w:r w:rsidR="00895FA4">
        <w:t xml:space="preserve"> prescription for an osteoporosis medicine between 1 January 2014 and 30 June 2019.</w:t>
      </w:r>
      <w:r w:rsidR="00CA0F1A">
        <w:t xml:space="preserve"> </w:t>
      </w:r>
      <w:r w:rsidR="00946D24">
        <w:t>Prescriptions for o</w:t>
      </w:r>
      <w:r w:rsidR="00CA0F1A" w:rsidRPr="00590F06">
        <w:t xml:space="preserve">steoporosis medicines </w:t>
      </w:r>
      <w:r w:rsidR="00CA0F1A">
        <w:t xml:space="preserve">were identified using PBS item codes as per </w:t>
      </w:r>
      <w:r w:rsidR="00CA0F1A" w:rsidRPr="00590F06">
        <w:t xml:space="preserve">Table </w:t>
      </w:r>
      <w:r w:rsidR="00CA0F1A">
        <w:t>4.</w:t>
      </w:r>
      <w:r w:rsidR="00F60BCB" w:rsidRPr="00F60BCB">
        <w:t xml:space="preserve"> </w:t>
      </w:r>
      <w:r w:rsidR="00F60BCB">
        <w:t>Unless otherwise stated</w:t>
      </w:r>
      <w:r w:rsidR="006B4553">
        <w:t>:</w:t>
      </w:r>
    </w:p>
    <w:p w14:paraId="49F5622D" w14:textId="4CCEA1FE" w:rsidR="006B4553" w:rsidRDefault="00F60BCB" w:rsidP="006B4553">
      <w:pPr>
        <w:pStyle w:val="ListParagraph"/>
        <w:numPr>
          <w:ilvl w:val="0"/>
          <w:numId w:val="9"/>
        </w:numPr>
      </w:pPr>
      <w:r>
        <w:lastRenderedPageBreak/>
        <w:t xml:space="preserve">all </w:t>
      </w:r>
      <w:r w:rsidR="00CB1CB7">
        <w:t xml:space="preserve">results, </w:t>
      </w:r>
      <w:r w:rsidR="00B23469" w:rsidRPr="005D2C8F">
        <w:t>except for</w:t>
      </w:r>
      <w:r w:rsidR="005D2C8F" w:rsidRPr="005D2C8F">
        <w:t xml:space="preserve"> the </w:t>
      </w:r>
      <w:r w:rsidR="005D2C8F">
        <w:t xml:space="preserve">crude and </w:t>
      </w:r>
      <w:r w:rsidR="005D2C8F" w:rsidRPr="005D2C8F">
        <w:t>age-standardised treatment rates</w:t>
      </w:r>
      <w:r w:rsidR="005D2C8F">
        <w:t>,</w:t>
      </w:r>
      <w:r w:rsidR="005D2C8F" w:rsidRPr="005D2C8F">
        <w:t xml:space="preserve"> </w:t>
      </w:r>
      <w:r w:rsidR="00B46072">
        <w:t>represent 10% of the Australian population with a PBS prescription and have not been extrapolated to the whole population</w:t>
      </w:r>
      <w:r w:rsidR="00694BC1">
        <w:t>; and</w:t>
      </w:r>
    </w:p>
    <w:p w14:paraId="5E1EE153" w14:textId="2E897FAA" w:rsidR="00CA0F1A" w:rsidRDefault="0081407B" w:rsidP="006B4553">
      <w:pPr>
        <w:pStyle w:val="ListParagraph"/>
        <w:numPr>
          <w:ilvl w:val="0"/>
          <w:numId w:val="9"/>
        </w:numPr>
      </w:pPr>
      <w:r>
        <w:t xml:space="preserve">results </w:t>
      </w:r>
      <w:r w:rsidR="00F60BCB">
        <w:t>for 2019</w:t>
      </w:r>
      <w:r w:rsidR="006526A7">
        <w:t xml:space="preserve">, </w:t>
      </w:r>
      <w:r w:rsidR="00651174">
        <w:t>except for</w:t>
      </w:r>
      <w:r w:rsidR="006526A7" w:rsidRPr="005D2C8F">
        <w:t xml:space="preserve"> the </w:t>
      </w:r>
      <w:r w:rsidR="006526A7">
        <w:t xml:space="preserve">crude and </w:t>
      </w:r>
      <w:r w:rsidR="006526A7" w:rsidRPr="005D2C8F">
        <w:t xml:space="preserve">age-standardised </w:t>
      </w:r>
      <w:r w:rsidR="006526A7">
        <w:t xml:space="preserve">incident </w:t>
      </w:r>
      <w:r w:rsidR="006526A7" w:rsidRPr="005D2C8F">
        <w:t xml:space="preserve">treatment </w:t>
      </w:r>
      <w:r w:rsidR="00CB1CB7" w:rsidRPr="005D2C8F">
        <w:t>rates</w:t>
      </w:r>
      <w:r w:rsidR="00CB1CB7">
        <w:t>,</w:t>
      </w:r>
      <w:r w:rsidR="00CB1CB7" w:rsidRPr="005D2C8F">
        <w:t xml:space="preserve"> </w:t>
      </w:r>
      <w:r w:rsidR="00CB1CB7">
        <w:t>include</w:t>
      </w:r>
      <w:r w:rsidR="00F60BCB">
        <w:t xml:space="preserve"> only 6 months of data, without extrapolation to </w:t>
      </w:r>
      <w:r w:rsidR="00D037A5">
        <w:t xml:space="preserve">the </w:t>
      </w:r>
      <w:r w:rsidR="00F60BCB">
        <w:t>12 month</w:t>
      </w:r>
      <w:r w:rsidR="00D037A5">
        <w:t xml:space="preserve"> calendar year</w:t>
      </w:r>
      <w:r w:rsidR="00F60BCB">
        <w:t>, and should be interpreted with caution.</w:t>
      </w:r>
    </w:p>
    <w:p w14:paraId="61B7112E" w14:textId="5B95BAA8" w:rsidR="00CA0F1A" w:rsidRDefault="00CA0F1A" w:rsidP="00CA0F1A">
      <w:pPr>
        <w:pStyle w:val="Tabletitle"/>
      </w:pPr>
      <w:r>
        <w:t xml:space="preserve">Table </w:t>
      </w:r>
      <w:r w:rsidR="00657DF4">
        <w:t>4</w:t>
      </w:r>
      <w:r>
        <w:t>: Osteoporosis medicines, associated PBS and ATC codes and restriction dates</w:t>
      </w:r>
    </w:p>
    <w:tbl>
      <w:tblPr>
        <w:tblW w:w="8854" w:type="dxa"/>
        <w:tblInd w:w="93" w:type="dxa"/>
        <w:tblLook w:val="04A0" w:firstRow="1" w:lastRow="0" w:firstColumn="1" w:lastColumn="0" w:noHBand="0" w:noVBand="1"/>
        <w:tblCaption w:val="Table 2: Route and frequency of administration of osteoporosis medicines"/>
      </w:tblPr>
      <w:tblGrid>
        <w:gridCol w:w="1462"/>
        <w:gridCol w:w="3118"/>
        <w:gridCol w:w="1406"/>
        <w:gridCol w:w="1434"/>
        <w:gridCol w:w="1434"/>
      </w:tblGrid>
      <w:tr w:rsidR="00CA0F1A" w14:paraId="595D2C0E"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1AFE5B" w14:textId="77777777" w:rsidR="00CA0F1A" w:rsidRDefault="00CA0F1A" w:rsidP="00D069E4">
            <w:pPr>
              <w:pStyle w:val="Tablewriting"/>
              <w:spacing w:before="0" w:after="0" w:line="276" w:lineRule="auto"/>
              <w:rPr>
                <w:b/>
                <w:lang w:eastAsia="en-US"/>
              </w:rPr>
            </w:pPr>
            <w:r>
              <w:rPr>
                <w:b/>
                <w:lang w:val="en-US" w:eastAsia="en-US"/>
              </w:rPr>
              <w:t>Item code</w:t>
            </w:r>
          </w:p>
        </w:tc>
        <w:tc>
          <w:tcPr>
            <w:tcW w:w="3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9CD16E" w14:textId="77777777" w:rsidR="00CA0F1A" w:rsidRDefault="00CA0F1A" w:rsidP="00D069E4">
            <w:pPr>
              <w:pStyle w:val="Tablewriting"/>
              <w:spacing w:before="0" w:after="0" w:line="276" w:lineRule="auto"/>
              <w:rPr>
                <w:b/>
                <w:lang w:eastAsia="en-US"/>
              </w:rPr>
            </w:pPr>
            <w:r>
              <w:rPr>
                <w:b/>
                <w:lang w:val="en-US" w:eastAsia="en-US"/>
              </w:rPr>
              <w:t>Active ingredient</w:t>
            </w:r>
          </w:p>
        </w:tc>
        <w:tc>
          <w:tcPr>
            <w:tcW w:w="1406" w:type="dxa"/>
            <w:tcBorders>
              <w:top w:val="single" w:sz="4" w:space="0" w:color="auto"/>
              <w:left w:val="nil"/>
              <w:bottom w:val="single" w:sz="4" w:space="0" w:color="auto"/>
              <w:right w:val="single" w:sz="4" w:space="0" w:color="auto"/>
            </w:tcBorders>
            <w:shd w:val="clear" w:color="auto" w:fill="BFBFBF" w:themeFill="background1" w:themeFillShade="BF"/>
          </w:tcPr>
          <w:p w14:paraId="281B6A24" w14:textId="77777777" w:rsidR="00CA0F1A" w:rsidRDefault="00CA0F1A" w:rsidP="00D069E4">
            <w:pPr>
              <w:pStyle w:val="Tablewriting"/>
              <w:spacing w:before="0" w:after="0" w:line="276" w:lineRule="auto"/>
              <w:rPr>
                <w:b/>
                <w:lang w:val="en-US" w:eastAsia="en-US"/>
              </w:rPr>
            </w:pPr>
            <w:r>
              <w:rPr>
                <w:b/>
                <w:lang w:val="en-US" w:eastAsia="en-US"/>
              </w:rPr>
              <w:t>ATC5</w:t>
            </w:r>
          </w:p>
        </w:tc>
        <w:tc>
          <w:tcPr>
            <w:tcW w:w="1434" w:type="dxa"/>
            <w:tcBorders>
              <w:top w:val="single" w:sz="4" w:space="0" w:color="auto"/>
              <w:left w:val="nil"/>
              <w:bottom w:val="single" w:sz="4" w:space="0" w:color="auto"/>
              <w:right w:val="single" w:sz="4" w:space="0" w:color="auto"/>
            </w:tcBorders>
            <w:shd w:val="clear" w:color="auto" w:fill="BFBFBF" w:themeFill="background1" w:themeFillShade="BF"/>
          </w:tcPr>
          <w:p w14:paraId="3EC3A040" w14:textId="77777777" w:rsidR="00CA0F1A" w:rsidRDefault="00CA0F1A" w:rsidP="00D069E4">
            <w:pPr>
              <w:pStyle w:val="Tablewriting"/>
              <w:spacing w:before="0" w:after="0" w:line="276" w:lineRule="auto"/>
              <w:rPr>
                <w:b/>
                <w:lang w:val="en-US" w:eastAsia="en-US"/>
              </w:rPr>
            </w:pPr>
            <w:r>
              <w:rPr>
                <w:b/>
                <w:lang w:val="en-US" w:eastAsia="en-US"/>
              </w:rPr>
              <w:t>Restriction start date</w:t>
            </w:r>
          </w:p>
        </w:tc>
        <w:tc>
          <w:tcPr>
            <w:tcW w:w="1434" w:type="dxa"/>
            <w:tcBorders>
              <w:top w:val="single" w:sz="4" w:space="0" w:color="auto"/>
              <w:left w:val="nil"/>
              <w:bottom w:val="single" w:sz="4" w:space="0" w:color="auto"/>
              <w:right w:val="single" w:sz="4" w:space="0" w:color="auto"/>
            </w:tcBorders>
            <w:shd w:val="clear" w:color="auto" w:fill="BFBFBF" w:themeFill="background1" w:themeFillShade="BF"/>
          </w:tcPr>
          <w:p w14:paraId="71E7816D" w14:textId="77777777" w:rsidR="00CA0F1A" w:rsidRDefault="00CA0F1A" w:rsidP="00D069E4">
            <w:pPr>
              <w:pStyle w:val="Tablewriting"/>
              <w:spacing w:before="0" w:after="0" w:line="276" w:lineRule="auto"/>
              <w:rPr>
                <w:b/>
                <w:lang w:val="en-US" w:eastAsia="en-US"/>
              </w:rPr>
            </w:pPr>
            <w:r>
              <w:rPr>
                <w:b/>
                <w:lang w:val="en-US" w:eastAsia="en-US"/>
              </w:rPr>
              <w:t>Restriction end note</w:t>
            </w:r>
          </w:p>
        </w:tc>
      </w:tr>
      <w:tr w:rsidR="00CA0F1A" w14:paraId="5115AD29" w14:textId="77777777" w:rsidTr="00D069E4">
        <w:trPr>
          <w:trHeight w:val="20"/>
        </w:trPr>
        <w:tc>
          <w:tcPr>
            <w:tcW w:w="1462" w:type="dxa"/>
            <w:tcBorders>
              <w:top w:val="nil"/>
              <w:left w:val="single" w:sz="4" w:space="0" w:color="auto"/>
              <w:bottom w:val="single" w:sz="4" w:space="0" w:color="auto"/>
              <w:right w:val="single" w:sz="4" w:space="0" w:color="auto"/>
            </w:tcBorders>
          </w:tcPr>
          <w:p w14:paraId="666FFFDB"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08102K</w:t>
            </w:r>
          </w:p>
        </w:tc>
        <w:tc>
          <w:tcPr>
            <w:tcW w:w="3118" w:type="dxa"/>
            <w:tcBorders>
              <w:top w:val="nil"/>
              <w:left w:val="nil"/>
              <w:bottom w:val="single" w:sz="4" w:space="0" w:color="auto"/>
              <w:right w:val="single" w:sz="4" w:space="0" w:color="auto"/>
            </w:tcBorders>
          </w:tcPr>
          <w:p w14:paraId="71B76E8A" w14:textId="77777777" w:rsidR="00CA0F1A" w:rsidRPr="00B5597F" w:rsidRDefault="00CA0F1A" w:rsidP="00D069E4">
            <w:pPr>
              <w:pStyle w:val="Tableheading"/>
              <w:jc w:val="left"/>
              <w:rPr>
                <w:rFonts w:cstheme="minorHAnsi"/>
                <w:b w:val="0"/>
                <w:sz w:val="20"/>
                <w:szCs w:val="20"/>
              </w:rPr>
            </w:pPr>
            <w:r>
              <w:rPr>
                <w:rFonts w:cstheme="minorHAnsi"/>
                <w:b w:val="0"/>
                <w:sz w:val="20"/>
                <w:szCs w:val="20"/>
              </w:rPr>
              <w:t>alendronate</w:t>
            </w:r>
          </w:p>
        </w:tc>
        <w:tc>
          <w:tcPr>
            <w:tcW w:w="1406" w:type="dxa"/>
            <w:tcBorders>
              <w:top w:val="nil"/>
              <w:left w:val="nil"/>
              <w:bottom w:val="single" w:sz="4" w:space="0" w:color="auto"/>
              <w:right w:val="single" w:sz="4" w:space="0" w:color="auto"/>
            </w:tcBorders>
          </w:tcPr>
          <w:p w14:paraId="2518993F"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M05BA04</w:t>
            </w:r>
          </w:p>
        </w:tc>
        <w:tc>
          <w:tcPr>
            <w:tcW w:w="1434" w:type="dxa"/>
            <w:tcBorders>
              <w:top w:val="nil"/>
              <w:left w:val="nil"/>
              <w:bottom w:val="single" w:sz="4" w:space="0" w:color="auto"/>
              <w:right w:val="single" w:sz="4" w:space="0" w:color="auto"/>
            </w:tcBorders>
          </w:tcPr>
          <w:p w14:paraId="3BBBDC21" w14:textId="6C662B92"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694BC1">
              <w:rPr>
                <w:rFonts w:cstheme="minorHAnsi"/>
                <w:b w:val="0"/>
                <w:sz w:val="20"/>
                <w:szCs w:val="20"/>
              </w:rPr>
              <w:t xml:space="preserve"> </w:t>
            </w:r>
            <w:r w:rsidRPr="00B5597F">
              <w:rPr>
                <w:rFonts w:cstheme="minorHAnsi"/>
                <w:b w:val="0"/>
                <w:sz w:val="20"/>
                <w:szCs w:val="20"/>
              </w:rPr>
              <w:t>May</w:t>
            </w:r>
            <w:r w:rsidR="00694BC1">
              <w:rPr>
                <w:rFonts w:cstheme="minorHAnsi"/>
                <w:b w:val="0"/>
                <w:sz w:val="20"/>
                <w:szCs w:val="20"/>
              </w:rPr>
              <w:t xml:space="preserve"> </w:t>
            </w:r>
            <w:r w:rsidRPr="00B5597F">
              <w:rPr>
                <w:rFonts w:cstheme="minorHAnsi"/>
                <w:b w:val="0"/>
                <w:sz w:val="20"/>
                <w:szCs w:val="20"/>
              </w:rPr>
              <w:t>2001</w:t>
            </w:r>
          </w:p>
        </w:tc>
        <w:tc>
          <w:tcPr>
            <w:tcW w:w="1434" w:type="dxa"/>
            <w:tcBorders>
              <w:top w:val="nil"/>
              <w:left w:val="nil"/>
              <w:bottom w:val="single" w:sz="4" w:space="0" w:color="auto"/>
              <w:right w:val="single" w:sz="4" w:space="0" w:color="auto"/>
            </w:tcBorders>
          </w:tcPr>
          <w:p w14:paraId="30F8BA73" w14:textId="4216282B"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30</w:t>
            </w:r>
            <w:r w:rsidR="00694BC1">
              <w:rPr>
                <w:rFonts w:cstheme="minorHAnsi"/>
                <w:b w:val="0"/>
                <w:sz w:val="20"/>
                <w:szCs w:val="20"/>
              </w:rPr>
              <w:t xml:space="preserve"> </w:t>
            </w:r>
            <w:r w:rsidRPr="00B5597F">
              <w:rPr>
                <w:rFonts w:cstheme="minorHAnsi"/>
                <w:b w:val="0"/>
                <w:sz w:val="20"/>
                <w:szCs w:val="20"/>
              </w:rPr>
              <w:t>Nov</w:t>
            </w:r>
            <w:r w:rsidR="00694BC1">
              <w:rPr>
                <w:rFonts w:cstheme="minorHAnsi"/>
                <w:b w:val="0"/>
                <w:sz w:val="20"/>
                <w:szCs w:val="20"/>
              </w:rPr>
              <w:t xml:space="preserve"> </w:t>
            </w:r>
            <w:r w:rsidRPr="00B5597F">
              <w:rPr>
                <w:rFonts w:cstheme="minorHAnsi"/>
                <w:b w:val="0"/>
                <w:sz w:val="20"/>
                <w:szCs w:val="20"/>
              </w:rPr>
              <w:t>2004</w:t>
            </w:r>
          </w:p>
        </w:tc>
      </w:tr>
      <w:tr w:rsidR="00CA0F1A" w14:paraId="43A8CA67" w14:textId="77777777" w:rsidTr="00D069E4">
        <w:trPr>
          <w:trHeight w:val="20"/>
        </w:trPr>
        <w:tc>
          <w:tcPr>
            <w:tcW w:w="1462" w:type="dxa"/>
            <w:tcBorders>
              <w:top w:val="nil"/>
              <w:left w:val="single" w:sz="4" w:space="0" w:color="auto"/>
              <w:bottom w:val="single" w:sz="4" w:space="0" w:color="auto"/>
              <w:right w:val="single" w:sz="4" w:space="0" w:color="auto"/>
            </w:tcBorders>
          </w:tcPr>
          <w:p w14:paraId="47A0E080"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08511Y</w:t>
            </w:r>
          </w:p>
        </w:tc>
        <w:tc>
          <w:tcPr>
            <w:tcW w:w="3118" w:type="dxa"/>
            <w:tcBorders>
              <w:top w:val="nil"/>
              <w:left w:val="nil"/>
              <w:bottom w:val="single" w:sz="4" w:space="0" w:color="auto"/>
              <w:right w:val="single" w:sz="4" w:space="0" w:color="auto"/>
            </w:tcBorders>
          </w:tcPr>
          <w:p w14:paraId="01D169D7" w14:textId="77777777" w:rsidR="00CA0F1A" w:rsidRPr="00B5597F" w:rsidRDefault="00CA0F1A" w:rsidP="00D069E4">
            <w:pPr>
              <w:pStyle w:val="Tableheading"/>
              <w:jc w:val="left"/>
              <w:rPr>
                <w:rFonts w:cstheme="minorHAnsi"/>
                <w:b w:val="0"/>
                <w:sz w:val="20"/>
                <w:szCs w:val="20"/>
              </w:rPr>
            </w:pPr>
            <w:r>
              <w:rPr>
                <w:rFonts w:cstheme="minorHAnsi"/>
                <w:b w:val="0"/>
                <w:sz w:val="20"/>
                <w:szCs w:val="20"/>
              </w:rPr>
              <w:t>alendronate</w:t>
            </w:r>
          </w:p>
        </w:tc>
        <w:tc>
          <w:tcPr>
            <w:tcW w:w="1406" w:type="dxa"/>
            <w:tcBorders>
              <w:top w:val="nil"/>
              <w:left w:val="nil"/>
              <w:bottom w:val="single" w:sz="4" w:space="0" w:color="auto"/>
              <w:right w:val="single" w:sz="4" w:space="0" w:color="auto"/>
            </w:tcBorders>
          </w:tcPr>
          <w:p w14:paraId="59D620B1"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M05BA04</w:t>
            </w:r>
          </w:p>
        </w:tc>
        <w:tc>
          <w:tcPr>
            <w:tcW w:w="1434" w:type="dxa"/>
            <w:tcBorders>
              <w:top w:val="nil"/>
              <w:left w:val="nil"/>
              <w:bottom w:val="single" w:sz="4" w:space="0" w:color="auto"/>
              <w:right w:val="single" w:sz="4" w:space="0" w:color="auto"/>
            </w:tcBorders>
          </w:tcPr>
          <w:p w14:paraId="06B0FA00" w14:textId="657DC40C"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694BC1">
              <w:rPr>
                <w:rFonts w:cstheme="minorHAnsi"/>
                <w:b w:val="0"/>
                <w:sz w:val="20"/>
                <w:szCs w:val="20"/>
              </w:rPr>
              <w:t xml:space="preserve"> </w:t>
            </w:r>
            <w:r w:rsidRPr="00B5597F">
              <w:rPr>
                <w:rFonts w:cstheme="minorHAnsi"/>
                <w:b w:val="0"/>
                <w:sz w:val="20"/>
                <w:szCs w:val="20"/>
              </w:rPr>
              <w:t>Aug</w:t>
            </w:r>
            <w:r w:rsidR="00694BC1">
              <w:rPr>
                <w:rFonts w:cstheme="minorHAnsi"/>
                <w:b w:val="0"/>
                <w:sz w:val="20"/>
                <w:szCs w:val="20"/>
              </w:rPr>
              <w:t xml:space="preserve"> </w:t>
            </w:r>
            <w:r w:rsidRPr="00B5597F">
              <w:rPr>
                <w:rFonts w:cstheme="minorHAnsi"/>
                <w:b w:val="0"/>
                <w:sz w:val="20"/>
                <w:szCs w:val="20"/>
              </w:rPr>
              <w:t>2001</w:t>
            </w:r>
          </w:p>
        </w:tc>
        <w:tc>
          <w:tcPr>
            <w:tcW w:w="1434" w:type="dxa"/>
            <w:tcBorders>
              <w:top w:val="nil"/>
              <w:left w:val="nil"/>
              <w:bottom w:val="single" w:sz="4" w:space="0" w:color="auto"/>
              <w:right w:val="single" w:sz="4" w:space="0" w:color="auto"/>
            </w:tcBorders>
          </w:tcPr>
          <w:p w14:paraId="4E73985B" w14:textId="77777777" w:rsidR="00CA0F1A" w:rsidRPr="00B5597F" w:rsidRDefault="00CA0F1A" w:rsidP="00D069E4">
            <w:pPr>
              <w:pStyle w:val="Tableheading"/>
              <w:jc w:val="left"/>
              <w:rPr>
                <w:rFonts w:cstheme="minorHAnsi"/>
                <w:b w:val="0"/>
                <w:sz w:val="20"/>
                <w:szCs w:val="20"/>
              </w:rPr>
            </w:pPr>
          </w:p>
        </w:tc>
      </w:tr>
      <w:tr w:rsidR="00CA0F1A" w14:paraId="1A08FF0A" w14:textId="77777777" w:rsidTr="00D069E4">
        <w:trPr>
          <w:trHeight w:val="20"/>
        </w:trPr>
        <w:tc>
          <w:tcPr>
            <w:tcW w:w="1462" w:type="dxa"/>
            <w:tcBorders>
              <w:top w:val="nil"/>
              <w:left w:val="single" w:sz="4" w:space="0" w:color="auto"/>
              <w:bottom w:val="single" w:sz="4" w:space="0" w:color="auto"/>
              <w:right w:val="single" w:sz="4" w:space="0" w:color="auto"/>
            </w:tcBorders>
          </w:tcPr>
          <w:p w14:paraId="3D69A81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09012H</w:t>
            </w:r>
          </w:p>
        </w:tc>
        <w:tc>
          <w:tcPr>
            <w:tcW w:w="3118" w:type="dxa"/>
            <w:tcBorders>
              <w:top w:val="nil"/>
              <w:left w:val="nil"/>
              <w:bottom w:val="single" w:sz="4" w:space="0" w:color="auto"/>
              <w:right w:val="single" w:sz="4" w:space="0" w:color="auto"/>
            </w:tcBorders>
          </w:tcPr>
          <w:p w14:paraId="19631A15"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alendronate + colecalciferol</w:t>
            </w:r>
          </w:p>
        </w:tc>
        <w:tc>
          <w:tcPr>
            <w:tcW w:w="1406" w:type="dxa"/>
            <w:tcBorders>
              <w:top w:val="nil"/>
              <w:left w:val="nil"/>
              <w:bottom w:val="single" w:sz="4" w:space="0" w:color="auto"/>
              <w:right w:val="single" w:sz="4" w:space="0" w:color="auto"/>
            </w:tcBorders>
          </w:tcPr>
          <w:p w14:paraId="09EC5E4A"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M05BB03</w:t>
            </w:r>
          </w:p>
        </w:tc>
        <w:tc>
          <w:tcPr>
            <w:tcW w:w="1434" w:type="dxa"/>
            <w:tcBorders>
              <w:top w:val="nil"/>
              <w:left w:val="nil"/>
              <w:bottom w:val="single" w:sz="4" w:space="0" w:color="auto"/>
              <w:right w:val="single" w:sz="4" w:space="0" w:color="auto"/>
            </w:tcBorders>
          </w:tcPr>
          <w:p w14:paraId="4BE9FB5F" w14:textId="61FF0261"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694BC1">
              <w:rPr>
                <w:rFonts w:cstheme="minorHAnsi"/>
                <w:b w:val="0"/>
                <w:sz w:val="20"/>
                <w:szCs w:val="20"/>
              </w:rPr>
              <w:t xml:space="preserve"> </w:t>
            </w:r>
            <w:r w:rsidRPr="00B5597F">
              <w:rPr>
                <w:rFonts w:cstheme="minorHAnsi"/>
                <w:b w:val="0"/>
                <w:sz w:val="20"/>
                <w:szCs w:val="20"/>
              </w:rPr>
              <w:t>Aug</w:t>
            </w:r>
            <w:r w:rsidR="00694BC1">
              <w:rPr>
                <w:rFonts w:cstheme="minorHAnsi"/>
                <w:b w:val="0"/>
                <w:sz w:val="20"/>
                <w:szCs w:val="20"/>
              </w:rPr>
              <w:t xml:space="preserve"> </w:t>
            </w:r>
            <w:r w:rsidRPr="00B5597F">
              <w:rPr>
                <w:rFonts w:cstheme="minorHAnsi"/>
                <w:b w:val="0"/>
                <w:sz w:val="20"/>
                <w:szCs w:val="20"/>
              </w:rPr>
              <w:t>2006</w:t>
            </w:r>
          </w:p>
        </w:tc>
        <w:tc>
          <w:tcPr>
            <w:tcW w:w="1434" w:type="dxa"/>
            <w:tcBorders>
              <w:top w:val="nil"/>
              <w:left w:val="nil"/>
              <w:bottom w:val="single" w:sz="4" w:space="0" w:color="auto"/>
              <w:right w:val="single" w:sz="4" w:space="0" w:color="auto"/>
            </w:tcBorders>
          </w:tcPr>
          <w:p w14:paraId="6A5D5815" w14:textId="77777777" w:rsidR="00CA0F1A" w:rsidRPr="00B5597F" w:rsidRDefault="00CA0F1A" w:rsidP="00D069E4">
            <w:pPr>
              <w:pStyle w:val="Tableheading"/>
              <w:jc w:val="left"/>
              <w:rPr>
                <w:rFonts w:cstheme="minorHAnsi"/>
                <w:b w:val="0"/>
                <w:sz w:val="20"/>
                <w:szCs w:val="20"/>
              </w:rPr>
            </w:pPr>
          </w:p>
        </w:tc>
      </w:tr>
      <w:tr w:rsidR="00CA0F1A" w14:paraId="404C8291" w14:textId="77777777" w:rsidTr="00D069E4">
        <w:trPr>
          <w:trHeight w:val="20"/>
        </w:trPr>
        <w:tc>
          <w:tcPr>
            <w:tcW w:w="1462" w:type="dxa"/>
            <w:tcBorders>
              <w:top w:val="nil"/>
              <w:left w:val="single" w:sz="4" w:space="0" w:color="auto"/>
              <w:bottom w:val="single" w:sz="4" w:space="0" w:color="auto"/>
              <w:right w:val="single" w:sz="4" w:space="0" w:color="auto"/>
            </w:tcBorders>
          </w:tcPr>
          <w:p w14:paraId="662CDB34"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09183H</w:t>
            </w:r>
          </w:p>
        </w:tc>
        <w:tc>
          <w:tcPr>
            <w:tcW w:w="3118" w:type="dxa"/>
            <w:tcBorders>
              <w:top w:val="nil"/>
              <w:left w:val="nil"/>
              <w:bottom w:val="single" w:sz="4" w:space="0" w:color="auto"/>
              <w:right w:val="single" w:sz="4" w:space="0" w:color="auto"/>
            </w:tcBorders>
          </w:tcPr>
          <w:p w14:paraId="61E2390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alendronate + colecalciferol</w:t>
            </w:r>
          </w:p>
        </w:tc>
        <w:tc>
          <w:tcPr>
            <w:tcW w:w="1406" w:type="dxa"/>
            <w:tcBorders>
              <w:top w:val="nil"/>
              <w:left w:val="nil"/>
              <w:bottom w:val="single" w:sz="4" w:space="0" w:color="auto"/>
              <w:right w:val="single" w:sz="4" w:space="0" w:color="auto"/>
            </w:tcBorders>
          </w:tcPr>
          <w:p w14:paraId="3EB3756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M05BB03</w:t>
            </w:r>
          </w:p>
        </w:tc>
        <w:tc>
          <w:tcPr>
            <w:tcW w:w="1434" w:type="dxa"/>
            <w:tcBorders>
              <w:top w:val="nil"/>
              <w:left w:val="nil"/>
              <w:bottom w:val="single" w:sz="4" w:space="0" w:color="auto"/>
              <w:right w:val="single" w:sz="4" w:space="0" w:color="auto"/>
            </w:tcBorders>
          </w:tcPr>
          <w:p w14:paraId="05AC97F0" w14:textId="4C7CA4A2"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2127F0">
              <w:rPr>
                <w:rFonts w:cstheme="minorHAnsi"/>
                <w:b w:val="0"/>
                <w:sz w:val="20"/>
                <w:szCs w:val="20"/>
              </w:rPr>
              <w:t xml:space="preserve"> </w:t>
            </w:r>
            <w:r w:rsidRPr="00B5597F">
              <w:rPr>
                <w:rFonts w:cstheme="minorHAnsi"/>
                <w:b w:val="0"/>
                <w:sz w:val="20"/>
                <w:szCs w:val="20"/>
              </w:rPr>
              <w:t>Aug</w:t>
            </w:r>
            <w:r w:rsidR="00694BC1">
              <w:rPr>
                <w:rFonts w:cstheme="minorHAnsi"/>
                <w:b w:val="0"/>
                <w:sz w:val="20"/>
                <w:szCs w:val="20"/>
              </w:rPr>
              <w:t xml:space="preserve"> </w:t>
            </w:r>
            <w:r w:rsidRPr="00B5597F">
              <w:rPr>
                <w:rFonts w:cstheme="minorHAnsi"/>
                <w:b w:val="0"/>
                <w:sz w:val="20"/>
                <w:szCs w:val="20"/>
              </w:rPr>
              <w:t>2008</w:t>
            </w:r>
          </w:p>
        </w:tc>
        <w:tc>
          <w:tcPr>
            <w:tcW w:w="1434" w:type="dxa"/>
            <w:tcBorders>
              <w:top w:val="nil"/>
              <w:left w:val="nil"/>
              <w:bottom w:val="single" w:sz="4" w:space="0" w:color="auto"/>
              <w:right w:val="single" w:sz="4" w:space="0" w:color="auto"/>
            </w:tcBorders>
          </w:tcPr>
          <w:p w14:paraId="494D94A6" w14:textId="77777777" w:rsidR="00CA0F1A" w:rsidRPr="00B5597F" w:rsidRDefault="00CA0F1A" w:rsidP="00D069E4">
            <w:pPr>
              <w:pStyle w:val="Tableheading"/>
              <w:jc w:val="left"/>
              <w:rPr>
                <w:rFonts w:cstheme="minorHAnsi"/>
                <w:b w:val="0"/>
                <w:sz w:val="20"/>
                <w:szCs w:val="20"/>
              </w:rPr>
            </w:pPr>
          </w:p>
        </w:tc>
      </w:tr>
      <w:tr w:rsidR="00CA0F1A" w14:paraId="7CCAB2F8" w14:textId="77777777" w:rsidTr="00D069E4">
        <w:trPr>
          <w:trHeight w:val="20"/>
        </w:trPr>
        <w:tc>
          <w:tcPr>
            <w:tcW w:w="1462" w:type="dxa"/>
            <w:tcBorders>
              <w:top w:val="nil"/>
              <w:left w:val="single" w:sz="4" w:space="0" w:color="auto"/>
              <w:bottom w:val="single" w:sz="4" w:space="0" w:color="auto"/>
              <w:right w:val="single" w:sz="4" w:space="0" w:color="auto"/>
            </w:tcBorders>
          </w:tcPr>
          <w:p w14:paraId="5239BB7B"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02502Q</w:t>
            </w:r>
          </w:p>
        </w:tc>
        <w:tc>
          <w:tcPr>
            <w:tcW w:w="3118" w:type="dxa"/>
            <w:tcBorders>
              <w:top w:val="nil"/>
              <w:left w:val="nil"/>
              <w:bottom w:val="single" w:sz="4" w:space="0" w:color="auto"/>
              <w:right w:val="single" w:sz="4" w:space="0" w:color="auto"/>
            </w:tcBorders>
          </w:tcPr>
          <w:p w14:paraId="0BDA507A"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calcitriol</w:t>
            </w:r>
          </w:p>
        </w:tc>
        <w:tc>
          <w:tcPr>
            <w:tcW w:w="1406" w:type="dxa"/>
            <w:tcBorders>
              <w:top w:val="nil"/>
              <w:left w:val="nil"/>
              <w:bottom w:val="single" w:sz="4" w:space="0" w:color="auto"/>
              <w:right w:val="single" w:sz="4" w:space="0" w:color="auto"/>
            </w:tcBorders>
          </w:tcPr>
          <w:p w14:paraId="514E1649"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A11CC04</w:t>
            </w:r>
          </w:p>
        </w:tc>
        <w:tc>
          <w:tcPr>
            <w:tcW w:w="1434" w:type="dxa"/>
            <w:tcBorders>
              <w:top w:val="nil"/>
              <w:left w:val="nil"/>
              <w:bottom w:val="single" w:sz="4" w:space="0" w:color="auto"/>
              <w:right w:val="single" w:sz="4" w:space="0" w:color="auto"/>
            </w:tcBorders>
          </w:tcPr>
          <w:p w14:paraId="3BB9D0AD" w14:textId="4B671425"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2127F0">
              <w:rPr>
                <w:rFonts w:cstheme="minorHAnsi"/>
                <w:b w:val="0"/>
                <w:sz w:val="20"/>
                <w:szCs w:val="20"/>
              </w:rPr>
              <w:t xml:space="preserve"> </w:t>
            </w:r>
            <w:r w:rsidRPr="00B5597F">
              <w:rPr>
                <w:rFonts w:cstheme="minorHAnsi"/>
                <w:b w:val="0"/>
                <w:sz w:val="20"/>
                <w:szCs w:val="20"/>
              </w:rPr>
              <w:t>May</w:t>
            </w:r>
            <w:r w:rsidR="00694BC1">
              <w:rPr>
                <w:rFonts w:cstheme="minorHAnsi"/>
                <w:b w:val="0"/>
                <w:sz w:val="20"/>
                <w:szCs w:val="20"/>
              </w:rPr>
              <w:t xml:space="preserve"> </w:t>
            </w:r>
            <w:r w:rsidRPr="00B5597F">
              <w:rPr>
                <w:rFonts w:cstheme="minorHAnsi"/>
                <w:b w:val="0"/>
                <w:sz w:val="20"/>
                <w:szCs w:val="20"/>
              </w:rPr>
              <w:t>2000</w:t>
            </w:r>
          </w:p>
        </w:tc>
        <w:tc>
          <w:tcPr>
            <w:tcW w:w="1434" w:type="dxa"/>
            <w:tcBorders>
              <w:top w:val="nil"/>
              <w:left w:val="nil"/>
              <w:bottom w:val="single" w:sz="4" w:space="0" w:color="auto"/>
              <w:right w:val="single" w:sz="4" w:space="0" w:color="auto"/>
            </w:tcBorders>
          </w:tcPr>
          <w:p w14:paraId="628754BD" w14:textId="77777777" w:rsidR="00CA0F1A" w:rsidRPr="00B5597F" w:rsidRDefault="00CA0F1A" w:rsidP="00D069E4">
            <w:pPr>
              <w:pStyle w:val="Tableheading"/>
              <w:jc w:val="left"/>
              <w:rPr>
                <w:rFonts w:cstheme="minorHAnsi"/>
                <w:b w:val="0"/>
                <w:sz w:val="20"/>
                <w:szCs w:val="20"/>
              </w:rPr>
            </w:pPr>
          </w:p>
        </w:tc>
      </w:tr>
      <w:tr w:rsidR="00CA0F1A" w14:paraId="21D3E137" w14:textId="77777777" w:rsidTr="00D069E4">
        <w:trPr>
          <w:trHeight w:val="20"/>
        </w:trPr>
        <w:tc>
          <w:tcPr>
            <w:tcW w:w="1462" w:type="dxa"/>
            <w:tcBorders>
              <w:top w:val="nil"/>
              <w:left w:val="single" w:sz="4" w:space="0" w:color="auto"/>
              <w:bottom w:val="single" w:sz="4" w:space="0" w:color="auto"/>
              <w:right w:val="single" w:sz="4" w:space="0" w:color="auto"/>
            </w:tcBorders>
          </w:tcPr>
          <w:p w14:paraId="0740CBE8"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05457F</w:t>
            </w:r>
          </w:p>
        </w:tc>
        <w:tc>
          <w:tcPr>
            <w:tcW w:w="3118" w:type="dxa"/>
            <w:tcBorders>
              <w:top w:val="nil"/>
              <w:left w:val="nil"/>
              <w:bottom w:val="single" w:sz="4" w:space="0" w:color="auto"/>
              <w:right w:val="single" w:sz="4" w:space="0" w:color="auto"/>
            </w:tcBorders>
          </w:tcPr>
          <w:p w14:paraId="5BDB47D7"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denosumab</w:t>
            </w:r>
          </w:p>
        </w:tc>
        <w:tc>
          <w:tcPr>
            <w:tcW w:w="1406" w:type="dxa"/>
            <w:tcBorders>
              <w:top w:val="nil"/>
              <w:left w:val="nil"/>
              <w:bottom w:val="single" w:sz="4" w:space="0" w:color="auto"/>
              <w:right w:val="single" w:sz="4" w:space="0" w:color="auto"/>
            </w:tcBorders>
          </w:tcPr>
          <w:p w14:paraId="065FE4AA"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M05BX04</w:t>
            </w:r>
          </w:p>
        </w:tc>
        <w:tc>
          <w:tcPr>
            <w:tcW w:w="1434" w:type="dxa"/>
            <w:tcBorders>
              <w:top w:val="nil"/>
              <w:left w:val="nil"/>
              <w:bottom w:val="single" w:sz="4" w:space="0" w:color="auto"/>
              <w:right w:val="single" w:sz="4" w:space="0" w:color="auto"/>
            </w:tcBorders>
          </w:tcPr>
          <w:p w14:paraId="27D41444" w14:textId="7F38EAFB"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18</w:t>
            </w:r>
            <w:r w:rsidR="009C7C2C">
              <w:rPr>
                <w:rFonts w:cstheme="minorHAnsi"/>
                <w:b w:val="0"/>
                <w:sz w:val="20"/>
                <w:szCs w:val="20"/>
              </w:rPr>
              <w:t xml:space="preserve"> </w:t>
            </w:r>
            <w:r w:rsidRPr="00B5597F">
              <w:rPr>
                <w:rFonts w:cstheme="minorHAnsi"/>
                <w:b w:val="0"/>
                <w:sz w:val="20"/>
                <w:szCs w:val="20"/>
              </w:rPr>
              <w:t>Oct</w:t>
            </w:r>
            <w:r w:rsidR="009C7C2C">
              <w:rPr>
                <w:rFonts w:cstheme="minorHAnsi"/>
                <w:b w:val="0"/>
                <w:sz w:val="20"/>
                <w:szCs w:val="20"/>
              </w:rPr>
              <w:t xml:space="preserve"> 20</w:t>
            </w:r>
            <w:r w:rsidRPr="00B5597F">
              <w:rPr>
                <w:rFonts w:cstheme="minorHAnsi"/>
                <w:b w:val="0"/>
                <w:sz w:val="20"/>
                <w:szCs w:val="20"/>
              </w:rPr>
              <w:t>09</w:t>
            </w:r>
          </w:p>
        </w:tc>
        <w:tc>
          <w:tcPr>
            <w:tcW w:w="1434" w:type="dxa"/>
            <w:tcBorders>
              <w:top w:val="nil"/>
              <w:left w:val="nil"/>
              <w:bottom w:val="single" w:sz="4" w:space="0" w:color="auto"/>
              <w:right w:val="single" w:sz="4" w:space="0" w:color="auto"/>
            </w:tcBorders>
          </w:tcPr>
          <w:p w14:paraId="0E1A4BA0" w14:textId="77777777" w:rsidR="00CA0F1A" w:rsidRPr="00B5597F" w:rsidRDefault="00CA0F1A" w:rsidP="00D069E4">
            <w:pPr>
              <w:pStyle w:val="Tableheading"/>
              <w:jc w:val="left"/>
              <w:rPr>
                <w:rFonts w:cstheme="minorHAnsi"/>
                <w:b w:val="0"/>
                <w:sz w:val="20"/>
                <w:szCs w:val="20"/>
              </w:rPr>
            </w:pPr>
          </w:p>
        </w:tc>
      </w:tr>
      <w:tr w:rsidR="00CA0F1A" w14:paraId="02EDCB3B"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6C076FB9"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08363E</w:t>
            </w:r>
          </w:p>
        </w:tc>
        <w:tc>
          <w:tcPr>
            <w:tcW w:w="3118" w:type="dxa"/>
            <w:tcBorders>
              <w:top w:val="single" w:sz="4" w:space="0" w:color="auto"/>
              <w:left w:val="nil"/>
              <w:bottom w:val="single" w:sz="4" w:space="0" w:color="auto"/>
              <w:right w:val="single" w:sz="4" w:space="0" w:color="auto"/>
            </w:tcBorders>
          </w:tcPr>
          <w:p w14:paraId="74561001"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raloxifene</w:t>
            </w:r>
          </w:p>
        </w:tc>
        <w:tc>
          <w:tcPr>
            <w:tcW w:w="1406" w:type="dxa"/>
            <w:tcBorders>
              <w:top w:val="single" w:sz="4" w:space="0" w:color="auto"/>
              <w:left w:val="nil"/>
              <w:bottom w:val="single" w:sz="4" w:space="0" w:color="auto"/>
              <w:right w:val="single" w:sz="4" w:space="0" w:color="auto"/>
            </w:tcBorders>
          </w:tcPr>
          <w:p w14:paraId="24B0E3B0"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G03XC01</w:t>
            </w:r>
          </w:p>
        </w:tc>
        <w:tc>
          <w:tcPr>
            <w:tcW w:w="1434" w:type="dxa"/>
            <w:tcBorders>
              <w:top w:val="single" w:sz="4" w:space="0" w:color="auto"/>
              <w:left w:val="nil"/>
              <w:bottom w:val="single" w:sz="4" w:space="0" w:color="auto"/>
              <w:right w:val="single" w:sz="4" w:space="0" w:color="auto"/>
            </w:tcBorders>
          </w:tcPr>
          <w:p w14:paraId="311B8B04" w14:textId="0F6BE34E"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May</w:t>
            </w:r>
            <w:r w:rsidR="00507137">
              <w:rPr>
                <w:rFonts w:cstheme="minorHAnsi"/>
                <w:b w:val="0"/>
                <w:sz w:val="20"/>
                <w:szCs w:val="20"/>
              </w:rPr>
              <w:t xml:space="preserve"> </w:t>
            </w:r>
            <w:r w:rsidRPr="00B5597F">
              <w:rPr>
                <w:rFonts w:cstheme="minorHAnsi"/>
                <w:b w:val="0"/>
                <w:sz w:val="20"/>
                <w:szCs w:val="20"/>
              </w:rPr>
              <w:t>2000</w:t>
            </w:r>
          </w:p>
        </w:tc>
        <w:tc>
          <w:tcPr>
            <w:tcW w:w="1434" w:type="dxa"/>
            <w:tcBorders>
              <w:top w:val="single" w:sz="4" w:space="0" w:color="auto"/>
              <w:left w:val="nil"/>
              <w:bottom w:val="single" w:sz="4" w:space="0" w:color="auto"/>
              <w:right w:val="single" w:sz="4" w:space="0" w:color="auto"/>
            </w:tcBorders>
          </w:tcPr>
          <w:p w14:paraId="08B0D526" w14:textId="77777777" w:rsidR="00CA0F1A" w:rsidRPr="00B5597F" w:rsidRDefault="00CA0F1A" w:rsidP="00D069E4">
            <w:pPr>
              <w:pStyle w:val="Tableheading"/>
              <w:jc w:val="left"/>
              <w:rPr>
                <w:rFonts w:cstheme="minorHAnsi"/>
                <w:b w:val="0"/>
                <w:sz w:val="20"/>
                <w:szCs w:val="20"/>
              </w:rPr>
            </w:pPr>
          </w:p>
        </w:tc>
      </w:tr>
      <w:tr w:rsidR="00CA0F1A" w14:paraId="27B2079D"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779A414A"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08481J</w:t>
            </w:r>
          </w:p>
        </w:tc>
        <w:tc>
          <w:tcPr>
            <w:tcW w:w="3118" w:type="dxa"/>
            <w:tcBorders>
              <w:top w:val="single" w:sz="4" w:space="0" w:color="auto"/>
              <w:left w:val="nil"/>
              <w:bottom w:val="single" w:sz="4" w:space="0" w:color="auto"/>
              <w:right w:val="single" w:sz="4" w:space="0" w:color="auto"/>
            </w:tcBorders>
          </w:tcPr>
          <w:p w14:paraId="73C7B030"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risedronate</w:t>
            </w:r>
          </w:p>
        </w:tc>
        <w:tc>
          <w:tcPr>
            <w:tcW w:w="1406" w:type="dxa"/>
            <w:tcBorders>
              <w:top w:val="single" w:sz="4" w:space="0" w:color="auto"/>
              <w:left w:val="nil"/>
              <w:bottom w:val="single" w:sz="4" w:space="0" w:color="auto"/>
              <w:right w:val="single" w:sz="4" w:space="0" w:color="auto"/>
            </w:tcBorders>
          </w:tcPr>
          <w:p w14:paraId="4EBF1F64"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M05BA07</w:t>
            </w:r>
          </w:p>
        </w:tc>
        <w:tc>
          <w:tcPr>
            <w:tcW w:w="1434" w:type="dxa"/>
            <w:tcBorders>
              <w:top w:val="single" w:sz="4" w:space="0" w:color="auto"/>
              <w:left w:val="nil"/>
              <w:bottom w:val="single" w:sz="4" w:space="0" w:color="auto"/>
              <w:right w:val="single" w:sz="4" w:space="0" w:color="auto"/>
            </w:tcBorders>
          </w:tcPr>
          <w:p w14:paraId="15242635" w14:textId="2D837FEE"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01</w:t>
            </w:r>
            <w:r w:rsidR="00507137">
              <w:rPr>
                <w:rFonts w:cstheme="minorHAnsi"/>
                <w:b w:val="0"/>
                <w:sz w:val="20"/>
                <w:szCs w:val="20"/>
              </w:rPr>
              <w:t xml:space="preserve"> </w:t>
            </w:r>
            <w:r w:rsidRPr="00BE0DCA">
              <w:rPr>
                <w:rFonts w:cstheme="minorHAnsi"/>
                <w:b w:val="0"/>
                <w:sz w:val="20"/>
                <w:szCs w:val="20"/>
              </w:rPr>
              <w:t>Aug</w:t>
            </w:r>
            <w:r w:rsidR="00507137">
              <w:rPr>
                <w:rFonts w:cstheme="minorHAnsi"/>
                <w:b w:val="0"/>
                <w:sz w:val="20"/>
                <w:szCs w:val="20"/>
              </w:rPr>
              <w:t xml:space="preserve"> </w:t>
            </w:r>
            <w:r w:rsidRPr="00BE0DCA">
              <w:rPr>
                <w:rFonts w:cstheme="minorHAnsi"/>
                <w:b w:val="0"/>
                <w:sz w:val="20"/>
                <w:szCs w:val="20"/>
              </w:rPr>
              <w:t>2003</w:t>
            </w:r>
          </w:p>
        </w:tc>
        <w:tc>
          <w:tcPr>
            <w:tcW w:w="1434" w:type="dxa"/>
            <w:tcBorders>
              <w:top w:val="single" w:sz="4" w:space="0" w:color="auto"/>
              <w:left w:val="nil"/>
              <w:bottom w:val="single" w:sz="4" w:space="0" w:color="auto"/>
              <w:right w:val="single" w:sz="4" w:space="0" w:color="auto"/>
            </w:tcBorders>
          </w:tcPr>
          <w:p w14:paraId="26DA81CB" w14:textId="77777777" w:rsidR="00CA0F1A" w:rsidRPr="00B5597F" w:rsidRDefault="00CA0F1A" w:rsidP="00D069E4">
            <w:pPr>
              <w:pStyle w:val="Tableheading"/>
              <w:jc w:val="left"/>
              <w:rPr>
                <w:rFonts w:cstheme="minorHAnsi"/>
                <w:b w:val="0"/>
                <w:sz w:val="20"/>
                <w:szCs w:val="20"/>
              </w:rPr>
            </w:pPr>
          </w:p>
        </w:tc>
      </w:tr>
      <w:tr w:rsidR="00CA0F1A" w14:paraId="365E617E"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73DAD4B8"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08621R</w:t>
            </w:r>
          </w:p>
        </w:tc>
        <w:tc>
          <w:tcPr>
            <w:tcW w:w="3118" w:type="dxa"/>
            <w:tcBorders>
              <w:top w:val="single" w:sz="4" w:space="0" w:color="auto"/>
              <w:left w:val="nil"/>
              <w:bottom w:val="single" w:sz="4" w:space="0" w:color="auto"/>
              <w:right w:val="single" w:sz="4" w:space="0" w:color="auto"/>
            </w:tcBorders>
          </w:tcPr>
          <w:p w14:paraId="2D1F8A03"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risedronate</w:t>
            </w:r>
          </w:p>
        </w:tc>
        <w:tc>
          <w:tcPr>
            <w:tcW w:w="1406" w:type="dxa"/>
            <w:tcBorders>
              <w:top w:val="single" w:sz="4" w:space="0" w:color="auto"/>
              <w:left w:val="nil"/>
              <w:bottom w:val="single" w:sz="4" w:space="0" w:color="auto"/>
              <w:right w:val="single" w:sz="4" w:space="0" w:color="auto"/>
            </w:tcBorders>
          </w:tcPr>
          <w:p w14:paraId="2DFE4F9C"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M05BA07</w:t>
            </w:r>
          </w:p>
        </w:tc>
        <w:tc>
          <w:tcPr>
            <w:tcW w:w="1434" w:type="dxa"/>
            <w:tcBorders>
              <w:top w:val="single" w:sz="4" w:space="0" w:color="auto"/>
              <w:left w:val="nil"/>
              <w:bottom w:val="single" w:sz="4" w:space="0" w:color="auto"/>
              <w:right w:val="single" w:sz="4" w:space="0" w:color="auto"/>
            </w:tcBorders>
          </w:tcPr>
          <w:p w14:paraId="1040E832" w14:textId="09C6DFC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01</w:t>
            </w:r>
            <w:r w:rsidR="00507137">
              <w:rPr>
                <w:rFonts w:cstheme="minorHAnsi"/>
                <w:b w:val="0"/>
                <w:sz w:val="20"/>
                <w:szCs w:val="20"/>
              </w:rPr>
              <w:t xml:space="preserve"> </w:t>
            </w:r>
            <w:r w:rsidRPr="00BE0DCA">
              <w:rPr>
                <w:rFonts w:cstheme="minorHAnsi"/>
                <w:b w:val="0"/>
                <w:sz w:val="20"/>
                <w:szCs w:val="20"/>
              </w:rPr>
              <w:t>Aug</w:t>
            </w:r>
            <w:r w:rsidR="00507137">
              <w:rPr>
                <w:rFonts w:cstheme="minorHAnsi"/>
                <w:b w:val="0"/>
                <w:sz w:val="20"/>
                <w:szCs w:val="20"/>
              </w:rPr>
              <w:t xml:space="preserve"> </w:t>
            </w:r>
            <w:r w:rsidRPr="00BE0DCA">
              <w:rPr>
                <w:rFonts w:cstheme="minorHAnsi"/>
                <w:b w:val="0"/>
                <w:sz w:val="20"/>
                <w:szCs w:val="20"/>
              </w:rPr>
              <w:t>2003</w:t>
            </w:r>
          </w:p>
        </w:tc>
        <w:tc>
          <w:tcPr>
            <w:tcW w:w="1434" w:type="dxa"/>
            <w:tcBorders>
              <w:top w:val="single" w:sz="4" w:space="0" w:color="auto"/>
              <w:left w:val="nil"/>
              <w:bottom w:val="single" w:sz="4" w:space="0" w:color="auto"/>
              <w:right w:val="single" w:sz="4" w:space="0" w:color="auto"/>
            </w:tcBorders>
          </w:tcPr>
          <w:p w14:paraId="25187572" w14:textId="77777777" w:rsidR="00CA0F1A" w:rsidRPr="00B5597F" w:rsidRDefault="00CA0F1A" w:rsidP="00D069E4">
            <w:pPr>
              <w:pStyle w:val="Tableheading"/>
              <w:jc w:val="left"/>
              <w:rPr>
                <w:rFonts w:cstheme="minorHAnsi"/>
                <w:b w:val="0"/>
                <w:sz w:val="20"/>
                <w:szCs w:val="20"/>
              </w:rPr>
            </w:pPr>
          </w:p>
        </w:tc>
      </w:tr>
      <w:tr w:rsidR="00CA0F1A" w14:paraId="1D0DF02B"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5DCEF8C3"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09391G</w:t>
            </w:r>
          </w:p>
        </w:tc>
        <w:tc>
          <w:tcPr>
            <w:tcW w:w="3118" w:type="dxa"/>
            <w:tcBorders>
              <w:top w:val="single" w:sz="4" w:space="0" w:color="auto"/>
              <w:left w:val="nil"/>
              <w:bottom w:val="single" w:sz="4" w:space="0" w:color="auto"/>
              <w:right w:val="single" w:sz="4" w:space="0" w:color="auto"/>
            </w:tcBorders>
          </w:tcPr>
          <w:p w14:paraId="682A3072"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risedronate</w:t>
            </w:r>
          </w:p>
        </w:tc>
        <w:tc>
          <w:tcPr>
            <w:tcW w:w="1406" w:type="dxa"/>
            <w:tcBorders>
              <w:top w:val="single" w:sz="4" w:space="0" w:color="auto"/>
              <w:left w:val="nil"/>
              <w:bottom w:val="single" w:sz="4" w:space="0" w:color="auto"/>
              <w:right w:val="single" w:sz="4" w:space="0" w:color="auto"/>
            </w:tcBorders>
          </w:tcPr>
          <w:p w14:paraId="35917CED" w14:textId="77777777"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M05BA07</w:t>
            </w:r>
          </w:p>
        </w:tc>
        <w:tc>
          <w:tcPr>
            <w:tcW w:w="1434" w:type="dxa"/>
            <w:tcBorders>
              <w:top w:val="single" w:sz="4" w:space="0" w:color="auto"/>
              <w:left w:val="nil"/>
              <w:bottom w:val="single" w:sz="4" w:space="0" w:color="auto"/>
              <w:right w:val="single" w:sz="4" w:space="0" w:color="auto"/>
            </w:tcBorders>
          </w:tcPr>
          <w:p w14:paraId="29725F13" w14:textId="06BC8855" w:rsidR="00CA0F1A" w:rsidRPr="00B5597F" w:rsidRDefault="00CA0F1A" w:rsidP="00D069E4">
            <w:pPr>
              <w:pStyle w:val="Tableheading"/>
              <w:jc w:val="left"/>
              <w:rPr>
                <w:rFonts w:cstheme="minorHAnsi"/>
                <w:b w:val="0"/>
                <w:sz w:val="20"/>
                <w:szCs w:val="20"/>
              </w:rPr>
            </w:pPr>
            <w:r w:rsidRPr="00BE0DCA">
              <w:rPr>
                <w:rFonts w:cstheme="minorHAnsi"/>
                <w:b w:val="0"/>
                <w:sz w:val="20"/>
                <w:szCs w:val="20"/>
              </w:rPr>
              <w:t>01</w:t>
            </w:r>
            <w:r w:rsidR="00507137">
              <w:rPr>
                <w:rFonts w:cstheme="minorHAnsi"/>
                <w:b w:val="0"/>
                <w:sz w:val="20"/>
                <w:szCs w:val="20"/>
              </w:rPr>
              <w:t xml:space="preserve"> </w:t>
            </w:r>
            <w:r w:rsidRPr="00BE0DCA">
              <w:rPr>
                <w:rFonts w:cstheme="minorHAnsi"/>
                <w:b w:val="0"/>
                <w:sz w:val="20"/>
                <w:szCs w:val="20"/>
              </w:rPr>
              <w:t>Jul</w:t>
            </w:r>
            <w:r w:rsidR="00507137">
              <w:rPr>
                <w:rFonts w:cstheme="minorHAnsi"/>
                <w:b w:val="0"/>
                <w:sz w:val="20"/>
                <w:szCs w:val="20"/>
              </w:rPr>
              <w:t xml:space="preserve"> </w:t>
            </w:r>
            <w:r w:rsidRPr="00BE0DCA">
              <w:rPr>
                <w:rFonts w:cstheme="minorHAnsi"/>
                <w:b w:val="0"/>
                <w:sz w:val="20"/>
                <w:szCs w:val="20"/>
              </w:rPr>
              <w:t>2009</w:t>
            </w:r>
          </w:p>
        </w:tc>
        <w:tc>
          <w:tcPr>
            <w:tcW w:w="1434" w:type="dxa"/>
            <w:tcBorders>
              <w:top w:val="single" w:sz="4" w:space="0" w:color="auto"/>
              <w:left w:val="nil"/>
              <w:bottom w:val="single" w:sz="4" w:space="0" w:color="auto"/>
              <w:right w:val="single" w:sz="4" w:space="0" w:color="auto"/>
            </w:tcBorders>
          </w:tcPr>
          <w:p w14:paraId="23B6209D" w14:textId="77777777" w:rsidR="00CA0F1A" w:rsidRPr="00B5597F" w:rsidRDefault="00CA0F1A" w:rsidP="00D069E4">
            <w:pPr>
              <w:pStyle w:val="Tableheading"/>
              <w:jc w:val="left"/>
              <w:rPr>
                <w:rFonts w:cstheme="minorHAnsi"/>
                <w:b w:val="0"/>
                <w:sz w:val="20"/>
                <w:szCs w:val="20"/>
              </w:rPr>
            </w:pPr>
          </w:p>
        </w:tc>
      </w:tr>
      <w:tr w:rsidR="00CA0F1A" w14:paraId="0E7A2592"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3AC35FE3"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08899J</w:t>
            </w:r>
          </w:p>
        </w:tc>
        <w:tc>
          <w:tcPr>
            <w:tcW w:w="3118" w:type="dxa"/>
            <w:tcBorders>
              <w:top w:val="single" w:sz="4" w:space="0" w:color="auto"/>
              <w:left w:val="nil"/>
              <w:bottom w:val="single" w:sz="4" w:space="0" w:color="auto"/>
              <w:right w:val="single" w:sz="4" w:space="0" w:color="auto"/>
            </w:tcBorders>
          </w:tcPr>
          <w:p w14:paraId="74425F21"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risedronate (&amp;) calcium carbonate</w:t>
            </w:r>
          </w:p>
        </w:tc>
        <w:tc>
          <w:tcPr>
            <w:tcW w:w="1406" w:type="dxa"/>
            <w:tcBorders>
              <w:top w:val="single" w:sz="4" w:space="0" w:color="auto"/>
              <w:left w:val="nil"/>
              <w:bottom w:val="single" w:sz="4" w:space="0" w:color="auto"/>
              <w:right w:val="single" w:sz="4" w:space="0" w:color="auto"/>
            </w:tcBorders>
          </w:tcPr>
          <w:p w14:paraId="314862C2"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M05BB02</w:t>
            </w:r>
          </w:p>
        </w:tc>
        <w:tc>
          <w:tcPr>
            <w:tcW w:w="1434" w:type="dxa"/>
            <w:tcBorders>
              <w:top w:val="single" w:sz="4" w:space="0" w:color="auto"/>
              <w:left w:val="nil"/>
              <w:bottom w:val="single" w:sz="4" w:space="0" w:color="auto"/>
              <w:right w:val="single" w:sz="4" w:space="0" w:color="auto"/>
            </w:tcBorders>
          </w:tcPr>
          <w:p w14:paraId="41018A5D" w14:textId="2DB4A8CD"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Apr</w:t>
            </w:r>
            <w:r w:rsidR="00507137">
              <w:rPr>
                <w:rFonts w:cstheme="minorHAnsi"/>
                <w:b w:val="0"/>
                <w:sz w:val="20"/>
                <w:szCs w:val="20"/>
              </w:rPr>
              <w:t xml:space="preserve"> </w:t>
            </w:r>
            <w:r w:rsidRPr="00B5597F">
              <w:rPr>
                <w:rFonts w:cstheme="minorHAnsi"/>
                <w:b w:val="0"/>
                <w:sz w:val="20"/>
                <w:szCs w:val="20"/>
              </w:rPr>
              <w:t>2006</w:t>
            </w:r>
          </w:p>
        </w:tc>
        <w:tc>
          <w:tcPr>
            <w:tcW w:w="1434" w:type="dxa"/>
            <w:tcBorders>
              <w:top w:val="single" w:sz="4" w:space="0" w:color="auto"/>
              <w:left w:val="nil"/>
              <w:bottom w:val="single" w:sz="4" w:space="0" w:color="auto"/>
              <w:right w:val="single" w:sz="4" w:space="0" w:color="auto"/>
            </w:tcBorders>
          </w:tcPr>
          <w:p w14:paraId="7325DC1C" w14:textId="3D9A9174"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30</w:t>
            </w:r>
            <w:r w:rsidR="00507137">
              <w:rPr>
                <w:rFonts w:cstheme="minorHAnsi"/>
                <w:b w:val="0"/>
                <w:sz w:val="20"/>
                <w:szCs w:val="20"/>
              </w:rPr>
              <w:t xml:space="preserve"> </w:t>
            </w:r>
            <w:r w:rsidRPr="00B5597F">
              <w:rPr>
                <w:rFonts w:cstheme="minorHAnsi"/>
                <w:b w:val="0"/>
                <w:sz w:val="20"/>
                <w:szCs w:val="20"/>
              </w:rPr>
              <w:t>Jun</w:t>
            </w:r>
            <w:r w:rsidR="00507137">
              <w:rPr>
                <w:rFonts w:cstheme="minorHAnsi"/>
                <w:b w:val="0"/>
                <w:sz w:val="20"/>
                <w:szCs w:val="20"/>
              </w:rPr>
              <w:t xml:space="preserve"> </w:t>
            </w:r>
            <w:r w:rsidRPr="00B5597F">
              <w:rPr>
                <w:rFonts w:cstheme="minorHAnsi"/>
                <w:b w:val="0"/>
                <w:sz w:val="20"/>
                <w:szCs w:val="20"/>
              </w:rPr>
              <w:t>2007</w:t>
            </w:r>
          </w:p>
        </w:tc>
      </w:tr>
      <w:tr w:rsidR="00CA0F1A" w14:paraId="0D14F1C4"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7F000E34"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09147K</w:t>
            </w:r>
          </w:p>
        </w:tc>
        <w:tc>
          <w:tcPr>
            <w:tcW w:w="3118" w:type="dxa"/>
            <w:tcBorders>
              <w:top w:val="single" w:sz="4" w:space="0" w:color="auto"/>
              <w:left w:val="nil"/>
              <w:bottom w:val="single" w:sz="4" w:space="0" w:color="auto"/>
              <w:right w:val="single" w:sz="4" w:space="0" w:color="auto"/>
            </w:tcBorders>
          </w:tcPr>
          <w:p w14:paraId="402DDBA0"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risedronate (&amp;) calcium carbonate + colecalciferol</w:t>
            </w:r>
          </w:p>
        </w:tc>
        <w:tc>
          <w:tcPr>
            <w:tcW w:w="1406" w:type="dxa"/>
            <w:tcBorders>
              <w:top w:val="single" w:sz="4" w:space="0" w:color="auto"/>
              <w:left w:val="nil"/>
              <w:bottom w:val="single" w:sz="4" w:space="0" w:color="auto"/>
              <w:right w:val="single" w:sz="4" w:space="0" w:color="auto"/>
            </w:tcBorders>
          </w:tcPr>
          <w:p w14:paraId="3A4F50FB"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M05BB04</w:t>
            </w:r>
          </w:p>
        </w:tc>
        <w:tc>
          <w:tcPr>
            <w:tcW w:w="1434" w:type="dxa"/>
            <w:tcBorders>
              <w:top w:val="single" w:sz="4" w:space="0" w:color="auto"/>
              <w:left w:val="nil"/>
              <w:bottom w:val="single" w:sz="4" w:space="0" w:color="auto"/>
              <w:right w:val="single" w:sz="4" w:space="0" w:color="auto"/>
            </w:tcBorders>
          </w:tcPr>
          <w:p w14:paraId="0FE28E72" w14:textId="62032523"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May</w:t>
            </w:r>
            <w:r w:rsidR="00507137">
              <w:rPr>
                <w:rFonts w:cstheme="minorHAnsi"/>
                <w:b w:val="0"/>
                <w:sz w:val="20"/>
                <w:szCs w:val="20"/>
              </w:rPr>
              <w:t xml:space="preserve"> </w:t>
            </w:r>
            <w:r w:rsidRPr="00B5597F">
              <w:rPr>
                <w:rFonts w:cstheme="minorHAnsi"/>
                <w:b w:val="0"/>
                <w:sz w:val="20"/>
                <w:szCs w:val="20"/>
              </w:rPr>
              <w:t>2008</w:t>
            </w:r>
          </w:p>
        </w:tc>
        <w:tc>
          <w:tcPr>
            <w:tcW w:w="1434" w:type="dxa"/>
            <w:tcBorders>
              <w:top w:val="single" w:sz="4" w:space="0" w:color="auto"/>
              <w:left w:val="nil"/>
              <w:bottom w:val="single" w:sz="4" w:space="0" w:color="auto"/>
              <w:right w:val="single" w:sz="4" w:space="0" w:color="auto"/>
            </w:tcBorders>
          </w:tcPr>
          <w:p w14:paraId="017F560D" w14:textId="19BAF4FE"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30</w:t>
            </w:r>
            <w:r w:rsidR="00507137">
              <w:rPr>
                <w:rFonts w:cstheme="minorHAnsi"/>
                <w:b w:val="0"/>
                <w:sz w:val="20"/>
                <w:szCs w:val="20"/>
              </w:rPr>
              <w:t xml:space="preserve"> </w:t>
            </w:r>
            <w:r w:rsidRPr="00B5597F">
              <w:rPr>
                <w:rFonts w:cstheme="minorHAnsi"/>
                <w:b w:val="0"/>
                <w:sz w:val="20"/>
                <w:szCs w:val="20"/>
              </w:rPr>
              <w:t>Nov</w:t>
            </w:r>
            <w:r w:rsidR="00507137">
              <w:rPr>
                <w:rFonts w:cstheme="minorHAnsi"/>
                <w:b w:val="0"/>
                <w:sz w:val="20"/>
                <w:szCs w:val="20"/>
              </w:rPr>
              <w:t xml:space="preserve"> </w:t>
            </w:r>
            <w:r w:rsidRPr="00B5597F">
              <w:rPr>
                <w:rFonts w:cstheme="minorHAnsi"/>
                <w:b w:val="0"/>
                <w:sz w:val="20"/>
                <w:szCs w:val="20"/>
              </w:rPr>
              <w:t>2012</w:t>
            </w:r>
          </w:p>
        </w:tc>
      </w:tr>
      <w:tr w:rsidR="00CA0F1A" w14:paraId="5F88E880"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778B92CA"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03036T</w:t>
            </w:r>
          </w:p>
        </w:tc>
        <w:tc>
          <w:tcPr>
            <w:tcW w:w="3118" w:type="dxa"/>
            <w:tcBorders>
              <w:top w:val="single" w:sz="4" w:space="0" w:color="auto"/>
              <w:left w:val="nil"/>
              <w:bottom w:val="single" w:sz="4" w:space="0" w:color="auto"/>
              <w:right w:val="single" w:sz="4" w:space="0" w:color="auto"/>
            </w:tcBorders>
          </w:tcPr>
          <w:p w14:paraId="408B49A1"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strontium</w:t>
            </w:r>
            <w:r>
              <w:rPr>
                <w:rFonts w:cstheme="minorHAnsi"/>
                <w:b w:val="0"/>
                <w:sz w:val="20"/>
                <w:szCs w:val="20"/>
              </w:rPr>
              <w:t xml:space="preserve"> ranelate</w:t>
            </w:r>
          </w:p>
        </w:tc>
        <w:tc>
          <w:tcPr>
            <w:tcW w:w="1406" w:type="dxa"/>
            <w:tcBorders>
              <w:top w:val="single" w:sz="4" w:space="0" w:color="auto"/>
              <w:left w:val="nil"/>
              <w:bottom w:val="single" w:sz="4" w:space="0" w:color="auto"/>
              <w:right w:val="single" w:sz="4" w:space="0" w:color="auto"/>
            </w:tcBorders>
          </w:tcPr>
          <w:p w14:paraId="3A94797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M05BX03</w:t>
            </w:r>
          </w:p>
        </w:tc>
        <w:tc>
          <w:tcPr>
            <w:tcW w:w="1434" w:type="dxa"/>
            <w:tcBorders>
              <w:top w:val="single" w:sz="4" w:space="0" w:color="auto"/>
              <w:left w:val="nil"/>
              <w:bottom w:val="single" w:sz="4" w:space="0" w:color="auto"/>
              <w:right w:val="single" w:sz="4" w:space="0" w:color="auto"/>
            </w:tcBorders>
          </w:tcPr>
          <w:p w14:paraId="6D055546" w14:textId="1AAFB6C3"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Apr</w:t>
            </w:r>
            <w:r w:rsidR="00507137">
              <w:rPr>
                <w:rFonts w:cstheme="minorHAnsi"/>
                <w:b w:val="0"/>
                <w:sz w:val="20"/>
                <w:szCs w:val="20"/>
              </w:rPr>
              <w:t xml:space="preserve"> </w:t>
            </w:r>
            <w:r w:rsidRPr="00B5597F">
              <w:rPr>
                <w:rFonts w:cstheme="minorHAnsi"/>
                <w:b w:val="0"/>
                <w:sz w:val="20"/>
                <w:szCs w:val="20"/>
              </w:rPr>
              <w:t>2007</w:t>
            </w:r>
          </w:p>
        </w:tc>
        <w:tc>
          <w:tcPr>
            <w:tcW w:w="1434" w:type="dxa"/>
            <w:tcBorders>
              <w:top w:val="single" w:sz="4" w:space="0" w:color="auto"/>
              <w:left w:val="nil"/>
              <w:bottom w:val="single" w:sz="4" w:space="0" w:color="auto"/>
              <w:right w:val="single" w:sz="4" w:space="0" w:color="auto"/>
            </w:tcBorders>
          </w:tcPr>
          <w:p w14:paraId="00A5465C" w14:textId="4B96C121"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Aug</w:t>
            </w:r>
            <w:r w:rsidR="00507137">
              <w:rPr>
                <w:rFonts w:cstheme="minorHAnsi"/>
                <w:b w:val="0"/>
                <w:sz w:val="20"/>
                <w:szCs w:val="20"/>
              </w:rPr>
              <w:t xml:space="preserve"> </w:t>
            </w:r>
            <w:r w:rsidRPr="00B5597F">
              <w:rPr>
                <w:rFonts w:cstheme="minorHAnsi"/>
                <w:b w:val="0"/>
                <w:sz w:val="20"/>
                <w:szCs w:val="20"/>
              </w:rPr>
              <w:t>2016</w:t>
            </w:r>
          </w:p>
        </w:tc>
      </w:tr>
      <w:tr w:rsidR="00CA0F1A" w14:paraId="24138B39"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224C4F5E"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09411H</w:t>
            </w:r>
          </w:p>
        </w:tc>
        <w:tc>
          <w:tcPr>
            <w:tcW w:w="3118" w:type="dxa"/>
            <w:tcBorders>
              <w:top w:val="single" w:sz="4" w:space="0" w:color="auto"/>
              <w:left w:val="nil"/>
              <w:bottom w:val="single" w:sz="4" w:space="0" w:color="auto"/>
              <w:right w:val="single" w:sz="4" w:space="0" w:color="auto"/>
            </w:tcBorders>
          </w:tcPr>
          <w:p w14:paraId="648D986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teriparatide</w:t>
            </w:r>
          </w:p>
        </w:tc>
        <w:tc>
          <w:tcPr>
            <w:tcW w:w="1406" w:type="dxa"/>
            <w:tcBorders>
              <w:top w:val="single" w:sz="4" w:space="0" w:color="auto"/>
              <w:left w:val="nil"/>
              <w:bottom w:val="single" w:sz="4" w:space="0" w:color="auto"/>
              <w:right w:val="single" w:sz="4" w:space="0" w:color="auto"/>
            </w:tcBorders>
          </w:tcPr>
          <w:p w14:paraId="271D47D2"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H05AA02</w:t>
            </w:r>
          </w:p>
        </w:tc>
        <w:tc>
          <w:tcPr>
            <w:tcW w:w="1434" w:type="dxa"/>
            <w:tcBorders>
              <w:top w:val="single" w:sz="4" w:space="0" w:color="auto"/>
              <w:left w:val="nil"/>
              <w:bottom w:val="single" w:sz="4" w:space="0" w:color="auto"/>
              <w:right w:val="single" w:sz="4" w:space="0" w:color="auto"/>
            </w:tcBorders>
          </w:tcPr>
          <w:p w14:paraId="2958FBF0" w14:textId="40A1CFDA"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507137">
              <w:rPr>
                <w:rFonts w:cstheme="minorHAnsi"/>
                <w:b w:val="0"/>
                <w:sz w:val="20"/>
                <w:szCs w:val="20"/>
              </w:rPr>
              <w:t xml:space="preserve"> </w:t>
            </w:r>
            <w:r w:rsidRPr="00B5597F">
              <w:rPr>
                <w:rFonts w:cstheme="minorHAnsi"/>
                <w:b w:val="0"/>
                <w:sz w:val="20"/>
                <w:szCs w:val="20"/>
              </w:rPr>
              <w:t>May</w:t>
            </w:r>
            <w:r w:rsidR="00507137">
              <w:rPr>
                <w:rFonts w:cstheme="minorHAnsi"/>
                <w:b w:val="0"/>
                <w:sz w:val="20"/>
                <w:szCs w:val="20"/>
              </w:rPr>
              <w:t xml:space="preserve"> </w:t>
            </w:r>
            <w:r w:rsidRPr="00B5597F">
              <w:rPr>
                <w:rFonts w:cstheme="minorHAnsi"/>
                <w:b w:val="0"/>
                <w:sz w:val="20"/>
                <w:szCs w:val="20"/>
              </w:rPr>
              <w:t>2009</w:t>
            </w:r>
          </w:p>
        </w:tc>
        <w:tc>
          <w:tcPr>
            <w:tcW w:w="1434" w:type="dxa"/>
            <w:tcBorders>
              <w:top w:val="single" w:sz="4" w:space="0" w:color="auto"/>
              <w:left w:val="nil"/>
              <w:bottom w:val="single" w:sz="4" w:space="0" w:color="auto"/>
              <w:right w:val="single" w:sz="4" w:space="0" w:color="auto"/>
            </w:tcBorders>
          </w:tcPr>
          <w:p w14:paraId="55C5E5F3" w14:textId="77777777" w:rsidR="00CA0F1A" w:rsidRPr="00B5597F" w:rsidRDefault="00CA0F1A" w:rsidP="00D069E4">
            <w:pPr>
              <w:pStyle w:val="Tableheading"/>
              <w:jc w:val="left"/>
              <w:rPr>
                <w:rFonts w:cstheme="minorHAnsi"/>
                <w:b w:val="0"/>
                <w:sz w:val="20"/>
                <w:szCs w:val="20"/>
              </w:rPr>
            </w:pPr>
          </w:p>
        </w:tc>
      </w:tr>
      <w:tr w:rsidR="00CA0F1A" w14:paraId="1667057C"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1CD0CB6C"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09288W</w:t>
            </w:r>
          </w:p>
        </w:tc>
        <w:tc>
          <w:tcPr>
            <w:tcW w:w="3118" w:type="dxa"/>
            <w:tcBorders>
              <w:top w:val="single" w:sz="4" w:space="0" w:color="auto"/>
              <w:left w:val="nil"/>
              <w:bottom w:val="single" w:sz="4" w:space="0" w:color="auto"/>
              <w:right w:val="single" w:sz="4" w:space="0" w:color="auto"/>
            </w:tcBorders>
          </w:tcPr>
          <w:p w14:paraId="1118AD2D"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zoledronic acid</w:t>
            </w:r>
          </w:p>
        </w:tc>
        <w:tc>
          <w:tcPr>
            <w:tcW w:w="1406" w:type="dxa"/>
            <w:tcBorders>
              <w:top w:val="single" w:sz="4" w:space="0" w:color="auto"/>
              <w:left w:val="nil"/>
              <w:bottom w:val="single" w:sz="4" w:space="0" w:color="auto"/>
              <w:right w:val="single" w:sz="4" w:space="0" w:color="auto"/>
            </w:tcBorders>
          </w:tcPr>
          <w:p w14:paraId="7AB86100"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M05BA08</w:t>
            </w:r>
          </w:p>
        </w:tc>
        <w:tc>
          <w:tcPr>
            <w:tcW w:w="1434" w:type="dxa"/>
            <w:tcBorders>
              <w:top w:val="single" w:sz="4" w:space="0" w:color="auto"/>
              <w:left w:val="nil"/>
              <w:bottom w:val="single" w:sz="4" w:space="0" w:color="auto"/>
              <w:right w:val="single" w:sz="4" w:space="0" w:color="auto"/>
            </w:tcBorders>
          </w:tcPr>
          <w:p w14:paraId="0E6E2C0C" w14:textId="6C59F92E"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01</w:t>
            </w:r>
            <w:r w:rsidR="002127F0">
              <w:rPr>
                <w:rFonts w:cstheme="minorHAnsi"/>
                <w:b w:val="0"/>
                <w:sz w:val="20"/>
                <w:szCs w:val="20"/>
              </w:rPr>
              <w:t xml:space="preserve"> </w:t>
            </w:r>
            <w:r w:rsidRPr="00B5597F">
              <w:rPr>
                <w:rFonts w:cstheme="minorHAnsi"/>
                <w:b w:val="0"/>
                <w:sz w:val="20"/>
                <w:szCs w:val="20"/>
              </w:rPr>
              <w:t>Dec</w:t>
            </w:r>
            <w:r w:rsidR="002127F0">
              <w:rPr>
                <w:rFonts w:cstheme="minorHAnsi"/>
                <w:b w:val="0"/>
                <w:sz w:val="20"/>
                <w:szCs w:val="20"/>
              </w:rPr>
              <w:t xml:space="preserve"> </w:t>
            </w:r>
            <w:r w:rsidRPr="00B5597F">
              <w:rPr>
                <w:rFonts w:cstheme="minorHAnsi"/>
                <w:b w:val="0"/>
                <w:sz w:val="20"/>
                <w:szCs w:val="20"/>
              </w:rPr>
              <w:t>2008</w:t>
            </w:r>
          </w:p>
        </w:tc>
        <w:tc>
          <w:tcPr>
            <w:tcW w:w="1434" w:type="dxa"/>
            <w:tcBorders>
              <w:top w:val="single" w:sz="4" w:space="0" w:color="auto"/>
              <w:left w:val="nil"/>
              <w:bottom w:val="single" w:sz="4" w:space="0" w:color="auto"/>
              <w:right w:val="single" w:sz="4" w:space="0" w:color="auto"/>
            </w:tcBorders>
          </w:tcPr>
          <w:p w14:paraId="339C8354" w14:textId="2C4251C1"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31</w:t>
            </w:r>
            <w:r w:rsidR="002127F0">
              <w:rPr>
                <w:rFonts w:cstheme="minorHAnsi"/>
                <w:b w:val="0"/>
                <w:sz w:val="20"/>
                <w:szCs w:val="20"/>
              </w:rPr>
              <w:t xml:space="preserve"> </w:t>
            </w:r>
            <w:r w:rsidRPr="00B5597F">
              <w:rPr>
                <w:rFonts w:cstheme="minorHAnsi"/>
                <w:b w:val="0"/>
                <w:sz w:val="20"/>
                <w:szCs w:val="20"/>
              </w:rPr>
              <w:t>Mar</w:t>
            </w:r>
            <w:r w:rsidR="002127F0">
              <w:rPr>
                <w:rFonts w:cstheme="minorHAnsi"/>
                <w:b w:val="0"/>
                <w:sz w:val="20"/>
                <w:szCs w:val="20"/>
              </w:rPr>
              <w:t xml:space="preserve"> </w:t>
            </w:r>
            <w:r w:rsidRPr="00B5597F">
              <w:rPr>
                <w:rFonts w:cstheme="minorHAnsi"/>
                <w:b w:val="0"/>
                <w:sz w:val="20"/>
                <w:szCs w:val="20"/>
              </w:rPr>
              <w:t>2009</w:t>
            </w:r>
          </w:p>
        </w:tc>
      </w:tr>
      <w:tr w:rsidR="00CA0F1A" w14:paraId="51635629" w14:textId="77777777" w:rsidTr="00D069E4">
        <w:trPr>
          <w:trHeight w:val="20"/>
        </w:trPr>
        <w:tc>
          <w:tcPr>
            <w:tcW w:w="1462" w:type="dxa"/>
            <w:tcBorders>
              <w:top w:val="single" w:sz="4" w:space="0" w:color="auto"/>
              <w:left w:val="single" w:sz="4" w:space="0" w:color="auto"/>
              <w:bottom w:val="single" w:sz="4" w:space="0" w:color="auto"/>
              <w:right w:val="single" w:sz="4" w:space="0" w:color="auto"/>
            </w:tcBorders>
          </w:tcPr>
          <w:p w14:paraId="094A22F8"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10555M</w:t>
            </w:r>
          </w:p>
        </w:tc>
        <w:tc>
          <w:tcPr>
            <w:tcW w:w="3118" w:type="dxa"/>
            <w:tcBorders>
              <w:top w:val="single" w:sz="4" w:space="0" w:color="auto"/>
              <w:left w:val="nil"/>
              <w:bottom w:val="single" w:sz="4" w:space="0" w:color="auto"/>
              <w:right w:val="single" w:sz="4" w:space="0" w:color="auto"/>
            </w:tcBorders>
          </w:tcPr>
          <w:p w14:paraId="7C2C2B0E"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zoledronic acid</w:t>
            </w:r>
          </w:p>
        </w:tc>
        <w:tc>
          <w:tcPr>
            <w:tcW w:w="1406" w:type="dxa"/>
            <w:tcBorders>
              <w:top w:val="single" w:sz="4" w:space="0" w:color="auto"/>
              <w:left w:val="nil"/>
              <w:bottom w:val="single" w:sz="4" w:space="0" w:color="auto"/>
              <w:right w:val="single" w:sz="4" w:space="0" w:color="auto"/>
            </w:tcBorders>
          </w:tcPr>
          <w:p w14:paraId="457CA34F" w14:textId="77777777" w:rsidR="00CA0F1A" w:rsidRPr="00B5597F" w:rsidRDefault="00CA0F1A" w:rsidP="00D069E4">
            <w:pPr>
              <w:pStyle w:val="Tableheading"/>
              <w:jc w:val="left"/>
              <w:rPr>
                <w:rFonts w:cstheme="minorHAnsi"/>
                <w:b w:val="0"/>
                <w:sz w:val="20"/>
                <w:szCs w:val="20"/>
              </w:rPr>
            </w:pPr>
            <w:r w:rsidRPr="00B5597F">
              <w:rPr>
                <w:rFonts w:cstheme="minorHAnsi"/>
                <w:b w:val="0"/>
                <w:sz w:val="20"/>
                <w:szCs w:val="20"/>
              </w:rPr>
              <w:t>M05BA08</w:t>
            </w:r>
          </w:p>
        </w:tc>
        <w:tc>
          <w:tcPr>
            <w:tcW w:w="1434" w:type="dxa"/>
            <w:tcBorders>
              <w:top w:val="single" w:sz="4" w:space="0" w:color="auto"/>
              <w:left w:val="nil"/>
              <w:bottom w:val="single" w:sz="4" w:space="0" w:color="auto"/>
              <w:right w:val="single" w:sz="4" w:space="0" w:color="auto"/>
            </w:tcBorders>
          </w:tcPr>
          <w:p w14:paraId="5991E4D7" w14:textId="77777777" w:rsidR="00CA0F1A" w:rsidRPr="00B5597F" w:rsidRDefault="00CA0F1A" w:rsidP="00D069E4">
            <w:pPr>
              <w:pStyle w:val="Tableheading"/>
              <w:jc w:val="left"/>
              <w:rPr>
                <w:rFonts w:cstheme="minorHAnsi"/>
                <w:b w:val="0"/>
                <w:sz w:val="20"/>
                <w:szCs w:val="20"/>
              </w:rPr>
            </w:pPr>
          </w:p>
        </w:tc>
        <w:tc>
          <w:tcPr>
            <w:tcW w:w="1434" w:type="dxa"/>
            <w:tcBorders>
              <w:top w:val="single" w:sz="4" w:space="0" w:color="auto"/>
              <w:left w:val="nil"/>
              <w:bottom w:val="single" w:sz="4" w:space="0" w:color="auto"/>
              <w:right w:val="single" w:sz="4" w:space="0" w:color="auto"/>
            </w:tcBorders>
          </w:tcPr>
          <w:p w14:paraId="4D04EF76" w14:textId="77777777" w:rsidR="00CA0F1A" w:rsidRPr="00B5597F" w:rsidRDefault="00CA0F1A" w:rsidP="00D069E4">
            <w:pPr>
              <w:pStyle w:val="Tableheading"/>
              <w:rPr>
                <w:rFonts w:cstheme="minorHAnsi"/>
                <w:b w:val="0"/>
                <w:sz w:val="20"/>
                <w:szCs w:val="20"/>
              </w:rPr>
            </w:pPr>
          </w:p>
        </w:tc>
      </w:tr>
    </w:tbl>
    <w:p w14:paraId="6AED49FE" w14:textId="77777777" w:rsidR="00CA0F1A" w:rsidRPr="00590F06" w:rsidRDefault="00CA0F1A" w:rsidP="00CA0F1A"/>
    <w:p w14:paraId="7B27EF1D" w14:textId="1C4B8271" w:rsidR="001C74EC" w:rsidRPr="002C76E5" w:rsidRDefault="001C74EC" w:rsidP="002C76E5">
      <w:pPr>
        <w:pStyle w:val="Heading4"/>
        <w:rPr>
          <w:sz w:val="24"/>
        </w:rPr>
      </w:pPr>
      <w:r w:rsidRPr="002C76E5">
        <w:rPr>
          <w:sz w:val="24"/>
        </w:rPr>
        <w:t>PBS 10% sample</w:t>
      </w:r>
    </w:p>
    <w:p w14:paraId="524211BB" w14:textId="040E36B3" w:rsidR="001C74EC" w:rsidRDefault="001C74EC" w:rsidP="001C74EC">
      <w:r>
        <w:t xml:space="preserve">The 10% PBS sample is a random 10% sample of </w:t>
      </w:r>
      <w:r w:rsidRPr="00E9219D">
        <w:t xml:space="preserve">PBS claims data </w:t>
      </w:r>
      <w:r>
        <w:t xml:space="preserve">for Australians that contains patient-level administrative information about each prescription dispensed for medicines listed </w:t>
      </w:r>
      <w:r w:rsidR="006C1EFB">
        <w:t>on</w:t>
      </w:r>
      <w:r>
        <w:t xml:space="preserve"> the PBS between 2003 and </w:t>
      </w:r>
      <w:r w:rsidR="00B25DE0">
        <w:t>June</w:t>
      </w:r>
      <w:r>
        <w:t xml:space="preserve"> 2019. The data includes information on patient demographics (year of birth, sex, year of death), information on the medicines dispensed (e.g. type of script – original or repeat, PBS item code, quantity dispensed, concessional status, number of repeats, date of prescribing, date of supply, pharmacy state, prescriber ID, prescriber type). </w:t>
      </w:r>
      <w:r w:rsidR="00873DC3">
        <w:t>U</w:t>
      </w:r>
      <w:r w:rsidR="00873DC3" w:rsidRPr="00873DC3">
        <w:t xml:space="preserve">nder patient co-payment prescription data </w:t>
      </w:r>
      <w:r w:rsidR="00FA4A01">
        <w:t xml:space="preserve">is available </w:t>
      </w:r>
      <w:r w:rsidR="00873DC3" w:rsidRPr="00873DC3">
        <w:t>from 1 April 2012</w:t>
      </w:r>
      <w:r w:rsidR="00FA4A01">
        <w:t xml:space="preserve">. </w:t>
      </w:r>
      <w:r>
        <w:t>The PBS 10% sample does not provide information on diagnoses, outcomes or tests.</w:t>
      </w:r>
    </w:p>
    <w:p w14:paraId="30552FE5" w14:textId="77777777" w:rsidR="00D1089F" w:rsidRDefault="00D1089F" w:rsidP="001C74EC"/>
    <w:p w14:paraId="1312D1EE" w14:textId="77777777" w:rsidR="00A37ACA" w:rsidRPr="002C76E5" w:rsidRDefault="002A5F41" w:rsidP="002C76E5">
      <w:pPr>
        <w:pStyle w:val="Heading4"/>
        <w:rPr>
          <w:sz w:val="24"/>
        </w:rPr>
      </w:pPr>
      <w:r w:rsidRPr="002C76E5">
        <w:rPr>
          <w:sz w:val="24"/>
        </w:rPr>
        <w:lastRenderedPageBreak/>
        <w:t>Patient count analysis</w:t>
      </w:r>
      <w:r w:rsidR="00CC3A47" w:rsidRPr="002C76E5">
        <w:rPr>
          <w:sz w:val="24"/>
        </w:rPr>
        <w:t xml:space="preserve"> </w:t>
      </w:r>
    </w:p>
    <w:p w14:paraId="56E02479" w14:textId="2DCC5D28" w:rsidR="00AE53E9" w:rsidRPr="002C76E5" w:rsidRDefault="00A37ACA" w:rsidP="002C76E5">
      <w:pPr>
        <w:pStyle w:val="Heading4"/>
        <w:rPr>
          <w:b w:val="0"/>
          <w:bCs/>
          <w:sz w:val="24"/>
          <w:u w:val="single"/>
        </w:rPr>
      </w:pPr>
      <w:r w:rsidRPr="002C76E5">
        <w:rPr>
          <w:b w:val="0"/>
          <w:bCs/>
          <w:sz w:val="24"/>
          <w:u w:val="single"/>
        </w:rPr>
        <w:t>P</w:t>
      </w:r>
      <w:r w:rsidR="006B1D23" w:rsidRPr="002C76E5">
        <w:rPr>
          <w:b w:val="0"/>
          <w:bCs/>
          <w:sz w:val="24"/>
          <w:u w:val="single"/>
        </w:rPr>
        <w:t>revalent</w:t>
      </w:r>
      <w:r w:rsidR="00AE53E9" w:rsidRPr="002C76E5">
        <w:rPr>
          <w:b w:val="0"/>
          <w:bCs/>
          <w:sz w:val="24"/>
          <w:u w:val="single"/>
        </w:rPr>
        <w:t xml:space="preserve"> to</w:t>
      </w:r>
      <w:r w:rsidR="00FC22E6" w:rsidRPr="002C76E5">
        <w:rPr>
          <w:b w:val="0"/>
          <w:bCs/>
          <w:sz w:val="24"/>
          <w:u w:val="single"/>
        </w:rPr>
        <w:t xml:space="preserve"> </w:t>
      </w:r>
      <w:r w:rsidR="007167EC" w:rsidRPr="002C76E5">
        <w:rPr>
          <w:b w:val="0"/>
          <w:bCs/>
          <w:sz w:val="24"/>
          <w:u w:val="single"/>
        </w:rPr>
        <w:t xml:space="preserve">denosumab and other </w:t>
      </w:r>
      <w:r w:rsidR="00AE53E9" w:rsidRPr="002C76E5">
        <w:rPr>
          <w:b w:val="0"/>
          <w:bCs/>
          <w:sz w:val="24"/>
          <w:u w:val="single"/>
        </w:rPr>
        <w:t>osteoporosis medicines</w:t>
      </w:r>
    </w:p>
    <w:p w14:paraId="0DF97DC4" w14:textId="3F1B0FCB" w:rsidR="00CF4ADD" w:rsidRDefault="00CF4ADD" w:rsidP="00CF4ADD">
      <w:r>
        <w:t xml:space="preserve">The number of </w:t>
      </w:r>
      <w:r w:rsidR="004D79E2">
        <w:t xml:space="preserve">prevalent </w:t>
      </w:r>
      <w:r>
        <w:t xml:space="preserve">patients who received a supply of any osteoporosis medicine </w:t>
      </w:r>
      <w:r w:rsidR="005A0BEA">
        <w:t xml:space="preserve">at least once </w:t>
      </w:r>
      <w:r>
        <w:t xml:space="preserve">in each </w:t>
      </w:r>
      <w:r w:rsidR="00265EC5">
        <w:t xml:space="preserve">calendar </w:t>
      </w:r>
      <w:r>
        <w:t>year from 20</w:t>
      </w:r>
      <w:r w:rsidR="00961BAC">
        <w:t>14</w:t>
      </w:r>
      <w:r>
        <w:t xml:space="preserve"> to 201</w:t>
      </w:r>
      <w:r w:rsidR="00961BAC">
        <w:t>9</w:t>
      </w:r>
      <w:r>
        <w:t xml:space="preserve"> was determined by counting the number of person specific numbers (non-identifying) in the data for each year.</w:t>
      </w:r>
      <w:r w:rsidR="009E2E2B" w:rsidRPr="009E2E2B">
        <w:t xml:space="preserve"> </w:t>
      </w:r>
      <w:r w:rsidR="00A8616A">
        <w:t>Result</w:t>
      </w:r>
      <w:r w:rsidR="00512600">
        <w:t>s</w:t>
      </w:r>
      <w:r w:rsidR="00A8616A">
        <w:t xml:space="preserve"> are presented </w:t>
      </w:r>
      <w:r w:rsidR="00A8616A" w:rsidRPr="002544A3">
        <w:t>overall, and by type of therapy (single agent and combination therapy)</w:t>
      </w:r>
      <w:r w:rsidR="00512600">
        <w:t>.</w:t>
      </w:r>
    </w:p>
    <w:p w14:paraId="3A870EDA" w14:textId="4058676A" w:rsidR="00F776DC" w:rsidRDefault="00CF4ADD" w:rsidP="00CF4ADD">
      <w:r>
        <w:t xml:space="preserve">Most PBS prescriptions generally provide one month of therapy, however prescriptions of zoledronic acid and denosumab </w:t>
      </w:r>
      <w:r w:rsidR="00EC29A7">
        <w:t>cover 12 months</w:t>
      </w:r>
      <w:r>
        <w:t xml:space="preserve"> and six month</w:t>
      </w:r>
      <w:r w:rsidR="00456F7B">
        <w:t>s,</w:t>
      </w:r>
      <w:r>
        <w:t xml:space="preserve"> respectively. </w:t>
      </w:r>
      <w:r w:rsidR="00961BAC">
        <w:t xml:space="preserve">As per previous DUSC reports </w:t>
      </w:r>
      <w:r w:rsidR="008618FE">
        <w:t>which selected a</w:t>
      </w:r>
      <w:r>
        <w:t xml:space="preserve"> </w:t>
      </w:r>
      <w:r w:rsidR="00A8126F">
        <w:t>1-year</w:t>
      </w:r>
      <w:r>
        <w:t xml:space="preserve"> analysis time period</w:t>
      </w:r>
      <w:r w:rsidR="003F565F">
        <w:t>, t</w:t>
      </w:r>
      <w:r>
        <w:t xml:space="preserve">he prevalence of prescription supply should be a good approximation of patients on treatment for all drugs which are expected to be supplied monthly </w:t>
      </w:r>
      <w:r w:rsidR="00651B10">
        <w:t xml:space="preserve">or even </w:t>
      </w:r>
      <w:r>
        <w:t>6 monthly. However, the prevalence of prescription supply for zoledronic acid will slightly underestimate the number of patients on treatment as it is expected to be supplied every 12 months and some patients will not be supplied in a calendar year even if they are on therapy</w:t>
      </w:r>
      <w:r w:rsidR="001B66B7">
        <w:t xml:space="preserve">. </w:t>
      </w:r>
      <w:r w:rsidR="00E35BDB">
        <w:t>T</w:t>
      </w:r>
      <w:r>
        <w:t xml:space="preserve">he </w:t>
      </w:r>
      <w:r w:rsidR="00E35BDB">
        <w:t>potential</w:t>
      </w:r>
      <w:r>
        <w:t xml:space="preserve"> underestimation of zoledronic acid prevalent patients should be kept in mind when considering the results of this analysis.</w:t>
      </w:r>
    </w:p>
    <w:p w14:paraId="1D9A02E2" w14:textId="06780A91" w:rsidR="00B90B99" w:rsidRPr="00B90B99" w:rsidRDefault="00B90B99" w:rsidP="00CF4ADD">
      <w:pPr>
        <w:rPr>
          <w:i/>
          <w:iCs/>
          <w:u w:val="single"/>
        </w:rPr>
      </w:pPr>
      <w:r w:rsidRPr="00B90B99">
        <w:rPr>
          <w:i/>
          <w:iCs/>
          <w:u w:val="single"/>
        </w:rPr>
        <w:t xml:space="preserve">Initiating on denosumab </w:t>
      </w:r>
    </w:p>
    <w:p w14:paraId="70DDA76E" w14:textId="2F900CF6" w:rsidR="00A34FCF" w:rsidRDefault="00735F21" w:rsidP="00CF4ADD">
      <w:bookmarkStart w:id="0" w:name="_Hlk48132423"/>
      <w:r>
        <w:t>T</w:t>
      </w:r>
      <w:r w:rsidR="00A34FCF">
        <w:t xml:space="preserve">he number of new (incident) patients starting </w:t>
      </w:r>
      <w:r w:rsidR="00D75F72">
        <w:t>denosumab</w:t>
      </w:r>
      <w:r w:rsidR="00381097">
        <w:t xml:space="preserve"> therapy in each calendar year from 2014 to 2019</w:t>
      </w:r>
      <w:r w:rsidR="00A34FCF">
        <w:t xml:space="preserve"> </w:t>
      </w:r>
      <w:r w:rsidR="00162EE7">
        <w:t>was</w:t>
      </w:r>
      <w:r w:rsidR="00A34FCF">
        <w:t xml:space="preserve"> calculated in two ways:</w:t>
      </w:r>
    </w:p>
    <w:p w14:paraId="026D2DC3" w14:textId="6391A6EC" w:rsidR="00A34FCF" w:rsidRDefault="000C0D5F" w:rsidP="009E1AF2">
      <w:pPr>
        <w:pStyle w:val="ListParagraph"/>
        <w:numPr>
          <w:ilvl w:val="0"/>
          <w:numId w:val="10"/>
        </w:numPr>
      </w:pPr>
      <w:r>
        <w:t>We counted</w:t>
      </w:r>
      <w:r w:rsidR="00913DF6">
        <w:t xml:space="preserve"> </w:t>
      </w:r>
      <w:r w:rsidR="00913DF6" w:rsidRPr="009E1AF2">
        <w:rPr>
          <w:b/>
          <w:bCs/>
        </w:rPr>
        <w:t>d</w:t>
      </w:r>
      <w:r w:rsidR="00381097" w:rsidRPr="009E1AF2">
        <w:rPr>
          <w:b/>
          <w:bCs/>
        </w:rPr>
        <w:t>enosumab initiator</w:t>
      </w:r>
      <w:r w:rsidRPr="009E1AF2">
        <w:rPr>
          <w:b/>
          <w:bCs/>
        </w:rPr>
        <w:t xml:space="preserve">s </w:t>
      </w:r>
      <w:r w:rsidRPr="000C0D5F">
        <w:t xml:space="preserve">if they </w:t>
      </w:r>
      <w:r w:rsidR="00311C9D" w:rsidRPr="000C0D5F">
        <w:t>were</w:t>
      </w:r>
      <w:r w:rsidR="00311C9D">
        <w:t xml:space="preserve"> dispensed denosumab that </w:t>
      </w:r>
      <w:r w:rsidR="006E3D40">
        <w:t xml:space="preserve">year </w:t>
      </w:r>
      <w:r w:rsidR="005F3C78">
        <w:t>but</w:t>
      </w:r>
      <w:r w:rsidR="006E3D40">
        <w:t xml:space="preserve"> were not dispensed denosumab </w:t>
      </w:r>
      <w:r w:rsidR="00A34FCF">
        <w:t>in at least the prior two years</w:t>
      </w:r>
      <w:r>
        <w:t>,</w:t>
      </w:r>
      <w:r w:rsidR="00FB026D">
        <w:t xml:space="preserve"> or further </w:t>
      </w:r>
      <w:r w:rsidR="008C638E">
        <w:t xml:space="preserve">back </w:t>
      </w:r>
      <w:r w:rsidR="00FB026D">
        <w:t>if records permitted</w:t>
      </w:r>
      <w:r w:rsidR="00A34FCF">
        <w:t xml:space="preserve"> (i</w:t>
      </w:r>
      <w:r w:rsidR="00C66C09">
        <w:t>.</w:t>
      </w:r>
      <w:r w:rsidR="00A34FCF">
        <w:t>e. initiating patient count starts in 2014 with at least a two year look back to January 2012).</w:t>
      </w:r>
    </w:p>
    <w:bookmarkEnd w:id="0"/>
    <w:p w14:paraId="6122CDD5" w14:textId="3139DABF" w:rsidR="00AE53E9" w:rsidRDefault="000C0D5F" w:rsidP="009E1AF2">
      <w:pPr>
        <w:pStyle w:val="ListParagraph"/>
        <w:numPr>
          <w:ilvl w:val="0"/>
          <w:numId w:val="10"/>
        </w:numPr>
      </w:pPr>
      <w:r>
        <w:t>We counted</w:t>
      </w:r>
      <w:r w:rsidR="00583041">
        <w:t xml:space="preserve"> patients who were</w:t>
      </w:r>
      <w:r w:rsidR="00707CAE">
        <w:t xml:space="preserve"> </w:t>
      </w:r>
      <w:r w:rsidR="00707CAE" w:rsidRPr="009E1AF2">
        <w:rPr>
          <w:b/>
          <w:bCs/>
        </w:rPr>
        <w:t xml:space="preserve">directly </w:t>
      </w:r>
      <w:r w:rsidR="00D77F4E" w:rsidRPr="009E1AF2">
        <w:rPr>
          <w:b/>
          <w:bCs/>
        </w:rPr>
        <w:t>initiated</w:t>
      </w:r>
      <w:r w:rsidR="00707CAE" w:rsidRPr="009E1AF2">
        <w:rPr>
          <w:b/>
          <w:bCs/>
        </w:rPr>
        <w:t xml:space="preserve"> </w:t>
      </w:r>
      <w:r w:rsidR="00583041" w:rsidRPr="009E1AF2">
        <w:rPr>
          <w:b/>
          <w:bCs/>
        </w:rPr>
        <w:t>on denosumab</w:t>
      </w:r>
      <w:r w:rsidR="00707CAE">
        <w:t xml:space="preserve"> (a subset</w:t>
      </w:r>
      <w:r w:rsidR="00D77F4E">
        <w:t xml:space="preserve"> of the above) </w:t>
      </w:r>
      <w:r w:rsidR="00583041">
        <w:t xml:space="preserve">if they </w:t>
      </w:r>
      <w:r w:rsidR="00D77F4E">
        <w:t>were dispensed denosumab that year but were not dispensed any other</w:t>
      </w:r>
      <w:r w:rsidR="00583041">
        <w:t xml:space="preserve"> osteoporosis medicine</w:t>
      </w:r>
      <w:r w:rsidR="00D77F4E">
        <w:t xml:space="preserve"> in at least the prior two years or further</w:t>
      </w:r>
      <w:r w:rsidR="009E1AF2">
        <w:t xml:space="preserve"> back</w:t>
      </w:r>
      <w:r w:rsidR="00D77F4E">
        <w:t xml:space="preserve"> if records permitted</w:t>
      </w:r>
      <w:r w:rsidR="00A8227E">
        <w:t>.</w:t>
      </w:r>
    </w:p>
    <w:p w14:paraId="3BFDA02D" w14:textId="141E8041" w:rsidR="00F8471D" w:rsidRPr="00FF02AC" w:rsidRDefault="00F8471D" w:rsidP="00F8471D">
      <w:pPr>
        <w:rPr>
          <w:i/>
          <w:iCs/>
          <w:u w:val="single"/>
        </w:rPr>
      </w:pPr>
      <w:r w:rsidRPr="00FF02AC">
        <w:rPr>
          <w:i/>
          <w:iCs/>
          <w:u w:val="single"/>
        </w:rPr>
        <w:t>Initiating on other osteoporosis medicines</w:t>
      </w:r>
    </w:p>
    <w:p w14:paraId="0B1909E7" w14:textId="36766B91" w:rsidR="00FF02AC" w:rsidRDefault="00FF02AC" w:rsidP="00FF02AC">
      <w:r>
        <w:t xml:space="preserve">The number of new patients </w:t>
      </w:r>
      <w:r w:rsidR="006E6A97">
        <w:t xml:space="preserve">first </w:t>
      </w:r>
      <w:r>
        <w:t xml:space="preserve">starting </w:t>
      </w:r>
      <w:r w:rsidR="001221FF">
        <w:t>osteoporosis</w:t>
      </w:r>
      <w:r>
        <w:t xml:space="preserve"> </w:t>
      </w:r>
      <w:r w:rsidR="00376DF2">
        <w:t>medicines</w:t>
      </w:r>
      <w:r>
        <w:t xml:space="preserve"> in each calendar year from 2014 to 2019 was calculated </w:t>
      </w:r>
      <w:r w:rsidR="00A37949">
        <w:t>overall</w:t>
      </w:r>
      <w:r w:rsidR="0036224A">
        <w:t xml:space="preserve"> and by type of medicine (single agent or combination therapy).</w:t>
      </w:r>
      <w:r w:rsidR="004231D3">
        <w:t xml:space="preserve"> </w:t>
      </w:r>
      <w:r>
        <w:t>We counted</w:t>
      </w:r>
      <w:r w:rsidR="00FA0C7D">
        <w:t xml:space="preserve"> patients who were</w:t>
      </w:r>
      <w:r w:rsidR="006951CB">
        <w:t xml:space="preserve"> </w:t>
      </w:r>
      <w:r w:rsidR="0033778D">
        <w:rPr>
          <w:b/>
          <w:bCs/>
        </w:rPr>
        <w:t>directly initiated on osteoporosis med</w:t>
      </w:r>
      <w:r w:rsidR="00FA0C7D">
        <w:rPr>
          <w:b/>
          <w:bCs/>
        </w:rPr>
        <w:t>icines</w:t>
      </w:r>
      <w:r>
        <w:t xml:space="preserve"> </w:t>
      </w:r>
      <w:r w:rsidR="00FA0C7D">
        <w:t>as those who</w:t>
      </w:r>
      <w:r>
        <w:t xml:space="preserve"> were dispensed </w:t>
      </w:r>
      <w:r w:rsidR="006951CB">
        <w:t>an osteoporosis medicine</w:t>
      </w:r>
      <w:r>
        <w:t xml:space="preserve"> that year but were not dispensed </w:t>
      </w:r>
      <w:r w:rsidR="00A37949">
        <w:t>any osteoporosis medicines</w:t>
      </w:r>
      <w:r>
        <w:t xml:space="preserve"> in at least the prior two years, or further back if records permitted (i</w:t>
      </w:r>
      <w:r w:rsidR="009663C7">
        <w:t>.</w:t>
      </w:r>
      <w:r>
        <w:t>e. initiating patient count starts in 2014 with at least a two year look back to January 2012).</w:t>
      </w:r>
      <w:r w:rsidR="00444207">
        <w:t xml:space="preserve"> Results were presented overall and </w:t>
      </w:r>
      <w:r w:rsidR="00444207" w:rsidRPr="00444207">
        <w:t>by type of therapy (single agent and combination therapy).</w:t>
      </w:r>
      <w:r w:rsidR="00444207">
        <w:t xml:space="preserve"> Patient</w:t>
      </w:r>
      <w:r w:rsidR="003A3D7E">
        <w:t>s</w:t>
      </w:r>
      <w:r w:rsidR="00444207">
        <w:t xml:space="preserve"> could be included </w:t>
      </w:r>
      <w:r w:rsidR="004A5F7C">
        <w:t xml:space="preserve">in </w:t>
      </w:r>
      <w:r w:rsidR="002776F9">
        <w:t xml:space="preserve">more than </w:t>
      </w:r>
      <w:r w:rsidR="004A5F7C">
        <w:t xml:space="preserve">one therapy type </w:t>
      </w:r>
      <w:r w:rsidR="00691BD3">
        <w:t xml:space="preserve">in </w:t>
      </w:r>
      <w:r w:rsidR="004A5F7C">
        <w:t>one calendar year</w:t>
      </w:r>
      <w:r w:rsidR="002776F9">
        <w:t xml:space="preserve"> if they were co-administered</w:t>
      </w:r>
      <w:r w:rsidR="000C7ADF">
        <w:t xml:space="preserve"> at initiation</w:t>
      </w:r>
      <w:r w:rsidR="004A5F7C">
        <w:t>.</w:t>
      </w:r>
    </w:p>
    <w:p w14:paraId="78096E91" w14:textId="5CE6D4E2" w:rsidR="0022158E" w:rsidRDefault="0022158E" w:rsidP="00FF02AC"/>
    <w:p w14:paraId="1E81BA85" w14:textId="77777777" w:rsidR="0022158E" w:rsidRDefault="0022158E" w:rsidP="00FF02AC"/>
    <w:p w14:paraId="064055BA" w14:textId="1931F68F" w:rsidR="004307BF" w:rsidRPr="002C76E5" w:rsidRDefault="00691BD3" w:rsidP="002C76E5">
      <w:pPr>
        <w:pStyle w:val="Heading4"/>
        <w:rPr>
          <w:sz w:val="24"/>
        </w:rPr>
      </w:pPr>
      <w:r w:rsidRPr="002C76E5">
        <w:rPr>
          <w:sz w:val="24"/>
        </w:rPr>
        <w:lastRenderedPageBreak/>
        <w:t>Denosumab t</w:t>
      </w:r>
      <w:r w:rsidR="004307BF" w:rsidRPr="002C76E5">
        <w:rPr>
          <w:sz w:val="24"/>
        </w:rPr>
        <w:t>reatment rates (patients per 1000 population)</w:t>
      </w:r>
    </w:p>
    <w:p w14:paraId="6AC0BF2F" w14:textId="751C9F2C" w:rsidR="0063429A" w:rsidRDefault="0063429A" w:rsidP="00C46B6D">
      <w:r w:rsidRPr="00C46B6D">
        <w:t>Treatment rates (patients per 1000 population) of patients initiating on</w:t>
      </w:r>
      <w:r w:rsidR="003A3D7E">
        <w:t>,</w:t>
      </w:r>
      <w:r w:rsidRPr="00C46B6D">
        <w:t xml:space="preserve"> and prevalent to</w:t>
      </w:r>
      <w:r w:rsidR="003A3D7E">
        <w:t>,</w:t>
      </w:r>
      <w:r w:rsidRPr="00C46B6D">
        <w:t xml:space="preserve"> osteoporosis medicines (nationally) </w:t>
      </w:r>
      <w:r w:rsidR="003E13AF" w:rsidRPr="00C46B6D">
        <w:t>were</w:t>
      </w:r>
      <w:r w:rsidRPr="00C46B6D">
        <w:t xml:space="preserve"> calculated as the number of initiating or prevalent patients</w:t>
      </w:r>
      <w:r w:rsidR="00E6016C" w:rsidRPr="00C46B6D">
        <w:t xml:space="preserve">, multiplied by 10 </w:t>
      </w:r>
      <w:r w:rsidR="002B7001" w:rsidRPr="00C46B6D">
        <w:t>to extrapolate the 10% PBS sample to the whole population,</w:t>
      </w:r>
      <w:r w:rsidRPr="00C46B6D">
        <w:t xml:space="preserve"> divided by the ABS </w:t>
      </w:r>
      <w:r w:rsidRPr="00DE232E">
        <w:t>Estimated Residential Population</w:t>
      </w:r>
      <w:r w:rsidRPr="00C46B6D">
        <w:t xml:space="preserve"> (ERP) population</w:t>
      </w:r>
      <w:r w:rsidR="00BB5238">
        <w:rPr>
          <w:rStyle w:val="FootnoteReference"/>
        </w:rPr>
        <w:footnoteReference w:id="11"/>
      </w:r>
      <w:r w:rsidRPr="00C46B6D">
        <w:t xml:space="preserve"> </w:t>
      </w:r>
      <w:r w:rsidR="00817947" w:rsidRPr="00C46B6D">
        <w:t xml:space="preserve">as of 30 June in the specified </w:t>
      </w:r>
      <w:r w:rsidRPr="00C46B6D">
        <w:t>year. T</w:t>
      </w:r>
      <w:r>
        <w:t xml:space="preserve">hese </w:t>
      </w:r>
      <w:r w:rsidR="005744BE">
        <w:t>(crude)</w:t>
      </w:r>
      <w:r>
        <w:t xml:space="preserve"> treatment rates were also age adjusted to correct for the effect of an ageing population. </w:t>
      </w:r>
      <w:r w:rsidR="009063CA">
        <w:t>As 2019 only included 6 months of dispensing data we multiplied t</w:t>
      </w:r>
      <w:r w:rsidR="00993A54">
        <w:t xml:space="preserve">he treatment rates for incident patients </w:t>
      </w:r>
      <w:r w:rsidR="0049134E">
        <w:t xml:space="preserve">by two, as a simple </w:t>
      </w:r>
      <w:r w:rsidR="00FF133D" w:rsidRPr="00FF133D">
        <w:t>extrapolation to 12 months</w:t>
      </w:r>
      <w:r w:rsidR="0069066F">
        <w:t xml:space="preserve">. No such extrapolation was performed for the prevalent </w:t>
      </w:r>
      <w:r w:rsidR="00C56B06">
        <w:t>patient treatment rates</w:t>
      </w:r>
      <w:r w:rsidR="00FF5228">
        <w:t xml:space="preserve"> as we would expect the majority of prevalent patients </w:t>
      </w:r>
      <w:r w:rsidR="00B871A2">
        <w:t>to be counted in the first six months of the year (particularly if they are on monthly medicines)</w:t>
      </w:r>
      <w:r w:rsidR="00C56B06">
        <w:t>.</w:t>
      </w:r>
    </w:p>
    <w:p w14:paraId="7F735B51" w14:textId="2D4FC622" w:rsidR="0063429A" w:rsidRDefault="0063429A" w:rsidP="00C46B6D">
      <w:r>
        <w:t>T</w:t>
      </w:r>
      <w:r w:rsidRPr="00DB55B4">
        <w:t xml:space="preserve">he age-standardised </w:t>
      </w:r>
      <w:r>
        <w:t>prescribing rates</w:t>
      </w:r>
      <w:r w:rsidRPr="00DB55B4">
        <w:t xml:space="preserve"> </w:t>
      </w:r>
      <w:r>
        <w:t xml:space="preserve">for denosumab and all osteoporosis medicines, </w:t>
      </w:r>
      <w:r w:rsidR="0063166C">
        <w:t>w</w:t>
      </w:r>
      <w:r w:rsidR="00FD445E">
        <w:t>ere</w:t>
      </w:r>
      <w:r>
        <w:t xml:space="preserve"> calculated using Direct Standardisation</w:t>
      </w:r>
      <w:r w:rsidR="00BA405D" w:rsidRPr="001F5177">
        <w:rPr>
          <w:vertAlign w:val="superscript"/>
        </w:rPr>
        <w:footnoteReference w:id="12"/>
      </w:r>
      <w:r>
        <w:t xml:space="preserve">, </w:t>
      </w:r>
      <w:r w:rsidRPr="00DB55B4">
        <w:t>with the</w:t>
      </w:r>
      <w:r w:rsidRPr="00CA091F">
        <w:t xml:space="preserve"> Australian age distribution of the ABS ERP in the reference year </w:t>
      </w:r>
      <w:r>
        <w:t xml:space="preserve">(30 June 2001) </w:t>
      </w:r>
      <w:r w:rsidRPr="00DB55B4">
        <w:t xml:space="preserve">serving as the reference population. In other words, the age-specific </w:t>
      </w:r>
      <w:r>
        <w:t xml:space="preserve">prescribing rates </w:t>
      </w:r>
      <w:r w:rsidRPr="00DB55B4">
        <w:t xml:space="preserve">observed in patients </w:t>
      </w:r>
      <w:r>
        <w:t xml:space="preserve">in each calendar year </w:t>
      </w:r>
      <w:r w:rsidR="009A6E09">
        <w:t>were</w:t>
      </w:r>
      <w:r w:rsidRPr="00DB55B4">
        <w:t xml:space="preserve"> applied to the age structure of the </w:t>
      </w:r>
      <w:r w:rsidRPr="00CA091F">
        <w:t>ABS ERP in the reference year 20</w:t>
      </w:r>
      <w:r>
        <w:t>0</w:t>
      </w:r>
      <w:r w:rsidRPr="00CA091F">
        <w:t>1</w:t>
      </w:r>
      <w:r w:rsidRPr="00DB55B4">
        <w:t>.</w:t>
      </w:r>
    </w:p>
    <w:p w14:paraId="25C86D78" w14:textId="617CA7DB" w:rsidR="00FE2CB5" w:rsidRPr="002C76E5" w:rsidRDefault="00FE2CB5" w:rsidP="002C76E5">
      <w:pPr>
        <w:pStyle w:val="Heading4"/>
        <w:rPr>
          <w:sz w:val="24"/>
        </w:rPr>
      </w:pPr>
      <w:r w:rsidRPr="002C76E5">
        <w:rPr>
          <w:sz w:val="24"/>
        </w:rPr>
        <w:t>Treatment duration</w:t>
      </w:r>
    </w:p>
    <w:p w14:paraId="165C34EF" w14:textId="652550DA" w:rsidR="006D7E57" w:rsidRDefault="00FE2CB5" w:rsidP="00FE2CB5">
      <w:r>
        <w:t xml:space="preserve">The duration of treatment </w:t>
      </w:r>
      <w:r w:rsidR="00A61905">
        <w:t xml:space="preserve">for each </w:t>
      </w:r>
      <w:r w:rsidR="002977F0">
        <w:t xml:space="preserve">initiating </w:t>
      </w:r>
      <w:r w:rsidR="00A61905">
        <w:t xml:space="preserve">osteoporosis medicine </w:t>
      </w:r>
      <w:r w:rsidR="006D7E57">
        <w:t>was calculated in two ways</w:t>
      </w:r>
      <w:r w:rsidR="00A61905">
        <w:t>, using denosumab as an example</w:t>
      </w:r>
      <w:r w:rsidR="006D7E57">
        <w:t>:</w:t>
      </w:r>
    </w:p>
    <w:p w14:paraId="151C6931" w14:textId="1E451C08" w:rsidR="00FE2CB5" w:rsidRDefault="00A06060" w:rsidP="006D7E57">
      <w:pPr>
        <w:pStyle w:val="ListParagraph"/>
        <w:numPr>
          <w:ilvl w:val="0"/>
          <w:numId w:val="8"/>
        </w:numPr>
      </w:pPr>
      <w:r>
        <w:t>d</w:t>
      </w:r>
      <w:r w:rsidR="006D7E57" w:rsidRPr="006D7E57">
        <w:t>uration</w:t>
      </w:r>
      <w:r w:rsidR="006D7E57">
        <w:t xml:space="preserve"> </w:t>
      </w:r>
      <w:r w:rsidR="00FE2CB5" w:rsidRPr="006D7E57">
        <w:rPr>
          <w:u w:val="single"/>
        </w:rPr>
        <w:t>including</w:t>
      </w:r>
      <w:r w:rsidR="00FE2CB5">
        <w:t xml:space="preserve"> treatment breaks was defined as the number of days between the date of the first </w:t>
      </w:r>
      <w:r w:rsidR="003D61E4">
        <w:t xml:space="preserve">denosumab </w:t>
      </w:r>
      <w:r w:rsidR="004F4A06">
        <w:t>dispensing</w:t>
      </w:r>
      <w:r w:rsidR="00FE2CB5">
        <w:t xml:space="preserve"> and the expected end of the last </w:t>
      </w:r>
      <w:r w:rsidR="004F4A06">
        <w:t xml:space="preserve">dispensed </w:t>
      </w:r>
      <w:r w:rsidR="00FE2CB5">
        <w:t xml:space="preserve">prescription or the </w:t>
      </w:r>
      <w:r w:rsidR="00A2558F">
        <w:t>30 June</w:t>
      </w:r>
      <w:r w:rsidR="00FE2CB5">
        <w:t xml:space="preserve"> 2019 (whichever came first). The expected end date of the last </w:t>
      </w:r>
      <w:r w:rsidR="004F4A06">
        <w:t xml:space="preserve">dispensed </w:t>
      </w:r>
      <w:r w:rsidR="003D61E4">
        <w:t xml:space="preserve">denosumab </w:t>
      </w:r>
      <w:r w:rsidR="00FE2CB5">
        <w:t xml:space="preserve">prescription was </w:t>
      </w:r>
      <w:r w:rsidR="000146C6">
        <w:t xml:space="preserve">defined as the date of the last </w:t>
      </w:r>
      <w:r w:rsidR="004F4A06">
        <w:t>dispensing</w:t>
      </w:r>
      <w:r w:rsidR="000146C6">
        <w:t xml:space="preserve"> plus the </w:t>
      </w:r>
      <w:r w:rsidR="005B26BC">
        <w:t>expected duration of treatment</w:t>
      </w:r>
      <w:r w:rsidR="005A0744">
        <w:t xml:space="preserve"> </w:t>
      </w:r>
      <w:r w:rsidR="00EC7AD1">
        <w:t>(180</w:t>
      </w:r>
      <w:r w:rsidR="00A2558F">
        <w:t xml:space="preserve"> days</w:t>
      </w:r>
      <w:r w:rsidR="00EC7AD1">
        <w:t xml:space="preserve">) </w:t>
      </w:r>
      <w:r w:rsidR="005A0744">
        <w:t>as defined in Table 7</w:t>
      </w:r>
      <w:r w:rsidR="00FE2CB5">
        <w:t xml:space="preserve">. </w:t>
      </w:r>
    </w:p>
    <w:p w14:paraId="44C3730E" w14:textId="4A782F82" w:rsidR="00B26800" w:rsidRDefault="005834E6" w:rsidP="006D7E57">
      <w:pPr>
        <w:pStyle w:val="ListParagraph"/>
        <w:numPr>
          <w:ilvl w:val="0"/>
          <w:numId w:val="8"/>
        </w:numPr>
      </w:pPr>
      <w:r>
        <w:t>d</w:t>
      </w:r>
      <w:r w:rsidR="00B26800">
        <w:t xml:space="preserve">uration </w:t>
      </w:r>
      <w:r w:rsidR="00FB23AA" w:rsidRPr="005834E6">
        <w:rPr>
          <w:u w:val="single"/>
        </w:rPr>
        <w:t>excluding</w:t>
      </w:r>
      <w:r w:rsidR="00FB23AA">
        <w:t xml:space="preserve"> treatment breaks </w:t>
      </w:r>
      <w:r w:rsidR="00A06060">
        <w:t xml:space="preserve">was </w:t>
      </w:r>
      <w:r w:rsidR="00A06060" w:rsidRPr="00A06060">
        <w:t xml:space="preserve">calculated by summing the number of days between the date of the first </w:t>
      </w:r>
      <w:r w:rsidR="00EC7AD1">
        <w:t xml:space="preserve">denosumab </w:t>
      </w:r>
      <w:r w:rsidR="004F4A06">
        <w:t>dispensing</w:t>
      </w:r>
      <w:r w:rsidR="00A06060" w:rsidRPr="00A06060">
        <w:t xml:space="preserve"> and the expected end of the last </w:t>
      </w:r>
      <w:r w:rsidR="004F4A06">
        <w:t xml:space="preserve">dispensed </w:t>
      </w:r>
      <w:r w:rsidR="00A06060" w:rsidRPr="00A06060">
        <w:t xml:space="preserve">prescription or the </w:t>
      </w:r>
      <w:r w:rsidR="00A06060">
        <w:t>30 June 2019</w:t>
      </w:r>
      <w:r w:rsidR="00A06060" w:rsidRPr="00A06060">
        <w:t xml:space="preserve"> (wh</w:t>
      </w:r>
      <w:r w:rsidR="00AF601C">
        <w:t>ich</w:t>
      </w:r>
      <w:r w:rsidR="00A06060" w:rsidRPr="00A06060">
        <w:t>ever c</w:t>
      </w:r>
      <w:r w:rsidR="00071B2B">
        <w:t>a</w:t>
      </w:r>
      <w:r w:rsidR="00A06060" w:rsidRPr="00A06060">
        <w:t>me first) and then subtracting the days the patient was considered to be on a treatment break(s).</w:t>
      </w:r>
    </w:p>
    <w:p w14:paraId="141C1380" w14:textId="35AE3F7A" w:rsidR="00E07463" w:rsidRPr="002C76E5" w:rsidRDefault="00E07463" w:rsidP="002C76E5">
      <w:pPr>
        <w:pStyle w:val="Heading4"/>
        <w:rPr>
          <w:sz w:val="24"/>
        </w:rPr>
      </w:pPr>
      <w:r w:rsidRPr="002C76E5">
        <w:rPr>
          <w:sz w:val="24"/>
        </w:rPr>
        <w:t>Treatment break</w:t>
      </w:r>
    </w:p>
    <w:p w14:paraId="61772B10" w14:textId="3530BE91" w:rsidR="000D5F7C" w:rsidRDefault="000E7FFD" w:rsidP="00E07463">
      <w:r>
        <w:t>Treatment</w:t>
      </w:r>
      <w:r w:rsidR="00CA7935">
        <w:t xml:space="preserve"> breaks were identified for each </w:t>
      </w:r>
      <w:r w:rsidR="00031ECA">
        <w:t xml:space="preserve">initiating </w:t>
      </w:r>
      <w:r w:rsidR="00CA7935">
        <w:t>osteoporosis medicine.</w:t>
      </w:r>
      <w:r w:rsidR="001364B1">
        <w:t xml:space="preserve"> Using denosumab as an example, a</w:t>
      </w:r>
      <w:r w:rsidR="00224184" w:rsidRPr="00224184">
        <w:t xml:space="preserve"> treatment break </w:t>
      </w:r>
      <w:r w:rsidR="00D40685">
        <w:t>was</w:t>
      </w:r>
      <w:r w:rsidR="00224184" w:rsidRPr="00224184">
        <w:t xml:space="preserve"> defined as a period of at least 60 days after the expected end of the last </w:t>
      </w:r>
      <w:r w:rsidR="00046F65">
        <w:t xml:space="preserve">dispensed </w:t>
      </w:r>
      <w:r w:rsidR="001364B1">
        <w:t xml:space="preserve">denosumab </w:t>
      </w:r>
      <w:r w:rsidR="00224184" w:rsidRPr="00224184">
        <w:t xml:space="preserve">prescription in which no refill for </w:t>
      </w:r>
      <w:r w:rsidR="001364B1">
        <w:t>denosumab</w:t>
      </w:r>
      <w:r w:rsidR="00224184" w:rsidRPr="00224184">
        <w:t xml:space="preserve"> was obtained</w:t>
      </w:r>
      <w:r w:rsidR="003041FC">
        <w:t>.</w:t>
      </w:r>
      <w:r w:rsidR="003D67E4">
        <w:rPr>
          <w:rStyle w:val="FootnoteReference"/>
        </w:rPr>
        <w:footnoteReference w:id="13"/>
      </w:r>
      <w:r w:rsidR="003041FC">
        <w:t xml:space="preserve"> Treatment breaks </w:t>
      </w:r>
      <w:r w:rsidR="00224184" w:rsidRPr="00224184">
        <w:t>end</w:t>
      </w:r>
      <w:r w:rsidR="003041FC">
        <w:t>ed</w:t>
      </w:r>
      <w:r w:rsidR="00224184" w:rsidRPr="00224184">
        <w:t xml:space="preserve"> on the date of the next </w:t>
      </w:r>
      <w:r w:rsidR="008A7707">
        <w:t>denosumab dispensing</w:t>
      </w:r>
      <w:r w:rsidR="00224184" w:rsidRPr="00224184">
        <w:t xml:space="preserve">. The expected end of the last prescription for each osteoporosis medicine is </w:t>
      </w:r>
      <w:r w:rsidR="009D4848">
        <w:lastRenderedPageBreak/>
        <w:t>defined in Table 5</w:t>
      </w:r>
      <w:r w:rsidR="00224184" w:rsidRPr="00224184">
        <w:t xml:space="preserve">. Any gaps between the expected end of one </w:t>
      </w:r>
      <w:r w:rsidR="007420C0">
        <w:t xml:space="preserve">dispensed </w:t>
      </w:r>
      <w:r w:rsidR="00224184" w:rsidRPr="00224184">
        <w:t xml:space="preserve">prescription and the next refill that </w:t>
      </w:r>
      <w:r w:rsidR="007420C0">
        <w:t>we</w:t>
      </w:r>
      <w:r w:rsidR="00224184" w:rsidRPr="00224184">
        <w:t xml:space="preserve">re less than 60 days </w:t>
      </w:r>
      <w:r w:rsidR="007420C0">
        <w:t>were</w:t>
      </w:r>
      <w:r w:rsidR="00224184" w:rsidRPr="00224184">
        <w:t xml:space="preserve"> considered continuous therapy.</w:t>
      </w:r>
    </w:p>
    <w:p w14:paraId="33076EA8" w14:textId="74E82569" w:rsidR="006E66CD" w:rsidRDefault="006E66CD" w:rsidP="006E66CD">
      <w:pPr>
        <w:pStyle w:val="Tabletitle"/>
      </w:pPr>
      <w:r>
        <w:t xml:space="preserve">Table </w:t>
      </w:r>
      <w:r w:rsidR="009D4848">
        <w:t>5</w:t>
      </w:r>
      <w:r>
        <w:t xml:space="preserve">: Expected duration of </w:t>
      </w:r>
      <w:r w:rsidR="00E11B17">
        <w:t>treatment</w:t>
      </w:r>
      <w:r>
        <w:t xml:space="preserve"> for included osteoporosis medicines</w:t>
      </w:r>
    </w:p>
    <w:tbl>
      <w:tblPr>
        <w:tblStyle w:val="TableGrid"/>
        <w:tblW w:w="9064" w:type="dxa"/>
        <w:tblLayout w:type="fixed"/>
        <w:tblLook w:val="04A0" w:firstRow="1" w:lastRow="0" w:firstColumn="1" w:lastColumn="0" w:noHBand="0" w:noVBand="1"/>
        <w:tblCaption w:val="Table 7: Expected duration of treatment for included osteoporosis medicines"/>
      </w:tblPr>
      <w:tblGrid>
        <w:gridCol w:w="5495"/>
        <w:gridCol w:w="3569"/>
      </w:tblGrid>
      <w:tr w:rsidR="006E66CD" w:rsidRPr="001D0858" w14:paraId="2A51D6E7" w14:textId="77777777" w:rsidTr="00D069E4">
        <w:trPr>
          <w:trHeight w:val="510"/>
          <w:tblHeader/>
        </w:trPr>
        <w:tc>
          <w:tcPr>
            <w:tcW w:w="5495" w:type="dxa"/>
            <w:shd w:val="clear" w:color="auto" w:fill="BFBFBF" w:themeFill="background1" w:themeFillShade="BF"/>
          </w:tcPr>
          <w:p w14:paraId="3F2CFA2C" w14:textId="77777777" w:rsidR="006E66CD" w:rsidRPr="00445B0A" w:rsidRDefault="006E66CD" w:rsidP="00D069E4">
            <w:pPr>
              <w:pStyle w:val="Tableheading"/>
              <w:jc w:val="left"/>
              <w:rPr>
                <w:sz w:val="20"/>
                <w:szCs w:val="20"/>
              </w:rPr>
            </w:pPr>
            <w:r w:rsidRPr="00445B0A">
              <w:rPr>
                <w:sz w:val="20"/>
                <w:szCs w:val="20"/>
              </w:rPr>
              <w:t>Active ingredient</w:t>
            </w:r>
          </w:p>
        </w:tc>
        <w:tc>
          <w:tcPr>
            <w:tcW w:w="3569" w:type="dxa"/>
            <w:shd w:val="clear" w:color="auto" w:fill="BFBFBF" w:themeFill="background1" w:themeFillShade="BF"/>
          </w:tcPr>
          <w:p w14:paraId="3B864D57" w14:textId="77777777" w:rsidR="006E66CD" w:rsidRPr="00445B0A" w:rsidRDefault="006E66CD" w:rsidP="00D069E4">
            <w:pPr>
              <w:pStyle w:val="Tableheading"/>
              <w:jc w:val="left"/>
              <w:rPr>
                <w:sz w:val="20"/>
                <w:szCs w:val="20"/>
              </w:rPr>
            </w:pPr>
            <w:r w:rsidRPr="00445B0A">
              <w:rPr>
                <w:sz w:val="20"/>
                <w:szCs w:val="20"/>
              </w:rPr>
              <w:t>Expected duration of treatment</w:t>
            </w:r>
          </w:p>
        </w:tc>
      </w:tr>
      <w:tr w:rsidR="006E66CD" w:rsidRPr="001D0858" w14:paraId="33E66AD3" w14:textId="77777777" w:rsidTr="00D069E4">
        <w:trPr>
          <w:trHeight w:val="510"/>
        </w:trPr>
        <w:tc>
          <w:tcPr>
            <w:tcW w:w="5495" w:type="dxa"/>
          </w:tcPr>
          <w:p w14:paraId="20AE1CA9" w14:textId="77777777" w:rsidR="006E66CD" w:rsidRPr="001D0858" w:rsidRDefault="006E66CD" w:rsidP="00D069E4">
            <w:pPr>
              <w:pStyle w:val="Tableheading"/>
              <w:jc w:val="left"/>
              <w:rPr>
                <w:b w:val="0"/>
                <w:sz w:val="20"/>
                <w:szCs w:val="20"/>
              </w:rPr>
            </w:pPr>
            <w:r>
              <w:rPr>
                <w:b w:val="0"/>
                <w:sz w:val="20"/>
                <w:szCs w:val="20"/>
              </w:rPr>
              <w:t>Alendronate (including combination products)</w:t>
            </w:r>
          </w:p>
        </w:tc>
        <w:tc>
          <w:tcPr>
            <w:tcW w:w="3569" w:type="dxa"/>
          </w:tcPr>
          <w:p w14:paraId="528E3079" w14:textId="77777777" w:rsidR="006E66CD" w:rsidRPr="001D0858" w:rsidRDefault="006E66CD" w:rsidP="00D069E4">
            <w:pPr>
              <w:pStyle w:val="Tableheading"/>
              <w:jc w:val="left"/>
              <w:rPr>
                <w:b w:val="0"/>
                <w:sz w:val="20"/>
                <w:szCs w:val="20"/>
              </w:rPr>
            </w:pPr>
            <w:r>
              <w:rPr>
                <w:b w:val="0"/>
                <w:sz w:val="20"/>
                <w:szCs w:val="20"/>
              </w:rPr>
              <w:t>28 days</w:t>
            </w:r>
          </w:p>
        </w:tc>
      </w:tr>
      <w:tr w:rsidR="006E66CD" w:rsidRPr="001D0858" w14:paraId="1C28A3F3" w14:textId="77777777" w:rsidTr="00D069E4">
        <w:trPr>
          <w:trHeight w:val="510"/>
        </w:trPr>
        <w:tc>
          <w:tcPr>
            <w:tcW w:w="5495" w:type="dxa"/>
          </w:tcPr>
          <w:p w14:paraId="299CE477" w14:textId="77777777" w:rsidR="006E66CD" w:rsidRDefault="006E66CD" w:rsidP="00D069E4">
            <w:pPr>
              <w:pStyle w:val="Tableheading"/>
              <w:jc w:val="left"/>
              <w:rPr>
                <w:b w:val="0"/>
                <w:sz w:val="20"/>
                <w:szCs w:val="20"/>
              </w:rPr>
            </w:pPr>
            <w:r>
              <w:rPr>
                <w:b w:val="0"/>
                <w:sz w:val="20"/>
                <w:szCs w:val="20"/>
              </w:rPr>
              <w:t>Calcitriol</w:t>
            </w:r>
          </w:p>
        </w:tc>
        <w:tc>
          <w:tcPr>
            <w:tcW w:w="3569" w:type="dxa"/>
          </w:tcPr>
          <w:p w14:paraId="02F56B79" w14:textId="77777777" w:rsidR="006E66CD" w:rsidRDefault="006E66CD" w:rsidP="00D069E4">
            <w:pPr>
              <w:pStyle w:val="Tableheading"/>
              <w:jc w:val="left"/>
              <w:rPr>
                <w:b w:val="0"/>
                <w:sz w:val="20"/>
                <w:szCs w:val="20"/>
              </w:rPr>
            </w:pPr>
            <w:r>
              <w:rPr>
                <w:b w:val="0"/>
                <w:sz w:val="20"/>
                <w:szCs w:val="20"/>
              </w:rPr>
              <w:t>50 days</w:t>
            </w:r>
          </w:p>
        </w:tc>
      </w:tr>
      <w:tr w:rsidR="006E66CD" w:rsidRPr="001D0858" w14:paraId="494A0575" w14:textId="77777777" w:rsidTr="00D069E4">
        <w:trPr>
          <w:trHeight w:val="510"/>
        </w:trPr>
        <w:tc>
          <w:tcPr>
            <w:tcW w:w="5495" w:type="dxa"/>
          </w:tcPr>
          <w:p w14:paraId="5E267473" w14:textId="77777777" w:rsidR="006E66CD" w:rsidRDefault="006E66CD" w:rsidP="00D069E4">
            <w:pPr>
              <w:pStyle w:val="Tableheading"/>
              <w:jc w:val="left"/>
              <w:rPr>
                <w:b w:val="0"/>
                <w:sz w:val="20"/>
                <w:szCs w:val="20"/>
              </w:rPr>
            </w:pPr>
            <w:r>
              <w:rPr>
                <w:b w:val="0"/>
                <w:sz w:val="20"/>
                <w:szCs w:val="20"/>
              </w:rPr>
              <w:t>Denosumab</w:t>
            </w:r>
          </w:p>
        </w:tc>
        <w:tc>
          <w:tcPr>
            <w:tcW w:w="3569" w:type="dxa"/>
          </w:tcPr>
          <w:p w14:paraId="044E4216" w14:textId="77777777" w:rsidR="006E66CD" w:rsidRDefault="006E66CD" w:rsidP="00D069E4">
            <w:pPr>
              <w:pStyle w:val="Tableheading"/>
              <w:jc w:val="left"/>
              <w:rPr>
                <w:b w:val="0"/>
                <w:sz w:val="20"/>
                <w:szCs w:val="20"/>
              </w:rPr>
            </w:pPr>
            <w:r>
              <w:rPr>
                <w:b w:val="0"/>
                <w:sz w:val="20"/>
                <w:szCs w:val="20"/>
              </w:rPr>
              <w:t>180 days</w:t>
            </w:r>
          </w:p>
        </w:tc>
      </w:tr>
      <w:tr w:rsidR="006E66CD" w:rsidRPr="001D0858" w14:paraId="170DFDAE" w14:textId="77777777" w:rsidTr="00D069E4">
        <w:trPr>
          <w:trHeight w:val="510"/>
        </w:trPr>
        <w:tc>
          <w:tcPr>
            <w:tcW w:w="5495" w:type="dxa"/>
          </w:tcPr>
          <w:p w14:paraId="089EDCB6" w14:textId="77777777" w:rsidR="006E66CD" w:rsidRDefault="006E66CD" w:rsidP="00D069E4">
            <w:pPr>
              <w:pStyle w:val="Tableheading"/>
              <w:jc w:val="left"/>
              <w:rPr>
                <w:b w:val="0"/>
                <w:sz w:val="20"/>
                <w:szCs w:val="20"/>
              </w:rPr>
            </w:pPr>
            <w:r>
              <w:rPr>
                <w:b w:val="0"/>
                <w:sz w:val="20"/>
                <w:szCs w:val="20"/>
              </w:rPr>
              <w:t>Raloxifene</w:t>
            </w:r>
          </w:p>
        </w:tc>
        <w:tc>
          <w:tcPr>
            <w:tcW w:w="3569" w:type="dxa"/>
          </w:tcPr>
          <w:p w14:paraId="5185DA21" w14:textId="77777777" w:rsidR="006E66CD" w:rsidRDefault="006E66CD" w:rsidP="00D069E4">
            <w:pPr>
              <w:pStyle w:val="Tableheading"/>
              <w:jc w:val="left"/>
              <w:rPr>
                <w:b w:val="0"/>
                <w:sz w:val="20"/>
                <w:szCs w:val="20"/>
              </w:rPr>
            </w:pPr>
            <w:r>
              <w:rPr>
                <w:b w:val="0"/>
                <w:sz w:val="20"/>
                <w:szCs w:val="20"/>
              </w:rPr>
              <w:t>28 days</w:t>
            </w:r>
          </w:p>
        </w:tc>
      </w:tr>
      <w:tr w:rsidR="006E66CD" w:rsidRPr="001D0858" w14:paraId="56E43056" w14:textId="77777777" w:rsidTr="00D069E4">
        <w:trPr>
          <w:trHeight w:val="510"/>
        </w:trPr>
        <w:tc>
          <w:tcPr>
            <w:tcW w:w="5495" w:type="dxa"/>
          </w:tcPr>
          <w:p w14:paraId="0EC9BFF3" w14:textId="77777777" w:rsidR="006E66CD" w:rsidRDefault="006E66CD" w:rsidP="00D069E4">
            <w:pPr>
              <w:pStyle w:val="Tableheading"/>
              <w:jc w:val="left"/>
              <w:rPr>
                <w:b w:val="0"/>
                <w:sz w:val="20"/>
                <w:szCs w:val="20"/>
              </w:rPr>
            </w:pPr>
            <w:r w:rsidRPr="008E3913">
              <w:rPr>
                <w:b w:val="0"/>
                <w:sz w:val="20"/>
                <w:szCs w:val="20"/>
              </w:rPr>
              <w:t>Risedronate (including combination products)</w:t>
            </w:r>
          </w:p>
        </w:tc>
        <w:tc>
          <w:tcPr>
            <w:tcW w:w="3569" w:type="dxa"/>
          </w:tcPr>
          <w:p w14:paraId="6CD5888B" w14:textId="77777777" w:rsidR="006E66CD" w:rsidRDefault="006E66CD" w:rsidP="00D069E4">
            <w:pPr>
              <w:pStyle w:val="Tableheading"/>
              <w:jc w:val="left"/>
              <w:rPr>
                <w:b w:val="0"/>
                <w:sz w:val="20"/>
                <w:szCs w:val="20"/>
              </w:rPr>
            </w:pPr>
            <w:r w:rsidRPr="008E3913">
              <w:rPr>
                <w:b w:val="0"/>
                <w:sz w:val="20"/>
                <w:szCs w:val="20"/>
              </w:rPr>
              <w:t>28 days</w:t>
            </w:r>
          </w:p>
        </w:tc>
      </w:tr>
      <w:tr w:rsidR="006E66CD" w:rsidRPr="001D0858" w14:paraId="7FF4656B" w14:textId="77777777" w:rsidTr="00D069E4">
        <w:trPr>
          <w:trHeight w:val="510"/>
        </w:trPr>
        <w:tc>
          <w:tcPr>
            <w:tcW w:w="5495" w:type="dxa"/>
          </w:tcPr>
          <w:p w14:paraId="0B1F2631" w14:textId="77777777" w:rsidR="006E66CD" w:rsidRDefault="006E66CD" w:rsidP="00D069E4">
            <w:pPr>
              <w:pStyle w:val="Tableheading"/>
              <w:jc w:val="left"/>
              <w:rPr>
                <w:b w:val="0"/>
                <w:sz w:val="20"/>
                <w:szCs w:val="20"/>
              </w:rPr>
            </w:pPr>
            <w:r>
              <w:rPr>
                <w:b w:val="0"/>
                <w:sz w:val="20"/>
                <w:szCs w:val="20"/>
              </w:rPr>
              <w:t>Strontium ranelate</w:t>
            </w:r>
          </w:p>
        </w:tc>
        <w:tc>
          <w:tcPr>
            <w:tcW w:w="3569" w:type="dxa"/>
          </w:tcPr>
          <w:p w14:paraId="4508DC33" w14:textId="77777777" w:rsidR="006E66CD" w:rsidRDefault="006E66CD" w:rsidP="00D069E4">
            <w:pPr>
              <w:pStyle w:val="Tableheading"/>
              <w:jc w:val="left"/>
              <w:rPr>
                <w:b w:val="0"/>
                <w:sz w:val="20"/>
                <w:szCs w:val="20"/>
              </w:rPr>
            </w:pPr>
            <w:r>
              <w:rPr>
                <w:b w:val="0"/>
                <w:sz w:val="20"/>
                <w:szCs w:val="20"/>
              </w:rPr>
              <w:t>28 days</w:t>
            </w:r>
          </w:p>
        </w:tc>
      </w:tr>
      <w:tr w:rsidR="006E66CD" w:rsidRPr="001D0858" w14:paraId="02DA120F" w14:textId="77777777" w:rsidTr="00D069E4">
        <w:trPr>
          <w:trHeight w:val="510"/>
        </w:trPr>
        <w:tc>
          <w:tcPr>
            <w:tcW w:w="5495" w:type="dxa"/>
          </w:tcPr>
          <w:p w14:paraId="5DE3B25B" w14:textId="77777777" w:rsidR="006E66CD" w:rsidRDefault="006E66CD" w:rsidP="00D069E4">
            <w:pPr>
              <w:pStyle w:val="Tableheading"/>
              <w:jc w:val="left"/>
              <w:rPr>
                <w:b w:val="0"/>
                <w:sz w:val="20"/>
                <w:szCs w:val="20"/>
              </w:rPr>
            </w:pPr>
            <w:r>
              <w:rPr>
                <w:b w:val="0"/>
                <w:sz w:val="20"/>
                <w:szCs w:val="20"/>
              </w:rPr>
              <w:t>Teriparatide</w:t>
            </w:r>
          </w:p>
        </w:tc>
        <w:tc>
          <w:tcPr>
            <w:tcW w:w="3569" w:type="dxa"/>
          </w:tcPr>
          <w:p w14:paraId="033E29E6" w14:textId="77777777" w:rsidR="006E66CD" w:rsidRDefault="006E66CD" w:rsidP="00D069E4">
            <w:pPr>
              <w:pStyle w:val="Tableheading"/>
              <w:jc w:val="left"/>
              <w:rPr>
                <w:b w:val="0"/>
                <w:sz w:val="20"/>
                <w:szCs w:val="20"/>
              </w:rPr>
            </w:pPr>
            <w:r>
              <w:rPr>
                <w:b w:val="0"/>
                <w:sz w:val="20"/>
                <w:szCs w:val="20"/>
              </w:rPr>
              <w:t>28 days</w:t>
            </w:r>
          </w:p>
        </w:tc>
      </w:tr>
      <w:tr w:rsidR="006E66CD" w:rsidRPr="001D0858" w14:paraId="340C8B8A" w14:textId="77777777" w:rsidTr="00D069E4">
        <w:trPr>
          <w:trHeight w:val="510"/>
        </w:trPr>
        <w:tc>
          <w:tcPr>
            <w:tcW w:w="5495" w:type="dxa"/>
          </w:tcPr>
          <w:p w14:paraId="02F37118" w14:textId="77777777" w:rsidR="006E66CD" w:rsidRDefault="006E66CD" w:rsidP="00D069E4">
            <w:pPr>
              <w:pStyle w:val="Tableheading"/>
              <w:jc w:val="left"/>
              <w:rPr>
                <w:b w:val="0"/>
                <w:sz w:val="20"/>
                <w:szCs w:val="20"/>
              </w:rPr>
            </w:pPr>
            <w:r>
              <w:rPr>
                <w:b w:val="0"/>
                <w:sz w:val="20"/>
                <w:szCs w:val="20"/>
              </w:rPr>
              <w:t>Zoledronic acid</w:t>
            </w:r>
          </w:p>
        </w:tc>
        <w:tc>
          <w:tcPr>
            <w:tcW w:w="3569" w:type="dxa"/>
          </w:tcPr>
          <w:p w14:paraId="50464D33" w14:textId="77777777" w:rsidR="006E66CD" w:rsidRDefault="006E66CD" w:rsidP="00D069E4">
            <w:pPr>
              <w:pStyle w:val="Tableheading"/>
              <w:jc w:val="left"/>
              <w:rPr>
                <w:b w:val="0"/>
                <w:sz w:val="20"/>
                <w:szCs w:val="20"/>
              </w:rPr>
            </w:pPr>
            <w:r>
              <w:rPr>
                <w:b w:val="0"/>
                <w:sz w:val="20"/>
                <w:szCs w:val="20"/>
              </w:rPr>
              <w:t>365 days</w:t>
            </w:r>
          </w:p>
        </w:tc>
      </w:tr>
    </w:tbl>
    <w:p w14:paraId="605200FA" w14:textId="77777777" w:rsidR="006E66CD" w:rsidRDefault="006E66CD" w:rsidP="006E66CD"/>
    <w:p w14:paraId="75DA2536" w14:textId="5741D884" w:rsidR="00232DEA" w:rsidRPr="002C76E5" w:rsidRDefault="00232DEA" w:rsidP="002C76E5">
      <w:pPr>
        <w:pStyle w:val="Heading4"/>
        <w:rPr>
          <w:sz w:val="24"/>
        </w:rPr>
      </w:pPr>
      <w:r w:rsidRPr="002C76E5">
        <w:rPr>
          <w:sz w:val="24"/>
        </w:rPr>
        <w:t>Treatment cessation</w:t>
      </w:r>
    </w:p>
    <w:p w14:paraId="04048A4B" w14:textId="2FB907BC" w:rsidR="00853AA9" w:rsidRDefault="00031ECA" w:rsidP="00FE2CB5">
      <w:r>
        <w:t>An</w:t>
      </w:r>
      <w:r w:rsidRPr="00031ECA">
        <w:t xml:space="preserve"> initiating osteoporosis</w:t>
      </w:r>
      <w:r w:rsidR="00853AA9" w:rsidRPr="00853AA9">
        <w:t xml:space="preserve"> medicine </w:t>
      </w:r>
      <w:r w:rsidR="00853AA9">
        <w:t>was</w:t>
      </w:r>
      <w:r w:rsidR="00853AA9" w:rsidRPr="00853AA9">
        <w:t xml:space="preserve"> considered </w:t>
      </w:r>
      <w:r w:rsidR="00853AA9">
        <w:t xml:space="preserve">to have been </w:t>
      </w:r>
      <w:r w:rsidR="00853AA9" w:rsidRPr="00853AA9">
        <w:t>ceased if the expected end of the last prescriptio</w:t>
      </w:r>
      <w:r w:rsidR="009D4848">
        <w:t>n for the medicine type (Table 5</w:t>
      </w:r>
      <w:r w:rsidR="00853AA9" w:rsidRPr="00853AA9">
        <w:t>)</w:t>
      </w:r>
      <w:r w:rsidR="00E7758B">
        <w:t xml:space="preserve"> was</w:t>
      </w:r>
      <w:r w:rsidR="00853AA9" w:rsidRPr="00853AA9">
        <w:t xml:space="preserve"> at least 60 days before the end of the study period. For example</w:t>
      </w:r>
      <w:r w:rsidR="00E7758B">
        <w:t>,</w:t>
      </w:r>
      <w:r w:rsidR="00853AA9" w:rsidRPr="00853AA9">
        <w:t xml:space="preserve"> if a patient’s last script for alendronate </w:t>
      </w:r>
      <w:r w:rsidR="00E7758B">
        <w:t>was</w:t>
      </w:r>
      <w:r w:rsidR="00853AA9" w:rsidRPr="00853AA9">
        <w:t xml:space="preserve"> recorded on the 10 October 2018, this would be considered ceased because 28 days plus 60 days is before 3</w:t>
      </w:r>
      <w:r w:rsidR="00E7758B">
        <w:t>0</w:t>
      </w:r>
      <w:r w:rsidR="00853AA9" w:rsidRPr="00853AA9">
        <w:t xml:space="preserve"> </w:t>
      </w:r>
      <w:r w:rsidR="00E7758B">
        <w:t xml:space="preserve">July </w:t>
      </w:r>
      <w:r w:rsidR="00853AA9" w:rsidRPr="00853AA9">
        <w:t xml:space="preserve">2019. Whereas if a patient’s last script for alendronate is recorded on the 10 </w:t>
      </w:r>
      <w:r w:rsidR="00214A41">
        <w:t>May</w:t>
      </w:r>
      <w:r w:rsidR="00853AA9" w:rsidRPr="00853AA9">
        <w:t xml:space="preserve"> 2019, this would not be considered ceased, because the expected end of therapy is </w:t>
      </w:r>
      <w:r w:rsidR="00AF1F36">
        <w:t>7 June 2019</w:t>
      </w:r>
      <w:r w:rsidR="00853AA9" w:rsidRPr="00853AA9">
        <w:t>, which is not 60 days before the end of the study period (3</w:t>
      </w:r>
      <w:r w:rsidR="00AF1F36">
        <w:t>0 June</w:t>
      </w:r>
      <w:r w:rsidR="00853AA9" w:rsidRPr="00853AA9">
        <w:t xml:space="preserve"> 2019) and the patient may still be on continuous therapy.</w:t>
      </w:r>
    </w:p>
    <w:p w14:paraId="10CFA4CA" w14:textId="22783A31" w:rsidR="00FE2CB5" w:rsidRPr="002C76E5" w:rsidRDefault="00FE2CB5" w:rsidP="002C76E5">
      <w:pPr>
        <w:pStyle w:val="Heading4"/>
        <w:rPr>
          <w:sz w:val="24"/>
        </w:rPr>
      </w:pPr>
      <w:r w:rsidRPr="002C76E5">
        <w:rPr>
          <w:sz w:val="24"/>
        </w:rPr>
        <w:t>Management post-</w:t>
      </w:r>
      <w:r w:rsidR="00D16FE2" w:rsidRPr="002C76E5">
        <w:rPr>
          <w:sz w:val="24"/>
        </w:rPr>
        <w:t>medicine</w:t>
      </w:r>
      <w:r w:rsidRPr="002C76E5">
        <w:rPr>
          <w:sz w:val="24"/>
        </w:rPr>
        <w:t xml:space="preserve"> cessation</w:t>
      </w:r>
    </w:p>
    <w:p w14:paraId="08F1A18B" w14:textId="3B9AF5D1" w:rsidR="00FE2CB5" w:rsidRDefault="00FE2CB5" w:rsidP="00FE2CB5">
      <w:r>
        <w:t xml:space="preserve">For a patient who had ceased </w:t>
      </w:r>
      <w:r w:rsidR="00863D64">
        <w:t xml:space="preserve">their initiating medicine to </w:t>
      </w:r>
      <w:r>
        <w:t>be recorded as having been started on another osteoporosis medicine they had to meet both of the following criteria</w:t>
      </w:r>
      <w:r w:rsidR="003C52B4">
        <w:t>, using denosumab as an example</w:t>
      </w:r>
      <w:r>
        <w:t>:</w:t>
      </w:r>
    </w:p>
    <w:p w14:paraId="38CF01E7" w14:textId="77777777" w:rsidR="00FE2CB5" w:rsidRDefault="00FE2CB5" w:rsidP="00FE2CB5">
      <w:pPr>
        <w:pStyle w:val="ListParagraph"/>
        <w:numPr>
          <w:ilvl w:val="0"/>
          <w:numId w:val="7"/>
        </w:numPr>
      </w:pPr>
      <w:r>
        <w:t xml:space="preserve">have a prescription for a different medicine on or after the date of the last prescription for denosumab; and </w:t>
      </w:r>
    </w:p>
    <w:p w14:paraId="7888BB6E" w14:textId="7C5D9F93" w:rsidR="00FE2CB5" w:rsidRDefault="00FE2CB5" w:rsidP="00FE2CB5">
      <w:pPr>
        <w:pStyle w:val="ListParagraph"/>
        <w:numPr>
          <w:ilvl w:val="0"/>
          <w:numId w:val="7"/>
        </w:numPr>
      </w:pPr>
      <w:r>
        <w:t>the expected end of the last prescription for the different medicine is after the expected end of the ceased t</w:t>
      </w:r>
      <w:r w:rsidR="00CA4CC7">
        <w:t>reatment</w:t>
      </w:r>
      <w:r>
        <w:t>.</w:t>
      </w:r>
    </w:p>
    <w:p w14:paraId="2EBFCB48" w14:textId="41AC8959" w:rsidR="00C305DF" w:rsidRDefault="00C305DF" w:rsidP="00C305DF"/>
    <w:p w14:paraId="131DE810" w14:textId="77777777" w:rsidR="00C305DF" w:rsidRDefault="00C305DF" w:rsidP="00C305DF"/>
    <w:p w14:paraId="05EFC72C" w14:textId="2DCF401A" w:rsidR="00EC2635" w:rsidRPr="002C76E5" w:rsidRDefault="006A5C87" w:rsidP="002C76E5">
      <w:pPr>
        <w:pStyle w:val="Heading4"/>
        <w:rPr>
          <w:sz w:val="24"/>
        </w:rPr>
      </w:pPr>
      <w:r w:rsidRPr="002C76E5">
        <w:rPr>
          <w:sz w:val="24"/>
        </w:rPr>
        <w:lastRenderedPageBreak/>
        <w:t>Sta</w:t>
      </w:r>
      <w:r w:rsidR="001244A3" w:rsidRPr="002C76E5">
        <w:rPr>
          <w:sz w:val="24"/>
        </w:rPr>
        <w:t>tist</w:t>
      </w:r>
      <w:r w:rsidRPr="002C76E5">
        <w:rPr>
          <w:sz w:val="24"/>
        </w:rPr>
        <w:t xml:space="preserve">ical analysis </w:t>
      </w:r>
    </w:p>
    <w:p w14:paraId="5DE4A474" w14:textId="22818C74" w:rsidR="004D59B6" w:rsidRDefault="001244A3" w:rsidP="00524D13">
      <w:r w:rsidRPr="001244A3">
        <w:t xml:space="preserve">Analyses of the data </w:t>
      </w:r>
      <w:r>
        <w:t>were</w:t>
      </w:r>
      <w:r w:rsidRPr="001244A3">
        <w:t xml:space="preserve"> conducted using SAS version 9.4 (SAS Institute Inc., Cary, NC, USA), including the use of the SURVEYFREQ procedure. Measures include</w:t>
      </w:r>
      <w:r w:rsidR="00CC7676">
        <w:t>d</w:t>
      </w:r>
      <w:r w:rsidRPr="001244A3">
        <w:t xml:space="preserve"> descriptive statistics, frequencies and proportions as appropriate.</w:t>
      </w:r>
    </w:p>
    <w:p w14:paraId="5EF5F18A" w14:textId="15814D6D" w:rsidR="002C76E5" w:rsidRPr="002C76E5" w:rsidRDefault="002C76E5" w:rsidP="002C76E5">
      <w:pPr>
        <w:pStyle w:val="Heading3"/>
        <w:rPr>
          <w:sz w:val="32"/>
        </w:rPr>
      </w:pPr>
      <w:r w:rsidRPr="002C76E5">
        <w:rPr>
          <w:sz w:val="32"/>
        </w:rPr>
        <w:t>MedicineInsight Data</w:t>
      </w:r>
    </w:p>
    <w:p w14:paraId="4F0DBEE9" w14:textId="77777777" w:rsidR="002C76E5" w:rsidRDefault="002C76E5" w:rsidP="002C76E5">
      <w:r>
        <w:t>MedicineInsight is a leading large-scale primary care data set of longitudinal de-identified electronic health records (EHR) in Australia. MedicineInsight was initially established by NPS MedicineWise in 2011, with core funding from the Australian Government Department of Health, to collect general practice data to support quality improvement in Australian primary care and post-market surveillance of medicines. The monthly collation of collected data can be analysed for the purposes of improving patient care, quality improvement and evaluation, performing population health analysis, research and developing health policy.</w:t>
      </w:r>
    </w:p>
    <w:p w14:paraId="5D61C889" w14:textId="77777777" w:rsidR="002C76E5" w:rsidRDefault="002C76E5" w:rsidP="002C76E5">
      <w:r>
        <w:t>MedicineInsight utilises third-party data extraction tools which extract, de-identify, encrypt and securely transmit whole-of-practice data from the clinical information systems of over 700 general practices. Patient level data are de-identified ‘at source’ meaning patients’ personal identifiers such as name, date of birth and address are not extracted by the tool (although year of birth and postcode are extracted, enabling the calculation of age and Socio-Economic Indexes for Areas [SEIFA]). The data held in the MedicineInsight database are non-identifiable. However, each patient has a unique identifying number which allows all the records (clinical, prescription, referral etc) held in the database to be linked to the associated patient identifying number. The process of collecting patient data achieves a data collection that meets the definition of non-identified data in the NHMRC National Statement on Ethical Conduct in Human Research. [chapter 3.2, p.27].</w:t>
      </w:r>
      <w:r w:rsidRPr="008F4D4E">
        <w:t xml:space="preserve"> </w:t>
      </w:r>
      <w:r>
        <w:t xml:space="preserve">Further information is available online: </w:t>
      </w:r>
      <w:hyperlink r:id="rId17" w:history="1">
        <w:r w:rsidRPr="008F4D4E">
          <w:rPr>
            <w:rStyle w:val="Hyperlink"/>
          </w:rPr>
          <w:t>https://www.nps.org.au/medicine-insight</w:t>
        </w:r>
      </w:hyperlink>
    </w:p>
    <w:p w14:paraId="0B570C16" w14:textId="77777777" w:rsidR="002C76E5" w:rsidRDefault="002C76E5" w:rsidP="002C76E5">
      <w:pPr>
        <w:pStyle w:val="Heading4"/>
      </w:pPr>
      <w:r>
        <w:t>Study ethics and approval</w:t>
      </w:r>
    </w:p>
    <w:p w14:paraId="25775314" w14:textId="77777777" w:rsidR="002C76E5" w:rsidRDefault="002C76E5" w:rsidP="002C76E5">
      <w:r>
        <w:t xml:space="preserve">In December 2017, NPS MedicineWise was granted ethics approval for the standard operations and uses of the MedicineInsight database by NPS MedicineWise. This program approval was given by the RACGP NREEC (NREEC 17-017). </w:t>
      </w:r>
    </w:p>
    <w:p w14:paraId="6DBAEABF" w14:textId="77777777" w:rsidR="002C76E5" w:rsidRDefault="002C76E5" w:rsidP="002C76E5">
      <w:r>
        <w:t>The use of MedicineInsight data for the purposes of this report was approved by the independent Data Governance Committee (2020–018).</w:t>
      </w:r>
    </w:p>
    <w:p w14:paraId="36CCA257" w14:textId="77777777" w:rsidR="002C76E5" w:rsidRPr="002C76E5" w:rsidRDefault="002C76E5" w:rsidP="002C76E5">
      <w:pPr>
        <w:pStyle w:val="Heading4"/>
        <w:rPr>
          <w:sz w:val="24"/>
        </w:rPr>
      </w:pPr>
      <w:r w:rsidRPr="002C76E5">
        <w:rPr>
          <w:sz w:val="24"/>
        </w:rPr>
        <w:t>Eligible patients</w:t>
      </w:r>
    </w:p>
    <w:p w14:paraId="637CAE4F" w14:textId="77777777" w:rsidR="002C76E5" w:rsidRDefault="002C76E5" w:rsidP="002C76E5">
      <w:r>
        <w:t>The MedicineInsight analyses used data from 1 January 2014 to 31 December 2019. There are a number of different study populations in the MedicineInsight study:</w:t>
      </w:r>
    </w:p>
    <w:p w14:paraId="4137EA36" w14:textId="77777777" w:rsidR="002C76E5" w:rsidRDefault="002C76E5" w:rsidP="002C76E5">
      <w:pPr>
        <w:pStyle w:val="ListParagraph"/>
        <w:numPr>
          <w:ilvl w:val="0"/>
          <w:numId w:val="15"/>
        </w:numPr>
      </w:pPr>
      <w:r>
        <w:t xml:space="preserve">the </w:t>
      </w:r>
      <w:r w:rsidRPr="0067035D">
        <w:rPr>
          <w:b/>
        </w:rPr>
        <w:t>regular patient</w:t>
      </w:r>
      <w:r>
        <w:t xml:space="preserve"> </w:t>
      </w:r>
      <w:r w:rsidRPr="00694208">
        <w:rPr>
          <w:b/>
        </w:rPr>
        <w:t>prevalence study population</w:t>
      </w:r>
      <w:r>
        <w:t xml:space="preserve"> (to explore the prevalence of osteoporosis among regularly attending p</w:t>
      </w:r>
      <w:r w:rsidRPr="007D3373">
        <w:t>atients in general practice</w:t>
      </w:r>
      <w:r>
        <w:t>);</w:t>
      </w:r>
    </w:p>
    <w:p w14:paraId="1920E778" w14:textId="77777777" w:rsidR="002C76E5" w:rsidRDefault="002C76E5" w:rsidP="002C76E5">
      <w:pPr>
        <w:pStyle w:val="ListParagraph"/>
        <w:numPr>
          <w:ilvl w:val="0"/>
          <w:numId w:val="15"/>
        </w:numPr>
      </w:pPr>
      <w:r>
        <w:t xml:space="preserve">the </w:t>
      </w:r>
      <w:r>
        <w:rPr>
          <w:b/>
        </w:rPr>
        <w:t>historical o</w:t>
      </w:r>
      <w:r w:rsidRPr="00694208">
        <w:rPr>
          <w:b/>
        </w:rPr>
        <w:t>steoporosis study population</w:t>
      </w:r>
      <w:r>
        <w:t xml:space="preserve"> (to explore the history of use of osteoporosis medicines in general practice patients with </w:t>
      </w:r>
      <w:r w:rsidRPr="007D3373">
        <w:t>a diagnosis of osteoporosis</w:t>
      </w:r>
      <w:r>
        <w:t>);</w:t>
      </w:r>
    </w:p>
    <w:p w14:paraId="1E5CB5DF" w14:textId="77777777" w:rsidR="002C76E5" w:rsidRDefault="002C76E5" w:rsidP="002C76E5">
      <w:pPr>
        <w:pStyle w:val="ListParagraph"/>
        <w:numPr>
          <w:ilvl w:val="0"/>
          <w:numId w:val="15"/>
        </w:numPr>
      </w:pPr>
      <w:r>
        <w:lastRenderedPageBreak/>
        <w:t xml:space="preserve">the </w:t>
      </w:r>
      <w:r w:rsidRPr="00694208">
        <w:rPr>
          <w:b/>
        </w:rPr>
        <w:t xml:space="preserve">denosumab initiator </w:t>
      </w:r>
      <w:r w:rsidRPr="00C01FA5">
        <w:rPr>
          <w:b/>
        </w:rPr>
        <w:t>population</w:t>
      </w:r>
      <w:r>
        <w:t xml:space="preserve"> (to explore patterns of prescribing among patient started on denosumab regardless of whether they had been trialled on another osteoporosis medicine prior); and</w:t>
      </w:r>
    </w:p>
    <w:p w14:paraId="65B9E63B" w14:textId="77777777" w:rsidR="002C76E5" w:rsidRDefault="002C76E5" w:rsidP="002C76E5">
      <w:pPr>
        <w:pStyle w:val="ListParagraph"/>
        <w:numPr>
          <w:ilvl w:val="0"/>
          <w:numId w:val="15"/>
        </w:numPr>
      </w:pPr>
      <w:r>
        <w:t xml:space="preserve">the </w:t>
      </w:r>
      <w:r w:rsidRPr="002614E5">
        <w:rPr>
          <w:b/>
        </w:rPr>
        <w:t>initiated directly on denosumab population</w:t>
      </w:r>
      <w:r w:rsidRPr="00A623AC">
        <w:t xml:space="preserve"> </w:t>
      </w:r>
      <w:r>
        <w:t xml:space="preserve">(to explore number of patients </w:t>
      </w:r>
      <w:r w:rsidRPr="00A623AC">
        <w:t xml:space="preserve">started directly on denosumab without being trialled </w:t>
      </w:r>
      <w:r>
        <w:t xml:space="preserve">on </w:t>
      </w:r>
      <w:r w:rsidRPr="00A623AC">
        <w:t>another osteoporosis medicine first</w:t>
      </w:r>
      <w:r>
        <w:t>)</w:t>
      </w:r>
      <w:r w:rsidRPr="00A623AC">
        <w:t>.</w:t>
      </w:r>
    </w:p>
    <w:p w14:paraId="4243734A" w14:textId="0465A36A" w:rsidR="002C76E5" w:rsidRDefault="002C76E5" w:rsidP="002C76E5">
      <w:r>
        <w:t>Information on the eligibility criteria for each stu</w:t>
      </w:r>
      <w:r w:rsidR="009D4848">
        <w:t>dy population is show in Table 6</w:t>
      </w:r>
      <w:r>
        <w:t>.</w:t>
      </w:r>
    </w:p>
    <w:p w14:paraId="30AAC5F6" w14:textId="308A79A3" w:rsidR="002C76E5" w:rsidRDefault="009D4848" w:rsidP="002C76E5">
      <w:pPr>
        <w:pStyle w:val="Tabletitle"/>
      </w:pPr>
      <w:r>
        <w:t>Table 6</w:t>
      </w:r>
      <w:r w:rsidR="002C76E5">
        <w:t>: Eligibility criteria for inclusion in MedicineInsight patients included in the three study populations</w:t>
      </w:r>
    </w:p>
    <w:tbl>
      <w:tblPr>
        <w:tblStyle w:val="TableGrid"/>
        <w:tblW w:w="9064" w:type="dxa"/>
        <w:tblLayout w:type="fixed"/>
        <w:tblLook w:val="04A0" w:firstRow="1" w:lastRow="0" w:firstColumn="1" w:lastColumn="0" w:noHBand="0" w:noVBand="1"/>
        <w:tblCaption w:val="Table 4: Eligibility criteria for inclusion in MedicineInsight patients included in the three study populations"/>
      </w:tblPr>
      <w:tblGrid>
        <w:gridCol w:w="2830"/>
        <w:gridCol w:w="6234"/>
      </w:tblGrid>
      <w:tr w:rsidR="002C76E5" w:rsidRPr="001D0858" w14:paraId="3529E0BD" w14:textId="77777777" w:rsidTr="002C76E5">
        <w:trPr>
          <w:trHeight w:val="1005"/>
          <w:tblHeader/>
        </w:trPr>
        <w:tc>
          <w:tcPr>
            <w:tcW w:w="2830" w:type="dxa"/>
            <w:shd w:val="clear" w:color="auto" w:fill="BFBFBF" w:themeFill="background1" w:themeFillShade="BF"/>
          </w:tcPr>
          <w:p w14:paraId="22792D4F" w14:textId="77777777" w:rsidR="002C76E5" w:rsidRPr="001D0858" w:rsidRDefault="002C76E5" w:rsidP="002C76E5">
            <w:pPr>
              <w:pStyle w:val="Tableheading"/>
              <w:jc w:val="left"/>
              <w:rPr>
                <w:sz w:val="20"/>
                <w:szCs w:val="20"/>
              </w:rPr>
            </w:pPr>
            <w:r>
              <w:rPr>
                <w:sz w:val="20"/>
                <w:szCs w:val="20"/>
              </w:rPr>
              <w:t>Study population</w:t>
            </w:r>
          </w:p>
        </w:tc>
        <w:tc>
          <w:tcPr>
            <w:tcW w:w="6234" w:type="dxa"/>
            <w:shd w:val="clear" w:color="auto" w:fill="BFBFBF" w:themeFill="background1" w:themeFillShade="BF"/>
          </w:tcPr>
          <w:p w14:paraId="1DCBF95B" w14:textId="77777777" w:rsidR="002C76E5" w:rsidRPr="001D0858" w:rsidRDefault="002C76E5" w:rsidP="002C76E5">
            <w:pPr>
              <w:pStyle w:val="Tableheading"/>
              <w:jc w:val="left"/>
              <w:rPr>
                <w:sz w:val="20"/>
                <w:szCs w:val="20"/>
              </w:rPr>
            </w:pPr>
            <w:r>
              <w:rPr>
                <w:sz w:val="20"/>
                <w:szCs w:val="20"/>
              </w:rPr>
              <w:t>Eligibility criteria</w:t>
            </w:r>
          </w:p>
        </w:tc>
      </w:tr>
      <w:tr w:rsidR="002C76E5" w:rsidRPr="001D0858" w14:paraId="4C64A456" w14:textId="77777777" w:rsidTr="002C76E5">
        <w:trPr>
          <w:trHeight w:val="1005"/>
        </w:trPr>
        <w:tc>
          <w:tcPr>
            <w:tcW w:w="2830" w:type="dxa"/>
          </w:tcPr>
          <w:p w14:paraId="229F93D8" w14:textId="77777777" w:rsidR="002C76E5" w:rsidRPr="00DE172A" w:rsidRDefault="002C76E5" w:rsidP="002C76E5">
            <w:pPr>
              <w:pStyle w:val="Tableheading"/>
              <w:jc w:val="left"/>
              <w:rPr>
                <w:b w:val="0"/>
                <w:sz w:val="20"/>
                <w:szCs w:val="20"/>
              </w:rPr>
            </w:pPr>
            <w:r>
              <w:rPr>
                <w:b w:val="0"/>
                <w:sz w:val="20"/>
                <w:szCs w:val="20"/>
              </w:rPr>
              <w:t>Regular patient prevalence study population</w:t>
            </w:r>
          </w:p>
        </w:tc>
        <w:tc>
          <w:tcPr>
            <w:tcW w:w="6234" w:type="dxa"/>
          </w:tcPr>
          <w:p w14:paraId="5EF78F7F" w14:textId="77777777" w:rsidR="002C76E5" w:rsidRDefault="002C76E5" w:rsidP="002C76E5">
            <w:pPr>
              <w:pStyle w:val="Tableheading"/>
              <w:numPr>
                <w:ilvl w:val="0"/>
                <w:numId w:val="14"/>
              </w:numPr>
              <w:jc w:val="left"/>
              <w:rPr>
                <w:b w:val="0"/>
                <w:sz w:val="20"/>
                <w:szCs w:val="20"/>
              </w:rPr>
            </w:pPr>
            <w:r w:rsidRPr="00694208">
              <w:rPr>
                <w:b w:val="0"/>
                <w:sz w:val="20"/>
                <w:szCs w:val="20"/>
              </w:rPr>
              <w:t>visited a practice site that contributed data to MedicineInsight and meets specific MedicineInsight data quality requirements</w:t>
            </w:r>
            <w:r>
              <w:rPr>
                <w:b w:val="0"/>
                <w:sz w:val="20"/>
                <w:szCs w:val="20"/>
              </w:rPr>
              <w:t>*</w:t>
            </w:r>
          </w:p>
          <w:p w14:paraId="5A48E6A8" w14:textId="77777777" w:rsidR="002C76E5" w:rsidRDefault="002C76E5" w:rsidP="002C76E5">
            <w:pPr>
              <w:pStyle w:val="Tableheading"/>
              <w:numPr>
                <w:ilvl w:val="0"/>
                <w:numId w:val="14"/>
              </w:numPr>
              <w:jc w:val="left"/>
              <w:rPr>
                <w:b w:val="0"/>
                <w:sz w:val="20"/>
                <w:szCs w:val="20"/>
              </w:rPr>
            </w:pPr>
            <w:r w:rsidRPr="00694208">
              <w:rPr>
                <w:b w:val="0"/>
                <w:sz w:val="20"/>
                <w:szCs w:val="20"/>
              </w:rPr>
              <w:t xml:space="preserve">have valid information for age and sex </w:t>
            </w:r>
          </w:p>
          <w:p w14:paraId="39C5ADF9" w14:textId="77777777" w:rsidR="002C76E5" w:rsidRDefault="002C76E5" w:rsidP="002C76E5">
            <w:pPr>
              <w:pStyle w:val="Tableheading"/>
              <w:numPr>
                <w:ilvl w:val="0"/>
                <w:numId w:val="14"/>
              </w:numPr>
              <w:jc w:val="left"/>
              <w:rPr>
                <w:b w:val="0"/>
                <w:sz w:val="20"/>
                <w:szCs w:val="20"/>
              </w:rPr>
            </w:pPr>
            <w:r w:rsidRPr="00694208">
              <w:rPr>
                <w:b w:val="0"/>
                <w:sz w:val="20"/>
                <w:szCs w:val="20"/>
              </w:rPr>
              <w:t>had at least three clinical encounters during the study time period (1 January 2018–31 December 2019) (i.e. regular patients)</w:t>
            </w:r>
          </w:p>
          <w:p w14:paraId="6FAFF55B" w14:textId="77777777" w:rsidR="002C76E5" w:rsidRPr="001D0858" w:rsidRDefault="002C76E5" w:rsidP="002C76E5">
            <w:pPr>
              <w:pStyle w:val="Tableheading"/>
              <w:numPr>
                <w:ilvl w:val="0"/>
                <w:numId w:val="14"/>
              </w:numPr>
              <w:jc w:val="left"/>
              <w:rPr>
                <w:b w:val="0"/>
                <w:sz w:val="20"/>
                <w:szCs w:val="20"/>
              </w:rPr>
            </w:pPr>
            <w:r w:rsidRPr="00694208">
              <w:rPr>
                <w:b w:val="0"/>
                <w:sz w:val="20"/>
                <w:szCs w:val="20"/>
              </w:rPr>
              <w:t>aged 50</w:t>
            </w:r>
            <w:r>
              <w:rPr>
                <w:b w:val="0"/>
                <w:sz w:val="20"/>
                <w:szCs w:val="20"/>
              </w:rPr>
              <w:t>–112</w:t>
            </w:r>
            <w:r w:rsidRPr="00694208">
              <w:rPr>
                <w:b w:val="0"/>
                <w:sz w:val="20"/>
                <w:szCs w:val="20"/>
              </w:rPr>
              <w:t xml:space="preserve"> years in 2019</w:t>
            </w:r>
          </w:p>
        </w:tc>
      </w:tr>
      <w:tr w:rsidR="002C76E5" w:rsidRPr="001D0858" w14:paraId="5474E0C5" w14:textId="77777777" w:rsidTr="002C76E5">
        <w:trPr>
          <w:trHeight w:val="1005"/>
        </w:trPr>
        <w:tc>
          <w:tcPr>
            <w:tcW w:w="2830" w:type="dxa"/>
          </w:tcPr>
          <w:p w14:paraId="4C014FE2" w14:textId="77777777" w:rsidR="002C76E5" w:rsidRDefault="002C76E5" w:rsidP="002C76E5">
            <w:pPr>
              <w:pStyle w:val="Tableheading"/>
              <w:jc w:val="left"/>
              <w:rPr>
                <w:b w:val="0"/>
                <w:sz w:val="20"/>
                <w:szCs w:val="20"/>
              </w:rPr>
            </w:pPr>
            <w:r>
              <w:rPr>
                <w:b w:val="0"/>
                <w:sz w:val="20"/>
                <w:szCs w:val="20"/>
              </w:rPr>
              <w:t>Historical osteoporosis study population</w:t>
            </w:r>
          </w:p>
        </w:tc>
        <w:tc>
          <w:tcPr>
            <w:tcW w:w="6234" w:type="dxa"/>
          </w:tcPr>
          <w:p w14:paraId="6962665E" w14:textId="77777777" w:rsidR="002C76E5" w:rsidRPr="00CB4E4C" w:rsidRDefault="002C76E5" w:rsidP="002C76E5">
            <w:pPr>
              <w:pStyle w:val="Tableheading"/>
              <w:numPr>
                <w:ilvl w:val="0"/>
                <w:numId w:val="17"/>
              </w:numPr>
              <w:jc w:val="left"/>
              <w:rPr>
                <w:b w:val="0"/>
                <w:sz w:val="20"/>
                <w:szCs w:val="20"/>
              </w:rPr>
            </w:pPr>
            <w:r w:rsidRPr="00CB4E4C">
              <w:rPr>
                <w:b w:val="0"/>
                <w:sz w:val="20"/>
                <w:szCs w:val="20"/>
              </w:rPr>
              <w:t>have visited a practice site that contributed data to MedicineInsight and meets specific MedicineInsight data quality requirements</w:t>
            </w:r>
            <w:r>
              <w:rPr>
                <w:b w:val="0"/>
                <w:sz w:val="20"/>
                <w:szCs w:val="20"/>
              </w:rPr>
              <w:t>*</w:t>
            </w:r>
          </w:p>
          <w:p w14:paraId="7EFE191C" w14:textId="77777777" w:rsidR="002C76E5" w:rsidRPr="00CB4E4C" w:rsidRDefault="002C76E5" w:rsidP="002C76E5">
            <w:pPr>
              <w:pStyle w:val="Tableheading"/>
              <w:numPr>
                <w:ilvl w:val="0"/>
                <w:numId w:val="16"/>
              </w:numPr>
              <w:jc w:val="left"/>
              <w:rPr>
                <w:b w:val="0"/>
                <w:sz w:val="20"/>
                <w:szCs w:val="20"/>
              </w:rPr>
            </w:pPr>
            <w:r w:rsidRPr="00CB4E4C">
              <w:rPr>
                <w:b w:val="0"/>
                <w:sz w:val="20"/>
                <w:szCs w:val="20"/>
              </w:rPr>
              <w:t xml:space="preserve">have valid information for age and sex </w:t>
            </w:r>
          </w:p>
          <w:p w14:paraId="751635C3" w14:textId="77777777" w:rsidR="002C76E5" w:rsidRPr="00CB4E4C" w:rsidRDefault="002C76E5" w:rsidP="002C76E5">
            <w:pPr>
              <w:pStyle w:val="Tableheading"/>
              <w:numPr>
                <w:ilvl w:val="0"/>
                <w:numId w:val="16"/>
              </w:numPr>
              <w:jc w:val="left"/>
              <w:rPr>
                <w:b w:val="0"/>
                <w:sz w:val="20"/>
                <w:szCs w:val="20"/>
              </w:rPr>
            </w:pPr>
            <w:r w:rsidRPr="00CB4E4C">
              <w:rPr>
                <w:b w:val="0"/>
                <w:sz w:val="20"/>
                <w:szCs w:val="20"/>
              </w:rPr>
              <w:t>had at least three clinical encounters during the study time period (1 January 2014–31 December 2017)</w:t>
            </w:r>
          </w:p>
          <w:p w14:paraId="70197DF0" w14:textId="77777777" w:rsidR="002C76E5" w:rsidRPr="00CB4E4C" w:rsidRDefault="002C76E5" w:rsidP="002C76E5">
            <w:pPr>
              <w:pStyle w:val="Tableheading"/>
              <w:numPr>
                <w:ilvl w:val="0"/>
                <w:numId w:val="16"/>
              </w:numPr>
              <w:jc w:val="left"/>
              <w:rPr>
                <w:b w:val="0"/>
                <w:sz w:val="20"/>
                <w:szCs w:val="20"/>
              </w:rPr>
            </w:pPr>
            <w:r w:rsidRPr="00CB4E4C">
              <w:rPr>
                <w:b w:val="0"/>
                <w:sz w:val="20"/>
                <w:szCs w:val="20"/>
              </w:rPr>
              <w:t>aged 50</w:t>
            </w:r>
            <w:r>
              <w:rPr>
                <w:b w:val="0"/>
                <w:sz w:val="20"/>
                <w:szCs w:val="20"/>
              </w:rPr>
              <w:t>–112</w:t>
            </w:r>
            <w:r w:rsidRPr="00CB4E4C">
              <w:rPr>
                <w:b w:val="0"/>
                <w:sz w:val="20"/>
                <w:szCs w:val="20"/>
              </w:rPr>
              <w:t xml:space="preserve"> years in 2017</w:t>
            </w:r>
          </w:p>
          <w:p w14:paraId="1D014305" w14:textId="77777777" w:rsidR="002C76E5" w:rsidRPr="001D0858" w:rsidRDefault="002C76E5" w:rsidP="002C76E5">
            <w:pPr>
              <w:pStyle w:val="Tableheading"/>
              <w:numPr>
                <w:ilvl w:val="0"/>
                <w:numId w:val="16"/>
              </w:numPr>
              <w:jc w:val="left"/>
              <w:rPr>
                <w:b w:val="0"/>
                <w:sz w:val="20"/>
                <w:szCs w:val="20"/>
              </w:rPr>
            </w:pPr>
            <w:r w:rsidRPr="00CB4E4C">
              <w:rPr>
                <w:b w:val="0"/>
                <w:sz w:val="20"/>
                <w:szCs w:val="20"/>
              </w:rPr>
              <w:t>had a diagnosis of osteoporosis recorded before 1 January 2018</w:t>
            </w:r>
          </w:p>
        </w:tc>
      </w:tr>
      <w:tr w:rsidR="002C76E5" w:rsidRPr="001D0858" w14:paraId="70D08F7D" w14:textId="77777777" w:rsidTr="002C76E5">
        <w:trPr>
          <w:trHeight w:val="1005"/>
        </w:trPr>
        <w:tc>
          <w:tcPr>
            <w:tcW w:w="2830" w:type="dxa"/>
          </w:tcPr>
          <w:p w14:paraId="22DFCA1F" w14:textId="77777777" w:rsidR="002C76E5" w:rsidRDefault="002C76E5" w:rsidP="002C76E5">
            <w:pPr>
              <w:pStyle w:val="Tableheading"/>
              <w:jc w:val="left"/>
              <w:rPr>
                <w:b w:val="0"/>
                <w:sz w:val="20"/>
                <w:szCs w:val="20"/>
              </w:rPr>
            </w:pPr>
            <w:r>
              <w:rPr>
                <w:b w:val="0"/>
                <w:sz w:val="20"/>
                <w:szCs w:val="20"/>
              </w:rPr>
              <w:t>Denosumab initiator population</w:t>
            </w:r>
          </w:p>
        </w:tc>
        <w:tc>
          <w:tcPr>
            <w:tcW w:w="6234" w:type="dxa"/>
          </w:tcPr>
          <w:p w14:paraId="7E59D7F5" w14:textId="77777777" w:rsidR="002C76E5" w:rsidRPr="00CB4E4C" w:rsidRDefault="002C76E5" w:rsidP="002C76E5">
            <w:pPr>
              <w:pStyle w:val="Tableheading"/>
              <w:numPr>
                <w:ilvl w:val="0"/>
                <w:numId w:val="16"/>
              </w:numPr>
              <w:jc w:val="left"/>
              <w:rPr>
                <w:b w:val="0"/>
                <w:sz w:val="20"/>
                <w:szCs w:val="20"/>
              </w:rPr>
            </w:pPr>
            <w:r w:rsidRPr="00CB4E4C">
              <w:rPr>
                <w:b w:val="0"/>
                <w:sz w:val="20"/>
                <w:szCs w:val="20"/>
              </w:rPr>
              <w:t>meet the osteoporosis study population criteria</w:t>
            </w:r>
          </w:p>
          <w:p w14:paraId="57BEC3E5" w14:textId="77777777" w:rsidR="002C76E5" w:rsidRPr="00CB4E4C" w:rsidRDefault="002C76E5" w:rsidP="002C76E5">
            <w:pPr>
              <w:pStyle w:val="Tableheading"/>
              <w:numPr>
                <w:ilvl w:val="0"/>
                <w:numId w:val="16"/>
              </w:numPr>
              <w:jc w:val="left"/>
              <w:rPr>
                <w:b w:val="0"/>
                <w:sz w:val="20"/>
                <w:szCs w:val="20"/>
              </w:rPr>
            </w:pPr>
            <w:r w:rsidRPr="00CB4E4C">
              <w:rPr>
                <w:b w:val="0"/>
                <w:sz w:val="20"/>
                <w:szCs w:val="20"/>
              </w:rPr>
              <w:t xml:space="preserve">have evidence of initiating denosumab therapy between 1 January 2014 and 31 December 2017: </w:t>
            </w:r>
          </w:p>
          <w:p w14:paraId="4C6E05A0" w14:textId="77777777" w:rsidR="002C76E5" w:rsidRPr="00CB4E4C" w:rsidRDefault="002C76E5" w:rsidP="002C76E5">
            <w:pPr>
              <w:pStyle w:val="Tableheading"/>
              <w:numPr>
                <w:ilvl w:val="1"/>
                <w:numId w:val="16"/>
              </w:numPr>
              <w:jc w:val="left"/>
              <w:rPr>
                <w:b w:val="0"/>
                <w:sz w:val="20"/>
                <w:szCs w:val="20"/>
              </w:rPr>
            </w:pPr>
            <w:r w:rsidRPr="00CB4E4C">
              <w:rPr>
                <w:b w:val="0"/>
                <w:sz w:val="20"/>
                <w:szCs w:val="20"/>
              </w:rPr>
              <w:t xml:space="preserve">no denosumab recorded prior to 1 January 2014 </w:t>
            </w:r>
          </w:p>
          <w:p w14:paraId="33DAB85F" w14:textId="77777777" w:rsidR="002C76E5" w:rsidRPr="00CB4E4C" w:rsidRDefault="002C76E5" w:rsidP="002C76E5">
            <w:pPr>
              <w:pStyle w:val="Tableheading"/>
              <w:numPr>
                <w:ilvl w:val="1"/>
                <w:numId w:val="16"/>
              </w:numPr>
              <w:jc w:val="left"/>
              <w:rPr>
                <w:b w:val="0"/>
                <w:sz w:val="20"/>
                <w:szCs w:val="20"/>
              </w:rPr>
            </w:pPr>
            <w:r w:rsidRPr="00CB4E4C">
              <w:rPr>
                <w:b w:val="0"/>
                <w:sz w:val="20"/>
                <w:szCs w:val="20"/>
              </w:rPr>
              <w:t>the patient has at least 14 months attendance at the practice prior to the first prescription of denosumab (i.e.1</w:t>
            </w:r>
            <w:r w:rsidRPr="00CB4E4C" w:rsidDel="00E10749">
              <w:rPr>
                <w:b w:val="0"/>
                <w:sz w:val="20"/>
                <w:szCs w:val="20"/>
              </w:rPr>
              <w:t xml:space="preserve"> </w:t>
            </w:r>
            <w:r w:rsidRPr="00CB4E4C">
              <w:rPr>
                <w:b w:val="0"/>
                <w:sz w:val="20"/>
                <w:szCs w:val="20"/>
              </w:rPr>
              <w:t>clinical encounter 14 months or more prior to the first denosumab prescription).</w:t>
            </w:r>
          </w:p>
          <w:p w14:paraId="68DFE7E8" w14:textId="77777777" w:rsidR="002C76E5" w:rsidRPr="001D0858" w:rsidRDefault="002C76E5" w:rsidP="002C76E5">
            <w:pPr>
              <w:pStyle w:val="Tableheading"/>
              <w:numPr>
                <w:ilvl w:val="0"/>
                <w:numId w:val="16"/>
              </w:numPr>
              <w:jc w:val="left"/>
              <w:rPr>
                <w:b w:val="0"/>
                <w:sz w:val="20"/>
                <w:szCs w:val="20"/>
              </w:rPr>
            </w:pPr>
            <w:r w:rsidRPr="00CB4E4C">
              <w:rPr>
                <w:b w:val="0"/>
                <w:sz w:val="20"/>
                <w:szCs w:val="20"/>
              </w:rPr>
              <w:t>have at least 2 years of follow-up at the MedicineInsight practice after initiating denosumab therapy i.e</w:t>
            </w:r>
            <w:r>
              <w:rPr>
                <w:b w:val="0"/>
                <w:sz w:val="20"/>
                <w:szCs w:val="20"/>
              </w:rPr>
              <w:t>.</w:t>
            </w:r>
            <w:r w:rsidRPr="00CB4E4C">
              <w:rPr>
                <w:b w:val="0"/>
                <w:sz w:val="20"/>
                <w:szCs w:val="20"/>
              </w:rPr>
              <w:t xml:space="preserve"> at least 1 clinical encounter 2 years after initiation of denosumab therapy</w:t>
            </w:r>
          </w:p>
        </w:tc>
      </w:tr>
      <w:tr w:rsidR="002C76E5" w:rsidRPr="001D0858" w14:paraId="753940C5" w14:textId="77777777" w:rsidTr="002C76E5">
        <w:trPr>
          <w:trHeight w:val="1005"/>
        </w:trPr>
        <w:tc>
          <w:tcPr>
            <w:tcW w:w="2830" w:type="dxa"/>
          </w:tcPr>
          <w:p w14:paraId="0C1D90F2" w14:textId="77777777" w:rsidR="002C76E5" w:rsidRDefault="002C76E5" w:rsidP="002C76E5">
            <w:pPr>
              <w:pStyle w:val="Tableheading"/>
              <w:jc w:val="left"/>
              <w:rPr>
                <w:b w:val="0"/>
                <w:sz w:val="20"/>
                <w:szCs w:val="20"/>
              </w:rPr>
            </w:pPr>
            <w:r>
              <w:rPr>
                <w:b w:val="0"/>
                <w:sz w:val="20"/>
                <w:szCs w:val="20"/>
              </w:rPr>
              <w:t xml:space="preserve">Directly initiated on denosumab population </w:t>
            </w:r>
          </w:p>
        </w:tc>
        <w:tc>
          <w:tcPr>
            <w:tcW w:w="6234" w:type="dxa"/>
          </w:tcPr>
          <w:p w14:paraId="654E41FE" w14:textId="77777777" w:rsidR="002C76E5" w:rsidRDefault="002C76E5" w:rsidP="002C76E5">
            <w:pPr>
              <w:pStyle w:val="Tableheading"/>
              <w:numPr>
                <w:ilvl w:val="0"/>
                <w:numId w:val="18"/>
              </w:numPr>
              <w:jc w:val="left"/>
              <w:rPr>
                <w:b w:val="0"/>
                <w:sz w:val="20"/>
                <w:szCs w:val="20"/>
              </w:rPr>
            </w:pPr>
            <w:r w:rsidRPr="000733CF">
              <w:rPr>
                <w:b w:val="0"/>
                <w:sz w:val="20"/>
                <w:szCs w:val="20"/>
              </w:rPr>
              <w:t>meet the osteoporosis study population criteria</w:t>
            </w:r>
          </w:p>
          <w:p w14:paraId="0646A251" w14:textId="77777777" w:rsidR="002C76E5" w:rsidRDefault="002C76E5" w:rsidP="002C76E5">
            <w:pPr>
              <w:pStyle w:val="Tableheading"/>
              <w:numPr>
                <w:ilvl w:val="0"/>
                <w:numId w:val="18"/>
              </w:numPr>
              <w:jc w:val="left"/>
              <w:rPr>
                <w:b w:val="0"/>
                <w:sz w:val="20"/>
                <w:szCs w:val="20"/>
              </w:rPr>
            </w:pPr>
            <w:r w:rsidRPr="000733CF">
              <w:rPr>
                <w:b w:val="0"/>
                <w:sz w:val="20"/>
                <w:szCs w:val="20"/>
              </w:rPr>
              <w:t xml:space="preserve">have evidence of using denosumab therapy between 1 January 2014 and 31 December 2017: </w:t>
            </w:r>
          </w:p>
          <w:p w14:paraId="5ECDA643" w14:textId="77777777" w:rsidR="002C76E5" w:rsidRDefault="002C76E5" w:rsidP="002C76E5">
            <w:pPr>
              <w:pStyle w:val="Tableheading"/>
              <w:numPr>
                <w:ilvl w:val="1"/>
                <w:numId w:val="16"/>
              </w:numPr>
              <w:jc w:val="left"/>
              <w:rPr>
                <w:b w:val="0"/>
                <w:sz w:val="20"/>
                <w:szCs w:val="20"/>
              </w:rPr>
            </w:pPr>
            <w:r w:rsidRPr="000733CF">
              <w:rPr>
                <w:b w:val="0"/>
                <w:sz w:val="20"/>
                <w:szCs w:val="20"/>
              </w:rPr>
              <w:t xml:space="preserve">no </w:t>
            </w:r>
            <w:r>
              <w:rPr>
                <w:b w:val="0"/>
                <w:sz w:val="20"/>
                <w:szCs w:val="20"/>
              </w:rPr>
              <w:t xml:space="preserve">osteoporosis medicine (bisphosphonates, denosumab, calcitriol, raloxifene, strontium ranelate or teriparatide) </w:t>
            </w:r>
            <w:r w:rsidRPr="000733CF">
              <w:rPr>
                <w:b w:val="0"/>
                <w:sz w:val="20"/>
                <w:szCs w:val="20"/>
              </w:rPr>
              <w:t>recorded prior to</w:t>
            </w:r>
            <w:r>
              <w:rPr>
                <w:b w:val="0"/>
                <w:sz w:val="20"/>
                <w:szCs w:val="20"/>
              </w:rPr>
              <w:t xml:space="preserve"> the first denosumab </w:t>
            </w:r>
            <w:r>
              <w:rPr>
                <w:b w:val="0"/>
                <w:sz w:val="20"/>
                <w:szCs w:val="20"/>
              </w:rPr>
              <w:lastRenderedPageBreak/>
              <w:t xml:space="preserve">prescription recorded between 2014 and 2017 or prior to </w:t>
            </w:r>
            <w:r w:rsidRPr="000733CF">
              <w:rPr>
                <w:b w:val="0"/>
                <w:sz w:val="20"/>
                <w:szCs w:val="20"/>
              </w:rPr>
              <w:t xml:space="preserve">1 January 2014 </w:t>
            </w:r>
          </w:p>
          <w:p w14:paraId="127031F5" w14:textId="77777777" w:rsidR="002C76E5" w:rsidRPr="00CB4E4C" w:rsidRDefault="002C76E5" w:rsidP="002C76E5">
            <w:pPr>
              <w:pStyle w:val="Tableheading"/>
              <w:numPr>
                <w:ilvl w:val="1"/>
                <w:numId w:val="16"/>
              </w:numPr>
              <w:jc w:val="left"/>
              <w:rPr>
                <w:b w:val="0"/>
                <w:sz w:val="20"/>
                <w:szCs w:val="20"/>
              </w:rPr>
            </w:pPr>
            <w:r w:rsidRPr="000733CF">
              <w:rPr>
                <w:b w:val="0"/>
                <w:sz w:val="20"/>
                <w:szCs w:val="20"/>
              </w:rPr>
              <w:t>the patient has at least 14 months attendance at the practice prior to the first prescription of denosumab (i.e.</w:t>
            </w:r>
            <w:r>
              <w:rPr>
                <w:b w:val="0"/>
                <w:sz w:val="20"/>
                <w:szCs w:val="20"/>
              </w:rPr>
              <w:t xml:space="preserve"> </w:t>
            </w:r>
            <w:r w:rsidRPr="000733CF">
              <w:rPr>
                <w:b w:val="0"/>
                <w:sz w:val="20"/>
                <w:szCs w:val="20"/>
              </w:rPr>
              <w:t>1 clinical encounter 14 months or more prior to the first denosumab prescription).</w:t>
            </w:r>
          </w:p>
        </w:tc>
      </w:tr>
    </w:tbl>
    <w:p w14:paraId="3076AB52" w14:textId="77777777" w:rsidR="002C76E5" w:rsidRDefault="002C76E5" w:rsidP="002C76E5">
      <w:pPr>
        <w:pStyle w:val="Notes"/>
      </w:pPr>
      <w:r>
        <w:lastRenderedPageBreak/>
        <w:t>*Practices must have been established for at least 2 years before the end of the analysis period and have no interruptions 2 months or longer in practice data in the 2 years to the end of the analysis period.</w:t>
      </w:r>
    </w:p>
    <w:p w14:paraId="6B0101E2" w14:textId="77777777" w:rsidR="002C76E5" w:rsidRDefault="002C76E5" w:rsidP="002C76E5">
      <w:pPr>
        <w:pStyle w:val="Heading4"/>
      </w:pPr>
      <w:r>
        <w:t>Osteoporosis definition</w:t>
      </w:r>
    </w:p>
    <w:p w14:paraId="20B23CA8" w14:textId="77777777" w:rsidR="002C76E5" w:rsidRDefault="002C76E5" w:rsidP="002C76E5">
      <w:r>
        <w:t xml:space="preserve">Patients in the regular patient prevalence study were defined as having osteoporosis, if they had an osteoporosis flag recorded at any time from the patient's earliest record up until 31 December 2019. Patients in the historical osteoporosis study were defined as having osteoporosis, </w:t>
      </w:r>
      <w:r w:rsidRPr="00D43391">
        <w:t xml:space="preserve">if they had an osteoporosis flag recorded at any time from the patient's earliest record </w:t>
      </w:r>
      <w:r>
        <w:t>up until 31 December 2017.</w:t>
      </w:r>
    </w:p>
    <w:p w14:paraId="70CDAEC1" w14:textId="77777777" w:rsidR="002C76E5" w:rsidRDefault="002C76E5" w:rsidP="002C76E5">
      <w:r>
        <w:t>MedicineInsight c</w:t>
      </w:r>
      <w:r w:rsidRPr="006D5040">
        <w:t xml:space="preserve">ondition flags are devised using algorithms that analyse coded and free-text information in </w:t>
      </w:r>
      <w:r>
        <w:t xml:space="preserve">one of the three diagnosis fields – ‘reason for encounter’ or ‘reason for prescription’ </w:t>
      </w:r>
      <w:r w:rsidRPr="006D5040">
        <w:t>or</w:t>
      </w:r>
      <w:r>
        <w:t xml:space="preserve"> </w:t>
      </w:r>
      <w:r w:rsidRPr="006D5040">
        <w:t>‘diagnosis’</w:t>
      </w:r>
      <w:r>
        <w:t>. The relevant terms for the osteoporosis flag</w:t>
      </w:r>
      <w:r>
        <w:rPr>
          <w:rStyle w:val="FootnoteReference"/>
        </w:rPr>
        <w:footnoteReference w:id="14"/>
      </w:r>
      <w:r>
        <w:t xml:space="preserve"> include osteoporosis (with fracture, no fracture, corticosteroid/steroid induced, disuse, post-menopausal) or steroid osteopathy. It does not include osteopenia, transient osteoporosis, ‘osteoporosis family history’ or ‘osteoporosis prevention’.</w:t>
      </w:r>
    </w:p>
    <w:p w14:paraId="1DB60505" w14:textId="77777777" w:rsidR="002C76E5" w:rsidRDefault="002C76E5" w:rsidP="002C76E5">
      <w:r>
        <w:t>We did not use bone mineral density results or T-scores, which are largely unavailable to MedicineInsight, or a record of prescription for osteoporosis medicines as part of our definition of a diagnosis of osteoporosis.</w:t>
      </w:r>
    </w:p>
    <w:p w14:paraId="6AEB61A9" w14:textId="77777777" w:rsidR="002C76E5" w:rsidRPr="002C76E5" w:rsidRDefault="002C76E5" w:rsidP="002C76E5">
      <w:pPr>
        <w:pStyle w:val="Heading4"/>
        <w:rPr>
          <w:sz w:val="24"/>
        </w:rPr>
      </w:pPr>
      <w:r w:rsidRPr="002C76E5">
        <w:rPr>
          <w:sz w:val="24"/>
        </w:rPr>
        <w:t>Osteoporosis medicines</w:t>
      </w:r>
    </w:p>
    <w:p w14:paraId="630E9038" w14:textId="0993239F" w:rsidR="002C76E5" w:rsidRDefault="002C76E5" w:rsidP="002C76E5">
      <w:r w:rsidRPr="00590F06">
        <w:t xml:space="preserve">Osteoporosis medicines were </w:t>
      </w:r>
      <w:r>
        <w:t xml:space="preserve">identified using a combination of ATC codes and </w:t>
      </w:r>
      <w:r w:rsidRPr="008B7116">
        <w:t>active-ingredient terms</w:t>
      </w:r>
      <w:r w:rsidRPr="00590F06">
        <w:t xml:space="preserve">. Patients </w:t>
      </w:r>
      <w:r>
        <w:t>were</w:t>
      </w:r>
      <w:r w:rsidRPr="00590F06">
        <w:t xml:space="preserve"> defined as having had a prescription for an osteoporosis medicine if they ha</w:t>
      </w:r>
      <w:r>
        <w:t>d</w:t>
      </w:r>
      <w:r w:rsidRPr="00590F06">
        <w:t xml:space="preserve"> at least one record o</w:t>
      </w:r>
      <w:r w:rsidR="009D4848">
        <w:t>f a medicine provided in Table 7</w:t>
      </w:r>
      <w:r w:rsidRPr="00590F06">
        <w:t xml:space="preserve"> in either the Prescription table or the </w:t>
      </w:r>
      <w:r>
        <w:t>Script Item table.</w:t>
      </w:r>
    </w:p>
    <w:p w14:paraId="3D825F99" w14:textId="7E3BADFF" w:rsidR="00DA45F9" w:rsidRDefault="00DA45F9">
      <w:pPr>
        <w:spacing w:line="276" w:lineRule="auto"/>
      </w:pPr>
      <w:r>
        <w:br w:type="page"/>
      </w:r>
    </w:p>
    <w:p w14:paraId="40BFB00D" w14:textId="2D569932" w:rsidR="002C76E5" w:rsidRDefault="009D4848" w:rsidP="002C76E5">
      <w:pPr>
        <w:pStyle w:val="Tabletitle"/>
      </w:pPr>
      <w:r>
        <w:lastRenderedPageBreak/>
        <w:t>Table 7</w:t>
      </w:r>
      <w:r w:rsidR="002C76E5">
        <w:t>: Osteoporosis medicines and ATC codes</w:t>
      </w:r>
    </w:p>
    <w:tbl>
      <w:tblPr>
        <w:tblW w:w="7528" w:type="dxa"/>
        <w:tblInd w:w="93" w:type="dxa"/>
        <w:tblLook w:val="04A0" w:firstRow="1" w:lastRow="0" w:firstColumn="1" w:lastColumn="0" w:noHBand="0" w:noVBand="1"/>
        <w:tblCaption w:val="Table 2: Route and frequency of administration of osteoporosis medicines"/>
      </w:tblPr>
      <w:tblGrid>
        <w:gridCol w:w="4410"/>
        <w:gridCol w:w="3118"/>
      </w:tblGrid>
      <w:tr w:rsidR="002C76E5" w14:paraId="787A562A" w14:textId="77777777" w:rsidTr="002C76E5">
        <w:trPr>
          <w:trHeight w:val="20"/>
        </w:trPr>
        <w:tc>
          <w:tcPr>
            <w:tcW w:w="4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D1B84B" w14:textId="77777777" w:rsidR="002C76E5" w:rsidRDefault="002C76E5" w:rsidP="002C76E5">
            <w:pPr>
              <w:pStyle w:val="Tablewriting"/>
              <w:spacing w:before="0" w:after="0" w:line="276" w:lineRule="auto"/>
              <w:rPr>
                <w:b/>
                <w:lang w:eastAsia="en-US"/>
              </w:rPr>
            </w:pPr>
            <w:r>
              <w:rPr>
                <w:b/>
                <w:lang w:val="en-US" w:eastAsia="en-US"/>
              </w:rPr>
              <w:t>Active ingredient</w:t>
            </w:r>
          </w:p>
        </w:tc>
        <w:tc>
          <w:tcPr>
            <w:tcW w:w="3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7D95B" w14:textId="77777777" w:rsidR="002C76E5" w:rsidRDefault="002C76E5" w:rsidP="002C76E5">
            <w:pPr>
              <w:pStyle w:val="Tablewriting"/>
              <w:spacing w:before="0" w:after="0" w:line="276" w:lineRule="auto"/>
              <w:rPr>
                <w:b/>
                <w:lang w:eastAsia="en-US"/>
              </w:rPr>
            </w:pPr>
            <w:r>
              <w:rPr>
                <w:b/>
                <w:lang w:val="en-US" w:eastAsia="en-US"/>
              </w:rPr>
              <w:t>ATC codes</w:t>
            </w:r>
          </w:p>
        </w:tc>
      </w:tr>
      <w:tr w:rsidR="002C76E5" w14:paraId="451F4085"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08488EDC" w14:textId="77777777" w:rsidR="002C76E5" w:rsidRPr="00676213" w:rsidRDefault="002C76E5" w:rsidP="002C76E5">
            <w:pPr>
              <w:pStyle w:val="Tableheading"/>
              <w:jc w:val="left"/>
              <w:rPr>
                <w:b w:val="0"/>
                <w:sz w:val="20"/>
                <w:szCs w:val="20"/>
              </w:rPr>
            </w:pPr>
            <w:r w:rsidRPr="00676213">
              <w:rPr>
                <w:b w:val="0"/>
                <w:sz w:val="20"/>
                <w:szCs w:val="20"/>
              </w:rPr>
              <w:t>Alendronate and combinations (alendronate with colecalciferol; alendronate with colecalciferol and calcium carbonate)</w:t>
            </w:r>
          </w:p>
        </w:tc>
        <w:tc>
          <w:tcPr>
            <w:tcW w:w="3118" w:type="dxa"/>
            <w:tcBorders>
              <w:top w:val="nil"/>
              <w:left w:val="nil"/>
              <w:bottom w:val="single" w:sz="4" w:space="0" w:color="auto"/>
              <w:right w:val="single" w:sz="4" w:space="0" w:color="auto"/>
            </w:tcBorders>
            <w:vAlign w:val="center"/>
          </w:tcPr>
          <w:p w14:paraId="629D3C4D" w14:textId="77777777" w:rsidR="002C76E5" w:rsidRPr="00676213" w:rsidRDefault="002C76E5" w:rsidP="002C76E5">
            <w:pPr>
              <w:pStyle w:val="Tableheading"/>
              <w:jc w:val="left"/>
              <w:rPr>
                <w:b w:val="0"/>
                <w:sz w:val="20"/>
                <w:szCs w:val="20"/>
              </w:rPr>
            </w:pPr>
            <w:r w:rsidRPr="00676213">
              <w:rPr>
                <w:b w:val="0"/>
                <w:sz w:val="20"/>
                <w:szCs w:val="20"/>
              </w:rPr>
              <w:t>M05BA04, M05BA04, M05BB03 and M05BB0</w:t>
            </w:r>
            <w:r w:rsidRPr="00B91D7C">
              <w:rPr>
                <w:b w:val="0"/>
                <w:sz w:val="20"/>
                <w:szCs w:val="20"/>
              </w:rPr>
              <w:t>5</w:t>
            </w:r>
          </w:p>
        </w:tc>
      </w:tr>
      <w:tr w:rsidR="002C76E5" w14:paraId="150D87E2"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5AFB1365" w14:textId="77777777" w:rsidR="002C76E5" w:rsidRPr="00676213" w:rsidRDefault="002C76E5" w:rsidP="002C76E5">
            <w:pPr>
              <w:pStyle w:val="Tableheading"/>
              <w:jc w:val="left"/>
              <w:rPr>
                <w:b w:val="0"/>
                <w:sz w:val="20"/>
                <w:szCs w:val="20"/>
              </w:rPr>
            </w:pPr>
            <w:r w:rsidRPr="00676213">
              <w:rPr>
                <w:b w:val="0"/>
                <w:sz w:val="20"/>
                <w:szCs w:val="20"/>
              </w:rPr>
              <w:t>Calcitriol</w:t>
            </w:r>
          </w:p>
        </w:tc>
        <w:tc>
          <w:tcPr>
            <w:tcW w:w="3118" w:type="dxa"/>
            <w:tcBorders>
              <w:top w:val="nil"/>
              <w:left w:val="nil"/>
              <w:bottom w:val="single" w:sz="4" w:space="0" w:color="auto"/>
              <w:right w:val="single" w:sz="4" w:space="0" w:color="auto"/>
            </w:tcBorders>
            <w:vAlign w:val="center"/>
          </w:tcPr>
          <w:p w14:paraId="6D23E4CD" w14:textId="77777777" w:rsidR="002C76E5" w:rsidRPr="00676213" w:rsidRDefault="002C76E5" w:rsidP="002C76E5">
            <w:pPr>
              <w:pStyle w:val="Tableheading"/>
              <w:jc w:val="left"/>
              <w:rPr>
                <w:b w:val="0"/>
                <w:sz w:val="20"/>
                <w:szCs w:val="20"/>
              </w:rPr>
            </w:pPr>
            <w:r w:rsidRPr="00676213">
              <w:rPr>
                <w:b w:val="0"/>
                <w:sz w:val="20"/>
                <w:szCs w:val="20"/>
              </w:rPr>
              <w:t>A11CC04</w:t>
            </w:r>
          </w:p>
        </w:tc>
      </w:tr>
      <w:tr w:rsidR="002C76E5" w14:paraId="7F217FE4"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4322A2DF" w14:textId="77777777" w:rsidR="002C76E5" w:rsidRPr="00676213" w:rsidRDefault="002C76E5" w:rsidP="002C76E5">
            <w:pPr>
              <w:pStyle w:val="Tableheading"/>
              <w:jc w:val="left"/>
              <w:rPr>
                <w:b w:val="0"/>
                <w:sz w:val="20"/>
                <w:szCs w:val="20"/>
              </w:rPr>
            </w:pPr>
            <w:r w:rsidRPr="00676213">
              <w:rPr>
                <w:b w:val="0"/>
                <w:sz w:val="20"/>
                <w:szCs w:val="20"/>
              </w:rPr>
              <w:t>Denosumab</w:t>
            </w:r>
          </w:p>
        </w:tc>
        <w:tc>
          <w:tcPr>
            <w:tcW w:w="3118" w:type="dxa"/>
            <w:tcBorders>
              <w:top w:val="nil"/>
              <w:left w:val="nil"/>
              <w:bottom w:val="single" w:sz="4" w:space="0" w:color="auto"/>
              <w:right w:val="single" w:sz="4" w:space="0" w:color="auto"/>
            </w:tcBorders>
            <w:vAlign w:val="center"/>
          </w:tcPr>
          <w:p w14:paraId="22CF2094" w14:textId="77777777" w:rsidR="002C76E5" w:rsidRPr="00676213" w:rsidRDefault="002C76E5" w:rsidP="002C76E5">
            <w:pPr>
              <w:pStyle w:val="Tableheading"/>
              <w:jc w:val="left"/>
              <w:rPr>
                <w:b w:val="0"/>
                <w:sz w:val="20"/>
                <w:szCs w:val="20"/>
              </w:rPr>
            </w:pPr>
            <w:r w:rsidRPr="00676213">
              <w:rPr>
                <w:b w:val="0"/>
                <w:sz w:val="20"/>
                <w:szCs w:val="20"/>
              </w:rPr>
              <w:t>M05BX04</w:t>
            </w:r>
          </w:p>
        </w:tc>
      </w:tr>
      <w:tr w:rsidR="002C76E5" w14:paraId="31898E2A"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43343B86" w14:textId="77777777" w:rsidR="002C76E5" w:rsidRPr="00676213" w:rsidRDefault="002C76E5" w:rsidP="002C76E5">
            <w:pPr>
              <w:pStyle w:val="Tableheading"/>
              <w:jc w:val="left"/>
              <w:rPr>
                <w:b w:val="0"/>
                <w:sz w:val="20"/>
                <w:szCs w:val="20"/>
              </w:rPr>
            </w:pPr>
            <w:r w:rsidRPr="00676213">
              <w:rPr>
                <w:b w:val="0"/>
                <w:sz w:val="20"/>
                <w:szCs w:val="20"/>
              </w:rPr>
              <w:t>Raloxifene</w:t>
            </w:r>
          </w:p>
        </w:tc>
        <w:tc>
          <w:tcPr>
            <w:tcW w:w="3118" w:type="dxa"/>
            <w:tcBorders>
              <w:top w:val="nil"/>
              <w:left w:val="nil"/>
              <w:bottom w:val="single" w:sz="4" w:space="0" w:color="auto"/>
              <w:right w:val="single" w:sz="4" w:space="0" w:color="auto"/>
            </w:tcBorders>
            <w:vAlign w:val="center"/>
          </w:tcPr>
          <w:p w14:paraId="45DC5A86" w14:textId="77777777" w:rsidR="002C76E5" w:rsidRPr="00676213" w:rsidRDefault="002C76E5" w:rsidP="002C76E5">
            <w:pPr>
              <w:pStyle w:val="Tableheading"/>
              <w:jc w:val="left"/>
              <w:rPr>
                <w:b w:val="0"/>
                <w:sz w:val="20"/>
                <w:szCs w:val="20"/>
              </w:rPr>
            </w:pPr>
            <w:r w:rsidRPr="00676213">
              <w:rPr>
                <w:b w:val="0"/>
                <w:sz w:val="20"/>
                <w:szCs w:val="20"/>
              </w:rPr>
              <w:t>G03XC01</w:t>
            </w:r>
          </w:p>
        </w:tc>
      </w:tr>
      <w:tr w:rsidR="002C76E5" w14:paraId="34DB8485"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051F9FAD" w14:textId="77777777" w:rsidR="002C76E5" w:rsidRPr="00676213" w:rsidRDefault="002C76E5" w:rsidP="002C76E5">
            <w:pPr>
              <w:pStyle w:val="Tableheading"/>
              <w:jc w:val="left"/>
              <w:rPr>
                <w:b w:val="0"/>
                <w:sz w:val="20"/>
                <w:szCs w:val="20"/>
              </w:rPr>
            </w:pPr>
            <w:r w:rsidRPr="00676213">
              <w:rPr>
                <w:b w:val="0"/>
                <w:sz w:val="20"/>
                <w:szCs w:val="20"/>
              </w:rPr>
              <w:t>Risedronate and combinations (risedronate and calcium carbonate)</w:t>
            </w:r>
          </w:p>
        </w:tc>
        <w:tc>
          <w:tcPr>
            <w:tcW w:w="3118" w:type="dxa"/>
            <w:tcBorders>
              <w:top w:val="nil"/>
              <w:left w:val="nil"/>
              <w:bottom w:val="single" w:sz="4" w:space="0" w:color="auto"/>
              <w:right w:val="single" w:sz="4" w:space="0" w:color="auto"/>
            </w:tcBorders>
            <w:vAlign w:val="center"/>
          </w:tcPr>
          <w:p w14:paraId="293D6F17" w14:textId="77777777" w:rsidR="002C76E5" w:rsidRPr="00676213" w:rsidRDefault="002C76E5" w:rsidP="002C76E5">
            <w:pPr>
              <w:pStyle w:val="Tableheading"/>
              <w:jc w:val="left"/>
              <w:rPr>
                <w:b w:val="0"/>
                <w:sz w:val="20"/>
                <w:szCs w:val="20"/>
              </w:rPr>
            </w:pPr>
            <w:r w:rsidRPr="00676213">
              <w:rPr>
                <w:b w:val="0"/>
                <w:sz w:val="20"/>
                <w:szCs w:val="20"/>
              </w:rPr>
              <w:t>M05BA07, M05BA07,</w:t>
            </w:r>
            <w:r>
              <w:rPr>
                <w:b w:val="0"/>
                <w:sz w:val="20"/>
                <w:szCs w:val="20"/>
              </w:rPr>
              <w:t xml:space="preserve"> </w:t>
            </w:r>
            <w:r w:rsidRPr="00676213">
              <w:rPr>
                <w:b w:val="0"/>
                <w:sz w:val="20"/>
                <w:szCs w:val="20"/>
              </w:rPr>
              <w:t>M05BA07, M05BB02 and M05BB04</w:t>
            </w:r>
          </w:p>
        </w:tc>
      </w:tr>
      <w:tr w:rsidR="002C76E5" w14:paraId="6AECDF64"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6477C0E0" w14:textId="77777777" w:rsidR="002C76E5" w:rsidRPr="00676213" w:rsidRDefault="002C76E5" w:rsidP="002C76E5">
            <w:pPr>
              <w:pStyle w:val="Tableheading"/>
              <w:jc w:val="left"/>
              <w:rPr>
                <w:b w:val="0"/>
                <w:sz w:val="20"/>
                <w:szCs w:val="20"/>
              </w:rPr>
            </w:pPr>
            <w:r w:rsidRPr="00676213">
              <w:rPr>
                <w:b w:val="0"/>
                <w:sz w:val="20"/>
                <w:szCs w:val="20"/>
              </w:rPr>
              <w:t>Strontium ranelate</w:t>
            </w:r>
          </w:p>
        </w:tc>
        <w:tc>
          <w:tcPr>
            <w:tcW w:w="3118" w:type="dxa"/>
            <w:tcBorders>
              <w:top w:val="nil"/>
              <w:left w:val="nil"/>
              <w:bottom w:val="single" w:sz="4" w:space="0" w:color="auto"/>
              <w:right w:val="single" w:sz="4" w:space="0" w:color="auto"/>
            </w:tcBorders>
            <w:vAlign w:val="center"/>
          </w:tcPr>
          <w:p w14:paraId="612F340E" w14:textId="77777777" w:rsidR="002C76E5" w:rsidRPr="00676213" w:rsidRDefault="002C76E5" w:rsidP="002C76E5">
            <w:pPr>
              <w:pStyle w:val="Tableheading"/>
              <w:jc w:val="left"/>
              <w:rPr>
                <w:b w:val="0"/>
                <w:sz w:val="20"/>
                <w:szCs w:val="20"/>
              </w:rPr>
            </w:pPr>
            <w:r w:rsidRPr="00676213">
              <w:rPr>
                <w:b w:val="0"/>
                <w:sz w:val="20"/>
                <w:szCs w:val="20"/>
              </w:rPr>
              <w:t>M05BX03</w:t>
            </w:r>
          </w:p>
        </w:tc>
      </w:tr>
      <w:tr w:rsidR="002C76E5" w14:paraId="2ABFDD04"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1C42E528" w14:textId="77777777" w:rsidR="002C76E5" w:rsidRPr="00676213" w:rsidRDefault="002C76E5" w:rsidP="002C76E5">
            <w:pPr>
              <w:pStyle w:val="Tableheading"/>
              <w:jc w:val="left"/>
              <w:rPr>
                <w:b w:val="0"/>
                <w:sz w:val="20"/>
                <w:szCs w:val="20"/>
              </w:rPr>
            </w:pPr>
            <w:r w:rsidRPr="00676213">
              <w:rPr>
                <w:b w:val="0"/>
                <w:sz w:val="20"/>
                <w:szCs w:val="20"/>
              </w:rPr>
              <w:t>Teriparatide (RBE)</w:t>
            </w:r>
          </w:p>
        </w:tc>
        <w:tc>
          <w:tcPr>
            <w:tcW w:w="3118" w:type="dxa"/>
            <w:tcBorders>
              <w:top w:val="nil"/>
              <w:left w:val="nil"/>
              <w:bottom w:val="single" w:sz="4" w:space="0" w:color="auto"/>
              <w:right w:val="single" w:sz="4" w:space="0" w:color="auto"/>
            </w:tcBorders>
            <w:vAlign w:val="center"/>
          </w:tcPr>
          <w:p w14:paraId="4D5E03AD" w14:textId="77777777" w:rsidR="002C76E5" w:rsidRPr="00676213" w:rsidRDefault="002C76E5" w:rsidP="002C76E5">
            <w:pPr>
              <w:pStyle w:val="Tableheading"/>
              <w:jc w:val="left"/>
              <w:rPr>
                <w:b w:val="0"/>
                <w:sz w:val="20"/>
                <w:szCs w:val="20"/>
              </w:rPr>
            </w:pPr>
            <w:r w:rsidRPr="00676213">
              <w:rPr>
                <w:b w:val="0"/>
                <w:sz w:val="20"/>
                <w:szCs w:val="20"/>
              </w:rPr>
              <w:t>H05AA02</w:t>
            </w:r>
          </w:p>
        </w:tc>
      </w:tr>
      <w:tr w:rsidR="002C76E5" w14:paraId="6B7F3E36" w14:textId="77777777" w:rsidTr="002C76E5">
        <w:trPr>
          <w:trHeight w:val="20"/>
        </w:trPr>
        <w:tc>
          <w:tcPr>
            <w:tcW w:w="4410" w:type="dxa"/>
            <w:tcBorders>
              <w:top w:val="nil"/>
              <w:left w:val="single" w:sz="4" w:space="0" w:color="auto"/>
              <w:bottom w:val="single" w:sz="4" w:space="0" w:color="auto"/>
              <w:right w:val="single" w:sz="4" w:space="0" w:color="auto"/>
            </w:tcBorders>
            <w:vAlign w:val="center"/>
            <w:hideMark/>
          </w:tcPr>
          <w:p w14:paraId="1D8E9BC7" w14:textId="77777777" w:rsidR="002C76E5" w:rsidRPr="00676213" w:rsidRDefault="002C76E5" w:rsidP="002C76E5">
            <w:pPr>
              <w:pStyle w:val="Tableheading"/>
              <w:jc w:val="left"/>
              <w:rPr>
                <w:b w:val="0"/>
                <w:sz w:val="20"/>
                <w:szCs w:val="20"/>
              </w:rPr>
            </w:pPr>
            <w:r w:rsidRPr="00676213">
              <w:rPr>
                <w:b w:val="0"/>
                <w:sz w:val="20"/>
                <w:szCs w:val="20"/>
              </w:rPr>
              <w:t>Zoledronic acid</w:t>
            </w:r>
          </w:p>
        </w:tc>
        <w:tc>
          <w:tcPr>
            <w:tcW w:w="3118" w:type="dxa"/>
            <w:tcBorders>
              <w:top w:val="nil"/>
              <w:left w:val="nil"/>
              <w:bottom w:val="single" w:sz="4" w:space="0" w:color="auto"/>
              <w:right w:val="single" w:sz="4" w:space="0" w:color="auto"/>
            </w:tcBorders>
            <w:vAlign w:val="center"/>
          </w:tcPr>
          <w:p w14:paraId="02FAD30D" w14:textId="77777777" w:rsidR="002C76E5" w:rsidRPr="00676213" w:rsidRDefault="002C76E5" w:rsidP="002C76E5">
            <w:pPr>
              <w:pStyle w:val="Tableheading"/>
              <w:jc w:val="left"/>
              <w:rPr>
                <w:b w:val="0"/>
                <w:sz w:val="20"/>
                <w:szCs w:val="20"/>
              </w:rPr>
            </w:pPr>
            <w:r w:rsidRPr="00676213">
              <w:rPr>
                <w:b w:val="0"/>
                <w:sz w:val="20"/>
                <w:szCs w:val="20"/>
              </w:rPr>
              <w:t>M05BA08</w:t>
            </w:r>
          </w:p>
        </w:tc>
      </w:tr>
    </w:tbl>
    <w:p w14:paraId="0B828912" w14:textId="77777777" w:rsidR="002C76E5" w:rsidRPr="002C76E5" w:rsidRDefault="002C76E5" w:rsidP="002C76E5">
      <w:pPr>
        <w:pStyle w:val="Heading4"/>
        <w:rPr>
          <w:sz w:val="24"/>
        </w:rPr>
      </w:pPr>
      <w:r w:rsidRPr="002C76E5">
        <w:rPr>
          <w:sz w:val="24"/>
        </w:rPr>
        <w:t>Treatment duration</w:t>
      </w:r>
    </w:p>
    <w:p w14:paraId="29D12DDD" w14:textId="56CD2595" w:rsidR="002C76E5" w:rsidRDefault="002C76E5" w:rsidP="002C76E5">
      <w:r>
        <w:t xml:space="preserve">The duration of denosumab treatment </w:t>
      </w:r>
      <w:r w:rsidRPr="00445B0A">
        <w:rPr>
          <w:u w:val="single"/>
        </w:rPr>
        <w:t>including</w:t>
      </w:r>
      <w:r>
        <w:t xml:space="preserve"> treatment breaks was defined as the number of days between the date of the first prescription and the expected end of the last prescription or the 31 December 2019 (whichever came first). The expected end date of the last denosumab prescription was calculated as the date of the last prescription plus 180 days multiplied by {the number of re</w:t>
      </w:r>
      <w:r w:rsidR="009D4848">
        <w:t>peats + 1}. Referring to Table 8</w:t>
      </w:r>
      <w:r>
        <w:t xml:space="preserve">, the expected duration of treatment for each original or repeat prescription for denosumab is 180 days. </w:t>
      </w:r>
    </w:p>
    <w:p w14:paraId="58D94536" w14:textId="23E0246F" w:rsidR="002C76E5" w:rsidRDefault="009D4848" w:rsidP="002C76E5">
      <w:pPr>
        <w:pStyle w:val="Tabletitle"/>
      </w:pPr>
      <w:r>
        <w:t>Table 8</w:t>
      </w:r>
      <w:r w:rsidR="002C76E5">
        <w:t>: Expected duration of therapy for included osteoporosis medicines</w:t>
      </w:r>
    </w:p>
    <w:tbl>
      <w:tblPr>
        <w:tblStyle w:val="TableGrid"/>
        <w:tblW w:w="9064" w:type="dxa"/>
        <w:tblLayout w:type="fixed"/>
        <w:tblLook w:val="04A0" w:firstRow="1" w:lastRow="0" w:firstColumn="1" w:lastColumn="0" w:noHBand="0" w:noVBand="1"/>
        <w:tblCaption w:val="Table 6: Expected duration of therapy for included osteoporosis medicines"/>
      </w:tblPr>
      <w:tblGrid>
        <w:gridCol w:w="5495"/>
        <w:gridCol w:w="3569"/>
      </w:tblGrid>
      <w:tr w:rsidR="002C76E5" w:rsidRPr="001D0858" w14:paraId="2AC700FD" w14:textId="77777777" w:rsidTr="002C76E5">
        <w:trPr>
          <w:trHeight w:val="510"/>
          <w:tblHeader/>
        </w:trPr>
        <w:tc>
          <w:tcPr>
            <w:tcW w:w="5495" w:type="dxa"/>
            <w:shd w:val="clear" w:color="auto" w:fill="BFBFBF" w:themeFill="background1" w:themeFillShade="BF"/>
          </w:tcPr>
          <w:p w14:paraId="2240FEDD" w14:textId="77777777" w:rsidR="002C76E5" w:rsidRPr="00445B0A" w:rsidRDefault="002C76E5" w:rsidP="002C76E5">
            <w:pPr>
              <w:pStyle w:val="Tableheading"/>
              <w:jc w:val="left"/>
              <w:rPr>
                <w:sz w:val="20"/>
                <w:szCs w:val="20"/>
              </w:rPr>
            </w:pPr>
            <w:r w:rsidRPr="00445B0A">
              <w:rPr>
                <w:sz w:val="20"/>
                <w:szCs w:val="20"/>
              </w:rPr>
              <w:t>Active ingredient</w:t>
            </w:r>
          </w:p>
        </w:tc>
        <w:tc>
          <w:tcPr>
            <w:tcW w:w="3569" w:type="dxa"/>
            <w:shd w:val="clear" w:color="auto" w:fill="BFBFBF" w:themeFill="background1" w:themeFillShade="BF"/>
          </w:tcPr>
          <w:p w14:paraId="327E1A62" w14:textId="77777777" w:rsidR="002C76E5" w:rsidRPr="00445B0A" w:rsidRDefault="002C76E5" w:rsidP="002C76E5">
            <w:pPr>
              <w:pStyle w:val="Tableheading"/>
              <w:jc w:val="left"/>
              <w:rPr>
                <w:sz w:val="20"/>
                <w:szCs w:val="20"/>
              </w:rPr>
            </w:pPr>
            <w:r w:rsidRPr="00445B0A">
              <w:rPr>
                <w:sz w:val="20"/>
                <w:szCs w:val="20"/>
              </w:rPr>
              <w:t>Expected duration of treatment</w:t>
            </w:r>
          </w:p>
        </w:tc>
      </w:tr>
      <w:tr w:rsidR="002C76E5" w:rsidRPr="001D0858" w14:paraId="1EB29BD0" w14:textId="77777777" w:rsidTr="002C76E5">
        <w:trPr>
          <w:trHeight w:val="510"/>
        </w:trPr>
        <w:tc>
          <w:tcPr>
            <w:tcW w:w="5495" w:type="dxa"/>
          </w:tcPr>
          <w:p w14:paraId="2F7DA627" w14:textId="77777777" w:rsidR="002C76E5" w:rsidRPr="001D0858" w:rsidRDefault="002C76E5" w:rsidP="002C76E5">
            <w:pPr>
              <w:pStyle w:val="Tableheading"/>
              <w:jc w:val="left"/>
              <w:rPr>
                <w:b w:val="0"/>
                <w:sz w:val="20"/>
                <w:szCs w:val="20"/>
              </w:rPr>
            </w:pPr>
            <w:r>
              <w:rPr>
                <w:b w:val="0"/>
                <w:sz w:val="20"/>
                <w:szCs w:val="20"/>
              </w:rPr>
              <w:t>Alendronate (including combination products)</w:t>
            </w:r>
          </w:p>
        </w:tc>
        <w:tc>
          <w:tcPr>
            <w:tcW w:w="3569" w:type="dxa"/>
          </w:tcPr>
          <w:p w14:paraId="025C0182" w14:textId="77777777" w:rsidR="002C76E5" w:rsidRPr="001D0858" w:rsidRDefault="002C76E5" w:rsidP="002C76E5">
            <w:pPr>
              <w:pStyle w:val="Tableheading"/>
              <w:jc w:val="left"/>
              <w:rPr>
                <w:b w:val="0"/>
                <w:sz w:val="20"/>
                <w:szCs w:val="20"/>
              </w:rPr>
            </w:pPr>
            <w:r>
              <w:rPr>
                <w:b w:val="0"/>
                <w:sz w:val="20"/>
                <w:szCs w:val="20"/>
              </w:rPr>
              <w:t>28 days</w:t>
            </w:r>
          </w:p>
        </w:tc>
      </w:tr>
      <w:tr w:rsidR="002C76E5" w:rsidRPr="001D0858" w14:paraId="4AB46A02" w14:textId="77777777" w:rsidTr="002C76E5">
        <w:trPr>
          <w:trHeight w:val="510"/>
        </w:trPr>
        <w:tc>
          <w:tcPr>
            <w:tcW w:w="5495" w:type="dxa"/>
          </w:tcPr>
          <w:p w14:paraId="45104E42" w14:textId="77777777" w:rsidR="002C76E5" w:rsidRDefault="002C76E5" w:rsidP="002C76E5">
            <w:pPr>
              <w:pStyle w:val="Tableheading"/>
              <w:jc w:val="left"/>
              <w:rPr>
                <w:b w:val="0"/>
                <w:sz w:val="20"/>
                <w:szCs w:val="20"/>
              </w:rPr>
            </w:pPr>
            <w:r>
              <w:rPr>
                <w:b w:val="0"/>
                <w:sz w:val="20"/>
                <w:szCs w:val="20"/>
              </w:rPr>
              <w:t>Calcitriol</w:t>
            </w:r>
          </w:p>
        </w:tc>
        <w:tc>
          <w:tcPr>
            <w:tcW w:w="3569" w:type="dxa"/>
          </w:tcPr>
          <w:p w14:paraId="1D9726B3" w14:textId="77777777" w:rsidR="002C76E5" w:rsidRDefault="002C76E5" w:rsidP="002C76E5">
            <w:pPr>
              <w:pStyle w:val="Tableheading"/>
              <w:jc w:val="left"/>
              <w:rPr>
                <w:b w:val="0"/>
                <w:sz w:val="20"/>
                <w:szCs w:val="20"/>
              </w:rPr>
            </w:pPr>
            <w:r>
              <w:rPr>
                <w:b w:val="0"/>
                <w:sz w:val="20"/>
                <w:szCs w:val="20"/>
              </w:rPr>
              <w:t>50 days</w:t>
            </w:r>
          </w:p>
        </w:tc>
      </w:tr>
      <w:tr w:rsidR="002C76E5" w:rsidRPr="001D0858" w14:paraId="12989451" w14:textId="77777777" w:rsidTr="002C76E5">
        <w:trPr>
          <w:trHeight w:val="510"/>
        </w:trPr>
        <w:tc>
          <w:tcPr>
            <w:tcW w:w="5495" w:type="dxa"/>
          </w:tcPr>
          <w:p w14:paraId="0653A56C" w14:textId="77777777" w:rsidR="002C76E5" w:rsidRDefault="002C76E5" w:rsidP="002C76E5">
            <w:pPr>
              <w:pStyle w:val="Tableheading"/>
              <w:jc w:val="left"/>
              <w:rPr>
                <w:b w:val="0"/>
                <w:sz w:val="20"/>
                <w:szCs w:val="20"/>
              </w:rPr>
            </w:pPr>
            <w:r>
              <w:rPr>
                <w:b w:val="0"/>
                <w:sz w:val="20"/>
                <w:szCs w:val="20"/>
              </w:rPr>
              <w:t>Denosumab</w:t>
            </w:r>
          </w:p>
        </w:tc>
        <w:tc>
          <w:tcPr>
            <w:tcW w:w="3569" w:type="dxa"/>
          </w:tcPr>
          <w:p w14:paraId="51FDD9C7" w14:textId="77777777" w:rsidR="002C76E5" w:rsidRDefault="002C76E5" w:rsidP="002C76E5">
            <w:pPr>
              <w:pStyle w:val="Tableheading"/>
              <w:jc w:val="left"/>
              <w:rPr>
                <w:b w:val="0"/>
                <w:sz w:val="20"/>
                <w:szCs w:val="20"/>
              </w:rPr>
            </w:pPr>
            <w:r>
              <w:rPr>
                <w:b w:val="0"/>
                <w:sz w:val="20"/>
                <w:szCs w:val="20"/>
              </w:rPr>
              <w:t>180 days</w:t>
            </w:r>
          </w:p>
        </w:tc>
      </w:tr>
      <w:tr w:rsidR="002C76E5" w:rsidRPr="001D0858" w14:paraId="2B60852D" w14:textId="77777777" w:rsidTr="002C76E5">
        <w:trPr>
          <w:trHeight w:val="510"/>
        </w:trPr>
        <w:tc>
          <w:tcPr>
            <w:tcW w:w="5495" w:type="dxa"/>
          </w:tcPr>
          <w:p w14:paraId="027EA5EC" w14:textId="77777777" w:rsidR="002C76E5" w:rsidRDefault="002C76E5" w:rsidP="002C76E5">
            <w:pPr>
              <w:pStyle w:val="Tableheading"/>
              <w:jc w:val="left"/>
              <w:rPr>
                <w:b w:val="0"/>
                <w:sz w:val="20"/>
                <w:szCs w:val="20"/>
              </w:rPr>
            </w:pPr>
            <w:r>
              <w:rPr>
                <w:b w:val="0"/>
                <w:sz w:val="20"/>
                <w:szCs w:val="20"/>
              </w:rPr>
              <w:t>Raloxifene</w:t>
            </w:r>
          </w:p>
        </w:tc>
        <w:tc>
          <w:tcPr>
            <w:tcW w:w="3569" w:type="dxa"/>
          </w:tcPr>
          <w:p w14:paraId="4FAFEE94" w14:textId="77777777" w:rsidR="002C76E5" w:rsidRDefault="002C76E5" w:rsidP="002C76E5">
            <w:pPr>
              <w:pStyle w:val="Tableheading"/>
              <w:jc w:val="left"/>
              <w:rPr>
                <w:b w:val="0"/>
                <w:sz w:val="20"/>
                <w:szCs w:val="20"/>
              </w:rPr>
            </w:pPr>
            <w:r>
              <w:rPr>
                <w:b w:val="0"/>
                <w:sz w:val="20"/>
                <w:szCs w:val="20"/>
              </w:rPr>
              <w:t>28 days</w:t>
            </w:r>
          </w:p>
        </w:tc>
      </w:tr>
      <w:tr w:rsidR="002C76E5" w:rsidRPr="001D0858" w14:paraId="677E688A" w14:textId="77777777" w:rsidTr="002C76E5">
        <w:trPr>
          <w:trHeight w:val="510"/>
        </w:trPr>
        <w:tc>
          <w:tcPr>
            <w:tcW w:w="5495" w:type="dxa"/>
          </w:tcPr>
          <w:p w14:paraId="30E1DEEC" w14:textId="77777777" w:rsidR="002C76E5" w:rsidRDefault="002C76E5" w:rsidP="002C76E5">
            <w:pPr>
              <w:pStyle w:val="Tableheading"/>
              <w:jc w:val="left"/>
              <w:rPr>
                <w:b w:val="0"/>
                <w:sz w:val="20"/>
                <w:szCs w:val="20"/>
              </w:rPr>
            </w:pPr>
            <w:r w:rsidRPr="008E3913">
              <w:rPr>
                <w:b w:val="0"/>
                <w:sz w:val="20"/>
                <w:szCs w:val="20"/>
              </w:rPr>
              <w:t>Risedronate (including combination products)</w:t>
            </w:r>
          </w:p>
        </w:tc>
        <w:tc>
          <w:tcPr>
            <w:tcW w:w="3569" w:type="dxa"/>
          </w:tcPr>
          <w:p w14:paraId="6431D9D3" w14:textId="77777777" w:rsidR="002C76E5" w:rsidRDefault="002C76E5" w:rsidP="002C76E5">
            <w:pPr>
              <w:pStyle w:val="Tableheading"/>
              <w:jc w:val="left"/>
              <w:rPr>
                <w:b w:val="0"/>
                <w:sz w:val="20"/>
                <w:szCs w:val="20"/>
              </w:rPr>
            </w:pPr>
            <w:r w:rsidRPr="008E3913">
              <w:rPr>
                <w:b w:val="0"/>
                <w:sz w:val="20"/>
                <w:szCs w:val="20"/>
              </w:rPr>
              <w:t>28 days</w:t>
            </w:r>
          </w:p>
        </w:tc>
      </w:tr>
      <w:tr w:rsidR="002C76E5" w:rsidRPr="001D0858" w14:paraId="75A64868" w14:textId="77777777" w:rsidTr="002C76E5">
        <w:trPr>
          <w:trHeight w:val="510"/>
        </w:trPr>
        <w:tc>
          <w:tcPr>
            <w:tcW w:w="5495" w:type="dxa"/>
          </w:tcPr>
          <w:p w14:paraId="777D5DC1" w14:textId="77777777" w:rsidR="002C76E5" w:rsidRDefault="002C76E5" w:rsidP="002C76E5">
            <w:pPr>
              <w:pStyle w:val="Tableheading"/>
              <w:jc w:val="left"/>
              <w:rPr>
                <w:b w:val="0"/>
                <w:sz w:val="20"/>
                <w:szCs w:val="20"/>
              </w:rPr>
            </w:pPr>
            <w:r>
              <w:rPr>
                <w:b w:val="0"/>
                <w:sz w:val="20"/>
                <w:szCs w:val="20"/>
              </w:rPr>
              <w:t>Strontium ranelate</w:t>
            </w:r>
          </w:p>
        </w:tc>
        <w:tc>
          <w:tcPr>
            <w:tcW w:w="3569" w:type="dxa"/>
          </w:tcPr>
          <w:p w14:paraId="1F82BD56" w14:textId="77777777" w:rsidR="002C76E5" w:rsidRDefault="002C76E5" w:rsidP="002C76E5">
            <w:pPr>
              <w:pStyle w:val="Tableheading"/>
              <w:jc w:val="left"/>
              <w:rPr>
                <w:b w:val="0"/>
                <w:sz w:val="20"/>
                <w:szCs w:val="20"/>
              </w:rPr>
            </w:pPr>
            <w:r>
              <w:rPr>
                <w:b w:val="0"/>
                <w:sz w:val="20"/>
                <w:szCs w:val="20"/>
              </w:rPr>
              <w:t>28 days</w:t>
            </w:r>
          </w:p>
        </w:tc>
      </w:tr>
      <w:tr w:rsidR="002C76E5" w:rsidRPr="001D0858" w14:paraId="27765175" w14:textId="77777777" w:rsidTr="002C76E5">
        <w:trPr>
          <w:trHeight w:val="510"/>
        </w:trPr>
        <w:tc>
          <w:tcPr>
            <w:tcW w:w="5495" w:type="dxa"/>
          </w:tcPr>
          <w:p w14:paraId="0734B885" w14:textId="77777777" w:rsidR="002C76E5" w:rsidRDefault="002C76E5" w:rsidP="002C76E5">
            <w:pPr>
              <w:pStyle w:val="Tableheading"/>
              <w:jc w:val="left"/>
              <w:rPr>
                <w:b w:val="0"/>
                <w:sz w:val="20"/>
                <w:szCs w:val="20"/>
              </w:rPr>
            </w:pPr>
            <w:r>
              <w:rPr>
                <w:b w:val="0"/>
                <w:sz w:val="20"/>
                <w:szCs w:val="20"/>
              </w:rPr>
              <w:t>Teriparatide</w:t>
            </w:r>
          </w:p>
        </w:tc>
        <w:tc>
          <w:tcPr>
            <w:tcW w:w="3569" w:type="dxa"/>
          </w:tcPr>
          <w:p w14:paraId="0C9767D0" w14:textId="77777777" w:rsidR="002C76E5" w:rsidRDefault="002C76E5" w:rsidP="002C76E5">
            <w:pPr>
              <w:pStyle w:val="Tableheading"/>
              <w:jc w:val="left"/>
              <w:rPr>
                <w:b w:val="0"/>
                <w:sz w:val="20"/>
                <w:szCs w:val="20"/>
              </w:rPr>
            </w:pPr>
            <w:r>
              <w:rPr>
                <w:b w:val="0"/>
                <w:sz w:val="20"/>
                <w:szCs w:val="20"/>
              </w:rPr>
              <w:t>28 days</w:t>
            </w:r>
          </w:p>
        </w:tc>
      </w:tr>
      <w:tr w:rsidR="002C76E5" w:rsidRPr="001D0858" w14:paraId="4A1581DF" w14:textId="77777777" w:rsidTr="002C76E5">
        <w:trPr>
          <w:trHeight w:val="510"/>
        </w:trPr>
        <w:tc>
          <w:tcPr>
            <w:tcW w:w="5495" w:type="dxa"/>
          </w:tcPr>
          <w:p w14:paraId="011FC681" w14:textId="77777777" w:rsidR="002C76E5" w:rsidRDefault="002C76E5" w:rsidP="002C76E5">
            <w:pPr>
              <w:pStyle w:val="Tableheading"/>
              <w:jc w:val="left"/>
              <w:rPr>
                <w:b w:val="0"/>
                <w:sz w:val="20"/>
                <w:szCs w:val="20"/>
              </w:rPr>
            </w:pPr>
            <w:r>
              <w:rPr>
                <w:b w:val="0"/>
                <w:sz w:val="20"/>
                <w:szCs w:val="20"/>
              </w:rPr>
              <w:t>Zoledronic acid</w:t>
            </w:r>
          </w:p>
        </w:tc>
        <w:tc>
          <w:tcPr>
            <w:tcW w:w="3569" w:type="dxa"/>
          </w:tcPr>
          <w:p w14:paraId="3B0F03E7" w14:textId="77777777" w:rsidR="002C76E5" w:rsidRDefault="002C76E5" w:rsidP="002C76E5">
            <w:pPr>
              <w:pStyle w:val="Tableheading"/>
              <w:jc w:val="left"/>
              <w:rPr>
                <w:b w:val="0"/>
                <w:sz w:val="20"/>
                <w:szCs w:val="20"/>
              </w:rPr>
            </w:pPr>
            <w:r>
              <w:rPr>
                <w:b w:val="0"/>
                <w:sz w:val="20"/>
                <w:szCs w:val="20"/>
              </w:rPr>
              <w:t>365 days</w:t>
            </w:r>
          </w:p>
        </w:tc>
      </w:tr>
    </w:tbl>
    <w:p w14:paraId="36241BDB" w14:textId="77777777" w:rsidR="002C76E5" w:rsidRDefault="002C76E5" w:rsidP="002C76E5"/>
    <w:p w14:paraId="224D8437" w14:textId="73C69526" w:rsidR="002C76E5" w:rsidRDefault="002C76E5" w:rsidP="002C76E5">
      <w:r>
        <w:t xml:space="preserve">Whether denosumab treatment was ongoing or had ceased by study end (31 December 2019) was </w:t>
      </w:r>
      <w:r w:rsidRPr="000E39F2">
        <w:t xml:space="preserve">calculated </w:t>
      </w:r>
      <w:r>
        <w:t>usin</w:t>
      </w:r>
      <w:r w:rsidR="009D4848">
        <w:t>g the rules described in Table 9</w:t>
      </w:r>
      <w:r>
        <w:t xml:space="preserve">. Note that these rules were only applied to determine the status of denosumab treatment at study end. They were not used </w:t>
      </w:r>
      <w:r>
        <w:lastRenderedPageBreak/>
        <w:t>to determine the actual duration of denosumab treatment or the expected end-date of treatment for denosumab or any other osteoporosis medicine.</w:t>
      </w:r>
    </w:p>
    <w:p w14:paraId="362924A3" w14:textId="40FF9E85" w:rsidR="002C76E5" w:rsidRDefault="002C76E5" w:rsidP="002C76E5">
      <w:pPr>
        <w:rPr>
          <w:b/>
        </w:rPr>
      </w:pPr>
      <w:r w:rsidRPr="0001239C">
        <w:rPr>
          <w:b/>
        </w:rPr>
        <w:t xml:space="preserve">Table </w:t>
      </w:r>
      <w:r w:rsidR="009D4848">
        <w:rPr>
          <w:b/>
        </w:rPr>
        <w:t>9</w:t>
      </w:r>
      <w:r w:rsidRPr="0001239C">
        <w:rPr>
          <w:b/>
        </w:rPr>
        <w:t xml:space="preserve">: </w:t>
      </w:r>
      <w:r>
        <w:rPr>
          <w:b/>
        </w:rPr>
        <w:t>Definitions of denosumab treatment status as at 31 December 2019 (study end)</w:t>
      </w:r>
    </w:p>
    <w:tbl>
      <w:tblPr>
        <w:tblStyle w:val="TableGrid"/>
        <w:tblW w:w="9064" w:type="dxa"/>
        <w:tblLayout w:type="fixed"/>
        <w:tblLook w:val="04A0" w:firstRow="1" w:lastRow="0" w:firstColumn="1" w:lastColumn="0" w:noHBand="0" w:noVBand="1"/>
        <w:tblCaption w:val="Table 7: Definitions of denosumab treatment status as at 31 December 2019 (study end)"/>
      </w:tblPr>
      <w:tblGrid>
        <w:gridCol w:w="1980"/>
        <w:gridCol w:w="7084"/>
      </w:tblGrid>
      <w:tr w:rsidR="002C76E5" w:rsidRPr="001D0858" w14:paraId="28A16A2E" w14:textId="77777777" w:rsidTr="002C76E5">
        <w:trPr>
          <w:trHeight w:val="510"/>
          <w:tblHeader/>
        </w:trPr>
        <w:tc>
          <w:tcPr>
            <w:tcW w:w="1980" w:type="dxa"/>
            <w:shd w:val="clear" w:color="auto" w:fill="BFBFBF" w:themeFill="background1" w:themeFillShade="BF"/>
          </w:tcPr>
          <w:p w14:paraId="636F5A27" w14:textId="77777777" w:rsidR="002C76E5" w:rsidRPr="00445B0A" w:rsidRDefault="002C76E5" w:rsidP="002C76E5">
            <w:pPr>
              <w:pStyle w:val="Tableheading"/>
              <w:jc w:val="left"/>
              <w:rPr>
                <w:sz w:val="20"/>
                <w:szCs w:val="20"/>
              </w:rPr>
            </w:pPr>
            <w:r>
              <w:rPr>
                <w:sz w:val="20"/>
                <w:szCs w:val="20"/>
              </w:rPr>
              <w:t>Treatment status</w:t>
            </w:r>
          </w:p>
        </w:tc>
        <w:tc>
          <w:tcPr>
            <w:tcW w:w="7084" w:type="dxa"/>
            <w:shd w:val="clear" w:color="auto" w:fill="BFBFBF" w:themeFill="background1" w:themeFillShade="BF"/>
          </w:tcPr>
          <w:p w14:paraId="41E27B4F" w14:textId="77777777" w:rsidR="002C76E5" w:rsidRPr="00445B0A" w:rsidRDefault="002C76E5" w:rsidP="002C76E5">
            <w:pPr>
              <w:pStyle w:val="Tableheading"/>
              <w:jc w:val="left"/>
              <w:rPr>
                <w:sz w:val="20"/>
                <w:szCs w:val="20"/>
              </w:rPr>
            </w:pPr>
            <w:r>
              <w:rPr>
                <w:sz w:val="20"/>
                <w:szCs w:val="20"/>
              </w:rPr>
              <w:t>Definition</w:t>
            </w:r>
          </w:p>
        </w:tc>
      </w:tr>
      <w:tr w:rsidR="002C76E5" w:rsidRPr="001D0858" w14:paraId="3F0A6617" w14:textId="77777777" w:rsidTr="002C76E5">
        <w:trPr>
          <w:trHeight w:val="510"/>
        </w:trPr>
        <w:tc>
          <w:tcPr>
            <w:tcW w:w="1980" w:type="dxa"/>
          </w:tcPr>
          <w:p w14:paraId="53733071" w14:textId="77777777" w:rsidR="002C76E5" w:rsidRPr="001D0858" w:rsidRDefault="002C76E5" w:rsidP="002C76E5">
            <w:pPr>
              <w:pStyle w:val="Tableheading"/>
              <w:jc w:val="left"/>
              <w:rPr>
                <w:b w:val="0"/>
                <w:sz w:val="20"/>
                <w:szCs w:val="20"/>
              </w:rPr>
            </w:pPr>
            <w:r w:rsidRPr="0055255C">
              <w:rPr>
                <w:b w:val="0"/>
                <w:sz w:val="20"/>
                <w:szCs w:val="20"/>
              </w:rPr>
              <w:t>Ongoing t</w:t>
            </w:r>
            <w:r>
              <w:rPr>
                <w:b w:val="0"/>
                <w:sz w:val="20"/>
                <w:szCs w:val="20"/>
              </w:rPr>
              <w:t>reatment</w:t>
            </w:r>
          </w:p>
        </w:tc>
        <w:tc>
          <w:tcPr>
            <w:tcW w:w="7084" w:type="dxa"/>
          </w:tcPr>
          <w:p w14:paraId="05162EB4" w14:textId="77777777" w:rsidR="002C76E5" w:rsidRPr="001D0858" w:rsidRDefault="002C76E5" w:rsidP="002C76E5">
            <w:pPr>
              <w:pStyle w:val="Tableheading"/>
              <w:jc w:val="left"/>
              <w:rPr>
                <w:b w:val="0"/>
                <w:sz w:val="20"/>
                <w:szCs w:val="20"/>
              </w:rPr>
            </w:pPr>
            <w:r w:rsidRPr="0055255C">
              <w:rPr>
                <w:b w:val="0"/>
                <w:sz w:val="20"/>
                <w:szCs w:val="20"/>
              </w:rPr>
              <w:t xml:space="preserve">Denosumab </w:t>
            </w:r>
            <w:r>
              <w:rPr>
                <w:b w:val="0"/>
                <w:sz w:val="20"/>
                <w:szCs w:val="20"/>
              </w:rPr>
              <w:t>treatment</w:t>
            </w:r>
            <w:r w:rsidRPr="0055255C">
              <w:rPr>
                <w:b w:val="0"/>
                <w:sz w:val="20"/>
                <w:szCs w:val="20"/>
              </w:rPr>
              <w:t xml:space="preserve"> </w:t>
            </w:r>
            <w:r>
              <w:rPr>
                <w:b w:val="0"/>
                <w:sz w:val="20"/>
                <w:szCs w:val="20"/>
              </w:rPr>
              <w:t xml:space="preserve">was </w:t>
            </w:r>
            <w:r w:rsidRPr="0055255C">
              <w:rPr>
                <w:b w:val="0"/>
                <w:sz w:val="20"/>
                <w:szCs w:val="20"/>
              </w:rPr>
              <w:t xml:space="preserve">considered </w:t>
            </w:r>
            <w:r>
              <w:rPr>
                <w:b w:val="0"/>
                <w:sz w:val="20"/>
                <w:szCs w:val="20"/>
              </w:rPr>
              <w:t xml:space="preserve">ongoing </w:t>
            </w:r>
            <w:r w:rsidRPr="0055255C">
              <w:rPr>
                <w:b w:val="0"/>
                <w:sz w:val="20"/>
                <w:szCs w:val="20"/>
              </w:rPr>
              <w:t xml:space="preserve">at 31 December 2019 if the expected end of the last prescription plus 60 days </w:t>
            </w:r>
            <w:r>
              <w:rPr>
                <w:b w:val="0"/>
                <w:sz w:val="20"/>
                <w:szCs w:val="20"/>
              </w:rPr>
              <w:t>wa</w:t>
            </w:r>
            <w:r w:rsidRPr="0055255C">
              <w:rPr>
                <w:b w:val="0"/>
                <w:sz w:val="20"/>
                <w:szCs w:val="20"/>
              </w:rPr>
              <w:t xml:space="preserve">s on or after 31 December 2019. For example, if a patient’s last script for denosumab </w:t>
            </w:r>
            <w:r>
              <w:rPr>
                <w:b w:val="0"/>
                <w:sz w:val="20"/>
                <w:szCs w:val="20"/>
              </w:rPr>
              <w:t>was</w:t>
            </w:r>
            <w:r w:rsidRPr="0055255C">
              <w:rPr>
                <w:b w:val="0"/>
                <w:sz w:val="20"/>
                <w:szCs w:val="20"/>
              </w:rPr>
              <w:t xml:space="preserve"> recorded on 10 January 2019 and ha</w:t>
            </w:r>
            <w:r>
              <w:rPr>
                <w:b w:val="0"/>
                <w:sz w:val="20"/>
                <w:szCs w:val="20"/>
              </w:rPr>
              <w:t>d</w:t>
            </w:r>
            <w:r w:rsidRPr="0055255C">
              <w:rPr>
                <w:b w:val="0"/>
                <w:sz w:val="20"/>
                <w:szCs w:val="20"/>
              </w:rPr>
              <w:t xml:space="preserve"> one repeat, the expected duration would be (180 days x 2) + 60 days. (i.e. after 31 December 2019) and this would be considered </w:t>
            </w:r>
            <w:r>
              <w:rPr>
                <w:b w:val="0"/>
                <w:sz w:val="20"/>
                <w:szCs w:val="20"/>
              </w:rPr>
              <w:t>ongoing treatment</w:t>
            </w:r>
          </w:p>
        </w:tc>
      </w:tr>
      <w:tr w:rsidR="002C76E5" w:rsidRPr="001D0858" w14:paraId="216A12A8" w14:textId="77777777" w:rsidTr="002C76E5">
        <w:trPr>
          <w:trHeight w:val="510"/>
        </w:trPr>
        <w:tc>
          <w:tcPr>
            <w:tcW w:w="1980" w:type="dxa"/>
          </w:tcPr>
          <w:p w14:paraId="0CFB4AC3" w14:textId="77777777" w:rsidR="002C76E5" w:rsidRDefault="002C76E5" w:rsidP="002C76E5">
            <w:pPr>
              <w:pStyle w:val="Tableheading"/>
              <w:jc w:val="left"/>
              <w:rPr>
                <w:b w:val="0"/>
                <w:sz w:val="20"/>
                <w:szCs w:val="20"/>
              </w:rPr>
            </w:pPr>
            <w:r w:rsidRPr="0055255C">
              <w:rPr>
                <w:b w:val="0"/>
                <w:sz w:val="20"/>
                <w:szCs w:val="20"/>
              </w:rPr>
              <w:t>Ceased</w:t>
            </w:r>
            <w:r>
              <w:rPr>
                <w:b w:val="0"/>
                <w:sz w:val="20"/>
                <w:szCs w:val="20"/>
              </w:rPr>
              <w:t xml:space="preserve"> treatment</w:t>
            </w:r>
          </w:p>
        </w:tc>
        <w:tc>
          <w:tcPr>
            <w:tcW w:w="7084" w:type="dxa"/>
          </w:tcPr>
          <w:p w14:paraId="1F6FDC7B" w14:textId="77777777" w:rsidR="002C76E5" w:rsidRDefault="002C76E5" w:rsidP="002C76E5">
            <w:pPr>
              <w:pStyle w:val="Tableheading"/>
              <w:jc w:val="left"/>
              <w:rPr>
                <w:b w:val="0"/>
                <w:sz w:val="20"/>
                <w:szCs w:val="20"/>
              </w:rPr>
            </w:pPr>
            <w:r w:rsidRPr="00AE3942">
              <w:rPr>
                <w:b w:val="0"/>
                <w:sz w:val="20"/>
                <w:szCs w:val="20"/>
              </w:rPr>
              <w:t xml:space="preserve">Denosumab treatment was considered </w:t>
            </w:r>
            <w:r>
              <w:rPr>
                <w:b w:val="0"/>
                <w:sz w:val="20"/>
                <w:szCs w:val="20"/>
              </w:rPr>
              <w:t>ceased</w:t>
            </w:r>
            <w:r w:rsidRPr="00AE3942">
              <w:rPr>
                <w:b w:val="0"/>
                <w:sz w:val="20"/>
                <w:szCs w:val="20"/>
              </w:rPr>
              <w:t xml:space="preserve"> at </w:t>
            </w:r>
            <w:r w:rsidRPr="0055255C">
              <w:rPr>
                <w:b w:val="0"/>
                <w:sz w:val="20"/>
                <w:szCs w:val="20"/>
              </w:rPr>
              <w:t xml:space="preserve">31 December 2019 if the expected end of the last prescription plus 60 days, </w:t>
            </w:r>
            <w:r>
              <w:rPr>
                <w:b w:val="0"/>
                <w:sz w:val="20"/>
                <w:szCs w:val="20"/>
              </w:rPr>
              <w:t>was</w:t>
            </w:r>
            <w:r w:rsidRPr="0055255C">
              <w:rPr>
                <w:b w:val="0"/>
                <w:sz w:val="20"/>
                <w:szCs w:val="20"/>
              </w:rPr>
              <w:t xml:space="preserve"> before 31 December 2019 and on or before the patient’s last visit at the MedicineInsight practice. For example</w:t>
            </w:r>
            <w:r>
              <w:rPr>
                <w:b w:val="0"/>
                <w:sz w:val="20"/>
                <w:szCs w:val="20"/>
              </w:rPr>
              <w:t>,</w:t>
            </w:r>
            <w:r w:rsidRPr="0055255C">
              <w:rPr>
                <w:b w:val="0"/>
                <w:sz w:val="20"/>
                <w:szCs w:val="20"/>
              </w:rPr>
              <w:t xml:space="preserve"> if a patient’s last script for denosumab </w:t>
            </w:r>
            <w:r>
              <w:rPr>
                <w:b w:val="0"/>
                <w:sz w:val="20"/>
                <w:szCs w:val="20"/>
              </w:rPr>
              <w:t>wa</w:t>
            </w:r>
            <w:r w:rsidRPr="0055255C">
              <w:rPr>
                <w:b w:val="0"/>
                <w:sz w:val="20"/>
                <w:szCs w:val="20"/>
              </w:rPr>
              <w:t>s recorded on the 10 October 2018 (and there were no repeats), this would be considered ceased if the patient</w:t>
            </w:r>
            <w:r>
              <w:rPr>
                <w:b w:val="0"/>
                <w:sz w:val="20"/>
                <w:szCs w:val="20"/>
              </w:rPr>
              <w:t>’</w:t>
            </w:r>
            <w:r w:rsidRPr="0055255C">
              <w:rPr>
                <w:b w:val="0"/>
                <w:sz w:val="20"/>
                <w:szCs w:val="20"/>
              </w:rPr>
              <w:t>s last visit at the practice was at least 240 days after the 10 October 2018</w:t>
            </w:r>
          </w:p>
        </w:tc>
      </w:tr>
      <w:tr w:rsidR="002C76E5" w:rsidRPr="001D0858" w14:paraId="35FD56A5" w14:textId="77777777" w:rsidTr="002C76E5">
        <w:trPr>
          <w:trHeight w:val="510"/>
        </w:trPr>
        <w:tc>
          <w:tcPr>
            <w:tcW w:w="1980" w:type="dxa"/>
          </w:tcPr>
          <w:p w14:paraId="7D5A84CE" w14:textId="77777777" w:rsidR="002C76E5" w:rsidRDefault="002C76E5" w:rsidP="002C76E5">
            <w:pPr>
              <w:pStyle w:val="Tableheading"/>
              <w:jc w:val="left"/>
              <w:rPr>
                <w:b w:val="0"/>
                <w:sz w:val="20"/>
                <w:szCs w:val="20"/>
              </w:rPr>
            </w:pPr>
            <w:r w:rsidRPr="0055255C">
              <w:rPr>
                <w:b w:val="0"/>
                <w:sz w:val="20"/>
                <w:szCs w:val="20"/>
              </w:rPr>
              <w:t>Lost to follow-up</w:t>
            </w:r>
          </w:p>
        </w:tc>
        <w:tc>
          <w:tcPr>
            <w:tcW w:w="7084" w:type="dxa"/>
          </w:tcPr>
          <w:p w14:paraId="14A5C182" w14:textId="77777777" w:rsidR="002C76E5" w:rsidRDefault="002C76E5" w:rsidP="002C76E5">
            <w:pPr>
              <w:pStyle w:val="Tableheading"/>
              <w:jc w:val="left"/>
              <w:rPr>
                <w:b w:val="0"/>
                <w:sz w:val="20"/>
                <w:szCs w:val="20"/>
              </w:rPr>
            </w:pPr>
            <w:r w:rsidRPr="0055255C">
              <w:rPr>
                <w:b w:val="0"/>
                <w:sz w:val="20"/>
                <w:szCs w:val="20"/>
              </w:rPr>
              <w:t>Denosumab therapy w</w:t>
            </w:r>
            <w:r>
              <w:rPr>
                <w:b w:val="0"/>
                <w:sz w:val="20"/>
                <w:szCs w:val="20"/>
              </w:rPr>
              <w:t>as</w:t>
            </w:r>
            <w:r w:rsidRPr="0055255C">
              <w:rPr>
                <w:b w:val="0"/>
                <w:sz w:val="20"/>
                <w:szCs w:val="20"/>
              </w:rPr>
              <w:t xml:space="preserve"> considered neither ceased nor active (i.e. lost to follow-up) if the expected end of the last prescription plus 60 days </w:t>
            </w:r>
            <w:r>
              <w:rPr>
                <w:b w:val="0"/>
                <w:sz w:val="20"/>
                <w:szCs w:val="20"/>
              </w:rPr>
              <w:t>was</w:t>
            </w:r>
            <w:r w:rsidRPr="0055255C">
              <w:rPr>
                <w:b w:val="0"/>
                <w:sz w:val="20"/>
                <w:szCs w:val="20"/>
              </w:rPr>
              <w:t xml:space="preserve"> before 31 December 2019 and after the patient’s last visit at the MedicineInsight practice. For example</w:t>
            </w:r>
            <w:r>
              <w:rPr>
                <w:b w:val="0"/>
                <w:sz w:val="20"/>
                <w:szCs w:val="20"/>
              </w:rPr>
              <w:t>,</w:t>
            </w:r>
            <w:r w:rsidRPr="0055255C">
              <w:rPr>
                <w:b w:val="0"/>
                <w:sz w:val="20"/>
                <w:szCs w:val="20"/>
              </w:rPr>
              <w:t xml:space="preserve"> if a patient’s last script for denosumab is recorded on the 10 October 2018, this would be considered lost to follow-up if the patient</w:t>
            </w:r>
            <w:r>
              <w:rPr>
                <w:b w:val="0"/>
                <w:sz w:val="20"/>
                <w:szCs w:val="20"/>
              </w:rPr>
              <w:t>’</w:t>
            </w:r>
            <w:r w:rsidRPr="0055255C">
              <w:rPr>
                <w:b w:val="0"/>
                <w:sz w:val="20"/>
                <w:szCs w:val="20"/>
              </w:rPr>
              <w:t>s last visit at the practice was less than 240 days after the 10th October 2018</w:t>
            </w:r>
          </w:p>
        </w:tc>
      </w:tr>
    </w:tbl>
    <w:p w14:paraId="52F1B72E" w14:textId="77777777" w:rsidR="002C76E5" w:rsidRDefault="002C76E5" w:rsidP="002C76E5"/>
    <w:p w14:paraId="1E0D453E" w14:textId="77777777" w:rsidR="002C76E5" w:rsidRPr="002C76E5" w:rsidRDefault="002C76E5" w:rsidP="002C76E5">
      <w:pPr>
        <w:pStyle w:val="Heading4"/>
        <w:rPr>
          <w:sz w:val="24"/>
        </w:rPr>
      </w:pPr>
      <w:r w:rsidRPr="002C76E5">
        <w:rPr>
          <w:sz w:val="24"/>
        </w:rPr>
        <w:t>Management post-denosumab cessation</w:t>
      </w:r>
    </w:p>
    <w:p w14:paraId="7E2613B7" w14:textId="77777777" w:rsidR="002C76E5" w:rsidRDefault="002C76E5" w:rsidP="002C76E5">
      <w:r>
        <w:t>For a patient who had ceased denosumab to be recorded as having been started on another osteoporosis medicine (bisphosphonate, calcitriol, strontium ranelate, teriparatide or raloxifene), they had to meet both of the following criteria:</w:t>
      </w:r>
    </w:p>
    <w:p w14:paraId="15CF5C87" w14:textId="77777777" w:rsidR="002C76E5" w:rsidRDefault="002C76E5" w:rsidP="002C76E5">
      <w:pPr>
        <w:pStyle w:val="ListParagraph"/>
        <w:numPr>
          <w:ilvl w:val="0"/>
          <w:numId w:val="7"/>
        </w:numPr>
      </w:pPr>
      <w:r>
        <w:t xml:space="preserve">have a prescription for a different medicine on or after the date of the last prescription for denosumab; and </w:t>
      </w:r>
    </w:p>
    <w:p w14:paraId="4F1D630F" w14:textId="74B166DA" w:rsidR="002C76E5" w:rsidRDefault="002C76E5" w:rsidP="002C76E5">
      <w:pPr>
        <w:pStyle w:val="ListParagraph"/>
        <w:numPr>
          <w:ilvl w:val="0"/>
          <w:numId w:val="7"/>
        </w:numPr>
      </w:pPr>
      <w:r>
        <w:t>the expected end of the last prescription for the different medicine is after the expected end of the cease</w:t>
      </w:r>
      <w:r w:rsidR="00986F55">
        <w:t>d denosumab therapy (see Table 5</w:t>
      </w:r>
      <w:r>
        <w:t xml:space="preserve"> for expected duration of treatment).</w:t>
      </w:r>
    </w:p>
    <w:p w14:paraId="356E233F" w14:textId="77777777" w:rsidR="002C76E5" w:rsidRPr="002C76E5" w:rsidRDefault="002C76E5" w:rsidP="002C76E5">
      <w:pPr>
        <w:pStyle w:val="Heading4"/>
        <w:rPr>
          <w:sz w:val="24"/>
        </w:rPr>
      </w:pPr>
      <w:r w:rsidRPr="002C76E5">
        <w:rPr>
          <w:sz w:val="24"/>
        </w:rPr>
        <w:t>Statistical analysis</w:t>
      </w:r>
    </w:p>
    <w:p w14:paraId="5D4AF7D5" w14:textId="7F79108E" w:rsidR="002C76E5" w:rsidRDefault="002C76E5" w:rsidP="002C76E5">
      <w:r>
        <w:t>Analyses were conducted on the February 2020 download using SAS version 9.4 (SAS Institute Inc., Cary, NC, USA), including the use of the SURVEYFREQ procedure. Measures included descriptive statistics, frequencies, proportions and odds ratios as appropriate. To indicate the reliability of the estimates of prevalence and proportions, 95% confidence intervals (adjusted for clustering by practice site) and p-values are reported as needed.</w:t>
      </w:r>
    </w:p>
    <w:p w14:paraId="627D1E61" w14:textId="7CAA4621" w:rsidR="001334D6" w:rsidRDefault="001334D6" w:rsidP="002C76E5"/>
    <w:p w14:paraId="2B51497D" w14:textId="77777777" w:rsidR="001334D6" w:rsidRDefault="001334D6" w:rsidP="002C76E5"/>
    <w:p w14:paraId="20129F51" w14:textId="77777777" w:rsidR="002C76E5" w:rsidRPr="002C76E5" w:rsidRDefault="002C76E5" w:rsidP="002C76E5">
      <w:pPr>
        <w:pStyle w:val="Heading4"/>
        <w:rPr>
          <w:sz w:val="24"/>
        </w:rPr>
      </w:pPr>
      <w:r w:rsidRPr="002C76E5">
        <w:rPr>
          <w:sz w:val="24"/>
        </w:rPr>
        <w:lastRenderedPageBreak/>
        <w:t>Guide to interpreting MedicineInsight data</w:t>
      </w:r>
    </w:p>
    <w:p w14:paraId="0576A059" w14:textId="77777777" w:rsidR="002C76E5" w:rsidRDefault="002C76E5" w:rsidP="002C76E5">
      <w:r w:rsidRPr="0017296B">
        <w:t>When interpreting the information presented in this report, readers should note some of the limitations or caveats related to the MedicineInsight data:</w:t>
      </w:r>
    </w:p>
    <w:p w14:paraId="32F23978" w14:textId="77777777" w:rsidR="002C76E5" w:rsidRDefault="002C76E5" w:rsidP="002C76E5">
      <w:pPr>
        <w:pStyle w:val="ListParagraph"/>
        <w:numPr>
          <w:ilvl w:val="0"/>
          <w:numId w:val="19"/>
        </w:numPr>
      </w:pPr>
      <w:r>
        <w:t>Information in the CIS is collected to provide clinical care to a patient, not for research purposes. All analyses are therefore dependent upon on the accuracy and completeness of data recorded in, and available for extraction from, the general practice CISs.</w:t>
      </w:r>
    </w:p>
    <w:p w14:paraId="119380D8" w14:textId="77777777" w:rsidR="002C76E5" w:rsidRDefault="002C76E5" w:rsidP="002C76E5">
      <w:pPr>
        <w:pStyle w:val="ListParagraph"/>
        <w:numPr>
          <w:ilvl w:val="0"/>
          <w:numId w:val="19"/>
        </w:numPr>
      </w:pPr>
      <w:r w:rsidRPr="0017296B">
        <w:t>Medicine-use information from MedicineInsight relates to records of GP prescribing, and therefore differs in several important ways from national PBS dispensing data. Not all prescriptions and repeats will be dispensed, i</w:t>
      </w:r>
      <w:r>
        <w:t>.</w:t>
      </w:r>
      <w:r w:rsidRPr="0017296B">
        <w:t>e</w:t>
      </w:r>
      <w:r>
        <w:t>.</w:t>
      </w:r>
      <w:r w:rsidRPr="0017296B">
        <w:t xml:space="preserve"> prescription counts are an overestimate of dispensed prescription counts. Specialist and hospital prescriptions are not included</w:t>
      </w:r>
      <w:r>
        <w:t>.</w:t>
      </w:r>
      <w:r w:rsidRPr="0017296B">
        <w:t xml:space="preserve"> </w:t>
      </w:r>
      <w:r>
        <w:t>T</w:t>
      </w:r>
      <w:r w:rsidRPr="0017296B">
        <w:t>here may be a delay of up to 12 months between prescribing and dispensing.</w:t>
      </w:r>
    </w:p>
    <w:p w14:paraId="62C2A68C" w14:textId="77777777" w:rsidR="002C76E5" w:rsidRDefault="002C76E5" w:rsidP="002C76E5">
      <w:pPr>
        <w:pStyle w:val="ListParagraph"/>
        <w:numPr>
          <w:ilvl w:val="0"/>
          <w:numId w:val="19"/>
        </w:numPr>
      </w:pPr>
      <w:r w:rsidRPr="0017296B">
        <w:t xml:space="preserve">Practices were recruited to MedicineInsight using non-random sampling, and systematic sampling differences between regions cannot be ruled out. </w:t>
      </w:r>
    </w:p>
    <w:p w14:paraId="607C3F05" w14:textId="77777777" w:rsidR="002C76E5" w:rsidRDefault="002C76E5" w:rsidP="002C76E5">
      <w:pPr>
        <w:pStyle w:val="ListParagraph"/>
        <w:numPr>
          <w:ilvl w:val="0"/>
          <w:numId w:val="19"/>
        </w:numPr>
      </w:pPr>
      <w:r w:rsidRPr="0017296B">
        <w:t>Due to confidentiality issues we do not have access to progress notes</w:t>
      </w:r>
      <w:r>
        <w:t xml:space="preserve"> or access to correspondence</w:t>
      </w:r>
      <w:r w:rsidRPr="0017296B">
        <w:t>, which may contain further information on reasons for prescriptions, reasons for encounters and diagnoses.</w:t>
      </w:r>
    </w:p>
    <w:p w14:paraId="1C840CDE" w14:textId="43292465" w:rsidR="002C76E5" w:rsidRDefault="002C76E5" w:rsidP="002C76E5">
      <w:pPr>
        <w:pStyle w:val="ListParagraph"/>
        <w:numPr>
          <w:ilvl w:val="0"/>
          <w:numId w:val="19"/>
        </w:numPr>
      </w:pPr>
      <w:r w:rsidRPr="0017296B">
        <w:t>Patients are free to visit multiple other practices. We do not have data on patients from non-MedicineInsight clinics. Currently we cannot identify patients who have attended multiple MedicineInsight practices.</w:t>
      </w:r>
    </w:p>
    <w:p w14:paraId="4F91A98A" w14:textId="03BD2C5B" w:rsidR="00C714D0" w:rsidRDefault="00C714D0" w:rsidP="00C305DF">
      <w:pPr>
        <w:pStyle w:val="Heading1"/>
        <w:spacing w:before="120"/>
      </w:pPr>
      <w:r w:rsidRPr="005E22C2">
        <w:t>Results</w:t>
      </w:r>
    </w:p>
    <w:p w14:paraId="0B5B4FD7" w14:textId="3F5AFB7B" w:rsidR="002C76E5" w:rsidRPr="002C76E5" w:rsidRDefault="002C76E5" w:rsidP="002C76E5">
      <w:pPr>
        <w:pStyle w:val="Heading3"/>
        <w:rPr>
          <w:sz w:val="28"/>
        </w:rPr>
      </w:pPr>
      <w:r w:rsidRPr="002C76E5">
        <w:rPr>
          <w:sz w:val="28"/>
        </w:rPr>
        <w:t>PBS Data</w:t>
      </w:r>
    </w:p>
    <w:p w14:paraId="2221FF19" w14:textId="09707810" w:rsidR="00736041" w:rsidRPr="002C76E5" w:rsidRDefault="00736681" w:rsidP="002C76E5">
      <w:pPr>
        <w:pStyle w:val="Heading4"/>
        <w:rPr>
          <w:sz w:val="24"/>
        </w:rPr>
      </w:pPr>
      <w:r w:rsidRPr="002C76E5">
        <w:rPr>
          <w:sz w:val="24"/>
        </w:rPr>
        <w:t>Prevalent denosumab patients</w:t>
      </w:r>
    </w:p>
    <w:p w14:paraId="784B3280" w14:textId="3BE9BDAE" w:rsidR="00E5542A" w:rsidRDefault="00624E73" w:rsidP="00E5542A">
      <w:r>
        <w:t xml:space="preserve">Over the </w:t>
      </w:r>
      <w:r w:rsidR="00CB1CB7">
        <w:t>5.5-year</w:t>
      </w:r>
      <w:r w:rsidR="00D20748">
        <w:t xml:space="preserve"> period, the number of unique patients dispensed denosumab at least once </w:t>
      </w:r>
      <w:r w:rsidR="00D744B0">
        <w:t xml:space="preserve">a year increased. In 2018, the last </w:t>
      </w:r>
      <w:r w:rsidR="00AF2BC8">
        <w:t>full calendar year of data</w:t>
      </w:r>
      <w:r w:rsidR="008C322C">
        <w:t>,</w:t>
      </w:r>
      <w:r w:rsidR="00AF2BC8">
        <w:t xml:space="preserve"> there were an estimated 37,617 patients </w:t>
      </w:r>
      <w:r w:rsidR="00550DCD">
        <w:t xml:space="preserve">from the 10% PBS sample </w:t>
      </w:r>
      <w:r w:rsidR="00AF2BC8">
        <w:t>who were using denosumab</w:t>
      </w:r>
      <w:r w:rsidR="0002615E">
        <w:t>, representing a 3-fold increase from 2014</w:t>
      </w:r>
      <w:r w:rsidR="00A91AF3">
        <w:t xml:space="preserve"> (Table 8)</w:t>
      </w:r>
      <w:r w:rsidR="00AF2BC8">
        <w:t xml:space="preserve">. </w:t>
      </w:r>
      <w:r w:rsidR="00AD2CD9">
        <w:t xml:space="preserve">While the count of prevalent denosumab patients increased </w:t>
      </w:r>
      <w:r w:rsidR="0066502A">
        <w:t>between 2014 and 2018</w:t>
      </w:r>
      <w:r w:rsidR="00E01500">
        <w:t xml:space="preserve"> </w:t>
      </w:r>
      <w:r w:rsidR="00AD2CD9">
        <w:t>among all age groups</w:t>
      </w:r>
      <w:r w:rsidR="00E01500">
        <w:t>,</w:t>
      </w:r>
      <w:r w:rsidR="00AD2CD9">
        <w:t xml:space="preserve"> the </w:t>
      </w:r>
      <w:r w:rsidR="00461CC4">
        <w:t xml:space="preserve">largest increase </w:t>
      </w:r>
      <w:r w:rsidR="00DA2627">
        <w:t xml:space="preserve">in terms of absolute numbers </w:t>
      </w:r>
      <w:r w:rsidR="00461CC4">
        <w:t>was see</w:t>
      </w:r>
      <w:r w:rsidR="00666F39">
        <w:t>n in</w:t>
      </w:r>
      <w:r w:rsidR="00461CC4">
        <w:t xml:space="preserve"> patients aged 70+ </w:t>
      </w:r>
      <w:r w:rsidR="00666F39">
        <w:t>(</w:t>
      </w:r>
      <w:r w:rsidR="00497E43">
        <w:t>3.3-fold</w:t>
      </w:r>
      <w:r w:rsidR="00666F39">
        <w:t xml:space="preserve"> increase)</w:t>
      </w:r>
      <w:r w:rsidR="00461CC4">
        <w:t xml:space="preserve"> and the </w:t>
      </w:r>
      <w:r w:rsidR="00FC6628">
        <w:t>smallest among patients aged 50</w:t>
      </w:r>
      <w:r w:rsidR="0064356B">
        <w:t>–5</w:t>
      </w:r>
      <w:r w:rsidR="00FC6628">
        <w:t xml:space="preserve">9 years </w:t>
      </w:r>
      <w:r w:rsidR="00666F39">
        <w:t>(2.</w:t>
      </w:r>
      <w:r w:rsidR="00AD670B">
        <w:t>4</w:t>
      </w:r>
      <w:r w:rsidR="00666F39">
        <w:t>-fold increase</w:t>
      </w:r>
      <w:r w:rsidR="00986F55">
        <w:t>) (Table 10</w:t>
      </w:r>
      <w:r w:rsidR="008060C9">
        <w:t>).</w:t>
      </w:r>
      <w:r w:rsidR="00202DDE">
        <w:t xml:space="preserve"> </w:t>
      </w:r>
    </w:p>
    <w:p w14:paraId="7469AFFC" w14:textId="03A05AAA" w:rsidR="00812493" w:rsidRDefault="00FB3E2E" w:rsidP="00812493">
      <w:r>
        <w:t>Most patients dispensed denosumab in each year were females aged 70+ years (Figure 1; Table 8).</w:t>
      </w:r>
      <w:r w:rsidR="00497E43">
        <w:t xml:space="preserve"> </w:t>
      </w:r>
      <w:r w:rsidR="00E83AC6">
        <w:t>Females aged 70+ years accounted for 63</w:t>
      </w:r>
      <w:r w:rsidR="0064356B">
        <w:t>–</w:t>
      </w:r>
      <w:r w:rsidR="00E83AC6">
        <w:t>65% of all unique</w:t>
      </w:r>
      <w:r w:rsidR="00FC2414">
        <w:t xml:space="preserve"> patients dispensed denosumab each year.</w:t>
      </w:r>
      <w:r w:rsidR="00E83AC6">
        <w:t xml:space="preserve"> </w:t>
      </w:r>
      <w:r w:rsidR="00497E43">
        <w:t xml:space="preserve">While </w:t>
      </w:r>
      <w:r w:rsidR="00B15377">
        <w:t>significantly more females</w:t>
      </w:r>
      <w:r w:rsidR="00C56C0A">
        <w:t xml:space="preserve"> than males</w:t>
      </w:r>
      <w:r w:rsidR="00B15377">
        <w:t xml:space="preserve"> are dispensed </w:t>
      </w:r>
      <w:r w:rsidR="003D1A48">
        <w:t xml:space="preserve">denosumab </w:t>
      </w:r>
      <w:r w:rsidR="00C56C0A">
        <w:t>each year</w:t>
      </w:r>
      <w:r w:rsidR="003D1A48">
        <w:t xml:space="preserve"> the difference has reduced over time</w:t>
      </w:r>
      <w:r w:rsidR="00C56C0A">
        <w:t xml:space="preserve">; in 2014 </w:t>
      </w:r>
      <w:r w:rsidR="00D6244C">
        <w:t>the ratio of</w:t>
      </w:r>
      <w:r w:rsidR="00ED48AD">
        <w:t xml:space="preserve"> prevalent denosumab</w:t>
      </w:r>
      <w:r w:rsidR="00D6244C">
        <w:t xml:space="preserve"> </w:t>
      </w:r>
      <w:r w:rsidR="00641C30">
        <w:t>women to men was 7.3:1 and by 2018 it was 4.8:1</w:t>
      </w:r>
      <w:r w:rsidR="00E7271A">
        <w:t xml:space="preserve"> indicating that </w:t>
      </w:r>
      <w:r w:rsidR="00400CC0">
        <w:t xml:space="preserve">denosumab use in males </w:t>
      </w:r>
      <w:r w:rsidR="003A308A">
        <w:t>has increased at a greater rate than in females</w:t>
      </w:r>
      <w:r w:rsidR="0099780A">
        <w:t>.</w:t>
      </w:r>
      <w:r w:rsidR="00B15377">
        <w:t xml:space="preserve"> </w:t>
      </w:r>
      <w:r w:rsidR="003A308A">
        <w:t xml:space="preserve">In </w:t>
      </w:r>
      <w:r w:rsidR="003643EA">
        <w:t>fact,</w:t>
      </w:r>
      <w:r w:rsidR="003A308A">
        <w:t xml:space="preserve"> between 2014 and 2018 </w:t>
      </w:r>
      <w:r w:rsidR="00957014">
        <w:t xml:space="preserve">the number of </w:t>
      </w:r>
      <w:r w:rsidR="00AB6F61">
        <w:t xml:space="preserve">male </w:t>
      </w:r>
      <w:r w:rsidR="00957014">
        <w:t xml:space="preserve">prevalent denosumab patients has increased 4.6-fold </w:t>
      </w:r>
      <w:r w:rsidR="005740D1">
        <w:t xml:space="preserve">compared with </w:t>
      </w:r>
      <w:r w:rsidR="00957014">
        <w:t>3-fold</w:t>
      </w:r>
      <w:r w:rsidR="005740D1">
        <w:t xml:space="preserve"> among</w:t>
      </w:r>
      <w:r w:rsidR="00957014">
        <w:t xml:space="preserve"> women</w:t>
      </w:r>
      <w:r w:rsidR="00986F55">
        <w:t xml:space="preserve"> (Table 10</w:t>
      </w:r>
      <w:r w:rsidR="003643EA">
        <w:t>)</w:t>
      </w:r>
      <w:r w:rsidR="00957014">
        <w:t xml:space="preserve">. </w:t>
      </w:r>
    </w:p>
    <w:p w14:paraId="01F10026" w14:textId="12F24C66" w:rsidR="00753496" w:rsidRDefault="00753496" w:rsidP="00812493">
      <w:r>
        <w:rPr>
          <w:noProof/>
        </w:rPr>
        <w:lastRenderedPageBreak/>
        <w:drawing>
          <wp:inline distT="0" distB="0" distL="0" distR="0" wp14:anchorId="04651F65" wp14:editId="7D224930">
            <wp:extent cx="5687695" cy="3133090"/>
            <wp:effectExtent l="0" t="0" r="8255" b="10160"/>
            <wp:docPr id="6" name="Chart 6" title="Figure 1: Number of prevalent patients dispensed denosumab at least once between January 2014 and June 2019, by age-sex groups">
              <a:extLst xmlns:a="http://schemas.openxmlformats.org/drawingml/2006/main">
                <a:ext uri="{FF2B5EF4-FFF2-40B4-BE49-F238E27FC236}">
                  <a16:creationId xmlns:a16="http://schemas.microsoft.com/office/drawing/2014/main" id="{AB33B94A-693D-43F7-9382-038E3D824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9F5FD0" w14:textId="1B5C4445" w:rsidR="00753496" w:rsidRDefault="00753496" w:rsidP="00753496">
      <w:pPr>
        <w:pStyle w:val="Figuretitle"/>
      </w:pPr>
      <w:r>
        <w:t>Figure 1:</w:t>
      </w:r>
      <w:r w:rsidRPr="005D25DF">
        <w:t xml:space="preserve"> Number of </w:t>
      </w:r>
      <w:r>
        <w:t xml:space="preserve">prevalent </w:t>
      </w:r>
      <w:r w:rsidRPr="005D25DF">
        <w:t>patients dispensed denosumab at least once between January 2014 and June 2019, by age-sex groups</w:t>
      </w:r>
    </w:p>
    <w:p w14:paraId="1E2B7646" w14:textId="7BAF1608" w:rsidR="00753496" w:rsidRDefault="00753496" w:rsidP="00812493">
      <w:pPr>
        <w:rPr>
          <w:sz w:val="20"/>
        </w:rPr>
      </w:pPr>
      <w:r w:rsidRPr="00812493">
        <w:rPr>
          <w:sz w:val="20"/>
        </w:rPr>
        <w:t>*Six months of data only</w:t>
      </w:r>
    </w:p>
    <w:p w14:paraId="06ED3A7A" w14:textId="77777777" w:rsidR="00A20430" w:rsidRPr="00812493" w:rsidRDefault="00A20430" w:rsidP="00812493">
      <w:pPr>
        <w:rPr>
          <w:sz w:val="20"/>
        </w:rPr>
      </w:pPr>
    </w:p>
    <w:p w14:paraId="5CBCFE01" w14:textId="661F71B2" w:rsidR="00441314" w:rsidRDefault="00441314" w:rsidP="00441314">
      <w:pPr>
        <w:pStyle w:val="Tabletitle"/>
      </w:pPr>
      <w:r>
        <w:t xml:space="preserve">Table </w:t>
      </w:r>
      <w:r w:rsidR="00986F55">
        <w:t>10</w:t>
      </w:r>
      <w:r>
        <w:t>:</w:t>
      </w:r>
      <w:r w:rsidR="00941ED5">
        <w:t xml:space="preserve"> </w:t>
      </w:r>
      <w:r w:rsidR="005F7D60">
        <w:t>Annual count of prevalent denosumab patients overall, by age, sex and age-sex groups (2014 to June 201</w:t>
      </w:r>
      <w:r w:rsidR="00DD7A7C">
        <w:t>9</w:t>
      </w:r>
      <w:r w:rsidR="005F7D60">
        <w:t>)</w:t>
      </w:r>
    </w:p>
    <w:tbl>
      <w:tblPr>
        <w:tblStyle w:val="TableGrid"/>
        <w:tblW w:w="0" w:type="auto"/>
        <w:tblLayout w:type="fixed"/>
        <w:tblLook w:val="04A0" w:firstRow="1" w:lastRow="0" w:firstColumn="1" w:lastColumn="0" w:noHBand="0" w:noVBand="1"/>
        <w:tblCaption w:val="Table 8: Annual count of prevalent denosumab patients overall, by age, sex and age-sex groups (2014 to June 2019)"/>
      </w:tblPr>
      <w:tblGrid>
        <w:gridCol w:w="1413"/>
        <w:gridCol w:w="992"/>
        <w:gridCol w:w="1429"/>
        <w:gridCol w:w="1278"/>
        <w:gridCol w:w="1120"/>
        <w:gridCol w:w="1436"/>
        <w:gridCol w:w="1279"/>
      </w:tblGrid>
      <w:tr w:rsidR="00A25619" w:rsidRPr="001D0858" w14:paraId="29339251" w14:textId="77777777" w:rsidTr="00D069E4">
        <w:trPr>
          <w:trHeight w:val="20"/>
          <w:tblHeader/>
        </w:trPr>
        <w:tc>
          <w:tcPr>
            <w:tcW w:w="1413" w:type="dxa"/>
            <w:shd w:val="clear" w:color="auto" w:fill="BFBFBF" w:themeFill="background1" w:themeFillShade="BF"/>
          </w:tcPr>
          <w:p w14:paraId="732719CB" w14:textId="77777777" w:rsidR="00A25619" w:rsidRDefault="00A25619" w:rsidP="00D069E4">
            <w:pPr>
              <w:pStyle w:val="Tableheading"/>
              <w:rPr>
                <w:sz w:val="20"/>
                <w:szCs w:val="20"/>
              </w:rPr>
            </w:pPr>
          </w:p>
        </w:tc>
        <w:tc>
          <w:tcPr>
            <w:tcW w:w="992" w:type="dxa"/>
            <w:shd w:val="clear" w:color="auto" w:fill="BFBFBF" w:themeFill="background1" w:themeFillShade="BF"/>
          </w:tcPr>
          <w:p w14:paraId="3E1580CD" w14:textId="58BAD395" w:rsidR="00A25619" w:rsidRPr="001D0858" w:rsidRDefault="00A25619" w:rsidP="00D069E4">
            <w:pPr>
              <w:pStyle w:val="Tableheading"/>
              <w:rPr>
                <w:sz w:val="20"/>
                <w:szCs w:val="20"/>
              </w:rPr>
            </w:pPr>
            <w:r>
              <w:rPr>
                <w:sz w:val="20"/>
                <w:szCs w:val="20"/>
              </w:rPr>
              <w:t>2014</w:t>
            </w:r>
          </w:p>
        </w:tc>
        <w:tc>
          <w:tcPr>
            <w:tcW w:w="1429" w:type="dxa"/>
            <w:shd w:val="clear" w:color="auto" w:fill="BFBFBF" w:themeFill="background1" w:themeFillShade="BF"/>
          </w:tcPr>
          <w:p w14:paraId="59FAFC48" w14:textId="6E708879" w:rsidR="00A25619" w:rsidRPr="001D0858" w:rsidRDefault="00A25619" w:rsidP="00D069E4">
            <w:pPr>
              <w:pStyle w:val="Tableheading"/>
              <w:rPr>
                <w:sz w:val="20"/>
                <w:szCs w:val="20"/>
              </w:rPr>
            </w:pPr>
            <w:r>
              <w:rPr>
                <w:sz w:val="20"/>
                <w:szCs w:val="20"/>
              </w:rPr>
              <w:t>2015</w:t>
            </w:r>
          </w:p>
        </w:tc>
        <w:tc>
          <w:tcPr>
            <w:tcW w:w="1278" w:type="dxa"/>
            <w:shd w:val="clear" w:color="auto" w:fill="BFBFBF" w:themeFill="background1" w:themeFillShade="BF"/>
          </w:tcPr>
          <w:p w14:paraId="0CAD3EC2" w14:textId="00D2C419" w:rsidR="00A25619" w:rsidRPr="001D0858" w:rsidRDefault="00A25619" w:rsidP="00D069E4">
            <w:pPr>
              <w:pStyle w:val="Tableheading"/>
              <w:rPr>
                <w:sz w:val="20"/>
                <w:szCs w:val="20"/>
              </w:rPr>
            </w:pPr>
            <w:r>
              <w:rPr>
                <w:sz w:val="20"/>
                <w:szCs w:val="20"/>
              </w:rPr>
              <w:t>2016</w:t>
            </w:r>
          </w:p>
        </w:tc>
        <w:tc>
          <w:tcPr>
            <w:tcW w:w="1120" w:type="dxa"/>
            <w:shd w:val="clear" w:color="auto" w:fill="BFBFBF" w:themeFill="background1" w:themeFillShade="BF"/>
          </w:tcPr>
          <w:p w14:paraId="6D4D61D4" w14:textId="5865A465" w:rsidR="00A25619" w:rsidRPr="001D0858" w:rsidRDefault="00A25619" w:rsidP="00D069E4">
            <w:pPr>
              <w:pStyle w:val="Tableheading"/>
              <w:rPr>
                <w:sz w:val="20"/>
                <w:szCs w:val="20"/>
              </w:rPr>
            </w:pPr>
            <w:r>
              <w:rPr>
                <w:sz w:val="20"/>
                <w:szCs w:val="20"/>
              </w:rPr>
              <w:t>2017</w:t>
            </w:r>
          </w:p>
        </w:tc>
        <w:tc>
          <w:tcPr>
            <w:tcW w:w="1436" w:type="dxa"/>
            <w:shd w:val="clear" w:color="auto" w:fill="BFBFBF" w:themeFill="background1" w:themeFillShade="BF"/>
          </w:tcPr>
          <w:p w14:paraId="4CAEFB8D" w14:textId="67F41F73" w:rsidR="00A25619" w:rsidRPr="001D0858" w:rsidRDefault="00A25619" w:rsidP="00D069E4">
            <w:pPr>
              <w:pStyle w:val="Tableheading"/>
              <w:rPr>
                <w:sz w:val="20"/>
                <w:szCs w:val="20"/>
              </w:rPr>
            </w:pPr>
            <w:r>
              <w:rPr>
                <w:sz w:val="20"/>
                <w:szCs w:val="20"/>
              </w:rPr>
              <w:t>2018</w:t>
            </w:r>
          </w:p>
        </w:tc>
        <w:tc>
          <w:tcPr>
            <w:tcW w:w="1279" w:type="dxa"/>
            <w:shd w:val="clear" w:color="auto" w:fill="BFBFBF" w:themeFill="background1" w:themeFillShade="BF"/>
          </w:tcPr>
          <w:p w14:paraId="6FF51BAC" w14:textId="71C788C8" w:rsidR="00A25619" w:rsidRPr="001D0858" w:rsidRDefault="00A25619" w:rsidP="00D069E4">
            <w:pPr>
              <w:pStyle w:val="Tableheading"/>
              <w:rPr>
                <w:sz w:val="20"/>
                <w:szCs w:val="20"/>
              </w:rPr>
            </w:pPr>
            <w:r>
              <w:rPr>
                <w:sz w:val="20"/>
                <w:szCs w:val="20"/>
              </w:rPr>
              <w:t>To June 2019</w:t>
            </w:r>
            <w:r w:rsidR="003B2139">
              <w:rPr>
                <w:sz w:val="20"/>
                <w:szCs w:val="20"/>
              </w:rPr>
              <w:t>*</w:t>
            </w:r>
          </w:p>
        </w:tc>
      </w:tr>
      <w:tr w:rsidR="000175ED" w:rsidRPr="001D0858" w14:paraId="7E5F4C13" w14:textId="77777777" w:rsidTr="00D069E4">
        <w:trPr>
          <w:trHeight w:val="20"/>
        </w:trPr>
        <w:tc>
          <w:tcPr>
            <w:tcW w:w="1413" w:type="dxa"/>
          </w:tcPr>
          <w:p w14:paraId="3A80F894" w14:textId="77777777" w:rsidR="000175ED" w:rsidRPr="00C11A25" w:rsidRDefault="000175ED" w:rsidP="000175ED">
            <w:pPr>
              <w:pStyle w:val="Tableheading"/>
              <w:rPr>
                <w:rFonts w:cstheme="minorHAnsi"/>
                <w:sz w:val="20"/>
                <w:szCs w:val="20"/>
              </w:rPr>
            </w:pPr>
            <w:r w:rsidRPr="00C11A25">
              <w:rPr>
                <w:rFonts w:cstheme="minorHAnsi"/>
                <w:sz w:val="20"/>
                <w:szCs w:val="20"/>
              </w:rPr>
              <w:t>Total</w:t>
            </w:r>
          </w:p>
        </w:tc>
        <w:tc>
          <w:tcPr>
            <w:tcW w:w="992" w:type="dxa"/>
          </w:tcPr>
          <w:p w14:paraId="00CD26BA" w14:textId="23B6B46F" w:rsidR="000175ED" w:rsidRPr="000175ED" w:rsidRDefault="000175ED" w:rsidP="000175ED">
            <w:pPr>
              <w:pStyle w:val="Tableheading"/>
              <w:rPr>
                <w:rFonts w:cstheme="minorHAnsi"/>
                <w:b w:val="0"/>
                <w:sz w:val="20"/>
                <w:szCs w:val="20"/>
              </w:rPr>
            </w:pPr>
            <w:r w:rsidRPr="000175ED">
              <w:rPr>
                <w:rFonts w:cstheme="minorHAnsi"/>
                <w:b w:val="0"/>
                <w:sz w:val="20"/>
                <w:szCs w:val="20"/>
              </w:rPr>
              <w:t>11</w:t>
            </w:r>
            <w:r>
              <w:rPr>
                <w:rFonts w:cstheme="minorHAnsi"/>
                <w:b w:val="0"/>
                <w:sz w:val="20"/>
                <w:szCs w:val="20"/>
              </w:rPr>
              <w:t>,</w:t>
            </w:r>
            <w:r w:rsidRPr="000175ED">
              <w:rPr>
                <w:rFonts w:cstheme="minorHAnsi"/>
                <w:b w:val="0"/>
                <w:sz w:val="20"/>
                <w:szCs w:val="20"/>
              </w:rPr>
              <w:t>790</w:t>
            </w:r>
          </w:p>
        </w:tc>
        <w:tc>
          <w:tcPr>
            <w:tcW w:w="1429" w:type="dxa"/>
          </w:tcPr>
          <w:p w14:paraId="595362B1" w14:textId="3334C351" w:rsidR="000175ED" w:rsidRPr="000175ED" w:rsidRDefault="000175ED" w:rsidP="000175ED">
            <w:pPr>
              <w:pStyle w:val="Tableheading"/>
              <w:rPr>
                <w:rFonts w:cstheme="minorHAnsi"/>
                <w:b w:val="0"/>
                <w:sz w:val="20"/>
                <w:szCs w:val="20"/>
              </w:rPr>
            </w:pPr>
            <w:r w:rsidRPr="000175ED">
              <w:rPr>
                <w:rFonts w:cstheme="minorHAnsi"/>
                <w:b w:val="0"/>
                <w:sz w:val="20"/>
                <w:szCs w:val="20"/>
              </w:rPr>
              <w:t>18</w:t>
            </w:r>
            <w:r>
              <w:rPr>
                <w:rFonts w:cstheme="minorHAnsi"/>
                <w:b w:val="0"/>
                <w:sz w:val="20"/>
                <w:szCs w:val="20"/>
              </w:rPr>
              <w:t>,</w:t>
            </w:r>
            <w:r w:rsidRPr="000175ED">
              <w:rPr>
                <w:rFonts w:cstheme="minorHAnsi"/>
                <w:b w:val="0"/>
                <w:sz w:val="20"/>
                <w:szCs w:val="20"/>
              </w:rPr>
              <w:t>273</w:t>
            </w:r>
          </w:p>
        </w:tc>
        <w:tc>
          <w:tcPr>
            <w:tcW w:w="1278" w:type="dxa"/>
          </w:tcPr>
          <w:p w14:paraId="6EFE182F" w14:textId="0A35CEB9" w:rsidR="000175ED" w:rsidRPr="000175ED" w:rsidRDefault="000175ED" w:rsidP="000175ED">
            <w:pPr>
              <w:pStyle w:val="Tableheading"/>
              <w:rPr>
                <w:rFonts w:cstheme="minorHAnsi"/>
                <w:b w:val="0"/>
                <w:sz w:val="20"/>
                <w:szCs w:val="20"/>
              </w:rPr>
            </w:pPr>
            <w:r w:rsidRPr="000175ED">
              <w:rPr>
                <w:rFonts w:cstheme="minorHAnsi"/>
                <w:b w:val="0"/>
                <w:sz w:val="20"/>
                <w:szCs w:val="20"/>
              </w:rPr>
              <w:t>24</w:t>
            </w:r>
            <w:r>
              <w:rPr>
                <w:rFonts w:cstheme="minorHAnsi"/>
                <w:b w:val="0"/>
                <w:sz w:val="20"/>
                <w:szCs w:val="20"/>
              </w:rPr>
              <w:t>,</w:t>
            </w:r>
            <w:r w:rsidRPr="000175ED">
              <w:rPr>
                <w:rFonts w:cstheme="minorHAnsi"/>
                <w:b w:val="0"/>
                <w:sz w:val="20"/>
                <w:szCs w:val="20"/>
              </w:rPr>
              <w:t>778</w:t>
            </w:r>
          </w:p>
        </w:tc>
        <w:tc>
          <w:tcPr>
            <w:tcW w:w="1120" w:type="dxa"/>
          </w:tcPr>
          <w:p w14:paraId="24F2C05B" w14:textId="4D484FF2" w:rsidR="000175ED" w:rsidRPr="000175ED" w:rsidRDefault="000175ED" w:rsidP="000175ED">
            <w:pPr>
              <w:pStyle w:val="Tableheading"/>
              <w:rPr>
                <w:rFonts w:cstheme="minorHAnsi"/>
                <w:b w:val="0"/>
                <w:sz w:val="20"/>
                <w:szCs w:val="20"/>
              </w:rPr>
            </w:pPr>
            <w:r w:rsidRPr="000175ED">
              <w:rPr>
                <w:rFonts w:cstheme="minorHAnsi"/>
                <w:b w:val="0"/>
                <w:sz w:val="20"/>
                <w:szCs w:val="20"/>
              </w:rPr>
              <w:t>31</w:t>
            </w:r>
            <w:r>
              <w:rPr>
                <w:rFonts w:cstheme="minorHAnsi"/>
                <w:b w:val="0"/>
                <w:sz w:val="20"/>
                <w:szCs w:val="20"/>
              </w:rPr>
              <w:t>,</w:t>
            </w:r>
            <w:r w:rsidRPr="000175ED">
              <w:rPr>
                <w:rFonts w:cstheme="minorHAnsi"/>
                <w:b w:val="0"/>
                <w:sz w:val="20"/>
                <w:szCs w:val="20"/>
              </w:rPr>
              <w:t>574</w:t>
            </w:r>
          </w:p>
        </w:tc>
        <w:tc>
          <w:tcPr>
            <w:tcW w:w="1436" w:type="dxa"/>
          </w:tcPr>
          <w:p w14:paraId="0FCA3183" w14:textId="6A2FCE5A" w:rsidR="000175ED" w:rsidRPr="000175ED" w:rsidRDefault="000175ED" w:rsidP="000175ED">
            <w:pPr>
              <w:pStyle w:val="Tableheading"/>
              <w:rPr>
                <w:rFonts w:cstheme="minorHAnsi"/>
                <w:b w:val="0"/>
                <w:sz w:val="20"/>
                <w:szCs w:val="20"/>
              </w:rPr>
            </w:pPr>
            <w:r w:rsidRPr="000175ED">
              <w:rPr>
                <w:rFonts w:cstheme="minorHAnsi"/>
                <w:b w:val="0"/>
                <w:sz w:val="20"/>
                <w:szCs w:val="20"/>
              </w:rPr>
              <w:t>37</w:t>
            </w:r>
            <w:r>
              <w:rPr>
                <w:rFonts w:cstheme="minorHAnsi"/>
                <w:b w:val="0"/>
                <w:sz w:val="20"/>
                <w:szCs w:val="20"/>
              </w:rPr>
              <w:t>,</w:t>
            </w:r>
            <w:r w:rsidRPr="000175ED">
              <w:rPr>
                <w:rFonts w:cstheme="minorHAnsi"/>
                <w:b w:val="0"/>
                <w:sz w:val="20"/>
                <w:szCs w:val="20"/>
              </w:rPr>
              <w:t>617</w:t>
            </w:r>
          </w:p>
        </w:tc>
        <w:tc>
          <w:tcPr>
            <w:tcW w:w="1279" w:type="dxa"/>
          </w:tcPr>
          <w:p w14:paraId="5ADA28E2" w14:textId="470C51EC" w:rsidR="000175ED" w:rsidRPr="000175ED" w:rsidRDefault="000175ED" w:rsidP="000175ED">
            <w:pPr>
              <w:pStyle w:val="Tableheading"/>
              <w:rPr>
                <w:rFonts w:cstheme="minorHAnsi"/>
                <w:b w:val="0"/>
                <w:sz w:val="20"/>
                <w:szCs w:val="20"/>
              </w:rPr>
            </w:pPr>
            <w:r w:rsidRPr="000175ED">
              <w:rPr>
                <w:rFonts w:cstheme="minorHAnsi"/>
                <w:b w:val="0"/>
                <w:sz w:val="20"/>
                <w:szCs w:val="20"/>
              </w:rPr>
              <w:t>34</w:t>
            </w:r>
            <w:r>
              <w:rPr>
                <w:rFonts w:cstheme="minorHAnsi"/>
                <w:b w:val="0"/>
                <w:sz w:val="20"/>
                <w:szCs w:val="20"/>
              </w:rPr>
              <w:t>,</w:t>
            </w:r>
            <w:r w:rsidRPr="000175ED">
              <w:rPr>
                <w:rFonts w:cstheme="minorHAnsi"/>
                <w:b w:val="0"/>
                <w:sz w:val="20"/>
                <w:szCs w:val="20"/>
              </w:rPr>
              <w:t>123</w:t>
            </w:r>
          </w:p>
        </w:tc>
      </w:tr>
      <w:tr w:rsidR="00A25619" w:rsidRPr="001D0858" w14:paraId="1330B063" w14:textId="77777777" w:rsidTr="00D069E4">
        <w:trPr>
          <w:trHeight w:val="20"/>
        </w:trPr>
        <w:tc>
          <w:tcPr>
            <w:tcW w:w="8947" w:type="dxa"/>
            <w:gridSpan w:val="7"/>
            <w:shd w:val="clear" w:color="auto" w:fill="D9D9D9" w:themeFill="background1" w:themeFillShade="D9"/>
          </w:tcPr>
          <w:p w14:paraId="28F67D46" w14:textId="77777777" w:rsidR="00A25619" w:rsidRPr="00C11A25" w:rsidRDefault="00A25619" w:rsidP="00D069E4">
            <w:pPr>
              <w:pStyle w:val="Tableheading"/>
              <w:rPr>
                <w:rFonts w:cstheme="minorHAnsi"/>
                <w:sz w:val="20"/>
                <w:szCs w:val="20"/>
              </w:rPr>
            </w:pPr>
            <w:r w:rsidRPr="00C11A25">
              <w:rPr>
                <w:rFonts w:cstheme="minorHAnsi"/>
                <w:sz w:val="20"/>
                <w:szCs w:val="20"/>
              </w:rPr>
              <w:t>Age group (10 years)</w:t>
            </w:r>
          </w:p>
        </w:tc>
      </w:tr>
      <w:tr w:rsidR="00BE677F" w:rsidRPr="001D0858" w14:paraId="584B9B46" w14:textId="77777777" w:rsidTr="00D069E4">
        <w:trPr>
          <w:trHeight w:val="20"/>
        </w:trPr>
        <w:tc>
          <w:tcPr>
            <w:tcW w:w="1413" w:type="dxa"/>
          </w:tcPr>
          <w:p w14:paraId="6A4F711C" w14:textId="6B438438" w:rsidR="00BE677F" w:rsidRPr="00C11A25" w:rsidRDefault="00BE677F" w:rsidP="00BE677F">
            <w:pPr>
              <w:pStyle w:val="Tableheading"/>
              <w:rPr>
                <w:rFonts w:cstheme="minorHAnsi"/>
                <w:sz w:val="20"/>
                <w:szCs w:val="20"/>
              </w:rPr>
            </w:pPr>
            <w:r>
              <w:rPr>
                <w:rFonts w:cstheme="minorHAnsi"/>
                <w:sz w:val="20"/>
                <w:szCs w:val="20"/>
              </w:rPr>
              <w:t>&lt;50</w:t>
            </w:r>
          </w:p>
        </w:tc>
        <w:tc>
          <w:tcPr>
            <w:tcW w:w="992" w:type="dxa"/>
          </w:tcPr>
          <w:p w14:paraId="04B33124" w14:textId="3DEC6349" w:rsidR="00BE677F" w:rsidRPr="000F2789" w:rsidRDefault="00BE677F" w:rsidP="00BE677F">
            <w:pPr>
              <w:pStyle w:val="Tableheading"/>
              <w:rPr>
                <w:rFonts w:cstheme="minorHAnsi"/>
                <w:b w:val="0"/>
                <w:sz w:val="20"/>
                <w:szCs w:val="20"/>
              </w:rPr>
            </w:pPr>
            <w:r w:rsidRPr="004B4004">
              <w:rPr>
                <w:rFonts w:cstheme="minorHAnsi"/>
                <w:b w:val="0"/>
                <w:sz w:val="20"/>
                <w:szCs w:val="20"/>
              </w:rPr>
              <w:t>144</w:t>
            </w:r>
          </w:p>
        </w:tc>
        <w:tc>
          <w:tcPr>
            <w:tcW w:w="1429" w:type="dxa"/>
          </w:tcPr>
          <w:p w14:paraId="6970F01E" w14:textId="30A9AFFA" w:rsidR="00BE677F" w:rsidRPr="000F2789" w:rsidRDefault="00BE677F" w:rsidP="00BE677F">
            <w:pPr>
              <w:pStyle w:val="Tableheading"/>
              <w:rPr>
                <w:rFonts w:cstheme="minorHAnsi"/>
                <w:b w:val="0"/>
                <w:sz w:val="20"/>
                <w:szCs w:val="20"/>
              </w:rPr>
            </w:pPr>
            <w:r w:rsidRPr="004B4004">
              <w:rPr>
                <w:rFonts w:cstheme="minorHAnsi"/>
                <w:b w:val="0"/>
                <w:sz w:val="20"/>
                <w:szCs w:val="20"/>
              </w:rPr>
              <w:t>208</w:t>
            </w:r>
          </w:p>
        </w:tc>
        <w:tc>
          <w:tcPr>
            <w:tcW w:w="1278" w:type="dxa"/>
          </w:tcPr>
          <w:p w14:paraId="2CB89806" w14:textId="78D0D618" w:rsidR="00BE677F" w:rsidRPr="000F2789" w:rsidRDefault="00BE677F" w:rsidP="00BE677F">
            <w:pPr>
              <w:pStyle w:val="Tableheading"/>
              <w:rPr>
                <w:rFonts w:cstheme="minorHAnsi"/>
                <w:b w:val="0"/>
                <w:sz w:val="20"/>
                <w:szCs w:val="20"/>
              </w:rPr>
            </w:pPr>
            <w:r w:rsidRPr="004B4004">
              <w:rPr>
                <w:rFonts w:cstheme="minorHAnsi"/>
                <w:b w:val="0"/>
                <w:sz w:val="20"/>
                <w:szCs w:val="20"/>
              </w:rPr>
              <w:t>273</w:t>
            </w:r>
          </w:p>
        </w:tc>
        <w:tc>
          <w:tcPr>
            <w:tcW w:w="1120" w:type="dxa"/>
          </w:tcPr>
          <w:p w14:paraId="40ACF1F3" w14:textId="7EB25379" w:rsidR="00BE677F" w:rsidRPr="000F2789" w:rsidRDefault="00BE677F" w:rsidP="00BE677F">
            <w:pPr>
              <w:pStyle w:val="Tableheading"/>
              <w:rPr>
                <w:rFonts w:cstheme="minorHAnsi"/>
                <w:b w:val="0"/>
                <w:sz w:val="20"/>
                <w:szCs w:val="20"/>
              </w:rPr>
            </w:pPr>
            <w:r w:rsidRPr="004B4004">
              <w:rPr>
                <w:rFonts w:cstheme="minorHAnsi"/>
                <w:b w:val="0"/>
                <w:sz w:val="20"/>
                <w:szCs w:val="20"/>
              </w:rPr>
              <w:t>331</w:t>
            </w:r>
          </w:p>
        </w:tc>
        <w:tc>
          <w:tcPr>
            <w:tcW w:w="1436" w:type="dxa"/>
          </w:tcPr>
          <w:p w14:paraId="45CAD3F7" w14:textId="1A39336F" w:rsidR="00BE677F" w:rsidRPr="000F2789" w:rsidRDefault="00BE677F" w:rsidP="00BE677F">
            <w:pPr>
              <w:pStyle w:val="Tableheading"/>
              <w:rPr>
                <w:rFonts w:cstheme="minorHAnsi"/>
                <w:b w:val="0"/>
                <w:sz w:val="20"/>
                <w:szCs w:val="20"/>
              </w:rPr>
            </w:pPr>
            <w:r w:rsidRPr="004B4004">
              <w:rPr>
                <w:rFonts w:cstheme="minorHAnsi"/>
                <w:b w:val="0"/>
                <w:sz w:val="20"/>
                <w:szCs w:val="20"/>
              </w:rPr>
              <w:t>391</w:t>
            </w:r>
          </w:p>
        </w:tc>
        <w:tc>
          <w:tcPr>
            <w:tcW w:w="1279" w:type="dxa"/>
          </w:tcPr>
          <w:p w14:paraId="113278A9" w14:textId="1F76E126" w:rsidR="00BE677F" w:rsidRPr="000F2789" w:rsidRDefault="00BE677F" w:rsidP="00BE677F">
            <w:pPr>
              <w:pStyle w:val="Tableheading"/>
              <w:rPr>
                <w:rFonts w:cstheme="minorHAnsi"/>
                <w:b w:val="0"/>
                <w:sz w:val="20"/>
                <w:szCs w:val="20"/>
              </w:rPr>
            </w:pPr>
            <w:r w:rsidRPr="004B4004">
              <w:rPr>
                <w:rFonts w:cstheme="minorHAnsi"/>
                <w:b w:val="0"/>
                <w:sz w:val="20"/>
                <w:szCs w:val="20"/>
              </w:rPr>
              <w:t>278</w:t>
            </w:r>
          </w:p>
        </w:tc>
      </w:tr>
      <w:tr w:rsidR="00BE677F" w:rsidRPr="001D0858" w14:paraId="27FC9AAE" w14:textId="77777777" w:rsidTr="00D069E4">
        <w:trPr>
          <w:trHeight w:val="20"/>
        </w:trPr>
        <w:tc>
          <w:tcPr>
            <w:tcW w:w="1413" w:type="dxa"/>
          </w:tcPr>
          <w:p w14:paraId="4DEB8428" w14:textId="77777777" w:rsidR="00BE677F" w:rsidRPr="00C11A25" w:rsidRDefault="00BE677F" w:rsidP="00BE677F">
            <w:pPr>
              <w:pStyle w:val="Tableheading"/>
              <w:rPr>
                <w:rFonts w:cstheme="minorHAnsi"/>
                <w:sz w:val="20"/>
                <w:szCs w:val="20"/>
              </w:rPr>
            </w:pPr>
            <w:r w:rsidRPr="00C11A25">
              <w:rPr>
                <w:rFonts w:cstheme="minorHAnsi"/>
                <w:sz w:val="20"/>
                <w:szCs w:val="20"/>
              </w:rPr>
              <w:t>50–59</w:t>
            </w:r>
          </w:p>
        </w:tc>
        <w:tc>
          <w:tcPr>
            <w:tcW w:w="992" w:type="dxa"/>
          </w:tcPr>
          <w:p w14:paraId="5F39C33A" w14:textId="2EA82EA5" w:rsidR="00BE677F" w:rsidRPr="000F2789" w:rsidRDefault="00BE677F" w:rsidP="00BE677F">
            <w:pPr>
              <w:pStyle w:val="Tableheading"/>
              <w:rPr>
                <w:rFonts w:cstheme="minorHAnsi"/>
                <w:b w:val="0"/>
                <w:sz w:val="20"/>
                <w:szCs w:val="20"/>
              </w:rPr>
            </w:pPr>
            <w:r w:rsidRPr="004B4004">
              <w:rPr>
                <w:rFonts w:cstheme="minorHAnsi"/>
                <w:b w:val="0"/>
                <w:sz w:val="20"/>
                <w:szCs w:val="20"/>
              </w:rPr>
              <w:t>720</w:t>
            </w:r>
          </w:p>
        </w:tc>
        <w:tc>
          <w:tcPr>
            <w:tcW w:w="1429" w:type="dxa"/>
          </w:tcPr>
          <w:p w14:paraId="460379F6" w14:textId="0512407E" w:rsidR="00BE677F" w:rsidRPr="000F2789" w:rsidRDefault="00BE677F" w:rsidP="00BE677F">
            <w:pPr>
              <w:pStyle w:val="Tableheading"/>
              <w:rPr>
                <w:rFonts w:cstheme="minorHAnsi"/>
                <w:b w:val="0"/>
                <w:sz w:val="20"/>
                <w:szCs w:val="20"/>
              </w:rPr>
            </w:pPr>
            <w:r w:rsidRPr="004B4004">
              <w:rPr>
                <w:rFonts w:cstheme="minorHAnsi"/>
                <w:b w:val="0"/>
                <w:sz w:val="20"/>
                <w:szCs w:val="20"/>
              </w:rPr>
              <w:t>1,033</w:t>
            </w:r>
          </w:p>
        </w:tc>
        <w:tc>
          <w:tcPr>
            <w:tcW w:w="1278" w:type="dxa"/>
          </w:tcPr>
          <w:p w14:paraId="0E6AAFCE" w14:textId="2840DF5E" w:rsidR="00BE677F" w:rsidRPr="000F2789" w:rsidRDefault="00BE677F" w:rsidP="00BE677F">
            <w:pPr>
              <w:pStyle w:val="Tableheading"/>
              <w:rPr>
                <w:rFonts w:cstheme="minorHAnsi"/>
                <w:b w:val="0"/>
                <w:sz w:val="20"/>
                <w:szCs w:val="20"/>
              </w:rPr>
            </w:pPr>
            <w:r w:rsidRPr="004B4004">
              <w:rPr>
                <w:rFonts w:cstheme="minorHAnsi"/>
                <w:b w:val="0"/>
                <w:sz w:val="20"/>
                <w:szCs w:val="20"/>
              </w:rPr>
              <w:t>1,379</w:t>
            </w:r>
          </w:p>
        </w:tc>
        <w:tc>
          <w:tcPr>
            <w:tcW w:w="1120" w:type="dxa"/>
          </w:tcPr>
          <w:p w14:paraId="2DE738B8" w14:textId="5BC5D876" w:rsidR="00BE677F" w:rsidRPr="000F2789" w:rsidRDefault="00BE677F" w:rsidP="00BE677F">
            <w:pPr>
              <w:pStyle w:val="Tableheading"/>
              <w:rPr>
                <w:rFonts w:cstheme="minorHAnsi"/>
                <w:b w:val="0"/>
                <w:sz w:val="20"/>
                <w:szCs w:val="20"/>
              </w:rPr>
            </w:pPr>
            <w:r w:rsidRPr="004B4004">
              <w:rPr>
                <w:rFonts w:cstheme="minorHAnsi"/>
                <w:b w:val="0"/>
                <w:sz w:val="20"/>
                <w:szCs w:val="20"/>
              </w:rPr>
              <w:t>1,601</w:t>
            </w:r>
          </w:p>
        </w:tc>
        <w:tc>
          <w:tcPr>
            <w:tcW w:w="1436" w:type="dxa"/>
          </w:tcPr>
          <w:p w14:paraId="1A77BE3E" w14:textId="500E135D" w:rsidR="00BE677F" w:rsidRPr="000F2789" w:rsidRDefault="00BE677F" w:rsidP="00BE677F">
            <w:pPr>
              <w:pStyle w:val="Tableheading"/>
              <w:rPr>
                <w:rFonts w:cstheme="minorHAnsi"/>
                <w:b w:val="0"/>
                <w:sz w:val="20"/>
                <w:szCs w:val="20"/>
              </w:rPr>
            </w:pPr>
            <w:r w:rsidRPr="004B4004">
              <w:rPr>
                <w:rFonts w:cstheme="minorHAnsi"/>
                <w:b w:val="0"/>
                <w:sz w:val="20"/>
                <w:szCs w:val="20"/>
              </w:rPr>
              <w:t>1,701</w:t>
            </w:r>
          </w:p>
        </w:tc>
        <w:tc>
          <w:tcPr>
            <w:tcW w:w="1279" w:type="dxa"/>
          </w:tcPr>
          <w:p w14:paraId="7ECA0A5D" w14:textId="4709B139" w:rsidR="00BE677F" w:rsidRPr="000F2789" w:rsidRDefault="00BE677F" w:rsidP="00BE677F">
            <w:pPr>
              <w:pStyle w:val="Tableheading"/>
              <w:rPr>
                <w:rFonts w:cstheme="minorHAnsi"/>
                <w:b w:val="0"/>
                <w:sz w:val="20"/>
                <w:szCs w:val="20"/>
              </w:rPr>
            </w:pPr>
            <w:r w:rsidRPr="004B4004">
              <w:rPr>
                <w:rFonts w:cstheme="minorHAnsi"/>
                <w:b w:val="0"/>
                <w:sz w:val="20"/>
                <w:szCs w:val="20"/>
              </w:rPr>
              <w:t>1,290</w:t>
            </w:r>
          </w:p>
        </w:tc>
      </w:tr>
      <w:tr w:rsidR="00BE677F" w:rsidRPr="001D0858" w14:paraId="682CDA02" w14:textId="77777777" w:rsidTr="00D069E4">
        <w:trPr>
          <w:trHeight w:val="20"/>
        </w:trPr>
        <w:tc>
          <w:tcPr>
            <w:tcW w:w="1413" w:type="dxa"/>
          </w:tcPr>
          <w:p w14:paraId="20C6D9A8" w14:textId="77777777" w:rsidR="00BE677F" w:rsidRPr="00C11A25" w:rsidRDefault="00BE677F" w:rsidP="00BE677F">
            <w:pPr>
              <w:pStyle w:val="Tableheading"/>
              <w:rPr>
                <w:rFonts w:cstheme="minorHAnsi"/>
                <w:sz w:val="20"/>
                <w:szCs w:val="20"/>
              </w:rPr>
            </w:pPr>
            <w:r w:rsidRPr="00C11A25">
              <w:rPr>
                <w:rFonts w:cstheme="minorHAnsi"/>
                <w:sz w:val="20"/>
                <w:szCs w:val="20"/>
              </w:rPr>
              <w:t>60–69</w:t>
            </w:r>
          </w:p>
        </w:tc>
        <w:tc>
          <w:tcPr>
            <w:tcW w:w="992" w:type="dxa"/>
          </w:tcPr>
          <w:p w14:paraId="0798D0B6" w14:textId="59E0BAC3" w:rsidR="00BE677F" w:rsidRPr="000F2789" w:rsidRDefault="00BE677F" w:rsidP="00BE677F">
            <w:pPr>
              <w:pStyle w:val="Tableheading"/>
              <w:rPr>
                <w:rFonts w:cstheme="minorHAnsi"/>
                <w:b w:val="0"/>
                <w:sz w:val="20"/>
                <w:szCs w:val="20"/>
              </w:rPr>
            </w:pPr>
            <w:r w:rsidRPr="004B4004">
              <w:rPr>
                <w:rFonts w:cstheme="minorHAnsi"/>
                <w:b w:val="0"/>
                <w:sz w:val="20"/>
                <w:szCs w:val="20"/>
              </w:rPr>
              <w:t>2,196</w:t>
            </w:r>
          </w:p>
        </w:tc>
        <w:tc>
          <w:tcPr>
            <w:tcW w:w="1429" w:type="dxa"/>
          </w:tcPr>
          <w:p w14:paraId="0C8B7EF5" w14:textId="1D69A9A0" w:rsidR="00BE677F" w:rsidRPr="000F2789" w:rsidRDefault="00BE677F" w:rsidP="00BE677F">
            <w:pPr>
              <w:pStyle w:val="Tableheading"/>
              <w:rPr>
                <w:rFonts w:cstheme="minorHAnsi"/>
                <w:b w:val="0"/>
                <w:sz w:val="20"/>
                <w:szCs w:val="20"/>
              </w:rPr>
            </w:pPr>
            <w:r w:rsidRPr="004B4004">
              <w:rPr>
                <w:rFonts w:cstheme="minorHAnsi"/>
                <w:b w:val="0"/>
                <w:sz w:val="20"/>
                <w:szCs w:val="20"/>
              </w:rPr>
              <w:t>3,394</w:t>
            </w:r>
          </w:p>
        </w:tc>
        <w:tc>
          <w:tcPr>
            <w:tcW w:w="1278" w:type="dxa"/>
          </w:tcPr>
          <w:p w14:paraId="5E923041" w14:textId="799D3058" w:rsidR="00BE677F" w:rsidRPr="000F2789" w:rsidRDefault="00BE677F" w:rsidP="00BE677F">
            <w:pPr>
              <w:pStyle w:val="Tableheading"/>
              <w:rPr>
                <w:rFonts w:cstheme="minorHAnsi"/>
                <w:b w:val="0"/>
                <w:sz w:val="20"/>
                <w:szCs w:val="20"/>
              </w:rPr>
            </w:pPr>
            <w:r w:rsidRPr="004B4004">
              <w:rPr>
                <w:rFonts w:cstheme="minorHAnsi"/>
                <w:b w:val="0"/>
                <w:sz w:val="20"/>
                <w:szCs w:val="20"/>
              </w:rPr>
              <w:t>4,486</w:t>
            </w:r>
          </w:p>
        </w:tc>
        <w:tc>
          <w:tcPr>
            <w:tcW w:w="1120" w:type="dxa"/>
          </w:tcPr>
          <w:p w14:paraId="295210BF" w14:textId="1E549C47" w:rsidR="00BE677F" w:rsidRPr="000F2789" w:rsidRDefault="00BE677F" w:rsidP="00BE677F">
            <w:pPr>
              <w:pStyle w:val="Tableheading"/>
              <w:rPr>
                <w:rFonts w:cstheme="minorHAnsi"/>
                <w:b w:val="0"/>
                <w:sz w:val="20"/>
                <w:szCs w:val="20"/>
              </w:rPr>
            </w:pPr>
            <w:r w:rsidRPr="004B4004">
              <w:rPr>
                <w:rFonts w:cstheme="minorHAnsi"/>
                <w:b w:val="0"/>
                <w:sz w:val="20"/>
                <w:szCs w:val="20"/>
              </w:rPr>
              <w:t>5,509</w:t>
            </w:r>
          </w:p>
        </w:tc>
        <w:tc>
          <w:tcPr>
            <w:tcW w:w="1436" w:type="dxa"/>
          </w:tcPr>
          <w:p w14:paraId="4C592EC7" w14:textId="2EFC1075" w:rsidR="00BE677F" w:rsidRPr="000F2789" w:rsidRDefault="00BE677F" w:rsidP="00BE677F">
            <w:pPr>
              <w:pStyle w:val="Tableheading"/>
              <w:rPr>
                <w:rFonts w:cstheme="minorHAnsi"/>
                <w:b w:val="0"/>
                <w:sz w:val="20"/>
                <w:szCs w:val="20"/>
              </w:rPr>
            </w:pPr>
            <w:r w:rsidRPr="004B4004">
              <w:rPr>
                <w:rFonts w:cstheme="minorHAnsi"/>
                <w:b w:val="0"/>
                <w:sz w:val="20"/>
                <w:szCs w:val="20"/>
              </w:rPr>
              <w:t>6,412</w:t>
            </w:r>
          </w:p>
        </w:tc>
        <w:tc>
          <w:tcPr>
            <w:tcW w:w="1279" w:type="dxa"/>
          </w:tcPr>
          <w:p w14:paraId="14645566" w14:textId="171028FB" w:rsidR="00BE677F" w:rsidRPr="000F2789" w:rsidRDefault="00BE677F" w:rsidP="00BE677F">
            <w:pPr>
              <w:pStyle w:val="Tableheading"/>
              <w:rPr>
                <w:rFonts w:cstheme="minorHAnsi"/>
                <w:b w:val="0"/>
                <w:sz w:val="20"/>
                <w:szCs w:val="20"/>
              </w:rPr>
            </w:pPr>
            <w:r w:rsidRPr="004B4004">
              <w:rPr>
                <w:rFonts w:cstheme="minorHAnsi"/>
                <w:b w:val="0"/>
                <w:sz w:val="20"/>
                <w:szCs w:val="20"/>
              </w:rPr>
              <w:t>5,533</w:t>
            </w:r>
          </w:p>
        </w:tc>
      </w:tr>
      <w:tr w:rsidR="00BE677F" w:rsidRPr="001D0858" w14:paraId="57077DD3" w14:textId="77777777" w:rsidTr="00D069E4">
        <w:trPr>
          <w:trHeight w:val="20"/>
        </w:trPr>
        <w:tc>
          <w:tcPr>
            <w:tcW w:w="1413" w:type="dxa"/>
          </w:tcPr>
          <w:p w14:paraId="1BB46229" w14:textId="77777777" w:rsidR="00BE677F" w:rsidRPr="00C11A25" w:rsidRDefault="00BE677F" w:rsidP="00BE677F">
            <w:pPr>
              <w:pStyle w:val="Tableheading"/>
              <w:rPr>
                <w:rFonts w:cstheme="minorHAnsi"/>
                <w:sz w:val="20"/>
                <w:szCs w:val="20"/>
              </w:rPr>
            </w:pPr>
            <w:r w:rsidRPr="00C11A25">
              <w:rPr>
                <w:rFonts w:cstheme="minorHAnsi"/>
                <w:sz w:val="20"/>
                <w:szCs w:val="20"/>
              </w:rPr>
              <w:t>70+</w:t>
            </w:r>
          </w:p>
        </w:tc>
        <w:tc>
          <w:tcPr>
            <w:tcW w:w="992" w:type="dxa"/>
          </w:tcPr>
          <w:p w14:paraId="722673CB" w14:textId="6200DBCE" w:rsidR="00BE677F" w:rsidRPr="000F2789" w:rsidRDefault="00BE677F" w:rsidP="00BE677F">
            <w:pPr>
              <w:pStyle w:val="Tableheading"/>
              <w:rPr>
                <w:rFonts w:cstheme="minorHAnsi"/>
                <w:b w:val="0"/>
                <w:sz w:val="20"/>
                <w:szCs w:val="20"/>
              </w:rPr>
            </w:pPr>
            <w:r w:rsidRPr="004B4004">
              <w:rPr>
                <w:rFonts w:cstheme="minorHAnsi"/>
                <w:b w:val="0"/>
                <w:sz w:val="20"/>
                <w:szCs w:val="20"/>
              </w:rPr>
              <w:t>8,730</w:t>
            </w:r>
          </w:p>
        </w:tc>
        <w:tc>
          <w:tcPr>
            <w:tcW w:w="1429" w:type="dxa"/>
          </w:tcPr>
          <w:p w14:paraId="483515BA" w14:textId="55FD57A2" w:rsidR="00BE677F" w:rsidRPr="000F2789" w:rsidRDefault="00BE677F" w:rsidP="00BE677F">
            <w:pPr>
              <w:pStyle w:val="Tableheading"/>
              <w:rPr>
                <w:rFonts w:cstheme="minorHAnsi"/>
                <w:b w:val="0"/>
                <w:sz w:val="20"/>
                <w:szCs w:val="20"/>
              </w:rPr>
            </w:pPr>
            <w:r w:rsidRPr="004B4004">
              <w:rPr>
                <w:rFonts w:cstheme="minorHAnsi"/>
                <w:b w:val="0"/>
                <w:sz w:val="20"/>
                <w:szCs w:val="20"/>
              </w:rPr>
              <w:t>13,638</w:t>
            </w:r>
          </w:p>
        </w:tc>
        <w:tc>
          <w:tcPr>
            <w:tcW w:w="1278" w:type="dxa"/>
          </w:tcPr>
          <w:p w14:paraId="378F5876" w14:textId="7317CDF8" w:rsidR="00BE677F" w:rsidRPr="000F2789" w:rsidRDefault="00BE677F" w:rsidP="00BE677F">
            <w:pPr>
              <w:pStyle w:val="Tableheading"/>
              <w:rPr>
                <w:rFonts w:cstheme="minorHAnsi"/>
                <w:b w:val="0"/>
                <w:sz w:val="20"/>
                <w:szCs w:val="20"/>
              </w:rPr>
            </w:pPr>
            <w:r w:rsidRPr="004B4004">
              <w:rPr>
                <w:rFonts w:cstheme="minorHAnsi"/>
                <w:b w:val="0"/>
                <w:sz w:val="20"/>
                <w:szCs w:val="20"/>
              </w:rPr>
              <w:t>18,640</w:t>
            </w:r>
          </w:p>
        </w:tc>
        <w:tc>
          <w:tcPr>
            <w:tcW w:w="1120" w:type="dxa"/>
          </w:tcPr>
          <w:p w14:paraId="1141832F" w14:textId="7345A76A" w:rsidR="00BE677F" w:rsidRPr="000F2789" w:rsidRDefault="00BE677F" w:rsidP="00BE677F">
            <w:pPr>
              <w:pStyle w:val="Tableheading"/>
              <w:rPr>
                <w:rFonts w:cstheme="minorHAnsi"/>
                <w:b w:val="0"/>
                <w:sz w:val="20"/>
                <w:szCs w:val="20"/>
              </w:rPr>
            </w:pPr>
            <w:r w:rsidRPr="004B4004">
              <w:rPr>
                <w:rFonts w:cstheme="minorHAnsi"/>
                <w:b w:val="0"/>
                <w:sz w:val="20"/>
                <w:szCs w:val="20"/>
              </w:rPr>
              <w:t>24,133</w:t>
            </w:r>
          </w:p>
        </w:tc>
        <w:tc>
          <w:tcPr>
            <w:tcW w:w="1436" w:type="dxa"/>
          </w:tcPr>
          <w:p w14:paraId="19524D29" w14:textId="52348551" w:rsidR="00BE677F" w:rsidRPr="000F2789" w:rsidRDefault="00BE677F" w:rsidP="00BE677F">
            <w:pPr>
              <w:pStyle w:val="Tableheading"/>
              <w:rPr>
                <w:rFonts w:cstheme="minorHAnsi"/>
                <w:b w:val="0"/>
                <w:sz w:val="20"/>
                <w:szCs w:val="20"/>
              </w:rPr>
            </w:pPr>
            <w:r w:rsidRPr="004B4004">
              <w:rPr>
                <w:rFonts w:cstheme="minorHAnsi"/>
                <w:b w:val="0"/>
                <w:sz w:val="20"/>
                <w:szCs w:val="20"/>
              </w:rPr>
              <w:t>29,113</w:t>
            </w:r>
          </w:p>
        </w:tc>
        <w:tc>
          <w:tcPr>
            <w:tcW w:w="1279" w:type="dxa"/>
          </w:tcPr>
          <w:p w14:paraId="0566E262" w14:textId="43EB5F59" w:rsidR="00BE677F" w:rsidRPr="000F2789" w:rsidRDefault="00BE677F" w:rsidP="00BE677F">
            <w:pPr>
              <w:pStyle w:val="Tableheading"/>
              <w:rPr>
                <w:rFonts w:cstheme="minorHAnsi"/>
                <w:b w:val="0"/>
                <w:sz w:val="20"/>
                <w:szCs w:val="20"/>
              </w:rPr>
            </w:pPr>
            <w:r w:rsidRPr="004B4004">
              <w:rPr>
                <w:rFonts w:cstheme="minorHAnsi"/>
                <w:b w:val="0"/>
                <w:sz w:val="20"/>
                <w:szCs w:val="20"/>
              </w:rPr>
              <w:t>27,022</w:t>
            </w:r>
          </w:p>
        </w:tc>
      </w:tr>
      <w:tr w:rsidR="00A25619" w:rsidRPr="001D0858" w14:paraId="36B9A87C" w14:textId="77777777" w:rsidTr="00D069E4">
        <w:trPr>
          <w:trHeight w:val="20"/>
        </w:trPr>
        <w:tc>
          <w:tcPr>
            <w:tcW w:w="8947" w:type="dxa"/>
            <w:gridSpan w:val="7"/>
            <w:shd w:val="clear" w:color="auto" w:fill="D9D9D9" w:themeFill="background1" w:themeFillShade="D9"/>
          </w:tcPr>
          <w:p w14:paraId="5572F8A5" w14:textId="77777777" w:rsidR="00A25619" w:rsidRPr="00C11A25" w:rsidRDefault="00A25619" w:rsidP="00D069E4">
            <w:pPr>
              <w:pStyle w:val="Tableheading"/>
              <w:rPr>
                <w:rFonts w:cstheme="minorHAnsi"/>
                <w:sz w:val="20"/>
                <w:szCs w:val="20"/>
              </w:rPr>
            </w:pPr>
            <w:r w:rsidRPr="00C11A25">
              <w:rPr>
                <w:rFonts w:cstheme="minorHAnsi"/>
                <w:sz w:val="20"/>
                <w:szCs w:val="20"/>
              </w:rPr>
              <w:t>Sex</w:t>
            </w:r>
          </w:p>
        </w:tc>
      </w:tr>
      <w:tr w:rsidR="00BE677F" w:rsidRPr="001D0858" w14:paraId="1EE0C1C1" w14:textId="77777777" w:rsidTr="00D069E4">
        <w:trPr>
          <w:trHeight w:val="20"/>
        </w:trPr>
        <w:tc>
          <w:tcPr>
            <w:tcW w:w="1413" w:type="dxa"/>
          </w:tcPr>
          <w:p w14:paraId="0B816F06" w14:textId="77777777" w:rsidR="00BE677F" w:rsidRPr="00C11A25" w:rsidRDefault="00BE677F" w:rsidP="00BE677F">
            <w:pPr>
              <w:pStyle w:val="Tableheading"/>
              <w:rPr>
                <w:rFonts w:cstheme="minorHAnsi"/>
                <w:sz w:val="20"/>
                <w:szCs w:val="20"/>
              </w:rPr>
            </w:pPr>
            <w:r w:rsidRPr="00C11A25">
              <w:rPr>
                <w:rFonts w:cstheme="minorHAnsi"/>
                <w:sz w:val="20"/>
                <w:szCs w:val="20"/>
              </w:rPr>
              <w:t>Female</w:t>
            </w:r>
          </w:p>
        </w:tc>
        <w:tc>
          <w:tcPr>
            <w:tcW w:w="992" w:type="dxa"/>
          </w:tcPr>
          <w:p w14:paraId="7F8CE1B6" w14:textId="5068FC67" w:rsidR="00BE677F" w:rsidRPr="000F2789" w:rsidRDefault="00BE677F" w:rsidP="00BE677F">
            <w:pPr>
              <w:pStyle w:val="Tableheading"/>
              <w:rPr>
                <w:rFonts w:cstheme="minorHAnsi"/>
                <w:b w:val="0"/>
                <w:sz w:val="20"/>
                <w:szCs w:val="20"/>
              </w:rPr>
            </w:pPr>
            <w:r w:rsidRPr="004B4004">
              <w:rPr>
                <w:rFonts w:cstheme="minorHAnsi"/>
                <w:b w:val="0"/>
                <w:sz w:val="20"/>
                <w:szCs w:val="20"/>
              </w:rPr>
              <w:t>10,377</w:t>
            </w:r>
          </w:p>
        </w:tc>
        <w:tc>
          <w:tcPr>
            <w:tcW w:w="1429" w:type="dxa"/>
          </w:tcPr>
          <w:p w14:paraId="5ABC0D95" w14:textId="66A7D57B" w:rsidR="00BE677F" w:rsidRPr="000F2789" w:rsidRDefault="00BE677F" w:rsidP="00BE677F">
            <w:pPr>
              <w:pStyle w:val="Tableheading"/>
              <w:rPr>
                <w:rFonts w:cstheme="minorHAnsi"/>
                <w:b w:val="0"/>
                <w:sz w:val="20"/>
                <w:szCs w:val="20"/>
              </w:rPr>
            </w:pPr>
            <w:r w:rsidRPr="004B4004">
              <w:rPr>
                <w:rFonts w:cstheme="minorHAnsi"/>
                <w:b w:val="0"/>
                <w:sz w:val="20"/>
                <w:szCs w:val="20"/>
              </w:rPr>
              <w:t>15,581</w:t>
            </w:r>
          </w:p>
        </w:tc>
        <w:tc>
          <w:tcPr>
            <w:tcW w:w="1278" w:type="dxa"/>
          </w:tcPr>
          <w:p w14:paraId="7B6200BD" w14:textId="4FB5B643" w:rsidR="00BE677F" w:rsidRPr="000F2789" w:rsidRDefault="00BE677F" w:rsidP="00BE677F">
            <w:pPr>
              <w:pStyle w:val="Tableheading"/>
              <w:rPr>
                <w:rFonts w:cstheme="minorHAnsi"/>
                <w:b w:val="0"/>
                <w:sz w:val="20"/>
                <w:szCs w:val="20"/>
              </w:rPr>
            </w:pPr>
            <w:r w:rsidRPr="004B4004">
              <w:rPr>
                <w:rFonts w:cstheme="minorHAnsi"/>
                <w:b w:val="0"/>
                <w:sz w:val="20"/>
                <w:szCs w:val="20"/>
              </w:rPr>
              <w:t>20,878</w:t>
            </w:r>
          </w:p>
        </w:tc>
        <w:tc>
          <w:tcPr>
            <w:tcW w:w="1120" w:type="dxa"/>
          </w:tcPr>
          <w:p w14:paraId="79C35D46" w14:textId="091DF55F" w:rsidR="00BE677F" w:rsidRPr="000F2789" w:rsidRDefault="00BE677F" w:rsidP="00BE677F">
            <w:pPr>
              <w:pStyle w:val="Tableheading"/>
              <w:rPr>
                <w:rFonts w:cstheme="minorHAnsi"/>
                <w:b w:val="0"/>
                <w:sz w:val="20"/>
                <w:szCs w:val="20"/>
              </w:rPr>
            </w:pPr>
            <w:r w:rsidRPr="004B4004">
              <w:rPr>
                <w:rFonts w:cstheme="minorHAnsi"/>
                <w:b w:val="0"/>
                <w:sz w:val="20"/>
                <w:szCs w:val="20"/>
              </w:rPr>
              <w:t>26,297</w:t>
            </w:r>
          </w:p>
        </w:tc>
        <w:tc>
          <w:tcPr>
            <w:tcW w:w="1436" w:type="dxa"/>
          </w:tcPr>
          <w:p w14:paraId="56DE4821" w14:textId="5D5AE67F" w:rsidR="00BE677F" w:rsidRPr="000F2789" w:rsidRDefault="00BE677F" w:rsidP="00BE677F">
            <w:pPr>
              <w:pStyle w:val="Tableheading"/>
              <w:rPr>
                <w:rFonts w:cstheme="minorHAnsi"/>
                <w:b w:val="0"/>
                <w:sz w:val="20"/>
                <w:szCs w:val="20"/>
              </w:rPr>
            </w:pPr>
            <w:r w:rsidRPr="004B4004">
              <w:rPr>
                <w:rFonts w:cstheme="minorHAnsi"/>
                <w:b w:val="0"/>
                <w:sz w:val="20"/>
                <w:szCs w:val="20"/>
              </w:rPr>
              <w:t>31,090</w:t>
            </w:r>
          </w:p>
        </w:tc>
        <w:tc>
          <w:tcPr>
            <w:tcW w:w="1279" w:type="dxa"/>
          </w:tcPr>
          <w:p w14:paraId="28820403" w14:textId="03497DB1" w:rsidR="00BE677F" w:rsidRPr="000F2789" w:rsidRDefault="00BE677F" w:rsidP="00BE677F">
            <w:pPr>
              <w:pStyle w:val="Tableheading"/>
              <w:rPr>
                <w:rFonts w:cstheme="minorHAnsi"/>
                <w:b w:val="0"/>
                <w:sz w:val="20"/>
                <w:szCs w:val="20"/>
              </w:rPr>
            </w:pPr>
            <w:r w:rsidRPr="004B4004">
              <w:rPr>
                <w:rFonts w:cstheme="minorHAnsi"/>
                <w:b w:val="0"/>
                <w:sz w:val="20"/>
                <w:szCs w:val="20"/>
              </w:rPr>
              <w:t>28,433</w:t>
            </w:r>
          </w:p>
        </w:tc>
      </w:tr>
      <w:tr w:rsidR="00BE677F" w:rsidRPr="001D0858" w14:paraId="5B2F33C5" w14:textId="77777777" w:rsidTr="00D069E4">
        <w:trPr>
          <w:trHeight w:val="20"/>
        </w:trPr>
        <w:tc>
          <w:tcPr>
            <w:tcW w:w="1413" w:type="dxa"/>
          </w:tcPr>
          <w:p w14:paraId="2F75DAB6" w14:textId="77777777" w:rsidR="00BE677F" w:rsidRPr="00C11A25" w:rsidRDefault="00BE677F" w:rsidP="00BE677F">
            <w:pPr>
              <w:pStyle w:val="Tableheading"/>
              <w:rPr>
                <w:rFonts w:cstheme="minorHAnsi"/>
                <w:sz w:val="20"/>
                <w:szCs w:val="20"/>
              </w:rPr>
            </w:pPr>
            <w:r w:rsidRPr="00C11A25">
              <w:rPr>
                <w:rFonts w:cstheme="minorHAnsi"/>
                <w:sz w:val="20"/>
                <w:szCs w:val="20"/>
              </w:rPr>
              <w:t>Male</w:t>
            </w:r>
          </w:p>
        </w:tc>
        <w:tc>
          <w:tcPr>
            <w:tcW w:w="992" w:type="dxa"/>
          </w:tcPr>
          <w:p w14:paraId="57544A8A" w14:textId="3567A3D4" w:rsidR="00BE677F" w:rsidRPr="000F2789" w:rsidRDefault="00BE677F" w:rsidP="00BE677F">
            <w:pPr>
              <w:pStyle w:val="Tableheading"/>
              <w:rPr>
                <w:rFonts w:cstheme="minorHAnsi"/>
                <w:b w:val="0"/>
                <w:sz w:val="20"/>
                <w:szCs w:val="20"/>
              </w:rPr>
            </w:pPr>
            <w:r w:rsidRPr="004B4004">
              <w:rPr>
                <w:rFonts w:cstheme="minorHAnsi"/>
                <w:b w:val="0"/>
                <w:sz w:val="20"/>
                <w:szCs w:val="20"/>
              </w:rPr>
              <w:t>1,413</w:t>
            </w:r>
          </w:p>
        </w:tc>
        <w:tc>
          <w:tcPr>
            <w:tcW w:w="1429" w:type="dxa"/>
          </w:tcPr>
          <w:p w14:paraId="57BC627A" w14:textId="6404BC28" w:rsidR="00BE677F" w:rsidRPr="000F2789" w:rsidRDefault="00BE677F" w:rsidP="00BE677F">
            <w:pPr>
              <w:pStyle w:val="Tableheading"/>
              <w:rPr>
                <w:rFonts w:cstheme="minorHAnsi"/>
                <w:b w:val="0"/>
                <w:sz w:val="20"/>
                <w:szCs w:val="20"/>
              </w:rPr>
            </w:pPr>
            <w:r w:rsidRPr="004B4004">
              <w:rPr>
                <w:rFonts w:cstheme="minorHAnsi"/>
                <w:b w:val="0"/>
                <w:sz w:val="20"/>
                <w:szCs w:val="20"/>
              </w:rPr>
              <w:t>2,692</w:t>
            </w:r>
          </w:p>
        </w:tc>
        <w:tc>
          <w:tcPr>
            <w:tcW w:w="1278" w:type="dxa"/>
          </w:tcPr>
          <w:p w14:paraId="711AD40F" w14:textId="24B32798" w:rsidR="00BE677F" w:rsidRPr="000F2789" w:rsidRDefault="00BE677F" w:rsidP="00BE677F">
            <w:pPr>
              <w:pStyle w:val="Tableheading"/>
              <w:rPr>
                <w:rFonts w:cstheme="minorHAnsi"/>
                <w:b w:val="0"/>
                <w:sz w:val="20"/>
                <w:szCs w:val="20"/>
              </w:rPr>
            </w:pPr>
            <w:r w:rsidRPr="004B4004">
              <w:rPr>
                <w:rFonts w:cstheme="minorHAnsi"/>
                <w:b w:val="0"/>
                <w:sz w:val="20"/>
                <w:szCs w:val="20"/>
              </w:rPr>
              <w:t>3,900</w:t>
            </w:r>
          </w:p>
        </w:tc>
        <w:tc>
          <w:tcPr>
            <w:tcW w:w="1120" w:type="dxa"/>
          </w:tcPr>
          <w:p w14:paraId="2D463950" w14:textId="0802BCA0" w:rsidR="00BE677F" w:rsidRPr="000F2789" w:rsidRDefault="00BE677F" w:rsidP="00BE677F">
            <w:pPr>
              <w:pStyle w:val="Tableheading"/>
              <w:rPr>
                <w:rFonts w:cstheme="minorHAnsi"/>
                <w:b w:val="0"/>
                <w:sz w:val="20"/>
                <w:szCs w:val="20"/>
              </w:rPr>
            </w:pPr>
            <w:r w:rsidRPr="004B4004">
              <w:rPr>
                <w:rFonts w:cstheme="minorHAnsi"/>
                <w:b w:val="0"/>
                <w:sz w:val="20"/>
                <w:szCs w:val="20"/>
              </w:rPr>
              <w:t>5,277</w:t>
            </w:r>
          </w:p>
        </w:tc>
        <w:tc>
          <w:tcPr>
            <w:tcW w:w="1436" w:type="dxa"/>
          </w:tcPr>
          <w:p w14:paraId="7A118142" w14:textId="6C0B07C3" w:rsidR="00BE677F" w:rsidRPr="000F2789" w:rsidRDefault="00BE677F" w:rsidP="00BE677F">
            <w:pPr>
              <w:pStyle w:val="Tableheading"/>
              <w:rPr>
                <w:rFonts w:cstheme="minorHAnsi"/>
                <w:b w:val="0"/>
                <w:sz w:val="20"/>
                <w:szCs w:val="20"/>
              </w:rPr>
            </w:pPr>
            <w:r w:rsidRPr="004B4004">
              <w:rPr>
                <w:rFonts w:cstheme="minorHAnsi"/>
                <w:b w:val="0"/>
                <w:sz w:val="20"/>
                <w:szCs w:val="20"/>
              </w:rPr>
              <w:t>6,527</w:t>
            </w:r>
          </w:p>
        </w:tc>
        <w:tc>
          <w:tcPr>
            <w:tcW w:w="1279" w:type="dxa"/>
          </w:tcPr>
          <w:p w14:paraId="0C98C0F5" w14:textId="7E35A22C" w:rsidR="00BE677F" w:rsidRPr="000F2789" w:rsidRDefault="00BE677F" w:rsidP="00BE677F">
            <w:pPr>
              <w:pStyle w:val="Tableheading"/>
              <w:rPr>
                <w:rFonts w:cstheme="minorHAnsi"/>
                <w:b w:val="0"/>
                <w:sz w:val="20"/>
                <w:szCs w:val="20"/>
              </w:rPr>
            </w:pPr>
            <w:r w:rsidRPr="004B4004">
              <w:rPr>
                <w:rFonts w:cstheme="minorHAnsi"/>
                <w:b w:val="0"/>
                <w:sz w:val="20"/>
                <w:szCs w:val="20"/>
              </w:rPr>
              <w:t>5,690</w:t>
            </w:r>
          </w:p>
        </w:tc>
      </w:tr>
      <w:tr w:rsidR="00A25619" w:rsidRPr="001D0858" w14:paraId="431A00E4" w14:textId="77777777" w:rsidTr="00D069E4">
        <w:trPr>
          <w:trHeight w:val="20"/>
        </w:trPr>
        <w:tc>
          <w:tcPr>
            <w:tcW w:w="8947" w:type="dxa"/>
            <w:gridSpan w:val="7"/>
            <w:shd w:val="clear" w:color="auto" w:fill="D9D9D9" w:themeFill="background1" w:themeFillShade="D9"/>
          </w:tcPr>
          <w:p w14:paraId="3CE1F252" w14:textId="77777777" w:rsidR="00A25619" w:rsidRPr="00C11A25" w:rsidRDefault="00A25619" w:rsidP="00D069E4">
            <w:pPr>
              <w:pStyle w:val="Tableheading"/>
              <w:rPr>
                <w:sz w:val="20"/>
                <w:szCs w:val="20"/>
              </w:rPr>
            </w:pPr>
            <w:r w:rsidRPr="00C11A25">
              <w:rPr>
                <w:sz w:val="20"/>
                <w:szCs w:val="20"/>
              </w:rPr>
              <w:t>Sex/age group</w:t>
            </w:r>
          </w:p>
        </w:tc>
      </w:tr>
      <w:tr w:rsidR="00C7038D" w:rsidRPr="001D0858" w14:paraId="52143D83" w14:textId="77777777" w:rsidTr="00D069E4">
        <w:trPr>
          <w:trHeight w:val="20"/>
        </w:trPr>
        <w:tc>
          <w:tcPr>
            <w:tcW w:w="1413" w:type="dxa"/>
          </w:tcPr>
          <w:p w14:paraId="6033D149" w14:textId="65D06403" w:rsidR="00C7038D" w:rsidRPr="00C11A25" w:rsidRDefault="00C7038D" w:rsidP="00C7038D">
            <w:pPr>
              <w:pStyle w:val="Tableheading"/>
              <w:rPr>
                <w:sz w:val="20"/>
                <w:szCs w:val="20"/>
              </w:rPr>
            </w:pPr>
            <w:r>
              <w:rPr>
                <w:sz w:val="20"/>
                <w:szCs w:val="20"/>
              </w:rPr>
              <w:t>Female &lt;50</w:t>
            </w:r>
          </w:p>
        </w:tc>
        <w:tc>
          <w:tcPr>
            <w:tcW w:w="992" w:type="dxa"/>
          </w:tcPr>
          <w:p w14:paraId="3EF0BDCE" w14:textId="2C0CA535" w:rsidR="00C7038D" w:rsidRPr="004B4004" w:rsidRDefault="00C7038D" w:rsidP="00C7038D">
            <w:pPr>
              <w:pStyle w:val="Tableheading"/>
              <w:rPr>
                <w:rFonts w:cstheme="minorHAnsi"/>
                <w:b w:val="0"/>
                <w:sz w:val="20"/>
                <w:szCs w:val="20"/>
              </w:rPr>
            </w:pPr>
            <w:r w:rsidRPr="004B4004">
              <w:rPr>
                <w:rFonts w:cstheme="minorHAnsi"/>
                <w:b w:val="0"/>
                <w:sz w:val="20"/>
                <w:szCs w:val="20"/>
              </w:rPr>
              <w:t>101</w:t>
            </w:r>
          </w:p>
        </w:tc>
        <w:tc>
          <w:tcPr>
            <w:tcW w:w="1429" w:type="dxa"/>
          </w:tcPr>
          <w:p w14:paraId="34AE4AF9" w14:textId="7C2ABE43" w:rsidR="00C7038D" w:rsidRPr="004B4004" w:rsidRDefault="00C7038D" w:rsidP="00C7038D">
            <w:pPr>
              <w:pStyle w:val="Tableheading"/>
              <w:rPr>
                <w:rFonts w:cstheme="minorHAnsi"/>
                <w:b w:val="0"/>
                <w:sz w:val="20"/>
                <w:szCs w:val="20"/>
              </w:rPr>
            </w:pPr>
            <w:r w:rsidRPr="004B4004">
              <w:rPr>
                <w:rFonts w:cstheme="minorHAnsi"/>
                <w:b w:val="0"/>
                <w:sz w:val="20"/>
                <w:szCs w:val="20"/>
              </w:rPr>
              <w:t>137</w:t>
            </w:r>
          </w:p>
        </w:tc>
        <w:tc>
          <w:tcPr>
            <w:tcW w:w="1278" w:type="dxa"/>
          </w:tcPr>
          <w:p w14:paraId="1D7F02B5" w14:textId="0ED212A5" w:rsidR="00C7038D" w:rsidRPr="004B4004" w:rsidRDefault="00C7038D" w:rsidP="00C7038D">
            <w:pPr>
              <w:pStyle w:val="Tableheading"/>
              <w:rPr>
                <w:rFonts w:cstheme="minorHAnsi"/>
                <w:b w:val="0"/>
                <w:sz w:val="20"/>
                <w:szCs w:val="20"/>
              </w:rPr>
            </w:pPr>
            <w:r w:rsidRPr="004B4004">
              <w:rPr>
                <w:rFonts w:cstheme="minorHAnsi"/>
                <w:b w:val="0"/>
                <w:sz w:val="20"/>
                <w:szCs w:val="20"/>
              </w:rPr>
              <w:t>180</w:t>
            </w:r>
          </w:p>
        </w:tc>
        <w:tc>
          <w:tcPr>
            <w:tcW w:w="1120" w:type="dxa"/>
          </w:tcPr>
          <w:p w14:paraId="2C97A1D6" w14:textId="2C21F2A0" w:rsidR="00C7038D" w:rsidRPr="004B4004" w:rsidRDefault="00C7038D" w:rsidP="00C7038D">
            <w:pPr>
              <w:pStyle w:val="Tableheading"/>
              <w:rPr>
                <w:rFonts w:cstheme="minorHAnsi"/>
                <w:b w:val="0"/>
                <w:sz w:val="20"/>
                <w:szCs w:val="20"/>
              </w:rPr>
            </w:pPr>
            <w:r w:rsidRPr="004B4004">
              <w:rPr>
                <w:rFonts w:cstheme="minorHAnsi"/>
                <w:b w:val="0"/>
                <w:sz w:val="20"/>
                <w:szCs w:val="20"/>
              </w:rPr>
              <w:t>203</w:t>
            </w:r>
          </w:p>
        </w:tc>
        <w:tc>
          <w:tcPr>
            <w:tcW w:w="1436" w:type="dxa"/>
          </w:tcPr>
          <w:p w14:paraId="50285E8A" w14:textId="2D659DD2" w:rsidR="00C7038D" w:rsidRPr="004B4004" w:rsidRDefault="00C7038D" w:rsidP="00C7038D">
            <w:pPr>
              <w:pStyle w:val="Tableheading"/>
              <w:rPr>
                <w:rFonts w:cstheme="minorHAnsi"/>
                <w:b w:val="0"/>
                <w:sz w:val="20"/>
                <w:szCs w:val="20"/>
              </w:rPr>
            </w:pPr>
            <w:r w:rsidRPr="004B4004">
              <w:rPr>
                <w:rFonts w:cstheme="minorHAnsi"/>
                <w:b w:val="0"/>
                <w:sz w:val="20"/>
                <w:szCs w:val="20"/>
              </w:rPr>
              <w:t>246</w:t>
            </w:r>
          </w:p>
        </w:tc>
        <w:tc>
          <w:tcPr>
            <w:tcW w:w="1279" w:type="dxa"/>
          </w:tcPr>
          <w:p w14:paraId="37BFBF22" w14:textId="2E6455E2" w:rsidR="00C7038D" w:rsidRPr="004B4004" w:rsidRDefault="00C7038D" w:rsidP="00C7038D">
            <w:pPr>
              <w:pStyle w:val="Tableheading"/>
              <w:rPr>
                <w:rFonts w:cstheme="minorHAnsi"/>
                <w:b w:val="0"/>
                <w:sz w:val="20"/>
                <w:szCs w:val="20"/>
              </w:rPr>
            </w:pPr>
            <w:r w:rsidRPr="004B4004">
              <w:rPr>
                <w:rFonts w:cstheme="minorHAnsi"/>
                <w:b w:val="0"/>
                <w:sz w:val="20"/>
                <w:szCs w:val="20"/>
              </w:rPr>
              <w:t>178</w:t>
            </w:r>
          </w:p>
        </w:tc>
      </w:tr>
      <w:tr w:rsidR="00C7038D" w:rsidRPr="001D0858" w14:paraId="2B35950D" w14:textId="77777777" w:rsidTr="00D069E4">
        <w:trPr>
          <w:trHeight w:val="20"/>
        </w:trPr>
        <w:tc>
          <w:tcPr>
            <w:tcW w:w="1413" w:type="dxa"/>
          </w:tcPr>
          <w:p w14:paraId="57A10125" w14:textId="77777777" w:rsidR="00C7038D" w:rsidRPr="00C11A25" w:rsidRDefault="00C7038D" w:rsidP="00C7038D">
            <w:pPr>
              <w:pStyle w:val="Tableheading"/>
              <w:rPr>
                <w:sz w:val="20"/>
                <w:szCs w:val="20"/>
              </w:rPr>
            </w:pPr>
            <w:r w:rsidRPr="00C11A25">
              <w:rPr>
                <w:sz w:val="20"/>
                <w:szCs w:val="20"/>
              </w:rPr>
              <w:t>Female 50–59</w:t>
            </w:r>
          </w:p>
        </w:tc>
        <w:tc>
          <w:tcPr>
            <w:tcW w:w="992" w:type="dxa"/>
          </w:tcPr>
          <w:p w14:paraId="56B5CBDF" w14:textId="5A3F9BB6" w:rsidR="00C7038D" w:rsidRPr="004B4004" w:rsidRDefault="00C7038D" w:rsidP="00C7038D">
            <w:pPr>
              <w:pStyle w:val="Tableheading"/>
              <w:rPr>
                <w:rFonts w:cstheme="minorHAnsi"/>
                <w:b w:val="0"/>
                <w:sz w:val="20"/>
                <w:szCs w:val="20"/>
              </w:rPr>
            </w:pPr>
            <w:r w:rsidRPr="004B4004">
              <w:rPr>
                <w:rFonts w:cstheme="minorHAnsi"/>
                <w:b w:val="0"/>
                <w:sz w:val="20"/>
                <w:szCs w:val="20"/>
              </w:rPr>
              <w:t>616</w:t>
            </w:r>
          </w:p>
        </w:tc>
        <w:tc>
          <w:tcPr>
            <w:tcW w:w="1429" w:type="dxa"/>
          </w:tcPr>
          <w:p w14:paraId="175B0547" w14:textId="55458270" w:rsidR="00C7038D" w:rsidRPr="004B4004" w:rsidRDefault="00C7038D" w:rsidP="00C7038D">
            <w:pPr>
              <w:pStyle w:val="Tableheading"/>
              <w:rPr>
                <w:rFonts w:cstheme="minorHAnsi"/>
                <w:b w:val="0"/>
                <w:sz w:val="20"/>
                <w:szCs w:val="20"/>
              </w:rPr>
            </w:pPr>
            <w:r w:rsidRPr="004B4004">
              <w:rPr>
                <w:rFonts w:cstheme="minorHAnsi"/>
                <w:b w:val="0"/>
                <w:sz w:val="20"/>
                <w:szCs w:val="20"/>
              </w:rPr>
              <w:t>858</w:t>
            </w:r>
          </w:p>
        </w:tc>
        <w:tc>
          <w:tcPr>
            <w:tcW w:w="1278" w:type="dxa"/>
          </w:tcPr>
          <w:p w14:paraId="19E6316A" w14:textId="66A9DD0D" w:rsidR="00C7038D" w:rsidRPr="004B4004" w:rsidRDefault="00C7038D" w:rsidP="00C7038D">
            <w:pPr>
              <w:pStyle w:val="Tableheading"/>
              <w:rPr>
                <w:rFonts w:cstheme="minorHAnsi"/>
                <w:b w:val="0"/>
                <w:sz w:val="20"/>
                <w:szCs w:val="20"/>
              </w:rPr>
            </w:pPr>
            <w:r w:rsidRPr="004B4004">
              <w:rPr>
                <w:rFonts w:cstheme="minorHAnsi"/>
                <w:b w:val="0"/>
                <w:sz w:val="20"/>
                <w:szCs w:val="20"/>
              </w:rPr>
              <w:t>1,129</w:t>
            </w:r>
          </w:p>
        </w:tc>
        <w:tc>
          <w:tcPr>
            <w:tcW w:w="1120" w:type="dxa"/>
          </w:tcPr>
          <w:p w14:paraId="2F0260F6" w14:textId="1D9217D0" w:rsidR="00C7038D" w:rsidRPr="004B4004" w:rsidRDefault="00C7038D" w:rsidP="00C7038D">
            <w:pPr>
              <w:pStyle w:val="Tableheading"/>
              <w:rPr>
                <w:rFonts w:cstheme="minorHAnsi"/>
                <w:b w:val="0"/>
                <w:sz w:val="20"/>
                <w:szCs w:val="20"/>
              </w:rPr>
            </w:pPr>
            <w:r w:rsidRPr="004B4004">
              <w:rPr>
                <w:rFonts w:cstheme="minorHAnsi"/>
                <w:b w:val="0"/>
                <w:sz w:val="20"/>
                <w:szCs w:val="20"/>
              </w:rPr>
              <w:t>1,320</w:t>
            </w:r>
          </w:p>
        </w:tc>
        <w:tc>
          <w:tcPr>
            <w:tcW w:w="1436" w:type="dxa"/>
          </w:tcPr>
          <w:p w14:paraId="094E92B7" w14:textId="08A8431C" w:rsidR="00C7038D" w:rsidRPr="004B4004" w:rsidRDefault="00C7038D" w:rsidP="00C7038D">
            <w:pPr>
              <w:pStyle w:val="Tableheading"/>
              <w:rPr>
                <w:rFonts w:cstheme="minorHAnsi"/>
                <w:b w:val="0"/>
                <w:sz w:val="20"/>
                <w:szCs w:val="20"/>
              </w:rPr>
            </w:pPr>
            <w:r w:rsidRPr="004B4004">
              <w:rPr>
                <w:rFonts w:cstheme="minorHAnsi"/>
                <w:b w:val="0"/>
                <w:sz w:val="20"/>
                <w:szCs w:val="20"/>
              </w:rPr>
              <w:t>1,385</w:t>
            </w:r>
          </w:p>
        </w:tc>
        <w:tc>
          <w:tcPr>
            <w:tcW w:w="1279" w:type="dxa"/>
          </w:tcPr>
          <w:p w14:paraId="265F25B0" w14:textId="3A2333A8" w:rsidR="00C7038D" w:rsidRPr="004B4004" w:rsidRDefault="00C7038D" w:rsidP="00C7038D">
            <w:pPr>
              <w:pStyle w:val="Tableheading"/>
              <w:rPr>
                <w:rFonts w:cstheme="minorHAnsi"/>
                <w:b w:val="0"/>
                <w:sz w:val="20"/>
                <w:szCs w:val="20"/>
              </w:rPr>
            </w:pPr>
            <w:r w:rsidRPr="004B4004">
              <w:rPr>
                <w:rFonts w:cstheme="minorHAnsi"/>
                <w:b w:val="0"/>
                <w:sz w:val="20"/>
                <w:szCs w:val="20"/>
              </w:rPr>
              <w:t>1,056</w:t>
            </w:r>
          </w:p>
        </w:tc>
      </w:tr>
      <w:tr w:rsidR="00C7038D" w:rsidRPr="001D0858" w14:paraId="45221269" w14:textId="77777777" w:rsidTr="00D069E4">
        <w:trPr>
          <w:trHeight w:val="20"/>
        </w:trPr>
        <w:tc>
          <w:tcPr>
            <w:tcW w:w="1413" w:type="dxa"/>
          </w:tcPr>
          <w:p w14:paraId="41A3CB78" w14:textId="77777777" w:rsidR="00C7038D" w:rsidRPr="00C11A25" w:rsidRDefault="00C7038D" w:rsidP="00C7038D">
            <w:pPr>
              <w:pStyle w:val="Tableheading"/>
              <w:rPr>
                <w:sz w:val="20"/>
                <w:szCs w:val="20"/>
              </w:rPr>
            </w:pPr>
            <w:r w:rsidRPr="00C11A25">
              <w:rPr>
                <w:sz w:val="20"/>
                <w:szCs w:val="20"/>
              </w:rPr>
              <w:t>Female 60–69</w:t>
            </w:r>
          </w:p>
        </w:tc>
        <w:tc>
          <w:tcPr>
            <w:tcW w:w="992" w:type="dxa"/>
          </w:tcPr>
          <w:p w14:paraId="43C199D4" w14:textId="73818D7E" w:rsidR="00C7038D" w:rsidRPr="004B4004" w:rsidRDefault="00C7038D" w:rsidP="00C7038D">
            <w:pPr>
              <w:pStyle w:val="Tableheading"/>
              <w:rPr>
                <w:rFonts w:cstheme="minorHAnsi"/>
                <w:b w:val="0"/>
                <w:sz w:val="20"/>
                <w:szCs w:val="20"/>
              </w:rPr>
            </w:pPr>
            <w:r w:rsidRPr="004B4004">
              <w:rPr>
                <w:rFonts w:cstheme="minorHAnsi"/>
                <w:b w:val="0"/>
                <w:sz w:val="20"/>
                <w:szCs w:val="20"/>
              </w:rPr>
              <w:t>1,999</w:t>
            </w:r>
          </w:p>
        </w:tc>
        <w:tc>
          <w:tcPr>
            <w:tcW w:w="1429" w:type="dxa"/>
          </w:tcPr>
          <w:p w14:paraId="75372EAF" w14:textId="4C1E1654" w:rsidR="00C7038D" w:rsidRPr="004B4004" w:rsidRDefault="00C7038D" w:rsidP="00C7038D">
            <w:pPr>
              <w:pStyle w:val="Tableheading"/>
              <w:rPr>
                <w:rFonts w:cstheme="minorHAnsi"/>
                <w:b w:val="0"/>
                <w:sz w:val="20"/>
                <w:szCs w:val="20"/>
              </w:rPr>
            </w:pPr>
            <w:r w:rsidRPr="004B4004">
              <w:rPr>
                <w:rFonts w:cstheme="minorHAnsi"/>
                <w:b w:val="0"/>
                <w:sz w:val="20"/>
                <w:szCs w:val="20"/>
              </w:rPr>
              <w:t>3,021</w:t>
            </w:r>
          </w:p>
        </w:tc>
        <w:tc>
          <w:tcPr>
            <w:tcW w:w="1278" w:type="dxa"/>
          </w:tcPr>
          <w:p w14:paraId="6106D327" w14:textId="394B8296" w:rsidR="00C7038D" w:rsidRPr="004B4004" w:rsidRDefault="00C7038D" w:rsidP="00C7038D">
            <w:pPr>
              <w:pStyle w:val="Tableheading"/>
              <w:rPr>
                <w:rFonts w:cstheme="minorHAnsi"/>
                <w:b w:val="0"/>
                <w:sz w:val="20"/>
                <w:szCs w:val="20"/>
              </w:rPr>
            </w:pPr>
            <w:r w:rsidRPr="004B4004">
              <w:rPr>
                <w:rFonts w:cstheme="minorHAnsi"/>
                <w:b w:val="0"/>
                <w:sz w:val="20"/>
                <w:szCs w:val="20"/>
              </w:rPr>
              <w:t>3,966</w:t>
            </w:r>
          </w:p>
        </w:tc>
        <w:tc>
          <w:tcPr>
            <w:tcW w:w="1120" w:type="dxa"/>
          </w:tcPr>
          <w:p w14:paraId="5DDF6871" w14:textId="20DD87D1" w:rsidR="00C7038D" w:rsidRPr="004B4004" w:rsidRDefault="00C7038D" w:rsidP="00C7038D">
            <w:pPr>
              <w:pStyle w:val="Tableheading"/>
              <w:rPr>
                <w:rFonts w:cstheme="minorHAnsi"/>
                <w:b w:val="0"/>
                <w:sz w:val="20"/>
                <w:szCs w:val="20"/>
              </w:rPr>
            </w:pPr>
            <w:r w:rsidRPr="004B4004">
              <w:rPr>
                <w:rFonts w:cstheme="minorHAnsi"/>
                <w:b w:val="0"/>
                <w:sz w:val="20"/>
                <w:szCs w:val="20"/>
              </w:rPr>
              <w:t>4,810</w:t>
            </w:r>
          </w:p>
        </w:tc>
        <w:tc>
          <w:tcPr>
            <w:tcW w:w="1436" w:type="dxa"/>
          </w:tcPr>
          <w:p w14:paraId="5EB698C1" w14:textId="6DB00FCD" w:rsidR="00C7038D" w:rsidRPr="004B4004" w:rsidRDefault="00C7038D" w:rsidP="00C7038D">
            <w:pPr>
              <w:pStyle w:val="Tableheading"/>
              <w:rPr>
                <w:rFonts w:cstheme="minorHAnsi"/>
                <w:b w:val="0"/>
                <w:sz w:val="20"/>
                <w:szCs w:val="20"/>
              </w:rPr>
            </w:pPr>
            <w:r w:rsidRPr="004B4004">
              <w:rPr>
                <w:rFonts w:cstheme="minorHAnsi"/>
                <w:b w:val="0"/>
                <w:sz w:val="20"/>
                <w:szCs w:val="20"/>
              </w:rPr>
              <w:t>5,564</w:t>
            </w:r>
          </w:p>
        </w:tc>
        <w:tc>
          <w:tcPr>
            <w:tcW w:w="1279" w:type="dxa"/>
          </w:tcPr>
          <w:p w14:paraId="1E0F1EEC" w14:textId="165B1221" w:rsidR="00C7038D" w:rsidRPr="004B4004" w:rsidRDefault="00C7038D" w:rsidP="00C7038D">
            <w:pPr>
              <w:pStyle w:val="Tableheading"/>
              <w:rPr>
                <w:rFonts w:cstheme="minorHAnsi"/>
                <w:b w:val="0"/>
                <w:sz w:val="20"/>
                <w:szCs w:val="20"/>
              </w:rPr>
            </w:pPr>
            <w:r w:rsidRPr="004B4004">
              <w:rPr>
                <w:rFonts w:cstheme="minorHAnsi"/>
                <w:b w:val="0"/>
                <w:sz w:val="20"/>
                <w:szCs w:val="20"/>
              </w:rPr>
              <w:t>4,851</w:t>
            </w:r>
          </w:p>
        </w:tc>
      </w:tr>
      <w:tr w:rsidR="00C7038D" w:rsidRPr="001D0858" w14:paraId="187CA601" w14:textId="77777777" w:rsidTr="00D069E4">
        <w:trPr>
          <w:trHeight w:val="20"/>
        </w:trPr>
        <w:tc>
          <w:tcPr>
            <w:tcW w:w="1413" w:type="dxa"/>
          </w:tcPr>
          <w:p w14:paraId="47291558" w14:textId="77777777" w:rsidR="00C7038D" w:rsidRPr="00C11A25" w:rsidRDefault="00C7038D" w:rsidP="00C7038D">
            <w:pPr>
              <w:pStyle w:val="Tableheading"/>
              <w:rPr>
                <w:sz w:val="20"/>
                <w:szCs w:val="20"/>
              </w:rPr>
            </w:pPr>
            <w:r w:rsidRPr="00C11A25">
              <w:rPr>
                <w:sz w:val="20"/>
                <w:szCs w:val="20"/>
              </w:rPr>
              <w:t>Female 70+</w:t>
            </w:r>
          </w:p>
        </w:tc>
        <w:tc>
          <w:tcPr>
            <w:tcW w:w="992" w:type="dxa"/>
          </w:tcPr>
          <w:p w14:paraId="0E24AA96" w14:textId="3ED329C5" w:rsidR="00C7038D" w:rsidRPr="004B4004" w:rsidRDefault="00C7038D" w:rsidP="00C7038D">
            <w:pPr>
              <w:pStyle w:val="Tableheading"/>
              <w:rPr>
                <w:rFonts w:cstheme="minorHAnsi"/>
                <w:b w:val="0"/>
                <w:sz w:val="20"/>
                <w:szCs w:val="20"/>
              </w:rPr>
            </w:pPr>
            <w:r w:rsidRPr="004B4004">
              <w:rPr>
                <w:rFonts w:cstheme="minorHAnsi"/>
                <w:b w:val="0"/>
                <w:sz w:val="20"/>
                <w:szCs w:val="20"/>
              </w:rPr>
              <w:t>7,661</w:t>
            </w:r>
          </w:p>
        </w:tc>
        <w:tc>
          <w:tcPr>
            <w:tcW w:w="1429" w:type="dxa"/>
          </w:tcPr>
          <w:p w14:paraId="2FB0F943" w14:textId="45F643BB" w:rsidR="00C7038D" w:rsidRPr="004B4004" w:rsidRDefault="00C7038D" w:rsidP="00C7038D">
            <w:pPr>
              <w:pStyle w:val="Tableheading"/>
              <w:rPr>
                <w:rFonts w:cstheme="minorHAnsi"/>
                <w:b w:val="0"/>
                <w:sz w:val="20"/>
                <w:szCs w:val="20"/>
              </w:rPr>
            </w:pPr>
            <w:r w:rsidRPr="004B4004">
              <w:rPr>
                <w:rFonts w:cstheme="minorHAnsi"/>
                <w:b w:val="0"/>
                <w:sz w:val="20"/>
                <w:szCs w:val="20"/>
              </w:rPr>
              <w:t>11,565</w:t>
            </w:r>
          </w:p>
        </w:tc>
        <w:tc>
          <w:tcPr>
            <w:tcW w:w="1278" w:type="dxa"/>
          </w:tcPr>
          <w:p w14:paraId="33573EBB" w14:textId="13913C9F" w:rsidR="00C7038D" w:rsidRPr="004B4004" w:rsidRDefault="00C7038D" w:rsidP="00C7038D">
            <w:pPr>
              <w:pStyle w:val="Tableheading"/>
              <w:rPr>
                <w:rFonts w:cstheme="minorHAnsi"/>
                <w:b w:val="0"/>
                <w:sz w:val="20"/>
                <w:szCs w:val="20"/>
              </w:rPr>
            </w:pPr>
            <w:r w:rsidRPr="004B4004">
              <w:rPr>
                <w:rFonts w:cstheme="minorHAnsi"/>
                <w:b w:val="0"/>
                <w:sz w:val="20"/>
                <w:szCs w:val="20"/>
              </w:rPr>
              <w:t>15,603</w:t>
            </w:r>
          </w:p>
        </w:tc>
        <w:tc>
          <w:tcPr>
            <w:tcW w:w="1120" w:type="dxa"/>
          </w:tcPr>
          <w:p w14:paraId="350E5909" w14:textId="45CF5184" w:rsidR="00C7038D" w:rsidRPr="004B4004" w:rsidRDefault="00C7038D" w:rsidP="00C7038D">
            <w:pPr>
              <w:pStyle w:val="Tableheading"/>
              <w:rPr>
                <w:rFonts w:cstheme="minorHAnsi"/>
                <w:b w:val="0"/>
                <w:sz w:val="20"/>
                <w:szCs w:val="20"/>
              </w:rPr>
            </w:pPr>
            <w:r w:rsidRPr="004B4004">
              <w:rPr>
                <w:rFonts w:cstheme="minorHAnsi"/>
                <w:b w:val="0"/>
                <w:sz w:val="20"/>
                <w:szCs w:val="20"/>
              </w:rPr>
              <w:t>19,964</w:t>
            </w:r>
          </w:p>
        </w:tc>
        <w:tc>
          <w:tcPr>
            <w:tcW w:w="1436" w:type="dxa"/>
          </w:tcPr>
          <w:p w14:paraId="027A8497" w14:textId="3D76FFCF" w:rsidR="00C7038D" w:rsidRPr="004B4004" w:rsidRDefault="00C7038D" w:rsidP="00C7038D">
            <w:pPr>
              <w:pStyle w:val="Tableheading"/>
              <w:rPr>
                <w:rFonts w:cstheme="minorHAnsi"/>
                <w:b w:val="0"/>
                <w:sz w:val="20"/>
                <w:szCs w:val="20"/>
              </w:rPr>
            </w:pPr>
            <w:r w:rsidRPr="004B4004">
              <w:rPr>
                <w:rFonts w:cstheme="minorHAnsi"/>
                <w:b w:val="0"/>
                <w:sz w:val="20"/>
                <w:szCs w:val="20"/>
              </w:rPr>
              <w:t>23,895</w:t>
            </w:r>
          </w:p>
        </w:tc>
        <w:tc>
          <w:tcPr>
            <w:tcW w:w="1279" w:type="dxa"/>
          </w:tcPr>
          <w:p w14:paraId="313D51EC" w14:textId="19406D49" w:rsidR="00C7038D" w:rsidRPr="004B4004" w:rsidRDefault="00C7038D" w:rsidP="00C7038D">
            <w:pPr>
              <w:pStyle w:val="Tableheading"/>
              <w:rPr>
                <w:rFonts w:cstheme="minorHAnsi"/>
                <w:b w:val="0"/>
                <w:sz w:val="20"/>
                <w:szCs w:val="20"/>
              </w:rPr>
            </w:pPr>
            <w:r w:rsidRPr="004B4004">
              <w:rPr>
                <w:rFonts w:cstheme="minorHAnsi"/>
                <w:b w:val="0"/>
                <w:sz w:val="20"/>
                <w:szCs w:val="20"/>
              </w:rPr>
              <w:t>22,348</w:t>
            </w:r>
          </w:p>
        </w:tc>
      </w:tr>
      <w:tr w:rsidR="004B4004" w:rsidRPr="001D0858" w14:paraId="52D84940" w14:textId="77777777" w:rsidTr="00D069E4">
        <w:trPr>
          <w:trHeight w:val="20"/>
        </w:trPr>
        <w:tc>
          <w:tcPr>
            <w:tcW w:w="1413" w:type="dxa"/>
          </w:tcPr>
          <w:p w14:paraId="00F921A0" w14:textId="098A77B4" w:rsidR="004B4004" w:rsidRPr="00C11A25" w:rsidRDefault="004B4004" w:rsidP="004B4004">
            <w:pPr>
              <w:pStyle w:val="Tableheading"/>
              <w:rPr>
                <w:sz w:val="20"/>
                <w:szCs w:val="20"/>
              </w:rPr>
            </w:pPr>
            <w:r>
              <w:rPr>
                <w:sz w:val="20"/>
                <w:szCs w:val="20"/>
              </w:rPr>
              <w:lastRenderedPageBreak/>
              <w:t>Male &lt;50</w:t>
            </w:r>
          </w:p>
        </w:tc>
        <w:tc>
          <w:tcPr>
            <w:tcW w:w="992" w:type="dxa"/>
          </w:tcPr>
          <w:p w14:paraId="708B9F82" w14:textId="2546C9B1" w:rsidR="004B4004" w:rsidRPr="004B4004" w:rsidRDefault="004B4004" w:rsidP="004B4004">
            <w:pPr>
              <w:pStyle w:val="Tableheading"/>
              <w:rPr>
                <w:rFonts w:cstheme="minorHAnsi"/>
                <w:b w:val="0"/>
                <w:sz w:val="20"/>
                <w:szCs w:val="20"/>
              </w:rPr>
            </w:pPr>
            <w:r w:rsidRPr="004B4004">
              <w:rPr>
                <w:rFonts w:cstheme="minorHAnsi"/>
                <w:b w:val="0"/>
                <w:sz w:val="20"/>
                <w:szCs w:val="20"/>
              </w:rPr>
              <w:t>43</w:t>
            </w:r>
          </w:p>
        </w:tc>
        <w:tc>
          <w:tcPr>
            <w:tcW w:w="1429" w:type="dxa"/>
          </w:tcPr>
          <w:p w14:paraId="37733AC2" w14:textId="27B4564E" w:rsidR="004B4004" w:rsidRPr="004B4004" w:rsidRDefault="004B4004" w:rsidP="004B4004">
            <w:pPr>
              <w:pStyle w:val="Tableheading"/>
              <w:rPr>
                <w:rFonts w:cstheme="minorHAnsi"/>
                <w:b w:val="0"/>
                <w:sz w:val="20"/>
                <w:szCs w:val="20"/>
              </w:rPr>
            </w:pPr>
            <w:r w:rsidRPr="004B4004">
              <w:rPr>
                <w:rFonts w:cstheme="minorHAnsi"/>
                <w:b w:val="0"/>
                <w:sz w:val="20"/>
                <w:szCs w:val="20"/>
              </w:rPr>
              <w:t>71</w:t>
            </w:r>
          </w:p>
        </w:tc>
        <w:tc>
          <w:tcPr>
            <w:tcW w:w="1278" w:type="dxa"/>
          </w:tcPr>
          <w:p w14:paraId="5AA20582" w14:textId="4C5FC15B" w:rsidR="004B4004" w:rsidRPr="004B4004" w:rsidRDefault="004B4004" w:rsidP="004B4004">
            <w:pPr>
              <w:pStyle w:val="Tableheading"/>
              <w:rPr>
                <w:rFonts w:cstheme="minorHAnsi"/>
                <w:b w:val="0"/>
                <w:sz w:val="20"/>
                <w:szCs w:val="20"/>
              </w:rPr>
            </w:pPr>
            <w:r w:rsidRPr="004B4004">
              <w:rPr>
                <w:rFonts w:cstheme="minorHAnsi"/>
                <w:b w:val="0"/>
                <w:sz w:val="20"/>
                <w:szCs w:val="20"/>
              </w:rPr>
              <w:t>93</w:t>
            </w:r>
          </w:p>
        </w:tc>
        <w:tc>
          <w:tcPr>
            <w:tcW w:w="1120" w:type="dxa"/>
          </w:tcPr>
          <w:p w14:paraId="14BA2EAF" w14:textId="1089A3CB" w:rsidR="004B4004" w:rsidRPr="004B4004" w:rsidRDefault="004B4004" w:rsidP="004B4004">
            <w:pPr>
              <w:pStyle w:val="Tableheading"/>
              <w:rPr>
                <w:rFonts w:cstheme="minorHAnsi"/>
                <w:b w:val="0"/>
                <w:sz w:val="20"/>
                <w:szCs w:val="20"/>
              </w:rPr>
            </w:pPr>
            <w:r w:rsidRPr="004B4004">
              <w:rPr>
                <w:rFonts w:cstheme="minorHAnsi"/>
                <w:b w:val="0"/>
                <w:sz w:val="20"/>
                <w:szCs w:val="20"/>
              </w:rPr>
              <w:t>128</w:t>
            </w:r>
          </w:p>
        </w:tc>
        <w:tc>
          <w:tcPr>
            <w:tcW w:w="1436" w:type="dxa"/>
          </w:tcPr>
          <w:p w14:paraId="459DBCFA" w14:textId="0B5D4D29" w:rsidR="004B4004" w:rsidRPr="004B4004" w:rsidRDefault="004B4004" w:rsidP="004B4004">
            <w:pPr>
              <w:pStyle w:val="Tableheading"/>
              <w:rPr>
                <w:rFonts w:cstheme="minorHAnsi"/>
                <w:b w:val="0"/>
                <w:sz w:val="20"/>
                <w:szCs w:val="20"/>
              </w:rPr>
            </w:pPr>
            <w:r w:rsidRPr="004B4004">
              <w:rPr>
                <w:rFonts w:cstheme="minorHAnsi"/>
                <w:b w:val="0"/>
                <w:sz w:val="20"/>
                <w:szCs w:val="20"/>
              </w:rPr>
              <w:t>145</w:t>
            </w:r>
          </w:p>
        </w:tc>
        <w:tc>
          <w:tcPr>
            <w:tcW w:w="1279" w:type="dxa"/>
          </w:tcPr>
          <w:p w14:paraId="4F678EA6" w14:textId="1565CA08" w:rsidR="004B4004" w:rsidRPr="004B4004" w:rsidRDefault="004B4004" w:rsidP="004B4004">
            <w:pPr>
              <w:pStyle w:val="Tableheading"/>
              <w:rPr>
                <w:rFonts w:cstheme="minorHAnsi"/>
                <w:b w:val="0"/>
                <w:sz w:val="20"/>
                <w:szCs w:val="20"/>
              </w:rPr>
            </w:pPr>
            <w:r w:rsidRPr="004B4004">
              <w:rPr>
                <w:rFonts w:cstheme="minorHAnsi"/>
                <w:b w:val="0"/>
                <w:sz w:val="20"/>
                <w:szCs w:val="20"/>
              </w:rPr>
              <w:t>100</w:t>
            </w:r>
          </w:p>
        </w:tc>
      </w:tr>
      <w:tr w:rsidR="004B4004" w:rsidRPr="001D0858" w14:paraId="6EA37E49" w14:textId="77777777" w:rsidTr="00D069E4">
        <w:trPr>
          <w:trHeight w:val="20"/>
        </w:trPr>
        <w:tc>
          <w:tcPr>
            <w:tcW w:w="1413" w:type="dxa"/>
          </w:tcPr>
          <w:p w14:paraId="6AA7BAF1" w14:textId="208E217B" w:rsidR="004B4004" w:rsidRPr="00C11A25" w:rsidRDefault="004B4004" w:rsidP="004B4004">
            <w:pPr>
              <w:pStyle w:val="Tableheading"/>
              <w:rPr>
                <w:sz w:val="20"/>
                <w:szCs w:val="20"/>
              </w:rPr>
            </w:pPr>
            <w:r w:rsidRPr="00C11A25">
              <w:rPr>
                <w:sz w:val="20"/>
                <w:szCs w:val="20"/>
              </w:rPr>
              <w:t>Male 50–59</w:t>
            </w:r>
          </w:p>
        </w:tc>
        <w:tc>
          <w:tcPr>
            <w:tcW w:w="992" w:type="dxa"/>
          </w:tcPr>
          <w:p w14:paraId="3FBB8EDC" w14:textId="7D0447DB" w:rsidR="004B4004" w:rsidRPr="004B4004" w:rsidRDefault="004B4004" w:rsidP="004B4004">
            <w:pPr>
              <w:pStyle w:val="Tableheading"/>
              <w:rPr>
                <w:rFonts w:cstheme="minorHAnsi"/>
                <w:b w:val="0"/>
                <w:sz w:val="20"/>
                <w:szCs w:val="20"/>
              </w:rPr>
            </w:pPr>
            <w:r w:rsidRPr="004B4004">
              <w:rPr>
                <w:rFonts w:cstheme="minorHAnsi"/>
                <w:b w:val="0"/>
                <w:sz w:val="20"/>
                <w:szCs w:val="20"/>
              </w:rPr>
              <w:t>104</w:t>
            </w:r>
          </w:p>
        </w:tc>
        <w:tc>
          <w:tcPr>
            <w:tcW w:w="1429" w:type="dxa"/>
          </w:tcPr>
          <w:p w14:paraId="19646990" w14:textId="28458A2E" w:rsidR="004B4004" w:rsidRPr="004B4004" w:rsidRDefault="004B4004" w:rsidP="004B4004">
            <w:pPr>
              <w:pStyle w:val="Tableheading"/>
              <w:rPr>
                <w:rFonts w:cstheme="minorHAnsi"/>
                <w:b w:val="0"/>
                <w:sz w:val="20"/>
                <w:szCs w:val="20"/>
              </w:rPr>
            </w:pPr>
            <w:r w:rsidRPr="004B4004">
              <w:rPr>
                <w:rFonts w:cstheme="minorHAnsi"/>
                <w:b w:val="0"/>
                <w:sz w:val="20"/>
                <w:szCs w:val="20"/>
              </w:rPr>
              <w:t>175</w:t>
            </w:r>
          </w:p>
        </w:tc>
        <w:tc>
          <w:tcPr>
            <w:tcW w:w="1278" w:type="dxa"/>
          </w:tcPr>
          <w:p w14:paraId="3C327269" w14:textId="0ED2D6AA" w:rsidR="004B4004" w:rsidRPr="004B4004" w:rsidRDefault="004B4004" w:rsidP="004B4004">
            <w:pPr>
              <w:pStyle w:val="Tableheading"/>
              <w:rPr>
                <w:rFonts w:cstheme="minorHAnsi"/>
                <w:b w:val="0"/>
                <w:sz w:val="20"/>
                <w:szCs w:val="20"/>
              </w:rPr>
            </w:pPr>
            <w:r w:rsidRPr="004B4004">
              <w:rPr>
                <w:rFonts w:cstheme="minorHAnsi"/>
                <w:b w:val="0"/>
                <w:sz w:val="20"/>
                <w:szCs w:val="20"/>
              </w:rPr>
              <w:t>250</w:t>
            </w:r>
          </w:p>
        </w:tc>
        <w:tc>
          <w:tcPr>
            <w:tcW w:w="1120" w:type="dxa"/>
          </w:tcPr>
          <w:p w14:paraId="765BE95A" w14:textId="4981E3F7" w:rsidR="004B4004" w:rsidRPr="004B4004" w:rsidRDefault="004B4004" w:rsidP="004B4004">
            <w:pPr>
              <w:pStyle w:val="Tableheading"/>
              <w:rPr>
                <w:rFonts w:cstheme="minorHAnsi"/>
                <w:b w:val="0"/>
                <w:sz w:val="20"/>
                <w:szCs w:val="20"/>
              </w:rPr>
            </w:pPr>
            <w:r w:rsidRPr="004B4004">
              <w:rPr>
                <w:rFonts w:cstheme="minorHAnsi"/>
                <w:b w:val="0"/>
                <w:sz w:val="20"/>
                <w:szCs w:val="20"/>
              </w:rPr>
              <w:t>281</w:t>
            </w:r>
          </w:p>
        </w:tc>
        <w:tc>
          <w:tcPr>
            <w:tcW w:w="1436" w:type="dxa"/>
          </w:tcPr>
          <w:p w14:paraId="3F141F47" w14:textId="17135B04" w:rsidR="004B4004" w:rsidRPr="004B4004" w:rsidRDefault="004B4004" w:rsidP="004B4004">
            <w:pPr>
              <w:pStyle w:val="Tableheading"/>
              <w:rPr>
                <w:rFonts w:cstheme="minorHAnsi"/>
                <w:b w:val="0"/>
                <w:sz w:val="20"/>
                <w:szCs w:val="20"/>
              </w:rPr>
            </w:pPr>
            <w:r w:rsidRPr="004B4004">
              <w:rPr>
                <w:rFonts w:cstheme="minorHAnsi"/>
                <w:b w:val="0"/>
                <w:sz w:val="20"/>
                <w:szCs w:val="20"/>
              </w:rPr>
              <w:t>316</w:t>
            </w:r>
          </w:p>
        </w:tc>
        <w:tc>
          <w:tcPr>
            <w:tcW w:w="1279" w:type="dxa"/>
          </w:tcPr>
          <w:p w14:paraId="0200AAC2" w14:textId="5C976B96" w:rsidR="004B4004" w:rsidRPr="004B4004" w:rsidRDefault="004B4004" w:rsidP="004B4004">
            <w:pPr>
              <w:pStyle w:val="Tableheading"/>
              <w:rPr>
                <w:rFonts w:cstheme="minorHAnsi"/>
                <w:b w:val="0"/>
                <w:sz w:val="20"/>
                <w:szCs w:val="20"/>
              </w:rPr>
            </w:pPr>
            <w:r w:rsidRPr="004B4004">
              <w:rPr>
                <w:rFonts w:cstheme="minorHAnsi"/>
                <w:b w:val="0"/>
                <w:sz w:val="20"/>
                <w:szCs w:val="20"/>
              </w:rPr>
              <w:t>234</w:t>
            </w:r>
          </w:p>
        </w:tc>
      </w:tr>
      <w:tr w:rsidR="004B4004" w:rsidRPr="001D0858" w14:paraId="7EBBA212" w14:textId="77777777" w:rsidTr="00D069E4">
        <w:trPr>
          <w:trHeight w:val="20"/>
        </w:trPr>
        <w:tc>
          <w:tcPr>
            <w:tcW w:w="1413" w:type="dxa"/>
          </w:tcPr>
          <w:p w14:paraId="4E7EF903" w14:textId="77777777" w:rsidR="004B4004" w:rsidRPr="00C11A25" w:rsidRDefault="004B4004" w:rsidP="004B4004">
            <w:pPr>
              <w:pStyle w:val="Tableheading"/>
              <w:rPr>
                <w:sz w:val="20"/>
                <w:szCs w:val="20"/>
              </w:rPr>
            </w:pPr>
            <w:r w:rsidRPr="00C11A25">
              <w:rPr>
                <w:sz w:val="20"/>
                <w:szCs w:val="20"/>
              </w:rPr>
              <w:t>Male 60–69</w:t>
            </w:r>
          </w:p>
        </w:tc>
        <w:tc>
          <w:tcPr>
            <w:tcW w:w="992" w:type="dxa"/>
          </w:tcPr>
          <w:p w14:paraId="7823BCFB" w14:textId="3807501B" w:rsidR="004B4004" w:rsidRPr="004B4004" w:rsidRDefault="004B4004" w:rsidP="004B4004">
            <w:pPr>
              <w:pStyle w:val="Tableheading"/>
              <w:rPr>
                <w:rFonts w:cstheme="minorHAnsi"/>
                <w:b w:val="0"/>
                <w:sz w:val="20"/>
                <w:szCs w:val="20"/>
              </w:rPr>
            </w:pPr>
            <w:r w:rsidRPr="004B4004">
              <w:rPr>
                <w:rFonts w:cstheme="minorHAnsi"/>
                <w:b w:val="0"/>
                <w:sz w:val="20"/>
                <w:szCs w:val="20"/>
              </w:rPr>
              <w:t>197</w:t>
            </w:r>
          </w:p>
        </w:tc>
        <w:tc>
          <w:tcPr>
            <w:tcW w:w="1429" w:type="dxa"/>
          </w:tcPr>
          <w:p w14:paraId="0E15E1AC" w14:textId="0B98E3E5" w:rsidR="004B4004" w:rsidRPr="004B4004" w:rsidRDefault="004B4004" w:rsidP="004B4004">
            <w:pPr>
              <w:pStyle w:val="Tableheading"/>
              <w:rPr>
                <w:rFonts w:cstheme="minorHAnsi"/>
                <w:b w:val="0"/>
                <w:sz w:val="20"/>
                <w:szCs w:val="20"/>
              </w:rPr>
            </w:pPr>
            <w:r w:rsidRPr="004B4004">
              <w:rPr>
                <w:rFonts w:cstheme="minorHAnsi"/>
                <w:b w:val="0"/>
                <w:sz w:val="20"/>
                <w:szCs w:val="20"/>
              </w:rPr>
              <w:t>373</w:t>
            </w:r>
          </w:p>
        </w:tc>
        <w:tc>
          <w:tcPr>
            <w:tcW w:w="1278" w:type="dxa"/>
          </w:tcPr>
          <w:p w14:paraId="787F39F4" w14:textId="036B71A1" w:rsidR="004B4004" w:rsidRPr="004B4004" w:rsidRDefault="004B4004" w:rsidP="004B4004">
            <w:pPr>
              <w:pStyle w:val="Tableheading"/>
              <w:rPr>
                <w:rFonts w:cstheme="minorHAnsi"/>
                <w:b w:val="0"/>
                <w:sz w:val="20"/>
                <w:szCs w:val="20"/>
              </w:rPr>
            </w:pPr>
            <w:r w:rsidRPr="004B4004">
              <w:rPr>
                <w:rFonts w:cstheme="minorHAnsi"/>
                <w:b w:val="0"/>
                <w:sz w:val="20"/>
                <w:szCs w:val="20"/>
              </w:rPr>
              <w:t>520</w:t>
            </w:r>
          </w:p>
        </w:tc>
        <w:tc>
          <w:tcPr>
            <w:tcW w:w="1120" w:type="dxa"/>
          </w:tcPr>
          <w:p w14:paraId="43DF47DE" w14:textId="4BF2F21F" w:rsidR="004B4004" w:rsidRPr="004B4004" w:rsidRDefault="004B4004" w:rsidP="004B4004">
            <w:pPr>
              <w:pStyle w:val="Tableheading"/>
              <w:rPr>
                <w:rFonts w:cstheme="minorHAnsi"/>
                <w:b w:val="0"/>
                <w:sz w:val="20"/>
                <w:szCs w:val="20"/>
              </w:rPr>
            </w:pPr>
            <w:r w:rsidRPr="004B4004">
              <w:rPr>
                <w:rFonts w:cstheme="minorHAnsi"/>
                <w:b w:val="0"/>
                <w:sz w:val="20"/>
                <w:szCs w:val="20"/>
              </w:rPr>
              <w:t>699</w:t>
            </w:r>
          </w:p>
        </w:tc>
        <w:tc>
          <w:tcPr>
            <w:tcW w:w="1436" w:type="dxa"/>
          </w:tcPr>
          <w:p w14:paraId="67D4DDCC" w14:textId="423F77C9" w:rsidR="004B4004" w:rsidRPr="004B4004" w:rsidRDefault="004B4004" w:rsidP="004B4004">
            <w:pPr>
              <w:pStyle w:val="Tableheading"/>
              <w:rPr>
                <w:rFonts w:cstheme="minorHAnsi"/>
                <w:b w:val="0"/>
                <w:sz w:val="20"/>
                <w:szCs w:val="20"/>
              </w:rPr>
            </w:pPr>
            <w:r w:rsidRPr="004B4004">
              <w:rPr>
                <w:rFonts w:cstheme="minorHAnsi"/>
                <w:b w:val="0"/>
                <w:sz w:val="20"/>
                <w:szCs w:val="20"/>
              </w:rPr>
              <w:t>848</w:t>
            </w:r>
          </w:p>
        </w:tc>
        <w:tc>
          <w:tcPr>
            <w:tcW w:w="1279" w:type="dxa"/>
          </w:tcPr>
          <w:p w14:paraId="6C4DC641" w14:textId="17E342C6" w:rsidR="004B4004" w:rsidRPr="004B4004" w:rsidRDefault="004B4004" w:rsidP="004B4004">
            <w:pPr>
              <w:pStyle w:val="Tableheading"/>
              <w:rPr>
                <w:rFonts w:cstheme="minorHAnsi"/>
                <w:b w:val="0"/>
                <w:sz w:val="20"/>
                <w:szCs w:val="20"/>
              </w:rPr>
            </w:pPr>
            <w:r w:rsidRPr="004B4004">
              <w:rPr>
                <w:rFonts w:cstheme="minorHAnsi"/>
                <w:b w:val="0"/>
                <w:sz w:val="20"/>
                <w:szCs w:val="20"/>
              </w:rPr>
              <w:t>682</w:t>
            </w:r>
          </w:p>
        </w:tc>
      </w:tr>
      <w:tr w:rsidR="004B4004" w:rsidRPr="001D0858" w14:paraId="35112922" w14:textId="77777777" w:rsidTr="00D069E4">
        <w:trPr>
          <w:trHeight w:val="20"/>
        </w:trPr>
        <w:tc>
          <w:tcPr>
            <w:tcW w:w="1413" w:type="dxa"/>
          </w:tcPr>
          <w:p w14:paraId="7F45937B" w14:textId="77777777" w:rsidR="004B4004" w:rsidRPr="00C11A25" w:rsidRDefault="004B4004" w:rsidP="004B4004">
            <w:pPr>
              <w:pStyle w:val="Tableheading"/>
              <w:rPr>
                <w:sz w:val="20"/>
                <w:szCs w:val="20"/>
              </w:rPr>
            </w:pPr>
            <w:r w:rsidRPr="00C11A25">
              <w:rPr>
                <w:sz w:val="20"/>
                <w:szCs w:val="20"/>
              </w:rPr>
              <w:t>Male 70+</w:t>
            </w:r>
          </w:p>
        </w:tc>
        <w:tc>
          <w:tcPr>
            <w:tcW w:w="992" w:type="dxa"/>
          </w:tcPr>
          <w:p w14:paraId="2B37DB22" w14:textId="048556DD" w:rsidR="004B4004" w:rsidRPr="004B4004" w:rsidRDefault="004B4004" w:rsidP="004B4004">
            <w:pPr>
              <w:pStyle w:val="Tableheading"/>
              <w:rPr>
                <w:rFonts w:cstheme="minorHAnsi"/>
                <w:b w:val="0"/>
                <w:sz w:val="20"/>
                <w:szCs w:val="20"/>
              </w:rPr>
            </w:pPr>
            <w:r w:rsidRPr="004B4004">
              <w:rPr>
                <w:rFonts w:cstheme="minorHAnsi"/>
                <w:b w:val="0"/>
                <w:sz w:val="20"/>
                <w:szCs w:val="20"/>
              </w:rPr>
              <w:t>1,069</w:t>
            </w:r>
          </w:p>
        </w:tc>
        <w:tc>
          <w:tcPr>
            <w:tcW w:w="1429" w:type="dxa"/>
          </w:tcPr>
          <w:p w14:paraId="18DE6E29" w14:textId="0A6200DB" w:rsidR="004B4004" w:rsidRPr="004B4004" w:rsidRDefault="004B4004" w:rsidP="004B4004">
            <w:pPr>
              <w:pStyle w:val="Tableheading"/>
              <w:rPr>
                <w:rFonts w:cstheme="minorHAnsi"/>
                <w:b w:val="0"/>
                <w:sz w:val="20"/>
                <w:szCs w:val="20"/>
              </w:rPr>
            </w:pPr>
            <w:r w:rsidRPr="004B4004">
              <w:rPr>
                <w:rFonts w:cstheme="minorHAnsi"/>
                <w:b w:val="0"/>
                <w:sz w:val="20"/>
                <w:szCs w:val="20"/>
              </w:rPr>
              <w:t>2,073</w:t>
            </w:r>
          </w:p>
        </w:tc>
        <w:tc>
          <w:tcPr>
            <w:tcW w:w="1278" w:type="dxa"/>
          </w:tcPr>
          <w:p w14:paraId="2834E753" w14:textId="6CC7773F" w:rsidR="004B4004" w:rsidRPr="004B4004" w:rsidRDefault="004B4004" w:rsidP="004B4004">
            <w:pPr>
              <w:pStyle w:val="Tableheading"/>
              <w:rPr>
                <w:rFonts w:cstheme="minorHAnsi"/>
                <w:b w:val="0"/>
                <w:sz w:val="20"/>
                <w:szCs w:val="20"/>
              </w:rPr>
            </w:pPr>
            <w:r w:rsidRPr="004B4004">
              <w:rPr>
                <w:rFonts w:cstheme="minorHAnsi"/>
                <w:b w:val="0"/>
                <w:sz w:val="20"/>
                <w:szCs w:val="20"/>
              </w:rPr>
              <w:t>3,037</w:t>
            </w:r>
          </w:p>
        </w:tc>
        <w:tc>
          <w:tcPr>
            <w:tcW w:w="1120" w:type="dxa"/>
          </w:tcPr>
          <w:p w14:paraId="109B191F" w14:textId="3B3693BD" w:rsidR="004B4004" w:rsidRPr="004B4004" w:rsidRDefault="004B4004" w:rsidP="004B4004">
            <w:pPr>
              <w:pStyle w:val="Tableheading"/>
              <w:rPr>
                <w:rFonts w:cstheme="minorHAnsi"/>
                <w:b w:val="0"/>
                <w:sz w:val="20"/>
                <w:szCs w:val="20"/>
              </w:rPr>
            </w:pPr>
            <w:r w:rsidRPr="004B4004">
              <w:rPr>
                <w:rFonts w:cstheme="minorHAnsi"/>
                <w:b w:val="0"/>
                <w:sz w:val="20"/>
                <w:szCs w:val="20"/>
              </w:rPr>
              <w:t>4,169</w:t>
            </w:r>
          </w:p>
        </w:tc>
        <w:tc>
          <w:tcPr>
            <w:tcW w:w="1436" w:type="dxa"/>
          </w:tcPr>
          <w:p w14:paraId="291F760E" w14:textId="37CE8A35" w:rsidR="004B4004" w:rsidRPr="004B4004" w:rsidRDefault="004B4004" w:rsidP="004B4004">
            <w:pPr>
              <w:pStyle w:val="Tableheading"/>
              <w:rPr>
                <w:rFonts w:cstheme="minorHAnsi"/>
                <w:b w:val="0"/>
                <w:sz w:val="20"/>
                <w:szCs w:val="20"/>
              </w:rPr>
            </w:pPr>
            <w:r w:rsidRPr="004B4004">
              <w:rPr>
                <w:rFonts w:cstheme="minorHAnsi"/>
                <w:b w:val="0"/>
                <w:sz w:val="20"/>
                <w:szCs w:val="20"/>
              </w:rPr>
              <w:t>5,218</w:t>
            </w:r>
          </w:p>
        </w:tc>
        <w:tc>
          <w:tcPr>
            <w:tcW w:w="1279" w:type="dxa"/>
          </w:tcPr>
          <w:p w14:paraId="3700CEFA" w14:textId="0998F736" w:rsidR="004B4004" w:rsidRPr="004B4004" w:rsidRDefault="004B4004" w:rsidP="004B4004">
            <w:pPr>
              <w:pStyle w:val="Tableheading"/>
              <w:rPr>
                <w:rFonts w:cstheme="minorHAnsi"/>
                <w:b w:val="0"/>
                <w:sz w:val="20"/>
                <w:szCs w:val="20"/>
              </w:rPr>
            </w:pPr>
            <w:r w:rsidRPr="004B4004">
              <w:rPr>
                <w:rFonts w:cstheme="minorHAnsi"/>
                <w:b w:val="0"/>
                <w:sz w:val="20"/>
                <w:szCs w:val="20"/>
              </w:rPr>
              <w:t>4,674</w:t>
            </w:r>
          </w:p>
        </w:tc>
      </w:tr>
    </w:tbl>
    <w:p w14:paraId="542F443C" w14:textId="19034518" w:rsidR="00441314" w:rsidRDefault="003B2139" w:rsidP="00812493">
      <w:pPr>
        <w:pStyle w:val="Figurecaption"/>
      </w:pPr>
      <w:r>
        <w:t>*Six months of data only</w:t>
      </w:r>
    </w:p>
    <w:p w14:paraId="6C235FCF" w14:textId="7371B32E" w:rsidR="00441314" w:rsidRPr="002C76E5" w:rsidRDefault="00736681" w:rsidP="002C76E5">
      <w:pPr>
        <w:pStyle w:val="Heading4"/>
        <w:rPr>
          <w:sz w:val="24"/>
        </w:rPr>
      </w:pPr>
      <w:r w:rsidRPr="002C76E5">
        <w:rPr>
          <w:sz w:val="24"/>
        </w:rPr>
        <w:t>Incident denosumab patients</w:t>
      </w:r>
    </w:p>
    <w:p w14:paraId="09F8A9BC" w14:textId="6F814F8F" w:rsidR="006A44F5" w:rsidRPr="00812493" w:rsidRDefault="001C3691" w:rsidP="00812493">
      <w:pPr>
        <w:pStyle w:val="Heading4"/>
        <w:rPr>
          <w:sz w:val="24"/>
        </w:rPr>
      </w:pPr>
      <w:r w:rsidRPr="00812493">
        <w:rPr>
          <w:sz w:val="24"/>
        </w:rPr>
        <w:t>Denosumab initiators</w:t>
      </w:r>
      <w:r w:rsidR="00425CE0" w:rsidRPr="00812493">
        <w:rPr>
          <w:sz w:val="24"/>
        </w:rPr>
        <w:t xml:space="preserve"> (regardless of whether they had previously been dispensed another osteoporosis medicine)</w:t>
      </w:r>
    </w:p>
    <w:p w14:paraId="6770C176" w14:textId="7DE49ADE" w:rsidR="002C76E5" w:rsidRDefault="004320B5" w:rsidP="002C76E5">
      <w:r>
        <w:t>The number of patients newly started on denosumab</w:t>
      </w:r>
      <w:r w:rsidR="00634C89">
        <w:t xml:space="preserve">, </w:t>
      </w:r>
      <w:r w:rsidR="00CC583B">
        <w:t>regardless of whether</w:t>
      </w:r>
      <w:r w:rsidR="004A55DA">
        <w:t xml:space="preserve"> </w:t>
      </w:r>
      <w:r w:rsidR="00634C89">
        <w:t xml:space="preserve">they had previously used a different osteoporosis medicine, </w:t>
      </w:r>
      <w:r w:rsidR="009050E9">
        <w:t xml:space="preserve">increased </w:t>
      </w:r>
      <w:r w:rsidR="00673762">
        <w:t xml:space="preserve">from </w:t>
      </w:r>
      <w:r w:rsidR="009050E9">
        <w:t>2014</w:t>
      </w:r>
      <w:r w:rsidR="00F107AF">
        <w:t xml:space="preserve">, </w:t>
      </w:r>
      <w:r w:rsidR="00433EF3">
        <w:t xml:space="preserve">before </w:t>
      </w:r>
      <w:r w:rsidR="00F107AF">
        <w:t xml:space="preserve">stabilising </w:t>
      </w:r>
      <w:r w:rsidR="00433EF3">
        <w:t>in 2017 and 2018</w:t>
      </w:r>
      <w:r w:rsidR="009050E9">
        <w:t xml:space="preserve">. </w:t>
      </w:r>
      <w:r w:rsidR="00C70BB9">
        <w:t xml:space="preserve">In 2018, </w:t>
      </w:r>
      <w:r w:rsidR="00C70BB9" w:rsidRPr="00C70BB9">
        <w:t xml:space="preserve">there were an estimated </w:t>
      </w:r>
      <w:r w:rsidR="00C70BB9">
        <w:t>9,391</w:t>
      </w:r>
      <w:r w:rsidR="00C70BB9" w:rsidRPr="00C70BB9">
        <w:t xml:space="preserve"> patients from the 10% PBS sample who were </w:t>
      </w:r>
      <w:r w:rsidR="00AA66AD">
        <w:t xml:space="preserve">denosumab initiators </w:t>
      </w:r>
      <w:r w:rsidR="008717B7">
        <w:t xml:space="preserve">– a </w:t>
      </w:r>
      <w:r w:rsidR="00C3543A">
        <w:t xml:space="preserve">40% </w:t>
      </w:r>
      <w:r w:rsidR="008717B7">
        <w:t>increase from t</w:t>
      </w:r>
      <w:r w:rsidR="00C3543A">
        <w:t>he number</w:t>
      </w:r>
      <w:r w:rsidR="008306C2">
        <w:t xml:space="preserve"> of denosumab initiators</w:t>
      </w:r>
      <w:r w:rsidR="00C3543A">
        <w:t xml:space="preserve"> in 2014. </w:t>
      </w:r>
      <w:r w:rsidR="00580D30">
        <w:t>T</w:t>
      </w:r>
      <w:r w:rsidR="00186A2E">
        <w:t>he number</w:t>
      </w:r>
      <w:r w:rsidR="00CC583B">
        <w:t xml:space="preserve"> of</w:t>
      </w:r>
      <w:r w:rsidR="00186A2E">
        <w:t xml:space="preserve"> </w:t>
      </w:r>
      <w:r w:rsidR="00F803FA">
        <w:t xml:space="preserve">female denosumab initiators increased by 40% </w:t>
      </w:r>
      <w:r w:rsidR="00580D30">
        <w:t xml:space="preserve">between 2014 and 2018 </w:t>
      </w:r>
      <w:r w:rsidR="00F803FA">
        <w:t xml:space="preserve">and </w:t>
      </w:r>
      <w:r w:rsidR="00580D30">
        <w:t xml:space="preserve">the number of </w:t>
      </w:r>
      <w:r w:rsidR="00F803FA">
        <w:t>male denosumab initiators increased by 60%</w:t>
      </w:r>
      <w:r w:rsidR="00580D30">
        <w:t>.</w:t>
      </w:r>
      <w:r w:rsidR="009050E9">
        <w:t xml:space="preserve"> Once again, women aged 70+ years were </w:t>
      </w:r>
      <w:r w:rsidR="00587C05">
        <w:t xml:space="preserve">the </w:t>
      </w:r>
      <w:r w:rsidR="009050E9">
        <w:t>largest group of patients newly started on denosumab</w:t>
      </w:r>
      <w:r w:rsidR="00634C89">
        <w:t xml:space="preserve"> </w:t>
      </w:r>
      <w:r w:rsidR="0022739A">
        <w:t>(Figure 2, Table 11</w:t>
      </w:r>
      <w:r w:rsidR="007B196E">
        <w:t>)</w:t>
      </w:r>
      <w:r w:rsidR="008C4707">
        <w:t>.</w:t>
      </w:r>
    </w:p>
    <w:p w14:paraId="05E6B7AE" w14:textId="190B7413" w:rsidR="001B4CC0" w:rsidRDefault="001B4CC0" w:rsidP="002C76E5">
      <w:r>
        <w:rPr>
          <w:noProof/>
        </w:rPr>
        <w:drawing>
          <wp:inline distT="0" distB="0" distL="0" distR="0" wp14:anchorId="53B5B099" wp14:editId="4D2F889B">
            <wp:extent cx="5687695" cy="3651250"/>
            <wp:effectExtent l="0" t="0" r="8255" b="6350"/>
            <wp:docPr id="7" name="Chart 7" title="Figure 2: Number of patients newly dispensed denosumab (denosumab initiators) between January 2014 and June 2019 regardless of whether they had previously been dispensed another osteoporosis medicine, by age-sex groups">
              <a:extLst xmlns:a="http://schemas.openxmlformats.org/drawingml/2006/main">
                <a:ext uri="{FF2B5EF4-FFF2-40B4-BE49-F238E27FC236}">
                  <a16:creationId xmlns:a16="http://schemas.microsoft.com/office/drawing/2014/main" id="{CB232500-3BC1-4A3C-833A-EBE64D501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214F05" w14:textId="1FB60BBF" w:rsidR="001B4CC0" w:rsidRDefault="001B4CC0" w:rsidP="001B4CC0">
      <w:pPr>
        <w:pStyle w:val="Figuretitle"/>
      </w:pPr>
      <w:r>
        <w:t>Figure</w:t>
      </w:r>
      <w:r w:rsidR="004563B6">
        <w:t xml:space="preserve"> 2</w:t>
      </w:r>
      <w:r>
        <w:t>:</w:t>
      </w:r>
      <w:r w:rsidRPr="005D25DF">
        <w:t xml:space="preserve"> Number of patients</w:t>
      </w:r>
      <w:r>
        <w:t xml:space="preserve"> newly</w:t>
      </w:r>
      <w:r w:rsidRPr="005D25DF">
        <w:t xml:space="preserve"> dispensed denosumab </w:t>
      </w:r>
      <w:r>
        <w:t>(</w:t>
      </w:r>
      <w:r w:rsidR="001804AB">
        <w:t>d</w:t>
      </w:r>
      <w:r w:rsidR="001804AB" w:rsidRPr="001804AB">
        <w:t>enosumab initiators</w:t>
      </w:r>
      <w:r>
        <w:t>)</w:t>
      </w:r>
      <w:r w:rsidRPr="005D25DF">
        <w:t xml:space="preserve"> between January 2014 and June 2019</w:t>
      </w:r>
      <w:r>
        <w:t xml:space="preserve"> regardless of whether they had previously been dispensed another osteoporosis medicine</w:t>
      </w:r>
      <w:r w:rsidRPr="005D25DF">
        <w:t>, by age-sex groups</w:t>
      </w:r>
    </w:p>
    <w:p w14:paraId="3BE17797" w14:textId="77777777" w:rsidR="001B4CC0" w:rsidRDefault="001B4CC0" w:rsidP="00812493">
      <w:pPr>
        <w:pStyle w:val="Figurecaption"/>
      </w:pPr>
      <w:r>
        <w:lastRenderedPageBreak/>
        <w:t>*Six months of data only</w:t>
      </w:r>
    </w:p>
    <w:p w14:paraId="7AF436C9" w14:textId="77777777" w:rsidR="001B4CC0" w:rsidRPr="003D7D53" w:rsidRDefault="001B4CC0" w:rsidP="003D7D53"/>
    <w:p w14:paraId="31036641" w14:textId="48E46E59" w:rsidR="00B03BF7" w:rsidRDefault="0022739A" w:rsidP="00B03BF7">
      <w:pPr>
        <w:pStyle w:val="Tabletitle"/>
      </w:pPr>
      <w:r>
        <w:t>Table 11</w:t>
      </w:r>
      <w:r w:rsidR="00B03BF7">
        <w:t>:</w:t>
      </w:r>
      <w:r w:rsidR="00110939">
        <w:t xml:space="preserve"> </w:t>
      </w:r>
      <w:r w:rsidR="00B03BF7">
        <w:t xml:space="preserve">Annual count of denosumab </w:t>
      </w:r>
      <w:r w:rsidR="001804AB">
        <w:t>initiators</w:t>
      </w:r>
      <w:r w:rsidR="00B03BF7">
        <w:t xml:space="preserve"> overall, by age, sex and age-sex groups (2014 to June 201</w:t>
      </w:r>
      <w:r w:rsidR="00DD7A7C">
        <w:t>9</w:t>
      </w:r>
      <w:r w:rsidR="00B03BF7">
        <w:t>)</w:t>
      </w:r>
    </w:p>
    <w:tbl>
      <w:tblPr>
        <w:tblStyle w:val="TableGrid"/>
        <w:tblW w:w="0" w:type="auto"/>
        <w:tblLayout w:type="fixed"/>
        <w:tblLook w:val="04A0" w:firstRow="1" w:lastRow="0" w:firstColumn="1" w:lastColumn="0" w:noHBand="0" w:noVBand="1"/>
        <w:tblCaption w:val="Table 9: Annual count of denosumab initiators overall, by age, sex and age-sex groups (2014 to June 2019)"/>
      </w:tblPr>
      <w:tblGrid>
        <w:gridCol w:w="1413"/>
        <w:gridCol w:w="992"/>
        <w:gridCol w:w="1429"/>
        <w:gridCol w:w="1278"/>
        <w:gridCol w:w="1120"/>
        <w:gridCol w:w="1436"/>
        <w:gridCol w:w="1279"/>
      </w:tblGrid>
      <w:tr w:rsidR="00B03BF7" w:rsidRPr="001D0858" w14:paraId="6B61C8D8" w14:textId="77777777" w:rsidTr="00D069E4">
        <w:trPr>
          <w:trHeight w:val="20"/>
          <w:tblHeader/>
        </w:trPr>
        <w:tc>
          <w:tcPr>
            <w:tcW w:w="1413" w:type="dxa"/>
            <w:shd w:val="clear" w:color="auto" w:fill="BFBFBF" w:themeFill="background1" w:themeFillShade="BF"/>
          </w:tcPr>
          <w:p w14:paraId="6A76A779" w14:textId="77777777" w:rsidR="00B03BF7" w:rsidRDefault="00B03BF7" w:rsidP="00D069E4">
            <w:pPr>
              <w:pStyle w:val="Tableheading"/>
              <w:rPr>
                <w:sz w:val="20"/>
                <w:szCs w:val="20"/>
              </w:rPr>
            </w:pPr>
          </w:p>
        </w:tc>
        <w:tc>
          <w:tcPr>
            <w:tcW w:w="992" w:type="dxa"/>
            <w:shd w:val="clear" w:color="auto" w:fill="BFBFBF" w:themeFill="background1" w:themeFillShade="BF"/>
          </w:tcPr>
          <w:p w14:paraId="6503C152" w14:textId="77777777" w:rsidR="00B03BF7" w:rsidRPr="001D0858" w:rsidRDefault="00B03BF7" w:rsidP="00D069E4">
            <w:pPr>
              <w:pStyle w:val="Tableheading"/>
              <w:rPr>
                <w:sz w:val="20"/>
                <w:szCs w:val="20"/>
              </w:rPr>
            </w:pPr>
            <w:r>
              <w:rPr>
                <w:sz w:val="20"/>
                <w:szCs w:val="20"/>
              </w:rPr>
              <w:t>2014</w:t>
            </w:r>
          </w:p>
        </w:tc>
        <w:tc>
          <w:tcPr>
            <w:tcW w:w="1429" w:type="dxa"/>
            <w:shd w:val="clear" w:color="auto" w:fill="BFBFBF" w:themeFill="background1" w:themeFillShade="BF"/>
          </w:tcPr>
          <w:p w14:paraId="5C1C4400" w14:textId="77777777" w:rsidR="00B03BF7" w:rsidRPr="001D0858" w:rsidRDefault="00B03BF7" w:rsidP="00D069E4">
            <w:pPr>
              <w:pStyle w:val="Tableheading"/>
              <w:rPr>
                <w:sz w:val="20"/>
                <w:szCs w:val="20"/>
              </w:rPr>
            </w:pPr>
            <w:r>
              <w:rPr>
                <w:sz w:val="20"/>
                <w:szCs w:val="20"/>
              </w:rPr>
              <w:t>2015</w:t>
            </w:r>
          </w:p>
        </w:tc>
        <w:tc>
          <w:tcPr>
            <w:tcW w:w="1278" w:type="dxa"/>
            <w:shd w:val="clear" w:color="auto" w:fill="BFBFBF" w:themeFill="background1" w:themeFillShade="BF"/>
          </w:tcPr>
          <w:p w14:paraId="43698C57" w14:textId="77777777" w:rsidR="00B03BF7" w:rsidRPr="001D0858" w:rsidRDefault="00B03BF7" w:rsidP="00D069E4">
            <w:pPr>
              <w:pStyle w:val="Tableheading"/>
              <w:rPr>
                <w:sz w:val="20"/>
                <w:szCs w:val="20"/>
              </w:rPr>
            </w:pPr>
            <w:r>
              <w:rPr>
                <w:sz w:val="20"/>
                <w:szCs w:val="20"/>
              </w:rPr>
              <w:t>2016</w:t>
            </w:r>
          </w:p>
        </w:tc>
        <w:tc>
          <w:tcPr>
            <w:tcW w:w="1120" w:type="dxa"/>
            <w:shd w:val="clear" w:color="auto" w:fill="BFBFBF" w:themeFill="background1" w:themeFillShade="BF"/>
          </w:tcPr>
          <w:p w14:paraId="4339C55D" w14:textId="77777777" w:rsidR="00B03BF7" w:rsidRPr="001D0858" w:rsidRDefault="00B03BF7" w:rsidP="00D069E4">
            <w:pPr>
              <w:pStyle w:val="Tableheading"/>
              <w:rPr>
                <w:sz w:val="20"/>
                <w:szCs w:val="20"/>
              </w:rPr>
            </w:pPr>
            <w:r>
              <w:rPr>
                <w:sz w:val="20"/>
                <w:szCs w:val="20"/>
              </w:rPr>
              <w:t>2017</w:t>
            </w:r>
          </w:p>
        </w:tc>
        <w:tc>
          <w:tcPr>
            <w:tcW w:w="1436" w:type="dxa"/>
            <w:shd w:val="clear" w:color="auto" w:fill="BFBFBF" w:themeFill="background1" w:themeFillShade="BF"/>
          </w:tcPr>
          <w:p w14:paraId="1A555FDF" w14:textId="77777777" w:rsidR="00B03BF7" w:rsidRPr="001D0858" w:rsidRDefault="00B03BF7" w:rsidP="00D069E4">
            <w:pPr>
              <w:pStyle w:val="Tableheading"/>
              <w:rPr>
                <w:sz w:val="20"/>
                <w:szCs w:val="20"/>
              </w:rPr>
            </w:pPr>
            <w:r>
              <w:rPr>
                <w:sz w:val="20"/>
                <w:szCs w:val="20"/>
              </w:rPr>
              <w:t>2018</w:t>
            </w:r>
          </w:p>
        </w:tc>
        <w:tc>
          <w:tcPr>
            <w:tcW w:w="1279" w:type="dxa"/>
            <w:shd w:val="clear" w:color="auto" w:fill="BFBFBF" w:themeFill="background1" w:themeFillShade="BF"/>
          </w:tcPr>
          <w:p w14:paraId="584BB4BE" w14:textId="3A54CC6E" w:rsidR="00B03BF7" w:rsidRPr="001D0858" w:rsidRDefault="00B03BF7" w:rsidP="00D069E4">
            <w:pPr>
              <w:pStyle w:val="Tableheading"/>
              <w:rPr>
                <w:sz w:val="20"/>
                <w:szCs w:val="20"/>
              </w:rPr>
            </w:pPr>
            <w:r>
              <w:rPr>
                <w:sz w:val="20"/>
                <w:szCs w:val="20"/>
              </w:rPr>
              <w:t>To June 2019</w:t>
            </w:r>
            <w:r w:rsidR="003B2139">
              <w:rPr>
                <w:sz w:val="20"/>
                <w:szCs w:val="20"/>
              </w:rPr>
              <w:t>*</w:t>
            </w:r>
          </w:p>
        </w:tc>
      </w:tr>
      <w:tr w:rsidR="00E0070E" w:rsidRPr="001D0858" w14:paraId="1C6D2C38" w14:textId="77777777" w:rsidTr="00D069E4">
        <w:trPr>
          <w:trHeight w:val="20"/>
        </w:trPr>
        <w:tc>
          <w:tcPr>
            <w:tcW w:w="1413" w:type="dxa"/>
          </w:tcPr>
          <w:p w14:paraId="2162EEEC" w14:textId="77777777" w:rsidR="00E0070E" w:rsidRPr="00C11A25" w:rsidRDefault="00E0070E" w:rsidP="00E0070E">
            <w:pPr>
              <w:pStyle w:val="Tableheading"/>
              <w:rPr>
                <w:rFonts w:cstheme="minorHAnsi"/>
                <w:sz w:val="20"/>
                <w:szCs w:val="20"/>
              </w:rPr>
            </w:pPr>
            <w:r w:rsidRPr="00C11A25">
              <w:rPr>
                <w:rFonts w:cstheme="minorHAnsi"/>
                <w:sz w:val="20"/>
                <w:szCs w:val="20"/>
              </w:rPr>
              <w:t>Total</w:t>
            </w:r>
          </w:p>
        </w:tc>
        <w:tc>
          <w:tcPr>
            <w:tcW w:w="992" w:type="dxa"/>
          </w:tcPr>
          <w:p w14:paraId="6B748F4D" w14:textId="26E63C16" w:rsidR="00E0070E" w:rsidRPr="000175ED" w:rsidRDefault="00E0070E" w:rsidP="00E0070E">
            <w:pPr>
              <w:pStyle w:val="Tableheading"/>
              <w:rPr>
                <w:rFonts w:cstheme="minorHAnsi"/>
                <w:b w:val="0"/>
                <w:sz w:val="20"/>
                <w:szCs w:val="20"/>
              </w:rPr>
            </w:pPr>
            <w:r w:rsidRPr="00FF2ECE">
              <w:rPr>
                <w:rFonts w:cstheme="minorHAnsi"/>
                <w:b w:val="0"/>
                <w:sz w:val="20"/>
                <w:szCs w:val="20"/>
              </w:rPr>
              <w:t>6,575</w:t>
            </w:r>
          </w:p>
        </w:tc>
        <w:tc>
          <w:tcPr>
            <w:tcW w:w="1429" w:type="dxa"/>
          </w:tcPr>
          <w:p w14:paraId="71AA6652" w14:textId="1EAA8947" w:rsidR="00E0070E" w:rsidRPr="000175ED" w:rsidRDefault="00E0070E" w:rsidP="00E0070E">
            <w:pPr>
              <w:pStyle w:val="Tableheading"/>
              <w:rPr>
                <w:rFonts w:cstheme="minorHAnsi"/>
                <w:b w:val="0"/>
                <w:sz w:val="20"/>
                <w:szCs w:val="20"/>
              </w:rPr>
            </w:pPr>
            <w:r w:rsidRPr="00FF2ECE">
              <w:rPr>
                <w:rFonts w:cstheme="minorHAnsi"/>
                <w:b w:val="0"/>
                <w:sz w:val="20"/>
                <w:szCs w:val="20"/>
              </w:rPr>
              <w:t>7,994</w:t>
            </w:r>
          </w:p>
        </w:tc>
        <w:tc>
          <w:tcPr>
            <w:tcW w:w="1278" w:type="dxa"/>
          </w:tcPr>
          <w:p w14:paraId="3124409D" w14:textId="1D803DFB" w:rsidR="00E0070E" w:rsidRPr="000175ED" w:rsidRDefault="00E0070E" w:rsidP="00E0070E">
            <w:pPr>
              <w:pStyle w:val="Tableheading"/>
              <w:rPr>
                <w:rFonts w:cstheme="minorHAnsi"/>
                <w:b w:val="0"/>
                <w:sz w:val="20"/>
                <w:szCs w:val="20"/>
              </w:rPr>
            </w:pPr>
            <w:r w:rsidRPr="00FF2ECE">
              <w:rPr>
                <w:rFonts w:cstheme="minorHAnsi"/>
                <w:b w:val="0"/>
                <w:sz w:val="20"/>
                <w:szCs w:val="20"/>
              </w:rPr>
              <w:t>8,733</w:t>
            </w:r>
          </w:p>
        </w:tc>
        <w:tc>
          <w:tcPr>
            <w:tcW w:w="1120" w:type="dxa"/>
          </w:tcPr>
          <w:p w14:paraId="56CFA55E" w14:textId="4E7ED4A2" w:rsidR="00E0070E" w:rsidRPr="000175ED" w:rsidRDefault="00E0070E" w:rsidP="00E0070E">
            <w:pPr>
              <w:pStyle w:val="Tableheading"/>
              <w:rPr>
                <w:rFonts w:cstheme="minorHAnsi"/>
                <w:b w:val="0"/>
                <w:sz w:val="20"/>
                <w:szCs w:val="20"/>
              </w:rPr>
            </w:pPr>
            <w:r w:rsidRPr="00FF2ECE">
              <w:rPr>
                <w:rFonts w:cstheme="minorHAnsi"/>
                <w:b w:val="0"/>
                <w:sz w:val="20"/>
                <w:szCs w:val="20"/>
              </w:rPr>
              <w:t>9,429</w:t>
            </w:r>
          </w:p>
        </w:tc>
        <w:tc>
          <w:tcPr>
            <w:tcW w:w="1436" w:type="dxa"/>
          </w:tcPr>
          <w:p w14:paraId="7707FB49" w14:textId="6D39CC6A" w:rsidR="00E0070E" w:rsidRPr="000175ED" w:rsidRDefault="00E0070E" w:rsidP="00E0070E">
            <w:pPr>
              <w:pStyle w:val="Tableheading"/>
              <w:rPr>
                <w:rFonts w:cstheme="minorHAnsi"/>
                <w:b w:val="0"/>
                <w:sz w:val="20"/>
                <w:szCs w:val="20"/>
              </w:rPr>
            </w:pPr>
            <w:r w:rsidRPr="00FF2ECE">
              <w:rPr>
                <w:rFonts w:cstheme="minorHAnsi"/>
                <w:b w:val="0"/>
                <w:sz w:val="20"/>
                <w:szCs w:val="20"/>
              </w:rPr>
              <w:t>9,391</w:t>
            </w:r>
          </w:p>
        </w:tc>
        <w:tc>
          <w:tcPr>
            <w:tcW w:w="1279" w:type="dxa"/>
          </w:tcPr>
          <w:p w14:paraId="08400E31" w14:textId="5EED6C59" w:rsidR="00E0070E" w:rsidRPr="000175ED" w:rsidRDefault="00E0070E" w:rsidP="00E0070E">
            <w:pPr>
              <w:pStyle w:val="Tableheading"/>
              <w:rPr>
                <w:rFonts w:cstheme="minorHAnsi"/>
                <w:b w:val="0"/>
                <w:sz w:val="20"/>
                <w:szCs w:val="20"/>
              </w:rPr>
            </w:pPr>
            <w:r w:rsidRPr="00FF2ECE">
              <w:rPr>
                <w:rFonts w:cstheme="minorHAnsi"/>
                <w:b w:val="0"/>
                <w:sz w:val="20"/>
                <w:szCs w:val="20"/>
              </w:rPr>
              <w:t>4,315</w:t>
            </w:r>
          </w:p>
        </w:tc>
      </w:tr>
      <w:tr w:rsidR="00B03BF7" w:rsidRPr="001D0858" w14:paraId="54367CA8" w14:textId="77777777" w:rsidTr="00D069E4">
        <w:trPr>
          <w:trHeight w:val="20"/>
        </w:trPr>
        <w:tc>
          <w:tcPr>
            <w:tcW w:w="8947" w:type="dxa"/>
            <w:gridSpan w:val="7"/>
            <w:shd w:val="clear" w:color="auto" w:fill="D9D9D9" w:themeFill="background1" w:themeFillShade="D9"/>
          </w:tcPr>
          <w:p w14:paraId="23461F96" w14:textId="77777777" w:rsidR="00B03BF7" w:rsidRPr="00C11A25" w:rsidRDefault="00B03BF7" w:rsidP="00D069E4">
            <w:pPr>
              <w:pStyle w:val="Tableheading"/>
              <w:rPr>
                <w:rFonts w:cstheme="minorHAnsi"/>
                <w:sz w:val="20"/>
                <w:szCs w:val="20"/>
              </w:rPr>
            </w:pPr>
            <w:r w:rsidRPr="00C11A25">
              <w:rPr>
                <w:rFonts w:cstheme="minorHAnsi"/>
                <w:sz w:val="20"/>
                <w:szCs w:val="20"/>
              </w:rPr>
              <w:t>Age group (10 years)</w:t>
            </w:r>
          </w:p>
        </w:tc>
      </w:tr>
      <w:tr w:rsidR="00FF2ECE" w:rsidRPr="001D0858" w14:paraId="7A6D18DA" w14:textId="77777777" w:rsidTr="00D069E4">
        <w:trPr>
          <w:trHeight w:val="20"/>
        </w:trPr>
        <w:tc>
          <w:tcPr>
            <w:tcW w:w="1413" w:type="dxa"/>
          </w:tcPr>
          <w:p w14:paraId="49591797" w14:textId="77777777" w:rsidR="00FF2ECE" w:rsidRPr="00C11A25" w:rsidRDefault="00FF2ECE" w:rsidP="00FF2ECE">
            <w:pPr>
              <w:pStyle w:val="Tableheading"/>
              <w:rPr>
                <w:rFonts w:cstheme="minorHAnsi"/>
                <w:sz w:val="20"/>
                <w:szCs w:val="20"/>
              </w:rPr>
            </w:pPr>
            <w:r>
              <w:rPr>
                <w:rFonts w:cstheme="minorHAnsi"/>
                <w:sz w:val="20"/>
                <w:szCs w:val="20"/>
              </w:rPr>
              <w:t>&lt;50</w:t>
            </w:r>
          </w:p>
        </w:tc>
        <w:tc>
          <w:tcPr>
            <w:tcW w:w="992" w:type="dxa"/>
          </w:tcPr>
          <w:p w14:paraId="79EADE88" w14:textId="0DB3B742" w:rsidR="00FF2ECE" w:rsidRPr="000F2789" w:rsidRDefault="00FF2ECE" w:rsidP="00FF2ECE">
            <w:pPr>
              <w:pStyle w:val="Tableheading"/>
              <w:rPr>
                <w:rFonts w:cstheme="minorHAnsi"/>
                <w:b w:val="0"/>
                <w:sz w:val="20"/>
                <w:szCs w:val="20"/>
              </w:rPr>
            </w:pPr>
            <w:r w:rsidRPr="00FF2ECE">
              <w:rPr>
                <w:rFonts w:cstheme="minorHAnsi"/>
                <w:b w:val="0"/>
                <w:sz w:val="20"/>
                <w:szCs w:val="20"/>
              </w:rPr>
              <w:t>103</w:t>
            </w:r>
          </w:p>
        </w:tc>
        <w:tc>
          <w:tcPr>
            <w:tcW w:w="1429" w:type="dxa"/>
          </w:tcPr>
          <w:p w14:paraId="42681013" w14:textId="4568C405" w:rsidR="00FF2ECE" w:rsidRPr="000F2789" w:rsidRDefault="00FF2ECE" w:rsidP="00FF2ECE">
            <w:pPr>
              <w:pStyle w:val="Tableheading"/>
              <w:rPr>
                <w:rFonts w:cstheme="minorHAnsi"/>
                <w:b w:val="0"/>
                <w:sz w:val="20"/>
                <w:szCs w:val="20"/>
              </w:rPr>
            </w:pPr>
            <w:r w:rsidRPr="00FF2ECE">
              <w:rPr>
                <w:rFonts w:cstheme="minorHAnsi"/>
                <w:b w:val="0"/>
                <w:sz w:val="20"/>
                <w:szCs w:val="20"/>
              </w:rPr>
              <w:t>116</w:t>
            </w:r>
          </w:p>
        </w:tc>
        <w:tc>
          <w:tcPr>
            <w:tcW w:w="1278" w:type="dxa"/>
          </w:tcPr>
          <w:p w14:paraId="2D3D8EBB" w14:textId="08972E23" w:rsidR="00FF2ECE" w:rsidRPr="000F2789" w:rsidRDefault="00FF2ECE" w:rsidP="00FF2ECE">
            <w:pPr>
              <w:pStyle w:val="Tableheading"/>
              <w:rPr>
                <w:rFonts w:cstheme="minorHAnsi"/>
                <w:b w:val="0"/>
                <w:sz w:val="20"/>
                <w:szCs w:val="20"/>
              </w:rPr>
            </w:pPr>
            <w:r w:rsidRPr="00FF2ECE">
              <w:rPr>
                <w:rFonts w:cstheme="minorHAnsi"/>
                <w:b w:val="0"/>
                <w:sz w:val="20"/>
                <w:szCs w:val="20"/>
              </w:rPr>
              <w:t>130</w:t>
            </w:r>
          </w:p>
        </w:tc>
        <w:tc>
          <w:tcPr>
            <w:tcW w:w="1120" w:type="dxa"/>
          </w:tcPr>
          <w:p w14:paraId="2D997001" w14:textId="4867AEE3" w:rsidR="00FF2ECE" w:rsidRPr="000F2789" w:rsidRDefault="00FF2ECE" w:rsidP="00FF2ECE">
            <w:pPr>
              <w:pStyle w:val="Tableheading"/>
              <w:rPr>
                <w:rFonts w:cstheme="minorHAnsi"/>
                <w:b w:val="0"/>
                <w:sz w:val="20"/>
                <w:szCs w:val="20"/>
              </w:rPr>
            </w:pPr>
            <w:r w:rsidRPr="00FF2ECE">
              <w:rPr>
                <w:rFonts w:cstheme="minorHAnsi"/>
                <w:b w:val="0"/>
                <w:sz w:val="20"/>
                <w:szCs w:val="20"/>
              </w:rPr>
              <w:t>143</w:t>
            </w:r>
          </w:p>
        </w:tc>
        <w:tc>
          <w:tcPr>
            <w:tcW w:w="1436" w:type="dxa"/>
          </w:tcPr>
          <w:p w14:paraId="726AA88F" w14:textId="2605109D" w:rsidR="00FF2ECE" w:rsidRPr="000F2789" w:rsidRDefault="00FF2ECE" w:rsidP="00FF2ECE">
            <w:pPr>
              <w:pStyle w:val="Tableheading"/>
              <w:rPr>
                <w:rFonts w:cstheme="minorHAnsi"/>
                <w:b w:val="0"/>
                <w:sz w:val="20"/>
                <w:szCs w:val="20"/>
              </w:rPr>
            </w:pPr>
            <w:r w:rsidRPr="00FF2ECE">
              <w:rPr>
                <w:rFonts w:cstheme="minorHAnsi"/>
                <w:b w:val="0"/>
                <w:sz w:val="20"/>
                <w:szCs w:val="20"/>
              </w:rPr>
              <w:t>155</w:t>
            </w:r>
          </w:p>
        </w:tc>
        <w:tc>
          <w:tcPr>
            <w:tcW w:w="1279" w:type="dxa"/>
          </w:tcPr>
          <w:p w14:paraId="00D159C2" w14:textId="6343E07F" w:rsidR="00FF2ECE" w:rsidRPr="000F2789" w:rsidRDefault="00FF2ECE" w:rsidP="00FF2ECE">
            <w:pPr>
              <w:pStyle w:val="Tableheading"/>
              <w:rPr>
                <w:rFonts w:cstheme="minorHAnsi"/>
                <w:b w:val="0"/>
                <w:sz w:val="20"/>
                <w:szCs w:val="20"/>
              </w:rPr>
            </w:pPr>
            <w:r w:rsidRPr="00FF2ECE">
              <w:rPr>
                <w:rFonts w:cstheme="minorHAnsi"/>
                <w:b w:val="0"/>
                <w:sz w:val="20"/>
                <w:szCs w:val="20"/>
              </w:rPr>
              <w:t>54</w:t>
            </w:r>
          </w:p>
        </w:tc>
      </w:tr>
      <w:tr w:rsidR="00FF2ECE" w:rsidRPr="001D0858" w14:paraId="468D0D53" w14:textId="77777777" w:rsidTr="00D069E4">
        <w:trPr>
          <w:trHeight w:val="20"/>
        </w:trPr>
        <w:tc>
          <w:tcPr>
            <w:tcW w:w="1413" w:type="dxa"/>
          </w:tcPr>
          <w:p w14:paraId="465F57EF" w14:textId="77777777" w:rsidR="00FF2ECE" w:rsidRPr="00C11A25" w:rsidRDefault="00FF2ECE" w:rsidP="00FF2ECE">
            <w:pPr>
              <w:pStyle w:val="Tableheading"/>
              <w:rPr>
                <w:rFonts w:cstheme="minorHAnsi"/>
                <w:sz w:val="20"/>
                <w:szCs w:val="20"/>
              </w:rPr>
            </w:pPr>
            <w:r w:rsidRPr="00C11A25">
              <w:rPr>
                <w:rFonts w:cstheme="minorHAnsi"/>
                <w:sz w:val="20"/>
                <w:szCs w:val="20"/>
              </w:rPr>
              <w:t>50–59</w:t>
            </w:r>
          </w:p>
        </w:tc>
        <w:tc>
          <w:tcPr>
            <w:tcW w:w="992" w:type="dxa"/>
          </w:tcPr>
          <w:p w14:paraId="52BD510D" w14:textId="5EC39AE3" w:rsidR="00FF2ECE" w:rsidRPr="000F2789" w:rsidRDefault="00FF2ECE" w:rsidP="00FF2ECE">
            <w:pPr>
              <w:pStyle w:val="Tableheading"/>
              <w:rPr>
                <w:rFonts w:cstheme="minorHAnsi"/>
                <w:b w:val="0"/>
                <w:sz w:val="20"/>
                <w:szCs w:val="20"/>
              </w:rPr>
            </w:pPr>
            <w:r w:rsidRPr="00FF2ECE">
              <w:rPr>
                <w:rFonts w:cstheme="minorHAnsi"/>
                <w:b w:val="0"/>
                <w:sz w:val="20"/>
                <w:szCs w:val="20"/>
              </w:rPr>
              <w:t>448</w:t>
            </w:r>
          </w:p>
        </w:tc>
        <w:tc>
          <w:tcPr>
            <w:tcW w:w="1429" w:type="dxa"/>
          </w:tcPr>
          <w:p w14:paraId="43DB48C6" w14:textId="2761861D" w:rsidR="00FF2ECE" w:rsidRPr="000F2789" w:rsidRDefault="00FF2ECE" w:rsidP="00FF2ECE">
            <w:pPr>
              <w:pStyle w:val="Tableheading"/>
              <w:rPr>
                <w:rFonts w:cstheme="minorHAnsi"/>
                <w:b w:val="0"/>
                <w:sz w:val="20"/>
                <w:szCs w:val="20"/>
              </w:rPr>
            </w:pPr>
            <w:r w:rsidRPr="00FF2ECE">
              <w:rPr>
                <w:rFonts w:cstheme="minorHAnsi"/>
                <w:b w:val="0"/>
                <w:sz w:val="20"/>
                <w:szCs w:val="20"/>
              </w:rPr>
              <w:t>496</w:t>
            </w:r>
          </w:p>
        </w:tc>
        <w:tc>
          <w:tcPr>
            <w:tcW w:w="1278" w:type="dxa"/>
          </w:tcPr>
          <w:p w14:paraId="4E83A0BB" w14:textId="5E220FC7" w:rsidR="00FF2ECE" w:rsidRPr="000F2789" w:rsidRDefault="00FF2ECE" w:rsidP="00FF2ECE">
            <w:pPr>
              <w:pStyle w:val="Tableheading"/>
              <w:rPr>
                <w:rFonts w:cstheme="minorHAnsi"/>
                <w:b w:val="0"/>
                <w:sz w:val="20"/>
                <w:szCs w:val="20"/>
              </w:rPr>
            </w:pPr>
            <w:r w:rsidRPr="00FF2ECE">
              <w:rPr>
                <w:rFonts w:cstheme="minorHAnsi"/>
                <w:b w:val="0"/>
                <w:sz w:val="20"/>
                <w:szCs w:val="20"/>
              </w:rPr>
              <w:t>586</w:t>
            </w:r>
          </w:p>
        </w:tc>
        <w:tc>
          <w:tcPr>
            <w:tcW w:w="1120" w:type="dxa"/>
          </w:tcPr>
          <w:p w14:paraId="2ABA06BE" w14:textId="0EFF209D" w:rsidR="00FF2ECE" w:rsidRPr="000F2789" w:rsidRDefault="00FF2ECE" w:rsidP="00FF2ECE">
            <w:pPr>
              <w:pStyle w:val="Tableheading"/>
              <w:rPr>
                <w:rFonts w:cstheme="minorHAnsi"/>
                <w:b w:val="0"/>
                <w:sz w:val="20"/>
                <w:szCs w:val="20"/>
              </w:rPr>
            </w:pPr>
            <w:r w:rsidRPr="00FF2ECE">
              <w:rPr>
                <w:rFonts w:cstheme="minorHAnsi"/>
                <w:b w:val="0"/>
                <w:sz w:val="20"/>
                <w:szCs w:val="20"/>
              </w:rPr>
              <w:t>594</w:t>
            </w:r>
          </w:p>
        </w:tc>
        <w:tc>
          <w:tcPr>
            <w:tcW w:w="1436" w:type="dxa"/>
          </w:tcPr>
          <w:p w14:paraId="3DA17493" w14:textId="56F87ABB" w:rsidR="00FF2ECE" w:rsidRPr="000F2789" w:rsidRDefault="00FF2ECE" w:rsidP="00FF2ECE">
            <w:pPr>
              <w:pStyle w:val="Tableheading"/>
              <w:rPr>
                <w:rFonts w:cstheme="minorHAnsi"/>
                <w:b w:val="0"/>
                <w:sz w:val="20"/>
                <w:szCs w:val="20"/>
              </w:rPr>
            </w:pPr>
            <w:r w:rsidRPr="00FF2ECE">
              <w:rPr>
                <w:rFonts w:cstheme="minorHAnsi"/>
                <w:b w:val="0"/>
                <w:sz w:val="20"/>
                <w:szCs w:val="20"/>
              </w:rPr>
              <w:t>544</w:t>
            </w:r>
          </w:p>
        </w:tc>
        <w:tc>
          <w:tcPr>
            <w:tcW w:w="1279" w:type="dxa"/>
          </w:tcPr>
          <w:p w14:paraId="7602052A" w14:textId="4A3ED680" w:rsidR="00FF2ECE" w:rsidRPr="000F2789" w:rsidRDefault="00FF2ECE" w:rsidP="00FF2ECE">
            <w:pPr>
              <w:pStyle w:val="Tableheading"/>
              <w:rPr>
                <w:rFonts w:cstheme="minorHAnsi"/>
                <w:b w:val="0"/>
                <w:sz w:val="20"/>
                <w:szCs w:val="20"/>
              </w:rPr>
            </w:pPr>
            <w:r w:rsidRPr="00FF2ECE">
              <w:rPr>
                <w:rFonts w:cstheme="minorHAnsi"/>
                <w:b w:val="0"/>
                <w:sz w:val="20"/>
                <w:szCs w:val="20"/>
              </w:rPr>
              <w:t>214</w:t>
            </w:r>
          </w:p>
        </w:tc>
      </w:tr>
      <w:tr w:rsidR="00FF2ECE" w:rsidRPr="001D0858" w14:paraId="243682C5" w14:textId="77777777" w:rsidTr="00D069E4">
        <w:trPr>
          <w:trHeight w:val="20"/>
        </w:trPr>
        <w:tc>
          <w:tcPr>
            <w:tcW w:w="1413" w:type="dxa"/>
          </w:tcPr>
          <w:p w14:paraId="2C4506BD" w14:textId="77777777" w:rsidR="00FF2ECE" w:rsidRPr="00C11A25" w:rsidRDefault="00FF2ECE" w:rsidP="00FF2ECE">
            <w:pPr>
              <w:pStyle w:val="Tableheading"/>
              <w:rPr>
                <w:rFonts w:cstheme="minorHAnsi"/>
                <w:sz w:val="20"/>
                <w:szCs w:val="20"/>
              </w:rPr>
            </w:pPr>
            <w:r w:rsidRPr="00C11A25">
              <w:rPr>
                <w:rFonts w:cstheme="minorHAnsi"/>
                <w:sz w:val="20"/>
                <w:szCs w:val="20"/>
              </w:rPr>
              <w:t>60–69</w:t>
            </w:r>
          </w:p>
        </w:tc>
        <w:tc>
          <w:tcPr>
            <w:tcW w:w="992" w:type="dxa"/>
          </w:tcPr>
          <w:p w14:paraId="6F20557A" w14:textId="0F8311D1" w:rsidR="00FF2ECE" w:rsidRPr="000F2789" w:rsidRDefault="00FF2ECE" w:rsidP="00FF2ECE">
            <w:pPr>
              <w:pStyle w:val="Tableheading"/>
              <w:rPr>
                <w:rFonts w:cstheme="minorHAnsi"/>
                <w:b w:val="0"/>
                <w:sz w:val="20"/>
                <w:szCs w:val="20"/>
              </w:rPr>
            </w:pPr>
            <w:r w:rsidRPr="00FF2ECE">
              <w:rPr>
                <w:rFonts w:cstheme="minorHAnsi"/>
                <w:b w:val="0"/>
                <w:sz w:val="20"/>
                <w:szCs w:val="20"/>
              </w:rPr>
              <w:t>1,218</w:t>
            </w:r>
          </w:p>
        </w:tc>
        <w:tc>
          <w:tcPr>
            <w:tcW w:w="1429" w:type="dxa"/>
          </w:tcPr>
          <w:p w14:paraId="467C1AD6" w14:textId="23C065EB" w:rsidR="00FF2ECE" w:rsidRPr="000F2789" w:rsidRDefault="00FF2ECE" w:rsidP="00FF2ECE">
            <w:pPr>
              <w:pStyle w:val="Tableheading"/>
              <w:rPr>
                <w:rFonts w:cstheme="minorHAnsi"/>
                <w:b w:val="0"/>
                <w:sz w:val="20"/>
                <w:szCs w:val="20"/>
              </w:rPr>
            </w:pPr>
            <w:r w:rsidRPr="00FF2ECE">
              <w:rPr>
                <w:rFonts w:cstheme="minorHAnsi"/>
                <w:b w:val="0"/>
                <w:sz w:val="20"/>
                <w:szCs w:val="20"/>
              </w:rPr>
              <w:t>1,556</w:t>
            </w:r>
          </w:p>
        </w:tc>
        <w:tc>
          <w:tcPr>
            <w:tcW w:w="1278" w:type="dxa"/>
          </w:tcPr>
          <w:p w14:paraId="221E64C7" w14:textId="13EB37BA" w:rsidR="00FF2ECE" w:rsidRPr="000F2789" w:rsidRDefault="00FF2ECE" w:rsidP="00FF2ECE">
            <w:pPr>
              <w:pStyle w:val="Tableheading"/>
              <w:rPr>
                <w:rFonts w:cstheme="minorHAnsi"/>
                <w:b w:val="0"/>
                <w:sz w:val="20"/>
                <w:szCs w:val="20"/>
              </w:rPr>
            </w:pPr>
            <w:r w:rsidRPr="00FF2ECE">
              <w:rPr>
                <w:rFonts w:cstheme="minorHAnsi"/>
                <w:b w:val="0"/>
                <w:sz w:val="20"/>
                <w:szCs w:val="20"/>
              </w:rPr>
              <w:t>1,686</w:t>
            </w:r>
          </w:p>
        </w:tc>
        <w:tc>
          <w:tcPr>
            <w:tcW w:w="1120" w:type="dxa"/>
          </w:tcPr>
          <w:p w14:paraId="030CE264" w14:textId="52ADB69E" w:rsidR="00FF2ECE" w:rsidRPr="000F2789" w:rsidRDefault="00FF2ECE" w:rsidP="00FF2ECE">
            <w:pPr>
              <w:pStyle w:val="Tableheading"/>
              <w:rPr>
                <w:rFonts w:cstheme="minorHAnsi"/>
                <w:b w:val="0"/>
                <w:sz w:val="20"/>
                <w:szCs w:val="20"/>
              </w:rPr>
            </w:pPr>
            <w:r w:rsidRPr="00FF2ECE">
              <w:rPr>
                <w:rFonts w:cstheme="minorHAnsi"/>
                <w:b w:val="0"/>
                <w:sz w:val="20"/>
                <w:szCs w:val="20"/>
              </w:rPr>
              <w:t>1,717</w:t>
            </w:r>
          </w:p>
        </w:tc>
        <w:tc>
          <w:tcPr>
            <w:tcW w:w="1436" w:type="dxa"/>
          </w:tcPr>
          <w:p w14:paraId="2055BD5E" w14:textId="57F01DC7" w:rsidR="00FF2ECE" w:rsidRPr="000F2789" w:rsidRDefault="00FF2ECE" w:rsidP="00FF2ECE">
            <w:pPr>
              <w:pStyle w:val="Tableheading"/>
              <w:rPr>
                <w:rFonts w:cstheme="minorHAnsi"/>
                <w:b w:val="0"/>
                <w:sz w:val="20"/>
                <w:szCs w:val="20"/>
              </w:rPr>
            </w:pPr>
            <w:r w:rsidRPr="00FF2ECE">
              <w:rPr>
                <w:rFonts w:cstheme="minorHAnsi"/>
                <w:b w:val="0"/>
                <w:sz w:val="20"/>
                <w:szCs w:val="20"/>
              </w:rPr>
              <w:t>1,753</w:t>
            </w:r>
          </w:p>
        </w:tc>
        <w:tc>
          <w:tcPr>
            <w:tcW w:w="1279" w:type="dxa"/>
          </w:tcPr>
          <w:p w14:paraId="144E8AFB" w14:textId="45BC0BFC" w:rsidR="00FF2ECE" w:rsidRPr="000F2789" w:rsidRDefault="00FF2ECE" w:rsidP="00FF2ECE">
            <w:pPr>
              <w:pStyle w:val="Tableheading"/>
              <w:rPr>
                <w:rFonts w:cstheme="minorHAnsi"/>
                <w:b w:val="0"/>
                <w:sz w:val="20"/>
                <w:szCs w:val="20"/>
              </w:rPr>
            </w:pPr>
            <w:r w:rsidRPr="00FF2ECE">
              <w:rPr>
                <w:rFonts w:cstheme="minorHAnsi"/>
                <w:b w:val="0"/>
                <w:sz w:val="20"/>
                <w:szCs w:val="20"/>
              </w:rPr>
              <w:t>751</w:t>
            </w:r>
          </w:p>
        </w:tc>
      </w:tr>
      <w:tr w:rsidR="00FF2ECE" w:rsidRPr="001D0858" w14:paraId="756E4E9C" w14:textId="77777777" w:rsidTr="00D069E4">
        <w:trPr>
          <w:trHeight w:val="20"/>
        </w:trPr>
        <w:tc>
          <w:tcPr>
            <w:tcW w:w="1413" w:type="dxa"/>
          </w:tcPr>
          <w:p w14:paraId="5A439343" w14:textId="77777777" w:rsidR="00FF2ECE" w:rsidRPr="00C11A25" w:rsidRDefault="00FF2ECE" w:rsidP="00FF2ECE">
            <w:pPr>
              <w:pStyle w:val="Tableheading"/>
              <w:rPr>
                <w:rFonts w:cstheme="minorHAnsi"/>
                <w:sz w:val="20"/>
                <w:szCs w:val="20"/>
              </w:rPr>
            </w:pPr>
            <w:r w:rsidRPr="00C11A25">
              <w:rPr>
                <w:rFonts w:cstheme="minorHAnsi"/>
                <w:sz w:val="20"/>
                <w:szCs w:val="20"/>
              </w:rPr>
              <w:t>70+</w:t>
            </w:r>
          </w:p>
        </w:tc>
        <w:tc>
          <w:tcPr>
            <w:tcW w:w="992" w:type="dxa"/>
          </w:tcPr>
          <w:p w14:paraId="6D75470E" w14:textId="4AC105EE" w:rsidR="00FF2ECE" w:rsidRPr="000F2789" w:rsidRDefault="00FF2ECE" w:rsidP="00FF2ECE">
            <w:pPr>
              <w:pStyle w:val="Tableheading"/>
              <w:rPr>
                <w:rFonts w:cstheme="minorHAnsi"/>
                <w:b w:val="0"/>
                <w:sz w:val="20"/>
                <w:szCs w:val="20"/>
              </w:rPr>
            </w:pPr>
            <w:r w:rsidRPr="00FF2ECE">
              <w:rPr>
                <w:rFonts w:cstheme="minorHAnsi"/>
                <w:b w:val="0"/>
                <w:sz w:val="20"/>
                <w:szCs w:val="20"/>
              </w:rPr>
              <w:t>4,806</w:t>
            </w:r>
          </w:p>
        </w:tc>
        <w:tc>
          <w:tcPr>
            <w:tcW w:w="1429" w:type="dxa"/>
          </w:tcPr>
          <w:p w14:paraId="4733DC7F" w14:textId="1A43D708" w:rsidR="00FF2ECE" w:rsidRPr="000F2789" w:rsidRDefault="00FF2ECE" w:rsidP="00FF2ECE">
            <w:pPr>
              <w:pStyle w:val="Tableheading"/>
              <w:rPr>
                <w:rFonts w:cstheme="minorHAnsi"/>
                <w:b w:val="0"/>
                <w:sz w:val="20"/>
                <w:szCs w:val="20"/>
              </w:rPr>
            </w:pPr>
            <w:r w:rsidRPr="00FF2ECE">
              <w:rPr>
                <w:rFonts w:cstheme="minorHAnsi"/>
                <w:b w:val="0"/>
                <w:sz w:val="20"/>
                <w:szCs w:val="20"/>
              </w:rPr>
              <w:t>5,826</w:t>
            </w:r>
          </w:p>
        </w:tc>
        <w:tc>
          <w:tcPr>
            <w:tcW w:w="1278" w:type="dxa"/>
          </w:tcPr>
          <w:p w14:paraId="2B9ECA15" w14:textId="1CBB24BE" w:rsidR="00FF2ECE" w:rsidRPr="000F2789" w:rsidRDefault="00FF2ECE" w:rsidP="00FF2ECE">
            <w:pPr>
              <w:pStyle w:val="Tableheading"/>
              <w:rPr>
                <w:rFonts w:cstheme="minorHAnsi"/>
                <w:b w:val="0"/>
                <w:sz w:val="20"/>
                <w:szCs w:val="20"/>
              </w:rPr>
            </w:pPr>
            <w:r w:rsidRPr="00FF2ECE">
              <w:rPr>
                <w:rFonts w:cstheme="minorHAnsi"/>
                <w:b w:val="0"/>
                <w:sz w:val="20"/>
                <w:szCs w:val="20"/>
              </w:rPr>
              <w:t>6,331</w:t>
            </w:r>
          </w:p>
        </w:tc>
        <w:tc>
          <w:tcPr>
            <w:tcW w:w="1120" w:type="dxa"/>
          </w:tcPr>
          <w:p w14:paraId="05BB4839" w14:textId="2C312861" w:rsidR="00FF2ECE" w:rsidRPr="000F2789" w:rsidRDefault="00FF2ECE" w:rsidP="00FF2ECE">
            <w:pPr>
              <w:pStyle w:val="Tableheading"/>
              <w:rPr>
                <w:rFonts w:cstheme="minorHAnsi"/>
                <w:b w:val="0"/>
                <w:sz w:val="20"/>
                <w:szCs w:val="20"/>
              </w:rPr>
            </w:pPr>
            <w:r w:rsidRPr="00FF2ECE">
              <w:rPr>
                <w:rFonts w:cstheme="minorHAnsi"/>
                <w:b w:val="0"/>
                <w:sz w:val="20"/>
                <w:szCs w:val="20"/>
              </w:rPr>
              <w:t>6,975</w:t>
            </w:r>
          </w:p>
        </w:tc>
        <w:tc>
          <w:tcPr>
            <w:tcW w:w="1436" w:type="dxa"/>
          </w:tcPr>
          <w:p w14:paraId="7CCE55D8" w14:textId="555D2368" w:rsidR="00FF2ECE" w:rsidRPr="000F2789" w:rsidRDefault="00FF2ECE" w:rsidP="00FF2ECE">
            <w:pPr>
              <w:pStyle w:val="Tableheading"/>
              <w:rPr>
                <w:rFonts w:cstheme="minorHAnsi"/>
                <w:b w:val="0"/>
                <w:sz w:val="20"/>
                <w:szCs w:val="20"/>
              </w:rPr>
            </w:pPr>
            <w:r w:rsidRPr="00FF2ECE">
              <w:rPr>
                <w:rFonts w:cstheme="minorHAnsi"/>
                <w:b w:val="0"/>
                <w:sz w:val="20"/>
                <w:szCs w:val="20"/>
              </w:rPr>
              <w:t>6,939</w:t>
            </w:r>
          </w:p>
        </w:tc>
        <w:tc>
          <w:tcPr>
            <w:tcW w:w="1279" w:type="dxa"/>
          </w:tcPr>
          <w:p w14:paraId="12C046F1" w14:textId="172EC24B" w:rsidR="00FF2ECE" w:rsidRPr="000F2789" w:rsidRDefault="00FF2ECE" w:rsidP="00FF2ECE">
            <w:pPr>
              <w:pStyle w:val="Tableheading"/>
              <w:rPr>
                <w:rFonts w:cstheme="minorHAnsi"/>
                <w:b w:val="0"/>
                <w:sz w:val="20"/>
                <w:szCs w:val="20"/>
              </w:rPr>
            </w:pPr>
            <w:r w:rsidRPr="00FF2ECE">
              <w:rPr>
                <w:rFonts w:cstheme="minorHAnsi"/>
                <w:b w:val="0"/>
                <w:sz w:val="20"/>
                <w:szCs w:val="20"/>
              </w:rPr>
              <w:t>3,296</w:t>
            </w:r>
          </w:p>
        </w:tc>
      </w:tr>
      <w:tr w:rsidR="00B03BF7" w:rsidRPr="001D0858" w14:paraId="305B3DC7" w14:textId="77777777" w:rsidTr="00D069E4">
        <w:trPr>
          <w:trHeight w:val="20"/>
        </w:trPr>
        <w:tc>
          <w:tcPr>
            <w:tcW w:w="8947" w:type="dxa"/>
            <w:gridSpan w:val="7"/>
            <w:shd w:val="clear" w:color="auto" w:fill="D9D9D9" w:themeFill="background1" w:themeFillShade="D9"/>
          </w:tcPr>
          <w:p w14:paraId="23CAA651" w14:textId="77777777" w:rsidR="00B03BF7" w:rsidRPr="00C11A25" w:rsidRDefault="00B03BF7" w:rsidP="00D069E4">
            <w:pPr>
              <w:pStyle w:val="Tableheading"/>
              <w:rPr>
                <w:rFonts w:cstheme="minorHAnsi"/>
                <w:sz w:val="20"/>
                <w:szCs w:val="20"/>
              </w:rPr>
            </w:pPr>
            <w:r w:rsidRPr="00C11A25">
              <w:rPr>
                <w:rFonts w:cstheme="minorHAnsi"/>
                <w:sz w:val="20"/>
                <w:szCs w:val="20"/>
              </w:rPr>
              <w:t>Sex</w:t>
            </w:r>
          </w:p>
        </w:tc>
      </w:tr>
      <w:tr w:rsidR="00FF2ECE" w:rsidRPr="001D0858" w14:paraId="62B9E303" w14:textId="77777777" w:rsidTr="00D069E4">
        <w:trPr>
          <w:trHeight w:val="20"/>
        </w:trPr>
        <w:tc>
          <w:tcPr>
            <w:tcW w:w="1413" w:type="dxa"/>
          </w:tcPr>
          <w:p w14:paraId="375DD8A8" w14:textId="77777777" w:rsidR="00FF2ECE" w:rsidRPr="00C11A25" w:rsidRDefault="00FF2ECE" w:rsidP="00FF2ECE">
            <w:pPr>
              <w:pStyle w:val="Tableheading"/>
              <w:rPr>
                <w:rFonts w:cstheme="minorHAnsi"/>
                <w:sz w:val="20"/>
                <w:szCs w:val="20"/>
              </w:rPr>
            </w:pPr>
            <w:r w:rsidRPr="00C11A25">
              <w:rPr>
                <w:rFonts w:cstheme="minorHAnsi"/>
                <w:sz w:val="20"/>
                <w:szCs w:val="20"/>
              </w:rPr>
              <w:t>Female</w:t>
            </w:r>
          </w:p>
        </w:tc>
        <w:tc>
          <w:tcPr>
            <w:tcW w:w="992" w:type="dxa"/>
          </w:tcPr>
          <w:p w14:paraId="264D64F2" w14:textId="58AA6335" w:rsidR="00FF2ECE" w:rsidRPr="000F2789" w:rsidRDefault="00FF2ECE" w:rsidP="00FF2ECE">
            <w:pPr>
              <w:pStyle w:val="Tableheading"/>
              <w:rPr>
                <w:rFonts w:cstheme="minorHAnsi"/>
                <w:b w:val="0"/>
                <w:sz w:val="20"/>
                <w:szCs w:val="20"/>
              </w:rPr>
            </w:pPr>
            <w:r w:rsidRPr="00FF2ECE">
              <w:rPr>
                <w:rFonts w:cstheme="minorHAnsi"/>
                <w:b w:val="0"/>
                <w:sz w:val="20"/>
                <w:szCs w:val="20"/>
              </w:rPr>
              <w:t>5,304</w:t>
            </w:r>
          </w:p>
        </w:tc>
        <w:tc>
          <w:tcPr>
            <w:tcW w:w="1429" w:type="dxa"/>
          </w:tcPr>
          <w:p w14:paraId="02266F6F" w14:textId="4FB2AC77" w:rsidR="00FF2ECE" w:rsidRPr="000F2789" w:rsidRDefault="00FF2ECE" w:rsidP="00FF2ECE">
            <w:pPr>
              <w:pStyle w:val="Tableheading"/>
              <w:rPr>
                <w:rFonts w:cstheme="minorHAnsi"/>
                <w:b w:val="0"/>
                <w:sz w:val="20"/>
                <w:szCs w:val="20"/>
              </w:rPr>
            </w:pPr>
            <w:r w:rsidRPr="00FF2ECE">
              <w:rPr>
                <w:rFonts w:cstheme="minorHAnsi"/>
                <w:b w:val="0"/>
                <w:sz w:val="20"/>
                <w:szCs w:val="20"/>
              </w:rPr>
              <w:t>6,395</w:t>
            </w:r>
          </w:p>
        </w:tc>
        <w:tc>
          <w:tcPr>
            <w:tcW w:w="1278" w:type="dxa"/>
          </w:tcPr>
          <w:p w14:paraId="178DAECC" w14:textId="541DBB94" w:rsidR="00FF2ECE" w:rsidRPr="000F2789" w:rsidRDefault="00FF2ECE" w:rsidP="00FF2ECE">
            <w:pPr>
              <w:pStyle w:val="Tableheading"/>
              <w:rPr>
                <w:rFonts w:cstheme="minorHAnsi"/>
                <w:b w:val="0"/>
                <w:sz w:val="20"/>
                <w:szCs w:val="20"/>
              </w:rPr>
            </w:pPr>
            <w:r w:rsidRPr="00FF2ECE">
              <w:rPr>
                <w:rFonts w:cstheme="minorHAnsi"/>
                <w:b w:val="0"/>
                <w:sz w:val="20"/>
                <w:szCs w:val="20"/>
              </w:rPr>
              <w:t>6,969</w:t>
            </w:r>
          </w:p>
        </w:tc>
        <w:tc>
          <w:tcPr>
            <w:tcW w:w="1120" w:type="dxa"/>
          </w:tcPr>
          <w:p w14:paraId="317787CD" w14:textId="310B9EEB" w:rsidR="00FF2ECE" w:rsidRPr="000F2789" w:rsidRDefault="00FF2ECE" w:rsidP="00FF2ECE">
            <w:pPr>
              <w:pStyle w:val="Tableheading"/>
              <w:rPr>
                <w:rFonts w:cstheme="minorHAnsi"/>
                <w:b w:val="0"/>
                <w:sz w:val="20"/>
                <w:szCs w:val="20"/>
              </w:rPr>
            </w:pPr>
            <w:r w:rsidRPr="00FF2ECE">
              <w:rPr>
                <w:rFonts w:cstheme="minorHAnsi"/>
                <w:b w:val="0"/>
                <w:sz w:val="20"/>
                <w:szCs w:val="20"/>
              </w:rPr>
              <w:t>7,451</w:t>
            </w:r>
          </w:p>
        </w:tc>
        <w:tc>
          <w:tcPr>
            <w:tcW w:w="1436" w:type="dxa"/>
          </w:tcPr>
          <w:p w14:paraId="51A19D16" w14:textId="11557827" w:rsidR="00FF2ECE" w:rsidRPr="000F2789" w:rsidRDefault="00FF2ECE" w:rsidP="00FF2ECE">
            <w:pPr>
              <w:pStyle w:val="Tableheading"/>
              <w:rPr>
                <w:rFonts w:cstheme="minorHAnsi"/>
                <w:b w:val="0"/>
                <w:sz w:val="20"/>
                <w:szCs w:val="20"/>
              </w:rPr>
            </w:pPr>
            <w:r w:rsidRPr="00FF2ECE">
              <w:rPr>
                <w:rFonts w:cstheme="minorHAnsi"/>
                <w:b w:val="0"/>
                <w:sz w:val="20"/>
                <w:szCs w:val="20"/>
              </w:rPr>
              <w:t>7,315</w:t>
            </w:r>
          </w:p>
        </w:tc>
        <w:tc>
          <w:tcPr>
            <w:tcW w:w="1279" w:type="dxa"/>
          </w:tcPr>
          <w:p w14:paraId="4014381F" w14:textId="6F961E58" w:rsidR="00FF2ECE" w:rsidRPr="000F2789" w:rsidRDefault="00FF2ECE" w:rsidP="00FF2ECE">
            <w:pPr>
              <w:pStyle w:val="Tableheading"/>
              <w:rPr>
                <w:rFonts w:cstheme="minorHAnsi"/>
                <w:b w:val="0"/>
                <w:sz w:val="20"/>
                <w:szCs w:val="20"/>
              </w:rPr>
            </w:pPr>
            <w:r w:rsidRPr="00FF2ECE">
              <w:rPr>
                <w:rFonts w:cstheme="minorHAnsi"/>
                <w:b w:val="0"/>
                <w:sz w:val="20"/>
                <w:szCs w:val="20"/>
              </w:rPr>
              <w:t>3,400</w:t>
            </w:r>
          </w:p>
        </w:tc>
      </w:tr>
      <w:tr w:rsidR="00FF2ECE" w:rsidRPr="001D0858" w14:paraId="2096C912" w14:textId="77777777" w:rsidTr="00D069E4">
        <w:trPr>
          <w:trHeight w:val="20"/>
        </w:trPr>
        <w:tc>
          <w:tcPr>
            <w:tcW w:w="1413" w:type="dxa"/>
          </w:tcPr>
          <w:p w14:paraId="1046DD8F" w14:textId="77777777" w:rsidR="00FF2ECE" w:rsidRPr="00C11A25" w:rsidRDefault="00FF2ECE" w:rsidP="00FF2ECE">
            <w:pPr>
              <w:pStyle w:val="Tableheading"/>
              <w:rPr>
                <w:rFonts w:cstheme="minorHAnsi"/>
                <w:sz w:val="20"/>
                <w:szCs w:val="20"/>
              </w:rPr>
            </w:pPr>
            <w:r w:rsidRPr="00C11A25">
              <w:rPr>
                <w:rFonts w:cstheme="minorHAnsi"/>
                <w:sz w:val="20"/>
                <w:szCs w:val="20"/>
              </w:rPr>
              <w:t>Male</w:t>
            </w:r>
          </w:p>
        </w:tc>
        <w:tc>
          <w:tcPr>
            <w:tcW w:w="992" w:type="dxa"/>
          </w:tcPr>
          <w:p w14:paraId="09AE66E8" w14:textId="26872CAA" w:rsidR="00FF2ECE" w:rsidRPr="000F2789" w:rsidRDefault="00FF2ECE" w:rsidP="00FF2ECE">
            <w:pPr>
              <w:pStyle w:val="Tableheading"/>
              <w:rPr>
                <w:rFonts w:cstheme="minorHAnsi"/>
                <w:b w:val="0"/>
                <w:sz w:val="20"/>
                <w:szCs w:val="20"/>
              </w:rPr>
            </w:pPr>
            <w:r w:rsidRPr="00FF2ECE">
              <w:rPr>
                <w:rFonts w:cstheme="minorHAnsi"/>
                <w:b w:val="0"/>
                <w:sz w:val="20"/>
                <w:szCs w:val="20"/>
              </w:rPr>
              <w:t>1,271</w:t>
            </w:r>
          </w:p>
        </w:tc>
        <w:tc>
          <w:tcPr>
            <w:tcW w:w="1429" w:type="dxa"/>
          </w:tcPr>
          <w:p w14:paraId="02AE8F5A" w14:textId="07D17454" w:rsidR="00FF2ECE" w:rsidRPr="000F2789" w:rsidRDefault="00FF2ECE" w:rsidP="00FF2ECE">
            <w:pPr>
              <w:pStyle w:val="Tableheading"/>
              <w:rPr>
                <w:rFonts w:cstheme="minorHAnsi"/>
                <w:b w:val="0"/>
                <w:sz w:val="20"/>
                <w:szCs w:val="20"/>
              </w:rPr>
            </w:pPr>
            <w:r w:rsidRPr="00FF2ECE">
              <w:rPr>
                <w:rFonts w:cstheme="minorHAnsi"/>
                <w:b w:val="0"/>
                <w:sz w:val="20"/>
                <w:szCs w:val="20"/>
              </w:rPr>
              <w:t>1,599</w:t>
            </w:r>
          </w:p>
        </w:tc>
        <w:tc>
          <w:tcPr>
            <w:tcW w:w="1278" w:type="dxa"/>
          </w:tcPr>
          <w:p w14:paraId="7DBE2497" w14:textId="04A14E59" w:rsidR="00FF2ECE" w:rsidRPr="000F2789" w:rsidRDefault="00FF2ECE" w:rsidP="00FF2ECE">
            <w:pPr>
              <w:pStyle w:val="Tableheading"/>
              <w:rPr>
                <w:rFonts w:cstheme="minorHAnsi"/>
                <w:b w:val="0"/>
                <w:sz w:val="20"/>
                <w:szCs w:val="20"/>
              </w:rPr>
            </w:pPr>
            <w:r w:rsidRPr="00FF2ECE">
              <w:rPr>
                <w:rFonts w:cstheme="minorHAnsi"/>
                <w:b w:val="0"/>
                <w:sz w:val="20"/>
                <w:szCs w:val="20"/>
              </w:rPr>
              <w:t>1,764</w:t>
            </w:r>
          </w:p>
        </w:tc>
        <w:tc>
          <w:tcPr>
            <w:tcW w:w="1120" w:type="dxa"/>
          </w:tcPr>
          <w:p w14:paraId="028EBE35" w14:textId="3CC8D326" w:rsidR="00FF2ECE" w:rsidRPr="000F2789" w:rsidRDefault="00FF2ECE" w:rsidP="00FF2ECE">
            <w:pPr>
              <w:pStyle w:val="Tableheading"/>
              <w:rPr>
                <w:rFonts w:cstheme="minorHAnsi"/>
                <w:b w:val="0"/>
                <w:sz w:val="20"/>
                <w:szCs w:val="20"/>
              </w:rPr>
            </w:pPr>
            <w:r w:rsidRPr="00FF2ECE">
              <w:rPr>
                <w:rFonts w:cstheme="minorHAnsi"/>
                <w:b w:val="0"/>
                <w:sz w:val="20"/>
                <w:szCs w:val="20"/>
              </w:rPr>
              <w:t>1,978</w:t>
            </w:r>
          </w:p>
        </w:tc>
        <w:tc>
          <w:tcPr>
            <w:tcW w:w="1436" w:type="dxa"/>
          </w:tcPr>
          <w:p w14:paraId="39239959" w14:textId="18891D31" w:rsidR="00FF2ECE" w:rsidRPr="000F2789" w:rsidRDefault="00FF2ECE" w:rsidP="00FF2ECE">
            <w:pPr>
              <w:pStyle w:val="Tableheading"/>
              <w:rPr>
                <w:rFonts w:cstheme="minorHAnsi"/>
                <w:b w:val="0"/>
                <w:sz w:val="20"/>
                <w:szCs w:val="20"/>
              </w:rPr>
            </w:pPr>
            <w:r w:rsidRPr="00FF2ECE">
              <w:rPr>
                <w:rFonts w:cstheme="minorHAnsi"/>
                <w:b w:val="0"/>
                <w:sz w:val="20"/>
                <w:szCs w:val="20"/>
              </w:rPr>
              <w:t>2,076</w:t>
            </w:r>
          </w:p>
        </w:tc>
        <w:tc>
          <w:tcPr>
            <w:tcW w:w="1279" w:type="dxa"/>
          </w:tcPr>
          <w:p w14:paraId="25BEB79D" w14:textId="0B4342C8" w:rsidR="00FF2ECE" w:rsidRPr="000F2789" w:rsidRDefault="00FF2ECE" w:rsidP="00FF2ECE">
            <w:pPr>
              <w:pStyle w:val="Tableheading"/>
              <w:rPr>
                <w:rFonts w:cstheme="minorHAnsi"/>
                <w:b w:val="0"/>
                <w:sz w:val="20"/>
                <w:szCs w:val="20"/>
              </w:rPr>
            </w:pPr>
            <w:r w:rsidRPr="00FF2ECE">
              <w:rPr>
                <w:rFonts w:cstheme="minorHAnsi"/>
                <w:b w:val="0"/>
                <w:sz w:val="20"/>
                <w:szCs w:val="20"/>
              </w:rPr>
              <w:t>915</w:t>
            </w:r>
          </w:p>
        </w:tc>
      </w:tr>
      <w:tr w:rsidR="00B03BF7" w:rsidRPr="001D0858" w14:paraId="19B1BD32" w14:textId="77777777" w:rsidTr="00D069E4">
        <w:trPr>
          <w:trHeight w:val="20"/>
        </w:trPr>
        <w:tc>
          <w:tcPr>
            <w:tcW w:w="8947" w:type="dxa"/>
            <w:gridSpan w:val="7"/>
            <w:shd w:val="clear" w:color="auto" w:fill="D9D9D9" w:themeFill="background1" w:themeFillShade="D9"/>
          </w:tcPr>
          <w:p w14:paraId="53AC7282" w14:textId="77777777" w:rsidR="00B03BF7" w:rsidRPr="00C11A25" w:rsidRDefault="00B03BF7" w:rsidP="00D069E4">
            <w:pPr>
              <w:pStyle w:val="Tableheading"/>
              <w:rPr>
                <w:sz w:val="20"/>
                <w:szCs w:val="20"/>
              </w:rPr>
            </w:pPr>
            <w:r w:rsidRPr="00C11A25">
              <w:rPr>
                <w:sz w:val="20"/>
                <w:szCs w:val="20"/>
              </w:rPr>
              <w:t>Sex/age group</w:t>
            </w:r>
          </w:p>
        </w:tc>
      </w:tr>
      <w:tr w:rsidR="00FF2ECE" w:rsidRPr="001D0858" w14:paraId="19273F10" w14:textId="77777777" w:rsidTr="00D069E4">
        <w:trPr>
          <w:trHeight w:val="20"/>
        </w:trPr>
        <w:tc>
          <w:tcPr>
            <w:tcW w:w="1413" w:type="dxa"/>
          </w:tcPr>
          <w:p w14:paraId="52B3E414" w14:textId="77777777" w:rsidR="00FF2ECE" w:rsidRPr="00C11A25" w:rsidRDefault="00FF2ECE" w:rsidP="00FF2ECE">
            <w:pPr>
              <w:pStyle w:val="Tableheading"/>
              <w:rPr>
                <w:sz w:val="20"/>
                <w:szCs w:val="20"/>
              </w:rPr>
            </w:pPr>
            <w:r>
              <w:rPr>
                <w:sz w:val="20"/>
                <w:szCs w:val="20"/>
              </w:rPr>
              <w:t>Female &lt;50</w:t>
            </w:r>
          </w:p>
        </w:tc>
        <w:tc>
          <w:tcPr>
            <w:tcW w:w="992" w:type="dxa"/>
          </w:tcPr>
          <w:p w14:paraId="5A41C6F4" w14:textId="2346CB9B" w:rsidR="00FF2ECE" w:rsidRPr="004B4004" w:rsidRDefault="00FF2ECE" w:rsidP="00FF2ECE">
            <w:pPr>
              <w:pStyle w:val="Tableheading"/>
              <w:rPr>
                <w:rFonts w:cstheme="minorHAnsi"/>
                <w:b w:val="0"/>
                <w:sz w:val="20"/>
                <w:szCs w:val="20"/>
              </w:rPr>
            </w:pPr>
            <w:r w:rsidRPr="00FF2ECE">
              <w:rPr>
                <w:rFonts w:cstheme="minorHAnsi"/>
                <w:b w:val="0"/>
                <w:sz w:val="20"/>
                <w:szCs w:val="20"/>
              </w:rPr>
              <w:t>64</w:t>
            </w:r>
          </w:p>
        </w:tc>
        <w:tc>
          <w:tcPr>
            <w:tcW w:w="1429" w:type="dxa"/>
          </w:tcPr>
          <w:p w14:paraId="287A69DD" w14:textId="3C4419DE" w:rsidR="00FF2ECE" w:rsidRPr="004B4004" w:rsidRDefault="00FF2ECE" w:rsidP="00FF2ECE">
            <w:pPr>
              <w:pStyle w:val="Tableheading"/>
              <w:rPr>
                <w:rFonts w:cstheme="minorHAnsi"/>
                <w:b w:val="0"/>
                <w:sz w:val="20"/>
                <w:szCs w:val="20"/>
              </w:rPr>
            </w:pPr>
            <w:r w:rsidRPr="00FF2ECE">
              <w:rPr>
                <w:rFonts w:cstheme="minorHAnsi"/>
                <w:b w:val="0"/>
                <w:sz w:val="20"/>
                <w:szCs w:val="20"/>
              </w:rPr>
              <w:t>73</w:t>
            </w:r>
          </w:p>
        </w:tc>
        <w:tc>
          <w:tcPr>
            <w:tcW w:w="1278" w:type="dxa"/>
          </w:tcPr>
          <w:p w14:paraId="7B3C1A59" w14:textId="10F3A316" w:rsidR="00FF2ECE" w:rsidRPr="004B4004" w:rsidRDefault="00FF2ECE" w:rsidP="00FF2ECE">
            <w:pPr>
              <w:pStyle w:val="Tableheading"/>
              <w:rPr>
                <w:rFonts w:cstheme="minorHAnsi"/>
                <w:b w:val="0"/>
                <w:sz w:val="20"/>
                <w:szCs w:val="20"/>
              </w:rPr>
            </w:pPr>
            <w:r w:rsidRPr="00FF2ECE">
              <w:rPr>
                <w:rFonts w:cstheme="minorHAnsi"/>
                <w:b w:val="0"/>
                <w:sz w:val="20"/>
                <w:szCs w:val="20"/>
              </w:rPr>
              <w:t>86</w:t>
            </w:r>
          </w:p>
        </w:tc>
        <w:tc>
          <w:tcPr>
            <w:tcW w:w="1120" w:type="dxa"/>
          </w:tcPr>
          <w:p w14:paraId="4BCBCB15" w14:textId="1DFF8D86" w:rsidR="00FF2ECE" w:rsidRPr="004B4004" w:rsidRDefault="00FF2ECE" w:rsidP="00FF2ECE">
            <w:pPr>
              <w:pStyle w:val="Tableheading"/>
              <w:rPr>
                <w:rFonts w:cstheme="minorHAnsi"/>
                <w:b w:val="0"/>
                <w:sz w:val="20"/>
                <w:szCs w:val="20"/>
              </w:rPr>
            </w:pPr>
            <w:r w:rsidRPr="00FF2ECE">
              <w:rPr>
                <w:rFonts w:cstheme="minorHAnsi"/>
                <w:b w:val="0"/>
                <w:sz w:val="20"/>
                <w:szCs w:val="20"/>
              </w:rPr>
              <w:t>82</w:t>
            </w:r>
          </w:p>
        </w:tc>
        <w:tc>
          <w:tcPr>
            <w:tcW w:w="1436" w:type="dxa"/>
          </w:tcPr>
          <w:p w14:paraId="643ABD1E" w14:textId="41081A95" w:rsidR="00FF2ECE" w:rsidRPr="004B4004" w:rsidRDefault="00FF2ECE" w:rsidP="00FF2ECE">
            <w:pPr>
              <w:pStyle w:val="Tableheading"/>
              <w:rPr>
                <w:rFonts w:cstheme="minorHAnsi"/>
                <w:b w:val="0"/>
                <w:sz w:val="20"/>
                <w:szCs w:val="20"/>
              </w:rPr>
            </w:pPr>
            <w:r w:rsidRPr="00FF2ECE">
              <w:rPr>
                <w:rFonts w:cstheme="minorHAnsi"/>
                <w:b w:val="0"/>
                <w:sz w:val="20"/>
                <w:szCs w:val="20"/>
              </w:rPr>
              <w:t>109</w:t>
            </w:r>
          </w:p>
        </w:tc>
        <w:tc>
          <w:tcPr>
            <w:tcW w:w="1279" w:type="dxa"/>
          </w:tcPr>
          <w:p w14:paraId="3C761598" w14:textId="1D785E53" w:rsidR="00FF2ECE" w:rsidRPr="004B4004" w:rsidRDefault="00FF2ECE" w:rsidP="00FF2ECE">
            <w:pPr>
              <w:pStyle w:val="Tableheading"/>
              <w:rPr>
                <w:rFonts w:cstheme="minorHAnsi"/>
                <w:b w:val="0"/>
                <w:sz w:val="20"/>
                <w:szCs w:val="20"/>
              </w:rPr>
            </w:pPr>
            <w:r w:rsidRPr="00FF2ECE">
              <w:rPr>
                <w:rFonts w:cstheme="minorHAnsi"/>
                <w:b w:val="0"/>
                <w:sz w:val="20"/>
                <w:szCs w:val="20"/>
              </w:rPr>
              <w:t>40</w:t>
            </w:r>
          </w:p>
        </w:tc>
      </w:tr>
      <w:tr w:rsidR="00FF2ECE" w:rsidRPr="001D0858" w14:paraId="592B0FF2" w14:textId="77777777" w:rsidTr="00D069E4">
        <w:trPr>
          <w:trHeight w:val="20"/>
        </w:trPr>
        <w:tc>
          <w:tcPr>
            <w:tcW w:w="1413" w:type="dxa"/>
          </w:tcPr>
          <w:p w14:paraId="11AB104C" w14:textId="77777777" w:rsidR="00FF2ECE" w:rsidRPr="00C11A25" w:rsidRDefault="00FF2ECE" w:rsidP="00FF2ECE">
            <w:pPr>
              <w:pStyle w:val="Tableheading"/>
              <w:rPr>
                <w:sz w:val="20"/>
                <w:szCs w:val="20"/>
              </w:rPr>
            </w:pPr>
            <w:r w:rsidRPr="00C11A25">
              <w:rPr>
                <w:sz w:val="20"/>
                <w:szCs w:val="20"/>
              </w:rPr>
              <w:t>Female 50–59</w:t>
            </w:r>
          </w:p>
        </w:tc>
        <w:tc>
          <w:tcPr>
            <w:tcW w:w="992" w:type="dxa"/>
          </w:tcPr>
          <w:p w14:paraId="6A9CF206" w14:textId="528B69B6" w:rsidR="00FF2ECE" w:rsidRPr="004B4004" w:rsidRDefault="00FF2ECE" w:rsidP="00FF2ECE">
            <w:pPr>
              <w:pStyle w:val="Tableheading"/>
              <w:rPr>
                <w:rFonts w:cstheme="minorHAnsi"/>
                <w:b w:val="0"/>
                <w:sz w:val="20"/>
                <w:szCs w:val="20"/>
              </w:rPr>
            </w:pPr>
            <w:r w:rsidRPr="00FF2ECE">
              <w:rPr>
                <w:rFonts w:cstheme="minorHAnsi"/>
                <w:b w:val="0"/>
                <w:sz w:val="20"/>
                <w:szCs w:val="20"/>
              </w:rPr>
              <w:t>355</w:t>
            </w:r>
          </w:p>
        </w:tc>
        <w:tc>
          <w:tcPr>
            <w:tcW w:w="1429" w:type="dxa"/>
          </w:tcPr>
          <w:p w14:paraId="21FDB5C9" w14:textId="7F4B08D4" w:rsidR="00FF2ECE" w:rsidRPr="004B4004" w:rsidRDefault="00FF2ECE" w:rsidP="00FF2ECE">
            <w:pPr>
              <w:pStyle w:val="Tableheading"/>
              <w:rPr>
                <w:rFonts w:cstheme="minorHAnsi"/>
                <w:b w:val="0"/>
                <w:sz w:val="20"/>
                <w:szCs w:val="20"/>
              </w:rPr>
            </w:pPr>
            <w:r w:rsidRPr="00FF2ECE">
              <w:rPr>
                <w:rFonts w:cstheme="minorHAnsi"/>
                <w:b w:val="0"/>
                <w:sz w:val="20"/>
                <w:szCs w:val="20"/>
              </w:rPr>
              <w:t>404</w:t>
            </w:r>
          </w:p>
        </w:tc>
        <w:tc>
          <w:tcPr>
            <w:tcW w:w="1278" w:type="dxa"/>
          </w:tcPr>
          <w:p w14:paraId="1D339F30" w14:textId="6EE68966" w:rsidR="00FF2ECE" w:rsidRPr="004B4004" w:rsidRDefault="00FF2ECE" w:rsidP="00FF2ECE">
            <w:pPr>
              <w:pStyle w:val="Tableheading"/>
              <w:rPr>
                <w:rFonts w:cstheme="minorHAnsi"/>
                <w:b w:val="0"/>
                <w:sz w:val="20"/>
                <w:szCs w:val="20"/>
              </w:rPr>
            </w:pPr>
            <w:r w:rsidRPr="00FF2ECE">
              <w:rPr>
                <w:rFonts w:cstheme="minorHAnsi"/>
                <w:b w:val="0"/>
                <w:sz w:val="20"/>
                <w:szCs w:val="20"/>
              </w:rPr>
              <w:t>473</w:t>
            </w:r>
          </w:p>
        </w:tc>
        <w:tc>
          <w:tcPr>
            <w:tcW w:w="1120" w:type="dxa"/>
          </w:tcPr>
          <w:p w14:paraId="606EACA2" w14:textId="21297074" w:rsidR="00FF2ECE" w:rsidRPr="004B4004" w:rsidRDefault="00FF2ECE" w:rsidP="00FF2ECE">
            <w:pPr>
              <w:pStyle w:val="Tableheading"/>
              <w:rPr>
                <w:rFonts w:cstheme="minorHAnsi"/>
                <w:b w:val="0"/>
                <w:sz w:val="20"/>
                <w:szCs w:val="20"/>
              </w:rPr>
            </w:pPr>
            <w:r w:rsidRPr="00FF2ECE">
              <w:rPr>
                <w:rFonts w:cstheme="minorHAnsi"/>
                <w:b w:val="0"/>
                <w:sz w:val="20"/>
                <w:szCs w:val="20"/>
              </w:rPr>
              <w:t>493</w:t>
            </w:r>
          </w:p>
        </w:tc>
        <w:tc>
          <w:tcPr>
            <w:tcW w:w="1436" w:type="dxa"/>
          </w:tcPr>
          <w:p w14:paraId="10E1A589" w14:textId="214E8332" w:rsidR="00FF2ECE" w:rsidRPr="004B4004" w:rsidRDefault="00FF2ECE" w:rsidP="00FF2ECE">
            <w:pPr>
              <w:pStyle w:val="Tableheading"/>
              <w:rPr>
                <w:rFonts w:cstheme="minorHAnsi"/>
                <w:b w:val="0"/>
                <w:sz w:val="20"/>
                <w:szCs w:val="20"/>
              </w:rPr>
            </w:pPr>
            <w:r w:rsidRPr="00FF2ECE">
              <w:rPr>
                <w:rFonts w:cstheme="minorHAnsi"/>
                <w:b w:val="0"/>
                <w:sz w:val="20"/>
                <w:szCs w:val="20"/>
              </w:rPr>
              <w:t>445</w:t>
            </w:r>
          </w:p>
        </w:tc>
        <w:tc>
          <w:tcPr>
            <w:tcW w:w="1279" w:type="dxa"/>
          </w:tcPr>
          <w:p w14:paraId="3B9834B6" w14:textId="4F363E0C" w:rsidR="00FF2ECE" w:rsidRPr="004B4004" w:rsidRDefault="00FF2ECE" w:rsidP="00FF2ECE">
            <w:pPr>
              <w:pStyle w:val="Tableheading"/>
              <w:rPr>
                <w:rFonts w:cstheme="minorHAnsi"/>
                <w:b w:val="0"/>
                <w:sz w:val="20"/>
                <w:szCs w:val="20"/>
              </w:rPr>
            </w:pPr>
            <w:r w:rsidRPr="00FF2ECE">
              <w:rPr>
                <w:rFonts w:cstheme="minorHAnsi"/>
                <w:b w:val="0"/>
                <w:sz w:val="20"/>
                <w:szCs w:val="20"/>
              </w:rPr>
              <w:t>186</w:t>
            </w:r>
          </w:p>
        </w:tc>
      </w:tr>
      <w:tr w:rsidR="00FF2ECE" w:rsidRPr="001D0858" w14:paraId="15F7E95D" w14:textId="77777777" w:rsidTr="00D069E4">
        <w:trPr>
          <w:trHeight w:val="20"/>
        </w:trPr>
        <w:tc>
          <w:tcPr>
            <w:tcW w:w="1413" w:type="dxa"/>
          </w:tcPr>
          <w:p w14:paraId="640F8AFB" w14:textId="77777777" w:rsidR="00FF2ECE" w:rsidRPr="00C11A25" w:rsidRDefault="00FF2ECE" w:rsidP="00FF2ECE">
            <w:pPr>
              <w:pStyle w:val="Tableheading"/>
              <w:rPr>
                <w:sz w:val="20"/>
                <w:szCs w:val="20"/>
              </w:rPr>
            </w:pPr>
            <w:r w:rsidRPr="00C11A25">
              <w:rPr>
                <w:sz w:val="20"/>
                <w:szCs w:val="20"/>
              </w:rPr>
              <w:t>Female 60–69</w:t>
            </w:r>
          </w:p>
        </w:tc>
        <w:tc>
          <w:tcPr>
            <w:tcW w:w="992" w:type="dxa"/>
          </w:tcPr>
          <w:p w14:paraId="4353B7BE" w14:textId="1A22A0D1" w:rsidR="00FF2ECE" w:rsidRPr="004B4004" w:rsidRDefault="00FF2ECE" w:rsidP="00FF2ECE">
            <w:pPr>
              <w:pStyle w:val="Tableheading"/>
              <w:rPr>
                <w:rFonts w:cstheme="minorHAnsi"/>
                <w:b w:val="0"/>
                <w:sz w:val="20"/>
                <w:szCs w:val="20"/>
              </w:rPr>
            </w:pPr>
            <w:r w:rsidRPr="00FF2ECE">
              <w:rPr>
                <w:rFonts w:cstheme="minorHAnsi"/>
                <w:b w:val="0"/>
                <w:sz w:val="20"/>
                <w:szCs w:val="20"/>
              </w:rPr>
              <w:t>1,035</w:t>
            </w:r>
          </w:p>
        </w:tc>
        <w:tc>
          <w:tcPr>
            <w:tcW w:w="1429" w:type="dxa"/>
          </w:tcPr>
          <w:p w14:paraId="7DBCD7D3" w14:textId="78E5698D" w:rsidR="00FF2ECE" w:rsidRPr="004B4004" w:rsidRDefault="00FF2ECE" w:rsidP="00FF2ECE">
            <w:pPr>
              <w:pStyle w:val="Tableheading"/>
              <w:rPr>
                <w:rFonts w:cstheme="minorHAnsi"/>
                <w:b w:val="0"/>
                <w:sz w:val="20"/>
                <w:szCs w:val="20"/>
              </w:rPr>
            </w:pPr>
            <w:r w:rsidRPr="00FF2ECE">
              <w:rPr>
                <w:rFonts w:cstheme="minorHAnsi"/>
                <w:b w:val="0"/>
                <w:sz w:val="20"/>
                <w:szCs w:val="20"/>
              </w:rPr>
              <w:t>1,327</w:t>
            </w:r>
          </w:p>
        </w:tc>
        <w:tc>
          <w:tcPr>
            <w:tcW w:w="1278" w:type="dxa"/>
          </w:tcPr>
          <w:p w14:paraId="50B0B7C2" w14:textId="28781C12" w:rsidR="00FF2ECE" w:rsidRPr="004B4004" w:rsidRDefault="00FF2ECE" w:rsidP="00FF2ECE">
            <w:pPr>
              <w:pStyle w:val="Tableheading"/>
              <w:rPr>
                <w:rFonts w:cstheme="minorHAnsi"/>
                <w:b w:val="0"/>
                <w:sz w:val="20"/>
                <w:szCs w:val="20"/>
              </w:rPr>
            </w:pPr>
            <w:r w:rsidRPr="00FF2ECE">
              <w:rPr>
                <w:rFonts w:cstheme="minorHAnsi"/>
                <w:b w:val="0"/>
                <w:sz w:val="20"/>
                <w:szCs w:val="20"/>
              </w:rPr>
              <w:t>1,439</w:t>
            </w:r>
          </w:p>
        </w:tc>
        <w:tc>
          <w:tcPr>
            <w:tcW w:w="1120" w:type="dxa"/>
          </w:tcPr>
          <w:p w14:paraId="26865BEE" w14:textId="141BE314" w:rsidR="00FF2ECE" w:rsidRPr="004B4004" w:rsidRDefault="00FF2ECE" w:rsidP="00FF2ECE">
            <w:pPr>
              <w:pStyle w:val="Tableheading"/>
              <w:rPr>
                <w:rFonts w:cstheme="minorHAnsi"/>
                <w:b w:val="0"/>
                <w:sz w:val="20"/>
                <w:szCs w:val="20"/>
              </w:rPr>
            </w:pPr>
            <w:r w:rsidRPr="00FF2ECE">
              <w:rPr>
                <w:rFonts w:cstheme="minorHAnsi"/>
                <w:b w:val="0"/>
                <w:sz w:val="20"/>
                <w:szCs w:val="20"/>
              </w:rPr>
              <w:t>1,447</w:t>
            </w:r>
          </w:p>
        </w:tc>
        <w:tc>
          <w:tcPr>
            <w:tcW w:w="1436" w:type="dxa"/>
          </w:tcPr>
          <w:p w14:paraId="0B8173C2" w14:textId="04297427" w:rsidR="00FF2ECE" w:rsidRPr="004B4004" w:rsidRDefault="00FF2ECE" w:rsidP="00FF2ECE">
            <w:pPr>
              <w:pStyle w:val="Tableheading"/>
              <w:rPr>
                <w:rFonts w:cstheme="minorHAnsi"/>
                <w:b w:val="0"/>
                <w:sz w:val="20"/>
                <w:szCs w:val="20"/>
              </w:rPr>
            </w:pPr>
            <w:r w:rsidRPr="00FF2ECE">
              <w:rPr>
                <w:rFonts w:cstheme="minorHAnsi"/>
                <w:b w:val="0"/>
                <w:sz w:val="20"/>
                <w:szCs w:val="20"/>
              </w:rPr>
              <w:t>1,462</w:t>
            </w:r>
          </w:p>
        </w:tc>
        <w:tc>
          <w:tcPr>
            <w:tcW w:w="1279" w:type="dxa"/>
          </w:tcPr>
          <w:p w14:paraId="00429918" w14:textId="1D523781" w:rsidR="00FF2ECE" w:rsidRPr="004B4004" w:rsidRDefault="00FF2ECE" w:rsidP="00FF2ECE">
            <w:pPr>
              <w:pStyle w:val="Tableheading"/>
              <w:rPr>
                <w:rFonts w:cstheme="minorHAnsi"/>
                <w:b w:val="0"/>
                <w:sz w:val="20"/>
                <w:szCs w:val="20"/>
              </w:rPr>
            </w:pPr>
            <w:r w:rsidRPr="00FF2ECE">
              <w:rPr>
                <w:rFonts w:cstheme="minorHAnsi"/>
                <w:b w:val="0"/>
                <w:sz w:val="20"/>
                <w:szCs w:val="20"/>
              </w:rPr>
              <w:t>648</w:t>
            </w:r>
          </w:p>
        </w:tc>
      </w:tr>
      <w:tr w:rsidR="00FF2ECE" w:rsidRPr="001D0858" w14:paraId="1FC5EB2E" w14:textId="77777777" w:rsidTr="00D069E4">
        <w:trPr>
          <w:trHeight w:val="20"/>
        </w:trPr>
        <w:tc>
          <w:tcPr>
            <w:tcW w:w="1413" w:type="dxa"/>
          </w:tcPr>
          <w:p w14:paraId="62C05EBD" w14:textId="77777777" w:rsidR="00FF2ECE" w:rsidRPr="00C11A25" w:rsidRDefault="00FF2ECE" w:rsidP="00FF2ECE">
            <w:pPr>
              <w:pStyle w:val="Tableheading"/>
              <w:rPr>
                <w:sz w:val="20"/>
                <w:szCs w:val="20"/>
              </w:rPr>
            </w:pPr>
            <w:r w:rsidRPr="00C11A25">
              <w:rPr>
                <w:sz w:val="20"/>
                <w:szCs w:val="20"/>
              </w:rPr>
              <w:t>Female 70+</w:t>
            </w:r>
          </w:p>
        </w:tc>
        <w:tc>
          <w:tcPr>
            <w:tcW w:w="992" w:type="dxa"/>
          </w:tcPr>
          <w:p w14:paraId="08FF6B96" w14:textId="788ACCF9" w:rsidR="00FF2ECE" w:rsidRPr="004B4004" w:rsidRDefault="00FF2ECE" w:rsidP="00FF2ECE">
            <w:pPr>
              <w:pStyle w:val="Tableheading"/>
              <w:rPr>
                <w:rFonts w:cstheme="minorHAnsi"/>
                <w:b w:val="0"/>
                <w:sz w:val="20"/>
                <w:szCs w:val="20"/>
              </w:rPr>
            </w:pPr>
            <w:r w:rsidRPr="00FF2ECE">
              <w:rPr>
                <w:rFonts w:cstheme="minorHAnsi"/>
                <w:b w:val="0"/>
                <w:sz w:val="20"/>
                <w:szCs w:val="20"/>
              </w:rPr>
              <w:t>3,850</w:t>
            </w:r>
          </w:p>
        </w:tc>
        <w:tc>
          <w:tcPr>
            <w:tcW w:w="1429" w:type="dxa"/>
          </w:tcPr>
          <w:p w14:paraId="49CF06E6" w14:textId="4381FC8F" w:rsidR="00FF2ECE" w:rsidRPr="004B4004" w:rsidRDefault="00FF2ECE" w:rsidP="00FF2ECE">
            <w:pPr>
              <w:pStyle w:val="Tableheading"/>
              <w:rPr>
                <w:rFonts w:cstheme="minorHAnsi"/>
                <w:b w:val="0"/>
                <w:sz w:val="20"/>
                <w:szCs w:val="20"/>
              </w:rPr>
            </w:pPr>
            <w:r w:rsidRPr="00FF2ECE">
              <w:rPr>
                <w:rFonts w:cstheme="minorHAnsi"/>
                <w:b w:val="0"/>
                <w:sz w:val="20"/>
                <w:szCs w:val="20"/>
              </w:rPr>
              <w:t>4,591</w:t>
            </w:r>
          </w:p>
        </w:tc>
        <w:tc>
          <w:tcPr>
            <w:tcW w:w="1278" w:type="dxa"/>
          </w:tcPr>
          <w:p w14:paraId="2648823E" w14:textId="08F341AE" w:rsidR="00FF2ECE" w:rsidRPr="004B4004" w:rsidRDefault="00FF2ECE" w:rsidP="00FF2ECE">
            <w:pPr>
              <w:pStyle w:val="Tableheading"/>
              <w:rPr>
                <w:rFonts w:cstheme="minorHAnsi"/>
                <w:b w:val="0"/>
                <w:sz w:val="20"/>
                <w:szCs w:val="20"/>
              </w:rPr>
            </w:pPr>
            <w:r w:rsidRPr="00FF2ECE">
              <w:rPr>
                <w:rFonts w:cstheme="minorHAnsi"/>
                <w:b w:val="0"/>
                <w:sz w:val="20"/>
                <w:szCs w:val="20"/>
              </w:rPr>
              <w:t>4,971</w:t>
            </w:r>
          </w:p>
        </w:tc>
        <w:tc>
          <w:tcPr>
            <w:tcW w:w="1120" w:type="dxa"/>
          </w:tcPr>
          <w:p w14:paraId="46B95273" w14:textId="569C289C" w:rsidR="00FF2ECE" w:rsidRPr="004B4004" w:rsidRDefault="00FF2ECE" w:rsidP="00FF2ECE">
            <w:pPr>
              <w:pStyle w:val="Tableheading"/>
              <w:rPr>
                <w:rFonts w:cstheme="minorHAnsi"/>
                <w:b w:val="0"/>
                <w:sz w:val="20"/>
                <w:szCs w:val="20"/>
              </w:rPr>
            </w:pPr>
            <w:r w:rsidRPr="00FF2ECE">
              <w:rPr>
                <w:rFonts w:cstheme="minorHAnsi"/>
                <w:b w:val="0"/>
                <w:sz w:val="20"/>
                <w:szCs w:val="20"/>
              </w:rPr>
              <w:t>5,429</w:t>
            </w:r>
          </w:p>
        </w:tc>
        <w:tc>
          <w:tcPr>
            <w:tcW w:w="1436" w:type="dxa"/>
          </w:tcPr>
          <w:p w14:paraId="4E9CDC05" w14:textId="79FD6DC7" w:rsidR="00FF2ECE" w:rsidRPr="004B4004" w:rsidRDefault="00FF2ECE" w:rsidP="00FF2ECE">
            <w:pPr>
              <w:pStyle w:val="Tableheading"/>
              <w:rPr>
                <w:rFonts w:cstheme="minorHAnsi"/>
                <w:b w:val="0"/>
                <w:sz w:val="20"/>
                <w:szCs w:val="20"/>
              </w:rPr>
            </w:pPr>
            <w:r w:rsidRPr="00FF2ECE">
              <w:rPr>
                <w:rFonts w:cstheme="minorHAnsi"/>
                <w:b w:val="0"/>
                <w:sz w:val="20"/>
                <w:szCs w:val="20"/>
              </w:rPr>
              <w:t>5,299</w:t>
            </w:r>
          </w:p>
        </w:tc>
        <w:tc>
          <w:tcPr>
            <w:tcW w:w="1279" w:type="dxa"/>
          </w:tcPr>
          <w:p w14:paraId="72B18846" w14:textId="05F51F6D" w:rsidR="00FF2ECE" w:rsidRPr="004B4004" w:rsidRDefault="00FF2ECE" w:rsidP="00FF2ECE">
            <w:pPr>
              <w:pStyle w:val="Tableheading"/>
              <w:rPr>
                <w:rFonts w:cstheme="minorHAnsi"/>
                <w:b w:val="0"/>
                <w:sz w:val="20"/>
                <w:szCs w:val="20"/>
              </w:rPr>
            </w:pPr>
            <w:r w:rsidRPr="00FF2ECE">
              <w:rPr>
                <w:rFonts w:cstheme="minorHAnsi"/>
                <w:b w:val="0"/>
                <w:sz w:val="20"/>
                <w:szCs w:val="20"/>
              </w:rPr>
              <w:t>2,526</w:t>
            </w:r>
          </w:p>
        </w:tc>
      </w:tr>
      <w:tr w:rsidR="00FF2ECE" w:rsidRPr="001D0858" w14:paraId="2C7CF945" w14:textId="77777777" w:rsidTr="00D069E4">
        <w:trPr>
          <w:trHeight w:val="20"/>
        </w:trPr>
        <w:tc>
          <w:tcPr>
            <w:tcW w:w="1413" w:type="dxa"/>
          </w:tcPr>
          <w:p w14:paraId="06DC0008" w14:textId="77777777" w:rsidR="00FF2ECE" w:rsidRPr="00C11A25" w:rsidRDefault="00FF2ECE" w:rsidP="00FF2ECE">
            <w:pPr>
              <w:pStyle w:val="Tableheading"/>
              <w:rPr>
                <w:sz w:val="20"/>
                <w:szCs w:val="20"/>
              </w:rPr>
            </w:pPr>
            <w:r>
              <w:rPr>
                <w:sz w:val="20"/>
                <w:szCs w:val="20"/>
              </w:rPr>
              <w:t>Male &lt;50</w:t>
            </w:r>
          </w:p>
        </w:tc>
        <w:tc>
          <w:tcPr>
            <w:tcW w:w="992" w:type="dxa"/>
          </w:tcPr>
          <w:p w14:paraId="40F9EED9" w14:textId="48A43AAB" w:rsidR="00FF2ECE" w:rsidRPr="004B4004" w:rsidRDefault="00FF2ECE" w:rsidP="00FF2ECE">
            <w:pPr>
              <w:pStyle w:val="Tableheading"/>
              <w:rPr>
                <w:rFonts w:cstheme="minorHAnsi"/>
                <w:b w:val="0"/>
                <w:sz w:val="20"/>
                <w:szCs w:val="20"/>
              </w:rPr>
            </w:pPr>
            <w:r w:rsidRPr="00FF2ECE">
              <w:rPr>
                <w:rFonts w:cstheme="minorHAnsi"/>
                <w:b w:val="0"/>
                <w:sz w:val="20"/>
                <w:szCs w:val="20"/>
              </w:rPr>
              <w:t>39</w:t>
            </w:r>
          </w:p>
        </w:tc>
        <w:tc>
          <w:tcPr>
            <w:tcW w:w="1429" w:type="dxa"/>
          </w:tcPr>
          <w:p w14:paraId="4F4CE0A9" w14:textId="3A4460CB" w:rsidR="00FF2ECE" w:rsidRPr="004B4004" w:rsidRDefault="00FF2ECE" w:rsidP="00FF2ECE">
            <w:pPr>
              <w:pStyle w:val="Tableheading"/>
              <w:rPr>
                <w:rFonts w:cstheme="minorHAnsi"/>
                <w:b w:val="0"/>
                <w:sz w:val="20"/>
                <w:szCs w:val="20"/>
              </w:rPr>
            </w:pPr>
            <w:r w:rsidRPr="00FF2ECE">
              <w:rPr>
                <w:rFonts w:cstheme="minorHAnsi"/>
                <w:b w:val="0"/>
                <w:sz w:val="20"/>
                <w:szCs w:val="20"/>
              </w:rPr>
              <w:t>43</w:t>
            </w:r>
          </w:p>
        </w:tc>
        <w:tc>
          <w:tcPr>
            <w:tcW w:w="1278" w:type="dxa"/>
          </w:tcPr>
          <w:p w14:paraId="53538777" w14:textId="3E27BA01" w:rsidR="00FF2ECE" w:rsidRPr="004B4004" w:rsidRDefault="00FF2ECE" w:rsidP="00FF2ECE">
            <w:pPr>
              <w:pStyle w:val="Tableheading"/>
              <w:rPr>
                <w:rFonts w:cstheme="minorHAnsi"/>
                <w:b w:val="0"/>
                <w:sz w:val="20"/>
                <w:szCs w:val="20"/>
              </w:rPr>
            </w:pPr>
            <w:r w:rsidRPr="00FF2ECE">
              <w:rPr>
                <w:rFonts w:cstheme="minorHAnsi"/>
                <w:b w:val="0"/>
                <w:sz w:val="20"/>
                <w:szCs w:val="20"/>
              </w:rPr>
              <w:t>44</w:t>
            </w:r>
          </w:p>
        </w:tc>
        <w:tc>
          <w:tcPr>
            <w:tcW w:w="1120" w:type="dxa"/>
          </w:tcPr>
          <w:p w14:paraId="4680B26D" w14:textId="44002A2F" w:rsidR="00FF2ECE" w:rsidRPr="004B4004" w:rsidRDefault="00FF2ECE" w:rsidP="00FF2ECE">
            <w:pPr>
              <w:pStyle w:val="Tableheading"/>
              <w:rPr>
                <w:rFonts w:cstheme="minorHAnsi"/>
                <w:b w:val="0"/>
                <w:sz w:val="20"/>
                <w:szCs w:val="20"/>
              </w:rPr>
            </w:pPr>
            <w:r w:rsidRPr="00FF2ECE">
              <w:rPr>
                <w:rFonts w:cstheme="minorHAnsi"/>
                <w:b w:val="0"/>
                <w:sz w:val="20"/>
                <w:szCs w:val="20"/>
              </w:rPr>
              <w:t>61</w:t>
            </w:r>
          </w:p>
        </w:tc>
        <w:tc>
          <w:tcPr>
            <w:tcW w:w="1436" w:type="dxa"/>
          </w:tcPr>
          <w:p w14:paraId="5249E367" w14:textId="3E5EF0F0" w:rsidR="00FF2ECE" w:rsidRPr="004B4004" w:rsidRDefault="00FF2ECE" w:rsidP="00FF2ECE">
            <w:pPr>
              <w:pStyle w:val="Tableheading"/>
              <w:rPr>
                <w:rFonts w:cstheme="minorHAnsi"/>
                <w:b w:val="0"/>
                <w:sz w:val="20"/>
                <w:szCs w:val="20"/>
              </w:rPr>
            </w:pPr>
            <w:r w:rsidRPr="00FF2ECE">
              <w:rPr>
                <w:rFonts w:cstheme="minorHAnsi"/>
                <w:b w:val="0"/>
                <w:sz w:val="20"/>
                <w:szCs w:val="20"/>
              </w:rPr>
              <w:t>46</w:t>
            </w:r>
          </w:p>
        </w:tc>
        <w:tc>
          <w:tcPr>
            <w:tcW w:w="1279" w:type="dxa"/>
          </w:tcPr>
          <w:p w14:paraId="77A5BE28" w14:textId="5BB52DC3" w:rsidR="00FF2ECE" w:rsidRPr="004B4004" w:rsidRDefault="00FF2ECE" w:rsidP="00FF2ECE">
            <w:pPr>
              <w:pStyle w:val="Tableheading"/>
              <w:rPr>
                <w:rFonts w:cstheme="minorHAnsi"/>
                <w:b w:val="0"/>
                <w:sz w:val="20"/>
                <w:szCs w:val="20"/>
              </w:rPr>
            </w:pPr>
            <w:r w:rsidRPr="00FF2ECE">
              <w:rPr>
                <w:rFonts w:cstheme="minorHAnsi"/>
                <w:b w:val="0"/>
                <w:sz w:val="20"/>
                <w:szCs w:val="20"/>
              </w:rPr>
              <w:t>14</w:t>
            </w:r>
          </w:p>
        </w:tc>
      </w:tr>
      <w:tr w:rsidR="00FF2ECE" w:rsidRPr="001D0858" w14:paraId="549F6170" w14:textId="77777777" w:rsidTr="00D069E4">
        <w:trPr>
          <w:trHeight w:val="20"/>
        </w:trPr>
        <w:tc>
          <w:tcPr>
            <w:tcW w:w="1413" w:type="dxa"/>
          </w:tcPr>
          <w:p w14:paraId="5173A5E8" w14:textId="77777777" w:rsidR="00FF2ECE" w:rsidRPr="00C11A25" w:rsidRDefault="00FF2ECE" w:rsidP="00FF2ECE">
            <w:pPr>
              <w:pStyle w:val="Tableheading"/>
              <w:rPr>
                <w:sz w:val="20"/>
                <w:szCs w:val="20"/>
              </w:rPr>
            </w:pPr>
            <w:r w:rsidRPr="00C11A25">
              <w:rPr>
                <w:sz w:val="20"/>
                <w:szCs w:val="20"/>
              </w:rPr>
              <w:t>Male 50–59</w:t>
            </w:r>
          </w:p>
        </w:tc>
        <w:tc>
          <w:tcPr>
            <w:tcW w:w="992" w:type="dxa"/>
          </w:tcPr>
          <w:p w14:paraId="5CB086F4" w14:textId="13464DD4" w:rsidR="00FF2ECE" w:rsidRPr="004B4004" w:rsidRDefault="00FF2ECE" w:rsidP="00FF2ECE">
            <w:pPr>
              <w:pStyle w:val="Tableheading"/>
              <w:rPr>
                <w:rFonts w:cstheme="minorHAnsi"/>
                <w:b w:val="0"/>
                <w:sz w:val="20"/>
                <w:szCs w:val="20"/>
              </w:rPr>
            </w:pPr>
            <w:r w:rsidRPr="00FF2ECE">
              <w:rPr>
                <w:rFonts w:cstheme="minorHAnsi"/>
                <w:b w:val="0"/>
                <w:sz w:val="20"/>
                <w:szCs w:val="20"/>
              </w:rPr>
              <w:t>93</w:t>
            </w:r>
          </w:p>
        </w:tc>
        <w:tc>
          <w:tcPr>
            <w:tcW w:w="1429" w:type="dxa"/>
          </w:tcPr>
          <w:p w14:paraId="7B361807" w14:textId="10A13AC2" w:rsidR="00FF2ECE" w:rsidRPr="004B4004" w:rsidRDefault="00FF2ECE" w:rsidP="00FF2ECE">
            <w:pPr>
              <w:pStyle w:val="Tableheading"/>
              <w:rPr>
                <w:rFonts w:cstheme="minorHAnsi"/>
                <w:b w:val="0"/>
                <w:sz w:val="20"/>
                <w:szCs w:val="20"/>
              </w:rPr>
            </w:pPr>
            <w:r w:rsidRPr="00FF2ECE">
              <w:rPr>
                <w:rFonts w:cstheme="minorHAnsi"/>
                <w:b w:val="0"/>
                <w:sz w:val="20"/>
                <w:szCs w:val="20"/>
              </w:rPr>
              <w:t>92</w:t>
            </w:r>
          </w:p>
        </w:tc>
        <w:tc>
          <w:tcPr>
            <w:tcW w:w="1278" w:type="dxa"/>
          </w:tcPr>
          <w:p w14:paraId="6544B921" w14:textId="0A85ABFD" w:rsidR="00FF2ECE" w:rsidRPr="004B4004" w:rsidRDefault="00FF2ECE" w:rsidP="00FF2ECE">
            <w:pPr>
              <w:pStyle w:val="Tableheading"/>
              <w:rPr>
                <w:rFonts w:cstheme="minorHAnsi"/>
                <w:b w:val="0"/>
                <w:sz w:val="20"/>
                <w:szCs w:val="20"/>
              </w:rPr>
            </w:pPr>
            <w:r w:rsidRPr="00FF2ECE">
              <w:rPr>
                <w:rFonts w:cstheme="minorHAnsi"/>
                <w:b w:val="0"/>
                <w:sz w:val="20"/>
                <w:szCs w:val="20"/>
              </w:rPr>
              <w:t>113</w:t>
            </w:r>
          </w:p>
        </w:tc>
        <w:tc>
          <w:tcPr>
            <w:tcW w:w="1120" w:type="dxa"/>
          </w:tcPr>
          <w:p w14:paraId="187F191B" w14:textId="04A90E8A" w:rsidR="00FF2ECE" w:rsidRPr="004B4004" w:rsidRDefault="00FF2ECE" w:rsidP="00FF2ECE">
            <w:pPr>
              <w:pStyle w:val="Tableheading"/>
              <w:rPr>
                <w:rFonts w:cstheme="minorHAnsi"/>
                <w:b w:val="0"/>
                <w:sz w:val="20"/>
                <w:szCs w:val="20"/>
              </w:rPr>
            </w:pPr>
            <w:r w:rsidRPr="00FF2ECE">
              <w:rPr>
                <w:rFonts w:cstheme="minorHAnsi"/>
                <w:b w:val="0"/>
                <w:sz w:val="20"/>
                <w:szCs w:val="20"/>
              </w:rPr>
              <w:t>101</w:t>
            </w:r>
          </w:p>
        </w:tc>
        <w:tc>
          <w:tcPr>
            <w:tcW w:w="1436" w:type="dxa"/>
          </w:tcPr>
          <w:p w14:paraId="5EF2ECC9" w14:textId="56A5175B" w:rsidR="00FF2ECE" w:rsidRPr="004B4004" w:rsidRDefault="00FF2ECE" w:rsidP="00FF2ECE">
            <w:pPr>
              <w:pStyle w:val="Tableheading"/>
              <w:rPr>
                <w:rFonts w:cstheme="minorHAnsi"/>
                <w:b w:val="0"/>
                <w:sz w:val="20"/>
                <w:szCs w:val="20"/>
              </w:rPr>
            </w:pPr>
            <w:r w:rsidRPr="00FF2ECE">
              <w:rPr>
                <w:rFonts w:cstheme="minorHAnsi"/>
                <w:b w:val="0"/>
                <w:sz w:val="20"/>
                <w:szCs w:val="20"/>
              </w:rPr>
              <w:t>99</w:t>
            </w:r>
          </w:p>
        </w:tc>
        <w:tc>
          <w:tcPr>
            <w:tcW w:w="1279" w:type="dxa"/>
          </w:tcPr>
          <w:p w14:paraId="2872BBE7" w14:textId="78FDB41D" w:rsidR="00FF2ECE" w:rsidRPr="004B4004" w:rsidRDefault="00FF2ECE" w:rsidP="00FF2ECE">
            <w:pPr>
              <w:pStyle w:val="Tableheading"/>
              <w:rPr>
                <w:rFonts w:cstheme="minorHAnsi"/>
                <w:b w:val="0"/>
                <w:sz w:val="20"/>
                <w:szCs w:val="20"/>
              </w:rPr>
            </w:pPr>
            <w:r w:rsidRPr="00FF2ECE">
              <w:rPr>
                <w:rFonts w:cstheme="minorHAnsi"/>
                <w:b w:val="0"/>
                <w:sz w:val="20"/>
                <w:szCs w:val="20"/>
              </w:rPr>
              <w:t>28</w:t>
            </w:r>
          </w:p>
        </w:tc>
      </w:tr>
      <w:tr w:rsidR="00FF2ECE" w:rsidRPr="001D0858" w14:paraId="10CD103F" w14:textId="77777777" w:rsidTr="00D069E4">
        <w:trPr>
          <w:trHeight w:val="20"/>
        </w:trPr>
        <w:tc>
          <w:tcPr>
            <w:tcW w:w="1413" w:type="dxa"/>
          </w:tcPr>
          <w:p w14:paraId="0169DB56" w14:textId="77777777" w:rsidR="00FF2ECE" w:rsidRPr="00C11A25" w:rsidRDefault="00FF2ECE" w:rsidP="00FF2ECE">
            <w:pPr>
              <w:pStyle w:val="Tableheading"/>
              <w:rPr>
                <w:sz w:val="20"/>
                <w:szCs w:val="20"/>
              </w:rPr>
            </w:pPr>
            <w:r w:rsidRPr="00C11A25">
              <w:rPr>
                <w:sz w:val="20"/>
                <w:szCs w:val="20"/>
              </w:rPr>
              <w:t>Male 60–69</w:t>
            </w:r>
          </w:p>
        </w:tc>
        <w:tc>
          <w:tcPr>
            <w:tcW w:w="992" w:type="dxa"/>
          </w:tcPr>
          <w:p w14:paraId="551016F5" w14:textId="1CC4AE99" w:rsidR="00FF2ECE" w:rsidRPr="004B4004" w:rsidRDefault="00FF2ECE" w:rsidP="00FF2ECE">
            <w:pPr>
              <w:pStyle w:val="Tableheading"/>
              <w:rPr>
                <w:rFonts w:cstheme="minorHAnsi"/>
                <w:b w:val="0"/>
                <w:sz w:val="20"/>
                <w:szCs w:val="20"/>
              </w:rPr>
            </w:pPr>
            <w:r w:rsidRPr="00FF2ECE">
              <w:rPr>
                <w:rFonts w:cstheme="minorHAnsi"/>
                <w:b w:val="0"/>
                <w:sz w:val="20"/>
                <w:szCs w:val="20"/>
              </w:rPr>
              <w:t>183</w:t>
            </w:r>
          </w:p>
        </w:tc>
        <w:tc>
          <w:tcPr>
            <w:tcW w:w="1429" w:type="dxa"/>
          </w:tcPr>
          <w:p w14:paraId="654D8EFE" w14:textId="619D6005" w:rsidR="00FF2ECE" w:rsidRPr="004B4004" w:rsidRDefault="00FF2ECE" w:rsidP="00FF2ECE">
            <w:pPr>
              <w:pStyle w:val="Tableheading"/>
              <w:rPr>
                <w:rFonts w:cstheme="minorHAnsi"/>
                <w:b w:val="0"/>
                <w:sz w:val="20"/>
                <w:szCs w:val="20"/>
              </w:rPr>
            </w:pPr>
            <w:r w:rsidRPr="00FF2ECE">
              <w:rPr>
                <w:rFonts w:cstheme="minorHAnsi"/>
                <w:b w:val="0"/>
                <w:sz w:val="20"/>
                <w:szCs w:val="20"/>
              </w:rPr>
              <w:t>229</w:t>
            </w:r>
          </w:p>
        </w:tc>
        <w:tc>
          <w:tcPr>
            <w:tcW w:w="1278" w:type="dxa"/>
          </w:tcPr>
          <w:p w14:paraId="6B739158" w14:textId="6A4AFC09" w:rsidR="00FF2ECE" w:rsidRPr="004B4004" w:rsidRDefault="00FF2ECE" w:rsidP="00FF2ECE">
            <w:pPr>
              <w:pStyle w:val="Tableheading"/>
              <w:rPr>
                <w:rFonts w:cstheme="minorHAnsi"/>
                <w:b w:val="0"/>
                <w:sz w:val="20"/>
                <w:szCs w:val="20"/>
              </w:rPr>
            </w:pPr>
            <w:r w:rsidRPr="00FF2ECE">
              <w:rPr>
                <w:rFonts w:cstheme="minorHAnsi"/>
                <w:b w:val="0"/>
                <w:sz w:val="20"/>
                <w:szCs w:val="20"/>
              </w:rPr>
              <w:t>247</w:t>
            </w:r>
          </w:p>
        </w:tc>
        <w:tc>
          <w:tcPr>
            <w:tcW w:w="1120" w:type="dxa"/>
          </w:tcPr>
          <w:p w14:paraId="4B9BCC76" w14:textId="61A010DB" w:rsidR="00FF2ECE" w:rsidRPr="004B4004" w:rsidRDefault="00FF2ECE" w:rsidP="00FF2ECE">
            <w:pPr>
              <w:pStyle w:val="Tableheading"/>
              <w:rPr>
                <w:rFonts w:cstheme="minorHAnsi"/>
                <w:b w:val="0"/>
                <w:sz w:val="20"/>
                <w:szCs w:val="20"/>
              </w:rPr>
            </w:pPr>
            <w:r w:rsidRPr="00FF2ECE">
              <w:rPr>
                <w:rFonts w:cstheme="minorHAnsi"/>
                <w:b w:val="0"/>
                <w:sz w:val="20"/>
                <w:szCs w:val="20"/>
              </w:rPr>
              <w:t>270</w:t>
            </w:r>
          </w:p>
        </w:tc>
        <w:tc>
          <w:tcPr>
            <w:tcW w:w="1436" w:type="dxa"/>
          </w:tcPr>
          <w:p w14:paraId="32FFAF7F" w14:textId="08BF199F" w:rsidR="00FF2ECE" w:rsidRPr="004B4004" w:rsidRDefault="00FF2ECE" w:rsidP="00FF2ECE">
            <w:pPr>
              <w:pStyle w:val="Tableheading"/>
              <w:rPr>
                <w:rFonts w:cstheme="minorHAnsi"/>
                <w:b w:val="0"/>
                <w:sz w:val="20"/>
                <w:szCs w:val="20"/>
              </w:rPr>
            </w:pPr>
            <w:r w:rsidRPr="00FF2ECE">
              <w:rPr>
                <w:rFonts w:cstheme="minorHAnsi"/>
                <w:b w:val="0"/>
                <w:sz w:val="20"/>
                <w:szCs w:val="20"/>
              </w:rPr>
              <w:t>291</w:t>
            </w:r>
          </w:p>
        </w:tc>
        <w:tc>
          <w:tcPr>
            <w:tcW w:w="1279" w:type="dxa"/>
          </w:tcPr>
          <w:p w14:paraId="15FC72CE" w14:textId="7E0CE005" w:rsidR="00FF2ECE" w:rsidRPr="004B4004" w:rsidRDefault="00FF2ECE" w:rsidP="00FF2ECE">
            <w:pPr>
              <w:pStyle w:val="Tableheading"/>
              <w:rPr>
                <w:rFonts w:cstheme="minorHAnsi"/>
                <w:b w:val="0"/>
                <w:sz w:val="20"/>
                <w:szCs w:val="20"/>
              </w:rPr>
            </w:pPr>
            <w:r w:rsidRPr="00FF2ECE">
              <w:rPr>
                <w:rFonts w:cstheme="minorHAnsi"/>
                <w:b w:val="0"/>
                <w:sz w:val="20"/>
                <w:szCs w:val="20"/>
              </w:rPr>
              <w:t>103</w:t>
            </w:r>
          </w:p>
        </w:tc>
      </w:tr>
      <w:tr w:rsidR="00FF2ECE" w:rsidRPr="001D0858" w14:paraId="2F7C092A" w14:textId="77777777" w:rsidTr="00D069E4">
        <w:trPr>
          <w:trHeight w:val="20"/>
        </w:trPr>
        <w:tc>
          <w:tcPr>
            <w:tcW w:w="1413" w:type="dxa"/>
          </w:tcPr>
          <w:p w14:paraId="25F4F856" w14:textId="77777777" w:rsidR="00FF2ECE" w:rsidRPr="00C11A25" w:rsidRDefault="00FF2ECE" w:rsidP="00FF2ECE">
            <w:pPr>
              <w:pStyle w:val="Tableheading"/>
              <w:rPr>
                <w:sz w:val="20"/>
                <w:szCs w:val="20"/>
              </w:rPr>
            </w:pPr>
            <w:r w:rsidRPr="00C11A25">
              <w:rPr>
                <w:sz w:val="20"/>
                <w:szCs w:val="20"/>
              </w:rPr>
              <w:t>Male 70+</w:t>
            </w:r>
          </w:p>
        </w:tc>
        <w:tc>
          <w:tcPr>
            <w:tcW w:w="992" w:type="dxa"/>
          </w:tcPr>
          <w:p w14:paraId="41E7BE9A" w14:textId="101153B5" w:rsidR="00FF2ECE" w:rsidRPr="004B4004" w:rsidRDefault="00FF2ECE" w:rsidP="00FF2ECE">
            <w:pPr>
              <w:pStyle w:val="Tableheading"/>
              <w:rPr>
                <w:rFonts w:cstheme="minorHAnsi"/>
                <w:b w:val="0"/>
                <w:sz w:val="20"/>
                <w:szCs w:val="20"/>
              </w:rPr>
            </w:pPr>
            <w:r w:rsidRPr="00FF2ECE">
              <w:rPr>
                <w:rFonts w:cstheme="minorHAnsi"/>
                <w:b w:val="0"/>
                <w:sz w:val="20"/>
                <w:szCs w:val="20"/>
              </w:rPr>
              <w:t>956</w:t>
            </w:r>
          </w:p>
        </w:tc>
        <w:tc>
          <w:tcPr>
            <w:tcW w:w="1429" w:type="dxa"/>
          </w:tcPr>
          <w:p w14:paraId="7287FF19" w14:textId="39CB780F" w:rsidR="00FF2ECE" w:rsidRPr="004B4004" w:rsidRDefault="00FF2ECE" w:rsidP="00FF2ECE">
            <w:pPr>
              <w:pStyle w:val="Tableheading"/>
              <w:rPr>
                <w:rFonts w:cstheme="minorHAnsi"/>
                <w:b w:val="0"/>
                <w:sz w:val="20"/>
                <w:szCs w:val="20"/>
              </w:rPr>
            </w:pPr>
            <w:r w:rsidRPr="00FF2ECE">
              <w:rPr>
                <w:rFonts w:cstheme="minorHAnsi"/>
                <w:b w:val="0"/>
                <w:sz w:val="20"/>
                <w:szCs w:val="20"/>
              </w:rPr>
              <w:t>1,235</w:t>
            </w:r>
          </w:p>
        </w:tc>
        <w:tc>
          <w:tcPr>
            <w:tcW w:w="1278" w:type="dxa"/>
          </w:tcPr>
          <w:p w14:paraId="66524429" w14:textId="4CEE1DB4" w:rsidR="00FF2ECE" w:rsidRPr="004B4004" w:rsidRDefault="00FF2ECE" w:rsidP="00FF2ECE">
            <w:pPr>
              <w:pStyle w:val="Tableheading"/>
              <w:rPr>
                <w:rFonts w:cstheme="minorHAnsi"/>
                <w:b w:val="0"/>
                <w:sz w:val="20"/>
                <w:szCs w:val="20"/>
              </w:rPr>
            </w:pPr>
            <w:r w:rsidRPr="00FF2ECE">
              <w:rPr>
                <w:rFonts w:cstheme="minorHAnsi"/>
                <w:b w:val="0"/>
                <w:sz w:val="20"/>
                <w:szCs w:val="20"/>
              </w:rPr>
              <w:t>1,360</w:t>
            </w:r>
          </w:p>
        </w:tc>
        <w:tc>
          <w:tcPr>
            <w:tcW w:w="1120" w:type="dxa"/>
          </w:tcPr>
          <w:p w14:paraId="7D0DD040" w14:textId="35D5C546" w:rsidR="00FF2ECE" w:rsidRPr="004B4004" w:rsidRDefault="00FF2ECE" w:rsidP="00FF2ECE">
            <w:pPr>
              <w:pStyle w:val="Tableheading"/>
              <w:rPr>
                <w:rFonts w:cstheme="minorHAnsi"/>
                <w:b w:val="0"/>
                <w:sz w:val="20"/>
                <w:szCs w:val="20"/>
              </w:rPr>
            </w:pPr>
            <w:r w:rsidRPr="00FF2ECE">
              <w:rPr>
                <w:rFonts w:cstheme="minorHAnsi"/>
                <w:b w:val="0"/>
                <w:sz w:val="20"/>
                <w:szCs w:val="20"/>
              </w:rPr>
              <w:t>1,546</w:t>
            </w:r>
          </w:p>
        </w:tc>
        <w:tc>
          <w:tcPr>
            <w:tcW w:w="1436" w:type="dxa"/>
          </w:tcPr>
          <w:p w14:paraId="15FB3504" w14:textId="7868F767" w:rsidR="00FF2ECE" w:rsidRPr="004B4004" w:rsidRDefault="00FF2ECE" w:rsidP="00FF2ECE">
            <w:pPr>
              <w:pStyle w:val="Tableheading"/>
              <w:rPr>
                <w:rFonts w:cstheme="minorHAnsi"/>
                <w:b w:val="0"/>
                <w:sz w:val="20"/>
                <w:szCs w:val="20"/>
              </w:rPr>
            </w:pPr>
            <w:r w:rsidRPr="00FF2ECE">
              <w:rPr>
                <w:rFonts w:cstheme="minorHAnsi"/>
                <w:b w:val="0"/>
                <w:sz w:val="20"/>
                <w:szCs w:val="20"/>
              </w:rPr>
              <w:t>1,640</w:t>
            </w:r>
          </w:p>
        </w:tc>
        <w:tc>
          <w:tcPr>
            <w:tcW w:w="1279" w:type="dxa"/>
          </w:tcPr>
          <w:p w14:paraId="612DA767" w14:textId="7F560078" w:rsidR="00FF2ECE" w:rsidRPr="004B4004" w:rsidRDefault="00FF2ECE" w:rsidP="00FF2ECE">
            <w:pPr>
              <w:pStyle w:val="Tableheading"/>
              <w:rPr>
                <w:rFonts w:cstheme="minorHAnsi"/>
                <w:b w:val="0"/>
                <w:sz w:val="20"/>
                <w:szCs w:val="20"/>
              </w:rPr>
            </w:pPr>
            <w:r w:rsidRPr="00FF2ECE">
              <w:rPr>
                <w:rFonts w:cstheme="minorHAnsi"/>
                <w:b w:val="0"/>
                <w:sz w:val="20"/>
                <w:szCs w:val="20"/>
              </w:rPr>
              <w:t>770</w:t>
            </w:r>
          </w:p>
        </w:tc>
      </w:tr>
    </w:tbl>
    <w:p w14:paraId="44785591" w14:textId="338AE44B" w:rsidR="00B03BF7" w:rsidRDefault="003B2139" w:rsidP="00812493">
      <w:pPr>
        <w:pStyle w:val="Figurecaption"/>
      </w:pPr>
      <w:r>
        <w:t>*Six months of data only</w:t>
      </w:r>
    </w:p>
    <w:p w14:paraId="281A38A8" w14:textId="46B41A45" w:rsidR="00425CE0" w:rsidRPr="00812493" w:rsidRDefault="001C3691" w:rsidP="00812493">
      <w:pPr>
        <w:pStyle w:val="Heading4"/>
        <w:rPr>
          <w:sz w:val="24"/>
        </w:rPr>
      </w:pPr>
      <w:r w:rsidRPr="00812493">
        <w:rPr>
          <w:sz w:val="24"/>
        </w:rPr>
        <w:t>Directly initiated on</w:t>
      </w:r>
      <w:r w:rsidR="00425CE0" w:rsidRPr="00812493">
        <w:rPr>
          <w:sz w:val="24"/>
        </w:rPr>
        <w:t xml:space="preserve"> denosumab </w:t>
      </w:r>
      <w:r w:rsidRPr="00812493">
        <w:rPr>
          <w:sz w:val="24"/>
        </w:rPr>
        <w:t>(</w:t>
      </w:r>
      <w:bookmarkStart w:id="1" w:name="_Hlk48213706"/>
      <w:r w:rsidR="00425CE0" w:rsidRPr="00812493">
        <w:rPr>
          <w:sz w:val="24"/>
        </w:rPr>
        <w:t>with no record of being prescribed any osteoporosis medicine prior</w:t>
      </w:r>
      <w:bookmarkEnd w:id="1"/>
      <w:r w:rsidRPr="00812493">
        <w:rPr>
          <w:sz w:val="24"/>
        </w:rPr>
        <w:t>)</w:t>
      </w:r>
    </w:p>
    <w:p w14:paraId="0AB1489A" w14:textId="6FA302A9" w:rsidR="005F7D60" w:rsidRDefault="004563B6" w:rsidP="005F7D60">
      <w:r>
        <w:t xml:space="preserve">Figure 3 and Table </w:t>
      </w:r>
      <w:r w:rsidR="007C4B2D">
        <w:t>12</w:t>
      </w:r>
      <w:r w:rsidR="00400A80">
        <w:t xml:space="preserve"> show the number of patients who have been started directly on denosumab between January 2014 and June 2019, without any record of having been dispensed any osteoporosis medicine in </w:t>
      </w:r>
      <w:r w:rsidR="00F427B6">
        <w:t xml:space="preserve">at least </w:t>
      </w:r>
      <w:r w:rsidR="00400A80">
        <w:t xml:space="preserve">the two years prior to </w:t>
      </w:r>
      <w:r w:rsidR="00DB0E81">
        <w:t>starting denosumab</w:t>
      </w:r>
      <w:r w:rsidR="00160764">
        <w:t xml:space="preserve"> or further i</w:t>
      </w:r>
      <w:r w:rsidR="00F25FA5">
        <w:t>f</w:t>
      </w:r>
      <w:r w:rsidR="00160764">
        <w:t xml:space="preserve"> records were available</w:t>
      </w:r>
      <w:r w:rsidR="00DB0E81">
        <w:t xml:space="preserve">. </w:t>
      </w:r>
      <w:r w:rsidR="004A09EA" w:rsidRPr="004A09EA">
        <w:t xml:space="preserve">The number of patients </w:t>
      </w:r>
      <w:r w:rsidR="00823F8E">
        <w:t>d</w:t>
      </w:r>
      <w:r w:rsidR="00823F8E" w:rsidRPr="00823F8E">
        <w:t>irectly initiated on denosumab</w:t>
      </w:r>
      <w:r w:rsidR="004A09EA" w:rsidRPr="004A09EA">
        <w:t xml:space="preserve"> has increased </w:t>
      </w:r>
      <w:r w:rsidR="00823F8E">
        <w:t>steadily</w:t>
      </w:r>
      <w:r w:rsidR="004A09EA" w:rsidRPr="004A09EA">
        <w:t xml:space="preserve"> since 2014. In 2018, there were an estimated </w:t>
      </w:r>
      <w:r w:rsidR="00A56797">
        <w:t>7,187</w:t>
      </w:r>
      <w:r w:rsidR="004A09EA" w:rsidRPr="004A09EA">
        <w:t xml:space="preserve"> patients from the 10% PBS sample who were </w:t>
      </w:r>
      <w:r w:rsidR="00A56797">
        <w:t xml:space="preserve">directly </w:t>
      </w:r>
      <w:r w:rsidR="004A09EA" w:rsidRPr="004A09EA">
        <w:t>initiat</w:t>
      </w:r>
      <w:r w:rsidR="00A56797">
        <w:t>ed on</w:t>
      </w:r>
      <w:r w:rsidR="004A09EA" w:rsidRPr="004A09EA">
        <w:t xml:space="preserve"> </w:t>
      </w:r>
      <w:r w:rsidR="00A56797" w:rsidRPr="004A09EA">
        <w:t xml:space="preserve">denosumab </w:t>
      </w:r>
      <w:r w:rsidR="004A09EA" w:rsidRPr="004A09EA">
        <w:t xml:space="preserve">– </w:t>
      </w:r>
      <w:r w:rsidR="00D146A7">
        <w:t>double</w:t>
      </w:r>
      <w:r w:rsidR="004A09EA" w:rsidRPr="004A09EA">
        <w:t xml:space="preserve"> the number of </w:t>
      </w:r>
      <w:r w:rsidR="00A14643">
        <w:t xml:space="preserve">patients </w:t>
      </w:r>
      <w:r w:rsidR="00881CF6">
        <w:t>directly started on denosumab</w:t>
      </w:r>
      <w:r w:rsidR="004A09EA" w:rsidRPr="004A09EA">
        <w:t xml:space="preserve"> in 2014. </w:t>
      </w:r>
      <w:r w:rsidR="00F6140D">
        <w:t xml:space="preserve">The scale of the increase was similar for both males and females. </w:t>
      </w:r>
      <w:r w:rsidR="004A09EA" w:rsidRPr="004A09EA">
        <w:t xml:space="preserve">Once again, women aged 70+ years were the largest group of patients newly started on denosumab (Figure </w:t>
      </w:r>
      <w:r w:rsidR="002E431E">
        <w:t>3</w:t>
      </w:r>
      <w:r w:rsidR="004A09EA" w:rsidRPr="004A09EA">
        <w:t xml:space="preserve">, Table </w:t>
      </w:r>
      <w:r w:rsidR="007C4B2D">
        <w:t>12</w:t>
      </w:r>
      <w:r w:rsidR="004A09EA" w:rsidRPr="004A09EA">
        <w:t>)</w:t>
      </w:r>
      <w:r w:rsidR="00E67CC6">
        <w:t>.</w:t>
      </w:r>
    </w:p>
    <w:p w14:paraId="2B353BD1" w14:textId="78400735" w:rsidR="00020F8F" w:rsidRDefault="006847F5" w:rsidP="005F7D60">
      <w:bookmarkStart w:id="2" w:name="_Hlk48301604"/>
      <w:r w:rsidRPr="006847F5">
        <w:lastRenderedPageBreak/>
        <w:t>In 20</w:t>
      </w:r>
      <w:r>
        <w:t>14</w:t>
      </w:r>
      <w:r w:rsidRPr="006847F5">
        <w:t xml:space="preserve">, </w:t>
      </w:r>
      <w:r w:rsidR="00FE5512">
        <w:t>45</w:t>
      </w:r>
      <w:r w:rsidRPr="006847F5">
        <w:t xml:space="preserve">% of </w:t>
      </w:r>
      <w:r w:rsidR="009B6103">
        <w:t xml:space="preserve">6,575 </w:t>
      </w:r>
      <w:r w:rsidRPr="006847F5">
        <w:t>patients</w:t>
      </w:r>
      <w:r w:rsidR="009B6103">
        <w:t xml:space="preserve"> </w:t>
      </w:r>
      <w:r w:rsidRPr="006847F5">
        <w:t>initiating denosumab had previously used at least one other osteoporosis drug</w:t>
      </w:r>
      <w:r w:rsidR="00FE5512">
        <w:t xml:space="preserve"> and 55% </w:t>
      </w:r>
      <w:r w:rsidR="004538AC">
        <w:t>were directly initiated on denosumab</w:t>
      </w:r>
      <w:r w:rsidRPr="006847F5">
        <w:t>.</w:t>
      </w:r>
      <w:r w:rsidR="004538AC">
        <w:t xml:space="preserve"> </w:t>
      </w:r>
      <w:r w:rsidR="00716EAE">
        <w:t>By 2018</w:t>
      </w:r>
      <w:r w:rsidR="000A7B1B">
        <w:t>,</w:t>
      </w:r>
      <w:r w:rsidR="00716EAE">
        <w:t xml:space="preserve"> </w:t>
      </w:r>
      <w:r w:rsidR="000A7B1B">
        <w:t xml:space="preserve">only 24% </w:t>
      </w:r>
      <w:r w:rsidR="000A7B1B" w:rsidRPr="006847F5">
        <w:t xml:space="preserve">of </w:t>
      </w:r>
      <w:r w:rsidR="005574F1">
        <w:t>9</w:t>
      </w:r>
      <w:r w:rsidR="00211A5C">
        <w:t>,</w:t>
      </w:r>
      <w:r w:rsidR="005574F1">
        <w:t xml:space="preserve">391 </w:t>
      </w:r>
      <w:r w:rsidR="000A7B1B" w:rsidRPr="006847F5">
        <w:t>patients initiating denosumab had previously used at least one other osteoporosis drug</w:t>
      </w:r>
      <w:r w:rsidR="000A7B1B">
        <w:t xml:space="preserve"> and </w:t>
      </w:r>
      <w:r w:rsidR="007A1BDD">
        <w:t>76% were directly initiated on denosumab</w:t>
      </w:r>
      <w:r w:rsidR="00070E7A">
        <w:t>.</w:t>
      </w:r>
    </w:p>
    <w:p w14:paraId="6EC36DEB" w14:textId="703F11C5" w:rsidR="00120EF5" w:rsidRDefault="00C20622" w:rsidP="00120EF5">
      <w:r>
        <w:t>Whereas the 2016 DUSC report on osteoporosis therapies found that in 2015, 57% of patients initiating denosumab had previously used at least one other osteoporosis drug,t</w:t>
      </w:r>
      <w:r w:rsidR="009A4FFC">
        <w:t xml:space="preserve">his study found that </w:t>
      </w:r>
      <w:r w:rsidR="00D075AF">
        <w:t>in 201</w:t>
      </w:r>
      <w:r w:rsidR="00E50E2F">
        <w:t>5</w:t>
      </w:r>
      <w:r w:rsidR="00D075AF">
        <w:t xml:space="preserve">, </w:t>
      </w:r>
      <w:r w:rsidR="0081198E">
        <w:t>38</w:t>
      </w:r>
      <w:r w:rsidR="009A4FFC">
        <w:t xml:space="preserve">% </w:t>
      </w:r>
      <w:r w:rsidR="00956A24">
        <w:t xml:space="preserve">of </w:t>
      </w:r>
      <w:r w:rsidR="009F7A89">
        <w:t xml:space="preserve">7,994 </w:t>
      </w:r>
      <w:r w:rsidR="00956A24">
        <w:t>patients initiating denosumab had previously used at least one other osteoporosis drug</w:t>
      </w:r>
      <w:r w:rsidR="0014726B">
        <w:t xml:space="preserve">. </w:t>
      </w:r>
      <w:r w:rsidR="00ED0C7A">
        <w:t>One explanation for the discrepancy</w:t>
      </w:r>
      <w:r w:rsidR="00116FA1">
        <w:t xml:space="preserve"> between these findings</w:t>
      </w:r>
      <w:r w:rsidR="00ED0C7A">
        <w:t xml:space="preserve"> is the different data sources used</w:t>
      </w:r>
      <w:r w:rsidR="00861DEE">
        <w:t xml:space="preserve">, with this study based on a random 10% </w:t>
      </w:r>
      <w:r w:rsidR="003C70DE">
        <w:t xml:space="preserve">PBS </w:t>
      </w:r>
      <w:r w:rsidR="00861DEE">
        <w:t>sample</w:t>
      </w:r>
      <w:r w:rsidR="003C70DE">
        <w:t xml:space="preserve"> which might differ from the full PBS dataset</w:t>
      </w:r>
      <w:r w:rsidR="00861DEE">
        <w:t>. Another</w:t>
      </w:r>
      <w:r w:rsidR="003C70DE">
        <w:t xml:space="preserve"> explanation is the amount of prior history available for patients</w:t>
      </w:r>
      <w:r w:rsidR="009E793C">
        <w:t xml:space="preserve">; </w:t>
      </w:r>
      <w:r w:rsidR="00F447CD">
        <w:t xml:space="preserve">whereas the 2016 DUSC report analysed prescription records from </w:t>
      </w:r>
      <w:r w:rsidR="00F447CD" w:rsidRPr="00090613">
        <w:t>January 2003</w:t>
      </w:r>
      <w:r w:rsidR="00F447CD">
        <w:t xml:space="preserve">, </w:t>
      </w:r>
      <w:r w:rsidR="00B27725">
        <w:t xml:space="preserve">this study only </w:t>
      </w:r>
      <w:r w:rsidR="00CB3692">
        <w:t>analysed</w:t>
      </w:r>
      <w:r w:rsidR="00B27725">
        <w:t xml:space="preserve"> </w:t>
      </w:r>
      <w:r w:rsidR="009E793C">
        <w:t>prescriptions</w:t>
      </w:r>
      <w:r w:rsidR="00CB3692">
        <w:t xml:space="preserve"> from</w:t>
      </w:r>
      <w:r w:rsidR="009E793C">
        <w:t xml:space="preserve"> </w:t>
      </w:r>
      <w:r w:rsidR="00090613">
        <w:t xml:space="preserve">January </w:t>
      </w:r>
      <w:r w:rsidR="00B27725">
        <w:t xml:space="preserve">2012 </w:t>
      </w:r>
      <w:r w:rsidR="00CB3692">
        <w:t xml:space="preserve">and may have misclassified </w:t>
      </w:r>
      <w:r w:rsidR="00D04F24">
        <w:t xml:space="preserve">(and overestimated) </w:t>
      </w:r>
      <w:r w:rsidR="00CB3692">
        <w:t xml:space="preserve">patients as new to </w:t>
      </w:r>
      <w:r w:rsidR="00062CFF">
        <w:t xml:space="preserve">osteoporosis </w:t>
      </w:r>
      <w:r w:rsidR="00CB3692">
        <w:t>therapy i</w:t>
      </w:r>
      <w:r w:rsidR="00062CFF">
        <w:t>f</w:t>
      </w:r>
      <w:r w:rsidR="00CB3692">
        <w:t xml:space="preserve"> the</w:t>
      </w:r>
      <w:r w:rsidR="00062CFF">
        <w:t xml:space="preserve">y </w:t>
      </w:r>
      <w:r w:rsidR="00062CFF" w:rsidRPr="00062CFF">
        <w:t>had previously used other osteoporosis drug</w:t>
      </w:r>
      <w:r w:rsidR="0086664D">
        <w:t>s</w:t>
      </w:r>
      <w:r w:rsidR="00062CFF" w:rsidRPr="00062CFF">
        <w:t xml:space="preserve"> </w:t>
      </w:r>
      <w:r w:rsidR="00F447CD">
        <w:t>prior to 2012</w:t>
      </w:r>
      <w:r w:rsidR="009962BE">
        <w:t xml:space="preserve">. </w:t>
      </w:r>
    </w:p>
    <w:p w14:paraId="5A5CBBE4" w14:textId="593F7753" w:rsidR="00120EF5" w:rsidRDefault="00443636" w:rsidP="00120EF5">
      <w:r>
        <w:t>In this PBS 10% sample study, b</w:t>
      </w:r>
      <w:r w:rsidR="00DC79E7">
        <w:t xml:space="preserve">etween 2014 and 2017 the proportion of </w:t>
      </w:r>
      <w:r w:rsidR="0077703C">
        <w:t xml:space="preserve">patients who were directly initiated on denosumab increased from </w:t>
      </w:r>
      <w:r w:rsidR="00C23B08">
        <w:t>55% in 2014 to 76% in 2018.</w:t>
      </w:r>
      <w:r w:rsidR="00390B23">
        <w:t xml:space="preserve"> </w:t>
      </w:r>
      <w:r>
        <w:t>In the MedicineInsight study</w:t>
      </w:r>
      <w:r w:rsidR="00D25849">
        <w:t>, a</w:t>
      </w:r>
      <w:r w:rsidR="0020640B" w:rsidRPr="0020640B">
        <w:t xml:space="preserve">mong </w:t>
      </w:r>
      <w:r w:rsidR="00D25849">
        <w:t>all patients</w:t>
      </w:r>
      <w:r w:rsidR="0020640B" w:rsidRPr="0020640B">
        <w:t xml:space="preserve"> who had been prescribed denosumab at least once</w:t>
      </w:r>
      <w:r w:rsidR="003122FD">
        <w:t xml:space="preserve"> between 2014 and 2017</w:t>
      </w:r>
      <w:r w:rsidR="0020640B" w:rsidRPr="0020640B">
        <w:t xml:space="preserve">, 50% were </w:t>
      </w:r>
      <w:r w:rsidR="007C34FD">
        <w:t>directly initiated on</w:t>
      </w:r>
      <w:r w:rsidR="0020640B" w:rsidRPr="0020640B">
        <w:t xml:space="preserve"> denosumab</w:t>
      </w:r>
      <w:r w:rsidR="007C34FD">
        <w:t xml:space="preserve">. </w:t>
      </w:r>
      <w:r w:rsidR="00034709">
        <w:t>The lower proportion of patients directly initiated on denosumab in the MedicineInsight study</w:t>
      </w:r>
      <w:r w:rsidR="00502D31">
        <w:t xml:space="preserve"> </w:t>
      </w:r>
      <w:r w:rsidR="00034709">
        <w:t>compared with the PBS</w:t>
      </w:r>
      <w:r w:rsidR="009E3CB9">
        <w:t xml:space="preserve"> </w:t>
      </w:r>
      <w:r w:rsidR="00034709">
        <w:t xml:space="preserve">10% study could indicate that </w:t>
      </w:r>
      <w:r w:rsidR="00091415">
        <w:t xml:space="preserve">specialists are more likely to start patients directly on denosumab </w:t>
      </w:r>
      <w:r w:rsidR="00502D31">
        <w:t>than GPs.</w:t>
      </w:r>
    </w:p>
    <w:bookmarkEnd w:id="2"/>
    <w:p w14:paraId="198F0602" w14:textId="50650BEB" w:rsidR="003836A7" w:rsidRDefault="00017B32" w:rsidP="005F7D60">
      <w:r>
        <w:rPr>
          <w:noProof/>
        </w:rPr>
        <w:drawing>
          <wp:inline distT="0" distB="0" distL="0" distR="0" wp14:anchorId="4F870977" wp14:editId="2E5980F7">
            <wp:extent cx="5687695" cy="3413125"/>
            <wp:effectExtent l="0" t="0" r="8255" b="15875"/>
            <wp:docPr id="8" name="Chart 8" title="Figure 3: Number of patients directly initiated on denosumab (incident patients with no record of being prescribed any osteoporosis medicine prior) between January 2014 and June 2019, by age-sex groups">
              <a:extLst xmlns:a="http://schemas.openxmlformats.org/drawingml/2006/main">
                <a:ext uri="{FF2B5EF4-FFF2-40B4-BE49-F238E27FC236}">
                  <a16:creationId xmlns:a16="http://schemas.microsoft.com/office/drawing/2014/main" id="{1C5ECA09-8AC9-4D5B-9FB6-A27E72CE47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B5640C" w14:textId="6DE1BD6D" w:rsidR="008841F0" w:rsidRDefault="008841F0" w:rsidP="008841F0">
      <w:pPr>
        <w:pStyle w:val="Figuretitle"/>
        <w:spacing w:after="0"/>
      </w:pPr>
      <w:r>
        <w:t>Figure</w:t>
      </w:r>
      <w:r w:rsidR="004563B6">
        <w:t xml:space="preserve"> 3</w:t>
      </w:r>
      <w:r>
        <w:t>:</w:t>
      </w:r>
      <w:r w:rsidRPr="005D25DF">
        <w:t xml:space="preserve"> Number of patients</w:t>
      </w:r>
      <w:r>
        <w:t xml:space="preserve"> </w:t>
      </w:r>
      <w:r w:rsidR="009E4511">
        <w:t>directly initiated on</w:t>
      </w:r>
      <w:r w:rsidRPr="005D25DF">
        <w:t xml:space="preserve"> denosumab </w:t>
      </w:r>
      <w:r>
        <w:t>(incident patients</w:t>
      </w:r>
      <w:r w:rsidR="009E4511" w:rsidRPr="009E4511">
        <w:t xml:space="preserve"> with no record of being prescribed any osteoporosis medicine prior</w:t>
      </w:r>
      <w:r>
        <w:t>)</w:t>
      </w:r>
      <w:r w:rsidRPr="005D25DF">
        <w:t xml:space="preserve"> between January 2014 and June 2019, by age-sex groups</w:t>
      </w:r>
    </w:p>
    <w:p w14:paraId="6F096D5C" w14:textId="64CC037D" w:rsidR="008841F0" w:rsidRPr="008841F0" w:rsidRDefault="008841F0" w:rsidP="00812493">
      <w:pPr>
        <w:pStyle w:val="Figurecaption"/>
      </w:pPr>
      <w:r w:rsidRPr="008841F0">
        <w:t>*Six months of data only</w:t>
      </w:r>
    </w:p>
    <w:p w14:paraId="5767EA1A" w14:textId="7BB6FB91" w:rsidR="00CE1BDD" w:rsidRDefault="00CE1BDD" w:rsidP="00CE1BDD">
      <w:pPr>
        <w:pStyle w:val="Tabletitle"/>
      </w:pPr>
      <w:r>
        <w:lastRenderedPageBreak/>
        <w:t xml:space="preserve">Table </w:t>
      </w:r>
      <w:r w:rsidR="007C4B2D">
        <w:t>12</w:t>
      </w:r>
      <w:r>
        <w:t>:</w:t>
      </w:r>
      <w:r w:rsidR="002426BA">
        <w:t xml:space="preserve"> </w:t>
      </w:r>
      <w:r>
        <w:t xml:space="preserve">Annual count of </w:t>
      </w:r>
      <w:r w:rsidR="001804AB" w:rsidRPr="001804AB">
        <w:t>patients directly initiated on</w:t>
      </w:r>
      <w:r>
        <w:t xml:space="preserve"> denosumab overall, by age, sex and age-sex groups (2014 to June 201</w:t>
      </w:r>
      <w:r w:rsidR="00DD7A7C">
        <w:t>9</w:t>
      </w:r>
      <w:r>
        <w:t>)</w:t>
      </w:r>
    </w:p>
    <w:tbl>
      <w:tblPr>
        <w:tblStyle w:val="TableGrid"/>
        <w:tblW w:w="0" w:type="auto"/>
        <w:tblLayout w:type="fixed"/>
        <w:tblLook w:val="04A0" w:firstRow="1" w:lastRow="0" w:firstColumn="1" w:lastColumn="0" w:noHBand="0" w:noVBand="1"/>
        <w:tblCaption w:val="Table 10: Annual count of patients directly initiated on denosumab overall, by age, sex and age-sex groups (2014 to June 2019)"/>
      </w:tblPr>
      <w:tblGrid>
        <w:gridCol w:w="1413"/>
        <w:gridCol w:w="992"/>
        <w:gridCol w:w="1429"/>
        <w:gridCol w:w="1278"/>
        <w:gridCol w:w="1120"/>
        <w:gridCol w:w="1436"/>
        <w:gridCol w:w="1279"/>
      </w:tblGrid>
      <w:tr w:rsidR="00CE1BDD" w:rsidRPr="001D0858" w14:paraId="5CD61317" w14:textId="77777777" w:rsidTr="00D069E4">
        <w:trPr>
          <w:trHeight w:val="20"/>
          <w:tblHeader/>
        </w:trPr>
        <w:tc>
          <w:tcPr>
            <w:tcW w:w="1413" w:type="dxa"/>
            <w:shd w:val="clear" w:color="auto" w:fill="BFBFBF" w:themeFill="background1" w:themeFillShade="BF"/>
          </w:tcPr>
          <w:p w14:paraId="488CCB53" w14:textId="77777777" w:rsidR="00CE1BDD" w:rsidRDefault="00CE1BDD" w:rsidP="00D069E4">
            <w:pPr>
              <w:pStyle w:val="Tableheading"/>
              <w:rPr>
                <w:sz w:val="20"/>
                <w:szCs w:val="20"/>
              </w:rPr>
            </w:pPr>
          </w:p>
        </w:tc>
        <w:tc>
          <w:tcPr>
            <w:tcW w:w="992" w:type="dxa"/>
            <w:shd w:val="clear" w:color="auto" w:fill="BFBFBF" w:themeFill="background1" w:themeFillShade="BF"/>
          </w:tcPr>
          <w:p w14:paraId="5C610DDC" w14:textId="77777777" w:rsidR="00CE1BDD" w:rsidRPr="001D0858" w:rsidRDefault="00CE1BDD" w:rsidP="00D069E4">
            <w:pPr>
              <w:pStyle w:val="Tableheading"/>
              <w:rPr>
                <w:sz w:val="20"/>
                <w:szCs w:val="20"/>
              </w:rPr>
            </w:pPr>
            <w:r>
              <w:rPr>
                <w:sz w:val="20"/>
                <w:szCs w:val="20"/>
              </w:rPr>
              <w:t>2014</w:t>
            </w:r>
          </w:p>
        </w:tc>
        <w:tc>
          <w:tcPr>
            <w:tcW w:w="1429" w:type="dxa"/>
            <w:shd w:val="clear" w:color="auto" w:fill="BFBFBF" w:themeFill="background1" w:themeFillShade="BF"/>
          </w:tcPr>
          <w:p w14:paraId="125DA18B" w14:textId="77777777" w:rsidR="00CE1BDD" w:rsidRPr="001D0858" w:rsidRDefault="00CE1BDD" w:rsidP="00D069E4">
            <w:pPr>
              <w:pStyle w:val="Tableheading"/>
              <w:rPr>
                <w:sz w:val="20"/>
                <w:szCs w:val="20"/>
              </w:rPr>
            </w:pPr>
            <w:r>
              <w:rPr>
                <w:sz w:val="20"/>
                <w:szCs w:val="20"/>
              </w:rPr>
              <w:t>2015</w:t>
            </w:r>
          </w:p>
        </w:tc>
        <w:tc>
          <w:tcPr>
            <w:tcW w:w="1278" w:type="dxa"/>
            <w:shd w:val="clear" w:color="auto" w:fill="BFBFBF" w:themeFill="background1" w:themeFillShade="BF"/>
          </w:tcPr>
          <w:p w14:paraId="2D0B0533" w14:textId="77777777" w:rsidR="00CE1BDD" w:rsidRPr="001D0858" w:rsidRDefault="00CE1BDD" w:rsidP="00D069E4">
            <w:pPr>
              <w:pStyle w:val="Tableheading"/>
              <w:rPr>
                <w:sz w:val="20"/>
                <w:szCs w:val="20"/>
              </w:rPr>
            </w:pPr>
            <w:r>
              <w:rPr>
                <w:sz w:val="20"/>
                <w:szCs w:val="20"/>
              </w:rPr>
              <w:t>2016</w:t>
            </w:r>
          </w:p>
        </w:tc>
        <w:tc>
          <w:tcPr>
            <w:tcW w:w="1120" w:type="dxa"/>
            <w:shd w:val="clear" w:color="auto" w:fill="BFBFBF" w:themeFill="background1" w:themeFillShade="BF"/>
          </w:tcPr>
          <w:p w14:paraId="1AD335BE" w14:textId="77777777" w:rsidR="00CE1BDD" w:rsidRPr="001D0858" w:rsidRDefault="00CE1BDD" w:rsidP="00D069E4">
            <w:pPr>
              <w:pStyle w:val="Tableheading"/>
              <w:rPr>
                <w:sz w:val="20"/>
                <w:szCs w:val="20"/>
              </w:rPr>
            </w:pPr>
            <w:r>
              <w:rPr>
                <w:sz w:val="20"/>
                <w:szCs w:val="20"/>
              </w:rPr>
              <w:t>2017</w:t>
            </w:r>
          </w:p>
        </w:tc>
        <w:tc>
          <w:tcPr>
            <w:tcW w:w="1436" w:type="dxa"/>
            <w:shd w:val="clear" w:color="auto" w:fill="BFBFBF" w:themeFill="background1" w:themeFillShade="BF"/>
          </w:tcPr>
          <w:p w14:paraId="33C1870D" w14:textId="77777777" w:rsidR="00CE1BDD" w:rsidRPr="001D0858" w:rsidRDefault="00CE1BDD" w:rsidP="00D069E4">
            <w:pPr>
              <w:pStyle w:val="Tableheading"/>
              <w:rPr>
                <w:sz w:val="20"/>
                <w:szCs w:val="20"/>
              </w:rPr>
            </w:pPr>
            <w:r>
              <w:rPr>
                <w:sz w:val="20"/>
                <w:szCs w:val="20"/>
              </w:rPr>
              <w:t>2018</w:t>
            </w:r>
          </w:p>
        </w:tc>
        <w:tc>
          <w:tcPr>
            <w:tcW w:w="1279" w:type="dxa"/>
            <w:shd w:val="clear" w:color="auto" w:fill="BFBFBF" w:themeFill="background1" w:themeFillShade="BF"/>
          </w:tcPr>
          <w:p w14:paraId="2266CD13" w14:textId="77777777" w:rsidR="00CE1BDD" w:rsidRPr="001D0858" w:rsidRDefault="00CE1BDD" w:rsidP="00D069E4">
            <w:pPr>
              <w:pStyle w:val="Tableheading"/>
              <w:rPr>
                <w:sz w:val="20"/>
                <w:szCs w:val="20"/>
              </w:rPr>
            </w:pPr>
            <w:r>
              <w:rPr>
                <w:sz w:val="20"/>
                <w:szCs w:val="20"/>
              </w:rPr>
              <w:t>To June 2019*</w:t>
            </w:r>
          </w:p>
        </w:tc>
      </w:tr>
      <w:tr w:rsidR="00102B5D" w:rsidRPr="001D0858" w14:paraId="73F01ACC" w14:textId="77777777" w:rsidTr="00D069E4">
        <w:trPr>
          <w:trHeight w:val="20"/>
        </w:trPr>
        <w:tc>
          <w:tcPr>
            <w:tcW w:w="1413" w:type="dxa"/>
          </w:tcPr>
          <w:p w14:paraId="1BA7343F" w14:textId="77777777" w:rsidR="00102B5D" w:rsidRPr="00C11A25" w:rsidRDefault="00102B5D" w:rsidP="00102B5D">
            <w:pPr>
              <w:pStyle w:val="Tableheading"/>
              <w:rPr>
                <w:rFonts w:cstheme="minorHAnsi"/>
                <w:sz w:val="20"/>
                <w:szCs w:val="20"/>
              </w:rPr>
            </w:pPr>
            <w:r w:rsidRPr="00C11A25">
              <w:rPr>
                <w:rFonts w:cstheme="minorHAnsi"/>
                <w:sz w:val="20"/>
                <w:szCs w:val="20"/>
              </w:rPr>
              <w:t>Total</w:t>
            </w:r>
          </w:p>
        </w:tc>
        <w:tc>
          <w:tcPr>
            <w:tcW w:w="992" w:type="dxa"/>
          </w:tcPr>
          <w:p w14:paraId="788C1506" w14:textId="29D5102F" w:rsidR="00102B5D" w:rsidRPr="000175ED" w:rsidRDefault="00102B5D" w:rsidP="00102B5D">
            <w:pPr>
              <w:pStyle w:val="Tableheading"/>
              <w:rPr>
                <w:rFonts w:cstheme="minorHAnsi"/>
                <w:b w:val="0"/>
                <w:sz w:val="20"/>
                <w:szCs w:val="20"/>
              </w:rPr>
            </w:pPr>
            <w:r w:rsidRPr="00B16994">
              <w:rPr>
                <w:rFonts w:cstheme="minorHAnsi"/>
                <w:b w:val="0"/>
                <w:sz w:val="20"/>
                <w:szCs w:val="20"/>
              </w:rPr>
              <w:t>3,641</w:t>
            </w:r>
          </w:p>
        </w:tc>
        <w:tc>
          <w:tcPr>
            <w:tcW w:w="1429" w:type="dxa"/>
          </w:tcPr>
          <w:p w14:paraId="310F739A" w14:textId="77FCC1F7" w:rsidR="00102B5D" w:rsidRPr="000175ED" w:rsidRDefault="00102B5D" w:rsidP="00102B5D">
            <w:pPr>
              <w:pStyle w:val="Tableheading"/>
              <w:rPr>
                <w:rFonts w:cstheme="minorHAnsi"/>
                <w:b w:val="0"/>
                <w:sz w:val="20"/>
                <w:szCs w:val="20"/>
              </w:rPr>
            </w:pPr>
            <w:r w:rsidRPr="00B16994">
              <w:rPr>
                <w:rFonts w:cstheme="minorHAnsi"/>
                <w:b w:val="0"/>
                <w:sz w:val="20"/>
                <w:szCs w:val="20"/>
              </w:rPr>
              <w:t>4,932</w:t>
            </w:r>
          </w:p>
        </w:tc>
        <w:tc>
          <w:tcPr>
            <w:tcW w:w="1278" w:type="dxa"/>
          </w:tcPr>
          <w:p w14:paraId="38D2AE7E" w14:textId="35C45955" w:rsidR="00102B5D" w:rsidRPr="000175ED" w:rsidRDefault="00102B5D" w:rsidP="00102B5D">
            <w:pPr>
              <w:pStyle w:val="Tableheading"/>
              <w:rPr>
                <w:rFonts w:cstheme="minorHAnsi"/>
                <w:b w:val="0"/>
                <w:sz w:val="20"/>
                <w:szCs w:val="20"/>
              </w:rPr>
            </w:pPr>
            <w:r w:rsidRPr="00B16994">
              <w:rPr>
                <w:rFonts w:cstheme="minorHAnsi"/>
                <w:b w:val="0"/>
                <w:sz w:val="20"/>
                <w:szCs w:val="20"/>
              </w:rPr>
              <w:t>5,797</w:t>
            </w:r>
          </w:p>
        </w:tc>
        <w:tc>
          <w:tcPr>
            <w:tcW w:w="1120" w:type="dxa"/>
          </w:tcPr>
          <w:p w14:paraId="057CDF8F" w14:textId="5406DE79" w:rsidR="00102B5D" w:rsidRPr="000175ED" w:rsidRDefault="00102B5D" w:rsidP="00102B5D">
            <w:pPr>
              <w:pStyle w:val="Tableheading"/>
              <w:rPr>
                <w:rFonts w:cstheme="minorHAnsi"/>
                <w:b w:val="0"/>
                <w:sz w:val="20"/>
                <w:szCs w:val="20"/>
              </w:rPr>
            </w:pPr>
            <w:r w:rsidRPr="00B16994">
              <w:rPr>
                <w:rFonts w:cstheme="minorHAnsi"/>
                <w:b w:val="0"/>
                <w:sz w:val="20"/>
                <w:szCs w:val="20"/>
              </w:rPr>
              <w:t>6,827</w:t>
            </w:r>
          </w:p>
        </w:tc>
        <w:tc>
          <w:tcPr>
            <w:tcW w:w="1436" w:type="dxa"/>
          </w:tcPr>
          <w:p w14:paraId="229924E0" w14:textId="3AD0CE1A" w:rsidR="00102B5D" w:rsidRPr="000175ED" w:rsidRDefault="00102B5D" w:rsidP="00102B5D">
            <w:pPr>
              <w:pStyle w:val="Tableheading"/>
              <w:rPr>
                <w:rFonts w:cstheme="minorHAnsi"/>
                <w:b w:val="0"/>
                <w:sz w:val="20"/>
                <w:szCs w:val="20"/>
              </w:rPr>
            </w:pPr>
            <w:r w:rsidRPr="00B16994">
              <w:rPr>
                <w:rFonts w:cstheme="minorHAnsi"/>
                <w:b w:val="0"/>
                <w:sz w:val="20"/>
                <w:szCs w:val="20"/>
              </w:rPr>
              <w:t>7,187</w:t>
            </w:r>
          </w:p>
        </w:tc>
        <w:tc>
          <w:tcPr>
            <w:tcW w:w="1279" w:type="dxa"/>
          </w:tcPr>
          <w:p w14:paraId="68287A7E" w14:textId="74DC7FB2" w:rsidR="00102B5D" w:rsidRPr="000175ED" w:rsidRDefault="00102B5D" w:rsidP="00102B5D">
            <w:pPr>
              <w:pStyle w:val="Tableheading"/>
              <w:rPr>
                <w:rFonts w:cstheme="minorHAnsi"/>
                <w:b w:val="0"/>
                <w:sz w:val="20"/>
                <w:szCs w:val="20"/>
              </w:rPr>
            </w:pPr>
            <w:r w:rsidRPr="00B16994">
              <w:rPr>
                <w:rFonts w:cstheme="minorHAnsi"/>
                <w:b w:val="0"/>
                <w:sz w:val="20"/>
                <w:szCs w:val="20"/>
              </w:rPr>
              <w:t>3,381</w:t>
            </w:r>
          </w:p>
        </w:tc>
      </w:tr>
      <w:tr w:rsidR="00CE1BDD" w:rsidRPr="001D0858" w14:paraId="20E7F30D" w14:textId="77777777" w:rsidTr="00D069E4">
        <w:trPr>
          <w:trHeight w:val="20"/>
        </w:trPr>
        <w:tc>
          <w:tcPr>
            <w:tcW w:w="8947" w:type="dxa"/>
            <w:gridSpan w:val="7"/>
            <w:shd w:val="clear" w:color="auto" w:fill="D9D9D9" w:themeFill="background1" w:themeFillShade="D9"/>
          </w:tcPr>
          <w:p w14:paraId="5D40FAF2" w14:textId="77777777" w:rsidR="00CE1BDD" w:rsidRPr="00C11A25" w:rsidRDefault="00CE1BDD" w:rsidP="00D069E4">
            <w:pPr>
              <w:pStyle w:val="Tableheading"/>
              <w:rPr>
                <w:rFonts w:cstheme="minorHAnsi"/>
                <w:sz w:val="20"/>
                <w:szCs w:val="20"/>
              </w:rPr>
            </w:pPr>
            <w:r w:rsidRPr="00C11A25">
              <w:rPr>
                <w:rFonts w:cstheme="minorHAnsi"/>
                <w:sz w:val="20"/>
                <w:szCs w:val="20"/>
              </w:rPr>
              <w:t>Age group (10 years)</w:t>
            </w:r>
          </w:p>
        </w:tc>
      </w:tr>
      <w:tr w:rsidR="00102B5D" w:rsidRPr="001D0858" w14:paraId="783134EE" w14:textId="77777777" w:rsidTr="00D069E4">
        <w:trPr>
          <w:trHeight w:val="20"/>
        </w:trPr>
        <w:tc>
          <w:tcPr>
            <w:tcW w:w="1413" w:type="dxa"/>
          </w:tcPr>
          <w:p w14:paraId="7D640B17" w14:textId="77777777" w:rsidR="00102B5D" w:rsidRPr="00C11A25" w:rsidRDefault="00102B5D" w:rsidP="00102B5D">
            <w:pPr>
              <w:pStyle w:val="Tableheading"/>
              <w:rPr>
                <w:rFonts w:cstheme="minorHAnsi"/>
                <w:sz w:val="20"/>
                <w:szCs w:val="20"/>
              </w:rPr>
            </w:pPr>
            <w:r>
              <w:rPr>
                <w:rFonts w:cstheme="minorHAnsi"/>
                <w:sz w:val="20"/>
                <w:szCs w:val="20"/>
              </w:rPr>
              <w:t>&lt;50</w:t>
            </w:r>
          </w:p>
        </w:tc>
        <w:tc>
          <w:tcPr>
            <w:tcW w:w="992" w:type="dxa"/>
          </w:tcPr>
          <w:p w14:paraId="020A7B9A" w14:textId="032F7F52" w:rsidR="00102B5D" w:rsidRPr="000F2789" w:rsidRDefault="00102B5D" w:rsidP="00102B5D">
            <w:pPr>
              <w:pStyle w:val="Tableheading"/>
              <w:rPr>
                <w:rFonts w:cstheme="minorHAnsi"/>
                <w:b w:val="0"/>
                <w:sz w:val="20"/>
                <w:szCs w:val="20"/>
              </w:rPr>
            </w:pPr>
            <w:r w:rsidRPr="00B16994">
              <w:rPr>
                <w:rFonts w:cstheme="minorHAnsi"/>
                <w:b w:val="0"/>
                <w:sz w:val="20"/>
                <w:szCs w:val="20"/>
              </w:rPr>
              <w:t>67</w:t>
            </w:r>
          </w:p>
        </w:tc>
        <w:tc>
          <w:tcPr>
            <w:tcW w:w="1429" w:type="dxa"/>
          </w:tcPr>
          <w:p w14:paraId="67347B5D" w14:textId="7BEBD52F" w:rsidR="00102B5D" w:rsidRPr="000F2789" w:rsidRDefault="00102B5D" w:rsidP="00102B5D">
            <w:pPr>
              <w:pStyle w:val="Tableheading"/>
              <w:rPr>
                <w:rFonts w:cstheme="minorHAnsi"/>
                <w:b w:val="0"/>
                <w:sz w:val="20"/>
                <w:szCs w:val="20"/>
              </w:rPr>
            </w:pPr>
            <w:r w:rsidRPr="00B16994">
              <w:rPr>
                <w:rFonts w:cstheme="minorHAnsi"/>
                <w:b w:val="0"/>
                <w:sz w:val="20"/>
                <w:szCs w:val="20"/>
              </w:rPr>
              <w:t>87</w:t>
            </w:r>
          </w:p>
        </w:tc>
        <w:tc>
          <w:tcPr>
            <w:tcW w:w="1278" w:type="dxa"/>
          </w:tcPr>
          <w:p w14:paraId="636D965F" w14:textId="3C4D6A0F" w:rsidR="00102B5D" w:rsidRPr="000F2789" w:rsidRDefault="00102B5D" w:rsidP="00102B5D">
            <w:pPr>
              <w:pStyle w:val="Tableheading"/>
              <w:rPr>
                <w:rFonts w:cstheme="minorHAnsi"/>
                <w:b w:val="0"/>
                <w:sz w:val="20"/>
                <w:szCs w:val="20"/>
              </w:rPr>
            </w:pPr>
            <w:r w:rsidRPr="00B16994">
              <w:rPr>
                <w:rFonts w:cstheme="minorHAnsi"/>
                <w:b w:val="0"/>
                <w:sz w:val="20"/>
                <w:szCs w:val="20"/>
              </w:rPr>
              <w:t>99</w:t>
            </w:r>
          </w:p>
        </w:tc>
        <w:tc>
          <w:tcPr>
            <w:tcW w:w="1120" w:type="dxa"/>
          </w:tcPr>
          <w:p w14:paraId="7E2EA774" w14:textId="41576E72" w:rsidR="00102B5D" w:rsidRPr="000F2789" w:rsidRDefault="00102B5D" w:rsidP="00102B5D">
            <w:pPr>
              <w:pStyle w:val="Tableheading"/>
              <w:rPr>
                <w:rFonts w:cstheme="minorHAnsi"/>
                <w:b w:val="0"/>
                <w:sz w:val="20"/>
                <w:szCs w:val="20"/>
              </w:rPr>
            </w:pPr>
            <w:r w:rsidRPr="00B16994">
              <w:rPr>
                <w:rFonts w:cstheme="minorHAnsi"/>
                <w:b w:val="0"/>
                <w:sz w:val="20"/>
                <w:szCs w:val="20"/>
              </w:rPr>
              <w:t>120</w:t>
            </w:r>
          </w:p>
        </w:tc>
        <w:tc>
          <w:tcPr>
            <w:tcW w:w="1436" w:type="dxa"/>
          </w:tcPr>
          <w:p w14:paraId="5EDB1163" w14:textId="524EAB9E" w:rsidR="00102B5D" w:rsidRPr="000F2789" w:rsidRDefault="00102B5D" w:rsidP="00102B5D">
            <w:pPr>
              <w:pStyle w:val="Tableheading"/>
              <w:rPr>
                <w:rFonts w:cstheme="minorHAnsi"/>
                <w:b w:val="0"/>
                <w:sz w:val="20"/>
                <w:szCs w:val="20"/>
              </w:rPr>
            </w:pPr>
            <w:r w:rsidRPr="00B16994">
              <w:rPr>
                <w:rFonts w:cstheme="minorHAnsi"/>
                <w:b w:val="0"/>
                <w:sz w:val="20"/>
                <w:szCs w:val="20"/>
              </w:rPr>
              <w:t>133</w:t>
            </w:r>
          </w:p>
        </w:tc>
        <w:tc>
          <w:tcPr>
            <w:tcW w:w="1279" w:type="dxa"/>
          </w:tcPr>
          <w:p w14:paraId="1536F3BC" w14:textId="30451758" w:rsidR="00102B5D" w:rsidRPr="000F2789" w:rsidRDefault="00102B5D" w:rsidP="00102B5D">
            <w:pPr>
              <w:pStyle w:val="Tableheading"/>
              <w:rPr>
                <w:rFonts w:cstheme="minorHAnsi"/>
                <w:b w:val="0"/>
                <w:sz w:val="20"/>
                <w:szCs w:val="20"/>
              </w:rPr>
            </w:pPr>
            <w:r w:rsidRPr="00B16994">
              <w:rPr>
                <w:rFonts w:cstheme="minorHAnsi"/>
                <w:b w:val="0"/>
                <w:sz w:val="20"/>
                <w:szCs w:val="20"/>
              </w:rPr>
              <w:t>46</w:t>
            </w:r>
          </w:p>
        </w:tc>
      </w:tr>
      <w:tr w:rsidR="00102B5D" w:rsidRPr="001D0858" w14:paraId="6A2B9EE4" w14:textId="77777777" w:rsidTr="00D069E4">
        <w:trPr>
          <w:trHeight w:val="20"/>
        </w:trPr>
        <w:tc>
          <w:tcPr>
            <w:tcW w:w="1413" w:type="dxa"/>
          </w:tcPr>
          <w:p w14:paraId="12C89329" w14:textId="77777777" w:rsidR="00102B5D" w:rsidRPr="00C11A25" w:rsidRDefault="00102B5D" w:rsidP="00102B5D">
            <w:pPr>
              <w:pStyle w:val="Tableheading"/>
              <w:rPr>
                <w:rFonts w:cstheme="minorHAnsi"/>
                <w:sz w:val="20"/>
                <w:szCs w:val="20"/>
              </w:rPr>
            </w:pPr>
            <w:r w:rsidRPr="00C11A25">
              <w:rPr>
                <w:rFonts w:cstheme="minorHAnsi"/>
                <w:sz w:val="20"/>
                <w:szCs w:val="20"/>
              </w:rPr>
              <w:t>50–59</w:t>
            </w:r>
          </w:p>
        </w:tc>
        <w:tc>
          <w:tcPr>
            <w:tcW w:w="992" w:type="dxa"/>
          </w:tcPr>
          <w:p w14:paraId="33C259BF" w14:textId="6264E88B" w:rsidR="00102B5D" w:rsidRPr="000F2789" w:rsidRDefault="00102B5D" w:rsidP="00102B5D">
            <w:pPr>
              <w:pStyle w:val="Tableheading"/>
              <w:rPr>
                <w:rFonts w:cstheme="minorHAnsi"/>
                <w:b w:val="0"/>
                <w:sz w:val="20"/>
                <w:szCs w:val="20"/>
              </w:rPr>
            </w:pPr>
            <w:r w:rsidRPr="00B16994">
              <w:rPr>
                <w:rFonts w:cstheme="minorHAnsi"/>
                <w:b w:val="0"/>
                <w:sz w:val="20"/>
                <w:szCs w:val="20"/>
              </w:rPr>
              <w:t>298</w:t>
            </w:r>
          </w:p>
        </w:tc>
        <w:tc>
          <w:tcPr>
            <w:tcW w:w="1429" w:type="dxa"/>
          </w:tcPr>
          <w:p w14:paraId="41F9C3A9" w14:textId="4EFC8F4B" w:rsidR="00102B5D" w:rsidRPr="000F2789" w:rsidRDefault="00102B5D" w:rsidP="00102B5D">
            <w:pPr>
              <w:pStyle w:val="Tableheading"/>
              <w:rPr>
                <w:rFonts w:cstheme="minorHAnsi"/>
                <w:b w:val="0"/>
                <w:sz w:val="20"/>
                <w:szCs w:val="20"/>
              </w:rPr>
            </w:pPr>
            <w:r w:rsidRPr="00B16994">
              <w:rPr>
                <w:rFonts w:cstheme="minorHAnsi"/>
                <w:b w:val="0"/>
                <w:sz w:val="20"/>
                <w:szCs w:val="20"/>
              </w:rPr>
              <w:t>373</w:t>
            </w:r>
          </w:p>
        </w:tc>
        <w:tc>
          <w:tcPr>
            <w:tcW w:w="1278" w:type="dxa"/>
          </w:tcPr>
          <w:p w14:paraId="25D40AFB" w14:textId="30FD00F5" w:rsidR="00102B5D" w:rsidRPr="000F2789" w:rsidRDefault="00102B5D" w:rsidP="00102B5D">
            <w:pPr>
              <w:pStyle w:val="Tableheading"/>
              <w:rPr>
                <w:rFonts w:cstheme="minorHAnsi"/>
                <w:b w:val="0"/>
                <w:sz w:val="20"/>
                <w:szCs w:val="20"/>
              </w:rPr>
            </w:pPr>
            <w:r w:rsidRPr="00B16994">
              <w:rPr>
                <w:rFonts w:cstheme="minorHAnsi"/>
                <w:b w:val="0"/>
                <w:sz w:val="20"/>
                <w:szCs w:val="20"/>
              </w:rPr>
              <w:t>447</w:t>
            </w:r>
          </w:p>
        </w:tc>
        <w:tc>
          <w:tcPr>
            <w:tcW w:w="1120" w:type="dxa"/>
          </w:tcPr>
          <w:p w14:paraId="52B5F7D4" w14:textId="178F7C01" w:rsidR="00102B5D" w:rsidRPr="000F2789" w:rsidRDefault="00102B5D" w:rsidP="00102B5D">
            <w:pPr>
              <w:pStyle w:val="Tableheading"/>
              <w:rPr>
                <w:rFonts w:cstheme="minorHAnsi"/>
                <w:b w:val="0"/>
                <w:sz w:val="20"/>
                <w:szCs w:val="20"/>
              </w:rPr>
            </w:pPr>
            <w:r w:rsidRPr="00B16994">
              <w:rPr>
                <w:rFonts w:cstheme="minorHAnsi"/>
                <w:b w:val="0"/>
                <w:sz w:val="20"/>
                <w:szCs w:val="20"/>
              </w:rPr>
              <w:t>463</w:t>
            </w:r>
          </w:p>
        </w:tc>
        <w:tc>
          <w:tcPr>
            <w:tcW w:w="1436" w:type="dxa"/>
          </w:tcPr>
          <w:p w14:paraId="29F16625" w14:textId="4C72960C" w:rsidR="00102B5D" w:rsidRPr="000F2789" w:rsidRDefault="00102B5D" w:rsidP="00102B5D">
            <w:pPr>
              <w:pStyle w:val="Tableheading"/>
              <w:rPr>
                <w:rFonts w:cstheme="minorHAnsi"/>
                <w:b w:val="0"/>
                <w:sz w:val="20"/>
                <w:szCs w:val="20"/>
              </w:rPr>
            </w:pPr>
            <w:r w:rsidRPr="00B16994">
              <w:rPr>
                <w:rFonts w:cstheme="minorHAnsi"/>
                <w:b w:val="0"/>
                <w:sz w:val="20"/>
                <w:szCs w:val="20"/>
              </w:rPr>
              <w:t>451</w:t>
            </w:r>
          </w:p>
        </w:tc>
        <w:tc>
          <w:tcPr>
            <w:tcW w:w="1279" w:type="dxa"/>
          </w:tcPr>
          <w:p w14:paraId="2CE86306" w14:textId="27896A21" w:rsidR="00102B5D" w:rsidRPr="000F2789" w:rsidRDefault="00102B5D" w:rsidP="00102B5D">
            <w:pPr>
              <w:pStyle w:val="Tableheading"/>
              <w:rPr>
                <w:rFonts w:cstheme="minorHAnsi"/>
                <w:b w:val="0"/>
                <w:sz w:val="20"/>
                <w:szCs w:val="20"/>
              </w:rPr>
            </w:pPr>
            <w:r w:rsidRPr="00B16994">
              <w:rPr>
                <w:rFonts w:cstheme="minorHAnsi"/>
                <w:b w:val="0"/>
                <w:sz w:val="20"/>
                <w:szCs w:val="20"/>
              </w:rPr>
              <w:t>187</w:t>
            </w:r>
          </w:p>
        </w:tc>
      </w:tr>
      <w:tr w:rsidR="00102B5D" w:rsidRPr="001D0858" w14:paraId="30255BDF" w14:textId="77777777" w:rsidTr="00D069E4">
        <w:trPr>
          <w:trHeight w:val="20"/>
        </w:trPr>
        <w:tc>
          <w:tcPr>
            <w:tcW w:w="1413" w:type="dxa"/>
          </w:tcPr>
          <w:p w14:paraId="267B7622" w14:textId="77777777" w:rsidR="00102B5D" w:rsidRPr="00C11A25" w:rsidRDefault="00102B5D" w:rsidP="00102B5D">
            <w:pPr>
              <w:pStyle w:val="Tableheading"/>
              <w:rPr>
                <w:rFonts w:cstheme="minorHAnsi"/>
                <w:sz w:val="20"/>
                <w:szCs w:val="20"/>
              </w:rPr>
            </w:pPr>
            <w:r w:rsidRPr="00C11A25">
              <w:rPr>
                <w:rFonts w:cstheme="minorHAnsi"/>
                <w:sz w:val="20"/>
                <w:szCs w:val="20"/>
              </w:rPr>
              <w:t>60–69</w:t>
            </w:r>
          </w:p>
        </w:tc>
        <w:tc>
          <w:tcPr>
            <w:tcW w:w="992" w:type="dxa"/>
          </w:tcPr>
          <w:p w14:paraId="696FC001" w14:textId="252B7AE2" w:rsidR="00102B5D" w:rsidRPr="000F2789" w:rsidRDefault="00102B5D" w:rsidP="00102B5D">
            <w:pPr>
              <w:pStyle w:val="Tableheading"/>
              <w:rPr>
                <w:rFonts w:cstheme="minorHAnsi"/>
                <w:b w:val="0"/>
                <w:sz w:val="20"/>
                <w:szCs w:val="20"/>
              </w:rPr>
            </w:pPr>
            <w:r w:rsidRPr="00B16994">
              <w:rPr>
                <w:rFonts w:cstheme="minorHAnsi"/>
                <w:b w:val="0"/>
                <w:sz w:val="20"/>
                <w:szCs w:val="20"/>
              </w:rPr>
              <w:t>711</w:t>
            </w:r>
          </w:p>
        </w:tc>
        <w:tc>
          <w:tcPr>
            <w:tcW w:w="1429" w:type="dxa"/>
          </w:tcPr>
          <w:p w14:paraId="7F25D567" w14:textId="37C4BD05" w:rsidR="00102B5D" w:rsidRPr="000F2789" w:rsidRDefault="00102B5D" w:rsidP="00102B5D">
            <w:pPr>
              <w:pStyle w:val="Tableheading"/>
              <w:rPr>
                <w:rFonts w:cstheme="minorHAnsi"/>
                <w:b w:val="0"/>
                <w:sz w:val="20"/>
                <w:szCs w:val="20"/>
              </w:rPr>
            </w:pPr>
            <w:r w:rsidRPr="00B16994">
              <w:rPr>
                <w:rFonts w:cstheme="minorHAnsi"/>
                <w:b w:val="0"/>
                <w:sz w:val="20"/>
                <w:szCs w:val="20"/>
              </w:rPr>
              <w:t>979</w:t>
            </w:r>
          </w:p>
        </w:tc>
        <w:tc>
          <w:tcPr>
            <w:tcW w:w="1278" w:type="dxa"/>
          </w:tcPr>
          <w:p w14:paraId="6978D7F6" w14:textId="7BBD6784" w:rsidR="00102B5D" w:rsidRPr="000F2789" w:rsidRDefault="00102B5D" w:rsidP="00102B5D">
            <w:pPr>
              <w:pStyle w:val="Tableheading"/>
              <w:rPr>
                <w:rFonts w:cstheme="minorHAnsi"/>
                <w:b w:val="0"/>
                <w:sz w:val="20"/>
                <w:szCs w:val="20"/>
              </w:rPr>
            </w:pPr>
            <w:r w:rsidRPr="00B16994">
              <w:rPr>
                <w:rFonts w:cstheme="minorHAnsi"/>
                <w:b w:val="0"/>
                <w:sz w:val="20"/>
                <w:szCs w:val="20"/>
              </w:rPr>
              <w:t>1,136</w:t>
            </w:r>
          </w:p>
        </w:tc>
        <w:tc>
          <w:tcPr>
            <w:tcW w:w="1120" w:type="dxa"/>
          </w:tcPr>
          <w:p w14:paraId="5C01E8D5" w14:textId="28B45F8E" w:rsidR="00102B5D" w:rsidRPr="000F2789" w:rsidRDefault="00102B5D" w:rsidP="00102B5D">
            <w:pPr>
              <w:pStyle w:val="Tableheading"/>
              <w:rPr>
                <w:rFonts w:cstheme="minorHAnsi"/>
                <w:b w:val="0"/>
                <w:sz w:val="20"/>
                <w:szCs w:val="20"/>
              </w:rPr>
            </w:pPr>
            <w:r w:rsidRPr="00B16994">
              <w:rPr>
                <w:rFonts w:cstheme="minorHAnsi"/>
                <w:b w:val="0"/>
                <w:sz w:val="20"/>
                <w:szCs w:val="20"/>
              </w:rPr>
              <w:t>1,239</w:t>
            </w:r>
          </w:p>
        </w:tc>
        <w:tc>
          <w:tcPr>
            <w:tcW w:w="1436" w:type="dxa"/>
          </w:tcPr>
          <w:p w14:paraId="504E25DE" w14:textId="086CD84C" w:rsidR="00102B5D" w:rsidRPr="000F2789" w:rsidRDefault="00102B5D" w:rsidP="00102B5D">
            <w:pPr>
              <w:pStyle w:val="Tableheading"/>
              <w:rPr>
                <w:rFonts w:cstheme="minorHAnsi"/>
                <w:b w:val="0"/>
                <w:sz w:val="20"/>
                <w:szCs w:val="20"/>
              </w:rPr>
            </w:pPr>
            <w:r w:rsidRPr="00B16994">
              <w:rPr>
                <w:rFonts w:cstheme="minorHAnsi"/>
                <w:b w:val="0"/>
                <w:sz w:val="20"/>
                <w:szCs w:val="20"/>
              </w:rPr>
              <w:t>1,351</w:t>
            </w:r>
          </w:p>
        </w:tc>
        <w:tc>
          <w:tcPr>
            <w:tcW w:w="1279" w:type="dxa"/>
          </w:tcPr>
          <w:p w14:paraId="610FA477" w14:textId="2A21CE65" w:rsidR="00102B5D" w:rsidRPr="000F2789" w:rsidRDefault="00102B5D" w:rsidP="00102B5D">
            <w:pPr>
              <w:pStyle w:val="Tableheading"/>
              <w:rPr>
                <w:rFonts w:cstheme="minorHAnsi"/>
                <w:b w:val="0"/>
                <w:sz w:val="20"/>
                <w:szCs w:val="20"/>
              </w:rPr>
            </w:pPr>
            <w:r w:rsidRPr="00B16994">
              <w:rPr>
                <w:rFonts w:cstheme="minorHAnsi"/>
                <w:b w:val="0"/>
                <w:sz w:val="20"/>
                <w:szCs w:val="20"/>
              </w:rPr>
              <w:t>598</w:t>
            </w:r>
          </w:p>
        </w:tc>
      </w:tr>
      <w:tr w:rsidR="00102B5D" w:rsidRPr="001D0858" w14:paraId="257041E7" w14:textId="77777777" w:rsidTr="00D069E4">
        <w:trPr>
          <w:trHeight w:val="20"/>
        </w:trPr>
        <w:tc>
          <w:tcPr>
            <w:tcW w:w="1413" w:type="dxa"/>
          </w:tcPr>
          <w:p w14:paraId="24425068" w14:textId="77777777" w:rsidR="00102B5D" w:rsidRPr="00C11A25" w:rsidRDefault="00102B5D" w:rsidP="00102B5D">
            <w:pPr>
              <w:pStyle w:val="Tableheading"/>
              <w:rPr>
                <w:rFonts w:cstheme="minorHAnsi"/>
                <w:sz w:val="20"/>
                <w:szCs w:val="20"/>
              </w:rPr>
            </w:pPr>
            <w:r w:rsidRPr="00C11A25">
              <w:rPr>
                <w:rFonts w:cstheme="minorHAnsi"/>
                <w:sz w:val="20"/>
                <w:szCs w:val="20"/>
              </w:rPr>
              <w:t>70+</w:t>
            </w:r>
          </w:p>
        </w:tc>
        <w:tc>
          <w:tcPr>
            <w:tcW w:w="992" w:type="dxa"/>
          </w:tcPr>
          <w:p w14:paraId="1F1369D2" w14:textId="54943CC3" w:rsidR="00102B5D" w:rsidRPr="000F2789" w:rsidRDefault="00102B5D" w:rsidP="00102B5D">
            <w:pPr>
              <w:pStyle w:val="Tableheading"/>
              <w:rPr>
                <w:rFonts w:cstheme="minorHAnsi"/>
                <w:b w:val="0"/>
                <w:sz w:val="20"/>
                <w:szCs w:val="20"/>
              </w:rPr>
            </w:pPr>
            <w:r w:rsidRPr="00B16994">
              <w:rPr>
                <w:rFonts w:cstheme="minorHAnsi"/>
                <w:b w:val="0"/>
                <w:sz w:val="20"/>
                <w:szCs w:val="20"/>
              </w:rPr>
              <w:t>2,565</w:t>
            </w:r>
          </w:p>
        </w:tc>
        <w:tc>
          <w:tcPr>
            <w:tcW w:w="1429" w:type="dxa"/>
          </w:tcPr>
          <w:p w14:paraId="46CF4E11" w14:textId="5690B673" w:rsidR="00102B5D" w:rsidRPr="000F2789" w:rsidRDefault="00102B5D" w:rsidP="00102B5D">
            <w:pPr>
              <w:pStyle w:val="Tableheading"/>
              <w:rPr>
                <w:rFonts w:cstheme="minorHAnsi"/>
                <w:b w:val="0"/>
                <w:sz w:val="20"/>
                <w:szCs w:val="20"/>
              </w:rPr>
            </w:pPr>
            <w:r w:rsidRPr="00B16994">
              <w:rPr>
                <w:rFonts w:cstheme="minorHAnsi"/>
                <w:b w:val="0"/>
                <w:sz w:val="20"/>
                <w:szCs w:val="20"/>
              </w:rPr>
              <w:t>3,493</w:t>
            </w:r>
          </w:p>
        </w:tc>
        <w:tc>
          <w:tcPr>
            <w:tcW w:w="1278" w:type="dxa"/>
          </w:tcPr>
          <w:p w14:paraId="19F2C589" w14:textId="0444050A" w:rsidR="00102B5D" w:rsidRPr="000F2789" w:rsidRDefault="00102B5D" w:rsidP="00102B5D">
            <w:pPr>
              <w:pStyle w:val="Tableheading"/>
              <w:rPr>
                <w:rFonts w:cstheme="minorHAnsi"/>
                <w:b w:val="0"/>
                <w:sz w:val="20"/>
                <w:szCs w:val="20"/>
              </w:rPr>
            </w:pPr>
            <w:r w:rsidRPr="00B16994">
              <w:rPr>
                <w:rFonts w:cstheme="minorHAnsi"/>
                <w:b w:val="0"/>
                <w:sz w:val="20"/>
                <w:szCs w:val="20"/>
              </w:rPr>
              <w:t>4,115</w:t>
            </w:r>
          </w:p>
        </w:tc>
        <w:tc>
          <w:tcPr>
            <w:tcW w:w="1120" w:type="dxa"/>
          </w:tcPr>
          <w:p w14:paraId="1190C6B4" w14:textId="57A22F4F" w:rsidR="00102B5D" w:rsidRPr="000F2789" w:rsidRDefault="00102B5D" w:rsidP="00102B5D">
            <w:pPr>
              <w:pStyle w:val="Tableheading"/>
              <w:rPr>
                <w:rFonts w:cstheme="minorHAnsi"/>
                <w:b w:val="0"/>
                <w:sz w:val="20"/>
                <w:szCs w:val="20"/>
              </w:rPr>
            </w:pPr>
            <w:r w:rsidRPr="00B16994">
              <w:rPr>
                <w:rFonts w:cstheme="minorHAnsi"/>
                <w:b w:val="0"/>
                <w:sz w:val="20"/>
                <w:szCs w:val="20"/>
              </w:rPr>
              <w:t>5,005</w:t>
            </w:r>
          </w:p>
        </w:tc>
        <w:tc>
          <w:tcPr>
            <w:tcW w:w="1436" w:type="dxa"/>
          </w:tcPr>
          <w:p w14:paraId="7A23A820" w14:textId="38ADDD88" w:rsidR="00102B5D" w:rsidRPr="000F2789" w:rsidRDefault="00102B5D" w:rsidP="00102B5D">
            <w:pPr>
              <w:pStyle w:val="Tableheading"/>
              <w:rPr>
                <w:rFonts w:cstheme="minorHAnsi"/>
                <w:b w:val="0"/>
                <w:sz w:val="20"/>
                <w:szCs w:val="20"/>
              </w:rPr>
            </w:pPr>
            <w:r w:rsidRPr="00B16994">
              <w:rPr>
                <w:rFonts w:cstheme="minorHAnsi"/>
                <w:b w:val="0"/>
                <w:sz w:val="20"/>
                <w:szCs w:val="20"/>
              </w:rPr>
              <w:t>5,252</w:t>
            </w:r>
          </w:p>
        </w:tc>
        <w:tc>
          <w:tcPr>
            <w:tcW w:w="1279" w:type="dxa"/>
          </w:tcPr>
          <w:p w14:paraId="44F5D16E" w14:textId="222392C1" w:rsidR="00102B5D" w:rsidRPr="000F2789" w:rsidRDefault="00102B5D" w:rsidP="00102B5D">
            <w:pPr>
              <w:pStyle w:val="Tableheading"/>
              <w:rPr>
                <w:rFonts w:cstheme="minorHAnsi"/>
                <w:b w:val="0"/>
                <w:sz w:val="20"/>
                <w:szCs w:val="20"/>
              </w:rPr>
            </w:pPr>
            <w:r w:rsidRPr="00B16994">
              <w:rPr>
                <w:rFonts w:cstheme="minorHAnsi"/>
                <w:b w:val="0"/>
                <w:sz w:val="20"/>
                <w:szCs w:val="20"/>
              </w:rPr>
              <w:t>2,550</w:t>
            </w:r>
          </w:p>
        </w:tc>
      </w:tr>
      <w:tr w:rsidR="00CE1BDD" w:rsidRPr="001D0858" w14:paraId="48F06225" w14:textId="77777777" w:rsidTr="00D069E4">
        <w:trPr>
          <w:trHeight w:val="20"/>
        </w:trPr>
        <w:tc>
          <w:tcPr>
            <w:tcW w:w="8947" w:type="dxa"/>
            <w:gridSpan w:val="7"/>
            <w:shd w:val="clear" w:color="auto" w:fill="D9D9D9" w:themeFill="background1" w:themeFillShade="D9"/>
          </w:tcPr>
          <w:p w14:paraId="5E9D05B2" w14:textId="77777777" w:rsidR="00CE1BDD" w:rsidRPr="00C11A25" w:rsidRDefault="00CE1BDD" w:rsidP="00D069E4">
            <w:pPr>
              <w:pStyle w:val="Tableheading"/>
              <w:rPr>
                <w:rFonts w:cstheme="minorHAnsi"/>
                <w:sz w:val="20"/>
                <w:szCs w:val="20"/>
              </w:rPr>
            </w:pPr>
            <w:r w:rsidRPr="00C11A25">
              <w:rPr>
                <w:rFonts w:cstheme="minorHAnsi"/>
                <w:sz w:val="20"/>
                <w:szCs w:val="20"/>
              </w:rPr>
              <w:t>Sex</w:t>
            </w:r>
          </w:p>
        </w:tc>
      </w:tr>
      <w:tr w:rsidR="00102B5D" w:rsidRPr="001D0858" w14:paraId="25671BD9" w14:textId="77777777" w:rsidTr="00D069E4">
        <w:trPr>
          <w:trHeight w:val="20"/>
        </w:trPr>
        <w:tc>
          <w:tcPr>
            <w:tcW w:w="1413" w:type="dxa"/>
          </w:tcPr>
          <w:p w14:paraId="48F1EF2C" w14:textId="77777777" w:rsidR="00102B5D" w:rsidRPr="00C11A25" w:rsidRDefault="00102B5D" w:rsidP="00102B5D">
            <w:pPr>
              <w:pStyle w:val="Tableheading"/>
              <w:rPr>
                <w:rFonts w:cstheme="minorHAnsi"/>
                <w:sz w:val="20"/>
                <w:szCs w:val="20"/>
              </w:rPr>
            </w:pPr>
            <w:r w:rsidRPr="00C11A25">
              <w:rPr>
                <w:rFonts w:cstheme="minorHAnsi"/>
                <w:sz w:val="20"/>
                <w:szCs w:val="20"/>
              </w:rPr>
              <w:t>Female</w:t>
            </w:r>
          </w:p>
        </w:tc>
        <w:tc>
          <w:tcPr>
            <w:tcW w:w="992" w:type="dxa"/>
          </w:tcPr>
          <w:p w14:paraId="04713AA3" w14:textId="2F8AB0F4" w:rsidR="00102B5D" w:rsidRPr="000F2789" w:rsidRDefault="00102B5D" w:rsidP="00102B5D">
            <w:pPr>
              <w:pStyle w:val="Tableheading"/>
              <w:rPr>
                <w:rFonts w:cstheme="minorHAnsi"/>
                <w:b w:val="0"/>
                <w:sz w:val="20"/>
                <w:szCs w:val="20"/>
              </w:rPr>
            </w:pPr>
            <w:r w:rsidRPr="00B16994">
              <w:rPr>
                <w:rFonts w:cstheme="minorHAnsi"/>
                <w:b w:val="0"/>
                <w:sz w:val="20"/>
                <w:szCs w:val="20"/>
              </w:rPr>
              <w:t>2,842</w:t>
            </w:r>
          </w:p>
        </w:tc>
        <w:tc>
          <w:tcPr>
            <w:tcW w:w="1429" w:type="dxa"/>
          </w:tcPr>
          <w:p w14:paraId="06E335EB" w14:textId="556FE2B9" w:rsidR="00102B5D" w:rsidRPr="000F2789" w:rsidRDefault="00102B5D" w:rsidP="00102B5D">
            <w:pPr>
              <w:pStyle w:val="Tableheading"/>
              <w:rPr>
                <w:rFonts w:cstheme="minorHAnsi"/>
                <w:b w:val="0"/>
                <w:sz w:val="20"/>
                <w:szCs w:val="20"/>
              </w:rPr>
            </w:pPr>
            <w:r w:rsidRPr="00B16994">
              <w:rPr>
                <w:rFonts w:cstheme="minorHAnsi"/>
                <w:b w:val="0"/>
                <w:sz w:val="20"/>
                <w:szCs w:val="20"/>
              </w:rPr>
              <w:t>3,808</w:t>
            </w:r>
          </w:p>
        </w:tc>
        <w:tc>
          <w:tcPr>
            <w:tcW w:w="1278" w:type="dxa"/>
          </w:tcPr>
          <w:p w14:paraId="55981C69" w14:textId="4C41EC2B" w:rsidR="00102B5D" w:rsidRPr="000F2789" w:rsidRDefault="00102B5D" w:rsidP="00102B5D">
            <w:pPr>
              <w:pStyle w:val="Tableheading"/>
              <w:rPr>
                <w:rFonts w:cstheme="minorHAnsi"/>
                <w:b w:val="0"/>
                <w:sz w:val="20"/>
                <w:szCs w:val="20"/>
              </w:rPr>
            </w:pPr>
            <w:r w:rsidRPr="00B16994">
              <w:rPr>
                <w:rFonts w:cstheme="minorHAnsi"/>
                <w:b w:val="0"/>
                <w:sz w:val="20"/>
                <w:szCs w:val="20"/>
              </w:rPr>
              <w:t>4,497</w:t>
            </w:r>
          </w:p>
        </w:tc>
        <w:tc>
          <w:tcPr>
            <w:tcW w:w="1120" w:type="dxa"/>
          </w:tcPr>
          <w:p w14:paraId="4786D025" w14:textId="6D0D4DDD" w:rsidR="00102B5D" w:rsidRPr="000F2789" w:rsidRDefault="00102B5D" w:rsidP="00102B5D">
            <w:pPr>
              <w:pStyle w:val="Tableheading"/>
              <w:rPr>
                <w:rFonts w:cstheme="minorHAnsi"/>
                <w:b w:val="0"/>
                <w:sz w:val="20"/>
                <w:szCs w:val="20"/>
              </w:rPr>
            </w:pPr>
            <w:r w:rsidRPr="00B16994">
              <w:rPr>
                <w:rFonts w:cstheme="minorHAnsi"/>
                <w:b w:val="0"/>
                <w:sz w:val="20"/>
                <w:szCs w:val="20"/>
              </w:rPr>
              <w:t>5,266</w:t>
            </w:r>
          </w:p>
        </w:tc>
        <w:tc>
          <w:tcPr>
            <w:tcW w:w="1436" w:type="dxa"/>
          </w:tcPr>
          <w:p w14:paraId="19EBF9C7" w14:textId="372BED55" w:rsidR="00102B5D" w:rsidRPr="000F2789" w:rsidRDefault="00102B5D" w:rsidP="00102B5D">
            <w:pPr>
              <w:pStyle w:val="Tableheading"/>
              <w:rPr>
                <w:rFonts w:cstheme="minorHAnsi"/>
                <w:b w:val="0"/>
                <w:sz w:val="20"/>
                <w:szCs w:val="20"/>
              </w:rPr>
            </w:pPr>
            <w:r w:rsidRPr="00B16994">
              <w:rPr>
                <w:rFonts w:cstheme="minorHAnsi"/>
                <w:b w:val="0"/>
                <w:sz w:val="20"/>
                <w:szCs w:val="20"/>
              </w:rPr>
              <w:t>5,484</w:t>
            </w:r>
          </w:p>
        </w:tc>
        <w:tc>
          <w:tcPr>
            <w:tcW w:w="1279" w:type="dxa"/>
          </w:tcPr>
          <w:p w14:paraId="0CDA1512" w14:textId="4F1D3AD2" w:rsidR="00102B5D" w:rsidRPr="000F2789" w:rsidRDefault="00102B5D" w:rsidP="00102B5D">
            <w:pPr>
              <w:pStyle w:val="Tableheading"/>
              <w:rPr>
                <w:rFonts w:cstheme="minorHAnsi"/>
                <w:b w:val="0"/>
                <w:sz w:val="20"/>
                <w:szCs w:val="20"/>
              </w:rPr>
            </w:pPr>
            <w:r w:rsidRPr="00B16994">
              <w:rPr>
                <w:rFonts w:cstheme="minorHAnsi"/>
                <w:b w:val="0"/>
                <w:sz w:val="20"/>
                <w:szCs w:val="20"/>
              </w:rPr>
              <w:t>2,608</w:t>
            </w:r>
          </w:p>
        </w:tc>
      </w:tr>
      <w:tr w:rsidR="00102B5D" w:rsidRPr="001D0858" w14:paraId="0B6D5CA5" w14:textId="77777777" w:rsidTr="00D069E4">
        <w:trPr>
          <w:trHeight w:val="20"/>
        </w:trPr>
        <w:tc>
          <w:tcPr>
            <w:tcW w:w="1413" w:type="dxa"/>
          </w:tcPr>
          <w:p w14:paraId="7FA4122B" w14:textId="77777777" w:rsidR="00102B5D" w:rsidRPr="00C11A25" w:rsidRDefault="00102B5D" w:rsidP="00102B5D">
            <w:pPr>
              <w:pStyle w:val="Tableheading"/>
              <w:rPr>
                <w:rFonts w:cstheme="minorHAnsi"/>
                <w:sz w:val="20"/>
                <w:szCs w:val="20"/>
              </w:rPr>
            </w:pPr>
            <w:r w:rsidRPr="00C11A25">
              <w:rPr>
                <w:rFonts w:cstheme="minorHAnsi"/>
                <w:sz w:val="20"/>
                <w:szCs w:val="20"/>
              </w:rPr>
              <w:t>Male</w:t>
            </w:r>
          </w:p>
        </w:tc>
        <w:tc>
          <w:tcPr>
            <w:tcW w:w="992" w:type="dxa"/>
          </w:tcPr>
          <w:p w14:paraId="545A009E" w14:textId="07EAE2D8" w:rsidR="00102B5D" w:rsidRPr="000F2789" w:rsidRDefault="00102B5D" w:rsidP="00102B5D">
            <w:pPr>
              <w:pStyle w:val="Tableheading"/>
              <w:rPr>
                <w:rFonts w:cstheme="minorHAnsi"/>
                <w:b w:val="0"/>
                <w:sz w:val="20"/>
                <w:szCs w:val="20"/>
              </w:rPr>
            </w:pPr>
            <w:r w:rsidRPr="00B16994">
              <w:rPr>
                <w:rFonts w:cstheme="minorHAnsi"/>
                <w:b w:val="0"/>
                <w:sz w:val="20"/>
                <w:szCs w:val="20"/>
              </w:rPr>
              <w:t>799</w:t>
            </w:r>
          </w:p>
        </w:tc>
        <w:tc>
          <w:tcPr>
            <w:tcW w:w="1429" w:type="dxa"/>
          </w:tcPr>
          <w:p w14:paraId="1BD69720" w14:textId="679868E3" w:rsidR="00102B5D" w:rsidRPr="000F2789" w:rsidRDefault="00102B5D" w:rsidP="00102B5D">
            <w:pPr>
              <w:pStyle w:val="Tableheading"/>
              <w:rPr>
                <w:rFonts w:cstheme="minorHAnsi"/>
                <w:b w:val="0"/>
                <w:sz w:val="20"/>
                <w:szCs w:val="20"/>
              </w:rPr>
            </w:pPr>
            <w:r w:rsidRPr="00B16994">
              <w:rPr>
                <w:rFonts w:cstheme="minorHAnsi"/>
                <w:b w:val="0"/>
                <w:sz w:val="20"/>
                <w:szCs w:val="20"/>
              </w:rPr>
              <w:t>1,124</w:t>
            </w:r>
          </w:p>
        </w:tc>
        <w:tc>
          <w:tcPr>
            <w:tcW w:w="1278" w:type="dxa"/>
          </w:tcPr>
          <w:p w14:paraId="1270656B" w14:textId="686CF77D" w:rsidR="00102B5D" w:rsidRPr="000F2789" w:rsidRDefault="00102B5D" w:rsidP="00102B5D">
            <w:pPr>
              <w:pStyle w:val="Tableheading"/>
              <w:rPr>
                <w:rFonts w:cstheme="minorHAnsi"/>
                <w:b w:val="0"/>
                <w:sz w:val="20"/>
                <w:szCs w:val="20"/>
              </w:rPr>
            </w:pPr>
            <w:r w:rsidRPr="00B16994">
              <w:rPr>
                <w:rFonts w:cstheme="minorHAnsi"/>
                <w:b w:val="0"/>
                <w:sz w:val="20"/>
                <w:szCs w:val="20"/>
              </w:rPr>
              <w:t>1,300</w:t>
            </w:r>
          </w:p>
        </w:tc>
        <w:tc>
          <w:tcPr>
            <w:tcW w:w="1120" w:type="dxa"/>
          </w:tcPr>
          <w:p w14:paraId="7CEF7596" w14:textId="649853BB" w:rsidR="00102B5D" w:rsidRPr="000F2789" w:rsidRDefault="00102B5D" w:rsidP="00102B5D">
            <w:pPr>
              <w:pStyle w:val="Tableheading"/>
              <w:rPr>
                <w:rFonts w:cstheme="minorHAnsi"/>
                <w:b w:val="0"/>
                <w:sz w:val="20"/>
                <w:szCs w:val="20"/>
              </w:rPr>
            </w:pPr>
            <w:r w:rsidRPr="00B16994">
              <w:rPr>
                <w:rFonts w:cstheme="minorHAnsi"/>
                <w:b w:val="0"/>
                <w:sz w:val="20"/>
                <w:szCs w:val="20"/>
              </w:rPr>
              <w:t>1,561</w:t>
            </w:r>
          </w:p>
        </w:tc>
        <w:tc>
          <w:tcPr>
            <w:tcW w:w="1436" w:type="dxa"/>
          </w:tcPr>
          <w:p w14:paraId="097EF2C8" w14:textId="6AF76954" w:rsidR="00102B5D" w:rsidRPr="000F2789" w:rsidRDefault="00102B5D" w:rsidP="00102B5D">
            <w:pPr>
              <w:pStyle w:val="Tableheading"/>
              <w:rPr>
                <w:rFonts w:cstheme="minorHAnsi"/>
                <w:b w:val="0"/>
                <w:sz w:val="20"/>
                <w:szCs w:val="20"/>
              </w:rPr>
            </w:pPr>
            <w:r w:rsidRPr="00B16994">
              <w:rPr>
                <w:rFonts w:cstheme="minorHAnsi"/>
                <w:b w:val="0"/>
                <w:sz w:val="20"/>
                <w:szCs w:val="20"/>
              </w:rPr>
              <w:t>1,703</w:t>
            </w:r>
          </w:p>
        </w:tc>
        <w:tc>
          <w:tcPr>
            <w:tcW w:w="1279" w:type="dxa"/>
          </w:tcPr>
          <w:p w14:paraId="66349CB9" w14:textId="38BE135A" w:rsidR="00102B5D" w:rsidRPr="000F2789" w:rsidRDefault="00102B5D" w:rsidP="00102B5D">
            <w:pPr>
              <w:pStyle w:val="Tableheading"/>
              <w:rPr>
                <w:rFonts w:cstheme="minorHAnsi"/>
                <w:b w:val="0"/>
                <w:sz w:val="20"/>
                <w:szCs w:val="20"/>
              </w:rPr>
            </w:pPr>
            <w:r w:rsidRPr="00B16994">
              <w:rPr>
                <w:rFonts w:cstheme="minorHAnsi"/>
                <w:b w:val="0"/>
                <w:sz w:val="20"/>
                <w:szCs w:val="20"/>
              </w:rPr>
              <w:t>773</w:t>
            </w:r>
          </w:p>
        </w:tc>
      </w:tr>
      <w:tr w:rsidR="00CE1BDD" w:rsidRPr="001D0858" w14:paraId="62C04C1B" w14:textId="77777777" w:rsidTr="00D069E4">
        <w:trPr>
          <w:trHeight w:val="20"/>
        </w:trPr>
        <w:tc>
          <w:tcPr>
            <w:tcW w:w="8947" w:type="dxa"/>
            <w:gridSpan w:val="7"/>
            <w:shd w:val="clear" w:color="auto" w:fill="D9D9D9" w:themeFill="background1" w:themeFillShade="D9"/>
          </w:tcPr>
          <w:p w14:paraId="7D87EDF2" w14:textId="77777777" w:rsidR="00CE1BDD" w:rsidRPr="00C11A25" w:rsidRDefault="00CE1BDD" w:rsidP="00D069E4">
            <w:pPr>
              <w:pStyle w:val="Tableheading"/>
              <w:rPr>
                <w:sz w:val="20"/>
                <w:szCs w:val="20"/>
              </w:rPr>
            </w:pPr>
            <w:r w:rsidRPr="00C11A25">
              <w:rPr>
                <w:sz w:val="20"/>
                <w:szCs w:val="20"/>
              </w:rPr>
              <w:t>Sex/age group</w:t>
            </w:r>
          </w:p>
        </w:tc>
      </w:tr>
      <w:tr w:rsidR="00102B5D" w:rsidRPr="001D0858" w14:paraId="3EA4E02F" w14:textId="77777777" w:rsidTr="00D069E4">
        <w:trPr>
          <w:trHeight w:val="20"/>
        </w:trPr>
        <w:tc>
          <w:tcPr>
            <w:tcW w:w="1413" w:type="dxa"/>
          </w:tcPr>
          <w:p w14:paraId="063496EE" w14:textId="77777777" w:rsidR="00102B5D" w:rsidRPr="00C11A25" w:rsidRDefault="00102B5D" w:rsidP="00102B5D">
            <w:pPr>
              <w:pStyle w:val="Tableheading"/>
              <w:rPr>
                <w:sz w:val="20"/>
                <w:szCs w:val="20"/>
              </w:rPr>
            </w:pPr>
            <w:r>
              <w:rPr>
                <w:sz w:val="20"/>
                <w:szCs w:val="20"/>
              </w:rPr>
              <w:t>Female &lt;50</w:t>
            </w:r>
          </w:p>
        </w:tc>
        <w:tc>
          <w:tcPr>
            <w:tcW w:w="992" w:type="dxa"/>
          </w:tcPr>
          <w:p w14:paraId="2A8EEA40" w14:textId="2FA7136C" w:rsidR="00102B5D" w:rsidRPr="004B4004" w:rsidRDefault="00102B5D" w:rsidP="00102B5D">
            <w:pPr>
              <w:pStyle w:val="Tableheading"/>
              <w:rPr>
                <w:rFonts w:cstheme="minorHAnsi"/>
                <w:b w:val="0"/>
                <w:sz w:val="20"/>
                <w:szCs w:val="20"/>
              </w:rPr>
            </w:pPr>
            <w:r w:rsidRPr="00B16994">
              <w:rPr>
                <w:rFonts w:cstheme="minorHAnsi"/>
                <w:b w:val="0"/>
                <w:sz w:val="20"/>
                <w:szCs w:val="20"/>
              </w:rPr>
              <w:t>46</w:t>
            </w:r>
          </w:p>
        </w:tc>
        <w:tc>
          <w:tcPr>
            <w:tcW w:w="1429" w:type="dxa"/>
          </w:tcPr>
          <w:p w14:paraId="47BD5F28" w14:textId="33608380" w:rsidR="00102B5D" w:rsidRPr="004B4004" w:rsidRDefault="00102B5D" w:rsidP="00102B5D">
            <w:pPr>
              <w:pStyle w:val="Tableheading"/>
              <w:rPr>
                <w:rFonts w:cstheme="minorHAnsi"/>
                <w:b w:val="0"/>
                <w:sz w:val="20"/>
                <w:szCs w:val="20"/>
              </w:rPr>
            </w:pPr>
            <w:r w:rsidRPr="00B16994">
              <w:rPr>
                <w:rFonts w:cstheme="minorHAnsi"/>
                <w:b w:val="0"/>
                <w:sz w:val="20"/>
                <w:szCs w:val="20"/>
              </w:rPr>
              <w:t>57</w:t>
            </w:r>
          </w:p>
        </w:tc>
        <w:tc>
          <w:tcPr>
            <w:tcW w:w="1278" w:type="dxa"/>
          </w:tcPr>
          <w:p w14:paraId="46F86D6E" w14:textId="07F825FC" w:rsidR="00102B5D" w:rsidRPr="004B4004" w:rsidRDefault="00102B5D" w:rsidP="00102B5D">
            <w:pPr>
              <w:pStyle w:val="Tableheading"/>
              <w:rPr>
                <w:rFonts w:cstheme="minorHAnsi"/>
                <w:b w:val="0"/>
                <w:sz w:val="20"/>
                <w:szCs w:val="20"/>
              </w:rPr>
            </w:pPr>
            <w:r w:rsidRPr="00B16994">
              <w:rPr>
                <w:rFonts w:cstheme="minorHAnsi"/>
                <w:b w:val="0"/>
                <w:sz w:val="20"/>
                <w:szCs w:val="20"/>
              </w:rPr>
              <w:t>67</w:t>
            </w:r>
          </w:p>
        </w:tc>
        <w:tc>
          <w:tcPr>
            <w:tcW w:w="1120" w:type="dxa"/>
          </w:tcPr>
          <w:p w14:paraId="438ADE04" w14:textId="0A02220E" w:rsidR="00102B5D" w:rsidRPr="004B4004" w:rsidRDefault="00102B5D" w:rsidP="00102B5D">
            <w:pPr>
              <w:pStyle w:val="Tableheading"/>
              <w:rPr>
                <w:rFonts w:cstheme="minorHAnsi"/>
                <w:b w:val="0"/>
                <w:sz w:val="20"/>
                <w:szCs w:val="20"/>
              </w:rPr>
            </w:pPr>
            <w:r w:rsidRPr="00B16994">
              <w:rPr>
                <w:rFonts w:cstheme="minorHAnsi"/>
                <w:b w:val="0"/>
                <w:sz w:val="20"/>
                <w:szCs w:val="20"/>
              </w:rPr>
              <w:t>72</w:t>
            </w:r>
          </w:p>
        </w:tc>
        <w:tc>
          <w:tcPr>
            <w:tcW w:w="1436" w:type="dxa"/>
          </w:tcPr>
          <w:p w14:paraId="41741D1D" w14:textId="6D802045" w:rsidR="00102B5D" w:rsidRPr="004B4004" w:rsidRDefault="00102B5D" w:rsidP="00102B5D">
            <w:pPr>
              <w:pStyle w:val="Tableheading"/>
              <w:rPr>
                <w:rFonts w:cstheme="minorHAnsi"/>
                <w:b w:val="0"/>
                <w:sz w:val="20"/>
                <w:szCs w:val="20"/>
              </w:rPr>
            </w:pPr>
            <w:r w:rsidRPr="00B16994">
              <w:rPr>
                <w:rFonts w:cstheme="minorHAnsi"/>
                <w:b w:val="0"/>
                <w:sz w:val="20"/>
                <w:szCs w:val="20"/>
              </w:rPr>
              <w:t>96</w:t>
            </w:r>
          </w:p>
        </w:tc>
        <w:tc>
          <w:tcPr>
            <w:tcW w:w="1279" w:type="dxa"/>
          </w:tcPr>
          <w:p w14:paraId="1E8DBD53" w14:textId="5611B94C" w:rsidR="00102B5D" w:rsidRPr="004B4004" w:rsidRDefault="00102B5D" w:rsidP="00102B5D">
            <w:pPr>
              <w:pStyle w:val="Tableheading"/>
              <w:rPr>
                <w:rFonts w:cstheme="minorHAnsi"/>
                <w:b w:val="0"/>
                <w:sz w:val="20"/>
                <w:szCs w:val="20"/>
              </w:rPr>
            </w:pPr>
            <w:r w:rsidRPr="00B16994">
              <w:rPr>
                <w:rFonts w:cstheme="minorHAnsi"/>
                <w:b w:val="0"/>
                <w:sz w:val="20"/>
                <w:szCs w:val="20"/>
              </w:rPr>
              <w:t>34</w:t>
            </w:r>
          </w:p>
        </w:tc>
      </w:tr>
      <w:tr w:rsidR="00102B5D" w:rsidRPr="001D0858" w14:paraId="60A76E47" w14:textId="77777777" w:rsidTr="00D069E4">
        <w:trPr>
          <w:trHeight w:val="20"/>
        </w:trPr>
        <w:tc>
          <w:tcPr>
            <w:tcW w:w="1413" w:type="dxa"/>
          </w:tcPr>
          <w:p w14:paraId="56394C68" w14:textId="77777777" w:rsidR="00102B5D" w:rsidRPr="00C11A25" w:rsidRDefault="00102B5D" w:rsidP="00102B5D">
            <w:pPr>
              <w:pStyle w:val="Tableheading"/>
              <w:rPr>
                <w:sz w:val="20"/>
                <w:szCs w:val="20"/>
              </w:rPr>
            </w:pPr>
            <w:r w:rsidRPr="00C11A25">
              <w:rPr>
                <w:sz w:val="20"/>
                <w:szCs w:val="20"/>
              </w:rPr>
              <w:t>Female 50–59</w:t>
            </w:r>
          </w:p>
        </w:tc>
        <w:tc>
          <w:tcPr>
            <w:tcW w:w="992" w:type="dxa"/>
          </w:tcPr>
          <w:p w14:paraId="6F3509BF" w14:textId="409867FD" w:rsidR="00102B5D" w:rsidRPr="004B4004" w:rsidRDefault="00102B5D" w:rsidP="00102B5D">
            <w:pPr>
              <w:pStyle w:val="Tableheading"/>
              <w:rPr>
                <w:rFonts w:cstheme="minorHAnsi"/>
                <w:b w:val="0"/>
                <w:sz w:val="20"/>
                <w:szCs w:val="20"/>
              </w:rPr>
            </w:pPr>
            <w:r w:rsidRPr="00B16994">
              <w:rPr>
                <w:rFonts w:cstheme="minorHAnsi"/>
                <w:b w:val="0"/>
                <w:sz w:val="20"/>
                <w:szCs w:val="20"/>
              </w:rPr>
              <w:t>236</w:t>
            </w:r>
          </w:p>
        </w:tc>
        <w:tc>
          <w:tcPr>
            <w:tcW w:w="1429" w:type="dxa"/>
          </w:tcPr>
          <w:p w14:paraId="60C3C7AA" w14:textId="17BF55BA" w:rsidR="00102B5D" w:rsidRPr="004B4004" w:rsidRDefault="00102B5D" w:rsidP="00102B5D">
            <w:pPr>
              <w:pStyle w:val="Tableheading"/>
              <w:rPr>
                <w:rFonts w:cstheme="minorHAnsi"/>
                <w:b w:val="0"/>
                <w:sz w:val="20"/>
                <w:szCs w:val="20"/>
              </w:rPr>
            </w:pPr>
            <w:r w:rsidRPr="00B16994">
              <w:rPr>
                <w:rFonts w:cstheme="minorHAnsi"/>
                <w:b w:val="0"/>
                <w:sz w:val="20"/>
                <w:szCs w:val="20"/>
              </w:rPr>
              <w:t>303</w:t>
            </w:r>
          </w:p>
        </w:tc>
        <w:tc>
          <w:tcPr>
            <w:tcW w:w="1278" w:type="dxa"/>
          </w:tcPr>
          <w:p w14:paraId="51CFB885" w14:textId="54D19167" w:rsidR="00102B5D" w:rsidRPr="004B4004" w:rsidRDefault="00102B5D" w:rsidP="00102B5D">
            <w:pPr>
              <w:pStyle w:val="Tableheading"/>
              <w:rPr>
                <w:rFonts w:cstheme="minorHAnsi"/>
                <w:b w:val="0"/>
                <w:sz w:val="20"/>
                <w:szCs w:val="20"/>
              </w:rPr>
            </w:pPr>
            <w:r w:rsidRPr="00B16994">
              <w:rPr>
                <w:rFonts w:cstheme="minorHAnsi"/>
                <w:b w:val="0"/>
                <w:sz w:val="20"/>
                <w:szCs w:val="20"/>
              </w:rPr>
              <w:t>372</w:t>
            </w:r>
          </w:p>
        </w:tc>
        <w:tc>
          <w:tcPr>
            <w:tcW w:w="1120" w:type="dxa"/>
          </w:tcPr>
          <w:p w14:paraId="28E6B882" w14:textId="2A3AAC14" w:rsidR="00102B5D" w:rsidRPr="004B4004" w:rsidRDefault="00102B5D" w:rsidP="00102B5D">
            <w:pPr>
              <w:pStyle w:val="Tableheading"/>
              <w:rPr>
                <w:rFonts w:cstheme="minorHAnsi"/>
                <w:b w:val="0"/>
                <w:sz w:val="20"/>
                <w:szCs w:val="20"/>
              </w:rPr>
            </w:pPr>
            <w:r w:rsidRPr="00B16994">
              <w:rPr>
                <w:rFonts w:cstheme="minorHAnsi"/>
                <w:b w:val="0"/>
                <w:sz w:val="20"/>
                <w:szCs w:val="20"/>
              </w:rPr>
              <w:t>390</w:t>
            </w:r>
          </w:p>
        </w:tc>
        <w:tc>
          <w:tcPr>
            <w:tcW w:w="1436" w:type="dxa"/>
          </w:tcPr>
          <w:p w14:paraId="3641262C" w14:textId="120278F0" w:rsidR="00102B5D" w:rsidRPr="004B4004" w:rsidRDefault="00102B5D" w:rsidP="00102B5D">
            <w:pPr>
              <w:pStyle w:val="Tableheading"/>
              <w:rPr>
                <w:rFonts w:cstheme="minorHAnsi"/>
                <w:b w:val="0"/>
                <w:sz w:val="20"/>
                <w:szCs w:val="20"/>
              </w:rPr>
            </w:pPr>
            <w:r w:rsidRPr="00B16994">
              <w:rPr>
                <w:rFonts w:cstheme="minorHAnsi"/>
                <w:b w:val="0"/>
                <w:sz w:val="20"/>
                <w:szCs w:val="20"/>
              </w:rPr>
              <w:t>372</w:t>
            </w:r>
          </w:p>
        </w:tc>
        <w:tc>
          <w:tcPr>
            <w:tcW w:w="1279" w:type="dxa"/>
          </w:tcPr>
          <w:p w14:paraId="7C6242BE" w14:textId="36B7617A" w:rsidR="00102B5D" w:rsidRPr="004B4004" w:rsidRDefault="00102B5D" w:rsidP="00102B5D">
            <w:pPr>
              <w:pStyle w:val="Tableheading"/>
              <w:rPr>
                <w:rFonts w:cstheme="minorHAnsi"/>
                <w:b w:val="0"/>
                <w:sz w:val="20"/>
                <w:szCs w:val="20"/>
              </w:rPr>
            </w:pPr>
            <w:r w:rsidRPr="00B16994">
              <w:rPr>
                <w:rFonts w:cstheme="minorHAnsi"/>
                <w:b w:val="0"/>
                <w:sz w:val="20"/>
                <w:szCs w:val="20"/>
              </w:rPr>
              <w:t>165</w:t>
            </w:r>
          </w:p>
        </w:tc>
      </w:tr>
      <w:tr w:rsidR="00102B5D" w:rsidRPr="001D0858" w14:paraId="18D99A2C" w14:textId="77777777" w:rsidTr="00D069E4">
        <w:trPr>
          <w:trHeight w:val="20"/>
        </w:trPr>
        <w:tc>
          <w:tcPr>
            <w:tcW w:w="1413" w:type="dxa"/>
          </w:tcPr>
          <w:p w14:paraId="123E925B" w14:textId="77777777" w:rsidR="00102B5D" w:rsidRPr="00C11A25" w:rsidRDefault="00102B5D" w:rsidP="00102B5D">
            <w:pPr>
              <w:pStyle w:val="Tableheading"/>
              <w:rPr>
                <w:sz w:val="20"/>
                <w:szCs w:val="20"/>
              </w:rPr>
            </w:pPr>
            <w:r w:rsidRPr="00C11A25">
              <w:rPr>
                <w:sz w:val="20"/>
                <w:szCs w:val="20"/>
              </w:rPr>
              <w:t>Female 60–69</w:t>
            </w:r>
          </w:p>
        </w:tc>
        <w:tc>
          <w:tcPr>
            <w:tcW w:w="992" w:type="dxa"/>
          </w:tcPr>
          <w:p w14:paraId="05816A81" w14:textId="4CBE714A" w:rsidR="00102B5D" w:rsidRPr="004B4004" w:rsidRDefault="00102B5D" w:rsidP="00102B5D">
            <w:pPr>
              <w:pStyle w:val="Tableheading"/>
              <w:rPr>
                <w:rFonts w:cstheme="minorHAnsi"/>
                <w:b w:val="0"/>
                <w:sz w:val="20"/>
                <w:szCs w:val="20"/>
              </w:rPr>
            </w:pPr>
            <w:r w:rsidRPr="00B16994">
              <w:rPr>
                <w:rFonts w:cstheme="minorHAnsi"/>
                <w:b w:val="0"/>
                <w:sz w:val="20"/>
                <w:szCs w:val="20"/>
              </w:rPr>
              <w:t>603</w:t>
            </w:r>
          </w:p>
        </w:tc>
        <w:tc>
          <w:tcPr>
            <w:tcW w:w="1429" w:type="dxa"/>
          </w:tcPr>
          <w:p w14:paraId="50DF883E" w14:textId="2B152C61" w:rsidR="00102B5D" w:rsidRPr="004B4004" w:rsidRDefault="00102B5D" w:rsidP="00102B5D">
            <w:pPr>
              <w:pStyle w:val="Tableheading"/>
              <w:rPr>
                <w:rFonts w:cstheme="minorHAnsi"/>
                <w:b w:val="0"/>
                <w:sz w:val="20"/>
                <w:szCs w:val="20"/>
              </w:rPr>
            </w:pPr>
            <w:r w:rsidRPr="00B16994">
              <w:rPr>
                <w:rFonts w:cstheme="minorHAnsi"/>
                <w:b w:val="0"/>
                <w:sz w:val="20"/>
                <w:szCs w:val="20"/>
              </w:rPr>
              <w:t>819</w:t>
            </w:r>
          </w:p>
        </w:tc>
        <w:tc>
          <w:tcPr>
            <w:tcW w:w="1278" w:type="dxa"/>
          </w:tcPr>
          <w:p w14:paraId="2A7A80E6" w14:textId="4C6BE3F9" w:rsidR="00102B5D" w:rsidRPr="004B4004" w:rsidRDefault="00102B5D" w:rsidP="00102B5D">
            <w:pPr>
              <w:pStyle w:val="Tableheading"/>
              <w:rPr>
                <w:rFonts w:cstheme="minorHAnsi"/>
                <w:b w:val="0"/>
                <w:sz w:val="20"/>
                <w:szCs w:val="20"/>
              </w:rPr>
            </w:pPr>
            <w:r w:rsidRPr="00B16994">
              <w:rPr>
                <w:rFonts w:cstheme="minorHAnsi"/>
                <w:b w:val="0"/>
                <w:sz w:val="20"/>
                <w:szCs w:val="20"/>
              </w:rPr>
              <w:t>966</w:t>
            </w:r>
          </w:p>
        </w:tc>
        <w:tc>
          <w:tcPr>
            <w:tcW w:w="1120" w:type="dxa"/>
          </w:tcPr>
          <w:p w14:paraId="38AFD13F" w14:textId="749FDDD8" w:rsidR="00102B5D" w:rsidRPr="004B4004" w:rsidRDefault="00102B5D" w:rsidP="00102B5D">
            <w:pPr>
              <w:pStyle w:val="Tableheading"/>
              <w:rPr>
                <w:rFonts w:cstheme="minorHAnsi"/>
                <w:b w:val="0"/>
                <w:sz w:val="20"/>
                <w:szCs w:val="20"/>
              </w:rPr>
            </w:pPr>
            <w:r w:rsidRPr="00B16994">
              <w:rPr>
                <w:rFonts w:cstheme="minorHAnsi"/>
                <w:b w:val="0"/>
                <w:sz w:val="20"/>
                <w:szCs w:val="20"/>
              </w:rPr>
              <w:t>1,032</w:t>
            </w:r>
          </w:p>
        </w:tc>
        <w:tc>
          <w:tcPr>
            <w:tcW w:w="1436" w:type="dxa"/>
          </w:tcPr>
          <w:p w14:paraId="4BFB219F" w14:textId="315A4233" w:rsidR="00102B5D" w:rsidRPr="004B4004" w:rsidRDefault="00102B5D" w:rsidP="00102B5D">
            <w:pPr>
              <w:pStyle w:val="Tableheading"/>
              <w:rPr>
                <w:rFonts w:cstheme="minorHAnsi"/>
                <w:b w:val="0"/>
                <w:sz w:val="20"/>
                <w:szCs w:val="20"/>
              </w:rPr>
            </w:pPr>
            <w:r w:rsidRPr="00B16994">
              <w:rPr>
                <w:rFonts w:cstheme="minorHAnsi"/>
                <w:b w:val="0"/>
                <w:sz w:val="20"/>
                <w:szCs w:val="20"/>
              </w:rPr>
              <w:t>1,128</w:t>
            </w:r>
          </w:p>
        </w:tc>
        <w:tc>
          <w:tcPr>
            <w:tcW w:w="1279" w:type="dxa"/>
          </w:tcPr>
          <w:p w14:paraId="7C45B264" w14:textId="18E1CD7A" w:rsidR="00102B5D" w:rsidRPr="004B4004" w:rsidRDefault="00102B5D" w:rsidP="00102B5D">
            <w:pPr>
              <w:pStyle w:val="Tableheading"/>
              <w:rPr>
                <w:rFonts w:cstheme="minorHAnsi"/>
                <w:b w:val="0"/>
                <w:sz w:val="20"/>
                <w:szCs w:val="20"/>
              </w:rPr>
            </w:pPr>
            <w:r w:rsidRPr="00B16994">
              <w:rPr>
                <w:rFonts w:cstheme="minorHAnsi"/>
                <w:b w:val="0"/>
                <w:sz w:val="20"/>
                <w:szCs w:val="20"/>
              </w:rPr>
              <w:t>514</w:t>
            </w:r>
          </w:p>
        </w:tc>
      </w:tr>
      <w:tr w:rsidR="00102B5D" w:rsidRPr="001D0858" w14:paraId="03C302FA" w14:textId="77777777" w:rsidTr="00D069E4">
        <w:trPr>
          <w:trHeight w:val="20"/>
        </w:trPr>
        <w:tc>
          <w:tcPr>
            <w:tcW w:w="1413" w:type="dxa"/>
          </w:tcPr>
          <w:p w14:paraId="6EFC3690" w14:textId="77777777" w:rsidR="00102B5D" w:rsidRPr="00C11A25" w:rsidRDefault="00102B5D" w:rsidP="00102B5D">
            <w:pPr>
              <w:pStyle w:val="Tableheading"/>
              <w:rPr>
                <w:sz w:val="20"/>
                <w:szCs w:val="20"/>
              </w:rPr>
            </w:pPr>
            <w:r w:rsidRPr="00C11A25">
              <w:rPr>
                <w:sz w:val="20"/>
                <w:szCs w:val="20"/>
              </w:rPr>
              <w:t>Female 70+</w:t>
            </w:r>
          </w:p>
        </w:tc>
        <w:tc>
          <w:tcPr>
            <w:tcW w:w="992" w:type="dxa"/>
          </w:tcPr>
          <w:p w14:paraId="5CC63570" w14:textId="3ECD4DBB" w:rsidR="00102B5D" w:rsidRPr="004B4004" w:rsidRDefault="00102B5D" w:rsidP="00102B5D">
            <w:pPr>
              <w:pStyle w:val="Tableheading"/>
              <w:rPr>
                <w:rFonts w:cstheme="minorHAnsi"/>
                <w:b w:val="0"/>
                <w:sz w:val="20"/>
                <w:szCs w:val="20"/>
              </w:rPr>
            </w:pPr>
            <w:r w:rsidRPr="00B16994">
              <w:rPr>
                <w:rFonts w:cstheme="minorHAnsi"/>
                <w:b w:val="0"/>
                <w:sz w:val="20"/>
                <w:szCs w:val="20"/>
              </w:rPr>
              <w:t>1,957</w:t>
            </w:r>
          </w:p>
        </w:tc>
        <w:tc>
          <w:tcPr>
            <w:tcW w:w="1429" w:type="dxa"/>
          </w:tcPr>
          <w:p w14:paraId="3AFCDEBB" w14:textId="5DC07A41" w:rsidR="00102B5D" w:rsidRPr="004B4004" w:rsidRDefault="00102B5D" w:rsidP="00102B5D">
            <w:pPr>
              <w:pStyle w:val="Tableheading"/>
              <w:rPr>
                <w:rFonts w:cstheme="minorHAnsi"/>
                <w:b w:val="0"/>
                <w:sz w:val="20"/>
                <w:szCs w:val="20"/>
              </w:rPr>
            </w:pPr>
            <w:r w:rsidRPr="00B16994">
              <w:rPr>
                <w:rFonts w:cstheme="minorHAnsi"/>
                <w:b w:val="0"/>
                <w:sz w:val="20"/>
                <w:szCs w:val="20"/>
              </w:rPr>
              <w:t>2,629</w:t>
            </w:r>
          </w:p>
        </w:tc>
        <w:tc>
          <w:tcPr>
            <w:tcW w:w="1278" w:type="dxa"/>
          </w:tcPr>
          <w:p w14:paraId="11F98BFF" w14:textId="0DD9E02C" w:rsidR="00102B5D" w:rsidRPr="004B4004" w:rsidRDefault="00102B5D" w:rsidP="00102B5D">
            <w:pPr>
              <w:pStyle w:val="Tableheading"/>
              <w:rPr>
                <w:rFonts w:cstheme="minorHAnsi"/>
                <w:b w:val="0"/>
                <w:sz w:val="20"/>
                <w:szCs w:val="20"/>
              </w:rPr>
            </w:pPr>
            <w:r w:rsidRPr="00B16994">
              <w:rPr>
                <w:rFonts w:cstheme="minorHAnsi"/>
                <w:b w:val="0"/>
                <w:sz w:val="20"/>
                <w:szCs w:val="20"/>
              </w:rPr>
              <w:t>3,092</w:t>
            </w:r>
          </w:p>
        </w:tc>
        <w:tc>
          <w:tcPr>
            <w:tcW w:w="1120" w:type="dxa"/>
          </w:tcPr>
          <w:p w14:paraId="2D7C63DE" w14:textId="2857A3AE" w:rsidR="00102B5D" w:rsidRPr="004B4004" w:rsidRDefault="00102B5D" w:rsidP="00102B5D">
            <w:pPr>
              <w:pStyle w:val="Tableheading"/>
              <w:rPr>
                <w:rFonts w:cstheme="minorHAnsi"/>
                <w:b w:val="0"/>
                <w:sz w:val="20"/>
                <w:szCs w:val="20"/>
              </w:rPr>
            </w:pPr>
            <w:r w:rsidRPr="00B16994">
              <w:rPr>
                <w:rFonts w:cstheme="minorHAnsi"/>
                <w:b w:val="0"/>
                <w:sz w:val="20"/>
                <w:szCs w:val="20"/>
              </w:rPr>
              <w:t>3,772</w:t>
            </w:r>
          </w:p>
        </w:tc>
        <w:tc>
          <w:tcPr>
            <w:tcW w:w="1436" w:type="dxa"/>
          </w:tcPr>
          <w:p w14:paraId="18101843" w14:textId="393F7E29" w:rsidR="00102B5D" w:rsidRPr="004B4004" w:rsidRDefault="00102B5D" w:rsidP="00102B5D">
            <w:pPr>
              <w:pStyle w:val="Tableheading"/>
              <w:rPr>
                <w:rFonts w:cstheme="minorHAnsi"/>
                <w:b w:val="0"/>
                <w:sz w:val="20"/>
                <w:szCs w:val="20"/>
              </w:rPr>
            </w:pPr>
            <w:r w:rsidRPr="00B16994">
              <w:rPr>
                <w:rFonts w:cstheme="minorHAnsi"/>
                <w:b w:val="0"/>
                <w:sz w:val="20"/>
                <w:szCs w:val="20"/>
              </w:rPr>
              <w:t>3,888</w:t>
            </w:r>
          </w:p>
        </w:tc>
        <w:tc>
          <w:tcPr>
            <w:tcW w:w="1279" w:type="dxa"/>
          </w:tcPr>
          <w:p w14:paraId="3C7F894C" w14:textId="13EE9CA6" w:rsidR="00102B5D" w:rsidRPr="004B4004" w:rsidRDefault="00102B5D" w:rsidP="00102B5D">
            <w:pPr>
              <w:pStyle w:val="Tableheading"/>
              <w:rPr>
                <w:rFonts w:cstheme="minorHAnsi"/>
                <w:b w:val="0"/>
                <w:sz w:val="20"/>
                <w:szCs w:val="20"/>
              </w:rPr>
            </w:pPr>
            <w:r w:rsidRPr="00B16994">
              <w:rPr>
                <w:rFonts w:cstheme="minorHAnsi"/>
                <w:b w:val="0"/>
                <w:sz w:val="20"/>
                <w:szCs w:val="20"/>
              </w:rPr>
              <w:t>1,895</w:t>
            </w:r>
          </w:p>
        </w:tc>
      </w:tr>
      <w:tr w:rsidR="00B16994" w:rsidRPr="001D0858" w14:paraId="47459F55" w14:textId="77777777" w:rsidTr="00D069E4">
        <w:trPr>
          <w:trHeight w:val="20"/>
        </w:trPr>
        <w:tc>
          <w:tcPr>
            <w:tcW w:w="1413" w:type="dxa"/>
          </w:tcPr>
          <w:p w14:paraId="6B55E68B" w14:textId="77777777" w:rsidR="00B16994" w:rsidRPr="00C11A25" w:rsidRDefault="00B16994" w:rsidP="00B16994">
            <w:pPr>
              <w:pStyle w:val="Tableheading"/>
              <w:rPr>
                <w:sz w:val="20"/>
                <w:szCs w:val="20"/>
              </w:rPr>
            </w:pPr>
            <w:r>
              <w:rPr>
                <w:sz w:val="20"/>
                <w:szCs w:val="20"/>
              </w:rPr>
              <w:t>Male &lt;50</w:t>
            </w:r>
          </w:p>
        </w:tc>
        <w:tc>
          <w:tcPr>
            <w:tcW w:w="992" w:type="dxa"/>
          </w:tcPr>
          <w:p w14:paraId="597A4566" w14:textId="40CC4F27" w:rsidR="00B16994" w:rsidRPr="004B4004" w:rsidRDefault="00B16994" w:rsidP="00B16994">
            <w:pPr>
              <w:pStyle w:val="Tableheading"/>
              <w:rPr>
                <w:rFonts w:cstheme="minorHAnsi"/>
                <w:b w:val="0"/>
                <w:sz w:val="20"/>
                <w:szCs w:val="20"/>
              </w:rPr>
            </w:pPr>
            <w:r w:rsidRPr="00B16994">
              <w:rPr>
                <w:rFonts w:cstheme="minorHAnsi"/>
                <w:b w:val="0"/>
                <w:sz w:val="20"/>
                <w:szCs w:val="20"/>
              </w:rPr>
              <w:t>21</w:t>
            </w:r>
          </w:p>
        </w:tc>
        <w:tc>
          <w:tcPr>
            <w:tcW w:w="1429" w:type="dxa"/>
          </w:tcPr>
          <w:p w14:paraId="42C55144" w14:textId="60C6FAF7" w:rsidR="00B16994" w:rsidRPr="004B4004" w:rsidRDefault="00B16994" w:rsidP="00B16994">
            <w:pPr>
              <w:pStyle w:val="Tableheading"/>
              <w:rPr>
                <w:rFonts w:cstheme="minorHAnsi"/>
                <w:b w:val="0"/>
                <w:sz w:val="20"/>
                <w:szCs w:val="20"/>
              </w:rPr>
            </w:pPr>
            <w:r w:rsidRPr="00B16994">
              <w:rPr>
                <w:rFonts w:cstheme="minorHAnsi"/>
                <w:b w:val="0"/>
                <w:sz w:val="20"/>
                <w:szCs w:val="20"/>
              </w:rPr>
              <w:t>30</w:t>
            </w:r>
          </w:p>
        </w:tc>
        <w:tc>
          <w:tcPr>
            <w:tcW w:w="1278" w:type="dxa"/>
          </w:tcPr>
          <w:p w14:paraId="26CB772B" w14:textId="4BF144AD" w:rsidR="00B16994" w:rsidRPr="004B4004" w:rsidRDefault="00B16994" w:rsidP="00B16994">
            <w:pPr>
              <w:pStyle w:val="Tableheading"/>
              <w:rPr>
                <w:rFonts w:cstheme="minorHAnsi"/>
                <w:b w:val="0"/>
                <w:sz w:val="20"/>
                <w:szCs w:val="20"/>
              </w:rPr>
            </w:pPr>
            <w:r w:rsidRPr="00B16994">
              <w:rPr>
                <w:rFonts w:cstheme="minorHAnsi"/>
                <w:b w:val="0"/>
                <w:sz w:val="20"/>
                <w:szCs w:val="20"/>
              </w:rPr>
              <w:t>32</w:t>
            </w:r>
          </w:p>
        </w:tc>
        <w:tc>
          <w:tcPr>
            <w:tcW w:w="1120" w:type="dxa"/>
          </w:tcPr>
          <w:p w14:paraId="66A781D0" w14:textId="36013B13" w:rsidR="00B16994" w:rsidRPr="004B4004" w:rsidRDefault="00B16994" w:rsidP="00B16994">
            <w:pPr>
              <w:pStyle w:val="Tableheading"/>
              <w:rPr>
                <w:rFonts w:cstheme="minorHAnsi"/>
                <w:b w:val="0"/>
                <w:sz w:val="20"/>
                <w:szCs w:val="20"/>
              </w:rPr>
            </w:pPr>
            <w:r w:rsidRPr="00B16994">
              <w:rPr>
                <w:rFonts w:cstheme="minorHAnsi"/>
                <w:b w:val="0"/>
                <w:sz w:val="20"/>
                <w:szCs w:val="20"/>
              </w:rPr>
              <w:t>48</w:t>
            </w:r>
          </w:p>
        </w:tc>
        <w:tc>
          <w:tcPr>
            <w:tcW w:w="1436" w:type="dxa"/>
          </w:tcPr>
          <w:p w14:paraId="432BF68F" w14:textId="1839E56D" w:rsidR="00B16994" w:rsidRPr="004B4004" w:rsidRDefault="00B16994" w:rsidP="00B16994">
            <w:pPr>
              <w:pStyle w:val="Tableheading"/>
              <w:rPr>
                <w:rFonts w:cstheme="minorHAnsi"/>
                <w:b w:val="0"/>
                <w:sz w:val="20"/>
                <w:szCs w:val="20"/>
              </w:rPr>
            </w:pPr>
            <w:r w:rsidRPr="00B16994">
              <w:rPr>
                <w:rFonts w:cstheme="minorHAnsi"/>
                <w:b w:val="0"/>
                <w:sz w:val="20"/>
                <w:szCs w:val="20"/>
              </w:rPr>
              <w:t>37</w:t>
            </w:r>
          </w:p>
        </w:tc>
        <w:tc>
          <w:tcPr>
            <w:tcW w:w="1279" w:type="dxa"/>
          </w:tcPr>
          <w:p w14:paraId="089E984E" w14:textId="64690633" w:rsidR="00B16994" w:rsidRPr="004B4004" w:rsidRDefault="00B16994" w:rsidP="00B16994">
            <w:pPr>
              <w:pStyle w:val="Tableheading"/>
              <w:rPr>
                <w:rFonts w:cstheme="minorHAnsi"/>
                <w:b w:val="0"/>
                <w:sz w:val="20"/>
                <w:szCs w:val="20"/>
              </w:rPr>
            </w:pPr>
            <w:r w:rsidRPr="00B16994">
              <w:rPr>
                <w:rFonts w:cstheme="minorHAnsi"/>
                <w:b w:val="0"/>
                <w:sz w:val="20"/>
                <w:szCs w:val="20"/>
              </w:rPr>
              <w:t>12</w:t>
            </w:r>
          </w:p>
        </w:tc>
      </w:tr>
      <w:tr w:rsidR="00B16994" w:rsidRPr="001D0858" w14:paraId="3EF0BC92" w14:textId="77777777" w:rsidTr="00D069E4">
        <w:trPr>
          <w:trHeight w:val="20"/>
        </w:trPr>
        <w:tc>
          <w:tcPr>
            <w:tcW w:w="1413" w:type="dxa"/>
          </w:tcPr>
          <w:p w14:paraId="54FE6628" w14:textId="77777777" w:rsidR="00B16994" w:rsidRPr="00C11A25" w:rsidRDefault="00B16994" w:rsidP="00B16994">
            <w:pPr>
              <w:pStyle w:val="Tableheading"/>
              <w:rPr>
                <w:sz w:val="20"/>
                <w:szCs w:val="20"/>
              </w:rPr>
            </w:pPr>
            <w:r w:rsidRPr="00C11A25">
              <w:rPr>
                <w:sz w:val="20"/>
                <w:szCs w:val="20"/>
              </w:rPr>
              <w:t>Male 50–59</w:t>
            </w:r>
          </w:p>
        </w:tc>
        <w:tc>
          <w:tcPr>
            <w:tcW w:w="992" w:type="dxa"/>
          </w:tcPr>
          <w:p w14:paraId="3EA1E40C" w14:textId="5877776F" w:rsidR="00B16994" w:rsidRPr="004B4004" w:rsidRDefault="00B16994" w:rsidP="00B16994">
            <w:pPr>
              <w:pStyle w:val="Tableheading"/>
              <w:rPr>
                <w:rFonts w:cstheme="minorHAnsi"/>
                <w:b w:val="0"/>
                <w:sz w:val="20"/>
                <w:szCs w:val="20"/>
              </w:rPr>
            </w:pPr>
            <w:r w:rsidRPr="00B16994">
              <w:rPr>
                <w:rFonts w:cstheme="minorHAnsi"/>
                <w:b w:val="0"/>
                <w:sz w:val="20"/>
                <w:szCs w:val="20"/>
              </w:rPr>
              <w:t>62</w:t>
            </w:r>
          </w:p>
        </w:tc>
        <w:tc>
          <w:tcPr>
            <w:tcW w:w="1429" w:type="dxa"/>
          </w:tcPr>
          <w:p w14:paraId="63B68031" w14:textId="4A734E6A" w:rsidR="00B16994" w:rsidRPr="004B4004" w:rsidRDefault="00B16994" w:rsidP="00B16994">
            <w:pPr>
              <w:pStyle w:val="Tableheading"/>
              <w:rPr>
                <w:rFonts w:cstheme="minorHAnsi"/>
                <w:b w:val="0"/>
                <w:sz w:val="20"/>
                <w:szCs w:val="20"/>
              </w:rPr>
            </w:pPr>
            <w:r w:rsidRPr="00B16994">
              <w:rPr>
                <w:rFonts w:cstheme="minorHAnsi"/>
                <w:b w:val="0"/>
                <w:sz w:val="20"/>
                <w:szCs w:val="20"/>
              </w:rPr>
              <w:t>70</w:t>
            </w:r>
          </w:p>
        </w:tc>
        <w:tc>
          <w:tcPr>
            <w:tcW w:w="1278" w:type="dxa"/>
          </w:tcPr>
          <w:p w14:paraId="6B60BDDA" w14:textId="027C1062" w:rsidR="00B16994" w:rsidRPr="004B4004" w:rsidRDefault="00B16994" w:rsidP="00B16994">
            <w:pPr>
              <w:pStyle w:val="Tableheading"/>
              <w:rPr>
                <w:rFonts w:cstheme="minorHAnsi"/>
                <w:b w:val="0"/>
                <w:sz w:val="20"/>
                <w:szCs w:val="20"/>
              </w:rPr>
            </w:pPr>
            <w:r w:rsidRPr="00B16994">
              <w:rPr>
                <w:rFonts w:cstheme="minorHAnsi"/>
                <w:b w:val="0"/>
                <w:sz w:val="20"/>
                <w:szCs w:val="20"/>
              </w:rPr>
              <w:t>75</w:t>
            </w:r>
          </w:p>
        </w:tc>
        <w:tc>
          <w:tcPr>
            <w:tcW w:w="1120" w:type="dxa"/>
          </w:tcPr>
          <w:p w14:paraId="79603D2B" w14:textId="00439410" w:rsidR="00B16994" w:rsidRPr="004B4004" w:rsidRDefault="00B16994" w:rsidP="00B16994">
            <w:pPr>
              <w:pStyle w:val="Tableheading"/>
              <w:rPr>
                <w:rFonts w:cstheme="minorHAnsi"/>
                <w:b w:val="0"/>
                <w:sz w:val="20"/>
                <w:szCs w:val="20"/>
              </w:rPr>
            </w:pPr>
            <w:r w:rsidRPr="00B16994">
              <w:rPr>
                <w:rFonts w:cstheme="minorHAnsi"/>
                <w:b w:val="0"/>
                <w:sz w:val="20"/>
                <w:szCs w:val="20"/>
              </w:rPr>
              <w:t>73</w:t>
            </w:r>
          </w:p>
        </w:tc>
        <w:tc>
          <w:tcPr>
            <w:tcW w:w="1436" w:type="dxa"/>
          </w:tcPr>
          <w:p w14:paraId="7C1786E4" w14:textId="34B9993E" w:rsidR="00B16994" w:rsidRPr="004B4004" w:rsidRDefault="00B16994" w:rsidP="00B16994">
            <w:pPr>
              <w:pStyle w:val="Tableheading"/>
              <w:rPr>
                <w:rFonts w:cstheme="minorHAnsi"/>
                <w:b w:val="0"/>
                <w:sz w:val="20"/>
                <w:szCs w:val="20"/>
              </w:rPr>
            </w:pPr>
            <w:r w:rsidRPr="00B16994">
              <w:rPr>
                <w:rFonts w:cstheme="minorHAnsi"/>
                <w:b w:val="0"/>
                <w:sz w:val="20"/>
                <w:szCs w:val="20"/>
              </w:rPr>
              <w:t>79</w:t>
            </w:r>
          </w:p>
        </w:tc>
        <w:tc>
          <w:tcPr>
            <w:tcW w:w="1279" w:type="dxa"/>
          </w:tcPr>
          <w:p w14:paraId="2D9EC4CD" w14:textId="4F232B56" w:rsidR="00B16994" w:rsidRPr="004B4004" w:rsidRDefault="00B16994" w:rsidP="00B16994">
            <w:pPr>
              <w:pStyle w:val="Tableheading"/>
              <w:rPr>
                <w:rFonts w:cstheme="minorHAnsi"/>
                <w:b w:val="0"/>
                <w:sz w:val="20"/>
                <w:szCs w:val="20"/>
              </w:rPr>
            </w:pPr>
            <w:r w:rsidRPr="00B16994">
              <w:rPr>
                <w:rFonts w:cstheme="minorHAnsi"/>
                <w:b w:val="0"/>
                <w:sz w:val="20"/>
                <w:szCs w:val="20"/>
              </w:rPr>
              <w:t>22</w:t>
            </w:r>
          </w:p>
        </w:tc>
      </w:tr>
      <w:tr w:rsidR="00B16994" w:rsidRPr="001D0858" w14:paraId="6D6E4B04" w14:textId="77777777" w:rsidTr="00D069E4">
        <w:trPr>
          <w:trHeight w:val="20"/>
        </w:trPr>
        <w:tc>
          <w:tcPr>
            <w:tcW w:w="1413" w:type="dxa"/>
          </w:tcPr>
          <w:p w14:paraId="347F0D8C" w14:textId="77777777" w:rsidR="00B16994" w:rsidRPr="00C11A25" w:rsidRDefault="00B16994" w:rsidP="00B16994">
            <w:pPr>
              <w:pStyle w:val="Tableheading"/>
              <w:rPr>
                <w:sz w:val="20"/>
                <w:szCs w:val="20"/>
              </w:rPr>
            </w:pPr>
            <w:r w:rsidRPr="00C11A25">
              <w:rPr>
                <w:sz w:val="20"/>
                <w:szCs w:val="20"/>
              </w:rPr>
              <w:t>Male 60–69</w:t>
            </w:r>
          </w:p>
        </w:tc>
        <w:tc>
          <w:tcPr>
            <w:tcW w:w="992" w:type="dxa"/>
          </w:tcPr>
          <w:p w14:paraId="09378BE7" w14:textId="726373DA" w:rsidR="00B16994" w:rsidRPr="004B4004" w:rsidRDefault="00B16994" w:rsidP="00B16994">
            <w:pPr>
              <w:pStyle w:val="Tableheading"/>
              <w:rPr>
                <w:rFonts w:cstheme="minorHAnsi"/>
                <w:b w:val="0"/>
                <w:sz w:val="20"/>
                <w:szCs w:val="20"/>
              </w:rPr>
            </w:pPr>
            <w:r w:rsidRPr="00B16994">
              <w:rPr>
                <w:rFonts w:cstheme="minorHAnsi"/>
                <w:b w:val="0"/>
                <w:sz w:val="20"/>
                <w:szCs w:val="20"/>
              </w:rPr>
              <w:t>108</w:t>
            </w:r>
          </w:p>
        </w:tc>
        <w:tc>
          <w:tcPr>
            <w:tcW w:w="1429" w:type="dxa"/>
          </w:tcPr>
          <w:p w14:paraId="32FEE0CE" w14:textId="49905622" w:rsidR="00B16994" w:rsidRPr="004B4004" w:rsidRDefault="00B16994" w:rsidP="00B16994">
            <w:pPr>
              <w:pStyle w:val="Tableheading"/>
              <w:rPr>
                <w:rFonts w:cstheme="minorHAnsi"/>
                <w:b w:val="0"/>
                <w:sz w:val="20"/>
                <w:szCs w:val="20"/>
              </w:rPr>
            </w:pPr>
            <w:r w:rsidRPr="00B16994">
              <w:rPr>
                <w:rFonts w:cstheme="minorHAnsi"/>
                <w:b w:val="0"/>
                <w:sz w:val="20"/>
                <w:szCs w:val="20"/>
              </w:rPr>
              <w:t>160</w:t>
            </w:r>
          </w:p>
        </w:tc>
        <w:tc>
          <w:tcPr>
            <w:tcW w:w="1278" w:type="dxa"/>
          </w:tcPr>
          <w:p w14:paraId="7703080A" w14:textId="13D87630" w:rsidR="00B16994" w:rsidRPr="004B4004" w:rsidRDefault="00B16994" w:rsidP="00B16994">
            <w:pPr>
              <w:pStyle w:val="Tableheading"/>
              <w:rPr>
                <w:rFonts w:cstheme="minorHAnsi"/>
                <w:b w:val="0"/>
                <w:sz w:val="20"/>
                <w:szCs w:val="20"/>
              </w:rPr>
            </w:pPr>
            <w:r w:rsidRPr="00B16994">
              <w:rPr>
                <w:rFonts w:cstheme="minorHAnsi"/>
                <w:b w:val="0"/>
                <w:sz w:val="20"/>
                <w:szCs w:val="20"/>
              </w:rPr>
              <w:t>170</w:t>
            </w:r>
          </w:p>
        </w:tc>
        <w:tc>
          <w:tcPr>
            <w:tcW w:w="1120" w:type="dxa"/>
          </w:tcPr>
          <w:p w14:paraId="4A58533B" w14:textId="5262E78B" w:rsidR="00B16994" w:rsidRPr="004B4004" w:rsidRDefault="00B16994" w:rsidP="00B16994">
            <w:pPr>
              <w:pStyle w:val="Tableheading"/>
              <w:rPr>
                <w:rFonts w:cstheme="minorHAnsi"/>
                <w:b w:val="0"/>
                <w:sz w:val="20"/>
                <w:szCs w:val="20"/>
              </w:rPr>
            </w:pPr>
            <w:r w:rsidRPr="00B16994">
              <w:rPr>
                <w:rFonts w:cstheme="minorHAnsi"/>
                <w:b w:val="0"/>
                <w:sz w:val="20"/>
                <w:szCs w:val="20"/>
              </w:rPr>
              <w:t>207</w:t>
            </w:r>
          </w:p>
        </w:tc>
        <w:tc>
          <w:tcPr>
            <w:tcW w:w="1436" w:type="dxa"/>
          </w:tcPr>
          <w:p w14:paraId="397DD1FB" w14:textId="037348E2" w:rsidR="00B16994" w:rsidRPr="004B4004" w:rsidRDefault="00B16994" w:rsidP="00B16994">
            <w:pPr>
              <w:pStyle w:val="Tableheading"/>
              <w:rPr>
                <w:rFonts w:cstheme="minorHAnsi"/>
                <w:b w:val="0"/>
                <w:sz w:val="20"/>
                <w:szCs w:val="20"/>
              </w:rPr>
            </w:pPr>
            <w:r w:rsidRPr="00B16994">
              <w:rPr>
                <w:rFonts w:cstheme="minorHAnsi"/>
                <w:b w:val="0"/>
                <w:sz w:val="20"/>
                <w:szCs w:val="20"/>
              </w:rPr>
              <w:t>223</w:t>
            </w:r>
          </w:p>
        </w:tc>
        <w:tc>
          <w:tcPr>
            <w:tcW w:w="1279" w:type="dxa"/>
          </w:tcPr>
          <w:p w14:paraId="2AED51F7" w14:textId="6EFCEBE6" w:rsidR="00B16994" w:rsidRPr="004B4004" w:rsidRDefault="00B16994" w:rsidP="00B16994">
            <w:pPr>
              <w:pStyle w:val="Tableheading"/>
              <w:rPr>
                <w:rFonts w:cstheme="minorHAnsi"/>
                <w:b w:val="0"/>
                <w:sz w:val="20"/>
                <w:szCs w:val="20"/>
              </w:rPr>
            </w:pPr>
            <w:r w:rsidRPr="00B16994">
              <w:rPr>
                <w:rFonts w:cstheme="minorHAnsi"/>
                <w:b w:val="0"/>
                <w:sz w:val="20"/>
                <w:szCs w:val="20"/>
              </w:rPr>
              <w:t>84</w:t>
            </w:r>
          </w:p>
        </w:tc>
      </w:tr>
      <w:tr w:rsidR="00B16994" w:rsidRPr="001D0858" w14:paraId="7C423D2E" w14:textId="77777777" w:rsidTr="00D069E4">
        <w:trPr>
          <w:trHeight w:val="20"/>
        </w:trPr>
        <w:tc>
          <w:tcPr>
            <w:tcW w:w="1413" w:type="dxa"/>
          </w:tcPr>
          <w:p w14:paraId="3B40D3F0" w14:textId="77777777" w:rsidR="00B16994" w:rsidRPr="00C11A25" w:rsidRDefault="00B16994" w:rsidP="00B16994">
            <w:pPr>
              <w:pStyle w:val="Tableheading"/>
              <w:rPr>
                <w:sz w:val="20"/>
                <w:szCs w:val="20"/>
              </w:rPr>
            </w:pPr>
            <w:r w:rsidRPr="00C11A25">
              <w:rPr>
                <w:sz w:val="20"/>
                <w:szCs w:val="20"/>
              </w:rPr>
              <w:t>Male 70+</w:t>
            </w:r>
          </w:p>
        </w:tc>
        <w:tc>
          <w:tcPr>
            <w:tcW w:w="992" w:type="dxa"/>
          </w:tcPr>
          <w:p w14:paraId="410F5EDA" w14:textId="399028F3" w:rsidR="00B16994" w:rsidRPr="004B4004" w:rsidRDefault="00B16994" w:rsidP="00B16994">
            <w:pPr>
              <w:pStyle w:val="Tableheading"/>
              <w:rPr>
                <w:rFonts w:cstheme="minorHAnsi"/>
                <w:b w:val="0"/>
                <w:sz w:val="20"/>
                <w:szCs w:val="20"/>
              </w:rPr>
            </w:pPr>
            <w:r w:rsidRPr="00B16994">
              <w:rPr>
                <w:rFonts w:cstheme="minorHAnsi"/>
                <w:b w:val="0"/>
                <w:sz w:val="20"/>
                <w:szCs w:val="20"/>
              </w:rPr>
              <w:t>608</w:t>
            </w:r>
          </w:p>
        </w:tc>
        <w:tc>
          <w:tcPr>
            <w:tcW w:w="1429" w:type="dxa"/>
          </w:tcPr>
          <w:p w14:paraId="05B6A1AC" w14:textId="4261FC9B" w:rsidR="00B16994" w:rsidRPr="004B4004" w:rsidRDefault="00B16994" w:rsidP="00B16994">
            <w:pPr>
              <w:pStyle w:val="Tableheading"/>
              <w:rPr>
                <w:rFonts w:cstheme="minorHAnsi"/>
                <w:b w:val="0"/>
                <w:sz w:val="20"/>
                <w:szCs w:val="20"/>
              </w:rPr>
            </w:pPr>
            <w:r w:rsidRPr="00B16994">
              <w:rPr>
                <w:rFonts w:cstheme="minorHAnsi"/>
                <w:b w:val="0"/>
                <w:sz w:val="20"/>
                <w:szCs w:val="20"/>
              </w:rPr>
              <w:t>864</w:t>
            </w:r>
          </w:p>
        </w:tc>
        <w:tc>
          <w:tcPr>
            <w:tcW w:w="1278" w:type="dxa"/>
          </w:tcPr>
          <w:p w14:paraId="4A64FA1B" w14:textId="4DE6CF0B" w:rsidR="00B16994" w:rsidRPr="004B4004" w:rsidRDefault="00B16994" w:rsidP="00B16994">
            <w:pPr>
              <w:pStyle w:val="Tableheading"/>
              <w:rPr>
                <w:rFonts w:cstheme="minorHAnsi"/>
                <w:b w:val="0"/>
                <w:sz w:val="20"/>
                <w:szCs w:val="20"/>
              </w:rPr>
            </w:pPr>
            <w:r w:rsidRPr="00B16994">
              <w:rPr>
                <w:rFonts w:cstheme="minorHAnsi"/>
                <w:b w:val="0"/>
                <w:sz w:val="20"/>
                <w:szCs w:val="20"/>
              </w:rPr>
              <w:t>1,023</w:t>
            </w:r>
          </w:p>
        </w:tc>
        <w:tc>
          <w:tcPr>
            <w:tcW w:w="1120" w:type="dxa"/>
          </w:tcPr>
          <w:p w14:paraId="1EDBC79C" w14:textId="186D8C62" w:rsidR="00B16994" w:rsidRPr="004B4004" w:rsidRDefault="00B16994" w:rsidP="00B16994">
            <w:pPr>
              <w:pStyle w:val="Tableheading"/>
              <w:rPr>
                <w:rFonts w:cstheme="minorHAnsi"/>
                <w:b w:val="0"/>
                <w:sz w:val="20"/>
                <w:szCs w:val="20"/>
              </w:rPr>
            </w:pPr>
            <w:r w:rsidRPr="00B16994">
              <w:rPr>
                <w:rFonts w:cstheme="minorHAnsi"/>
                <w:b w:val="0"/>
                <w:sz w:val="20"/>
                <w:szCs w:val="20"/>
              </w:rPr>
              <w:t>1,233</w:t>
            </w:r>
          </w:p>
        </w:tc>
        <w:tc>
          <w:tcPr>
            <w:tcW w:w="1436" w:type="dxa"/>
          </w:tcPr>
          <w:p w14:paraId="7085716D" w14:textId="07D16B68" w:rsidR="00B16994" w:rsidRPr="004B4004" w:rsidRDefault="00B16994" w:rsidP="00B16994">
            <w:pPr>
              <w:pStyle w:val="Tableheading"/>
              <w:rPr>
                <w:rFonts w:cstheme="minorHAnsi"/>
                <w:b w:val="0"/>
                <w:sz w:val="20"/>
                <w:szCs w:val="20"/>
              </w:rPr>
            </w:pPr>
            <w:r w:rsidRPr="00B16994">
              <w:rPr>
                <w:rFonts w:cstheme="minorHAnsi"/>
                <w:b w:val="0"/>
                <w:sz w:val="20"/>
                <w:szCs w:val="20"/>
              </w:rPr>
              <w:t>1,364</w:t>
            </w:r>
          </w:p>
        </w:tc>
        <w:tc>
          <w:tcPr>
            <w:tcW w:w="1279" w:type="dxa"/>
          </w:tcPr>
          <w:p w14:paraId="4A5D66EC" w14:textId="3B09C460" w:rsidR="00B16994" w:rsidRPr="004B4004" w:rsidRDefault="00B16994" w:rsidP="00B16994">
            <w:pPr>
              <w:pStyle w:val="Tableheading"/>
              <w:rPr>
                <w:rFonts w:cstheme="minorHAnsi"/>
                <w:b w:val="0"/>
                <w:sz w:val="20"/>
                <w:szCs w:val="20"/>
              </w:rPr>
            </w:pPr>
            <w:r w:rsidRPr="00B16994">
              <w:rPr>
                <w:rFonts w:cstheme="minorHAnsi"/>
                <w:b w:val="0"/>
                <w:sz w:val="20"/>
                <w:szCs w:val="20"/>
              </w:rPr>
              <w:t>655</w:t>
            </w:r>
          </w:p>
        </w:tc>
      </w:tr>
    </w:tbl>
    <w:p w14:paraId="1431F890" w14:textId="77777777" w:rsidR="00CE1BDD" w:rsidRPr="00A25619" w:rsidRDefault="00CE1BDD" w:rsidP="00812493">
      <w:pPr>
        <w:pStyle w:val="Figurecaption"/>
      </w:pPr>
      <w:r>
        <w:t xml:space="preserve">*Six </w:t>
      </w:r>
      <w:r w:rsidRPr="009812D5">
        <w:t>months</w:t>
      </w:r>
      <w:r>
        <w:t xml:space="preserve"> of data only</w:t>
      </w:r>
    </w:p>
    <w:p w14:paraId="4821FB56" w14:textId="5C561DCD" w:rsidR="005F7D60" w:rsidRPr="00812493" w:rsidRDefault="00063ADF" w:rsidP="00812493">
      <w:pPr>
        <w:pStyle w:val="Heading4"/>
        <w:rPr>
          <w:sz w:val="24"/>
        </w:rPr>
      </w:pPr>
      <w:r w:rsidRPr="00812493">
        <w:rPr>
          <w:sz w:val="24"/>
        </w:rPr>
        <w:t>Prevalent versus incident denosumab use</w:t>
      </w:r>
    </w:p>
    <w:p w14:paraId="6EC21C82" w14:textId="32F3D88C" w:rsidR="00063ADF" w:rsidRPr="00063ADF" w:rsidRDefault="00063ADF" w:rsidP="00DB629F">
      <w:r>
        <w:t xml:space="preserve">Figure 4 shows the </w:t>
      </w:r>
      <w:r w:rsidR="000C75EB">
        <w:t>total number of people treated with</w:t>
      </w:r>
      <w:r w:rsidR="004277B4">
        <w:t xml:space="preserve"> denosumab </w:t>
      </w:r>
      <w:r w:rsidR="00F17F2A">
        <w:t xml:space="preserve">each year (prevalent) </w:t>
      </w:r>
      <w:r w:rsidR="00AD3CA9">
        <w:t xml:space="preserve">and </w:t>
      </w:r>
      <w:r w:rsidR="00F17F2A">
        <w:t>the number who are new to</w:t>
      </w:r>
      <w:r w:rsidR="009645B4">
        <w:t xml:space="preserve"> denosumab</w:t>
      </w:r>
      <w:r w:rsidR="00F17F2A">
        <w:t xml:space="preserve"> therapy (</w:t>
      </w:r>
      <w:r w:rsidR="009645B4">
        <w:t>denosumab initiators) and new to osteoporosis therapy</w:t>
      </w:r>
      <w:r w:rsidR="00AA2901">
        <w:t xml:space="preserve"> </w:t>
      </w:r>
      <w:r w:rsidR="009645B4">
        <w:t>(directly initiated on denosumab)</w:t>
      </w:r>
      <w:r w:rsidR="004277B4">
        <w:t xml:space="preserve"> between January 2014 and June 2019</w:t>
      </w:r>
      <w:r w:rsidR="00AD3CA9">
        <w:t xml:space="preserve">. </w:t>
      </w:r>
      <w:r w:rsidR="00493E63">
        <w:t xml:space="preserve">While the number of all patients newly started on denosumab each year has </w:t>
      </w:r>
      <w:r w:rsidR="004A7889">
        <w:t xml:space="preserve">somewhat </w:t>
      </w:r>
      <w:r w:rsidR="00493E63">
        <w:t xml:space="preserve">stabilised </w:t>
      </w:r>
      <w:r w:rsidR="00695E6C">
        <w:t xml:space="preserve">year on year, the proportion of patients who are started on denosumab despite not having used any </w:t>
      </w:r>
      <w:r w:rsidR="00B7133C">
        <w:t>osteoporosis</w:t>
      </w:r>
      <w:r w:rsidR="00695E6C">
        <w:t xml:space="preserve"> medicine in the prior two years is still increasing.</w:t>
      </w:r>
      <w:r w:rsidR="00AD3CA9">
        <w:t xml:space="preserve"> </w:t>
      </w:r>
      <w:r w:rsidR="00B7133C">
        <w:t>This suggests that denosumab is be</w:t>
      </w:r>
      <w:r w:rsidR="00D64120">
        <w:t>ing used more and more frequently as a first-line therapy for osteoporosis.</w:t>
      </w:r>
    </w:p>
    <w:p w14:paraId="72072A01" w14:textId="274FE7A2" w:rsidR="008B2DB4" w:rsidRPr="005F7D60" w:rsidRDefault="00B9255B" w:rsidP="005F7D60">
      <w:r>
        <w:rPr>
          <w:noProof/>
        </w:rPr>
        <w:lastRenderedPageBreak/>
        <w:drawing>
          <wp:inline distT="0" distB="0" distL="0" distR="0" wp14:anchorId="6E81B627" wp14:editId="07D1651E">
            <wp:extent cx="5499100" cy="3492500"/>
            <wp:effectExtent l="0" t="0" r="6350" b="12700"/>
            <wp:docPr id="4" name="Chart 4" title="Figure 4: Number of patients newly dispensed denosumab (incident patients) between January 2014 and June 2019 regardless of whether they had previously been dispensed another osteoporosis medicine, by age-sex groups">
              <a:extLst xmlns:a="http://schemas.openxmlformats.org/drawingml/2006/main">
                <a:ext uri="{FF2B5EF4-FFF2-40B4-BE49-F238E27FC236}">
                  <a16:creationId xmlns:a16="http://schemas.microsoft.com/office/drawing/2014/main" id="{406FA9B1-FCD2-49F8-A94E-C5ADD5DA6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0332DF" w14:textId="5FB7F6AC" w:rsidR="00063ADF" w:rsidRDefault="00063ADF" w:rsidP="00063ADF">
      <w:pPr>
        <w:pStyle w:val="Figuretitle"/>
        <w:spacing w:after="0"/>
      </w:pPr>
      <w:r>
        <w:t>Figure 4:</w:t>
      </w:r>
      <w:r w:rsidRPr="005D25DF">
        <w:t xml:space="preserve"> Number of patients</w:t>
      </w:r>
      <w:r>
        <w:t xml:space="preserve"> newly</w:t>
      </w:r>
      <w:r w:rsidRPr="005D25DF">
        <w:t xml:space="preserve"> dispensed denosumab </w:t>
      </w:r>
      <w:r>
        <w:t>(incident patients)</w:t>
      </w:r>
      <w:r w:rsidRPr="005D25DF">
        <w:t xml:space="preserve"> between January 2014 and June 2019</w:t>
      </w:r>
      <w:r>
        <w:t xml:space="preserve"> regardless of whether they had previously been dispensed another osteoporosis medicine</w:t>
      </w:r>
      <w:r w:rsidRPr="005D25DF">
        <w:t>, by age-sex groups</w:t>
      </w:r>
    </w:p>
    <w:p w14:paraId="3EC378BE" w14:textId="77777777" w:rsidR="00063ADF" w:rsidRPr="008841F0" w:rsidRDefault="00063ADF" w:rsidP="00812493">
      <w:pPr>
        <w:pStyle w:val="Figurecaption"/>
      </w:pPr>
      <w:r w:rsidRPr="008841F0">
        <w:t>*Six months of data only</w:t>
      </w:r>
    </w:p>
    <w:p w14:paraId="4F8723A6" w14:textId="5DB0DAE5" w:rsidR="00736041" w:rsidRPr="00812493" w:rsidRDefault="00537AAE" w:rsidP="00812493">
      <w:pPr>
        <w:pStyle w:val="Heading4"/>
        <w:rPr>
          <w:sz w:val="24"/>
        </w:rPr>
      </w:pPr>
      <w:r w:rsidRPr="00812493">
        <w:rPr>
          <w:sz w:val="24"/>
        </w:rPr>
        <w:t>Denosumab treatment rates</w:t>
      </w:r>
    </w:p>
    <w:p w14:paraId="6AD4145E" w14:textId="3ADCCB42" w:rsidR="00F40C44" w:rsidRPr="00812493" w:rsidRDefault="00F40C44" w:rsidP="00812493">
      <w:pPr>
        <w:pStyle w:val="Heading4"/>
        <w:rPr>
          <w:sz w:val="24"/>
        </w:rPr>
      </w:pPr>
      <w:r w:rsidRPr="00812493">
        <w:rPr>
          <w:sz w:val="24"/>
        </w:rPr>
        <w:t>Age-standardised treatment rates</w:t>
      </w:r>
    </w:p>
    <w:p w14:paraId="683A216E" w14:textId="5CD0D805" w:rsidR="00D31392" w:rsidRDefault="00835EAB" w:rsidP="00D31392">
      <w:r>
        <w:t xml:space="preserve">The rate at which patients are newly started on denosumab has been </w:t>
      </w:r>
      <w:r w:rsidR="00BC0202">
        <w:t>stable since 2014</w:t>
      </w:r>
      <w:r w:rsidR="00167921">
        <w:t xml:space="preserve">, at between </w:t>
      </w:r>
      <w:r w:rsidR="007B2F29">
        <w:t xml:space="preserve">2.8 to 3.8 </w:t>
      </w:r>
      <w:r w:rsidR="00D31392">
        <w:t>patients initiating per 1,000 population</w:t>
      </w:r>
      <w:r w:rsidR="000A24CE">
        <w:t xml:space="preserve"> (</w:t>
      </w:r>
      <w:r w:rsidR="000C2D82">
        <w:t>T</w:t>
      </w:r>
      <w:r w:rsidR="0042583D">
        <w:t>able 13</w:t>
      </w:r>
      <w:r w:rsidR="000A24CE">
        <w:t>, Figure 5)</w:t>
      </w:r>
      <w:r w:rsidR="00BC0202">
        <w:t xml:space="preserve">. </w:t>
      </w:r>
      <w:r w:rsidR="004D7594">
        <w:t>Consequently</w:t>
      </w:r>
      <w:r w:rsidR="00BC0202">
        <w:t xml:space="preserve">, as would be expected with a </w:t>
      </w:r>
      <w:r w:rsidR="00462732">
        <w:t xml:space="preserve">medicine used for a chronic condition, the </w:t>
      </w:r>
      <w:r w:rsidR="00DF7502">
        <w:t>prevalence rate has been increasing year on year as more and more patients are started on treatment.</w:t>
      </w:r>
      <w:r w:rsidR="00462732">
        <w:t xml:space="preserve"> </w:t>
      </w:r>
      <w:r w:rsidR="00D31392">
        <w:t xml:space="preserve">Figure </w:t>
      </w:r>
      <w:r w:rsidR="00283305">
        <w:t xml:space="preserve">5 </w:t>
      </w:r>
      <w:r w:rsidR="00D31392">
        <w:t xml:space="preserve">shows </w:t>
      </w:r>
      <w:r w:rsidR="0005052E">
        <w:t xml:space="preserve">raw </w:t>
      </w:r>
      <w:r w:rsidR="00D31392">
        <w:t xml:space="preserve">prevalent treatment rates </w:t>
      </w:r>
      <w:r w:rsidR="00283305">
        <w:t>in</w:t>
      </w:r>
      <w:r w:rsidR="00D31392">
        <w:t>creased between 20</w:t>
      </w:r>
      <w:r w:rsidR="00283305">
        <w:t>14 and 2018</w:t>
      </w:r>
      <w:r w:rsidR="004A1813">
        <w:t xml:space="preserve"> from </w:t>
      </w:r>
      <w:r w:rsidR="00314FDD">
        <w:t>5 to 15 patients</w:t>
      </w:r>
      <w:r w:rsidR="000A791F">
        <w:t xml:space="preserve"> </w:t>
      </w:r>
      <w:r w:rsidR="000208A8">
        <w:t>prevalent to</w:t>
      </w:r>
      <w:r w:rsidR="00314FDD">
        <w:t xml:space="preserve"> denosumab per 1,000 patients</w:t>
      </w:r>
      <w:r w:rsidR="00255E8B">
        <w:t>, representing a</w:t>
      </w:r>
      <w:r w:rsidR="00FC73C8">
        <w:t xml:space="preserve"> 3-fold increase </w:t>
      </w:r>
      <w:r w:rsidR="00D238A7">
        <w:t>over 5 years.</w:t>
      </w:r>
      <w:r w:rsidR="00D04DC3">
        <w:t xml:space="preserve"> After adjusting for the </w:t>
      </w:r>
      <w:r w:rsidR="003C2EB1">
        <w:t xml:space="preserve">change in the age distribution of the population over </w:t>
      </w:r>
      <w:r w:rsidR="00A93730">
        <w:t xml:space="preserve">the 5 years </w:t>
      </w:r>
      <w:r w:rsidR="00FF4D23">
        <w:t xml:space="preserve">the increase in the prevalent prescribing rate </w:t>
      </w:r>
      <w:r w:rsidR="00921C1E">
        <w:t xml:space="preserve">remained </w:t>
      </w:r>
      <w:r w:rsidR="00A93730">
        <w:t xml:space="preserve">high </w:t>
      </w:r>
      <w:r w:rsidR="007F2FD9">
        <w:t>(</w:t>
      </w:r>
      <w:r w:rsidR="00A93730">
        <w:t xml:space="preserve">2.8-fold </w:t>
      </w:r>
      <w:r w:rsidR="00921C1E">
        <w:t>increase</w:t>
      </w:r>
      <w:r w:rsidR="007F2FD9">
        <w:t>)</w:t>
      </w:r>
      <w:r w:rsidR="00A93730">
        <w:t>.</w:t>
      </w:r>
    </w:p>
    <w:p w14:paraId="55B10FE8" w14:textId="4C4C25F1" w:rsidR="00F542FD" w:rsidRPr="00421497" w:rsidRDefault="00F542FD" w:rsidP="00421497">
      <w:r>
        <w:rPr>
          <w:noProof/>
        </w:rPr>
        <w:lastRenderedPageBreak/>
        <w:drawing>
          <wp:inline distT="0" distB="0" distL="0" distR="0" wp14:anchorId="205862C6" wp14:editId="0B81840A">
            <wp:extent cx="5829300" cy="4038600"/>
            <wp:effectExtent l="0" t="0" r="0" b="0"/>
            <wp:docPr id="5" name="Chart 5" title="Figure 5: Patients initiating and prevalent to denosumab treatment rates (per 1000 population), raw and age adjusted, PBS 10% sample extrapolated to the whole population.">
              <a:extLst xmlns:a="http://schemas.openxmlformats.org/drawingml/2006/main">
                <a:ext uri="{FF2B5EF4-FFF2-40B4-BE49-F238E27FC236}">
                  <a16:creationId xmlns:a16="http://schemas.microsoft.com/office/drawing/2014/main" id="{736CADBD-E7A8-4083-A37F-4A84F56E7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B7093B" w14:textId="08DB14D4" w:rsidR="0005256D" w:rsidRDefault="0005256D" w:rsidP="0005256D">
      <w:pPr>
        <w:pStyle w:val="Figuretitle"/>
        <w:spacing w:after="0"/>
      </w:pPr>
      <w:r>
        <w:t xml:space="preserve">Figure </w:t>
      </w:r>
      <w:r w:rsidR="00662A9F">
        <w:t>5</w:t>
      </w:r>
      <w:r>
        <w:t>:</w:t>
      </w:r>
      <w:r w:rsidRPr="005D25DF">
        <w:t xml:space="preserve"> </w:t>
      </w:r>
      <w:r w:rsidR="00F44F67" w:rsidRPr="00F44F67">
        <w:t xml:space="preserve">Patients initiating and prevalent to </w:t>
      </w:r>
      <w:r w:rsidR="00F44F67">
        <w:t>denosumab</w:t>
      </w:r>
      <w:r w:rsidR="00F44F67" w:rsidRPr="00F44F67">
        <w:t xml:space="preserve"> treatment rates (per 1000 population), raw and age adjusted</w:t>
      </w:r>
      <w:r w:rsidR="004D02BF">
        <w:t>, PBS 10% sample extrapolated to the whole population</w:t>
      </w:r>
      <w:r w:rsidR="00F44F67" w:rsidRPr="00F44F67">
        <w:t>.</w:t>
      </w:r>
    </w:p>
    <w:p w14:paraId="21EA01BD" w14:textId="27205BBB" w:rsidR="0005256D" w:rsidRDefault="0005256D" w:rsidP="00812493">
      <w:pPr>
        <w:pStyle w:val="Figurecaption"/>
      </w:pPr>
      <w:r w:rsidRPr="008841F0">
        <w:t>*Six months of data only</w:t>
      </w:r>
      <w:r w:rsidR="00263F4C">
        <w:t>;</w:t>
      </w:r>
      <w:r w:rsidR="0010285E">
        <w:t xml:space="preserve"> </w:t>
      </w:r>
      <w:r w:rsidR="003436B5">
        <w:t xml:space="preserve">only </w:t>
      </w:r>
      <w:r w:rsidR="0010285E">
        <w:t>incident result</w:t>
      </w:r>
      <w:r w:rsidR="003436B5">
        <w:t>s</w:t>
      </w:r>
      <w:r w:rsidR="0010285E">
        <w:t xml:space="preserve"> were </w:t>
      </w:r>
      <w:r w:rsidR="003436B5">
        <w:t>extrapolated</w:t>
      </w:r>
      <w:r w:rsidR="0010285E">
        <w:t xml:space="preserve"> to the whole year</w:t>
      </w:r>
      <w:r w:rsidR="00263F4C">
        <w:t>.</w:t>
      </w:r>
      <w:r w:rsidR="0010285E">
        <w:t xml:space="preserve"> </w:t>
      </w:r>
    </w:p>
    <w:p w14:paraId="1F6BD3E0" w14:textId="17F6DB6D" w:rsidR="000E1F32" w:rsidRDefault="000E1F32">
      <w:pPr>
        <w:spacing w:line="276" w:lineRule="auto"/>
        <w:rPr>
          <w:sz w:val="20"/>
          <w:szCs w:val="20"/>
          <w:lang w:eastAsia="en-US"/>
        </w:rPr>
      </w:pPr>
      <w:r>
        <w:br w:type="page"/>
      </w:r>
    </w:p>
    <w:p w14:paraId="49782A8F" w14:textId="41EC642F" w:rsidR="00D10069" w:rsidRDefault="0042583D" w:rsidP="00D10069">
      <w:pPr>
        <w:pStyle w:val="Tabletitle"/>
      </w:pPr>
      <w:r>
        <w:lastRenderedPageBreak/>
        <w:t>Table 13</w:t>
      </w:r>
      <w:r w:rsidR="00D10069">
        <w:t>:Crude annual rate of incident to denosumab patients</w:t>
      </w:r>
      <w:r w:rsidR="008930C1">
        <w:t xml:space="preserve"> (denosumab initiators)</w:t>
      </w:r>
      <w:r w:rsidR="00D10069">
        <w:t xml:space="preserve"> and prevalent denosumab patients per 1000 persons* (2014 to June 2019)</w:t>
      </w:r>
    </w:p>
    <w:tbl>
      <w:tblPr>
        <w:tblStyle w:val="TableGrid"/>
        <w:tblW w:w="0" w:type="auto"/>
        <w:tblLayout w:type="fixed"/>
        <w:tblLook w:val="04A0" w:firstRow="1" w:lastRow="0" w:firstColumn="1" w:lastColumn="0" w:noHBand="0" w:noVBand="1"/>
        <w:tblCaption w:val="Table 11:Crude annual rate of incident to denosumab patients (denosumab initiators) and prevalent denosumab patients per 1000 persons* (2014 to June 2019)"/>
      </w:tblPr>
      <w:tblGrid>
        <w:gridCol w:w="1413"/>
        <w:gridCol w:w="992"/>
        <w:gridCol w:w="1429"/>
        <w:gridCol w:w="1278"/>
        <w:gridCol w:w="1120"/>
        <w:gridCol w:w="1436"/>
        <w:gridCol w:w="1279"/>
      </w:tblGrid>
      <w:tr w:rsidR="00D10069" w:rsidRPr="001D0858" w14:paraId="3722ADFC" w14:textId="77777777" w:rsidTr="00414A87">
        <w:trPr>
          <w:trHeight w:val="20"/>
          <w:tblHeader/>
        </w:trPr>
        <w:tc>
          <w:tcPr>
            <w:tcW w:w="1413" w:type="dxa"/>
            <w:shd w:val="clear" w:color="auto" w:fill="BFBFBF" w:themeFill="background1" w:themeFillShade="BF"/>
          </w:tcPr>
          <w:p w14:paraId="22057BEE" w14:textId="77777777" w:rsidR="00D10069" w:rsidRDefault="00D10069" w:rsidP="00414A87">
            <w:pPr>
              <w:pStyle w:val="Tableheading"/>
              <w:rPr>
                <w:sz w:val="20"/>
                <w:szCs w:val="20"/>
              </w:rPr>
            </w:pPr>
          </w:p>
        </w:tc>
        <w:tc>
          <w:tcPr>
            <w:tcW w:w="992" w:type="dxa"/>
            <w:shd w:val="clear" w:color="auto" w:fill="BFBFBF" w:themeFill="background1" w:themeFillShade="BF"/>
          </w:tcPr>
          <w:p w14:paraId="477013FB" w14:textId="77777777" w:rsidR="00D10069" w:rsidRPr="001D0858" w:rsidRDefault="00D10069" w:rsidP="00414A87">
            <w:pPr>
              <w:pStyle w:val="Tableheading"/>
              <w:rPr>
                <w:sz w:val="20"/>
                <w:szCs w:val="20"/>
              </w:rPr>
            </w:pPr>
            <w:r>
              <w:rPr>
                <w:sz w:val="20"/>
                <w:szCs w:val="20"/>
              </w:rPr>
              <w:t>2014</w:t>
            </w:r>
          </w:p>
        </w:tc>
        <w:tc>
          <w:tcPr>
            <w:tcW w:w="1429" w:type="dxa"/>
            <w:shd w:val="clear" w:color="auto" w:fill="BFBFBF" w:themeFill="background1" w:themeFillShade="BF"/>
          </w:tcPr>
          <w:p w14:paraId="31BB58B4" w14:textId="77777777" w:rsidR="00D10069" w:rsidRPr="001D0858" w:rsidRDefault="00D10069" w:rsidP="00414A87">
            <w:pPr>
              <w:pStyle w:val="Tableheading"/>
              <w:rPr>
                <w:sz w:val="20"/>
                <w:szCs w:val="20"/>
              </w:rPr>
            </w:pPr>
            <w:r>
              <w:rPr>
                <w:sz w:val="20"/>
                <w:szCs w:val="20"/>
              </w:rPr>
              <w:t>2015</w:t>
            </w:r>
          </w:p>
        </w:tc>
        <w:tc>
          <w:tcPr>
            <w:tcW w:w="1278" w:type="dxa"/>
            <w:shd w:val="clear" w:color="auto" w:fill="BFBFBF" w:themeFill="background1" w:themeFillShade="BF"/>
          </w:tcPr>
          <w:p w14:paraId="7B46C708" w14:textId="77777777" w:rsidR="00D10069" w:rsidRPr="001D0858" w:rsidRDefault="00D10069" w:rsidP="00414A87">
            <w:pPr>
              <w:pStyle w:val="Tableheading"/>
              <w:rPr>
                <w:sz w:val="20"/>
                <w:szCs w:val="20"/>
              </w:rPr>
            </w:pPr>
            <w:r>
              <w:rPr>
                <w:sz w:val="20"/>
                <w:szCs w:val="20"/>
              </w:rPr>
              <w:t>2016</w:t>
            </w:r>
          </w:p>
        </w:tc>
        <w:tc>
          <w:tcPr>
            <w:tcW w:w="1120" w:type="dxa"/>
            <w:shd w:val="clear" w:color="auto" w:fill="BFBFBF" w:themeFill="background1" w:themeFillShade="BF"/>
          </w:tcPr>
          <w:p w14:paraId="654E6F59" w14:textId="77777777" w:rsidR="00D10069" w:rsidRPr="001D0858" w:rsidRDefault="00D10069" w:rsidP="00414A87">
            <w:pPr>
              <w:pStyle w:val="Tableheading"/>
              <w:rPr>
                <w:sz w:val="20"/>
                <w:szCs w:val="20"/>
              </w:rPr>
            </w:pPr>
            <w:r>
              <w:rPr>
                <w:sz w:val="20"/>
                <w:szCs w:val="20"/>
              </w:rPr>
              <w:t>2017</w:t>
            </w:r>
          </w:p>
        </w:tc>
        <w:tc>
          <w:tcPr>
            <w:tcW w:w="1436" w:type="dxa"/>
            <w:shd w:val="clear" w:color="auto" w:fill="BFBFBF" w:themeFill="background1" w:themeFillShade="BF"/>
          </w:tcPr>
          <w:p w14:paraId="0D128379" w14:textId="77777777" w:rsidR="00D10069" w:rsidRPr="001D0858" w:rsidRDefault="00D10069" w:rsidP="00414A87">
            <w:pPr>
              <w:pStyle w:val="Tableheading"/>
              <w:rPr>
                <w:sz w:val="20"/>
                <w:szCs w:val="20"/>
              </w:rPr>
            </w:pPr>
            <w:r>
              <w:rPr>
                <w:sz w:val="20"/>
                <w:szCs w:val="20"/>
              </w:rPr>
              <w:t>2018</w:t>
            </w:r>
          </w:p>
        </w:tc>
        <w:tc>
          <w:tcPr>
            <w:tcW w:w="1279" w:type="dxa"/>
            <w:shd w:val="clear" w:color="auto" w:fill="BFBFBF" w:themeFill="background1" w:themeFillShade="BF"/>
          </w:tcPr>
          <w:p w14:paraId="1A4A8024" w14:textId="77777777" w:rsidR="00D10069" w:rsidRPr="001D0858" w:rsidRDefault="00D10069" w:rsidP="00414A87">
            <w:pPr>
              <w:pStyle w:val="Tableheading"/>
              <w:rPr>
                <w:sz w:val="20"/>
                <w:szCs w:val="20"/>
              </w:rPr>
            </w:pPr>
            <w:r>
              <w:rPr>
                <w:sz w:val="20"/>
                <w:szCs w:val="20"/>
              </w:rPr>
              <w:t>To June 2019</w:t>
            </w:r>
            <w:r>
              <w:rPr>
                <w:rFonts w:cstheme="minorHAnsi"/>
                <w:sz w:val="20"/>
                <w:szCs w:val="20"/>
              </w:rPr>
              <w:t>†</w:t>
            </w:r>
          </w:p>
        </w:tc>
      </w:tr>
      <w:tr w:rsidR="00D10069" w:rsidRPr="001D0858" w14:paraId="4BEFCE97" w14:textId="77777777" w:rsidTr="00414A87">
        <w:trPr>
          <w:trHeight w:val="20"/>
        </w:trPr>
        <w:tc>
          <w:tcPr>
            <w:tcW w:w="1413" w:type="dxa"/>
          </w:tcPr>
          <w:p w14:paraId="48796C45" w14:textId="77777777" w:rsidR="00D10069" w:rsidRPr="00C11A25" w:rsidRDefault="00D10069" w:rsidP="00414A87">
            <w:pPr>
              <w:pStyle w:val="Tableheading"/>
              <w:rPr>
                <w:sz w:val="20"/>
                <w:szCs w:val="20"/>
              </w:rPr>
            </w:pPr>
            <w:r>
              <w:rPr>
                <w:sz w:val="20"/>
                <w:szCs w:val="20"/>
              </w:rPr>
              <w:t>Incident</w:t>
            </w:r>
          </w:p>
        </w:tc>
        <w:tc>
          <w:tcPr>
            <w:tcW w:w="992" w:type="dxa"/>
          </w:tcPr>
          <w:p w14:paraId="753B7718"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2.80</w:t>
            </w:r>
          </w:p>
        </w:tc>
        <w:tc>
          <w:tcPr>
            <w:tcW w:w="1429" w:type="dxa"/>
          </w:tcPr>
          <w:p w14:paraId="0554C05E"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3.36</w:t>
            </w:r>
          </w:p>
        </w:tc>
        <w:tc>
          <w:tcPr>
            <w:tcW w:w="1278" w:type="dxa"/>
          </w:tcPr>
          <w:p w14:paraId="1F649850"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3.61</w:t>
            </w:r>
          </w:p>
        </w:tc>
        <w:tc>
          <w:tcPr>
            <w:tcW w:w="1120" w:type="dxa"/>
          </w:tcPr>
          <w:p w14:paraId="7133F772"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3.83</w:t>
            </w:r>
          </w:p>
        </w:tc>
        <w:tc>
          <w:tcPr>
            <w:tcW w:w="1436" w:type="dxa"/>
          </w:tcPr>
          <w:p w14:paraId="71A8CE11"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3.76</w:t>
            </w:r>
          </w:p>
        </w:tc>
        <w:tc>
          <w:tcPr>
            <w:tcW w:w="1279" w:type="dxa"/>
          </w:tcPr>
          <w:p w14:paraId="73F6538A"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3.40</w:t>
            </w:r>
          </w:p>
        </w:tc>
      </w:tr>
      <w:tr w:rsidR="00D10069" w:rsidRPr="001D0858" w14:paraId="5B2D62A1" w14:textId="77777777" w:rsidTr="00414A87">
        <w:trPr>
          <w:trHeight w:val="20"/>
        </w:trPr>
        <w:tc>
          <w:tcPr>
            <w:tcW w:w="1413" w:type="dxa"/>
          </w:tcPr>
          <w:p w14:paraId="49D561A1" w14:textId="77777777" w:rsidR="00D10069" w:rsidRPr="00C11A25" w:rsidRDefault="00D10069" w:rsidP="00414A87">
            <w:pPr>
              <w:pStyle w:val="Tableheading"/>
              <w:rPr>
                <w:sz w:val="20"/>
                <w:szCs w:val="20"/>
              </w:rPr>
            </w:pPr>
            <w:r>
              <w:rPr>
                <w:sz w:val="20"/>
                <w:szCs w:val="20"/>
              </w:rPr>
              <w:t>Prevalent</w:t>
            </w:r>
          </w:p>
        </w:tc>
        <w:tc>
          <w:tcPr>
            <w:tcW w:w="992" w:type="dxa"/>
          </w:tcPr>
          <w:p w14:paraId="1A0F311C"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5.02</w:t>
            </w:r>
          </w:p>
        </w:tc>
        <w:tc>
          <w:tcPr>
            <w:tcW w:w="1429" w:type="dxa"/>
          </w:tcPr>
          <w:p w14:paraId="53DBCDEC"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7.67</w:t>
            </w:r>
          </w:p>
        </w:tc>
        <w:tc>
          <w:tcPr>
            <w:tcW w:w="1278" w:type="dxa"/>
          </w:tcPr>
          <w:p w14:paraId="3277ACE7"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10.24</w:t>
            </w:r>
          </w:p>
        </w:tc>
        <w:tc>
          <w:tcPr>
            <w:tcW w:w="1120" w:type="dxa"/>
          </w:tcPr>
          <w:p w14:paraId="3430EF6A"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12.83</w:t>
            </w:r>
          </w:p>
        </w:tc>
        <w:tc>
          <w:tcPr>
            <w:tcW w:w="1436" w:type="dxa"/>
          </w:tcPr>
          <w:p w14:paraId="545D72A6" w14:textId="77777777" w:rsidR="00D10069" w:rsidRPr="004075C8" w:rsidRDefault="00D10069" w:rsidP="00414A87">
            <w:pPr>
              <w:pStyle w:val="Tableheading"/>
              <w:rPr>
                <w:rFonts w:cstheme="minorHAnsi"/>
                <w:b w:val="0"/>
                <w:sz w:val="20"/>
                <w:szCs w:val="20"/>
              </w:rPr>
            </w:pPr>
            <w:r w:rsidRPr="004075C8">
              <w:rPr>
                <w:rFonts w:cstheme="minorHAnsi"/>
                <w:b w:val="0"/>
                <w:sz w:val="20"/>
                <w:szCs w:val="20"/>
              </w:rPr>
              <w:t>15.06</w:t>
            </w:r>
          </w:p>
        </w:tc>
        <w:tc>
          <w:tcPr>
            <w:tcW w:w="1279" w:type="dxa"/>
          </w:tcPr>
          <w:p w14:paraId="20042C8A" w14:textId="77777777" w:rsidR="00D10069" w:rsidRPr="004075C8" w:rsidRDefault="00D10069" w:rsidP="00414A87">
            <w:pPr>
              <w:pStyle w:val="Tableheading"/>
              <w:rPr>
                <w:rFonts w:cstheme="minorHAnsi"/>
                <w:b w:val="0"/>
                <w:sz w:val="20"/>
                <w:szCs w:val="20"/>
              </w:rPr>
            </w:pPr>
            <w:r>
              <w:rPr>
                <w:rFonts w:cstheme="minorHAnsi"/>
                <w:b w:val="0"/>
                <w:sz w:val="20"/>
                <w:szCs w:val="20"/>
              </w:rPr>
              <w:t>13.46</w:t>
            </w:r>
          </w:p>
        </w:tc>
      </w:tr>
    </w:tbl>
    <w:p w14:paraId="772D92AD" w14:textId="1A73E1F6" w:rsidR="00D10069" w:rsidRDefault="00D10069" w:rsidP="00812493">
      <w:pPr>
        <w:pStyle w:val="Figurecaption"/>
      </w:pPr>
      <w:r>
        <w:t>*N</w:t>
      </w:r>
      <w:r w:rsidRPr="00800CDB">
        <w:t xml:space="preserve">umber of patients on denosumab </w:t>
      </w:r>
      <w:r w:rsidR="00C51C57" w:rsidRPr="00C51C57">
        <w:t xml:space="preserve">(multiplied by 10) </w:t>
      </w:r>
      <w:r w:rsidRPr="00800CDB">
        <w:t>divided by the ABS Estimated Residential Population (ERP) population in the specif</w:t>
      </w:r>
      <w:r>
        <w:t>ied</w:t>
      </w:r>
      <w:r w:rsidRPr="00800CDB">
        <w:t xml:space="preserve"> year (as at 30 June)</w:t>
      </w:r>
    </w:p>
    <w:p w14:paraId="062DECA2" w14:textId="45E5B128" w:rsidR="0005256D" w:rsidRDefault="00D10069" w:rsidP="00812493">
      <w:pPr>
        <w:pStyle w:val="Figurecaption"/>
      </w:pPr>
      <w:r>
        <w:t xml:space="preserve">†Six </w:t>
      </w:r>
      <w:r w:rsidRPr="009812D5">
        <w:t>months</w:t>
      </w:r>
      <w:r>
        <w:t xml:space="preserve"> of data only</w:t>
      </w:r>
    </w:p>
    <w:p w14:paraId="651E56AD" w14:textId="6A4A338A" w:rsidR="00F40C44" w:rsidRDefault="00F40C44" w:rsidP="00F40C44">
      <w:pPr>
        <w:pStyle w:val="Tabletitle"/>
      </w:pPr>
      <w:r>
        <w:t>Table 1</w:t>
      </w:r>
      <w:r w:rsidR="0042583D">
        <w:t>4</w:t>
      </w:r>
      <w:r>
        <w:t>:</w:t>
      </w:r>
      <w:r w:rsidR="007960F3">
        <w:t xml:space="preserve"> </w:t>
      </w:r>
      <w:r w:rsidR="001F1948">
        <w:t xml:space="preserve">Age-standardised </w:t>
      </w:r>
      <w:r>
        <w:t xml:space="preserve">annual rate of incident to denosumab patients </w:t>
      </w:r>
      <w:r w:rsidR="006C0760">
        <w:t xml:space="preserve">(denosumab initiators) </w:t>
      </w:r>
      <w:r>
        <w:t>and prevalent denosumab patients per 1000 persons* (2014 to June 2019)</w:t>
      </w:r>
    </w:p>
    <w:tbl>
      <w:tblPr>
        <w:tblStyle w:val="TableGrid"/>
        <w:tblW w:w="0" w:type="auto"/>
        <w:tblLayout w:type="fixed"/>
        <w:tblLook w:val="04A0" w:firstRow="1" w:lastRow="0" w:firstColumn="1" w:lastColumn="0" w:noHBand="0" w:noVBand="1"/>
        <w:tblCaption w:val="Table 12: Age-standardised annual rate of incident to denosumab patients (denosumab initiators) and prevalent denosumab patients per 1000 persons* (2014 to June 2019)"/>
      </w:tblPr>
      <w:tblGrid>
        <w:gridCol w:w="1413"/>
        <w:gridCol w:w="992"/>
        <w:gridCol w:w="1429"/>
        <w:gridCol w:w="1278"/>
        <w:gridCol w:w="1120"/>
        <w:gridCol w:w="1436"/>
        <w:gridCol w:w="1279"/>
      </w:tblGrid>
      <w:tr w:rsidR="00F40C44" w:rsidRPr="001D0858" w14:paraId="5DFEE4C7" w14:textId="77777777" w:rsidTr="00D069E4">
        <w:trPr>
          <w:trHeight w:val="20"/>
          <w:tblHeader/>
        </w:trPr>
        <w:tc>
          <w:tcPr>
            <w:tcW w:w="1413" w:type="dxa"/>
            <w:shd w:val="clear" w:color="auto" w:fill="BFBFBF" w:themeFill="background1" w:themeFillShade="BF"/>
          </w:tcPr>
          <w:p w14:paraId="57F026DA" w14:textId="77777777" w:rsidR="00F40C44" w:rsidRDefault="00F40C44" w:rsidP="00D069E4">
            <w:pPr>
              <w:pStyle w:val="Tableheading"/>
              <w:rPr>
                <w:sz w:val="20"/>
                <w:szCs w:val="20"/>
              </w:rPr>
            </w:pPr>
          </w:p>
        </w:tc>
        <w:tc>
          <w:tcPr>
            <w:tcW w:w="992" w:type="dxa"/>
            <w:shd w:val="clear" w:color="auto" w:fill="BFBFBF" w:themeFill="background1" w:themeFillShade="BF"/>
          </w:tcPr>
          <w:p w14:paraId="330F6AA3" w14:textId="77777777" w:rsidR="00F40C44" w:rsidRPr="001D0858" w:rsidRDefault="00F40C44" w:rsidP="00D069E4">
            <w:pPr>
              <w:pStyle w:val="Tableheading"/>
              <w:rPr>
                <w:sz w:val="20"/>
                <w:szCs w:val="20"/>
              </w:rPr>
            </w:pPr>
            <w:r>
              <w:rPr>
                <w:sz w:val="20"/>
                <w:szCs w:val="20"/>
              </w:rPr>
              <w:t>2014</w:t>
            </w:r>
          </w:p>
        </w:tc>
        <w:tc>
          <w:tcPr>
            <w:tcW w:w="1429" w:type="dxa"/>
            <w:shd w:val="clear" w:color="auto" w:fill="BFBFBF" w:themeFill="background1" w:themeFillShade="BF"/>
          </w:tcPr>
          <w:p w14:paraId="717AC933" w14:textId="77777777" w:rsidR="00F40C44" w:rsidRPr="001D0858" w:rsidRDefault="00F40C44" w:rsidP="00D069E4">
            <w:pPr>
              <w:pStyle w:val="Tableheading"/>
              <w:rPr>
                <w:sz w:val="20"/>
                <w:szCs w:val="20"/>
              </w:rPr>
            </w:pPr>
            <w:r>
              <w:rPr>
                <w:sz w:val="20"/>
                <w:szCs w:val="20"/>
              </w:rPr>
              <w:t>2015</w:t>
            </w:r>
          </w:p>
        </w:tc>
        <w:tc>
          <w:tcPr>
            <w:tcW w:w="1278" w:type="dxa"/>
            <w:shd w:val="clear" w:color="auto" w:fill="BFBFBF" w:themeFill="background1" w:themeFillShade="BF"/>
          </w:tcPr>
          <w:p w14:paraId="0E85AF81" w14:textId="77777777" w:rsidR="00F40C44" w:rsidRPr="001D0858" w:rsidRDefault="00F40C44" w:rsidP="00D069E4">
            <w:pPr>
              <w:pStyle w:val="Tableheading"/>
              <w:rPr>
                <w:sz w:val="20"/>
                <w:szCs w:val="20"/>
              </w:rPr>
            </w:pPr>
            <w:r>
              <w:rPr>
                <w:sz w:val="20"/>
                <w:szCs w:val="20"/>
              </w:rPr>
              <w:t>2016</w:t>
            </w:r>
          </w:p>
        </w:tc>
        <w:tc>
          <w:tcPr>
            <w:tcW w:w="1120" w:type="dxa"/>
            <w:shd w:val="clear" w:color="auto" w:fill="BFBFBF" w:themeFill="background1" w:themeFillShade="BF"/>
          </w:tcPr>
          <w:p w14:paraId="39AA92A6" w14:textId="77777777" w:rsidR="00F40C44" w:rsidRPr="001D0858" w:rsidRDefault="00F40C44" w:rsidP="00D069E4">
            <w:pPr>
              <w:pStyle w:val="Tableheading"/>
              <w:rPr>
                <w:sz w:val="20"/>
                <w:szCs w:val="20"/>
              </w:rPr>
            </w:pPr>
            <w:r>
              <w:rPr>
                <w:sz w:val="20"/>
                <w:szCs w:val="20"/>
              </w:rPr>
              <w:t>2017</w:t>
            </w:r>
          </w:p>
        </w:tc>
        <w:tc>
          <w:tcPr>
            <w:tcW w:w="1436" w:type="dxa"/>
            <w:shd w:val="clear" w:color="auto" w:fill="BFBFBF" w:themeFill="background1" w:themeFillShade="BF"/>
          </w:tcPr>
          <w:p w14:paraId="5FC8B947" w14:textId="77777777" w:rsidR="00F40C44" w:rsidRPr="001D0858" w:rsidRDefault="00F40C44" w:rsidP="00D069E4">
            <w:pPr>
              <w:pStyle w:val="Tableheading"/>
              <w:rPr>
                <w:sz w:val="20"/>
                <w:szCs w:val="20"/>
              </w:rPr>
            </w:pPr>
            <w:r>
              <w:rPr>
                <w:sz w:val="20"/>
                <w:szCs w:val="20"/>
              </w:rPr>
              <w:t>2018</w:t>
            </w:r>
          </w:p>
        </w:tc>
        <w:tc>
          <w:tcPr>
            <w:tcW w:w="1279" w:type="dxa"/>
            <w:shd w:val="clear" w:color="auto" w:fill="BFBFBF" w:themeFill="background1" w:themeFillShade="BF"/>
          </w:tcPr>
          <w:p w14:paraId="3278C3DE" w14:textId="77777777" w:rsidR="00F40C44" w:rsidRPr="001D0858" w:rsidRDefault="00F40C44" w:rsidP="00D069E4">
            <w:pPr>
              <w:pStyle w:val="Tableheading"/>
              <w:rPr>
                <w:sz w:val="20"/>
                <w:szCs w:val="20"/>
              </w:rPr>
            </w:pPr>
            <w:r>
              <w:rPr>
                <w:sz w:val="20"/>
                <w:szCs w:val="20"/>
              </w:rPr>
              <w:t>To June 2019</w:t>
            </w:r>
            <w:r>
              <w:rPr>
                <w:rFonts w:cstheme="minorHAnsi"/>
                <w:sz w:val="20"/>
                <w:szCs w:val="20"/>
              </w:rPr>
              <w:t>†</w:t>
            </w:r>
          </w:p>
        </w:tc>
      </w:tr>
      <w:tr w:rsidR="00D830D2" w:rsidRPr="001D0858" w14:paraId="6D0D7332" w14:textId="77777777" w:rsidTr="00D069E4">
        <w:trPr>
          <w:trHeight w:val="20"/>
        </w:trPr>
        <w:tc>
          <w:tcPr>
            <w:tcW w:w="1413" w:type="dxa"/>
          </w:tcPr>
          <w:p w14:paraId="169B8AED" w14:textId="77777777" w:rsidR="00D830D2" w:rsidRPr="00C11A25" w:rsidRDefault="00D830D2" w:rsidP="00D830D2">
            <w:pPr>
              <w:pStyle w:val="Tableheading"/>
              <w:rPr>
                <w:sz w:val="20"/>
                <w:szCs w:val="20"/>
              </w:rPr>
            </w:pPr>
            <w:r>
              <w:rPr>
                <w:sz w:val="20"/>
                <w:szCs w:val="20"/>
              </w:rPr>
              <w:t>Incident</w:t>
            </w:r>
          </w:p>
        </w:tc>
        <w:tc>
          <w:tcPr>
            <w:tcW w:w="992" w:type="dxa"/>
          </w:tcPr>
          <w:p w14:paraId="682D5766" w14:textId="0B0EDA2D" w:rsidR="00D830D2" w:rsidRPr="004075C8" w:rsidRDefault="00D830D2" w:rsidP="00D830D2">
            <w:pPr>
              <w:pStyle w:val="Tableheading"/>
              <w:rPr>
                <w:rFonts w:cstheme="minorHAnsi"/>
                <w:b w:val="0"/>
                <w:sz w:val="20"/>
                <w:szCs w:val="20"/>
              </w:rPr>
            </w:pPr>
            <w:r w:rsidRPr="00D830D2">
              <w:rPr>
                <w:rFonts w:cstheme="minorHAnsi"/>
                <w:b w:val="0"/>
                <w:sz w:val="20"/>
                <w:szCs w:val="20"/>
              </w:rPr>
              <w:t>2.49</w:t>
            </w:r>
          </w:p>
        </w:tc>
        <w:tc>
          <w:tcPr>
            <w:tcW w:w="1429" w:type="dxa"/>
          </w:tcPr>
          <w:p w14:paraId="2E7ED1D3" w14:textId="2149F40F" w:rsidR="00D830D2" w:rsidRPr="004075C8" w:rsidRDefault="00D830D2" w:rsidP="00D830D2">
            <w:pPr>
              <w:pStyle w:val="Tableheading"/>
              <w:rPr>
                <w:rFonts w:cstheme="minorHAnsi"/>
                <w:b w:val="0"/>
                <w:sz w:val="20"/>
                <w:szCs w:val="20"/>
              </w:rPr>
            </w:pPr>
            <w:r w:rsidRPr="00D830D2">
              <w:rPr>
                <w:rFonts w:cstheme="minorHAnsi"/>
                <w:b w:val="0"/>
                <w:sz w:val="20"/>
                <w:szCs w:val="20"/>
              </w:rPr>
              <w:t>2.94</w:t>
            </w:r>
          </w:p>
        </w:tc>
        <w:tc>
          <w:tcPr>
            <w:tcW w:w="1278" w:type="dxa"/>
          </w:tcPr>
          <w:p w14:paraId="52446976" w14:textId="6FA4F4EE" w:rsidR="00D830D2" w:rsidRPr="004075C8" w:rsidRDefault="00D830D2" w:rsidP="00D830D2">
            <w:pPr>
              <w:pStyle w:val="Tableheading"/>
              <w:rPr>
                <w:rFonts w:cstheme="minorHAnsi"/>
                <w:b w:val="0"/>
                <w:sz w:val="20"/>
                <w:szCs w:val="20"/>
              </w:rPr>
            </w:pPr>
            <w:r w:rsidRPr="00D830D2">
              <w:rPr>
                <w:rFonts w:cstheme="minorHAnsi"/>
                <w:b w:val="0"/>
                <w:sz w:val="20"/>
                <w:szCs w:val="20"/>
              </w:rPr>
              <w:t>3.12</w:t>
            </w:r>
          </w:p>
        </w:tc>
        <w:tc>
          <w:tcPr>
            <w:tcW w:w="1120" w:type="dxa"/>
          </w:tcPr>
          <w:p w14:paraId="258EBD98" w14:textId="31758468" w:rsidR="00D830D2" w:rsidRPr="004075C8" w:rsidRDefault="00D830D2" w:rsidP="00D830D2">
            <w:pPr>
              <w:pStyle w:val="Tableheading"/>
              <w:rPr>
                <w:rFonts w:cstheme="minorHAnsi"/>
                <w:b w:val="0"/>
                <w:sz w:val="20"/>
                <w:szCs w:val="20"/>
              </w:rPr>
            </w:pPr>
            <w:r w:rsidRPr="00D830D2">
              <w:rPr>
                <w:rFonts w:cstheme="minorHAnsi"/>
                <w:b w:val="0"/>
                <w:sz w:val="20"/>
                <w:szCs w:val="20"/>
              </w:rPr>
              <w:t>3.25</w:t>
            </w:r>
          </w:p>
        </w:tc>
        <w:tc>
          <w:tcPr>
            <w:tcW w:w="1436" w:type="dxa"/>
          </w:tcPr>
          <w:p w14:paraId="700C2F02" w14:textId="3D8F6042" w:rsidR="00D830D2" w:rsidRPr="004075C8" w:rsidRDefault="00D830D2" w:rsidP="00D830D2">
            <w:pPr>
              <w:pStyle w:val="Tableheading"/>
              <w:rPr>
                <w:rFonts w:cstheme="minorHAnsi"/>
                <w:b w:val="0"/>
                <w:sz w:val="20"/>
                <w:szCs w:val="20"/>
              </w:rPr>
            </w:pPr>
            <w:r w:rsidRPr="00D830D2">
              <w:rPr>
                <w:rFonts w:cstheme="minorHAnsi"/>
                <w:b w:val="0"/>
                <w:sz w:val="20"/>
                <w:szCs w:val="20"/>
              </w:rPr>
              <w:t>3.12</w:t>
            </w:r>
          </w:p>
        </w:tc>
        <w:tc>
          <w:tcPr>
            <w:tcW w:w="1279" w:type="dxa"/>
          </w:tcPr>
          <w:p w14:paraId="1E7441CF" w14:textId="20769D8B" w:rsidR="00D830D2" w:rsidRPr="004075C8" w:rsidRDefault="00D830D2" w:rsidP="00D830D2">
            <w:pPr>
              <w:pStyle w:val="Tableheading"/>
              <w:rPr>
                <w:rFonts w:cstheme="minorHAnsi"/>
                <w:b w:val="0"/>
                <w:sz w:val="20"/>
                <w:szCs w:val="20"/>
              </w:rPr>
            </w:pPr>
            <w:r w:rsidRPr="00D830D2">
              <w:rPr>
                <w:rFonts w:cstheme="minorHAnsi"/>
                <w:b w:val="0"/>
                <w:sz w:val="20"/>
                <w:szCs w:val="20"/>
              </w:rPr>
              <w:t>2.77</w:t>
            </w:r>
          </w:p>
        </w:tc>
      </w:tr>
      <w:tr w:rsidR="00D830D2" w:rsidRPr="001D0858" w14:paraId="7ED64AB7" w14:textId="77777777" w:rsidTr="00D069E4">
        <w:trPr>
          <w:trHeight w:val="20"/>
        </w:trPr>
        <w:tc>
          <w:tcPr>
            <w:tcW w:w="1413" w:type="dxa"/>
          </w:tcPr>
          <w:p w14:paraId="38092C91" w14:textId="77777777" w:rsidR="00D830D2" w:rsidRPr="00C11A25" w:rsidRDefault="00D830D2" w:rsidP="00D830D2">
            <w:pPr>
              <w:pStyle w:val="Tableheading"/>
              <w:rPr>
                <w:sz w:val="20"/>
                <w:szCs w:val="20"/>
              </w:rPr>
            </w:pPr>
            <w:r>
              <w:rPr>
                <w:sz w:val="20"/>
                <w:szCs w:val="20"/>
              </w:rPr>
              <w:t>Prevalent</w:t>
            </w:r>
          </w:p>
        </w:tc>
        <w:tc>
          <w:tcPr>
            <w:tcW w:w="992" w:type="dxa"/>
          </w:tcPr>
          <w:p w14:paraId="52FF83A0" w14:textId="22CD8E1F" w:rsidR="00D830D2" w:rsidRPr="004075C8" w:rsidRDefault="00D830D2" w:rsidP="00D830D2">
            <w:pPr>
              <w:pStyle w:val="Tableheading"/>
              <w:rPr>
                <w:rFonts w:cstheme="minorHAnsi"/>
                <w:b w:val="0"/>
                <w:sz w:val="20"/>
                <w:szCs w:val="20"/>
              </w:rPr>
            </w:pPr>
            <w:r w:rsidRPr="00D830D2">
              <w:rPr>
                <w:rFonts w:cstheme="minorHAnsi"/>
                <w:b w:val="0"/>
                <w:sz w:val="20"/>
                <w:szCs w:val="20"/>
              </w:rPr>
              <w:t>4.46</w:t>
            </w:r>
          </w:p>
        </w:tc>
        <w:tc>
          <w:tcPr>
            <w:tcW w:w="1429" w:type="dxa"/>
          </w:tcPr>
          <w:p w14:paraId="2F697FDF" w14:textId="0E895A41" w:rsidR="00D830D2" w:rsidRPr="004075C8" w:rsidRDefault="00D830D2" w:rsidP="00D830D2">
            <w:pPr>
              <w:pStyle w:val="Tableheading"/>
              <w:rPr>
                <w:rFonts w:cstheme="minorHAnsi"/>
                <w:b w:val="0"/>
                <w:sz w:val="20"/>
                <w:szCs w:val="20"/>
              </w:rPr>
            </w:pPr>
            <w:r w:rsidRPr="00D830D2">
              <w:rPr>
                <w:rFonts w:cstheme="minorHAnsi"/>
                <w:b w:val="0"/>
                <w:sz w:val="20"/>
                <w:szCs w:val="20"/>
              </w:rPr>
              <w:t>6.72</w:t>
            </w:r>
          </w:p>
        </w:tc>
        <w:tc>
          <w:tcPr>
            <w:tcW w:w="1278" w:type="dxa"/>
          </w:tcPr>
          <w:p w14:paraId="7D5B5351" w14:textId="3F410FC7" w:rsidR="00D830D2" w:rsidRPr="004075C8" w:rsidRDefault="00D830D2" w:rsidP="00D830D2">
            <w:pPr>
              <w:pStyle w:val="Tableheading"/>
              <w:rPr>
                <w:rFonts w:cstheme="minorHAnsi"/>
                <w:b w:val="0"/>
                <w:sz w:val="20"/>
                <w:szCs w:val="20"/>
              </w:rPr>
            </w:pPr>
            <w:r w:rsidRPr="00D830D2">
              <w:rPr>
                <w:rFonts w:cstheme="minorHAnsi"/>
                <w:b w:val="0"/>
                <w:sz w:val="20"/>
                <w:szCs w:val="20"/>
              </w:rPr>
              <w:t>8.84</w:t>
            </w:r>
          </w:p>
        </w:tc>
        <w:tc>
          <w:tcPr>
            <w:tcW w:w="1120" w:type="dxa"/>
          </w:tcPr>
          <w:p w14:paraId="33984B4E" w14:textId="303424B1" w:rsidR="00D830D2" w:rsidRPr="004075C8" w:rsidRDefault="00D830D2" w:rsidP="00D830D2">
            <w:pPr>
              <w:pStyle w:val="Tableheading"/>
              <w:rPr>
                <w:rFonts w:cstheme="minorHAnsi"/>
                <w:b w:val="0"/>
                <w:sz w:val="20"/>
                <w:szCs w:val="20"/>
              </w:rPr>
            </w:pPr>
            <w:r w:rsidRPr="00D830D2">
              <w:rPr>
                <w:rFonts w:cstheme="minorHAnsi"/>
                <w:b w:val="0"/>
                <w:sz w:val="20"/>
                <w:szCs w:val="20"/>
              </w:rPr>
              <w:t>10.85</w:t>
            </w:r>
          </w:p>
        </w:tc>
        <w:tc>
          <w:tcPr>
            <w:tcW w:w="1436" w:type="dxa"/>
          </w:tcPr>
          <w:p w14:paraId="748DB2FE" w14:textId="021C1229" w:rsidR="00D830D2" w:rsidRPr="004075C8" w:rsidRDefault="00D830D2" w:rsidP="00D830D2">
            <w:pPr>
              <w:pStyle w:val="Tableheading"/>
              <w:rPr>
                <w:rFonts w:cstheme="minorHAnsi"/>
                <w:b w:val="0"/>
                <w:sz w:val="20"/>
                <w:szCs w:val="20"/>
              </w:rPr>
            </w:pPr>
            <w:r w:rsidRPr="00D830D2">
              <w:rPr>
                <w:rFonts w:cstheme="minorHAnsi"/>
                <w:b w:val="0"/>
                <w:sz w:val="20"/>
                <w:szCs w:val="20"/>
              </w:rPr>
              <w:t>12.48</w:t>
            </w:r>
          </w:p>
        </w:tc>
        <w:tc>
          <w:tcPr>
            <w:tcW w:w="1279" w:type="dxa"/>
          </w:tcPr>
          <w:p w14:paraId="7B18BB4C" w14:textId="309C5C67" w:rsidR="00D830D2" w:rsidRPr="004075C8" w:rsidRDefault="00EF39C2" w:rsidP="00D830D2">
            <w:pPr>
              <w:pStyle w:val="Tableheading"/>
              <w:rPr>
                <w:rFonts w:cstheme="minorHAnsi"/>
                <w:b w:val="0"/>
                <w:sz w:val="20"/>
                <w:szCs w:val="20"/>
              </w:rPr>
            </w:pPr>
            <w:r>
              <w:rPr>
                <w:rFonts w:cstheme="minorHAnsi"/>
                <w:b w:val="0"/>
                <w:sz w:val="20"/>
                <w:szCs w:val="20"/>
              </w:rPr>
              <w:t>10.93</w:t>
            </w:r>
          </w:p>
        </w:tc>
      </w:tr>
    </w:tbl>
    <w:p w14:paraId="7DFD5546" w14:textId="6DC9CFB5" w:rsidR="00F40C44" w:rsidRDefault="00F40C44" w:rsidP="00812493">
      <w:pPr>
        <w:pStyle w:val="Figurecaption"/>
      </w:pPr>
      <w:r>
        <w:t>*N</w:t>
      </w:r>
      <w:r w:rsidRPr="00800CDB">
        <w:t xml:space="preserve">umber of patients on denosumab </w:t>
      </w:r>
      <w:r w:rsidR="00DA66AC">
        <w:t xml:space="preserve">(multiplied by 10) </w:t>
      </w:r>
      <w:r w:rsidRPr="00800CDB">
        <w:t xml:space="preserve">divided by the ABS Estimated Residential Population (ERP) population in the </w:t>
      </w:r>
      <w:r w:rsidR="00D830D2" w:rsidRPr="00800CDB">
        <w:t>specif</w:t>
      </w:r>
      <w:r w:rsidR="00D830D2">
        <w:t>ied</w:t>
      </w:r>
      <w:r w:rsidRPr="00800CDB">
        <w:t xml:space="preserve"> year (as at 30 June)</w:t>
      </w:r>
      <w:r w:rsidR="001A3DDD">
        <w:t xml:space="preserve"> age-adjusted to the ABS ERP 2001 reference </w:t>
      </w:r>
      <w:r w:rsidR="004D054F">
        <w:t>population using direct standardisation</w:t>
      </w:r>
    </w:p>
    <w:p w14:paraId="7ABD55F0" w14:textId="31E1DA89" w:rsidR="00F40C44" w:rsidRPr="00A25619" w:rsidRDefault="00F40C44" w:rsidP="00812493">
      <w:pPr>
        <w:pStyle w:val="Figurecaption"/>
      </w:pPr>
      <w:r>
        <w:t xml:space="preserve">†Six </w:t>
      </w:r>
      <w:r w:rsidRPr="009812D5">
        <w:t>months</w:t>
      </w:r>
      <w:r>
        <w:t xml:space="preserve"> of data only</w:t>
      </w:r>
      <w:r w:rsidR="00DA66AC">
        <w:t xml:space="preserve">; incident results were </w:t>
      </w:r>
      <w:r w:rsidR="00555B04">
        <w:t>extrapolated to the whole of 2019 by multiplying by 2.</w:t>
      </w:r>
    </w:p>
    <w:p w14:paraId="6EC8DD00" w14:textId="77777777" w:rsidR="002F5E3F" w:rsidRPr="00812493" w:rsidRDefault="002F5E3F" w:rsidP="00812493">
      <w:pPr>
        <w:pStyle w:val="Heading4"/>
        <w:rPr>
          <w:sz w:val="24"/>
        </w:rPr>
      </w:pPr>
      <w:r w:rsidRPr="00812493">
        <w:rPr>
          <w:sz w:val="24"/>
        </w:rPr>
        <w:t>Prevalence to</w:t>
      </w:r>
      <w:r w:rsidR="00D42C9B" w:rsidRPr="00812493">
        <w:rPr>
          <w:sz w:val="24"/>
        </w:rPr>
        <w:t xml:space="preserve"> osteoporosis medicines</w:t>
      </w:r>
    </w:p>
    <w:p w14:paraId="2AD345AF" w14:textId="2C9BCF67" w:rsidR="002F5E3F" w:rsidRDefault="002F5E3F" w:rsidP="002F5E3F">
      <w:bookmarkStart w:id="3" w:name="_Hlk48255028"/>
      <w:r>
        <w:t xml:space="preserve">Figure 6 shows the number of people treated with each osteoporosis medicine </w:t>
      </w:r>
      <w:r w:rsidR="00E80DD1">
        <w:t xml:space="preserve">class </w:t>
      </w:r>
      <w:r>
        <w:t>annually. A patient may be counted in more than one medicine class in a calendar year if they switched treatment or were co administered two medicines.</w:t>
      </w:r>
    </w:p>
    <w:p w14:paraId="062507A5" w14:textId="7070640D" w:rsidR="002F5E3F" w:rsidRPr="00FD0EE6" w:rsidRDefault="00DE1987" w:rsidP="002F5E3F">
      <w:bookmarkStart w:id="4" w:name="_Hlk49455129"/>
      <w:r>
        <w:t xml:space="preserve">Figure 6 shows </w:t>
      </w:r>
      <w:r w:rsidR="00FB3A10">
        <w:t xml:space="preserve">that </w:t>
      </w:r>
      <w:r w:rsidR="00FB3A10" w:rsidRPr="00FB3A10">
        <w:t xml:space="preserve">the number of people treated with </w:t>
      </w:r>
      <w:r w:rsidR="00DB5C62">
        <w:t>any</w:t>
      </w:r>
      <w:r w:rsidR="00FB3A10" w:rsidRPr="00FB3A10">
        <w:t xml:space="preserve"> osteoporosis medicine </w:t>
      </w:r>
      <w:r w:rsidR="00DB5C62">
        <w:t xml:space="preserve">has increased </w:t>
      </w:r>
      <w:r w:rsidR="002C0B5D">
        <w:t xml:space="preserve">substantially, </w:t>
      </w:r>
      <w:r w:rsidR="00DB5C62">
        <w:t>by 50%</w:t>
      </w:r>
      <w:r w:rsidR="002C0B5D">
        <w:t>,</w:t>
      </w:r>
      <w:r w:rsidR="00DB5C62">
        <w:t xml:space="preserve"> between 2014 and 2018. Additionally, </w:t>
      </w:r>
      <w:r w:rsidR="007B57E5">
        <w:t>the most common</w:t>
      </w:r>
      <w:r w:rsidR="00783AD7">
        <w:t>ly administered</w:t>
      </w:r>
      <w:r w:rsidR="007B57E5">
        <w:t xml:space="preserve"> </w:t>
      </w:r>
      <w:r w:rsidR="00F90AB3">
        <w:t xml:space="preserve">osteoporosis </w:t>
      </w:r>
      <w:r w:rsidR="00783AD7">
        <w:t xml:space="preserve">medicines </w:t>
      </w:r>
      <w:r w:rsidR="00F90AB3">
        <w:t>have changed</w:t>
      </w:r>
      <w:r w:rsidR="006E47EB">
        <w:t xml:space="preserve">. In 2014 the most common </w:t>
      </w:r>
      <w:r w:rsidR="00C66436">
        <w:t>class</w:t>
      </w:r>
      <w:r w:rsidR="00706F30">
        <w:t xml:space="preserve"> was bisphosphonates</w:t>
      </w:r>
      <w:r w:rsidR="00853540">
        <w:t xml:space="preserve"> (alone or in combination with calcium and/or colecalciferol)</w:t>
      </w:r>
      <w:r w:rsidR="00C464AB">
        <w:t>,</w:t>
      </w:r>
      <w:r w:rsidR="006E47EB">
        <w:t xml:space="preserve"> </w:t>
      </w:r>
      <w:r w:rsidR="00CD0111">
        <w:t>prescribed to</w:t>
      </w:r>
      <w:r w:rsidR="00C464AB">
        <w:t xml:space="preserve"> 46.5% of all patients on osteoporosis medicines</w:t>
      </w:r>
      <w:r w:rsidR="001E16B3">
        <w:t xml:space="preserve">, </w:t>
      </w:r>
      <w:r w:rsidR="00730723">
        <w:t>followed by</w:t>
      </w:r>
      <w:r w:rsidR="006E47EB">
        <w:t xml:space="preserve"> </w:t>
      </w:r>
      <w:r>
        <w:t xml:space="preserve">denosumab </w:t>
      </w:r>
      <w:r w:rsidR="00C464AB">
        <w:t>(</w:t>
      </w:r>
      <w:r w:rsidR="00FC2BE9">
        <w:t>36.5%). By 2018</w:t>
      </w:r>
      <w:r w:rsidR="00C62E5C">
        <w:t>,</w:t>
      </w:r>
      <w:r w:rsidR="00FC2BE9">
        <w:t xml:space="preserve"> denosumab was </w:t>
      </w:r>
      <w:r w:rsidR="0044638A">
        <w:t xml:space="preserve">by far </w:t>
      </w:r>
      <w:r>
        <w:t xml:space="preserve">the most </w:t>
      </w:r>
      <w:r w:rsidR="0044638A">
        <w:t xml:space="preserve">common class of medicine, </w:t>
      </w:r>
      <w:r w:rsidR="00277498">
        <w:t>prescribed to</w:t>
      </w:r>
      <w:r w:rsidR="0044638A">
        <w:t xml:space="preserve"> </w:t>
      </w:r>
      <w:r w:rsidR="00965D20">
        <w:t>76</w:t>
      </w:r>
      <w:r w:rsidR="00CC4655">
        <w:t>.1</w:t>
      </w:r>
      <w:r w:rsidR="0044638A">
        <w:t xml:space="preserve">% of all patients on osteoporosis medicines, </w:t>
      </w:r>
      <w:r w:rsidR="007A10A0">
        <w:t xml:space="preserve">with </w:t>
      </w:r>
      <w:r w:rsidR="0044638A">
        <w:t xml:space="preserve">bisphosphonates </w:t>
      </w:r>
      <w:r w:rsidR="002816E5">
        <w:t xml:space="preserve">only prescribed to </w:t>
      </w:r>
      <w:r w:rsidR="00794A83">
        <w:t>18.6%</w:t>
      </w:r>
      <w:r w:rsidR="00097832">
        <w:t xml:space="preserve"> of those on osteoporosis medicines</w:t>
      </w:r>
      <w:r w:rsidR="0044638A">
        <w:t>.</w:t>
      </w:r>
    </w:p>
    <w:bookmarkEnd w:id="3"/>
    <w:bookmarkEnd w:id="4"/>
    <w:p w14:paraId="55A2F9D7" w14:textId="77777777" w:rsidR="002F5E3F" w:rsidRPr="00216EAC" w:rsidRDefault="002F5E3F" w:rsidP="002F5E3F">
      <w:r>
        <w:rPr>
          <w:noProof/>
        </w:rPr>
        <w:lastRenderedPageBreak/>
        <w:drawing>
          <wp:inline distT="0" distB="0" distL="0" distR="0" wp14:anchorId="4B29B868" wp14:editId="76388FCF">
            <wp:extent cx="5457825" cy="2581275"/>
            <wp:effectExtent l="0" t="0" r="9525" b="9525"/>
            <wp:docPr id="11" name="Chart 11" title="Figure 6: Patients prevalent to osteoporosis therapy by class of medicine">
              <a:extLst xmlns:a="http://schemas.openxmlformats.org/drawingml/2006/main">
                <a:ext uri="{FF2B5EF4-FFF2-40B4-BE49-F238E27FC236}">
                  <a16:creationId xmlns:a16="http://schemas.microsoft.com/office/drawing/2014/main" id="{76F2DAC8-11F2-48D4-B533-5249FC0BB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579015" w14:textId="2800FB09" w:rsidR="002F5E3F" w:rsidRDefault="002F5E3F" w:rsidP="002F5E3F">
      <w:pPr>
        <w:pStyle w:val="Figuretitle"/>
      </w:pPr>
      <w:r w:rsidRPr="00C02394">
        <w:t xml:space="preserve">Figure </w:t>
      </w:r>
      <w:r>
        <w:t>6</w:t>
      </w:r>
      <w:r w:rsidRPr="00C02394">
        <w:t xml:space="preserve">: </w:t>
      </w:r>
      <w:r>
        <w:t>Patients prevalent to osteoporosis therapy by class of medicine</w:t>
      </w:r>
    </w:p>
    <w:p w14:paraId="3C8989D2" w14:textId="312FFF08" w:rsidR="00965D20" w:rsidRDefault="00A6494C" w:rsidP="00965D20">
      <w:pPr>
        <w:pStyle w:val="Tabletitle"/>
      </w:pPr>
      <w:r>
        <w:t>Table 15</w:t>
      </w:r>
      <w:r w:rsidR="00965D20">
        <w:t>: Annual count of prevalent patients using osteoporosis medicines by type of treatment and age (2014 to June 2019)</w:t>
      </w:r>
    </w:p>
    <w:tbl>
      <w:tblPr>
        <w:tblStyle w:val="TableGrid"/>
        <w:tblW w:w="0" w:type="auto"/>
        <w:tblLook w:val="04A0" w:firstRow="1" w:lastRow="0" w:firstColumn="1" w:lastColumn="0" w:noHBand="0" w:noVBand="1"/>
        <w:tblCaption w:val="Table 13: Annual count of prevalent patients using osteoporosis medicines by type of treatment and age (2014 to June 2019)"/>
      </w:tblPr>
      <w:tblGrid>
        <w:gridCol w:w="3687"/>
        <w:gridCol w:w="773"/>
        <w:gridCol w:w="773"/>
        <w:gridCol w:w="773"/>
        <w:gridCol w:w="773"/>
        <w:gridCol w:w="773"/>
        <w:gridCol w:w="1395"/>
      </w:tblGrid>
      <w:tr w:rsidR="00965D20" w:rsidRPr="001D0858" w14:paraId="23AD040D" w14:textId="77777777" w:rsidTr="00414A87">
        <w:trPr>
          <w:trHeight w:val="20"/>
          <w:tblHeader/>
        </w:trPr>
        <w:tc>
          <w:tcPr>
            <w:tcW w:w="0" w:type="auto"/>
            <w:shd w:val="clear" w:color="auto" w:fill="BFBFBF" w:themeFill="background1" w:themeFillShade="BF"/>
          </w:tcPr>
          <w:p w14:paraId="03791FC0" w14:textId="77777777" w:rsidR="00965D20" w:rsidRDefault="00965D20" w:rsidP="00414A87">
            <w:pPr>
              <w:pStyle w:val="Tableheading"/>
              <w:rPr>
                <w:sz w:val="20"/>
                <w:szCs w:val="20"/>
              </w:rPr>
            </w:pPr>
          </w:p>
        </w:tc>
        <w:tc>
          <w:tcPr>
            <w:tcW w:w="0" w:type="auto"/>
            <w:shd w:val="clear" w:color="auto" w:fill="BFBFBF" w:themeFill="background1" w:themeFillShade="BF"/>
          </w:tcPr>
          <w:p w14:paraId="58C3BB40" w14:textId="77777777" w:rsidR="00965D20" w:rsidRPr="001D0858" w:rsidRDefault="00965D20" w:rsidP="00414A87">
            <w:pPr>
              <w:pStyle w:val="Tableheading"/>
              <w:rPr>
                <w:sz w:val="20"/>
                <w:szCs w:val="20"/>
              </w:rPr>
            </w:pPr>
            <w:r>
              <w:rPr>
                <w:sz w:val="20"/>
                <w:szCs w:val="20"/>
              </w:rPr>
              <w:t>2014</w:t>
            </w:r>
          </w:p>
        </w:tc>
        <w:tc>
          <w:tcPr>
            <w:tcW w:w="0" w:type="auto"/>
            <w:shd w:val="clear" w:color="auto" w:fill="BFBFBF" w:themeFill="background1" w:themeFillShade="BF"/>
          </w:tcPr>
          <w:p w14:paraId="67F3706C" w14:textId="77777777" w:rsidR="00965D20" w:rsidRPr="001D0858" w:rsidRDefault="00965D20" w:rsidP="00414A87">
            <w:pPr>
              <w:pStyle w:val="Tableheading"/>
              <w:rPr>
                <w:sz w:val="20"/>
                <w:szCs w:val="20"/>
              </w:rPr>
            </w:pPr>
            <w:r>
              <w:rPr>
                <w:sz w:val="20"/>
                <w:szCs w:val="20"/>
              </w:rPr>
              <w:t>2015</w:t>
            </w:r>
          </w:p>
        </w:tc>
        <w:tc>
          <w:tcPr>
            <w:tcW w:w="0" w:type="auto"/>
            <w:shd w:val="clear" w:color="auto" w:fill="BFBFBF" w:themeFill="background1" w:themeFillShade="BF"/>
          </w:tcPr>
          <w:p w14:paraId="012CC7D7" w14:textId="77777777" w:rsidR="00965D20" w:rsidRPr="001D0858" w:rsidRDefault="00965D20" w:rsidP="00414A87">
            <w:pPr>
              <w:pStyle w:val="Tableheading"/>
              <w:rPr>
                <w:sz w:val="20"/>
                <w:szCs w:val="20"/>
              </w:rPr>
            </w:pPr>
            <w:r>
              <w:rPr>
                <w:sz w:val="20"/>
                <w:szCs w:val="20"/>
              </w:rPr>
              <w:t>2016</w:t>
            </w:r>
          </w:p>
        </w:tc>
        <w:tc>
          <w:tcPr>
            <w:tcW w:w="0" w:type="auto"/>
            <w:shd w:val="clear" w:color="auto" w:fill="BFBFBF" w:themeFill="background1" w:themeFillShade="BF"/>
          </w:tcPr>
          <w:p w14:paraId="2DFB2619" w14:textId="77777777" w:rsidR="00965D20" w:rsidRPr="001D0858" w:rsidRDefault="00965D20" w:rsidP="00414A87">
            <w:pPr>
              <w:pStyle w:val="Tableheading"/>
              <w:rPr>
                <w:sz w:val="20"/>
                <w:szCs w:val="20"/>
              </w:rPr>
            </w:pPr>
            <w:r>
              <w:rPr>
                <w:sz w:val="20"/>
                <w:szCs w:val="20"/>
              </w:rPr>
              <w:t>2017</w:t>
            </w:r>
          </w:p>
        </w:tc>
        <w:tc>
          <w:tcPr>
            <w:tcW w:w="0" w:type="auto"/>
            <w:shd w:val="clear" w:color="auto" w:fill="BFBFBF" w:themeFill="background1" w:themeFillShade="BF"/>
          </w:tcPr>
          <w:p w14:paraId="16F16042" w14:textId="77777777" w:rsidR="00965D20" w:rsidRPr="001D0858" w:rsidRDefault="00965D20" w:rsidP="00414A87">
            <w:pPr>
              <w:pStyle w:val="Tableheading"/>
              <w:rPr>
                <w:sz w:val="20"/>
                <w:szCs w:val="20"/>
              </w:rPr>
            </w:pPr>
            <w:r>
              <w:rPr>
                <w:sz w:val="20"/>
                <w:szCs w:val="20"/>
              </w:rPr>
              <w:t>2018</w:t>
            </w:r>
          </w:p>
        </w:tc>
        <w:tc>
          <w:tcPr>
            <w:tcW w:w="0" w:type="auto"/>
            <w:shd w:val="clear" w:color="auto" w:fill="BFBFBF" w:themeFill="background1" w:themeFillShade="BF"/>
          </w:tcPr>
          <w:p w14:paraId="4506746B" w14:textId="77777777" w:rsidR="00965D20" w:rsidRPr="001D0858" w:rsidRDefault="00965D20" w:rsidP="00414A87">
            <w:pPr>
              <w:pStyle w:val="Tableheading"/>
              <w:rPr>
                <w:sz w:val="20"/>
                <w:szCs w:val="20"/>
              </w:rPr>
            </w:pPr>
            <w:r>
              <w:rPr>
                <w:sz w:val="20"/>
                <w:szCs w:val="20"/>
              </w:rPr>
              <w:t>To June 2019*</w:t>
            </w:r>
          </w:p>
        </w:tc>
      </w:tr>
      <w:tr w:rsidR="00965D20" w:rsidRPr="001D0858" w14:paraId="7461D899" w14:textId="77777777" w:rsidTr="00414A87">
        <w:trPr>
          <w:trHeight w:val="20"/>
        </w:trPr>
        <w:tc>
          <w:tcPr>
            <w:tcW w:w="0" w:type="auto"/>
          </w:tcPr>
          <w:p w14:paraId="3F813A58" w14:textId="77777777" w:rsidR="00965D20" w:rsidRPr="00C11A25" w:rsidRDefault="00965D20" w:rsidP="00414A87">
            <w:pPr>
              <w:pStyle w:val="Tableheading"/>
              <w:jc w:val="left"/>
              <w:rPr>
                <w:rFonts w:cstheme="minorHAnsi"/>
                <w:sz w:val="20"/>
                <w:szCs w:val="20"/>
              </w:rPr>
            </w:pPr>
            <w:r w:rsidRPr="00C11A25">
              <w:rPr>
                <w:rFonts w:cstheme="minorHAnsi"/>
                <w:sz w:val="20"/>
                <w:szCs w:val="20"/>
              </w:rPr>
              <w:t>Total</w:t>
            </w:r>
          </w:p>
        </w:tc>
        <w:tc>
          <w:tcPr>
            <w:tcW w:w="0" w:type="auto"/>
          </w:tcPr>
          <w:p w14:paraId="5BA810B8"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32,277</w:t>
            </w:r>
          </w:p>
        </w:tc>
        <w:tc>
          <w:tcPr>
            <w:tcW w:w="0" w:type="auto"/>
          </w:tcPr>
          <w:p w14:paraId="59963903"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35,547</w:t>
            </w:r>
          </w:p>
        </w:tc>
        <w:tc>
          <w:tcPr>
            <w:tcW w:w="0" w:type="auto"/>
          </w:tcPr>
          <w:p w14:paraId="7315FD95"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39,379</w:t>
            </w:r>
          </w:p>
        </w:tc>
        <w:tc>
          <w:tcPr>
            <w:tcW w:w="0" w:type="auto"/>
          </w:tcPr>
          <w:p w14:paraId="2DAE20A3"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44,307</w:t>
            </w:r>
          </w:p>
        </w:tc>
        <w:tc>
          <w:tcPr>
            <w:tcW w:w="0" w:type="auto"/>
          </w:tcPr>
          <w:p w14:paraId="0C26C916"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49,451</w:t>
            </w:r>
          </w:p>
        </w:tc>
        <w:tc>
          <w:tcPr>
            <w:tcW w:w="0" w:type="auto"/>
          </w:tcPr>
          <w:p w14:paraId="46FD097D" w14:textId="77777777" w:rsidR="00965D20" w:rsidRPr="000175ED" w:rsidRDefault="00965D20" w:rsidP="00414A87">
            <w:pPr>
              <w:pStyle w:val="Tableheading"/>
              <w:rPr>
                <w:rFonts w:cstheme="minorHAnsi"/>
                <w:b w:val="0"/>
                <w:sz w:val="20"/>
                <w:szCs w:val="20"/>
              </w:rPr>
            </w:pPr>
            <w:r w:rsidRPr="00C57575">
              <w:rPr>
                <w:rFonts w:cstheme="minorHAnsi"/>
                <w:b w:val="0"/>
                <w:sz w:val="20"/>
                <w:szCs w:val="20"/>
              </w:rPr>
              <w:t>44,241</w:t>
            </w:r>
          </w:p>
        </w:tc>
      </w:tr>
      <w:tr w:rsidR="00965D20" w:rsidRPr="001D0858" w14:paraId="107D0F88" w14:textId="77777777" w:rsidTr="00414A87">
        <w:trPr>
          <w:trHeight w:val="20"/>
        </w:trPr>
        <w:tc>
          <w:tcPr>
            <w:tcW w:w="0" w:type="auto"/>
            <w:gridSpan w:val="7"/>
            <w:shd w:val="clear" w:color="auto" w:fill="D9D9D9" w:themeFill="background1" w:themeFillShade="D9"/>
          </w:tcPr>
          <w:p w14:paraId="68BF5DC4" w14:textId="77777777" w:rsidR="00965D20" w:rsidRPr="00C11A25" w:rsidRDefault="00965D20" w:rsidP="00414A87">
            <w:pPr>
              <w:pStyle w:val="Tableheading"/>
              <w:rPr>
                <w:rFonts w:cstheme="minorHAnsi"/>
                <w:sz w:val="20"/>
                <w:szCs w:val="20"/>
              </w:rPr>
            </w:pPr>
            <w:r w:rsidRPr="00C11A25">
              <w:rPr>
                <w:rFonts w:cstheme="minorHAnsi"/>
                <w:sz w:val="20"/>
                <w:szCs w:val="20"/>
              </w:rPr>
              <w:t>Age group (10 years)</w:t>
            </w:r>
          </w:p>
        </w:tc>
      </w:tr>
      <w:tr w:rsidR="00965D20" w:rsidRPr="001D0858" w14:paraId="7286E8F3" w14:textId="77777777" w:rsidTr="00414A87">
        <w:trPr>
          <w:trHeight w:val="20"/>
        </w:trPr>
        <w:tc>
          <w:tcPr>
            <w:tcW w:w="0" w:type="auto"/>
          </w:tcPr>
          <w:p w14:paraId="28C99A64" w14:textId="77777777" w:rsidR="00965D20" w:rsidRPr="00C11A25" w:rsidRDefault="00965D20" w:rsidP="00414A87">
            <w:pPr>
              <w:pStyle w:val="Tableheading"/>
              <w:jc w:val="left"/>
              <w:rPr>
                <w:rFonts w:cstheme="minorHAnsi"/>
                <w:sz w:val="20"/>
                <w:szCs w:val="20"/>
              </w:rPr>
            </w:pPr>
            <w:r>
              <w:rPr>
                <w:rFonts w:cstheme="minorHAnsi"/>
                <w:sz w:val="20"/>
                <w:szCs w:val="20"/>
              </w:rPr>
              <w:t>&lt;50</w:t>
            </w:r>
          </w:p>
        </w:tc>
        <w:tc>
          <w:tcPr>
            <w:tcW w:w="0" w:type="auto"/>
          </w:tcPr>
          <w:p w14:paraId="5934BAD4"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1,062</w:t>
            </w:r>
          </w:p>
        </w:tc>
        <w:tc>
          <w:tcPr>
            <w:tcW w:w="0" w:type="auto"/>
          </w:tcPr>
          <w:p w14:paraId="56F04250"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1,104</w:t>
            </w:r>
          </w:p>
        </w:tc>
        <w:tc>
          <w:tcPr>
            <w:tcW w:w="0" w:type="auto"/>
          </w:tcPr>
          <w:p w14:paraId="5A2CD519"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1,127</w:t>
            </w:r>
          </w:p>
        </w:tc>
        <w:tc>
          <w:tcPr>
            <w:tcW w:w="0" w:type="auto"/>
          </w:tcPr>
          <w:p w14:paraId="04F7F85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1,183</w:t>
            </w:r>
          </w:p>
        </w:tc>
        <w:tc>
          <w:tcPr>
            <w:tcW w:w="0" w:type="auto"/>
          </w:tcPr>
          <w:p w14:paraId="37FF471F"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1,194</w:t>
            </w:r>
          </w:p>
        </w:tc>
        <w:tc>
          <w:tcPr>
            <w:tcW w:w="0" w:type="auto"/>
          </w:tcPr>
          <w:p w14:paraId="57585377"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889</w:t>
            </w:r>
          </w:p>
        </w:tc>
      </w:tr>
      <w:tr w:rsidR="00965D20" w:rsidRPr="001D0858" w14:paraId="55E24A0C" w14:textId="77777777" w:rsidTr="00414A87">
        <w:trPr>
          <w:trHeight w:val="20"/>
        </w:trPr>
        <w:tc>
          <w:tcPr>
            <w:tcW w:w="0" w:type="auto"/>
          </w:tcPr>
          <w:p w14:paraId="3CA3A19F" w14:textId="77777777" w:rsidR="00965D20" w:rsidRPr="00C11A25" w:rsidRDefault="00965D20" w:rsidP="00414A87">
            <w:pPr>
              <w:pStyle w:val="Tableheading"/>
              <w:jc w:val="left"/>
              <w:rPr>
                <w:rFonts w:cstheme="minorHAnsi"/>
                <w:sz w:val="20"/>
                <w:szCs w:val="20"/>
              </w:rPr>
            </w:pPr>
            <w:r w:rsidRPr="00C11A25">
              <w:rPr>
                <w:rFonts w:cstheme="minorHAnsi"/>
                <w:sz w:val="20"/>
                <w:szCs w:val="20"/>
              </w:rPr>
              <w:t>50–59</w:t>
            </w:r>
          </w:p>
        </w:tc>
        <w:tc>
          <w:tcPr>
            <w:tcW w:w="0" w:type="auto"/>
          </w:tcPr>
          <w:p w14:paraId="6C7C279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2,497</w:t>
            </w:r>
          </w:p>
        </w:tc>
        <w:tc>
          <w:tcPr>
            <w:tcW w:w="0" w:type="auto"/>
          </w:tcPr>
          <w:p w14:paraId="72082CC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2,567</w:t>
            </w:r>
          </w:p>
        </w:tc>
        <w:tc>
          <w:tcPr>
            <w:tcW w:w="0" w:type="auto"/>
          </w:tcPr>
          <w:p w14:paraId="3EAB2650"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2,776</w:t>
            </w:r>
          </w:p>
        </w:tc>
        <w:tc>
          <w:tcPr>
            <w:tcW w:w="0" w:type="auto"/>
          </w:tcPr>
          <w:p w14:paraId="46E99850"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2,852</w:t>
            </w:r>
          </w:p>
        </w:tc>
        <w:tc>
          <w:tcPr>
            <w:tcW w:w="0" w:type="auto"/>
          </w:tcPr>
          <w:p w14:paraId="0A851952"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2,959</w:t>
            </w:r>
          </w:p>
        </w:tc>
        <w:tc>
          <w:tcPr>
            <w:tcW w:w="0" w:type="auto"/>
          </w:tcPr>
          <w:p w14:paraId="2F29139D"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2,261</w:t>
            </w:r>
          </w:p>
        </w:tc>
      </w:tr>
      <w:tr w:rsidR="00965D20" w:rsidRPr="001D0858" w14:paraId="2BAE4A33" w14:textId="77777777" w:rsidTr="00414A87">
        <w:trPr>
          <w:trHeight w:val="20"/>
        </w:trPr>
        <w:tc>
          <w:tcPr>
            <w:tcW w:w="0" w:type="auto"/>
          </w:tcPr>
          <w:p w14:paraId="653F8A4B" w14:textId="77777777" w:rsidR="00965D20" w:rsidRPr="00C11A25" w:rsidRDefault="00965D20" w:rsidP="00414A87">
            <w:pPr>
              <w:pStyle w:val="Tableheading"/>
              <w:jc w:val="left"/>
              <w:rPr>
                <w:rFonts w:cstheme="minorHAnsi"/>
                <w:sz w:val="20"/>
                <w:szCs w:val="20"/>
              </w:rPr>
            </w:pPr>
            <w:r w:rsidRPr="00C11A25">
              <w:rPr>
                <w:rFonts w:cstheme="minorHAnsi"/>
                <w:sz w:val="20"/>
                <w:szCs w:val="20"/>
              </w:rPr>
              <w:t>60–69</w:t>
            </w:r>
          </w:p>
        </w:tc>
        <w:tc>
          <w:tcPr>
            <w:tcW w:w="0" w:type="auto"/>
          </w:tcPr>
          <w:p w14:paraId="51A95A94"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6,854</w:t>
            </w:r>
          </w:p>
        </w:tc>
        <w:tc>
          <w:tcPr>
            <w:tcW w:w="0" w:type="auto"/>
          </w:tcPr>
          <w:p w14:paraId="6904B8D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7,423</w:t>
            </w:r>
          </w:p>
        </w:tc>
        <w:tc>
          <w:tcPr>
            <w:tcW w:w="0" w:type="auto"/>
          </w:tcPr>
          <w:p w14:paraId="75348245"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7,982</w:t>
            </w:r>
          </w:p>
        </w:tc>
        <w:tc>
          <w:tcPr>
            <w:tcW w:w="0" w:type="auto"/>
          </w:tcPr>
          <w:p w14:paraId="7A7693A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8,618</w:t>
            </w:r>
          </w:p>
        </w:tc>
        <w:tc>
          <w:tcPr>
            <w:tcW w:w="0" w:type="auto"/>
          </w:tcPr>
          <w:p w14:paraId="320BD1AD"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9,304</w:t>
            </w:r>
          </w:p>
        </w:tc>
        <w:tc>
          <w:tcPr>
            <w:tcW w:w="0" w:type="auto"/>
          </w:tcPr>
          <w:p w14:paraId="0A77A980"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7,842</w:t>
            </w:r>
          </w:p>
        </w:tc>
      </w:tr>
      <w:tr w:rsidR="00965D20" w:rsidRPr="001D0858" w14:paraId="7D0CF0F4" w14:textId="77777777" w:rsidTr="00414A87">
        <w:trPr>
          <w:trHeight w:val="20"/>
        </w:trPr>
        <w:tc>
          <w:tcPr>
            <w:tcW w:w="0" w:type="auto"/>
          </w:tcPr>
          <w:p w14:paraId="586150EE" w14:textId="77777777" w:rsidR="00965D20" w:rsidRPr="00C11A25" w:rsidRDefault="00965D20" w:rsidP="00414A87">
            <w:pPr>
              <w:pStyle w:val="Tableheading"/>
              <w:jc w:val="left"/>
              <w:rPr>
                <w:rFonts w:cstheme="minorHAnsi"/>
                <w:sz w:val="20"/>
                <w:szCs w:val="20"/>
              </w:rPr>
            </w:pPr>
            <w:r w:rsidRPr="00C11A25">
              <w:rPr>
                <w:rFonts w:cstheme="minorHAnsi"/>
                <w:sz w:val="20"/>
                <w:szCs w:val="20"/>
              </w:rPr>
              <w:t>70+</w:t>
            </w:r>
          </w:p>
        </w:tc>
        <w:tc>
          <w:tcPr>
            <w:tcW w:w="0" w:type="auto"/>
          </w:tcPr>
          <w:p w14:paraId="286AA277"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24,104</w:t>
            </w:r>
          </w:p>
        </w:tc>
        <w:tc>
          <w:tcPr>
            <w:tcW w:w="0" w:type="auto"/>
          </w:tcPr>
          <w:p w14:paraId="1DE76734"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26,252</w:t>
            </w:r>
          </w:p>
        </w:tc>
        <w:tc>
          <w:tcPr>
            <w:tcW w:w="0" w:type="auto"/>
          </w:tcPr>
          <w:p w14:paraId="516F03AA"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29,264</w:t>
            </w:r>
          </w:p>
        </w:tc>
        <w:tc>
          <w:tcPr>
            <w:tcW w:w="0" w:type="auto"/>
          </w:tcPr>
          <w:p w14:paraId="2AEC7F6E"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33,164</w:t>
            </w:r>
          </w:p>
        </w:tc>
        <w:tc>
          <w:tcPr>
            <w:tcW w:w="0" w:type="auto"/>
          </w:tcPr>
          <w:p w14:paraId="4DE15D4D"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37,402</w:t>
            </w:r>
          </w:p>
        </w:tc>
        <w:tc>
          <w:tcPr>
            <w:tcW w:w="0" w:type="auto"/>
          </w:tcPr>
          <w:p w14:paraId="59C5319B" w14:textId="77777777" w:rsidR="00965D20" w:rsidRPr="000F2789" w:rsidRDefault="00965D20" w:rsidP="00414A87">
            <w:pPr>
              <w:pStyle w:val="Tableheading"/>
              <w:rPr>
                <w:rFonts w:cstheme="minorHAnsi"/>
                <w:b w:val="0"/>
                <w:sz w:val="20"/>
                <w:szCs w:val="20"/>
              </w:rPr>
            </w:pPr>
            <w:r w:rsidRPr="00BC42C7">
              <w:rPr>
                <w:rFonts w:cstheme="minorHAnsi"/>
                <w:b w:val="0"/>
                <w:sz w:val="20"/>
                <w:szCs w:val="20"/>
              </w:rPr>
              <w:t>33,873</w:t>
            </w:r>
          </w:p>
        </w:tc>
      </w:tr>
      <w:tr w:rsidR="00965D20" w:rsidRPr="001D0858" w14:paraId="248DA8B7" w14:textId="77777777" w:rsidTr="00414A87">
        <w:trPr>
          <w:trHeight w:val="20"/>
        </w:trPr>
        <w:tc>
          <w:tcPr>
            <w:tcW w:w="0" w:type="auto"/>
            <w:gridSpan w:val="7"/>
            <w:shd w:val="clear" w:color="auto" w:fill="D9D9D9" w:themeFill="background1" w:themeFillShade="D9"/>
          </w:tcPr>
          <w:p w14:paraId="7484C530" w14:textId="77777777" w:rsidR="00965D20" w:rsidRPr="00C11A25" w:rsidRDefault="00965D20" w:rsidP="00414A87">
            <w:pPr>
              <w:pStyle w:val="Tableheading"/>
              <w:rPr>
                <w:rFonts w:cstheme="minorHAnsi"/>
                <w:sz w:val="20"/>
                <w:szCs w:val="20"/>
              </w:rPr>
            </w:pPr>
            <w:r>
              <w:rPr>
                <w:rFonts w:cstheme="minorHAnsi"/>
                <w:sz w:val="20"/>
                <w:szCs w:val="20"/>
              </w:rPr>
              <w:t>By group of therapy</w:t>
            </w:r>
          </w:p>
        </w:tc>
      </w:tr>
      <w:tr w:rsidR="00965D20" w:rsidRPr="001D0858" w14:paraId="6BF1A470" w14:textId="77777777" w:rsidTr="002A1124">
        <w:trPr>
          <w:trHeight w:val="20"/>
        </w:trPr>
        <w:tc>
          <w:tcPr>
            <w:tcW w:w="0" w:type="auto"/>
          </w:tcPr>
          <w:p w14:paraId="698E4C12" w14:textId="77777777" w:rsidR="00965D20" w:rsidRPr="008F7DCD" w:rsidRDefault="00965D20" w:rsidP="00414A87">
            <w:pPr>
              <w:pStyle w:val="Tableheading"/>
              <w:jc w:val="left"/>
              <w:rPr>
                <w:rFonts w:cstheme="minorHAnsi"/>
                <w:sz w:val="20"/>
                <w:szCs w:val="20"/>
              </w:rPr>
            </w:pPr>
            <w:r w:rsidRPr="008F7DCD">
              <w:rPr>
                <w:rFonts w:cstheme="minorHAnsi"/>
                <w:sz w:val="20"/>
                <w:szCs w:val="20"/>
              </w:rPr>
              <w:t>Denosumab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093558"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11,790</w:t>
            </w:r>
          </w:p>
        </w:tc>
        <w:tc>
          <w:tcPr>
            <w:tcW w:w="0" w:type="auto"/>
            <w:tcBorders>
              <w:top w:val="single" w:sz="4" w:space="0" w:color="auto"/>
              <w:left w:val="nil"/>
              <w:bottom w:val="single" w:sz="4" w:space="0" w:color="auto"/>
              <w:right w:val="single" w:sz="4" w:space="0" w:color="auto"/>
            </w:tcBorders>
            <w:shd w:val="clear" w:color="auto" w:fill="auto"/>
            <w:vAlign w:val="center"/>
          </w:tcPr>
          <w:p w14:paraId="63502C89"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18,273</w:t>
            </w:r>
          </w:p>
        </w:tc>
        <w:tc>
          <w:tcPr>
            <w:tcW w:w="0" w:type="auto"/>
            <w:tcBorders>
              <w:top w:val="single" w:sz="4" w:space="0" w:color="auto"/>
              <w:left w:val="nil"/>
              <w:bottom w:val="single" w:sz="4" w:space="0" w:color="auto"/>
              <w:right w:val="single" w:sz="4" w:space="0" w:color="auto"/>
            </w:tcBorders>
            <w:shd w:val="clear" w:color="auto" w:fill="auto"/>
            <w:vAlign w:val="center"/>
          </w:tcPr>
          <w:p w14:paraId="15C96D1F"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24,778</w:t>
            </w:r>
          </w:p>
        </w:tc>
        <w:tc>
          <w:tcPr>
            <w:tcW w:w="0" w:type="auto"/>
            <w:tcBorders>
              <w:top w:val="single" w:sz="4" w:space="0" w:color="auto"/>
              <w:left w:val="nil"/>
              <w:bottom w:val="single" w:sz="4" w:space="0" w:color="auto"/>
              <w:right w:val="single" w:sz="4" w:space="0" w:color="auto"/>
            </w:tcBorders>
            <w:shd w:val="clear" w:color="auto" w:fill="auto"/>
            <w:vAlign w:val="center"/>
          </w:tcPr>
          <w:p w14:paraId="6B6C0092"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31,574</w:t>
            </w:r>
          </w:p>
        </w:tc>
        <w:tc>
          <w:tcPr>
            <w:tcW w:w="0" w:type="auto"/>
            <w:tcBorders>
              <w:top w:val="single" w:sz="4" w:space="0" w:color="auto"/>
              <w:left w:val="nil"/>
              <w:bottom w:val="single" w:sz="4" w:space="0" w:color="auto"/>
              <w:right w:val="single" w:sz="4" w:space="0" w:color="auto"/>
            </w:tcBorders>
            <w:shd w:val="clear" w:color="auto" w:fill="auto"/>
            <w:vAlign w:val="center"/>
          </w:tcPr>
          <w:p w14:paraId="295ED7BA"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37,617</w:t>
            </w:r>
          </w:p>
        </w:tc>
        <w:tc>
          <w:tcPr>
            <w:tcW w:w="0" w:type="auto"/>
            <w:tcBorders>
              <w:top w:val="single" w:sz="4" w:space="0" w:color="auto"/>
              <w:left w:val="nil"/>
              <w:bottom w:val="single" w:sz="4" w:space="0" w:color="auto"/>
              <w:right w:val="single" w:sz="4" w:space="0" w:color="auto"/>
            </w:tcBorders>
            <w:shd w:val="clear" w:color="auto" w:fill="auto"/>
            <w:vAlign w:val="center"/>
          </w:tcPr>
          <w:p w14:paraId="3686C99F" w14:textId="77777777" w:rsidR="00965D20" w:rsidRPr="000F2789" w:rsidRDefault="00965D20" w:rsidP="00414A87">
            <w:pPr>
              <w:pStyle w:val="Tableheading"/>
              <w:rPr>
                <w:rFonts w:cstheme="minorHAnsi"/>
                <w:b w:val="0"/>
                <w:sz w:val="20"/>
                <w:szCs w:val="20"/>
              </w:rPr>
            </w:pPr>
            <w:r w:rsidRPr="00586641">
              <w:rPr>
                <w:rFonts w:cstheme="minorHAnsi"/>
                <w:b w:val="0"/>
                <w:sz w:val="20"/>
                <w:szCs w:val="20"/>
              </w:rPr>
              <w:t>34,123</w:t>
            </w:r>
          </w:p>
        </w:tc>
      </w:tr>
      <w:tr w:rsidR="00965D20" w:rsidRPr="001D0858" w14:paraId="7BC71FA3" w14:textId="77777777" w:rsidTr="002A1124">
        <w:trPr>
          <w:trHeight w:val="20"/>
        </w:trPr>
        <w:tc>
          <w:tcPr>
            <w:tcW w:w="0" w:type="auto"/>
          </w:tcPr>
          <w:p w14:paraId="303E4810" w14:textId="77777777" w:rsidR="00965D20" w:rsidRPr="008F7DCD" w:rsidRDefault="00965D20" w:rsidP="00414A87">
            <w:pPr>
              <w:pStyle w:val="Tableheading"/>
              <w:jc w:val="left"/>
              <w:rPr>
                <w:rFonts w:cstheme="minorHAnsi"/>
                <w:sz w:val="20"/>
                <w:szCs w:val="20"/>
              </w:rPr>
            </w:pPr>
            <w:r w:rsidRPr="008F7DCD">
              <w:rPr>
                <w:rFonts w:cstheme="minorHAnsi"/>
                <w:sz w:val="20"/>
                <w:szCs w:val="20"/>
              </w:rPr>
              <w:t>Bisphosphonates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05F4C87" w14:textId="6AADA0BE" w:rsidR="00965D20" w:rsidRPr="00B16994" w:rsidRDefault="00965D20" w:rsidP="00414A87">
            <w:pPr>
              <w:pStyle w:val="Tableheading"/>
              <w:rPr>
                <w:rFonts w:cstheme="minorHAnsi"/>
                <w:b w:val="0"/>
                <w:sz w:val="20"/>
                <w:szCs w:val="20"/>
              </w:rPr>
            </w:pPr>
            <w:r w:rsidRPr="00586641">
              <w:rPr>
                <w:rFonts w:cstheme="minorHAnsi"/>
                <w:b w:val="0"/>
                <w:sz w:val="20"/>
                <w:szCs w:val="20"/>
              </w:rPr>
              <w:t>15,031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7B228"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13,360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4A7D94"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11,510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C05076"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10,088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DB9376"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9,200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B4F27B"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7,436</w:t>
            </w:r>
          </w:p>
        </w:tc>
      </w:tr>
      <w:tr w:rsidR="00965D20" w:rsidRPr="001D0858" w14:paraId="1E3FE5F5" w14:textId="77777777" w:rsidTr="002A1124">
        <w:trPr>
          <w:trHeight w:val="20"/>
        </w:trPr>
        <w:tc>
          <w:tcPr>
            <w:tcW w:w="0" w:type="auto"/>
          </w:tcPr>
          <w:p w14:paraId="2115B0F2" w14:textId="77777777" w:rsidR="00965D20" w:rsidRPr="008F7DCD" w:rsidRDefault="00965D20" w:rsidP="00414A87">
            <w:pPr>
              <w:pStyle w:val="Tableheading"/>
              <w:jc w:val="left"/>
              <w:rPr>
                <w:rFonts w:cstheme="minorHAnsi"/>
                <w:sz w:val="20"/>
                <w:szCs w:val="20"/>
              </w:rPr>
            </w:pPr>
            <w:r w:rsidRPr="008F7DCD">
              <w:rPr>
                <w:rFonts w:cstheme="minorHAnsi"/>
                <w:sz w:val="20"/>
                <w:szCs w:val="20"/>
              </w:rPr>
              <w:t>Other osteoporosis medicines†</w:t>
            </w:r>
          </w:p>
        </w:tc>
        <w:tc>
          <w:tcPr>
            <w:tcW w:w="0" w:type="auto"/>
            <w:tcBorders>
              <w:top w:val="single" w:sz="4" w:space="0" w:color="auto"/>
              <w:left w:val="nil"/>
              <w:bottom w:val="single" w:sz="4" w:space="0" w:color="auto"/>
              <w:right w:val="single" w:sz="4" w:space="0" w:color="auto"/>
            </w:tcBorders>
            <w:shd w:val="clear" w:color="auto" w:fill="auto"/>
            <w:vAlign w:val="center"/>
          </w:tcPr>
          <w:p w14:paraId="5831E9C9"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4,411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E2B4DD"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2,556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414AE4"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1,690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E2E70A"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969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65F26"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874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CF996" w14:textId="77777777" w:rsidR="00965D20" w:rsidRPr="00B16994" w:rsidRDefault="00965D20" w:rsidP="00414A87">
            <w:pPr>
              <w:pStyle w:val="Tableheading"/>
              <w:rPr>
                <w:rFonts w:cstheme="minorHAnsi"/>
                <w:b w:val="0"/>
                <w:sz w:val="20"/>
                <w:szCs w:val="20"/>
              </w:rPr>
            </w:pPr>
            <w:r w:rsidRPr="00586641">
              <w:rPr>
                <w:rFonts w:cstheme="minorHAnsi"/>
                <w:b w:val="0"/>
                <w:sz w:val="20"/>
                <w:szCs w:val="20"/>
              </w:rPr>
              <w:t>707</w:t>
            </w:r>
          </w:p>
        </w:tc>
      </w:tr>
      <w:tr w:rsidR="00965D20" w:rsidRPr="001D0858" w14:paraId="6A3401CD" w14:textId="77777777" w:rsidTr="002A1124">
        <w:trPr>
          <w:trHeight w:val="20"/>
        </w:trPr>
        <w:tc>
          <w:tcPr>
            <w:tcW w:w="0" w:type="auto"/>
          </w:tcPr>
          <w:p w14:paraId="1465A227" w14:textId="77777777" w:rsidR="00965D20" w:rsidRPr="008F7DCD" w:rsidRDefault="00965D20" w:rsidP="00414A87">
            <w:pPr>
              <w:pStyle w:val="Tableheading"/>
              <w:jc w:val="left"/>
              <w:rPr>
                <w:rFonts w:cstheme="minorHAnsi"/>
                <w:sz w:val="20"/>
                <w:szCs w:val="20"/>
              </w:rPr>
            </w:pPr>
            <w:r w:rsidRPr="008F7DCD">
              <w:rPr>
                <w:rFonts w:cstheme="minorHAnsi"/>
                <w:sz w:val="20"/>
                <w:szCs w:val="20"/>
              </w:rPr>
              <w:t>Calcitriol</w:t>
            </w:r>
          </w:p>
        </w:tc>
        <w:tc>
          <w:tcPr>
            <w:tcW w:w="0" w:type="auto"/>
            <w:tcBorders>
              <w:top w:val="single" w:sz="4" w:space="0" w:color="auto"/>
              <w:left w:val="nil"/>
              <w:bottom w:val="single" w:sz="4" w:space="0" w:color="auto"/>
              <w:right w:val="single" w:sz="4" w:space="0" w:color="auto"/>
            </w:tcBorders>
            <w:shd w:val="clear" w:color="auto" w:fill="auto"/>
            <w:vAlign w:val="bottom"/>
          </w:tcPr>
          <w:p w14:paraId="1A0A63D9"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3,285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A53FB8"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3,157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D8A3F0D"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3,171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A19AF5"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3,186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1C27C8C"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3,168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D30F501" w14:textId="77777777" w:rsidR="00965D20" w:rsidRPr="00BC42C7" w:rsidRDefault="00965D20" w:rsidP="00414A87">
            <w:pPr>
              <w:pStyle w:val="Tableheading"/>
              <w:rPr>
                <w:rFonts w:cstheme="minorHAnsi"/>
                <w:b w:val="0"/>
                <w:sz w:val="20"/>
                <w:szCs w:val="20"/>
              </w:rPr>
            </w:pPr>
            <w:r w:rsidRPr="00586641">
              <w:rPr>
                <w:rFonts w:cstheme="minorHAnsi"/>
                <w:b w:val="0"/>
                <w:sz w:val="20"/>
                <w:szCs w:val="20"/>
              </w:rPr>
              <w:t>2,599</w:t>
            </w:r>
          </w:p>
        </w:tc>
      </w:tr>
      <w:tr w:rsidR="00965D20" w:rsidRPr="001D0858" w14:paraId="798C31D3" w14:textId="77777777" w:rsidTr="00414A87">
        <w:trPr>
          <w:trHeight w:val="20"/>
        </w:trPr>
        <w:tc>
          <w:tcPr>
            <w:tcW w:w="0" w:type="auto"/>
            <w:gridSpan w:val="7"/>
            <w:shd w:val="clear" w:color="auto" w:fill="D9D9D9" w:themeFill="background1" w:themeFillShade="D9"/>
          </w:tcPr>
          <w:p w14:paraId="6835F887" w14:textId="77777777" w:rsidR="00965D20" w:rsidRPr="00BC42C7" w:rsidRDefault="00965D20" w:rsidP="00414A87">
            <w:pPr>
              <w:pStyle w:val="Tableheading"/>
              <w:rPr>
                <w:rFonts w:cstheme="minorHAnsi"/>
                <w:b w:val="0"/>
                <w:sz w:val="20"/>
                <w:szCs w:val="20"/>
              </w:rPr>
            </w:pPr>
            <w:r w:rsidRPr="00957354">
              <w:rPr>
                <w:sz w:val="20"/>
                <w:szCs w:val="20"/>
              </w:rPr>
              <w:t>&lt;50 years</w:t>
            </w:r>
          </w:p>
        </w:tc>
      </w:tr>
      <w:tr w:rsidR="00965D20" w:rsidRPr="001D0858" w14:paraId="6596ED36" w14:textId="77777777" w:rsidTr="00414A87">
        <w:trPr>
          <w:trHeight w:val="20"/>
        </w:trPr>
        <w:tc>
          <w:tcPr>
            <w:tcW w:w="0" w:type="auto"/>
          </w:tcPr>
          <w:p w14:paraId="1260633E" w14:textId="77777777" w:rsidR="00965D20" w:rsidRPr="008F7DCD" w:rsidRDefault="00965D20" w:rsidP="00414A87">
            <w:pPr>
              <w:pStyle w:val="Tableheading"/>
              <w:jc w:val="left"/>
              <w:rPr>
                <w:rFonts w:cstheme="minorHAnsi"/>
                <w:sz w:val="20"/>
                <w:szCs w:val="20"/>
              </w:rPr>
            </w:pPr>
            <w:r w:rsidRPr="00957354">
              <w:rPr>
                <w:rFonts w:cstheme="minorHAnsi"/>
                <w:sz w:val="20"/>
                <w:szCs w:val="20"/>
              </w:rPr>
              <w:t>Alendronate (incl combination products)</w:t>
            </w:r>
          </w:p>
        </w:tc>
        <w:tc>
          <w:tcPr>
            <w:tcW w:w="0" w:type="auto"/>
          </w:tcPr>
          <w:p w14:paraId="16CBF11B"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144</w:t>
            </w:r>
          </w:p>
        </w:tc>
        <w:tc>
          <w:tcPr>
            <w:tcW w:w="0" w:type="auto"/>
          </w:tcPr>
          <w:p w14:paraId="28ED5966"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122</w:t>
            </w:r>
          </w:p>
        </w:tc>
        <w:tc>
          <w:tcPr>
            <w:tcW w:w="0" w:type="auto"/>
          </w:tcPr>
          <w:p w14:paraId="348B678F"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114</w:t>
            </w:r>
          </w:p>
        </w:tc>
        <w:tc>
          <w:tcPr>
            <w:tcW w:w="0" w:type="auto"/>
          </w:tcPr>
          <w:p w14:paraId="6310BA0E"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109</w:t>
            </w:r>
          </w:p>
        </w:tc>
        <w:tc>
          <w:tcPr>
            <w:tcW w:w="0" w:type="auto"/>
          </w:tcPr>
          <w:p w14:paraId="13BE9483"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86</w:t>
            </w:r>
          </w:p>
        </w:tc>
        <w:tc>
          <w:tcPr>
            <w:tcW w:w="0" w:type="auto"/>
          </w:tcPr>
          <w:p w14:paraId="11542EDF"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79</w:t>
            </w:r>
          </w:p>
        </w:tc>
      </w:tr>
      <w:tr w:rsidR="00965D20" w:rsidRPr="001D0858" w14:paraId="7F651851" w14:textId="77777777" w:rsidTr="00414A87">
        <w:trPr>
          <w:trHeight w:val="20"/>
        </w:trPr>
        <w:tc>
          <w:tcPr>
            <w:tcW w:w="0" w:type="auto"/>
          </w:tcPr>
          <w:p w14:paraId="6A172667" w14:textId="77777777" w:rsidR="00965D20" w:rsidRPr="008F7DCD" w:rsidRDefault="00965D20" w:rsidP="00414A87">
            <w:pPr>
              <w:pStyle w:val="Tableheading"/>
              <w:jc w:val="left"/>
              <w:rPr>
                <w:rFonts w:cstheme="minorHAnsi"/>
                <w:sz w:val="20"/>
                <w:szCs w:val="20"/>
              </w:rPr>
            </w:pPr>
            <w:r w:rsidRPr="00957354">
              <w:rPr>
                <w:rFonts w:cstheme="minorHAnsi"/>
                <w:sz w:val="20"/>
                <w:szCs w:val="20"/>
              </w:rPr>
              <w:t>Calcitriol</w:t>
            </w:r>
          </w:p>
        </w:tc>
        <w:tc>
          <w:tcPr>
            <w:tcW w:w="0" w:type="auto"/>
          </w:tcPr>
          <w:p w14:paraId="15292BF1"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568</w:t>
            </w:r>
          </w:p>
        </w:tc>
        <w:tc>
          <w:tcPr>
            <w:tcW w:w="0" w:type="auto"/>
          </w:tcPr>
          <w:p w14:paraId="67876CF4"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554</w:t>
            </w:r>
          </w:p>
        </w:tc>
        <w:tc>
          <w:tcPr>
            <w:tcW w:w="0" w:type="auto"/>
          </w:tcPr>
          <w:p w14:paraId="516BB384"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565</w:t>
            </w:r>
          </w:p>
        </w:tc>
        <w:tc>
          <w:tcPr>
            <w:tcW w:w="0" w:type="auto"/>
          </w:tcPr>
          <w:p w14:paraId="2BD2B7DB"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571</w:t>
            </w:r>
          </w:p>
        </w:tc>
        <w:tc>
          <w:tcPr>
            <w:tcW w:w="0" w:type="auto"/>
          </w:tcPr>
          <w:p w14:paraId="4DE40B6C"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557</w:t>
            </w:r>
          </w:p>
        </w:tc>
        <w:tc>
          <w:tcPr>
            <w:tcW w:w="0" w:type="auto"/>
          </w:tcPr>
          <w:p w14:paraId="40971749" w14:textId="77777777" w:rsidR="00965D20" w:rsidRPr="00BC42C7" w:rsidRDefault="00965D20" w:rsidP="00414A87">
            <w:pPr>
              <w:pStyle w:val="Tableheading"/>
              <w:rPr>
                <w:rFonts w:cstheme="minorHAnsi"/>
                <w:b w:val="0"/>
                <w:sz w:val="20"/>
                <w:szCs w:val="20"/>
              </w:rPr>
            </w:pPr>
            <w:r w:rsidRPr="00A63DC0">
              <w:rPr>
                <w:rFonts w:cstheme="minorHAnsi"/>
                <w:b w:val="0"/>
                <w:sz w:val="20"/>
                <w:szCs w:val="20"/>
              </w:rPr>
              <w:t>425</w:t>
            </w:r>
          </w:p>
        </w:tc>
      </w:tr>
      <w:tr w:rsidR="00965D20" w:rsidRPr="001D0858" w14:paraId="7604B275" w14:textId="77777777" w:rsidTr="00414A87">
        <w:trPr>
          <w:trHeight w:val="20"/>
        </w:trPr>
        <w:tc>
          <w:tcPr>
            <w:tcW w:w="0" w:type="auto"/>
          </w:tcPr>
          <w:p w14:paraId="6462E298"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Denosumab</w:t>
            </w:r>
          </w:p>
        </w:tc>
        <w:tc>
          <w:tcPr>
            <w:tcW w:w="0" w:type="auto"/>
          </w:tcPr>
          <w:p w14:paraId="409BD522"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144</w:t>
            </w:r>
          </w:p>
        </w:tc>
        <w:tc>
          <w:tcPr>
            <w:tcW w:w="0" w:type="auto"/>
          </w:tcPr>
          <w:p w14:paraId="354C531E"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208</w:t>
            </w:r>
          </w:p>
        </w:tc>
        <w:tc>
          <w:tcPr>
            <w:tcW w:w="0" w:type="auto"/>
          </w:tcPr>
          <w:p w14:paraId="4C1D709A"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273</w:t>
            </w:r>
          </w:p>
        </w:tc>
        <w:tc>
          <w:tcPr>
            <w:tcW w:w="0" w:type="auto"/>
          </w:tcPr>
          <w:p w14:paraId="2075A175"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331</w:t>
            </w:r>
          </w:p>
        </w:tc>
        <w:tc>
          <w:tcPr>
            <w:tcW w:w="0" w:type="auto"/>
          </w:tcPr>
          <w:p w14:paraId="5BBFD35A"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391</w:t>
            </w:r>
          </w:p>
        </w:tc>
        <w:tc>
          <w:tcPr>
            <w:tcW w:w="0" w:type="auto"/>
          </w:tcPr>
          <w:p w14:paraId="691C1955"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278</w:t>
            </w:r>
          </w:p>
        </w:tc>
      </w:tr>
      <w:tr w:rsidR="00965D20" w:rsidRPr="001D0858" w14:paraId="30C35BA2" w14:textId="77777777" w:rsidTr="00414A87">
        <w:trPr>
          <w:trHeight w:val="20"/>
        </w:trPr>
        <w:tc>
          <w:tcPr>
            <w:tcW w:w="0" w:type="auto"/>
          </w:tcPr>
          <w:p w14:paraId="2D3F37E1"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Raloxifene</w:t>
            </w:r>
          </w:p>
        </w:tc>
        <w:tc>
          <w:tcPr>
            <w:tcW w:w="0" w:type="auto"/>
          </w:tcPr>
          <w:p w14:paraId="6D4F7280" w14:textId="02E5D114" w:rsidR="00965D20" w:rsidRPr="000F2789" w:rsidRDefault="006E12A0" w:rsidP="00414A87">
            <w:pPr>
              <w:pStyle w:val="Tableheading"/>
              <w:rPr>
                <w:rFonts w:cstheme="minorHAnsi"/>
                <w:b w:val="0"/>
                <w:sz w:val="20"/>
                <w:szCs w:val="20"/>
              </w:rPr>
            </w:pPr>
            <w:r>
              <w:rPr>
                <w:rFonts w:cstheme="minorHAnsi"/>
                <w:b w:val="0"/>
                <w:sz w:val="20"/>
                <w:szCs w:val="20"/>
              </w:rPr>
              <w:t>&lt;15</w:t>
            </w:r>
          </w:p>
        </w:tc>
        <w:tc>
          <w:tcPr>
            <w:tcW w:w="0" w:type="auto"/>
          </w:tcPr>
          <w:p w14:paraId="1BE88872" w14:textId="45929999" w:rsidR="00965D20" w:rsidRPr="000F2789" w:rsidRDefault="006E12A0" w:rsidP="00414A87">
            <w:pPr>
              <w:pStyle w:val="Tableheading"/>
              <w:rPr>
                <w:rFonts w:cstheme="minorHAnsi"/>
                <w:b w:val="0"/>
                <w:sz w:val="20"/>
                <w:szCs w:val="20"/>
              </w:rPr>
            </w:pPr>
            <w:r>
              <w:rPr>
                <w:rFonts w:cstheme="minorHAnsi"/>
                <w:b w:val="0"/>
                <w:sz w:val="20"/>
                <w:szCs w:val="20"/>
              </w:rPr>
              <w:t>&lt;15</w:t>
            </w:r>
          </w:p>
        </w:tc>
        <w:tc>
          <w:tcPr>
            <w:tcW w:w="0" w:type="auto"/>
          </w:tcPr>
          <w:p w14:paraId="42C73F47" w14:textId="241B584E" w:rsidR="00965D20" w:rsidRPr="000F2789" w:rsidRDefault="006E12A0" w:rsidP="00414A87">
            <w:pPr>
              <w:pStyle w:val="Tableheading"/>
              <w:rPr>
                <w:rFonts w:cstheme="minorHAnsi"/>
                <w:b w:val="0"/>
                <w:sz w:val="20"/>
                <w:szCs w:val="20"/>
              </w:rPr>
            </w:pPr>
            <w:r>
              <w:rPr>
                <w:rFonts w:cstheme="minorHAnsi"/>
                <w:b w:val="0"/>
                <w:sz w:val="20"/>
                <w:szCs w:val="20"/>
              </w:rPr>
              <w:t>&lt;10</w:t>
            </w:r>
          </w:p>
        </w:tc>
        <w:tc>
          <w:tcPr>
            <w:tcW w:w="0" w:type="auto"/>
          </w:tcPr>
          <w:p w14:paraId="70D353AB" w14:textId="500E4F0B" w:rsidR="00965D20" w:rsidRPr="000F2789" w:rsidRDefault="00965D20" w:rsidP="00414A87">
            <w:pPr>
              <w:pStyle w:val="Tableheading"/>
              <w:rPr>
                <w:rFonts w:cstheme="minorHAnsi"/>
                <w:b w:val="0"/>
                <w:sz w:val="20"/>
                <w:szCs w:val="20"/>
              </w:rPr>
            </w:pPr>
            <w:r w:rsidRPr="00A63DC0">
              <w:rPr>
                <w:rFonts w:cstheme="minorHAnsi"/>
                <w:b w:val="0"/>
                <w:sz w:val="20"/>
                <w:szCs w:val="20"/>
              </w:rPr>
              <w:t>5</w:t>
            </w:r>
          </w:p>
        </w:tc>
        <w:tc>
          <w:tcPr>
            <w:tcW w:w="0" w:type="auto"/>
          </w:tcPr>
          <w:p w14:paraId="763DAEE5" w14:textId="48176B06" w:rsidR="00965D20" w:rsidRPr="000F2789" w:rsidRDefault="00C16FAE" w:rsidP="00414A87">
            <w:pPr>
              <w:pStyle w:val="Tableheading"/>
              <w:rPr>
                <w:rFonts w:cstheme="minorHAnsi"/>
                <w:b w:val="0"/>
                <w:sz w:val="20"/>
                <w:szCs w:val="20"/>
              </w:rPr>
            </w:pPr>
            <w:r>
              <w:rPr>
                <w:rFonts w:cstheme="minorHAnsi"/>
                <w:b w:val="0"/>
                <w:sz w:val="20"/>
                <w:szCs w:val="20"/>
              </w:rPr>
              <w:t>&lt;10</w:t>
            </w:r>
          </w:p>
        </w:tc>
        <w:tc>
          <w:tcPr>
            <w:tcW w:w="0" w:type="auto"/>
          </w:tcPr>
          <w:p w14:paraId="376B770F" w14:textId="77777777" w:rsidR="00965D20" w:rsidRPr="000F2789" w:rsidRDefault="00965D20" w:rsidP="00414A87">
            <w:pPr>
              <w:pStyle w:val="Tableheading"/>
              <w:rPr>
                <w:rFonts w:cstheme="minorHAnsi"/>
                <w:b w:val="0"/>
                <w:sz w:val="20"/>
                <w:szCs w:val="20"/>
              </w:rPr>
            </w:pPr>
            <w:r>
              <w:rPr>
                <w:rFonts w:cstheme="minorHAnsi"/>
                <w:b w:val="0"/>
                <w:sz w:val="20"/>
                <w:szCs w:val="20"/>
              </w:rPr>
              <w:t>&lt;5</w:t>
            </w:r>
          </w:p>
        </w:tc>
      </w:tr>
      <w:tr w:rsidR="00965D20" w:rsidRPr="001D0858" w14:paraId="7F4B2F26" w14:textId="77777777" w:rsidTr="00414A87">
        <w:trPr>
          <w:trHeight w:val="20"/>
        </w:trPr>
        <w:tc>
          <w:tcPr>
            <w:tcW w:w="0" w:type="auto"/>
          </w:tcPr>
          <w:p w14:paraId="519F1FE1"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Risedronate (incl combination products)</w:t>
            </w:r>
          </w:p>
        </w:tc>
        <w:tc>
          <w:tcPr>
            <w:tcW w:w="0" w:type="auto"/>
          </w:tcPr>
          <w:p w14:paraId="6096E642"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94</w:t>
            </w:r>
          </w:p>
        </w:tc>
        <w:tc>
          <w:tcPr>
            <w:tcW w:w="0" w:type="auto"/>
          </w:tcPr>
          <w:p w14:paraId="180C64EB"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107</w:t>
            </w:r>
          </w:p>
        </w:tc>
        <w:tc>
          <w:tcPr>
            <w:tcW w:w="0" w:type="auto"/>
          </w:tcPr>
          <w:p w14:paraId="2E885746"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98</w:t>
            </w:r>
          </w:p>
        </w:tc>
        <w:tc>
          <w:tcPr>
            <w:tcW w:w="0" w:type="auto"/>
          </w:tcPr>
          <w:p w14:paraId="3F88F258"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104</w:t>
            </w:r>
          </w:p>
        </w:tc>
        <w:tc>
          <w:tcPr>
            <w:tcW w:w="0" w:type="auto"/>
          </w:tcPr>
          <w:p w14:paraId="03C5F29D"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88</w:t>
            </w:r>
          </w:p>
        </w:tc>
        <w:tc>
          <w:tcPr>
            <w:tcW w:w="0" w:type="auto"/>
          </w:tcPr>
          <w:p w14:paraId="5BF91FF0"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63</w:t>
            </w:r>
          </w:p>
        </w:tc>
      </w:tr>
      <w:tr w:rsidR="00965D20" w:rsidRPr="001D0858" w14:paraId="0AD67DED" w14:textId="77777777" w:rsidTr="00414A87">
        <w:trPr>
          <w:trHeight w:val="20"/>
        </w:trPr>
        <w:tc>
          <w:tcPr>
            <w:tcW w:w="0" w:type="auto"/>
          </w:tcPr>
          <w:p w14:paraId="025CB367"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Strontium ranelate (delisted August 2016)</w:t>
            </w:r>
          </w:p>
        </w:tc>
        <w:tc>
          <w:tcPr>
            <w:tcW w:w="0" w:type="auto"/>
          </w:tcPr>
          <w:p w14:paraId="395B2DCA"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32</w:t>
            </w:r>
          </w:p>
        </w:tc>
        <w:tc>
          <w:tcPr>
            <w:tcW w:w="0" w:type="auto"/>
          </w:tcPr>
          <w:p w14:paraId="79F88123"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12</w:t>
            </w:r>
          </w:p>
        </w:tc>
        <w:tc>
          <w:tcPr>
            <w:tcW w:w="0" w:type="auto"/>
          </w:tcPr>
          <w:p w14:paraId="4D7F1BFE"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w:t>
            </w:r>
          </w:p>
        </w:tc>
        <w:tc>
          <w:tcPr>
            <w:tcW w:w="0" w:type="auto"/>
          </w:tcPr>
          <w:p w14:paraId="2061B7EA" w14:textId="77777777" w:rsidR="00965D20" w:rsidRPr="000F2789" w:rsidRDefault="00965D20" w:rsidP="00414A87">
            <w:pPr>
              <w:pStyle w:val="Tableheading"/>
              <w:rPr>
                <w:rFonts w:cstheme="minorHAnsi"/>
                <w:b w:val="0"/>
                <w:sz w:val="20"/>
                <w:szCs w:val="20"/>
              </w:rPr>
            </w:pPr>
            <w:r>
              <w:rPr>
                <w:rFonts w:cstheme="minorHAnsi"/>
                <w:b w:val="0"/>
                <w:sz w:val="20"/>
                <w:szCs w:val="20"/>
              </w:rPr>
              <w:t>-</w:t>
            </w:r>
          </w:p>
        </w:tc>
        <w:tc>
          <w:tcPr>
            <w:tcW w:w="0" w:type="auto"/>
          </w:tcPr>
          <w:p w14:paraId="5FD96146" w14:textId="77777777" w:rsidR="00965D20" w:rsidRPr="000F2789" w:rsidRDefault="00965D20" w:rsidP="00414A87">
            <w:pPr>
              <w:pStyle w:val="Tableheading"/>
              <w:rPr>
                <w:rFonts w:cstheme="minorHAnsi"/>
                <w:b w:val="0"/>
                <w:sz w:val="20"/>
                <w:szCs w:val="20"/>
              </w:rPr>
            </w:pPr>
            <w:r>
              <w:rPr>
                <w:rFonts w:cstheme="minorHAnsi"/>
                <w:b w:val="0"/>
                <w:sz w:val="20"/>
                <w:szCs w:val="20"/>
              </w:rPr>
              <w:t>-</w:t>
            </w:r>
          </w:p>
        </w:tc>
        <w:tc>
          <w:tcPr>
            <w:tcW w:w="0" w:type="auto"/>
          </w:tcPr>
          <w:p w14:paraId="3175AF65" w14:textId="77777777" w:rsidR="00965D20" w:rsidRPr="000F2789" w:rsidRDefault="00965D20" w:rsidP="00414A87">
            <w:pPr>
              <w:pStyle w:val="Tableheading"/>
              <w:rPr>
                <w:rFonts w:cstheme="minorHAnsi"/>
                <w:b w:val="0"/>
                <w:sz w:val="20"/>
                <w:szCs w:val="20"/>
              </w:rPr>
            </w:pPr>
            <w:r>
              <w:rPr>
                <w:rFonts w:cstheme="minorHAnsi"/>
                <w:b w:val="0"/>
                <w:sz w:val="20"/>
                <w:szCs w:val="20"/>
              </w:rPr>
              <w:t>-</w:t>
            </w:r>
          </w:p>
        </w:tc>
      </w:tr>
      <w:tr w:rsidR="00965D20" w:rsidRPr="001D0858" w14:paraId="4916D677" w14:textId="77777777" w:rsidTr="00414A87">
        <w:trPr>
          <w:trHeight w:val="20"/>
        </w:trPr>
        <w:tc>
          <w:tcPr>
            <w:tcW w:w="0" w:type="auto"/>
          </w:tcPr>
          <w:p w14:paraId="61A9A478"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Teriparatide</w:t>
            </w:r>
          </w:p>
        </w:tc>
        <w:tc>
          <w:tcPr>
            <w:tcW w:w="0" w:type="auto"/>
          </w:tcPr>
          <w:p w14:paraId="44177259" w14:textId="77777777" w:rsidR="00965D20" w:rsidRPr="000F2789" w:rsidRDefault="00965D20" w:rsidP="00414A87">
            <w:pPr>
              <w:pStyle w:val="Tableheading"/>
              <w:rPr>
                <w:rFonts w:cstheme="minorHAnsi"/>
                <w:b w:val="0"/>
                <w:sz w:val="20"/>
                <w:szCs w:val="20"/>
              </w:rPr>
            </w:pPr>
            <w:r>
              <w:rPr>
                <w:rFonts w:cstheme="minorHAnsi"/>
                <w:b w:val="0"/>
                <w:sz w:val="20"/>
                <w:szCs w:val="20"/>
              </w:rPr>
              <w:t xml:space="preserve">&lt;5 </w:t>
            </w:r>
          </w:p>
        </w:tc>
        <w:tc>
          <w:tcPr>
            <w:tcW w:w="0" w:type="auto"/>
          </w:tcPr>
          <w:p w14:paraId="528AA99B" w14:textId="77777777" w:rsidR="00965D20" w:rsidRPr="000F2789" w:rsidRDefault="00965D20" w:rsidP="00414A87">
            <w:pPr>
              <w:pStyle w:val="Tableheading"/>
              <w:rPr>
                <w:rFonts w:cstheme="minorHAnsi"/>
                <w:b w:val="0"/>
                <w:sz w:val="20"/>
                <w:szCs w:val="20"/>
              </w:rPr>
            </w:pPr>
            <w:r>
              <w:rPr>
                <w:rFonts w:cstheme="minorHAnsi"/>
                <w:b w:val="0"/>
                <w:sz w:val="20"/>
                <w:szCs w:val="20"/>
              </w:rPr>
              <w:t>&lt;5</w:t>
            </w:r>
          </w:p>
        </w:tc>
        <w:tc>
          <w:tcPr>
            <w:tcW w:w="0" w:type="auto"/>
          </w:tcPr>
          <w:p w14:paraId="2C998104" w14:textId="77777777" w:rsidR="00965D20" w:rsidRPr="000F2789" w:rsidRDefault="00965D20" w:rsidP="00414A87">
            <w:pPr>
              <w:pStyle w:val="Tableheading"/>
              <w:rPr>
                <w:rFonts w:cstheme="minorHAnsi"/>
                <w:b w:val="0"/>
                <w:sz w:val="20"/>
                <w:szCs w:val="20"/>
              </w:rPr>
            </w:pPr>
            <w:r>
              <w:rPr>
                <w:rFonts w:cstheme="minorHAnsi"/>
                <w:b w:val="0"/>
                <w:sz w:val="20"/>
                <w:szCs w:val="20"/>
              </w:rPr>
              <w:t>&lt;5</w:t>
            </w:r>
          </w:p>
        </w:tc>
        <w:tc>
          <w:tcPr>
            <w:tcW w:w="0" w:type="auto"/>
          </w:tcPr>
          <w:p w14:paraId="17F74AE6" w14:textId="77777777" w:rsidR="00965D20" w:rsidRPr="000F2789" w:rsidRDefault="00965D20" w:rsidP="00414A87">
            <w:pPr>
              <w:pStyle w:val="Tableheading"/>
              <w:rPr>
                <w:rFonts w:cstheme="minorHAnsi"/>
                <w:b w:val="0"/>
                <w:sz w:val="20"/>
                <w:szCs w:val="20"/>
              </w:rPr>
            </w:pPr>
            <w:r>
              <w:rPr>
                <w:rFonts w:cstheme="minorHAnsi"/>
                <w:b w:val="0"/>
                <w:sz w:val="20"/>
                <w:szCs w:val="20"/>
              </w:rPr>
              <w:t>-</w:t>
            </w:r>
          </w:p>
        </w:tc>
        <w:tc>
          <w:tcPr>
            <w:tcW w:w="0" w:type="auto"/>
          </w:tcPr>
          <w:p w14:paraId="0501283C" w14:textId="77777777" w:rsidR="00965D20" w:rsidRPr="000F2789" w:rsidRDefault="00965D20" w:rsidP="00414A87">
            <w:pPr>
              <w:pStyle w:val="Tableheading"/>
              <w:rPr>
                <w:rFonts w:cstheme="minorHAnsi"/>
                <w:b w:val="0"/>
                <w:sz w:val="20"/>
                <w:szCs w:val="20"/>
              </w:rPr>
            </w:pPr>
            <w:r>
              <w:rPr>
                <w:rFonts w:cstheme="minorHAnsi"/>
                <w:b w:val="0"/>
                <w:sz w:val="20"/>
                <w:szCs w:val="20"/>
              </w:rPr>
              <w:t>&lt;5</w:t>
            </w:r>
          </w:p>
        </w:tc>
        <w:tc>
          <w:tcPr>
            <w:tcW w:w="0" w:type="auto"/>
          </w:tcPr>
          <w:p w14:paraId="18712EA3" w14:textId="77777777" w:rsidR="00965D20" w:rsidRPr="000F2789" w:rsidRDefault="00965D20" w:rsidP="00414A87">
            <w:pPr>
              <w:pStyle w:val="Tableheading"/>
              <w:rPr>
                <w:rFonts w:cstheme="minorHAnsi"/>
                <w:b w:val="0"/>
                <w:sz w:val="20"/>
                <w:szCs w:val="20"/>
              </w:rPr>
            </w:pPr>
            <w:r>
              <w:rPr>
                <w:rFonts w:cstheme="minorHAnsi"/>
                <w:b w:val="0"/>
                <w:sz w:val="20"/>
                <w:szCs w:val="20"/>
              </w:rPr>
              <w:t>-</w:t>
            </w:r>
          </w:p>
        </w:tc>
      </w:tr>
      <w:tr w:rsidR="00965D20" w:rsidRPr="001D0858" w14:paraId="7AA047DD" w14:textId="77777777" w:rsidTr="00414A87">
        <w:trPr>
          <w:trHeight w:val="20"/>
        </w:trPr>
        <w:tc>
          <w:tcPr>
            <w:tcW w:w="0" w:type="auto"/>
          </w:tcPr>
          <w:p w14:paraId="0C2E765D" w14:textId="77777777" w:rsidR="00965D20" w:rsidRPr="00957354" w:rsidRDefault="00965D20" w:rsidP="00414A87">
            <w:pPr>
              <w:pStyle w:val="Tableheading"/>
              <w:jc w:val="left"/>
              <w:rPr>
                <w:rFonts w:cstheme="minorHAnsi"/>
                <w:sz w:val="20"/>
                <w:szCs w:val="20"/>
              </w:rPr>
            </w:pPr>
            <w:r w:rsidRPr="00957354">
              <w:rPr>
                <w:rFonts w:cstheme="minorHAnsi"/>
                <w:sz w:val="20"/>
                <w:szCs w:val="20"/>
              </w:rPr>
              <w:lastRenderedPageBreak/>
              <w:t>Zoledronic acid</w:t>
            </w:r>
          </w:p>
        </w:tc>
        <w:tc>
          <w:tcPr>
            <w:tcW w:w="0" w:type="auto"/>
          </w:tcPr>
          <w:p w14:paraId="6D7F8D2C"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64</w:t>
            </w:r>
          </w:p>
        </w:tc>
        <w:tc>
          <w:tcPr>
            <w:tcW w:w="0" w:type="auto"/>
          </w:tcPr>
          <w:p w14:paraId="5157C473"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84</w:t>
            </w:r>
          </w:p>
        </w:tc>
        <w:tc>
          <w:tcPr>
            <w:tcW w:w="0" w:type="auto"/>
          </w:tcPr>
          <w:p w14:paraId="2F18462C"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64</w:t>
            </w:r>
          </w:p>
        </w:tc>
        <w:tc>
          <w:tcPr>
            <w:tcW w:w="0" w:type="auto"/>
          </w:tcPr>
          <w:p w14:paraId="5148CA05"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63</w:t>
            </w:r>
          </w:p>
        </w:tc>
        <w:tc>
          <w:tcPr>
            <w:tcW w:w="0" w:type="auto"/>
          </w:tcPr>
          <w:p w14:paraId="707AF8F5"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63</w:t>
            </w:r>
          </w:p>
        </w:tc>
        <w:tc>
          <w:tcPr>
            <w:tcW w:w="0" w:type="auto"/>
          </w:tcPr>
          <w:p w14:paraId="38ADB25C"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41</w:t>
            </w:r>
          </w:p>
        </w:tc>
      </w:tr>
      <w:tr w:rsidR="00965D20" w:rsidRPr="001D0858" w14:paraId="2BC60556" w14:textId="77777777" w:rsidTr="00414A87">
        <w:trPr>
          <w:trHeight w:val="20"/>
        </w:trPr>
        <w:tc>
          <w:tcPr>
            <w:tcW w:w="0" w:type="auto"/>
          </w:tcPr>
          <w:p w14:paraId="71F1DE52" w14:textId="77777777" w:rsidR="00965D20" w:rsidRPr="00957354" w:rsidRDefault="00965D20" w:rsidP="00414A87">
            <w:pPr>
              <w:pStyle w:val="Tableheading"/>
              <w:jc w:val="left"/>
              <w:rPr>
                <w:rFonts w:cstheme="minorHAnsi"/>
                <w:sz w:val="20"/>
                <w:szCs w:val="20"/>
              </w:rPr>
            </w:pPr>
            <w:r w:rsidRPr="00957354">
              <w:rPr>
                <w:rFonts w:cstheme="minorHAnsi"/>
                <w:sz w:val="20"/>
                <w:szCs w:val="20"/>
              </w:rPr>
              <w:t>Alendronate (incl combination products)</w:t>
            </w:r>
          </w:p>
        </w:tc>
        <w:tc>
          <w:tcPr>
            <w:tcW w:w="0" w:type="auto"/>
          </w:tcPr>
          <w:p w14:paraId="66EAE580"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144</w:t>
            </w:r>
          </w:p>
        </w:tc>
        <w:tc>
          <w:tcPr>
            <w:tcW w:w="0" w:type="auto"/>
          </w:tcPr>
          <w:p w14:paraId="5C734720"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122</w:t>
            </w:r>
          </w:p>
        </w:tc>
        <w:tc>
          <w:tcPr>
            <w:tcW w:w="0" w:type="auto"/>
          </w:tcPr>
          <w:p w14:paraId="4D7C787B"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114</w:t>
            </w:r>
          </w:p>
        </w:tc>
        <w:tc>
          <w:tcPr>
            <w:tcW w:w="0" w:type="auto"/>
          </w:tcPr>
          <w:p w14:paraId="3B26E911"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109</w:t>
            </w:r>
          </w:p>
        </w:tc>
        <w:tc>
          <w:tcPr>
            <w:tcW w:w="0" w:type="auto"/>
          </w:tcPr>
          <w:p w14:paraId="5EC7F79B"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86</w:t>
            </w:r>
          </w:p>
        </w:tc>
        <w:tc>
          <w:tcPr>
            <w:tcW w:w="0" w:type="auto"/>
          </w:tcPr>
          <w:p w14:paraId="3872EB9F" w14:textId="77777777" w:rsidR="00965D20" w:rsidRPr="000F2789" w:rsidRDefault="00965D20" w:rsidP="00414A87">
            <w:pPr>
              <w:pStyle w:val="Tableheading"/>
              <w:rPr>
                <w:rFonts w:cstheme="minorHAnsi"/>
                <w:b w:val="0"/>
                <w:sz w:val="20"/>
                <w:szCs w:val="20"/>
              </w:rPr>
            </w:pPr>
            <w:r w:rsidRPr="00A63DC0">
              <w:rPr>
                <w:rFonts w:cstheme="minorHAnsi"/>
                <w:b w:val="0"/>
                <w:sz w:val="20"/>
                <w:szCs w:val="20"/>
              </w:rPr>
              <w:t>79</w:t>
            </w:r>
          </w:p>
        </w:tc>
      </w:tr>
      <w:tr w:rsidR="00965D20" w:rsidRPr="001D0858" w14:paraId="0BDA0466" w14:textId="77777777" w:rsidTr="00414A87">
        <w:trPr>
          <w:trHeight w:val="20"/>
        </w:trPr>
        <w:tc>
          <w:tcPr>
            <w:tcW w:w="0" w:type="auto"/>
            <w:gridSpan w:val="7"/>
            <w:shd w:val="clear" w:color="auto" w:fill="D9D9D9" w:themeFill="background1" w:themeFillShade="D9"/>
          </w:tcPr>
          <w:p w14:paraId="66C76E29" w14:textId="77777777" w:rsidR="00965D20" w:rsidRPr="00C11A25" w:rsidRDefault="00965D20" w:rsidP="00414A87">
            <w:pPr>
              <w:pStyle w:val="Tableheading"/>
              <w:rPr>
                <w:sz w:val="20"/>
                <w:szCs w:val="20"/>
              </w:rPr>
            </w:pPr>
            <w:r>
              <w:rPr>
                <w:sz w:val="20"/>
                <w:szCs w:val="20"/>
              </w:rPr>
              <w:t>50–59 year old</w:t>
            </w:r>
          </w:p>
        </w:tc>
      </w:tr>
      <w:tr w:rsidR="00965D20" w:rsidRPr="001D0858" w14:paraId="7416544B" w14:textId="77777777" w:rsidTr="00414A87">
        <w:trPr>
          <w:trHeight w:val="20"/>
        </w:trPr>
        <w:tc>
          <w:tcPr>
            <w:tcW w:w="0" w:type="auto"/>
          </w:tcPr>
          <w:p w14:paraId="45E766F1" w14:textId="77777777" w:rsidR="00965D20" w:rsidRPr="00D076AA" w:rsidRDefault="00965D20" w:rsidP="00414A87">
            <w:pPr>
              <w:pStyle w:val="Tableheading"/>
              <w:jc w:val="left"/>
              <w:rPr>
                <w:rFonts w:cstheme="minorHAnsi"/>
                <w:sz w:val="20"/>
                <w:szCs w:val="20"/>
              </w:rPr>
            </w:pPr>
            <w:r w:rsidRPr="00124896">
              <w:rPr>
                <w:rFonts w:cstheme="minorHAnsi"/>
                <w:sz w:val="20"/>
                <w:szCs w:val="20"/>
              </w:rPr>
              <w:t>Alendronate (incl combination products)</w:t>
            </w:r>
          </w:p>
        </w:tc>
        <w:tc>
          <w:tcPr>
            <w:tcW w:w="0" w:type="auto"/>
          </w:tcPr>
          <w:p w14:paraId="5964F3A1"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479</w:t>
            </w:r>
          </w:p>
        </w:tc>
        <w:tc>
          <w:tcPr>
            <w:tcW w:w="0" w:type="auto"/>
          </w:tcPr>
          <w:p w14:paraId="10E35DA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455</w:t>
            </w:r>
          </w:p>
        </w:tc>
        <w:tc>
          <w:tcPr>
            <w:tcW w:w="0" w:type="auto"/>
          </w:tcPr>
          <w:p w14:paraId="7D8C944D"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428</w:t>
            </w:r>
          </w:p>
        </w:tc>
        <w:tc>
          <w:tcPr>
            <w:tcW w:w="0" w:type="auto"/>
          </w:tcPr>
          <w:p w14:paraId="15223680"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387</w:t>
            </w:r>
          </w:p>
        </w:tc>
        <w:tc>
          <w:tcPr>
            <w:tcW w:w="0" w:type="auto"/>
          </w:tcPr>
          <w:p w14:paraId="5C918EF6"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331</w:t>
            </w:r>
          </w:p>
        </w:tc>
        <w:tc>
          <w:tcPr>
            <w:tcW w:w="0" w:type="auto"/>
          </w:tcPr>
          <w:p w14:paraId="572651A0"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264</w:t>
            </w:r>
          </w:p>
        </w:tc>
      </w:tr>
      <w:tr w:rsidR="00965D20" w:rsidRPr="001D0858" w14:paraId="46A4EFCE" w14:textId="77777777" w:rsidTr="00414A87">
        <w:trPr>
          <w:trHeight w:val="20"/>
        </w:trPr>
        <w:tc>
          <w:tcPr>
            <w:tcW w:w="0" w:type="auto"/>
          </w:tcPr>
          <w:p w14:paraId="17ACB40A" w14:textId="77777777" w:rsidR="00965D20" w:rsidRPr="00D076AA" w:rsidRDefault="00965D20" w:rsidP="00414A87">
            <w:pPr>
              <w:pStyle w:val="Tableheading"/>
              <w:jc w:val="left"/>
              <w:rPr>
                <w:rFonts w:cstheme="minorHAnsi"/>
                <w:sz w:val="20"/>
                <w:szCs w:val="20"/>
              </w:rPr>
            </w:pPr>
            <w:r w:rsidRPr="00124896">
              <w:rPr>
                <w:rFonts w:cstheme="minorHAnsi"/>
                <w:sz w:val="20"/>
                <w:szCs w:val="20"/>
              </w:rPr>
              <w:t>Calcitriol</w:t>
            </w:r>
          </w:p>
        </w:tc>
        <w:tc>
          <w:tcPr>
            <w:tcW w:w="0" w:type="auto"/>
          </w:tcPr>
          <w:p w14:paraId="5783A199"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459</w:t>
            </w:r>
          </w:p>
        </w:tc>
        <w:tc>
          <w:tcPr>
            <w:tcW w:w="0" w:type="auto"/>
          </w:tcPr>
          <w:p w14:paraId="6FDB4CBC"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455</w:t>
            </w:r>
          </w:p>
        </w:tc>
        <w:tc>
          <w:tcPr>
            <w:tcW w:w="0" w:type="auto"/>
          </w:tcPr>
          <w:p w14:paraId="4B1BC68D"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465</w:t>
            </w:r>
          </w:p>
        </w:tc>
        <w:tc>
          <w:tcPr>
            <w:tcW w:w="0" w:type="auto"/>
          </w:tcPr>
          <w:p w14:paraId="039CEB9D"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438</w:t>
            </w:r>
          </w:p>
        </w:tc>
        <w:tc>
          <w:tcPr>
            <w:tcW w:w="0" w:type="auto"/>
          </w:tcPr>
          <w:p w14:paraId="3607981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474</w:t>
            </w:r>
          </w:p>
        </w:tc>
        <w:tc>
          <w:tcPr>
            <w:tcW w:w="0" w:type="auto"/>
          </w:tcPr>
          <w:p w14:paraId="5C626AB8"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391</w:t>
            </w:r>
          </w:p>
        </w:tc>
      </w:tr>
      <w:tr w:rsidR="00965D20" w:rsidRPr="001D0858" w14:paraId="1E70FF74" w14:textId="77777777" w:rsidTr="00414A87">
        <w:trPr>
          <w:trHeight w:val="20"/>
        </w:trPr>
        <w:tc>
          <w:tcPr>
            <w:tcW w:w="0" w:type="auto"/>
          </w:tcPr>
          <w:p w14:paraId="40909F4E" w14:textId="77777777" w:rsidR="00965D20" w:rsidRPr="00D076AA" w:rsidRDefault="00965D20" w:rsidP="00414A87">
            <w:pPr>
              <w:pStyle w:val="Tableheading"/>
              <w:jc w:val="left"/>
              <w:rPr>
                <w:rFonts w:cstheme="minorHAnsi"/>
                <w:sz w:val="20"/>
                <w:szCs w:val="20"/>
              </w:rPr>
            </w:pPr>
            <w:r w:rsidRPr="00124896">
              <w:rPr>
                <w:rFonts w:cstheme="minorHAnsi"/>
                <w:sz w:val="20"/>
                <w:szCs w:val="20"/>
              </w:rPr>
              <w:t>Denosumab</w:t>
            </w:r>
          </w:p>
        </w:tc>
        <w:tc>
          <w:tcPr>
            <w:tcW w:w="0" w:type="auto"/>
          </w:tcPr>
          <w:p w14:paraId="073C5BA4"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720</w:t>
            </w:r>
          </w:p>
        </w:tc>
        <w:tc>
          <w:tcPr>
            <w:tcW w:w="0" w:type="auto"/>
          </w:tcPr>
          <w:p w14:paraId="31945010"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1,033</w:t>
            </w:r>
          </w:p>
        </w:tc>
        <w:tc>
          <w:tcPr>
            <w:tcW w:w="0" w:type="auto"/>
          </w:tcPr>
          <w:p w14:paraId="21D0331B"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1,379</w:t>
            </w:r>
          </w:p>
        </w:tc>
        <w:tc>
          <w:tcPr>
            <w:tcW w:w="0" w:type="auto"/>
          </w:tcPr>
          <w:p w14:paraId="4B455C9D"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1,601</w:t>
            </w:r>
          </w:p>
        </w:tc>
        <w:tc>
          <w:tcPr>
            <w:tcW w:w="0" w:type="auto"/>
          </w:tcPr>
          <w:p w14:paraId="3EFEC9A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1,701</w:t>
            </w:r>
          </w:p>
        </w:tc>
        <w:tc>
          <w:tcPr>
            <w:tcW w:w="0" w:type="auto"/>
          </w:tcPr>
          <w:p w14:paraId="4F8AE49B"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1,290</w:t>
            </w:r>
          </w:p>
        </w:tc>
      </w:tr>
      <w:tr w:rsidR="00965D20" w:rsidRPr="001D0858" w14:paraId="33822DB3" w14:textId="77777777" w:rsidTr="00414A87">
        <w:trPr>
          <w:trHeight w:val="20"/>
        </w:trPr>
        <w:tc>
          <w:tcPr>
            <w:tcW w:w="0" w:type="auto"/>
          </w:tcPr>
          <w:p w14:paraId="7004C341" w14:textId="77777777" w:rsidR="00965D20" w:rsidRPr="00124896" w:rsidRDefault="00965D20" w:rsidP="00414A87">
            <w:pPr>
              <w:pStyle w:val="Tableheading"/>
              <w:jc w:val="left"/>
              <w:rPr>
                <w:rFonts w:cstheme="minorHAnsi"/>
                <w:sz w:val="20"/>
                <w:szCs w:val="20"/>
              </w:rPr>
            </w:pPr>
            <w:r w:rsidRPr="00124896">
              <w:rPr>
                <w:rFonts w:cstheme="minorHAnsi"/>
                <w:sz w:val="20"/>
                <w:szCs w:val="20"/>
              </w:rPr>
              <w:t>Raloxifene</w:t>
            </w:r>
          </w:p>
        </w:tc>
        <w:tc>
          <w:tcPr>
            <w:tcW w:w="0" w:type="auto"/>
          </w:tcPr>
          <w:p w14:paraId="01C384B6"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80</w:t>
            </w:r>
          </w:p>
        </w:tc>
        <w:tc>
          <w:tcPr>
            <w:tcW w:w="0" w:type="auto"/>
          </w:tcPr>
          <w:p w14:paraId="44C6E36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63</w:t>
            </w:r>
          </w:p>
        </w:tc>
        <w:tc>
          <w:tcPr>
            <w:tcW w:w="0" w:type="auto"/>
          </w:tcPr>
          <w:p w14:paraId="1D0EC37C"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59</w:t>
            </w:r>
          </w:p>
        </w:tc>
        <w:tc>
          <w:tcPr>
            <w:tcW w:w="0" w:type="auto"/>
          </w:tcPr>
          <w:p w14:paraId="5A6E271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47</w:t>
            </w:r>
          </w:p>
        </w:tc>
        <w:tc>
          <w:tcPr>
            <w:tcW w:w="0" w:type="auto"/>
          </w:tcPr>
          <w:p w14:paraId="4EDE7C4A"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48</w:t>
            </w:r>
          </w:p>
        </w:tc>
        <w:tc>
          <w:tcPr>
            <w:tcW w:w="0" w:type="auto"/>
          </w:tcPr>
          <w:p w14:paraId="4853020B"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40</w:t>
            </w:r>
          </w:p>
        </w:tc>
      </w:tr>
      <w:tr w:rsidR="00965D20" w:rsidRPr="001D0858" w14:paraId="5B9BF780" w14:textId="77777777" w:rsidTr="00414A87">
        <w:trPr>
          <w:trHeight w:val="20"/>
        </w:trPr>
        <w:tc>
          <w:tcPr>
            <w:tcW w:w="0" w:type="auto"/>
          </w:tcPr>
          <w:p w14:paraId="241FED5E" w14:textId="77777777" w:rsidR="00965D20" w:rsidRPr="003152F1" w:rsidRDefault="00965D20" w:rsidP="00414A87">
            <w:pPr>
              <w:pStyle w:val="Tableheading"/>
              <w:jc w:val="left"/>
              <w:rPr>
                <w:rFonts w:cstheme="minorHAnsi"/>
                <w:sz w:val="20"/>
                <w:szCs w:val="20"/>
              </w:rPr>
            </w:pPr>
            <w:r w:rsidRPr="00124896">
              <w:rPr>
                <w:rFonts w:cstheme="minorHAnsi"/>
                <w:sz w:val="20"/>
                <w:szCs w:val="20"/>
              </w:rPr>
              <w:t>Risedronate (incl combination products)</w:t>
            </w:r>
          </w:p>
        </w:tc>
        <w:tc>
          <w:tcPr>
            <w:tcW w:w="0" w:type="auto"/>
          </w:tcPr>
          <w:p w14:paraId="77E1F19B"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300</w:t>
            </w:r>
          </w:p>
        </w:tc>
        <w:tc>
          <w:tcPr>
            <w:tcW w:w="0" w:type="auto"/>
          </w:tcPr>
          <w:p w14:paraId="31FECBEF"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265</w:t>
            </w:r>
          </w:p>
        </w:tc>
        <w:tc>
          <w:tcPr>
            <w:tcW w:w="0" w:type="auto"/>
          </w:tcPr>
          <w:p w14:paraId="16E256C9"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248</w:t>
            </w:r>
          </w:p>
        </w:tc>
        <w:tc>
          <w:tcPr>
            <w:tcW w:w="0" w:type="auto"/>
          </w:tcPr>
          <w:p w14:paraId="04281106"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240</w:t>
            </w:r>
          </w:p>
        </w:tc>
        <w:tc>
          <w:tcPr>
            <w:tcW w:w="0" w:type="auto"/>
          </w:tcPr>
          <w:p w14:paraId="1021C8E8"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257</w:t>
            </w:r>
          </w:p>
        </w:tc>
        <w:tc>
          <w:tcPr>
            <w:tcW w:w="0" w:type="auto"/>
          </w:tcPr>
          <w:p w14:paraId="7B2528D2"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202</w:t>
            </w:r>
          </w:p>
        </w:tc>
      </w:tr>
      <w:tr w:rsidR="00965D20" w:rsidRPr="001D0858" w14:paraId="78E358D9" w14:textId="77777777" w:rsidTr="00414A87">
        <w:trPr>
          <w:trHeight w:val="20"/>
        </w:trPr>
        <w:tc>
          <w:tcPr>
            <w:tcW w:w="0" w:type="auto"/>
          </w:tcPr>
          <w:p w14:paraId="0972C30B" w14:textId="77777777" w:rsidR="00965D20" w:rsidRPr="003152F1" w:rsidRDefault="00965D20" w:rsidP="00414A87">
            <w:pPr>
              <w:pStyle w:val="Tableheading"/>
              <w:jc w:val="left"/>
              <w:rPr>
                <w:rFonts w:cstheme="minorHAnsi"/>
                <w:sz w:val="20"/>
                <w:szCs w:val="20"/>
              </w:rPr>
            </w:pPr>
            <w:r w:rsidRPr="00124896">
              <w:rPr>
                <w:rFonts w:cstheme="minorHAnsi"/>
                <w:sz w:val="20"/>
                <w:szCs w:val="20"/>
              </w:rPr>
              <w:t>Strontium ranelate (delisted August 2016)</w:t>
            </w:r>
          </w:p>
        </w:tc>
        <w:tc>
          <w:tcPr>
            <w:tcW w:w="0" w:type="auto"/>
          </w:tcPr>
          <w:p w14:paraId="12B132CC"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190</w:t>
            </w:r>
          </w:p>
        </w:tc>
        <w:tc>
          <w:tcPr>
            <w:tcW w:w="0" w:type="auto"/>
          </w:tcPr>
          <w:p w14:paraId="32F67F9F"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80</w:t>
            </w:r>
          </w:p>
        </w:tc>
        <w:tc>
          <w:tcPr>
            <w:tcW w:w="0" w:type="auto"/>
          </w:tcPr>
          <w:p w14:paraId="358AC37D"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26</w:t>
            </w:r>
          </w:p>
        </w:tc>
        <w:tc>
          <w:tcPr>
            <w:tcW w:w="0" w:type="auto"/>
          </w:tcPr>
          <w:p w14:paraId="277A6C40"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1E97A4ED"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3A9ECB20"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r>
      <w:tr w:rsidR="00965D20" w:rsidRPr="001D0858" w14:paraId="6308D8A0" w14:textId="77777777" w:rsidTr="00414A87">
        <w:trPr>
          <w:trHeight w:val="20"/>
        </w:trPr>
        <w:tc>
          <w:tcPr>
            <w:tcW w:w="0" w:type="auto"/>
          </w:tcPr>
          <w:p w14:paraId="44D46EF3" w14:textId="77777777" w:rsidR="00965D20" w:rsidRPr="003152F1" w:rsidRDefault="00965D20" w:rsidP="00414A87">
            <w:pPr>
              <w:pStyle w:val="Tableheading"/>
              <w:jc w:val="left"/>
              <w:rPr>
                <w:rFonts w:cstheme="minorHAnsi"/>
                <w:sz w:val="20"/>
                <w:szCs w:val="20"/>
              </w:rPr>
            </w:pPr>
            <w:r w:rsidRPr="00124896">
              <w:rPr>
                <w:rFonts w:cstheme="minorHAnsi"/>
                <w:sz w:val="20"/>
                <w:szCs w:val="20"/>
              </w:rPr>
              <w:t>Teriparatide</w:t>
            </w:r>
          </w:p>
        </w:tc>
        <w:tc>
          <w:tcPr>
            <w:tcW w:w="0" w:type="auto"/>
          </w:tcPr>
          <w:p w14:paraId="24B12C55"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6</w:t>
            </w:r>
          </w:p>
        </w:tc>
        <w:tc>
          <w:tcPr>
            <w:tcW w:w="0" w:type="auto"/>
          </w:tcPr>
          <w:p w14:paraId="3BFE7A5E"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8</w:t>
            </w:r>
          </w:p>
        </w:tc>
        <w:tc>
          <w:tcPr>
            <w:tcW w:w="0" w:type="auto"/>
          </w:tcPr>
          <w:p w14:paraId="2CA9388C"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10</w:t>
            </w:r>
          </w:p>
        </w:tc>
        <w:tc>
          <w:tcPr>
            <w:tcW w:w="0" w:type="auto"/>
          </w:tcPr>
          <w:p w14:paraId="72EB28E0"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9</w:t>
            </w:r>
          </w:p>
        </w:tc>
        <w:tc>
          <w:tcPr>
            <w:tcW w:w="0" w:type="auto"/>
          </w:tcPr>
          <w:p w14:paraId="428C074C"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7</w:t>
            </w:r>
          </w:p>
        </w:tc>
        <w:tc>
          <w:tcPr>
            <w:tcW w:w="0" w:type="auto"/>
          </w:tcPr>
          <w:p w14:paraId="1100B412"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6</w:t>
            </w:r>
          </w:p>
        </w:tc>
      </w:tr>
      <w:tr w:rsidR="00965D20" w:rsidRPr="001D0858" w14:paraId="672C3B84" w14:textId="77777777" w:rsidTr="00414A87">
        <w:trPr>
          <w:trHeight w:val="20"/>
        </w:trPr>
        <w:tc>
          <w:tcPr>
            <w:tcW w:w="0" w:type="auto"/>
          </w:tcPr>
          <w:p w14:paraId="656B53E8" w14:textId="77777777" w:rsidR="00965D20" w:rsidRPr="003152F1" w:rsidRDefault="00965D20" w:rsidP="00414A87">
            <w:pPr>
              <w:pStyle w:val="Tableheading"/>
              <w:jc w:val="left"/>
              <w:rPr>
                <w:rFonts w:cstheme="minorHAnsi"/>
                <w:sz w:val="20"/>
                <w:szCs w:val="20"/>
              </w:rPr>
            </w:pPr>
            <w:r w:rsidRPr="00124896">
              <w:rPr>
                <w:rFonts w:cstheme="minorHAnsi"/>
                <w:sz w:val="20"/>
                <w:szCs w:val="20"/>
              </w:rPr>
              <w:t>Zoledronic acid</w:t>
            </w:r>
          </w:p>
        </w:tc>
        <w:tc>
          <w:tcPr>
            <w:tcW w:w="0" w:type="auto"/>
          </w:tcPr>
          <w:p w14:paraId="617EC6B1"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263</w:t>
            </w:r>
          </w:p>
        </w:tc>
        <w:tc>
          <w:tcPr>
            <w:tcW w:w="0" w:type="auto"/>
          </w:tcPr>
          <w:p w14:paraId="57996537"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208</w:t>
            </w:r>
          </w:p>
        </w:tc>
        <w:tc>
          <w:tcPr>
            <w:tcW w:w="0" w:type="auto"/>
          </w:tcPr>
          <w:p w14:paraId="32CCE4EB"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161</w:t>
            </w:r>
          </w:p>
        </w:tc>
        <w:tc>
          <w:tcPr>
            <w:tcW w:w="0" w:type="auto"/>
          </w:tcPr>
          <w:p w14:paraId="7976E176"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130</w:t>
            </w:r>
          </w:p>
        </w:tc>
        <w:tc>
          <w:tcPr>
            <w:tcW w:w="0" w:type="auto"/>
          </w:tcPr>
          <w:p w14:paraId="60B460C1"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141</w:t>
            </w:r>
          </w:p>
        </w:tc>
        <w:tc>
          <w:tcPr>
            <w:tcW w:w="0" w:type="auto"/>
          </w:tcPr>
          <w:p w14:paraId="02F0B3BE" w14:textId="77777777" w:rsidR="00965D20" w:rsidRPr="004B4004" w:rsidRDefault="00965D20" w:rsidP="00414A87">
            <w:pPr>
              <w:pStyle w:val="Tableheading"/>
              <w:rPr>
                <w:rFonts w:cstheme="minorHAnsi"/>
                <w:b w:val="0"/>
                <w:sz w:val="20"/>
                <w:szCs w:val="20"/>
              </w:rPr>
            </w:pPr>
            <w:r w:rsidRPr="00732625">
              <w:rPr>
                <w:rFonts w:cstheme="minorHAnsi"/>
                <w:b w:val="0"/>
                <w:sz w:val="20"/>
                <w:szCs w:val="20"/>
              </w:rPr>
              <w:t>68</w:t>
            </w:r>
          </w:p>
        </w:tc>
      </w:tr>
      <w:tr w:rsidR="00965D20" w:rsidRPr="001D0858" w14:paraId="7D7CD5AD" w14:textId="77777777" w:rsidTr="00414A87">
        <w:trPr>
          <w:trHeight w:val="20"/>
        </w:trPr>
        <w:tc>
          <w:tcPr>
            <w:tcW w:w="0" w:type="auto"/>
            <w:gridSpan w:val="7"/>
            <w:shd w:val="clear" w:color="auto" w:fill="D9D9D9" w:themeFill="background1" w:themeFillShade="D9"/>
          </w:tcPr>
          <w:p w14:paraId="26F41957" w14:textId="77777777" w:rsidR="00965D20" w:rsidRPr="004B4004" w:rsidRDefault="00965D20" w:rsidP="00414A87">
            <w:pPr>
              <w:pStyle w:val="Tableheading"/>
              <w:rPr>
                <w:rFonts w:cstheme="minorHAnsi"/>
                <w:b w:val="0"/>
                <w:sz w:val="20"/>
                <w:szCs w:val="20"/>
              </w:rPr>
            </w:pPr>
            <w:r>
              <w:rPr>
                <w:sz w:val="20"/>
                <w:szCs w:val="20"/>
              </w:rPr>
              <w:t>60–69 year old</w:t>
            </w:r>
          </w:p>
        </w:tc>
      </w:tr>
      <w:tr w:rsidR="00965D20" w:rsidRPr="001D0858" w14:paraId="46B1121B" w14:textId="77777777" w:rsidTr="00414A87">
        <w:trPr>
          <w:trHeight w:val="20"/>
        </w:trPr>
        <w:tc>
          <w:tcPr>
            <w:tcW w:w="0" w:type="auto"/>
          </w:tcPr>
          <w:p w14:paraId="391E3B18"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Alendronate (incl combination products)</w:t>
            </w:r>
          </w:p>
        </w:tc>
        <w:tc>
          <w:tcPr>
            <w:tcW w:w="0" w:type="auto"/>
          </w:tcPr>
          <w:p w14:paraId="57CDDB4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1,503</w:t>
            </w:r>
          </w:p>
        </w:tc>
        <w:tc>
          <w:tcPr>
            <w:tcW w:w="0" w:type="auto"/>
          </w:tcPr>
          <w:p w14:paraId="0F61877D"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1,411</w:t>
            </w:r>
          </w:p>
        </w:tc>
        <w:tc>
          <w:tcPr>
            <w:tcW w:w="0" w:type="auto"/>
          </w:tcPr>
          <w:p w14:paraId="2B977A5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1,237</w:t>
            </w:r>
          </w:p>
        </w:tc>
        <w:tc>
          <w:tcPr>
            <w:tcW w:w="0" w:type="auto"/>
          </w:tcPr>
          <w:p w14:paraId="6D3D0A5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1,108</w:t>
            </w:r>
          </w:p>
        </w:tc>
        <w:tc>
          <w:tcPr>
            <w:tcW w:w="0" w:type="auto"/>
          </w:tcPr>
          <w:p w14:paraId="59C3527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953</w:t>
            </w:r>
          </w:p>
        </w:tc>
        <w:tc>
          <w:tcPr>
            <w:tcW w:w="0" w:type="auto"/>
          </w:tcPr>
          <w:p w14:paraId="353ED654"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828</w:t>
            </w:r>
          </w:p>
        </w:tc>
      </w:tr>
      <w:tr w:rsidR="00965D20" w:rsidRPr="001D0858" w14:paraId="246A49E0" w14:textId="77777777" w:rsidTr="00414A87">
        <w:trPr>
          <w:trHeight w:val="20"/>
        </w:trPr>
        <w:tc>
          <w:tcPr>
            <w:tcW w:w="0" w:type="auto"/>
          </w:tcPr>
          <w:p w14:paraId="12107B7D"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Calcitriol</w:t>
            </w:r>
          </w:p>
        </w:tc>
        <w:tc>
          <w:tcPr>
            <w:tcW w:w="0" w:type="auto"/>
          </w:tcPr>
          <w:p w14:paraId="1D5E308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715</w:t>
            </w:r>
          </w:p>
        </w:tc>
        <w:tc>
          <w:tcPr>
            <w:tcW w:w="0" w:type="auto"/>
          </w:tcPr>
          <w:p w14:paraId="41791EEF"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679</w:t>
            </w:r>
          </w:p>
        </w:tc>
        <w:tc>
          <w:tcPr>
            <w:tcW w:w="0" w:type="auto"/>
          </w:tcPr>
          <w:p w14:paraId="5EA499E1"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679</w:t>
            </w:r>
          </w:p>
        </w:tc>
        <w:tc>
          <w:tcPr>
            <w:tcW w:w="0" w:type="auto"/>
          </w:tcPr>
          <w:p w14:paraId="6BB02B85"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689</w:t>
            </w:r>
          </w:p>
        </w:tc>
        <w:tc>
          <w:tcPr>
            <w:tcW w:w="0" w:type="auto"/>
          </w:tcPr>
          <w:p w14:paraId="608284E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662</w:t>
            </w:r>
          </w:p>
        </w:tc>
        <w:tc>
          <w:tcPr>
            <w:tcW w:w="0" w:type="auto"/>
          </w:tcPr>
          <w:p w14:paraId="0A3167DD"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574</w:t>
            </w:r>
          </w:p>
        </w:tc>
      </w:tr>
      <w:tr w:rsidR="00965D20" w:rsidRPr="001D0858" w14:paraId="5C6B99AE" w14:textId="77777777" w:rsidTr="00414A87">
        <w:trPr>
          <w:trHeight w:val="20"/>
        </w:trPr>
        <w:tc>
          <w:tcPr>
            <w:tcW w:w="0" w:type="auto"/>
          </w:tcPr>
          <w:p w14:paraId="1CA0DFE2"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Denosumab</w:t>
            </w:r>
          </w:p>
        </w:tc>
        <w:tc>
          <w:tcPr>
            <w:tcW w:w="0" w:type="auto"/>
          </w:tcPr>
          <w:p w14:paraId="62B99BD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2,196</w:t>
            </w:r>
          </w:p>
        </w:tc>
        <w:tc>
          <w:tcPr>
            <w:tcW w:w="0" w:type="auto"/>
          </w:tcPr>
          <w:p w14:paraId="059C96E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3,394</w:t>
            </w:r>
          </w:p>
        </w:tc>
        <w:tc>
          <w:tcPr>
            <w:tcW w:w="0" w:type="auto"/>
          </w:tcPr>
          <w:p w14:paraId="6355987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4,486</w:t>
            </w:r>
          </w:p>
        </w:tc>
        <w:tc>
          <w:tcPr>
            <w:tcW w:w="0" w:type="auto"/>
          </w:tcPr>
          <w:p w14:paraId="65C7262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5,509</w:t>
            </w:r>
          </w:p>
        </w:tc>
        <w:tc>
          <w:tcPr>
            <w:tcW w:w="0" w:type="auto"/>
          </w:tcPr>
          <w:p w14:paraId="240FC25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6,412</w:t>
            </w:r>
          </w:p>
        </w:tc>
        <w:tc>
          <w:tcPr>
            <w:tcW w:w="0" w:type="auto"/>
          </w:tcPr>
          <w:p w14:paraId="0B9E8BF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5,533</w:t>
            </w:r>
          </w:p>
        </w:tc>
      </w:tr>
      <w:tr w:rsidR="00965D20" w:rsidRPr="001D0858" w14:paraId="57CC047F" w14:textId="77777777" w:rsidTr="00414A87">
        <w:trPr>
          <w:trHeight w:val="20"/>
        </w:trPr>
        <w:tc>
          <w:tcPr>
            <w:tcW w:w="0" w:type="auto"/>
          </w:tcPr>
          <w:p w14:paraId="26F38F17"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Raloxifene</w:t>
            </w:r>
          </w:p>
        </w:tc>
        <w:tc>
          <w:tcPr>
            <w:tcW w:w="0" w:type="auto"/>
          </w:tcPr>
          <w:p w14:paraId="68C527E4" w14:textId="77777777" w:rsidR="00965D20" w:rsidRPr="004B4004" w:rsidRDefault="00965D20" w:rsidP="00414A87">
            <w:pPr>
              <w:pStyle w:val="Tableheading"/>
              <w:rPr>
                <w:rFonts w:cstheme="minorHAnsi"/>
                <w:b w:val="0"/>
                <w:sz w:val="20"/>
                <w:szCs w:val="20"/>
              </w:rPr>
            </w:pPr>
            <w:r w:rsidRPr="00F30802">
              <w:rPr>
                <w:rFonts w:cstheme="minorHAnsi"/>
                <w:b w:val="0"/>
                <w:sz w:val="20"/>
                <w:szCs w:val="20"/>
              </w:rPr>
              <w:t>296</w:t>
            </w:r>
          </w:p>
        </w:tc>
        <w:tc>
          <w:tcPr>
            <w:tcW w:w="0" w:type="auto"/>
          </w:tcPr>
          <w:p w14:paraId="6E983B0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265</w:t>
            </w:r>
          </w:p>
        </w:tc>
        <w:tc>
          <w:tcPr>
            <w:tcW w:w="0" w:type="auto"/>
          </w:tcPr>
          <w:p w14:paraId="611E712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219</w:t>
            </w:r>
          </w:p>
        </w:tc>
        <w:tc>
          <w:tcPr>
            <w:tcW w:w="0" w:type="auto"/>
          </w:tcPr>
          <w:p w14:paraId="67E718AA"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178</w:t>
            </w:r>
          </w:p>
        </w:tc>
        <w:tc>
          <w:tcPr>
            <w:tcW w:w="0" w:type="auto"/>
          </w:tcPr>
          <w:p w14:paraId="27AA2081"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147</w:t>
            </w:r>
          </w:p>
        </w:tc>
        <w:tc>
          <w:tcPr>
            <w:tcW w:w="0" w:type="auto"/>
          </w:tcPr>
          <w:p w14:paraId="44ADBA2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123</w:t>
            </w:r>
          </w:p>
        </w:tc>
      </w:tr>
      <w:tr w:rsidR="00965D20" w:rsidRPr="001D0858" w14:paraId="05324862" w14:textId="77777777" w:rsidTr="00414A87">
        <w:trPr>
          <w:trHeight w:val="20"/>
        </w:trPr>
        <w:tc>
          <w:tcPr>
            <w:tcW w:w="0" w:type="auto"/>
          </w:tcPr>
          <w:p w14:paraId="48D56629"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Risedronate (incl combination products)</w:t>
            </w:r>
          </w:p>
        </w:tc>
        <w:tc>
          <w:tcPr>
            <w:tcW w:w="0" w:type="auto"/>
          </w:tcPr>
          <w:p w14:paraId="3DBD0D8F"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901</w:t>
            </w:r>
          </w:p>
        </w:tc>
        <w:tc>
          <w:tcPr>
            <w:tcW w:w="0" w:type="auto"/>
          </w:tcPr>
          <w:p w14:paraId="18BDF88D"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870</w:t>
            </w:r>
          </w:p>
        </w:tc>
        <w:tc>
          <w:tcPr>
            <w:tcW w:w="0" w:type="auto"/>
          </w:tcPr>
          <w:p w14:paraId="4AF4E54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837</w:t>
            </w:r>
          </w:p>
        </w:tc>
        <w:tc>
          <w:tcPr>
            <w:tcW w:w="0" w:type="auto"/>
          </w:tcPr>
          <w:p w14:paraId="300CCD81"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734</w:t>
            </w:r>
          </w:p>
        </w:tc>
        <w:tc>
          <w:tcPr>
            <w:tcW w:w="0" w:type="auto"/>
          </w:tcPr>
          <w:p w14:paraId="7634993D"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739</w:t>
            </w:r>
          </w:p>
        </w:tc>
        <w:tc>
          <w:tcPr>
            <w:tcW w:w="0" w:type="auto"/>
          </w:tcPr>
          <w:p w14:paraId="5AE7AF05"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581</w:t>
            </w:r>
          </w:p>
        </w:tc>
      </w:tr>
      <w:tr w:rsidR="00965D20" w:rsidRPr="001D0858" w14:paraId="6BF9D58D" w14:textId="77777777" w:rsidTr="00414A87">
        <w:trPr>
          <w:trHeight w:val="20"/>
        </w:trPr>
        <w:tc>
          <w:tcPr>
            <w:tcW w:w="0" w:type="auto"/>
          </w:tcPr>
          <w:p w14:paraId="750F8AD9"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Strontium ranelate (delisted August 2016)</w:t>
            </w:r>
          </w:p>
        </w:tc>
        <w:tc>
          <w:tcPr>
            <w:tcW w:w="0" w:type="auto"/>
          </w:tcPr>
          <w:p w14:paraId="704EB05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654</w:t>
            </w:r>
          </w:p>
        </w:tc>
        <w:tc>
          <w:tcPr>
            <w:tcW w:w="0" w:type="auto"/>
          </w:tcPr>
          <w:p w14:paraId="15CF45F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289</w:t>
            </w:r>
          </w:p>
        </w:tc>
        <w:tc>
          <w:tcPr>
            <w:tcW w:w="0" w:type="auto"/>
          </w:tcPr>
          <w:p w14:paraId="4BBC8254"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137</w:t>
            </w:r>
          </w:p>
        </w:tc>
        <w:tc>
          <w:tcPr>
            <w:tcW w:w="0" w:type="auto"/>
          </w:tcPr>
          <w:p w14:paraId="19E0A9AF"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5ADA57E5"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056AC450"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r>
      <w:tr w:rsidR="00965D20" w:rsidRPr="001D0858" w14:paraId="49E43829" w14:textId="77777777" w:rsidTr="00414A87">
        <w:trPr>
          <w:trHeight w:val="20"/>
        </w:trPr>
        <w:tc>
          <w:tcPr>
            <w:tcW w:w="0" w:type="auto"/>
          </w:tcPr>
          <w:p w14:paraId="6A826DAB"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Teriparatide</w:t>
            </w:r>
          </w:p>
        </w:tc>
        <w:tc>
          <w:tcPr>
            <w:tcW w:w="0" w:type="auto"/>
          </w:tcPr>
          <w:p w14:paraId="28B6253F"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24</w:t>
            </w:r>
          </w:p>
        </w:tc>
        <w:tc>
          <w:tcPr>
            <w:tcW w:w="0" w:type="auto"/>
          </w:tcPr>
          <w:p w14:paraId="6EBF997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32</w:t>
            </w:r>
          </w:p>
        </w:tc>
        <w:tc>
          <w:tcPr>
            <w:tcW w:w="0" w:type="auto"/>
          </w:tcPr>
          <w:p w14:paraId="476FFB5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33</w:t>
            </w:r>
          </w:p>
        </w:tc>
        <w:tc>
          <w:tcPr>
            <w:tcW w:w="0" w:type="auto"/>
          </w:tcPr>
          <w:p w14:paraId="2E0A3BF5"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43</w:t>
            </w:r>
          </w:p>
        </w:tc>
        <w:tc>
          <w:tcPr>
            <w:tcW w:w="0" w:type="auto"/>
          </w:tcPr>
          <w:p w14:paraId="59AAE970"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39</w:t>
            </w:r>
          </w:p>
        </w:tc>
        <w:tc>
          <w:tcPr>
            <w:tcW w:w="0" w:type="auto"/>
          </w:tcPr>
          <w:p w14:paraId="0CCA59D0"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30</w:t>
            </w:r>
          </w:p>
        </w:tc>
      </w:tr>
      <w:tr w:rsidR="00965D20" w:rsidRPr="001D0858" w14:paraId="7BE74D97" w14:textId="77777777" w:rsidTr="00414A87">
        <w:trPr>
          <w:trHeight w:val="20"/>
        </w:trPr>
        <w:tc>
          <w:tcPr>
            <w:tcW w:w="0" w:type="auto"/>
          </w:tcPr>
          <w:p w14:paraId="534B4E31"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Zoledronic acid</w:t>
            </w:r>
          </w:p>
        </w:tc>
        <w:tc>
          <w:tcPr>
            <w:tcW w:w="0" w:type="auto"/>
          </w:tcPr>
          <w:p w14:paraId="0B038AB7"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565</w:t>
            </w:r>
          </w:p>
        </w:tc>
        <w:tc>
          <w:tcPr>
            <w:tcW w:w="0" w:type="auto"/>
          </w:tcPr>
          <w:p w14:paraId="21ED4AF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483</w:t>
            </w:r>
          </w:p>
        </w:tc>
        <w:tc>
          <w:tcPr>
            <w:tcW w:w="0" w:type="auto"/>
          </w:tcPr>
          <w:p w14:paraId="27611629"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354</w:t>
            </w:r>
          </w:p>
        </w:tc>
        <w:tc>
          <w:tcPr>
            <w:tcW w:w="0" w:type="auto"/>
          </w:tcPr>
          <w:p w14:paraId="529BDA1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357</w:t>
            </w:r>
          </w:p>
        </w:tc>
        <w:tc>
          <w:tcPr>
            <w:tcW w:w="0" w:type="auto"/>
          </w:tcPr>
          <w:p w14:paraId="400B85B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352</w:t>
            </w:r>
          </w:p>
        </w:tc>
        <w:tc>
          <w:tcPr>
            <w:tcW w:w="0" w:type="auto"/>
          </w:tcPr>
          <w:p w14:paraId="1515AF00"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173</w:t>
            </w:r>
          </w:p>
        </w:tc>
      </w:tr>
      <w:tr w:rsidR="00965D20" w:rsidRPr="001D0858" w14:paraId="409A405A" w14:textId="77777777" w:rsidTr="00414A87">
        <w:trPr>
          <w:trHeight w:val="20"/>
        </w:trPr>
        <w:tc>
          <w:tcPr>
            <w:tcW w:w="0" w:type="auto"/>
            <w:gridSpan w:val="7"/>
            <w:shd w:val="clear" w:color="auto" w:fill="D9D9D9" w:themeFill="background1" w:themeFillShade="D9"/>
          </w:tcPr>
          <w:p w14:paraId="73989BB4" w14:textId="77777777" w:rsidR="00965D20" w:rsidRPr="004B4004" w:rsidRDefault="00965D20" w:rsidP="00414A87">
            <w:pPr>
              <w:pStyle w:val="Tableheading"/>
              <w:rPr>
                <w:rFonts w:cstheme="minorHAnsi"/>
                <w:b w:val="0"/>
                <w:sz w:val="20"/>
                <w:szCs w:val="20"/>
              </w:rPr>
            </w:pPr>
            <w:r>
              <w:rPr>
                <w:sz w:val="20"/>
                <w:szCs w:val="20"/>
              </w:rPr>
              <w:t>70+ year old</w:t>
            </w:r>
          </w:p>
        </w:tc>
      </w:tr>
      <w:tr w:rsidR="00965D20" w:rsidRPr="001D0858" w14:paraId="344F9B2E" w14:textId="77777777" w:rsidTr="00414A87">
        <w:trPr>
          <w:trHeight w:val="20"/>
        </w:trPr>
        <w:tc>
          <w:tcPr>
            <w:tcW w:w="0" w:type="auto"/>
          </w:tcPr>
          <w:p w14:paraId="78A38F30"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Alendronate (incl combination products)</w:t>
            </w:r>
          </w:p>
        </w:tc>
        <w:tc>
          <w:tcPr>
            <w:tcW w:w="0" w:type="auto"/>
          </w:tcPr>
          <w:p w14:paraId="35B9241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6,218</w:t>
            </w:r>
          </w:p>
        </w:tc>
        <w:tc>
          <w:tcPr>
            <w:tcW w:w="0" w:type="auto"/>
          </w:tcPr>
          <w:p w14:paraId="1AAB5A2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5,357</w:t>
            </w:r>
          </w:p>
        </w:tc>
        <w:tc>
          <w:tcPr>
            <w:tcW w:w="0" w:type="auto"/>
          </w:tcPr>
          <w:p w14:paraId="3AAE806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4,561</w:t>
            </w:r>
          </w:p>
        </w:tc>
        <w:tc>
          <w:tcPr>
            <w:tcW w:w="0" w:type="auto"/>
          </w:tcPr>
          <w:p w14:paraId="5380E16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3,855</w:t>
            </w:r>
          </w:p>
        </w:tc>
        <w:tc>
          <w:tcPr>
            <w:tcW w:w="0" w:type="auto"/>
          </w:tcPr>
          <w:p w14:paraId="1253510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3,327</w:t>
            </w:r>
          </w:p>
        </w:tc>
        <w:tc>
          <w:tcPr>
            <w:tcW w:w="0" w:type="auto"/>
          </w:tcPr>
          <w:p w14:paraId="21577C7D"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3,068</w:t>
            </w:r>
          </w:p>
        </w:tc>
      </w:tr>
      <w:tr w:rsidR="00965D20" w:rsidRPr="001D0858" w14:paraId="24A11875" w14:textId="77777777" w:rsidTr="00414A87">
        <w:trPr>
          <w:trHeight w:val="20"/>
        </w:trPr>
        <w:tc>
          <w:tcPr>
            <w:tcW w:w="0" w:type="auto"/>
          </w:tcPr>
          <w:p w14:paraId="6D011065"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Calcitriol</w:t>
            </w:r>
          </w:p>
        </w:tc>
        <w:tc>
          <w:tcPr>
            <w:tcW w:w="0" w:type="auto"/>
          </w:tcPr>
          <w:p w14:paraId="5CDEE6F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1,543</w:t>
            </w:r>
          </w:p>
        </w:tc>
        <w:tc>
          <w:tcPr>
            <w:tcW w:w="0" w:type="auto"/>
          </w:tcPr>
          <w:p w14:paraId="6E50016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1,469</w:t>
            </w:r>
          </w:p>
        </w:tc>
        <w:tc>
          <w:tcPr>
            <w:tcW w:w="0" w:type="auto"/>
          </w:tcPr>
          <w:p w14:paraId="0E538F10"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1,462</w:t>
            </w:r>
          </w:p>
        </w:tc>
        <w:tc>
          <w:tcPr>
            <w:tcW w:w="0" w:type="auto"/>
          </w:tcPr>
          <w:p w14:paraId="36A411F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1,488</w:t>
            </w:r>
          </w:p>
        </w:tc>
        <w:tc>
          <w:tcPr>
            <w:tcW w:w="0" w:type="auto"/>
          </w:tcPr>
          <w:p w14:paraId="4F52BABA"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1,475</w:t>
            </w:r>
          </w:p>
        </w:tc>
        <w:tc>
          <w:tcPr>
            <w:tcW w:w="0" w:type="auto"/>
          </w:tcPr>
          <w:p w14:paraId="33D244A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1,209</w:t>
            </w:r>
          </w:p>
        </w:tc>
      </w:tr>
      <w:tr w:rsidR="00965D20" w:rsidRPr="001D0858" w14:paraId="6A909C28" w14:textId="77777777" w:rsidTr="00414A87">
        <w:trPr>
          <w:trHeight w:val="20"/>
        </w:trPr>
        <w:tc>
          <w:tcPr>
            <w:tcW w:w="0" w:type="auto"/>
          </w:tcPr>
          <w:p w14:paraId="53340D28"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Denosumab</w:t>
            </w:r>
          </w:p>
        </w:tc>
        <w:tc>
          <w:tcPr>
            <w:tcW w:w="0" w:type="auto"/>
          </w:tcPr>
          <w:p w14:paraId="0EE98A6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8,730</w:t>
            </w:r>
          </w:p>
        </w:tc>
        <w:tc>
          <w:tcPr>
            <w:tcW w:w="0" w:type="auto"/>
          </w:tcPr>
          <w:p w14:paraId="306F673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13,638</w:t>
            </w:r>
          </w:p>
        </w:tc>
        <w:tc>
          <w:tcPr>
            <w:tcW w:w="0" w:type="auto"/>
          </w:tcPr>
          <w:p w14:paraId="3CD75BA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18,640</w:t>
            </w:r>
          </w:p>
        </w:tc>
        <w:tc>
          <w:tcPr>
            <w:tcW w:w="0" w:type="auto"/>
          </w:tcPr>
          <w:p w14:paraId="2CE3279A"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24,133</w:t>
            </w:r>
          </w:p>
        </w:tc>
        <w:tc>
          <w:tcPr>
            <w:tcW w:w="0" w:type="auto"/>
          </w:tcPr>
          <w:p w14:paraId="2172F8F1"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29,113</w:t>
            </w:r>
          </w:p>
        </w:tc>
        <w:tc>
          <w:tcPr>
            <w:tcW w:w="0" w:type="auto"/>
          </w:tcPr>
          <w:p w14:paraId="52C4FFA7"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27,022</w:t>
            </w:r>
          </w:p>
        </w:tc>
      </w:tr>
      <w:tr w:rsidR="00965D20" w:rsidRPr="001D0858" w14:paraId="27787CAB" w14:textId="77777777" w:rsidTr="00414A87">
        <w:trPr>
          <w:trHeight w:val="20"/>
        </w:trPr>
        <w:tc>
          <w:tcPr>
            <w:tcW w:w="0" w:type="auto"/>
          </w:tcPr>
          <w:p w14:paraId="48C3995A"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Raloxifene</w:t>
            </w:r>
          </w:p>
        </w:tc>
        <w:tc>
          <w:tcPr>
            <w:tcW w:w="0" w:type="auto"/>
          </w:tcPr>
          <w:p w14:paraId="12DEDDFA"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961</w:t>
            </w:r>
          </w:p>
        </w:tc>
        <w:tc>
          <w:tcPr>
            <w:tcW w:w="0" w:type="auto"/>
          </w:tcPr>
          <w:p w14:paraId="0AF66FDA"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836</w:t>
            </w:r>
          </w:p>
        </w:tc>
        <w:tc>
          <w:tcPr>
            <w:tcW w:w="0" w:type="auto"/>
          </w:tcPr>
          <w:p w14:paraId="2B2DC23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715</w:t>
            </w:r>
          </w:p>
        </w:tc>
        <w:tc>
          <w:tcPr>
            <w:tcW w:w="0" w:type="auto"/>
          </w:tcPr>
          <w:p w14:paraId="15812894"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607</w:t>
            </w:r>
          </w:p>
        </w:tc>
        <w:tc>
          <w:tcPr>
            <w:tcW w:w="0" w:type="auto"/>
          </w:tcPr>
          <w:p w14:paraId="16FE72C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515</w:t>
            </w:r>
          </w:p>
        </w:tc>
        <w:tc>
          <w:tcPr>
            <w:tcW w:w="0" w:type="auto"/>
          </w:tcPr>
          <w:p w14:paraId="3A8550C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427</w:t>
            </w:r>
          </w:p>
        </w:tc>
      </w:tr>
      <w:tr w:rsidR="00965D20" w:rsidRPr="001D0858" w14:paraId="0A2B770D" w14:textId="77777777" w:rsidTr="00414A87">
        <w:trPr>
          <w:trHeight w:val="20"/>
        </w:trPr>
        <w:tc>
          <w:tcPr>
            <w:tcW w:w="0" w:type="auto"/>
          </w:tcPr>
          <w:p w14:paraId="54538390"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Risedronate (incl combination products)</w:t>
            </w:r>
          </w:p>
        </w:tc>
        <w:tc>
          <w:tcPr>
            <w:tcW w:w="0" w:type="auto"/>
          </w:tcPr>
          <w:p w14:paraId="22EB042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3,013</w:t>
            </w:r>
          </w:p>
        </w:tc>
        <w:tc>
          <w:tcPr>
            <w:tcW w:w="0" w:type="auto"/>
          </w:tcPr>
          <w:p w14:paraId="2D0C1C8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2,822</w:t>
            </w:r>
          </w:p>
        </w:tc>
        <w:tc>
          <w:tcPr>
            <w:tcW w:w="0" w:type="auto"/>
          </w:tcPr>
          <w:p w14:paraId="44AF02E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2,517</w:t>
            </w:r>
          </w:p>
        </w:tc>
        <w:tc>
          <w:tcPr>
            <w:tcW w:w="0" w:type="auto"/>
          </w:tcPr>
          <w:p w14:paraId="090FBAB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2,219</w:t>
            </w:r>
          </w:p>
        </w:tc>
        <w:tc>
          <w:tcPr>
            <w:tcW w:w="0" w:type="auto"/>
          </w:tcPr>
          <w:p w14:paraId="3B7B44B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2,188</w:t>
            </w:r>
          </w:p>
        </w:tc>
        <w:tc>
          <w:tcPr>
            <w:tcW w:w="0" w:type="auto"/>
          </w:tcPr>
          <w:p w14:paraId="0308F855"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1,739</w:t>
            </w:r>
          </w:p>
        </w:tc>
      </w:tr>
      <w:tr w:rsidR="00965D20" w:rsidRPr="001D0858" w14:paraId="4EA170AA" w14:textId="77777777" w:rsidTr="00414A87">
        <w:trPr>
          <w:trHeight w:val="20"/>
        </w:trPr>
        <w:tc>
          <w:tcPr>
            <w:tcW w:w="0" w:type="auto"/>
          </w:tcPr>
          <w:p w14:paraId="4082DA9B"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Strontium ranelate (delisted August 2016)</w:t>
            </w:r>
          </w:p>
        </w:tc>
        <w:tc>
          <w:tcPr>
            <w:tcW w:w="0" w:type="auto"/>
          </w:tcPr>
          <w:p w14:paraId="7709559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2,043</w:t>
            </w:r>
          </w:p>
        </w:tc>
        <w:tc>
          <w:tcPr>
            <w:tcW w:w="0" w:type="auto"/>
          </w:tcPr>
          <w:p w14:paraId="3C24BAD3"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848</w:t>
            </w:r>
          </w:p>
        </w:tc>
        <w:tc>
          <w:tcPr>
            <w:tcW w:w="0" w:type="auto"/>
          </w:tcPr>
          <w:p w14:paraId="682002FF"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389</w:t>
            </w:r>
          </w:p>
        </w:tc>
        <w:tc>
          <w:tcPr>
            <w:tcW w:w="0" w:type="auto"/>
          </w:tcPr>
          <w:p w14:paraId="2F1FE261"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753C72BC"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c>
          <w:tcPr>
            <w:tcW w:w="0" w:type="auto"/>
          </w:tcPr>
          <w:p w14:paraId="2B0A8BC9" w14:textId="77777777" w:rsidR="00965D20" w:rsidRPr="004B4004" w:rsidRDefault="00965D20" w:rsidP="00414A87">
            <w:pPr>
              <w:pStyle w:val="Tableheading"/>
              <w:rPr>
                <w:rFonts w:cstheme="minorHAnsi"/>
                <w:b w:val="0"/>
                <w:sz w:val="20"/>
                <w:szCs w:val="20"/>
              </w:rPr>
            </w:pPr>
            <w:r>
              <w:rPr>
                <w:rFonts w:cstheme="minorHAnsi"/>
                <w:b w:val="0"/>
                <w:sz w:val="20"/>
                <w:szCs w:val="20"/>
              </w:rPr>
              <w:t>-</w:t>
            </w:r>
          </w:p>
        </w:tc>
      </w:tr>
      <w:tr w:rsidR="00965D20" w:rsidRPr="001D0858" w14:paraId="4B5E9931" w14:textId="77777777" w:rsidTr="00414A87">
        <w:trPr>
          <w:trHeight w:val="20"/>
        </w:trPr>
        <w:tc>
          <w:tcPr>
            <w:tcW w:w="0" w:type="auto"/>
          </w:tcPr>
          <w:p w14:paraId="226C1103"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Teriparatide</w:t>
            </w:r>
          </w:p>
        </w:tc>
        <w:tc>
          <w:tcPr>
            <w:tcW w:w="0" w:type="auto"/>
          </w:tcPr>
          <w:p w14:paraId="26D55F1B"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109</w:t>
            </w:r>
          </w:p>
        </w:tc>
        <w:tc>
          <w:tcPr>
            <w:tcW w:w="0" w:type="auto"/>
          </w:tcPr>
          <w:p w14:paraId="62AE5F6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106</w:t>
            </w:r>
          </w:p>
        </w:tc>
        <w:tc>
          <w:tcPr>
            <w:tcW w:w="0" w:type="auto"/>
          </w:tcPr>
          <w:p w14:paraId="568FE9E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89</w:t>
            </w:r>
          </w:p>
        </w:tc>
        <w:tc>
          <w:tcPr>
            <w:tcW w:w="0" w:type="auto"/>
          </w:tcPr>
          <w:p w14:paraId="6A0C64A8"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80</w:t>
            </w:r>
          </w:p>
        </w:tc>
        <w:tc>
          <w:tcPr>
            <w:tcW w:w="0" w:type="auto"/>
          </w:tcPr>
          <w:p w14:paraId="787E6DE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109</w:t>
            </w:r>
          </w:p>
        </w:tc>
        <w:tc>
          <w:tcPr>
            <w:tcW w:w="0" w:type="auto"/>
          </w:tcPr>
          <w:p w14:paraId="254B0DD6"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78</w:t>
            </w:r>
          </w:p>
        </w:tc>
      </w:tr>
      <w:tr w:rsidR="00965D20" w:rsidRPr="001D0858" w14:paraId="7E5EDD10" w14:textId="77777777" w:rsidTr="00414A87">
        <w:trPr>
          <w:trHeight w:val="20"/>
        </w:trPr>
        <w:tc>
          <w:tcPr>
            <w:tcW w:w="0" w:type="auto"/>
          </w:tcPr>
          <w:p w14:paraId="0727CD76" w14:textId="77777777" w:rsidR="00965D20" w:rsidRPr="003B6C1C" w:rsidRDefault="00965D20" w:rsidP="00414A87">
            <w:pPr>
              <w:pStyle w:val="Tableheading"/>
              <w:jc w:val="left"/>
              <w:rPr>
                <w:rFonts w:cstheme="minorHAnsi"/>
                <w:sz w:val="20"/>
                <w:szCs w:val="20"/>
              </w:rPr>
            </w:pPr>
            <w:r w:rsidRPr="00124896">
              <w:rPr>
                <w:rFonts w:cstheme="minorHAnsi"/>
                <w:sz w:val="20"/>
                <w:szCs w:val="20"/>
              </w:rPr>
              <w:t>Zoledronic acid</w:t>
            </w:r>
          </w:p>
        </w:tc>
        <w:tc>
          <w:tcPr>
            <w:tcW w:w="0" w:type="auto"/>
          </w:tcPr>
          <w:p w14:paraId="1D01E77C"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1,487</w:t>
            </w:r>
          </w:p>
        </w:tc>
        <w:tc>
          <w:tcPr>
            <w:tcW w:w="0" w:type="auto"/>
          </w:tcPr>
          <w:p w14:paraId="6D1A3BB0"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1,176</w:t>
            </w:r>
          </w:p>
        </w:tc>
        <w:tc>
          <w:tcPr>
            <w:tcW w:w="0" w:type="auto"/>
          </w:tcPr>
          <w:p w14:paraId="2270BF42"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891</w:t>
            </w:r>
          </w:p>
        </w:tc>
        <w:tc>
          <w:tcPr>
            <w:tcW w:w="0" w:type="auto"/>
          </w:tcPr>
          <w:p w14:paraId="5A66053E"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782</w:t>
            </w:r>
          </w:p>
        </w:tc>
        <w:tc>
          <w:tcPr>
            <w:tcW w:w="0" w:type="auto"/>
          </w:tcPr>
          <w:p w14:paraId="16E3F331"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675</w:t>
            </w:r>
          </w:p>
        </w:tc>
        <w:tc>
          <w:tcPr>
            <w:tcW w:w="0" w:type="auto"/>
          </w:tcPr>
          <w:p w14:paraId="41F56635" w14:textId="77777777" w:rsidR="00965D20" w:rsidRPr="004B4004" w:rsidRDefault="00965D20" w:rsidP="00414A87">
            <w:pPr>
              <w:pStyle w:val="Tableheading"/>
              <w:rPr>
                <w:rFonts w:cstheme="minorHAnsi"/>
                <w:b w:val="0"/>
                <w:sz w:val="20"/>
                <w:szCs w:val="20"/>
              </w:rPr>
            </w:pPr>
            <w:r w:rsidRPr="00F01D0A">
              <w:rPr>
                <w:rFonts w:cstheme="minorHAnsi"/>
                <w:b w:val="0"/>
                <w:sz w:val="20"/>
                <w:szCs w:val="20"/>
              </w:rPr>
              <w:t>330</w:t>
            </w:r>
          </w:p>
        </w:tc>
      </w:tr>
    </w:tbl>
    <w:p w14:paraId="574AA18B" w14:textId="0CFE38F8" w:rsidR="002F5E3F" w:rsidRPr="00812493" w:rsidRDefault="002F5E3F" w:rsidP="00812493">
      <w:pPr>
        <w:pStyle w:val="Heading4"/>
        <w:rPr>
          <w:sz w:val="24"/>
        </w:rPr>
      </w:pPr>
      <w:r w:rsidRPr="00812493">
        <w:rPr>
          <w:sz w:val="24"/>
        </w:rPr>
        <w:t xml:space="preserve">Age of prevalent patients using osteoporosis medicines </w:t>
      </w:r>
    </w:p>
    <w:p w14:paraId="3BEE133A" w14:textId="6DBAA4F8" w:rsidR="009641EB" w:rsidRDefault="009641EB" w:rsidP="009641EB">
      <w:r>
        <w:t xml:space="preserve">Figure 7 shows the number of people treated with </w:t>
      </w:r>
      <w:r w:rsidR="000662B1">
        <w:t>any</w:t>
      </w:r>
      <w:r>
        <w:t xml:space="preserve"> osteoporosis medicine annually</w:t>
      </w:r>
      <w:r w:rsidR="000662B1">
        <w:t xml:space="preserve"> by age group</w:t>
      </w:r>
      <w:r>
        <w:t xml:space="preserve">. </w:t>
      </w:r>
      <w:r w:rsidR="00632B3F">
        <w:t xml:space="preserve">Most of the increase in </w:t>
      </w:r>
      <w:r w:rsidR="00EB45B8" w:rsidRPr="00EB45B8">
        <w:t>people treated with any osteoporosis medicine</w:t>
      </w:r>
      <w:r w:rsidR="00EB45B8">
        <w:t xml:space="preserve"> </w:t>
      </w:r>
      <w:r w:rsidR="00291DC9">
        <w:t xml:space="preserve">per year </w:t>
      </w:r>
      <w:r w:rsidR="00EB45B8">
        <w:lastRenderedPageBreak/>
        <w:t>can be attributed to growth in prescribing among patients</w:t>
      </w:r>
      <w:r w:rsidR="00632B3F">
        <w:t xml:space="preserve"> aged 70+ years</w:t>
      </w:r>
      <w:r w:rsidR="00EB45B8">
        <w:t xml:space="preserve">. </w:t>
      </w:r>
      <w:r w:rsidR="009C7301">
        <w:t>From 2014 to 2018 t</w:t>
      </w:r>
      <w:r w:rsidR="00EB45B8">
        <w:t xml:space="preserve">he number of prevalent patients </w:t>
      </w:r>
      <w:r w:rsidR="00387735" w:rsidRPr="00387735">
        <w:t xml:space="preserve">using osteoporosis medicines </w:t>
      </w:r>
      <w:r w:rsidR="00911A39">
        <w:t xml:space="preserve">aged 70+ </w:t>
      </w:r>
      <w:r w:rsidR="00502680">
        <w:t>years increased</w:t>
      </w:r>
      <w:r w:rsidR="00EB45B8">
        <w:t xml:space="preserve"> by 55%</w:t>
      </w:r>
      <w:r w:rsidR="00911A39">
        <w:t xml:space="preserve">, whereas </w:t>
      </w:r>
      <w:r w:rsidR="00F51E84">
        <w:t xml:space="preserve">the number of prevalent patients </w:t>
      </w:r>
      <w:r w:rsidR="00911A39">
        <w:t>aged 60</w:t>
      </w:r>
      <w:r w:rsidR="00637FC0">
        <w:rPr>
          <w:rFonts w:cstheme="minorHAnsi"/>
        </w:rPr>
        <w:t>─</w:t>
      </w:r>
      <w:r w:rsidR="00911A39">
        <w:t xml:space="preserve">69 </w:t>
      </w:r>
      <w:r w:rsidR="00502680">
        <w:t>years increased</w:t>
      </w:r>
      <w:r w:rsidR="00911A39">
        <w:t xml:space="preserve"> </w:t>
      </w:r>
      <w:r w:rsidR="00A355DA">
        <w:t xml:space="preserve">by </w:t>
      </w:r>
      <w:r w:rsidR="00911A39">
        <w:t xml:space="preserve">30% and </w:t>
      </w:r>
      <w:r w:rsidR="00A355DA">
        <w:t>those</w:t>
      </w:r>
      <w:r w:rsidR="00F51E84">
        <w:t xml:space="preserve"> aged 50</w:t>
      </w:r>
      <w:r w:rsidR="00637FC0">
        <w:rPr>
          <w:rFonts w:cstheme="minorHAnsi"/>
        </w:rPr>
        <w:t>─</w:t>
      </w:r>
      <w:r w:rsidR="00F51E84">
        <w:t>59 years</w:t>
      </w:r>
      <w:r w:rsidR="00A355DA">
        <w:t xml:space="preserve"> by</w:t>
      </w:r>
      <w:r w:rsidR="00B86C4E">
        <w:t xml:space="preserve"> only</w:t>
      </w:r>
      <w:r w:rsidR="00A355DA">
        <w:t xml:space="preserve"> 20%</w:t>
      </w:r>
      <w:r w:rsidR="00A6494C">
        <w:t xml:space="preserve"> (Figure 7, Table 15</w:t>
      </w:r>
      <w:r w:rsidR="00383CEF">
        <w:t>)</w:t>
      </w:r>
      <w:r w:rsidR="00F51E84">
        <w:t>.</w:t>
      </w:r>
      <w:r w:rsidR="00EB45B8">
        <w:t xml:space="preserve"> </w:t>
      </w:r>
    </w:p>
    <w:p w14:paraId="52B9DB7A" w14:textId="79FAD298" w:rsidR="000B7693" w:rsidRDefault="000B7693" w:rsidP="000B7693">
      <w:r>
        <w:t>Figure 8 illustrates the annual count of patients on at least one osteoporosis medicine (prevalent patients) by type of therapy and age group. While trends are similar across the age groups the number of patients on all therapies, and denosumab in particular</w:t>
      </w:r>
      <w:r w:rsidR="00F2569D">
        <w:t>,</w:t>
      </w:r>
      <w:r>
        <w:t xml:space="preserve"> has plateaued since 2016 for patients aged 50</w:t>
      </w:r>
      <w:r w:rsidR="00CD21CA">
        <w:rPr>
          <w:rFonts w:cstheme="minorHAnsi"/>
        </w:rPr>
        <w:t>─</w:t>
      </w:r>
      <w:r>
        <w:t>59 years but increased year on year for those aged 60</w:t>
      </w:r>
      <w:r w:rsidR="00CD21CA">
        <w:rPr>
          <w:rFonts w:cstheme="minorHAnsi"/>
        </w:rPr>
        <w:t>─</w:t>
      </w:r>
      <w:r>
        <w:t>69 and 70+ years.</w:t>
      </w:r>
      <w:r w:rsidR="00F2569D">
        <w:t xml:space="preserve"> </w:t>
      </w:r>
      <w:r w:rsidR="00F15B90">
        <w:t>F</w:t>
      </w:r>
      <w:r w:rsidR="00F15B90" w:rsidRPr="00F15B90">
        <w:rPr>
          <w:rFonts w:hint="eastAsia"/>
        </w:rPr>
        <w:t>or those aged 60</w:t>
      </w:r>
      <w:r w:rsidR="00B5648F">
        <w:rPr>
          <w:rFonts w:cstheme="minorHAnsi"/>
        </w:rPr>
        <w:t>─</w:t>
      </w:r>
      <w:r w:rsidR="00F15B90" w:rsidRPr="00F15B90">
        <w:rPr>
          <w:rFonts w:hint="eastAsia"/>
        </w:rPr>
        <w:t>69 and 70+ years</w:t>
      </w:r>
      <w:r w:rsidR="00B5648F">
        <w:t>, a</w:t>
      </w:r>
      <w:r w:rsidR="00F2569D">
        <w:t xml:space="preserve">lendronate </w:t>
      </w:r>
      <w:r w:rsidR="00457C74">
        <w:t>and r</w:t>
      </w:r>
      <w:r w:rsidR="00457C74" w:rsidRPr="00457C74">
        <w:t>isedronate (incl</w:t>
      </w:r>
      <w:r w:rsidR="00457C74">
        <w:t>uding their</w:t>
      </w:r>
      <w:r w:rsidR="00457C74" w:rsidRPr="00457C74">
        <w:t xml:space="preserve"> combination products)</w:t>
      </w:r>
      <w:r w:rsidR="00D2393E">
        <w:t xml:space="preserve"> a</w:t>
      </w:r>
      <w:r w:rsidR="00ED0FAA">
        <w:t>re</w:t>
      </w:r>
      <w:r w:rsidR="00D2393E">
        <w:t xml:space="preserve"> the next most common therapies </w:t>
      </w:r>
      <w:r w:rsidR="00B5648F">
        <w:t>dispensed</w:t>
      </w:r>
      <w:r w:rsidR="008F405F">
        <w:t>, with decreasing</w:t>
      </w:r>
      <w:r w:rsidR="00D42C9B">
        <w:t xml:space="preserve"> use </w:t>
      </w:r>
      <w:r w:rsidR="008F405F">
        <w:t>year on year.</w:t>
      </w:r>
      <w:r w:rsidR="00DA5954" w:rsidRPr="00DA5954">
        <w:rPr>
          <w:rFonts w:hint="eastAsia"/>
        </w:rPr>
        <w:t xml:space="preserve"> </w:t>
      </w:r>
      <w:r w:rsidR="00DA5954">
        <w:t>F</w:t>
      </w:r>
      <w:r w:rsidR="00DA5954" w:rsidRPr="00DA5954">
        <w:rPr>
          <w:rFonts w:hint="eastAsia"/>
        </w:rPr>
        <w:t>or patients aged 50</w:t>
      </w:r>
      <w:r w:rsidR="00DA5954">
        <w:rPr>
          <w:rFonts w:cstheme="minorHAnsi"/>
        </w:rPr>
        <w:t>─</w:t>
      </w:r>
      <w:r w:rsidR="00DA5954" w:rsidRPr="00DA5954">
        <w:rPr>
          <w:rFonts w:hint="eastAsia"/>
        </w:rPr>
        <w:t>59 years</w:t>
      </w:r>
      <w:r w:rsidR="006D5A7C">
        <w:t xml:space="preserve"> alendronate and calcitriol are the next most common therapies.</w:t>
      </w:r>
      <w:r w:rsidR="001F13F8">
        <w:t xml:space="preserve"> In patients &lt;50 years calcitriol has remained </w:t>
      </w:r>
      <w:r w:rsidR="009416DA">
        <w:t xml:space="preserve">stable as </w:t>
      </w:r>
      <w:r w:rsidR="001F13F8">
        <w:t xml:space="preserve">the most common </w:t>
      </w:r>
      <w:r w:rsidR="00295506">
        <w:t>therapy over the years</w:t>
      </w:r>
      <w:r w:rsidR="009416DA">
        <w:t>, follow</w:t>
      </w:r>
      <w:r w:rsidR="00D73D46">
        <w:t>ed</w:t>
      </w:r>
      <w:r w:rsidR="009416DA">
        <w:t xml:space="preserve"> by den</w:t>
      </w:r>
      <w:r w:rsidR="00226663">
        <w:t>osumab which has increased steadily.</w:t>
      </w:r>
    </w:p>
    <w:p w14:paraId="2320C944" w14:textId="77777777" w:rsidR="009641EB" w:rsidRDefault="009641EB" w:rsidP="002F5E3F"/>
    <w:p w14:paraId="36FB924A" w14:textId="14D296AF" w:rsidR="002F5E3F" w:rsidRDefault="002F5E3F" w:rsidP="002F5E3F">
      <w:r>
        <w:rPr>
          <w:noProof/>
        </w:rPr>
        <w:drawing>
          <wp:inline distT="0" distB="0" distL="0" distR="0" wp14:anchorId="4558B2C3" wp14:editId="13CC3F7D">
            <wp:extent cx="5505450" cy="2819400"/>
            <wp:effectExtent l="0" t="0" r="0" b="0"/>
            <wp:docPr id="9" name="Chart 9" title="Figure 7: Patients prevalent to any osteoporosis therapy by age group">
              <a:extLst xmlns:a="http://schemas.openxmlformats.org/drawingml/2006/main">
                <a:ext uri="{FF2B5EF4-FFF2-40B4-BE49-F238E27FC236}">
                  <a16:creationId xmlns:a16="http://schemas.microsoft.com/office/drawing/2014/main" id="{150C7AAD-694D-4B58-B054-7612179EF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27F5ED" w14:textId="7C8552E4" w:rsidR="002F5E3F" w:rsidRDefault="002F5E3F" w:rsidP="002F5E3F">
      <w:pPr>
        <w:pStyle w:val="Figuretitle"/>
      </w:pPr>
      <w:r w:rsidRPr="00C02394">
        <w:t xml:space="preserve">Figure </w:t>
      </w:r>
      <w:r>
        <w:t>7</w:t>
      </w:r>
      <w:r w:rsidRPr="00C02394">
        <w:t xml:space="preserve">: </w:t>
      </w:r>
      <w:r>
        <w:t>Patients prevalent to any osteoporosis therapy by age group</w:t>
      </w:r>
    </w:p>
    <w:p w14:paraId="54126528" w14:textId="77777777" w:rsidR="002F5E3F" w:rsidRDefault="002F5E3F" w:rsidP="002F5E3F"/>
    <w:p w14:paraId="5C54771E" w14:textId="77777777" w:rsidR="008367A9" w:rsidRDefault="008367A9" w:rsidP="002F5E3F"/>
    <w:p w14:paraId="2E425BFB" w14:textId="77777777" w:rsidR="002F5E3F" w:rsidRDefault="002F5E3F" w:rsidP="002F5E3F">
      <w:r>
        <w:rPr>
          <w:noProof/>
        </w:rPr>
        <w:lastRenderedPageBreak/>
        <w:drawing>
          <wp:inline distT="0" distB="0" distL="0" distR="0" wp14:anchorId="73B6360E" wp14:editId="41FFB95B">
            <wp:extent cx="5534025" cy="2743200"/>
            <wp:effectExtent l="0" t="0" r="9525" b="0"/>
            <wp:docPr id="15" name="Chart 15" title="Figure 8: Patients prevalent to osteoporosis therapy by medicine type and age group">
              <a:extLst xmlns:a="http://schemas.openxmlformats.org/drawingml/2006/main">
                <a:ext uri="{FF2B5EF4-FFF2-40B4-BE49-F238E27FC236}">
                  <a16:creationId xmlns:a16="http://schemas.microsoft.com/office/drawing/2014/main" id="{18C057EF-F92D-4535-A822-F61E1DA2E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rPr>
        <w:drawing>
          <wp:inline distT="0" distB="0" distL="0" distR="0" wp14:anchorId="532212B4" wp14:editId="0B66581A">
            <wp:extent cx="5524500" cy="2771775"/>
            <wp:effectExtent l="0" t="0" r="0" b="9525"/>
            <wp:docPr id="14" name="Chart 14" title="Figure 8: Patients prevalent to osteoporosis therapy by medicine type and age group">
              <a:extLst xmlns:a="http://schemas.openxmlformats.org/drawingml/2006/main">
                <a:ext uri="{FF2B5EF4-FFF2-40B4-BE49-F238E27FC236}">
                  <a16:creationId xmlns:a16="http://schemas.microsoft.com/office/drawing/2014/main" id="{5F346365-02C8-4224-93CA-8B33D29B1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rPr>
        <w:drawing>
          <wp:inline distT="0" distB="0" distL="0" distR="0" wp14:anchorId="3E790021" wp14:editId="53F9DFCA">
            <wp:extent cx="5514975" cy="2762250"/>
            <wp:effectExtent l="0" t="0" r="9525" b="0"/>
            <wp:docPr id="18" name="Chart 18" title="Figure 8: Patients prevalent to osteoporosis therapy by medicine type and age group">
              <a:extLst xmlns:a="http://schemas.openxmlformats.org/drawingml/2006/main">
                <a:ext uri="{FF2B5EF4-FFF2-40B4-BE49-F238E27FC236}">
                  <a16:creationId xmlns:a16="http://schemas.microsoft.com/office/drawing/2014/main" id="{949E9DC3-AA74-4D36-BA5C-778A37D35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CF6AE6" w14:textId="34EF6223" w:rsidR="002F5E3F" w:rsidRDefault="002F5E3F" w:rsidP="002F5E3F">
      <w:pPr>
        <w:pStyle w:val="Figuretitle"/>
      </w:pPr>
      <w:r w:rsidRPr="00C02394">
        <w:t xml:space="preserve">Figure </w:t>
      </w:r>
      <w:r>
        <w:t>8</w:t>
      </w:r>
      <w:r w:rsidRPr="00C02394">
        <w:t xml:space="preserve">: </w:t>
      </w:r>
      <w:r>
        <w:t>Patients prevalent to osteoporosis therapy by medicine type and age group</w:t>
      </w:r>
    </w:p>
    <w:p w14:paraId="5F22B4D8" w14:textId="5D97AEED" w:rsidR="00736041" w:rsidRPr="00812493" w:rsidRDefault="0049177F" w:rsidP="00812493">
      <w:pPr>
        <w:pStyle w:val="Heading4"/>
        <w:rPr>
          <w:sz w:val="24"/>
        </w:rPr>
      </w:pPr>
      <w:r w:rsidRPr="00812493">
        <w:rPr>
          <w:sz w:val="24"/>
        </w:rPr>
        <w:lastRenderedPageBreak/>
        <w:t>Initiation to osteoporosis medicines</w:t>
      </w:r>
    </w:p>
    <w:p w14:paraId="6706554E" w14:textId="09E50FFD" w:rsidR="005445A9" w:rsidRDefault="00CE4010" w:rsidP="005445A9">
      <w:r>
        <w:t>Table 1</w:t>
      </w:r>
      <w:r w:rsidR="00A6494C">
        <w:t>6</w:t>
      </w:r>
      <w:r>
        <w:t xml:space="preserve"> presents the n</w:t>
      </w:r>
      <w:r w:rsidR="00C44F5C" w:rsidRPr="00C44F5C">
        <w:t>umber of patients in each year who had started an osteoporosis medicine but had not been supplied a prescription for any osteoporosis medicine in at least the prior two years (or longer if history is available).</w:t>
      </w:r>
      <w:r>
        <w:t xml:space="preserve"> Results are presented by medicine and class.</w:t>
      </w:r>
      <w:r w:rsidR="00D018C2">
        <w:t xml:space="preserve"> </w:t>
      </w:r>
      <w:r w:rsidR="00B23EF7">
        <w:t xml:space="preserve">Very few patients were </w:t>
      </w:r>
      <w:r w:rsidR="00442A17">
        <w:t>co-dispensed</w:t>
      </w:r>
      <w:r w:rsidR="00B23EF7">
        <w:t xml:space="preserve"> two medicine</w:t>
      </w:r>
      <w:r w:rsidR="00442A17">
        <w:t xml:space="preserve">s </w:t>
      </w:r>
      <w:r w:rsidR="00B23EF7">
        <w:t>as</w:t>
      </w:r>
      <w:r w:rsidR="00C44F5C" w:rsidRPr="00C44F5C">
        <w:t xml:space="preserve"> initiating </w:t>
      </w:r>
      <w:r w:rsidR="00B23EF7">
        <w:t>therap</w:t>
      </w:r>
      <w:r w:rsidR="00442A17">
        <w:t>y</w:t>
      </w:r>
      <w:r w:rsidR="00B23EF7">
        <w:t xml:space="preserve"> (&lt;5 each year) </w:t>
      </w:r>
      <w:r w:rsidR="00F462A3">
        <w:t xml:space="preserve">so this information was not presented, however these patients </w:t>
      </w:r>
      <w:r w:rsidR="00B55DD8">
        <w:t>were</w:t>
      </w:r>
      <w:r w:rsidR="00B55DD8" w:rsidRPr="00B55DD8">
        <w:t xml:space="preserve"> counted in more than one medicine</w:t>
      </w:r>
      <w:r w:rsidR="00B5432A">
        <w:t xml:space="preserve">/class </w:t>
      </w:r>
      <w:r w:rsidR="00B55DD8" w:rsidRPr="00B55DD8">
        <w:t>in a calendar year</w:t>
      </w:r>
      <w:r w:rsidR="00B55DD8">
        <w:t>.</w:t>
      </w:r>
    </w:p>
    <w:p w14:paraId="3AC02793" w14:textId="06CC8937" w:rsidR="007960F3" w:rsidRDefault="007960F3" w:rsidP="007960F3">
      <w:r>
        <w:t xml:space="preserve">Figure </w:t>
      </w:r>
      <w:r w:rsidR="00BB36E5">
        <w:t>9</w:t>
      </w:r>
      <w:r>
        <w:t xml:space="preserve"> show</w:t>
      </w:r>
      <w:r w:rsidR="00B5432A">
        <w:t>s</w:t>
      </w:r>
      <w:r>
        <w:t xml:space="preserve"> that denosumab was the most </w:t>
      </w:r>
      <w:r w:rsidRPr="00EA021B">
        <w:t xml:space="preserve">frequently prescribed medicine for patients initiating osteoporosis therapy </w:t>
      </w:r>
      <w:r>
        <w:t xml:space="preserve">every year from 2014 to 2019, followed by bisphosphonates (including in combination with calcium and/or colecalciferol). </w:t>
      </w:r>
      <w:r w:rsidRPr="004973B9">
        <w:t xml:space="preserve">Denosumab use increased </w:t>
      </w:r>
      <w:r>
        <w:t xml:space="preserve">steadily year upon year whereas initiation to therapy with bisphosphonates decreased between 2014 and 2017 before plateauing in 2018 (Figure </w:t>
      </w:r>
      <w:r w:rsidR="00116DAB">
        <w:t>9</w:t>
      </w:r>
      <w:r>
        <w:t>).</w:t>
      </w:r>
      <w:r w:rsidRPr="004973B9">
        <w:t xml:space="preserve"> </w:t>
      </w:r>
      <w:r>
        <w:t>Initiations to denosumab have driven an increase in the overall number of patients initiating osteoporosis therapy from 7,202 patients initiating in 2014 to 9,514 patients in 2018, representing a 32% increase (PBS 10% sample) (</w:t>
      </w:r>
      <w:r w:rsidR="00C44F5C">
        <w:t>Table 1</w:t>
      </w:r>
      <w:r w:rsidR="00F63CB0">
        <w:t>6</w:t>
      </w:r>
      <w:r>
        <w:t xml:space="preserve">). </w:t>
      </w:r>
    </w:p>
    <w:p w14:paraId="3B3EB348" w14:textId="78B5DDEB" w:rsidR="007960F3" w:rsidRDefault="007960F3" w:rsidP="007960F3">
      <w:r>
        <w:t xml:space="preserve">Initiation to therapy with calcitriol has been low but stable across the years (Figure </w:t>
      </w:r>
      <w:r w:rsidR="00520113">
        <w:t>10</w:t>
      </w:r>
      <w:r>
        <w:t>). Strontium initiations decreased,</w:t>
      </w:r>
      <w:r w:rsidRPr="00AB5625">
        <w:t xml:space="preserve"> following a change in the registered indication and PBS restriction in 2014 to specify use in patients with severe established osteoporosis with intolerance or contraindications to other treatments</w:t>
      </w:r>
      <w:r w:rsidR="00F63CB0">
        <w:t xml:space="preserve"> (Table 16</w:t>
      </w:r>
      <w:r w:rsidR="006902EA">
        <w:t>)</w:t>
      </w:r>
      <w:r>
        <w:t>. Strontium was delisted in August 2016, due</w:t>
      </w:r>
      <w:r w:rsidRPr="00AB5625">
        <w:t xml:space="preserve"> to safety concerns around the risk of cardiovascular events and venous thrombosis</w:t>
      </w:r>
      <w:r>
        <w:t>.</w:t>
      </w:r>
    </w:p>
    <w:p w14:paraId="6F70A765" w14:textId="4787BD89" w:rsidR="007960F3" w:rsidRDefault="007960F3" w:rsidP="007960F3">
      <w:r>
        <w:t xml:space="preserve">Initiation to therapy with </w:t>
      </w:r>
      <w:r w:rsidRPr="00677F3C">
        <w:t xml:space="preserve">zoledronic acid has been low and </w:t>
      </w:r>
      <w:r>
        <w:t>declining between 2014 and 2017 before plateauing in 2018</w:t>
      </w:r>
      <w:r w:rsidRPr="00677F3C">
        <w:t>. Raloxifene is infrequently prescribed</w:t>
      </w:r>
      <w:r>
        <w:t>. T</w:t>
      </w:r>
      <w:r w:rsidRPr="00677F3C">
        <w:t>eriparatide, is rarely the first PBS prescribed medicine</w:t>
      </w:r>
      <w:r>
        <w:t>,</w:t>
      </w:r>
      <w:r w:rsidRPr="00677F3C">
        <w:t xml:space="preserve"> restricted to patients at very high risk who have had multiple prior fractures including at least one which occurred after at least 12 months of continuous therapy with an anti-resorptive agent</w:t>
      </w:r>
      <w:r w:rsidR="001926EE">
        <w:t xml:space="preserve">. </w:t>
      </w:r>
      <w:r w:rsidR="00150150">
        <w:t xml:space="preserve">It is possible </w:t>
      </w:r>
      <w:r w:rsidR="00F34001">
        <w:t>that the small number of</w:t>
      </w:r>
      <w:r w:rsidR="00150150">
        <w:t xml:space="preserve"> patients on teriparatide </w:t>
      </w:r>
      <w:r w:rsidR="00054A22">
        <w:t xml:space="preserve">had been </w:t>
      </w:r>
      <w:r w:rsidR="004F3E7B">
        <w:t>dispensed</w:t>
      </w:r>
      <w:r w:rsidR="00054A22">
        <w:t xml:space="preserve"> osteoporosis medicines prior to 2012 and have been misclassified as </w:t>
      </w:r>
      <w:r w:rsidR="006E3B8E">
        <w:t>directly initiating in this study, or there could be some potentially inappropriate use</w:t>
      </w:r>
      <w:r w:rsidRPr="00677F3C">
        <w:t xml:space="preserve"> </w:t>
      </w:r>
      <w:r>
        <w:t>(</w:t>
      </w:r>
      <w:r w:rsidR="00F63CB0">
        <w:t>Table 16</w:t>
      </w:r>
      <w:r w:rsidR="008706E9">
        <w:t xml:space="preserve">, </w:t>
      </w:r>
      <w:r>
        <w:t xml:space="preserve">Figure </w:t>
      </w:r>
      <w:r w:rsidR="005E767B">
        <w:t>10</w:t>
      </w:r>
      <w:r>
        <w:t>)</w:t>
      </w:r>
      <w:r w:rsidR="003E6D36">
        <w:t>.</w:t>
      </w:r>
    </w:p>
    <w:p w14:paraId="3078D56C" w14:textId="53229AD2" w:rsidR="00C44F5C" w:rsidRDefault="00C44F5C" w:rsidP="00C44F5C">
      <w:pPr>
        <w:pStyle w:val="Tabletitle"/>
      </w:pPr>
      <w:r>
        <w:t>Table 1</w:t>
      </w:r>
      <w:r w:rsidR="00A6494C">
        <w:t>6</w:t>
      </w:r>
      <w:r>
        <w:t>:</w:t>
      </w:r>
      <w:r w:rsidR="007960F3">
        <w:t xml:space="preserve"> </w:t>
      </w:r>
      <w:r>
        <w:t xml:space="preserve">Annual count of patients </w:t>
      </w:r>
      <w:r w:rsidR="002803CC">
        <w:t xml:space="preserve">directly </w:t>
      </w:r>
      <w:r w:rsidR="00506556">
        <w:t xml:space="preserve">initiating osteoporosis medicines </w:t>
      </w:r>
      <w:r>
        <w:t xml:space="preserve">overall, by </w:t>
      </w:r>
      <w:r w:rsidR="00506556">
        <w:t xml:space="preserve">type of </w:t>
      </w:r>
      <w:r w:rsidR="007B7FC9">
        <w:t>treatment</w:t>
      </w:r>
      <w:r>
        <w:t xml:space="preserve"> (2014 to June 2019)</w:t>
      </w:r>
    </w:p>
    <w:tbl>
      <w:tblPr>
        <w:tblStyle w:val="TableGrid"/>
        <w:tblW w:w="5000" w:type="pct"/>
        <w:tblLook w:val="04A0" w:firstRow="1" w:lastRow="0" w:firstColumn="1" w:lastColumn="0" w:noHBand="0" w:noVBand="1"/>
        <w:tblCaption w:val="Table 14: Annual count of patients directly initiating osteoporosis medicines overall, by type of treatment (2014 to June 2019)"/>
      </w:tblPr>
      <w:tblGrid>
        <w:gridCol w:w="3846"/>
        <w:gridCol w:w="720"/>
        <w:gridCol w:w="719"/>
        <w:gridCol w:w="719"/>
        <w:gridCol w:w="719"/>
        <w:gridCol w:w="719"/>
        <w:gridCol w:w="1505"/>
      </w:tblGrid>
      <w:tr w:rsidR="005558CD" w:rsidRPr="001D0858" w14:paraId="37866606" w14:textId="77777777" w:rsidTr="007B7FC9">
        <w:trPr>
          <w:trHeight w:val="20"/>
          <w:tblHeader/>
        </w:trPr>
        <w:tc>
          <w:tcPr>
            <w:tcW w:w="2149" w:type="pct"/>
            <w:shd w:val="clear" w:color="auto" w:fill="BFBFBF" w:themeFill="background1" w:themeFillShade="BF"/>
          </w:tcPr>
          <w:p w14:paraId="26A065A8" w14:textId="77777777" w:rsidR="00C44F5C" w:rsidRDefault="00C44F5C" w:rsidP="00D069E4">
            <w:pPr>
              <w:pStyle w:val="Tableheading"/>
              <w:rPr>
                <w:sz w:val="20"/>
                <w:szCs w:val="20"/>
              </w:rPr>
            </w:pPr>
          </w:p>
        </w:tc>
        <w:tc>
          <w:tcPr>
            <w:tcW w:w="402" w:type="pct"/>
            <w:shd w:val="clear" w:color="auto" w:fill="BFBFBF" w:themeFill="background1" w:themeFillShade="BF"/>
          </w:tcPr>
          <w:p w14:paraId="72689434" w14:textId="77777777" w:rsidR="00C44F5C" w:rsidRPr="001D0858" w:rsidRDefault="00C44F5C" w:rsidP="00D069E4">
            <w:pPr>
              <w:pStyle w:val="Tableheading"/>
              <w:rPr>
                <w:sz w:val="20"/>
                <w:szCs w:val="20"/>
              </w:rPr>
            </w:pPr>
            <w:r>
              <w:rPr>
                <w:sz w:val="20"/>
                <w:szCs w:val="20"/>
              </w:rPr>
              <w:t>2014</w:t>
            </w:r>
          </w:p>
        </w:tc>
        <w:tc>
          <w:tcPr>
            <w:tcW w:w="402" w:type="pct"/>
            <w:shd w:val="clear" w:color="auto" w:fill="BFBFBF" w:themeFill="background1" w:themeFillShade="BF"/>
          </w:tcPr>
          <w:p w14:paraId="310A753E" w14:textId="77777777" w:rsidR="00C44F5C" w:rsidRPr="001D0858" w:rsidRDefault="00C44F5C" w:rsidP="00D069E4">
            <w:pPr>
              <w:pStyle w:val="Tableheading"/>
              <w:rPr>
                <w:sz w:val="20"/>
                <w:szCs w:val="20"/>
              </w:rPr>
            </w:pPr>
            <w:r>
              <w:rPr>
                <w:sz w:val="20"/>
                <w:szCs w:val="20"/>
              </w:rPr>
              <w:t>2015</w:t>
            </w:r>
          </w:p>
        </w:tc>
        <w:tc>
          <w:tcPr>
            <w:tcW w:w="402" w:type="pct"/>
            <w:shd w:val="clear" w:color="auto" w:fill="BFBFBF" w:themeFill="background1" w:themeFillShade="BF"/>
          </w:tcPr>
          <w:p w14:paraId="7940AA28" w14:textId="77777777" w:rsidR="00C44F5C" w:rsidRPr="001D0858" w:rsidRDefault="00C44F5C" w:rsidP="00D069E4">
            <w:pPr>
              <w:pStyle w:val="Tableheading"/>
              <w:rPr>
                <w:sz w:val="20"/>
                <w:szCs w:val="20"/>
              </w:rPr>
            </w:pPr>
            <w:r>
              <w:rPr>
                <w:sz w:val="20"/>
                <w:szCs w:val="20"/>
              </w:rPr>
              <w:t>2016</w:t>
            </w:r>
          </w:p>
        </w:tc>
        <w:tc>
          <w:tcPr>
            <w:tcW w:w="402" w:type="pct"/>
            <w:shd w:val="clear" w:color="auto" w:fill="BFBFBF" w:themeFill="background1" w:themeFillShade="BF"/>
          </w:tcPr>
          <w:p w14:paraId="40CCAA2E" w14:textId="77777777" w:rsidR="00C44F5C" w:rsidRPr="001D0858" w:rsidRDefault="00C44F5C" w:rsidP="00D069E4">
            <w:pPr>
              <w:pStyle w:val="Tableheading"/>
              <w:rPr>
                <w:sz w:val="20"/>
                <w:szCs w:val="20"/>
              </w:rPr>
            </w:pPr>
            <w:r>
              <w:rPr>
                <w:sz w:val="20"/>
                <w:szCs w:val="20"/>
              </w:rPr>
              <w:t>2017</w:t>
            </w:r>
          </w:p>
        </w:tc>
        <w:tc>
          <w:tcPr>
            <w:tcW w:w="402" w:type="pct"/>
            <w:shd w:val="clear" w:color="auto" w:fill="BFBFBF" w:themeFill="background1" w:themeFillShade="BF"/>
          </w:tcPr>
          <w:p w14:paraId="06A9850D" w14:textId="77777777" w:rsidR="00C44F5C" w:rsidRPr="001D0858" w:rsidRDefault="00C44F5C" w:rsidP="00D069E4">
            <w:pPr>
              <w:pStyle w:val="Tableheading"/>
              <w:rPr>
                <w:sz w:val="20"/>
                <w:szCs w:val="20"/>
              </w:rPr>
            </w:pPr>
            <w:r>
              <w:rPr>
                <w:sz w:val="20"/>
                <w:szCs w:val="20"/>
              </w:rPr>
              <w:t>2018</w:t>
            </w:r>
          </w:p>
        </w:tc>
        <w:tc>
          <w:tcPr>
            <w:tcW w:w="838" w:type="pct"/>
            <w:shd w:val="clear" w:color="auto" w:fill="BFBFBF" w:themeFill="background1" w:themeFillShade="BF"/>
          </w:tcPr>
          <w:p w14:paraId="3061EB23" w14:textId="77777777" w:rsidR="00C44F5C" w:rsidRPr="001D0858" w:rsidRDefault="00C44F5C" w:rsidP="00D069E4">
            <w:pPr>
              <w:pStyle w:val="Tableheading"/>
              <w:rPr>
                <w:sz w:val="20"/>
                <w:szCs w:val="20"/>
              </w:rPr>
            </w:pPr>
            <w:r>
              <w:rPr>
                <w:sz w:val="20"/>
                <w:szCs w:val="20"/>
              </w:rPr>
              <w:t>To June 2019*</w:t>
            </w:r>
          </w:p>
        </w:tc>
      </w:tr>
      <w:tr w:rsidR="00232509" w:rsidRPr="001D0858" w14:paraId="4BEFB809" w14:textId="77777777" w:rsidTr="007B7FC9">
        <w:trPr>
          <w:trHeight w:val="20"/>
        </w:trPr>
        <w:tc>
          <w:tcPr>
            <w:tcW w:w="2149" w:type="pct"/>
          </w:tcPr>
          <w:p w14:paraId="3A04B285" w14:textId="77777777" w:rsidR="00232509" w:rsidRPr="00C11A25" w:rsidRDefault="00232509" w:rsidP="004B296D">
            <w:pPr>
              <w:pStyle w:val="Tableheading"/>
              <w:jc w:val="left"/>
              <w:rPr>
                <w:rFonts w:cstheme="minorHAnsi"/>
                <w:sz w:val="20"/>
                <w:szCs w:val="20"/>
              </w:rPr>
            </w:pPr>
            <w:r w:rsidRPr="00C11A25">
              <w:rPr>
                <w:rFonts w:cstheme="minorHAnsi"/>
                <w:sz w:val="20"/>
                <w:szCs w:val="20"/>
              </w:rPr>
              <w:t>Total</w:t>
            </w:r>
          </w:p>
        </w:tc>
        <w:tc>
          <w:tcPr>
            <w:tcW w:w="402" w:type="pct"/>
          </w:tcPr>
          <w:p w14:paraId="614176F3" w14:textId="31230220" w:rsidR="00232509" w:rsidRPr="000175ED" w:rsidRDefault="00232509" w:rsidP="00232509">
            <w:pPr>
              <w:pStyle w:val="Tableheading"/>
              <w:rPr>
                <w:rFonts w:cstheme="minorHAnsi"/>
                <w:b w:val="0"/>
                <w:sz w:val="20"/>
                <w:szCs w:val="20"/>
              </w:rPr>
            </w:pPr>
            <w:r w:rsidRPr="00D27B66">
              <w:rPr>
                <w:rFonts w:cstheme="minorHAnsi"/>
                <w:b w:val="0"/>
                <w:sz w:val="20"/>
                <w:szCs w:val="20"/>
              </w:rPr>
              <w:t>7,202</w:t>
            </w:r>
          </w:p>
        </w:tc>
        <w:tc>
          <w:tcPr>
            <w:tcW w:w="402" w:type="pct"/>
          </w:tcPr>
          <w:p w14:paraId="277D31EE" w14:textId="271549A9" w:rsidR="00232509" w:rsidRPr="000175ED" w:rsidRDefault="00232509" w:rsidP="00232509">
            <w:pPr>
              <w:pStyle w:val="Tableheading"/>
              <w:rPr>
                <w:rFonts w:cstheme="minorHAnsi"/>
                <w:b w:val="0"/>
                <w:sz w:val="20"/>
                <w:szCs w:val="20"/>
              </w:rPr>
            </w:pPr>
            <w:r w:rsidRPr="00D27B66">
              <w:rPr>
                <w:rFonts w:cstheme="minorHAnsi"/>
                <w:b w:val="0"/>
                <w:sz w:val="20"/>
                <w:szCs w:val="20"/>
              </w:rPr>
              <w:t>8,113</w:t>
            </w:r>
          </w:p>
        </w:tc>
        <w:tc>
          <w:tcPr>
            <w:tcW w:w="402" w:type="pct"/>
          </w:tcPr>
          <w:p w14:paraId="08F12F49" w14:textId="76B7AF88" w:rsidR="00232509" w:rsidRPr="000175ED" w:rsidRDefault="00232509" w:rsidP="00232509">
            <w:pPr>
              <w:pStyle w:val="Tableheading"/>
              <w:rPr>
                <w:rFonts w:cstheme="minorHAnsi"/>
                <w:b w:val="0"/>
                <w:sz w:val="20"/>
                <w:szCs w:val="20"/>
              </w:rPr>
            </w:pPr>
            <w:r w:rsidRPr="00D27B66">
              <w:rPr>
                <w:rFonts w:cstheme="minorHAnsi"/>
                <w:b w:val="0"/>
                <w:sz w:val="20"/>
                <w:szCs w:val="20"/>
              </w:rPr>
              <w:t>8,380</w:t>
            </w:r>
          </w:p>
        </w:tc>
        <w:tc>
          <w:tcPr>
            <w:tcW w:w="402" w:type="pct"/>
          </w:tcPr>
          <w:p w14:paraId="27AFC35C" w14:textId="7FD5FE1F" w:rsidR="00232509" w:rsidRPr="000175ED" w:rsidRDefault="00232509" w:rsidP="00232509">
            <w:pPr>
              <w:pStyle w:val="Tableheading"/>
              <w:rPr>
                <w:rFonts w:cstheme="minorHAnsi"/>
                <w:b w:val="0"/>
                <w:sz w:val="20"/>
                <w:szCs w:val="20"/>
              </w:rPr>
            </w:pPr>
            <w:r w:rsidRPr="00D27B66">
              <w:rPr>
                <w:rFonts w:cstheme="minorHAnsi"/>
                <w:b w:val="0"/>
                <w:sz w:val="20"/>
                <w:szCs w:val="20"/>
              </w:rPr>
              <w:t>9,139</w:t>
            </w:r>
          </w:p>
        </w:tc>
        <w:tc>
          <w:tcPr>
            <w:tcW w:w="402" w:type="pct"/>
          </w:tcPr>
          <w:p w14:paraId="1CE670F9" w14:textId="4F82E612" w:rsidR="00232509" w:rsidRPr="000175ED" w:rsidRDefault="00232509" w:rsidP="00232509">
            <w:pPr>
              <w:pStyle w:val="Tableheading"/>
              <w:rPr>
                <w:rFonts w:cstheme="minorHAnsi"/>
                <w:b w:val="0"/>
                <w:sz w:val="20"/>
                <w:szCs w:val="20"/>
              </w:rPr>
            </w:pPr>
            <w:r w:rsidRPr="00D27B66">
              <w:rPr>
                <w:rFonts w:cstheme="minorHAnsi"/>
                <w:b w:val="0"/>
                <w:sz w:val="20"/>
                <w:szCs w:val="20"/>
              </w:rPr>
              <w:t>9,514</w:t>
            </w:r>
          </w:p>
        </w:tc>
        <w:tc>
          <w:tcPr>
            <w:tcW w:w="838" w:type="pct"/>
          </w:tcPr>
          <w:p w14:paraId="4F88BE0C" w14:textId="6BC10F49" w:rsidR="00232509" w:rsidRPr="000175ED" w:rsidRDefault="00232509" w:rsidP="00232509">
            <w:pPr>
              <w:pStyle w:val="Tableheading"/>
              <w:rPr>
                <w:rFonts w:cstheme="minorHAnsi"/>
                <w:b w:val="0"/>
                <w:sz w:val="20"/>
                <w:szCs w:val="20"/>
              </w:rPr>
            </w:pPr>
            <w:r w:rsidRPr="00D27B66">
              <w:rPr>
                <w:rFonts w:cstheme="minorHAnsi"/>
                <w:b w:val="0"/>
                <w:sz w:val="20"/>
                <w:szCs w:val="20"/>
              </w:rPr>
              <w:t>4,863</w:t>
            </w:r>
          </w:p>
        </w:tc>
      </w:tr>
      <w:tr w:rsidR="00C44F5C" w:rsidRPr="001D0858" w14:paraId="6FA6C2A4" w14:textId="77777777" w:rsidTr="007B7FC9">
        <w:trPr>
          <w:trHeight w:val="20"/>
        </w:trPr>
        <w:tc>
          <w:tcPr>
            <w:tcW w:w="5000" w:type="pct"/>
            <w:gridSpan w:val="7"/>
            <w:shd w:val="clear" w:color="auto" w:fill="D9D9D9" w:themeFill="background1" w:themeFillShade="D9"/>
          </w:tcPr>
          <w:p w14:paraId="46741DC4" w14:textId="7DF5D2FA" w:rsidR="00C44F5C" w:rsidRPr="00C11A25" w:rsidRDefault="00573E1D" w:rsidP="00D069E4">
            <w:pPr>
              <w:pStyle w:val="Tableheading"/>
              <w:rPr>
                <w:rFonts w:cstheme="minorHAnsi"/>
                <w:sz w:val="20"/>
                <w:szCs w:val="20"/>
              </w:rPr>
            </w:pPr>
            <w:r>
              <w:rPr>
                <w:rFonts w:cstheme="minorHAnsi"/>
                <w:sz w:val="20"/>
                <w:szCs w:val="20"/>
              </w:rPr>
              <w:t>By a</w:t>
            </w:r>
            <w:r w:rsidR="003D7B61">
              <w:rPr>
                <w:rFonts w:cstheme="minorHAnsi"/>
                <w:sz w:val="20"/>
                <w:szCs w:val="20"/>
              </w:rPr>
              <w:t>ctive ingredient</w:t>
            </w:r>
          </w:p>
        </w:tc>
      </w:tr>
      <w:tr w:rsidR="00D27B66" w:rsidRPr="001D0858" w14:paraId="25EE06F1" w14:textId="77777777" w:rsidTr="007B7FC9">
        <w:trPr>
          <w:trHeight w:val="20"/>
        </w:trPr>
        <w:tc>
          <w:tcPr>
            <w:tcW w:w="2149" w:type="pct"/>
          </w:tcPr>
          <w:p w14:paraId="6B85F0A2" w14:textId="5EB644E1" w:rsidR="00D27B66" w:rsidRPr="00C11A25" w:rsidRDefault="00D27B66" w:rsidP="004B296D">
            <w:pPr>
              <w:pStyle w:val="Tableheading"/>
              <w:jc w:val="left"/>
              <w:rPr>
                <w:rFonts w:cstheme="minorHAnsi"/>
                <w:sz w:val="20"/>
                <w:szCs w:val="20"/>
              </w:rPr>
            </w:pPr>
            <w:r w:rsidRPr="0024576C">
              <w:rPr>
                <w:rFonts w:cstheme="minorHAnsi"/>
                <w:sz w:val="20"/>
                <w:szCs w:val="20"/>
              </w:rPr>
              <w:t>Alendronate (incl combination products)</w:t>
            </w:r>
          </w:p>
        </w:tc>
        <w:tc>
          <w:tcPr>
            <w:tcW w:w="402" w:type="pct"/>
          </w:tcPr>
          <w:p w14:paraId="0C6D55CA" w14:textId="58C42E7F" w:rsidR="00D27B66" w:rsidRPr="00D27B66" w:rsidRDefault="00D27B66" w:rsidP="00D27B66">
            <w:pPr>
              <w:pStyle w:val="Tableheading"/>
              <w:rPr>
                <w:rFonts w:cstheme="minorHAnsi"/>
                <w:b w:val="0"/>
                <w:sz w:val="20"/>
                <w:szCs w:val="20"/>
              </w:rPr>
            </w:pPr>
            <w:r w:rsidRPr="00D27B66">
              <w:rPr>
                <w:rFonts w:cstheme="minorHAnsi"/>
                <w:b w:val="0"/>
                <w:sz w:val="20"/>
                <w:szCs w:val="20"/>
              </w:rPr>
              <w:t>1,267</w:t>
            </w:r>
          </w:p>
        </w:tc>
        <w:tc>
          <w:tcPr>
            <w:tcW w:w="402" w:type="pct"/>
          </w:tcPr>
          <w:p w14:paraId="5980DF41" w14:textId="79389640" w:rsidR="00D27B66" w:rsidRPr="00D27B66" w:rsidRDefault="00D27B66" w:rsidP="00D27B66">
            <w:pPr>
              <w:pStyle w:val="Tableheading"/>
              <w:rPr>
                <w:rFonts w:cstheme="minorHAnsi"/>
                <w:b w:val="0"/>
                <w:sz w:val="20"/>
                <w:szCs w:val="20"/>
              </w:rPr>
            </w:pPr>
            <w:r w:rsidRPr="00D27B66">
              <w:rPr>
                <w:rFonts w:cstheme="minorHAnsi"/>
                <w:b w:val="0"/>
                <w:sz w:val="20"/>
                <w:szCs w:val="20"/>
              </w:rPr>
              <w:t>1,248</w:t>
            </w:r>
          </w:p>
        </w:tc>
        <w:tc>
          <w:tcPr>
            <w:tcW w:w="402" w:type="pct"/>
          </w:tcPr>
          <w:p w14:paraId="40019548" w14:textId="0AE90678" w:rsidR="00D27B66" w:rsidRPr="00D27B66" w:rsidRDefault="00D27B66" w:rsidP="00D27B66">
            <w:pPr>
              <w:pStyle w:val="Tableheading"/>
              <w:rPr>
                <w:rFonts w:cstheme="minorHAnsi"/>
                <w:b w:val="0"/>
                <w:sz w:val="20"/>
                <w:szCs w:val="20"/>
              </w:rPr>
            </w:pPr>
            <w:r w:rsidRPr="00D27B66">
              <w:rPr>
                <w:rFonts w:cstheme="minorHAnsi"/>
                <w:b w:val="0"/>
                <w:sz w:val="20"/>
                <w:szCs w:val="20"/>
              </w:rPr>
              <w:t>984</w:t>
            </w:r>
          </w:p>
        </w:tc>
        <w:tc>
          <w:tcPr>
            <w:tcW w:w="402" w:type="pct"/>
          </w:tcPr>
          <w:p w14:paraId="17C8CEBD" w14:textId="28A9EEC1" w:rsidR="00D27B66" w:rsidRPr="00D27B66" w:rsidRDefault="00D27B66" w:rsidP="00D27B66">
            <w:pPr>
              <w:pStyle w:val="Tableheading"/>
              <w:rPr>
                <w:rFonts w:cstheme="minorHAnsi"/>
                <w:b w:val="0"/>
                <w:sz w:val="20"/>
                <w:szCs w:val="20"/>
              </w:rPr>
            </w:pPr>
            <w:r w:rsidRPr="00D27B66">
              <w:rPr>
                <w:rFonts w:cstheme="minorHAnsi"/>
                <w:b w:val="0"/>
                <w:sz w:val="20"/>
                <w:szCs w:val="20"/>
              </w:rPr>
              <w:t>876</w:t>
            </w:r>
          </w:p>
        </w:tc>
        <w:tc>
          <w:tcPr>
            <w:tcW w:w="402" w:type="pct"/>
          </w:tcPr>
          <w:p w14:paraId="0DAFEB80" w14:textId="1A392EB1" w:rsidR="00D27B66" w:rsidRPr="00D27B66" w:rsidRDefault="00D27B66" w:rsidP="00D27B66">
            <w:pPr>
              <w:pStyle w:val="Tableheading"/>
              <w:rPr>
                <w:rFonts w:cstheme="minorHAnsi"/>
                <w:b w:val="0"/>
                <w:sz w:val="20"/>
                <w:szCs w:val="20"/>
              </w:rPr>
            </w:pPr>
            <w:r w:rsidRPr="00D27B66">
              <w:rPr>
                <w:rFonts w:cstheme="minorHAnsi"/>
                <w:b w:val="0"/>
                <w:sz w:val="20"/>
                <w:szCs w:val="20"/>
              </w:rPr>
              <w:t>735</w:t>
            </w:r>
          </w:p>
        </w:tc>
        <w:tc>
          <w:tcPr>
            <w:tcW w:w="838" w:type="pct"/>
          </w:tcPr>
          <w:p w14:paraId="30EA41E0" w14:textId="1EC10835" w:rsidR="00D27B66" w:rsidRPr="00D27B66" w:rsidRDefault="00D27B66" w:rsidP="00D27B66">
            <w:pPr>
              <w:pStyle w:val="Tableheading"/>
              <w:rPr>
                <w:rFonts w:cstheme="minorHAnsi"/>
                <w:b w:val="0"/>
                <w:sz w:val="20"/>
                <w:szCs w:val="20"/>
              </w:rPr>
            </w:pPr>
            <w:r w:rsidRPr="00D27B66">
              <w:rPr>
                <w:rFonts w:cstheme="minorHAnsi"/>
                <w:b w:val="0"/>
                <w:sz w:val="20"/>
                <w:szCs w:val="20"/>
              </w:rPr>
              <w:t>726</w:t>
            </w:r>
          </w:p>
        </w:tc>
      </w:tr>
      <w:tr w:rsidR="00D27B66" w:rsidRPr="001D0858" w14:paraId="05A01474" w14:textId="77777777" w:rsidTr="007B7FC9">
        <w:trPr>
          <w:trHeight w:val="20"/>
        </w:trPr>
        <w:tc>
          <w:tcPr>
            <w:tcW w:w="2149" w:type="pct"/>
          </w:tcPr>
          <w:p w14:paraId="378D19DA" w14:textId="117D6653" w:rsidR="00D27B66" w:rsidRPr="00C11A25" w:rsidRDefault="00D27B66" w:rsidP="004B296D">
            <w:pPr>
              <w:pStyle w:val="Tableheading"/>
              <w:jc w:val="left"/>
              <w:rPr>
                <w:rFonts w:cstheme="minorHAnsi"/>
                <w:sz w:val="20"/>
                <w:szCs w:val="20"/>
              </w:rPr>
            </w:pPr>
            <w:r w:rsidRPr="0024576C">
              <w:rPr>
                <w:rFonts w:cstheme="minorHAnsi"/>
                <w:sz w:val="20"/>
                <w:szCs w:val="20"/>
              </w:rPr>
              <w:t>Calcitriol</w:t>
            </w:r>
          </w:p>
        </w:tc>
        <w:tc>
          <w:tcPr>
            <w:tcW w:w="402" w:type="pct"/>
          </w:tcPr>
          <w:p w14:paraId="3B2592EB" w14:textId="6E648CCD" w:rsidR="00D27B66" w:rsidRPr="00D27B66" w:rsidRDefault="00D27B66" w:rsidP="00D27B66">
            <w:pPr>
              <w:pStyle w:val="Tableheading"/>
              <w:rPr>
                <w:rFonts w:cstheme="minorHAnsi"/>
                <w:b w:val="0"/>
                <w:sz w:val="20"/>
                <w:szCs w:val="20"/>
              </w:rPr>
            </w:pPr>
            <w:r w:rsidRPr="00D27B66">
              <w:rPr>
                <w:rFonts w:cstheme="minorHAnsi"/>
                <w:b w:val="0"/>
                <w:sz w:val="20"/>
                <w:szCs w:val="20"/>
              </w:rPr>
              <w:t>591</w:t>
            </w:r>
          </w:p>
        </w:tc>
        <w:tc>
          <w:tcPr>
            <w:tcW w:w="402" w:type="pct"/>
          </w:tcPr>
          <w:p w14:paraId="2B82093B" w14:textId="227A937A" w:rsidR="00D27B66" w:rsidRPr="00D27B66" w:rsidRDefault="00D27B66" w:rsidP="00D27B66">
            <w:pPr>
              <w:pStyle w:val="Tableheading"/>
              <w:rPr>
                <w:rFonts w:cstheme="minorHAnsi"/>
                <w:b w:val="0"/>
                <w:sz w:val="20"/>
                <w:szCs w:val="20"/>
              </w:rPr>
            </w:pPr>
            <w:r w:rsidRPr="00D27B66">
              <w:rPr>
                <w:rFonts w:cstheme="minorHAnsi"/>
                <w:b w:val="0"/>
                <w:sz w:val="20"/>
                <w:szCs w:val="20"/>
              </w:rPr>
              <w:t>568</w:t>
            </w:r>
          </w:p>
        </w:tc>
        <w:tc>
          <w:tcPr>
            <w:tcW w:w="402" w:type="pct"/>
          </w:tcPr>
          <w:p w14:paraId="36A8D754" w14:textId="537884AA" w:rsidR="00D27B66" w:rsidRPr="00D27B66" w:rsidRDefault="00D27B66" w:rsidP="00D27B66">
            <w:pPr>
              <w:pStyle w:val="Tableheading"/>
              <w:rPr>
                <w:rFonts w:cstheme="minorHAnsi"/>
                <w:b w:val="0"/>
                <w:sz w:val="20"/>
                <w:szCs w:val="20"/>
              </w:rPr>
            </w:pPr>
            <w:r w:rsidRPr="00D27B66">
              <w:rPr>
                <w:rFonts w:cstheme="minorHAnsi"/>
                <w:b w:val="0"/>
                <w:sz w:val="20"/>
                <w:szCs w:val="20"/>
              </w:rPr>
              <w:t>545</w:t>
            </w:r>
          </w:p>
        </w:tc>
        <w:tc>
          <w:tcPr>
            <w:tcW w:w="402" w:type="pct"/>
          </w:tcPr>
          <w:p w14:paraId="06598284" w14:textId="51864353" w:rsidR="00D27B66" w:rsidRPr="00D27B66" w:rsidRDefault="00D27B66" w:rsidP="00D27B66">
            <w:pPr>
              <w:pStyle w:val="Tableheading"/>
              <w:rPr>
                <w:rFonts w:cstheme="minorHAnsi"/>
                <w:b w:val="0"/>
                <w:sz w:val="20"/>
                <w:szCs w:val="20"/>
              </w:rPr>
            </w:pPr>
            <w:r w:rsidRPr="00D27B66">
              <w:rPr>
                <w:rFonts w:cstheme="minorHAnsi"/>
                <w:b w:val="0"/>
                <w:sz w:val="20"/>
                <w:szCs w:val="20"/>
              </w:rPr>
              <w:t>553</w:t>
            </w:r>
          </w:p>
        </w:tc>
        <w:tc>
          <w:tcPr>
            <w:tcW w:w="402" w:type="pct"/>
          </w:tcPr>
          <w:p w14:paraId="32F0C2FE" w14:textId="26D1B1A1" w:rsidR="00D27B66" w:rsidRPr="00D27B66" w:rsidRDefault="00D27B66" w:rsidP="00D27B66">
            <w:pPr>
              <w:pStyle w:val="Tableheading"/>
              <w:rPr>
                <w:rFonts w:cstheme="minorHAnsi"/>
                <w:b w:val="0"/>
                <w:sz w:val="20"/>
                <w:szCs w:val="20"/>
              </w:rPr>
            </w:pPr>
            <w:r w:rsidRPr="00D27B66">
              <w:rPr>
                <w:rFonts w:cstheme="minorHAnsi"/>
                <w:b w:val="0"/>
                <w:sz w:val="20"/>
                <w:szCs w:val="20"/>
              </w:rPr>
              <w:t>543</w:t>
            </w:r>
          </w:p>
        </w:tc>
        <w:tc>
          <w:tcPr>
            <w:tcW w:w="838" w:type="pct"/>
          </w:tcPr>
          <w:p w14:paraId="59755739" w14:textId="5598253C" w:rsidR="00D27B66" w:rsidRPr="00D27B66" w:rsidRDefault="00D27B66" w:rsidP="00D27B66">
            <w:pPr>
              <w:pStyle w:val="Tableheading"/>
              <w:rPr>
                <w:rFonts w:cstheme="minorHAnsi"/>
                <w:b w:val="0"/>
                <w:sz w:val="20"/>
                <w:szCs w:val="20"/>
              </w:rPr>
            </w:pPr>
            <w:r w:rsidRPr="00D27B66">
              <w:rPr>
                <w:rFonts w:cstheme="minorHAnsi"/>
                <w:b w:val="0"/>
                <w:sz w:val="20"/>
                <w:szCs w:val="20"/>
              </w:rPr>
              <w:t>274</w:t>
            </w:r>
          </w:p>
        </w:tc>
      </w:tr>
      <w:tr w:rsidR="00D27B66" w:rsidRPr="001D0858" w14:paraId="56D3E46F" w14:textId="77777777" w:rsidTr="007B7FC9">
        <w:trPr>
          <w:trHeight w:val="20"/>
        </w:trPr>
        <w:tc>
          <w:tcPr>
            <w:tcW w:w="2149" w:type="pct"/>
          </w:tcPr>
          <w:p w14:paraId="693D6B72" w14:textId="12CB37ED" w:rsidR="00D27B66" w:rsidRPr="00C11A25" w:rsidRDefault="00D27B66" w:rsidP="004B296D">
            <w:pPr>
              <w:pStyle w:val="Tableheading"/>
              <w:jc w:val="left"/>
              <w:rPr>
                <w:rFonts w:cstheme="minorHAnsi"/>
                <w:sz w:val="20"/>
                <w:szCs w:val="20"/>
              </w:rPr>
            </w:pPr>
            <w:r w:rsidRPr="0024576C">
              <w:rPr>
                <w:rFonts w:cstheme="minorHAnsi"/>
                <w:sz w:val="20"/>
                <w:szCs w:val="20"/>
              </w:rPr>
              <w:t>Denosumab</w:t>
            </w:r>
          </w:p>
        </w:tc>
        <w:tc>
          <w:tcPr>
            <w:tcW w:w="402" w:type="pct"/>
          </w:tcPr>
          <w:p w14:paraId="744FF54A" w14:textId="48D94E08" w:rsidR="00D27B66" w:rsidRPr="00D27B66" w:rsidRDefault="00D27B66" w:rsidP="00D27B66">
            <w:pPr>
              <w:pStyle w:val="Tableheading"/>
              <w:rPr>
                <w:rFonts w:cstheme="minorHAnsi"/>
                <w:b w:val="0"/>
                <w:sz w:val="20"/>
                <w:szCs w:val="20"/>
              </w:rPr>
            </w:pPr>
            <w:r w:rsidRPr="00D27B66">
              <w:rPr>
                <w:rFonts w:cstheme="minorHAnsi"/>
                <w:b w:val="0"/>
                <w:sz w:val="20"/>
                <w:szCs w:val="20"/>
              </w:rPr>
              <w:t>3,641</w:t>
            </w:r>
          </w:p>
        </w:tc>
        <w:tc>
          <w:tcPr>
            <w:tcW w:w="402" w:type="pct"/>
          </w:tcPr>
          <w:p w14:paraId="3A8201E8" w14:textId="53935D93" w:rsidR="00D27B66" w:rsidRPr="00D27B66" w:rsidRDefault="00D27B66" w:rsidP="00D27B66">
            <w:pPr>
              <w:pStyle w:val="Tableheading"/>
              <w:rPr>
                <w:rFonts w:cstheme="minorHAnsi"/>
                <w:b w:val="0"/>
                <w:sz w:val="20"/>
                <w:szCs w:val="20"/>
              </w:rPr>
            </w:pPr>
            <w:r w:rsidRPr="00D27B66">
              <w:rPr>
                <w:rFonts w:cstheme="minorHAnsi"/>
                <w:b w:val="0"/>
                <w:sz w:val="20"/>
                <w:szCs w:val="20"/>
              </w:rPr>
              <w:t>4,932</w:t>
            </w:r>
          </w:p>
        </w:tc>
        <w:tc>
          <w:tcPr>
            <w:tcW w:w="402" w:type="pct"/>
          </w:tcPr>
          <w:p w14:paraId="288FFC05" w14:textId="5779B3FB" w:rsidR="00D27B66" w:rsidRPr="00D27B66" w:rsidRDefault="00D27B66" w:rsidP="00D27B66">
            <w:pPr>
              <w:pStyle w:val="Tableheading"/>
              <w:rPr>
                <w:rFonts w:cstheme="minorHAnsi"/>
                <w:b w:val="0"/>
                <w:sz w:val="20"/>
                <w:szCs w:val="20"/>
              </w:rPr>
            </w:pPr>
            <w:r w:rsidRPr="00D27B66">
              <w:rPr>
                <w:rFonts w:cstheme="minorHAnsi"/>
                <w:b w:val="0"/>
                <w:sz w:val="20"/>
                <w:szCs w:val="20"/>
              </w:rPr>
              <w:t>5,797</w:t>
            </w:r>
          </w:p>
        </w:tc>
        <w:tc>
          <w:tcPr>
            <w:tcW w:w="402" w:type="pct"/>
          </w:tcPr>
          <w:p w14:paraId="36C42462" w14:textId="72FA8D61" w:rsidR="00D27B66" w:rsidRPr="00D27B66" w:rsidRDefault="00D27B66" w:rsidP="00D27B66">
            <w:pPr>
              <w:pStyle w:val="Tableheading"/>
              <w:rPr>
                <w:rFonts w:cstheme="minorHAnsi"/>
                <w:b w:val="0"/>
                <w:sz w:val="20"/>
                <w:szCs w:val="20"/>
              </w:rPr>
            </w:pPr>
            <w:r w:rsidRPr="00D27B66">
              <w:rPr>
                <w:rFonts w:cstheme="minorHAnsi"/>
                <w:b w:val="0"/>
                <w:sz w:val="20"/>
                <w:szCs w:val="20"/>
              </w:rPr>
              <w:t>6,827</w:t>
            </w:r>
          </w:p>
        </w:tc>
        <w:tc>
          <w:tcPr>
            <w:tcW w:w="402" w:type="pct"/>
          </w:tcPr>
          <w:p w14:paraId="1DB491E7" w14:textId="110EC358" w:rsidR="00D27B66" w:rsidRPr="00D27B66" w:rsidRDefault="00D27B66" w:rsidP="00D27B66">
            <w:pPr>
              <w:pStyle w:val="Tableheading"/>
              <w:rPr>
                <w:rFonts w:cstheme="minorHAnsi"/>
                <w:b w:val="0"/>
                <w:sz w:val="20"/>
                <w:szCs w:val="20"/>
              </w:rPr>
            </w:pPr>
            <w:r w:rsidRPr="00D27B66">
              <w:rPr>
                <w:rFonts w:cstheme="minorHAnsi"/>
                <w:b w:val="0"/>
                <w:sz w:val="20"/>
                <w:szCs w:val="20"/>
              </w:rPr>
              <w:t>7,187</w:t>
            </w:r>
          </w:p>
        </w:tc>
        <w:tc>
          <w:tcPr>
            <w:tcW w:w="838" w:type="pct"/>
          </w:tcPr>
          <w:p w14:paraId="334E1DA4" w14:textId="7E68B93E" w:rsidR="00D27B66" w:rsidRPr="00D27B66" w:rsidRDefault="00D27B66" w:rsidP="00D27B66">
            <w:pPr>
              <w:pStyle w:val="Tableheading"/>
              <w:rPr>
                <w:rFonts w:cstheme="minorHAnsi"/>
                <w:b w:val="0"/>
                <w:sz w:val="20"/>
                <w:szCs w:val="20"/>
              </w:rPr>
            </w:pPr>
            <w:r w:rsidRPr="00D27B66">
              <w:rPr>
                <w:rFonts w:cstheme="minorHAnsi"/>
                <w:b w:val="0"/>
                <w:sz w:val="20"/>
                <w:szCs w:val="20"/>
              </w:rPr>
              <w:t>3,381</w:t>
            </w:r>
          </w:p>
        </w:tc>
      </w:tr>
      <w:tr w:rsidR="00D27B66" w:rsidRPr="001D0858" w14:paraId="5326FFDD" w14:textId="77777777" w:rsidTr="007B7FC9">
        <w:trPr>
          <w:trHeight w:val="20"/>
        </w:trPr>
        <w:tc>
          <w:tcPr>
            <w:tcW w:w="2149" w:type="pct"/>
          </w:tcPr>
          <w:p w14:paraId="3DE7ABE7" w14:textId="763C2019" w:rsidR="00D27B66" w:rsidRPr="00C11A25" w:rsidRDefault="00D27B66" w:rsidP="004B296D">
            <w:pPr>
              <w:pStyle w:val="Tableheading"/>
              <w:jc w:val="left"/>
              <w:rPr>
                <w:rFonts w:cstheme="minorHAnsi"/>
                <w:sz w:val="20"/>
                <w:szCs w:val="20"/>
              </w:rPr>
            </w:pPr>
            <w:r w:rsidRPr="0024576C">
              <w:rPr>
                <w:rFonts w:cstheme="minorHAnsi"/>
                <w:sz w:val="20"/>
                <w:szCs w:val="20"/>
              </w:rPr>
              <w:t>Raloxifene</w:t>
            </w:r>
          </w:p>
        </w:tc>
        <w:tc>
          <w:tcPr>
            <w:tcW w:w="402" w:type="pct"/>
          </w:tcPr>
          <w:p w14:paraId="7BBA8EF6" w14:textId="12977B29" w:rsidR="00D27B66" w:rsidRPr="00D27B66" w:rsidRDefault="00D27B66" w:rsidP="00D27B66">
            <w:pPr>
              <w:pStyle w:val="Tableheading"/>
              <w:rPr>
                <w:rFonts w:cstheme="minorHAnsi"/>
                <w:b w:val="0"/>
                <w:sz w:val="20"/>
                <w:szCs w:val="20"/>
              </w:rPr>
            </w:pPr>
            <w:r w:rsidRPr="00D27B66">
              <w:rPr>
                <w:rFonts w:cstheme="minorHAnsi"/>
                <w:b w:val="0"/>
                <w:sz w:val="20"/>
                <w:szCs w:val="20"/>
              </w:rPr>
              <w:t>79</w:t>
            </w:r>
          </w:p>
        </w:tc>
        <w:tc>
          <w:tcPr>
            <w:tcW w:w="402" w:type="pct"/>
          </w:tcPr>
          <w:p w14:paraId="3F0B6F99" w14:textId="585C7C48" w:rsidR="00D27B66" w:rsidRPr="00D27B66" w:rsidRDefault="00D27B66" w:rsidP="00D27B66">
            <w:pPr>
              <w:pStyle w:val="Tableheading"/>
              <w:rPr>
                <w:rFonts w:cstheme="minorHAnsi"/>
                <w:b w:val="0"/>
                <w:sz w:val="20"/>
                <w:szCs w:val="20"/>
              </w:rPr>
            </w:pPr>
            <w:r w:rsidRPr="00D27B66">
              <w:rPr>
                <w:rFonts w:cstheme="minorHAnsi"/>
                <w:b w:val="0"/>
                <w:sz w:val="20"/>
                <w:szCs w:val="20"/>
              </w:rPr>
              <w:t>73</w:t>
            </w:r>
          </w:p>
        </w:tc>
        <w:tc>
          <w:tcPr>
            <w:tcW w:w="402" w:type="pct"/>
          </w:tcPr>
          <w:p w14:paraId="34C520B7" w14:textId="6F18AC52" w:rsidR="00D27B66" w:rsidRPr="00D27B66" w:rsidRDefault="00D27B66" w:rsidP="00D27B66">
            <w:pPr>
              <w:pStyle w:val="Tableheading"/>
              <w:rPr>
                <w:rFonts w:cstheme="minorHAnsi"/>
                <w:b w:val="0"/>
                <w:sz w:val="20"/>
                <w:szCs w:val="20"/>
              </w:rPr>
            </w:pPr>
            <w:r w:rsidRPr="00D27B66">
              <w:rPr>
                <w:rFonts w:cstheme="minorHAnsi"/>
                <w:b w:val="0"/>
                <w:sz w:val="20"/>
                <w:szCs w:val="20"/>
              </w:rPr>
              <w:t>53</w:t>
            </w:r>
          </w:p>
        </w:tc>
        <w:tc>
          <w:tcPr>
            <w:tcW w:w="402" w:type="pct"/>
          </w:tcPr>
          <w:p w14:paraId="0984E80C" w14:textId="2097C1A6" w:rsidR="00D27B66" w:rsidRPr="00D27B66" w:rsidRDefault="00D27B66" w:rsidP="00D27B66">
            <w:pPr>
              <w:pStyle w:val="Tableheading"/>
              <w:rPr>
                <w:rFonts w:cstheme="minorHAnsi"/>
                <w:b w:val="0"/>
                <w:sz w:val="20"/>
                <w:szCs w:val="20"/>
              </w:rPr>
            </w:pPr>
            <w:r w:rsidRPr="00D27B66">
              <w:rPr>
                <w:rFonts w:cstheme="minorHAnsi"/>
                <w:b w:val="0"/>
                <w:sz w:val="20"/>
                <w:szCs w:val="20"/>
              </w:rPr>
              <w:t>36</w:t>
            </w:r>
          </w:p>
        </w:tc>
        <w:tc>
          <w:tcPr>
            <w:tcW w:w="402" w:type="pct"/>
          </w:tcPr>
          <w:p w14:paraId="4AC6C67C" w14:textId="78ECBA85" w:rsidR="00D27B66" w:rsidRPr="00D27B66" w:rsidRDefault="00D27B66" w:rsidP="00D27B66">
            <w:pPr>
              <w:pStyle w:val="Tableheading"/>
              <w:rPr>
                <w:rFonts w:cstheme="minorHAnsi"/>
                <w:b w:val="0"/>
                <w:sz w:val="20"/>
                <w:szCs w:val="20"/>
              </w:rPr>
            </w:pPr>
            <w:r w:rsidRPr="00D27B66">
              <w:rPr>
                <w:rFonts w:cstheme="minorHAnsi"/>
                <w:b w:val="0"/>
                <w:sz w:val="20"/>
                <w:szCs w:val="20"/>
              </w:rPr>
              <w:t>40</w:t>
            </w:r>
          </w:p>
        </w:tc>
        <w:tc>
          <w:tcPr>
            <w:tcW w:w="838" w:type="pct"/>
          </w:tcPr>
          <w:p w14:paraId="46B970BE" w14:textId="2CBC6984" w:rsidR="00D27B66" w:rsidRPr="00D27B66" w:rsidRDefault="00D27B66" w:rsidP="00D27B66">
            <w:pPr>
              <w:pStyle w:val="Tableheading"/>
              <w:rPr>
                <w:rFonts w:cstheme="minorHAnsi"/>
                <w:b w:val="0"/>
                <w:sz w:val="20"/>
                <w:szCs w:val="20"/>
              </w:rPr>
            </w:pPr>
            <w:r w:rsidRPr="00D27B66">
              <w:rPr>
                <w:rFonts w:cstheme="minorHAnsi"/>
                <w:b w:val="0"/>
                <w:sz w:val="20"/>
                <w:szCs w:val="20"/>
              </w:rPr>
              <w:t>23</w:t>
            </w:r>
          </w:p>
        </w:tc>
      </w:tr>
      <w:tr w:rsidR="00D27B66" w:rsidRPr="001D0858" w14:paraId="11FD8914" w14:textId="77777777" w:rsidTr="007B7FC9">
        <w:trPr>
          <w:trHeight w:val="20"/>
        </w:trPr>
        <w:tc>
          <w:tcPr>
            <w:tcW w:w="2149" w:type="pct"/>
          </w:tcPr>
          <w:p w14:paraId="6FA76BD2" w14:textId="7BA84CC6" w:rsidR="00D27B66" w:rsidRPr="00C11A25" w:rsidRDefault="00D27B66" w:rsidP="004B296D">
            <w:pPr>
              <w:pStyle w:val="Tableheading"/>
              <w:jc w:val="left"/>
              <w:rPr>
                <w:rFonts w:cstheme="minorHAnsi"/>
                <w:sz w:val="20"/>
                <w:szCs w:val="20"/>
              </w:rPr>
            </w:pPr>
            <w:r w:rsidRPr="0024576C">
              <w:rPr>
                <w:rFonts w:cstheme="minorHAnsi"/>
                <w:sz w:val="20"/>
                <w:szCs w:val="20"/>
              </w:rPr>
              <w:t>Risedronate (incl combination products)</w:t>
            </w:r>
          </w:p>
        </w:tc>
        <w:tc>
          <w:tcPr>
            <w:tcW w:w="402" w:type="pct"/>
          </w:tcPr>
          <w:p w14:paraId="04E042E4" w14:textId="5328C7B1" w:rsidR="00D27B66" w:rsidRPr="00D27B66" w:rsidRDefault="00D27B66" w:rsidP="00D27B66">
            <w:pPr>
              <w:pStyle w:val="Tableheading"/>
              <w:rPr>
                <w:rFonts w:cstheme="minorHAnsi"/>
                <w:b w:val="0"/>
                <w:sz w:val="20"/>
                <w:szCs w:val="20"/>
              </w:rPr>
            </w:pPr>
            <w:r w:rsidRPr="00D27B66">
              <w:rPr>
                <w:rFonts w:cstheme="minorHAnsi"/>
                <w:b w:val="0"/>
                <w:sz w:val="20"/>
                <w:szCs w:val="20"/>
              </w:rPr>
              <w:t>735</w:t>
            </w:r>
          </w:p>
        </w:tc>
        <w:tc>
          <w:tcPr>
            <w:tcW w:w="402" w:type="pct"/>
          </w:tcPr>
          <w:p w14:paraId="2A72D203" w14:textId="5E81A9DD" w:rsidR="00D27B66" w:rsidRPr="00D27B66" w:rsidRDefault="00D27B66" w:rsidP="00D27B66">
            <w:pPr>
              <w:pStyle w:val="Tableheading"/>
              <w:rPr>
                <w:rFonts w:cstheme="minorHAnsi"/>
                <w:b w:val="0"/>
                <w:sz w:val="20"/>
                <w:szCs w:val="20"/>
              </w:rPr>
            </w:pPr>
            <w:r w:rsidRPr="00D27B66">
              <w:rPr>
                <w:rFonts w:cstheme="minorHAnsi"/>
                <w:b w:val="0"/>
                <w:sz w:val="20"/>
                <w:szCs w:val="20"/>
              </w:rPr>
              <w:t>763</w:t>
            </w:r>
          </w:p>
        </w:tc>
        <w:tc>
          <w:tcPr>
            <w:tcW w:w="402" w:type="pct"/>
          </w:tcPr>
          <w:p w14:paraId="11EF84E0" w14:textId="2F5E77F3" w:rsidR="00D27B66" w:rsidRPr="00D27B66" w:rsidRDefault="00D27B66" w:rsidP="00D27B66">
            <w:pPr>
              <w:pStyle w:val="Tableheading"/>
              <w:rPr>
                <w:rFonts w:cstheme="minorHAnsi"/>
                <w:b w:val="0"/>
                <w:sz w:val="20"/>
                <w:szCs w:val="20"/>
              </w:rPr>
            </w:pPr>
            <w:r w:rsidRPr="00D27B66">
              <w:rPr>
                <w:rFonts w:cstheme="minorHAnsi"/>
                <w:b w:val="0"/>
                <w:sz w:val="20"/>
                <w:szCs w:val="20"/>
              </w:rPr>
              <w:t>651</w:t>
            </w:r>
          </w:p>
        </w:tc>
        <w:tc>
          <w:tcPr>
            <w:tcW w:w="402" w:type="pct"/>
          </w:tcPr>
          <w:p w14:paraId="2CC9394D" w14:textId="562C77FF" w:rsidR="00D27B66" w:rsidRPr="00D27B66" w:rsidRDefault="00D27B66" w:rsidP="00D27B66">
            <w:pPr>
              <w:pStyle w:val="Tableheading"/>
              <w:rPr>
                <w:rFonts w:cstheme="minorHAnsi"/>
                <w:b w:val="0"/>
                <w:sz w:val="20"/>
                <w:szCs w:val="20"/>
              </w:rPr>
            </w:pPr>
            <w:r w:rsidRPr="00D27B66">
              <w:rPr>
                <w:rFonts w:cstheme="minorHAnsi"/>
                <w:b w:val="0"/>
                <w:sz w:val="20"/>
                <w:szCs w:val="20"/>
              </w:rPr>
              <w:t>564</w:t>
            </w:r>
          </w:p>
        </w:tc>
        <w:tc>
          <w:tcPr>
            <w:tcW w:w="402" w:type="pct"/>
          </w:tcPr>
          <w:p w14:paraId="3EA81417" w14:textId="03045FDC" w:rsidR="00D27B66" w:rsidRPr="00D27B66" w:rsidRDefault="00D27B66" w:rsidP="00D27B66">
            <w:pPr>
              <w:pStyle w:val="Tableheading"/>
              <w:rPr>
                <w:rFonts w:cstheme="minorHAnsi"/>
                <w:b w:val="0"/>
                <w:sz w:val="20"/>
                <w:szCs w:val="20"/>
              </w:rPr>
            </w:pPr>
            <w:r w:rsidRPr="00D27B66">
              <w:rPr>
                <w:rFonts w:cstheme="minorHAnsi"/>
                <w:b w:val="0"/>
                <w:sz w:val="20"/>
                <w:szCs w:val="20"/>
              </w:rPr>
              <w:t>698</w:t>
            </w:r>
          </w:p>
        </w:tc>
        <w:tc>
          <w:tcPr>
            <w:tcW w:w="838" w:type="pct"/>
          </w:tcPr>
          <w:p w14:paraId="51179D62" w14:textId="59DE35D0" w:rsidR="00D27B66" w:rsidRPr="00D27B66" w:rsidRDefault="00D27B66" w:rsidP="00D27B66">
            <w:pPr>
              <w:pStyle w:val="Tableheading"/>
              <w:rPr>
                <w:rFonts w:cstheme="minorHAnsi"/>
                <w:b w:val="0"/>
                <w:sz w:val="20"/>
                <w:szCs w:val="20"/>
              </w:rPr>
            </w:pPr>
            <w:r w:rsidRPr="00D27B66">
              <w:rPr>
                <w:rFonts w:cstheme="minorHAnsi"/>
                <w:b w:val="0"/>
                <w:sz w:val="20"/>
                <w:szCs w:val="20"/>
              </w:rPr>
              <w:t>292</w:t>
            </w:r>
          </w:p>
        </w:tc>
      </w:tr>
      <w:tr w:rsidR="00D27B66" w:rsidRPr="001D0858" w14:paraId="54CEEA25" w14:textId="77777777" w:rsidTr="007B7FC9">
        <w:trPr>
          <w:trHeight w:val="20"/>
        </w:trPr>
        <w:tc>
          <w:tcPr>
            <w:tcW w:w="2149" w:type="pct"/>
          </w:tcPr>
          <w:p w14:paraId="174F2181" w14:textId="1040AEA2" w:rsidR="00D27B66" w:rsidRPr="00C11A25" w:rsidRDefault="00D27B66" w:rsidP="004B296D">
            <w:pPr>
              <w:pStyle w:val="Tableheading"/>
              <w:jc w:val="left"/>
              <w:rPr>
                <w:rFonts w:cstheme="minorHAnsi"/>
                <w:sz w:val="20"/>
                <w:szCs w:val="20"/>
              </w:rPr>
            </w:pPr>
            <w:r w:rsidRPr="0024576C">
              <w:rPr>
                <w:rFonts w:cstheme="minorHAnsi"/>
                <w:sz w:val="20"/>
                <w:szCs w:val="20"/>
              </w:rPr>
              <w:t>Strontium</w:t>
            </w:r>
            <w:r w:rsidR="00AD73DD">
              <w:rPr>
                <w:rFonts w:cstheme="minorHAnsi"/>
                <w:sz w:val="20"/>
                <w:szCs w:val="20"/>
              </w:rPr>
              <w:t xml:space="preserve"> ranelate</w:t>
            </w:r>
            <w:r w:rsidR="00C92B75">
              <w:rPr>
                <w:rFonts w:cstheme="minorHAnsi"/>
                <w:sz w:val="20"/>
                <w:szCs w:val="20"/>
              </w:rPr>
              <w:t xml:space="preserve"> (delisted August 2016)</w:t>
            </w:r>
          </w:p>
        </w:tc>
        <w:tc>
          <w:tcPr>
            <w:tcW w:w="402" w:type="pct"/>
          </w:tcPr>
          <w:p w14:paraId="51C4FF92" w14:textId="3CC363ED" w:rsidR="00D27B66" w:rsidRPr="00D27B66" w:rsidRDefault="00D27B66" w:rsidP="00D27B66">
            <w:pPr>
              <w:pStyle w:val="Tableheading"/>
              <w:rPr>
                <w:rFonts w:cstheme="minorHAnsi"/>
                <w:b w:val="0"/>
                <w:sz w:val="20"/>
                <w:szCs w:val="20"/>
              </w:rPr>
            </w:pPr>
            <w:r w:rsidRPr="00D27B66">
              <w:rPr>
                <w:rFonts w:cstheme="minorHAnsi"/>
                <w:b w:val="0"/>
                <w:sz w:val="20"/>
                <w:szCs w:val="20"/>
              </w:rPr>
              <w:t>251</w:t>
            </w:r>
          </w:p>
        </w:tc>
        <w:tc>
          <w:tcPr>
            <w:tcW w:w="402" w:type="pct"/>
          </w:tcPr>
          <w:p w14:paraId="0D8D563D" w14:textId="2EDD5324" w:rsidR="00D27B66" w:rsidRPr="00D27B66" w:rsidRDefault="00D27B66" w:rsidP="00D27B66">
            <w:pPr>
              <w:pStyle w:val="Tableheading"/>
              <w:rPr>
                <w:rFonts w:cstheme="minorHAnsi"/>
                <w:b w:val="0"/>
                <w:sz w:val="20"/>
                <w:szCs w:val="20"/>
              </w:rPr>
            </w:pPr>
            <w:r w:rsidRPr="00D27B66">
              <w:rPr>
                <w:rFonts w:cstheme="minorHAnsi"/>
                <w:b w:val="0"/>
                <w:sz w:val="20"/>
                <w:szCs w:val="20"/>
              </w:rPr>
              <w:t>44</w:t>
            </w:r>
          </w:p>
        </w:tc>
        <w:tc>
          <w:tcPr>
            <w:tcW w:w="402" w:type="pct"/>
          </w:tcPr>
          <w:p w14:paraId="02321F9B" w14:textId="7BCB4FF6" w:rsidR="00D27B66" w:rsidRPr="00D27B66" w:rsidRDefault="00D27B66" w:rsidP="00D27B66">
            <w:pPr>
              <w:pStyle w:val="Tableheading"/>
              <w:rPr>
                <w:rFonts w:cstheme="minorHAnsi"/>
                <w:b w:val="0"/>
                <w:sz w:val="20"/>
                <w:szCs w:val="20"/>
              </w:rPr>
            </w:pPr>
            <w:r w:rsidRPr="00D27B66">
              <w:rPr>
                <w:rFonts w:cstheme="minorHAnsi"/>
                <w:b w:val="0"/>
                <w:sz w:val="20"/>
                <w:szCs w:val="20"/>
              </w:rPr>
              <w:t>14</w:t>
            </w:r>
          </w:p>
        </w:tc>
        <w:tc>
          <w:tcPr>
            <w:tcW w:w="402" w:type="pct"/>
          </w:tcPr>
          <w:p w14:paraId="57F32EAF" w14:textId="03F7B347" w:rsidR="00D27B66" w:rsidRPr="00D27B66" w:rsidRDefault="00F13485" w:rsidP="00D27B66">
            <w:pPr>
              <w:pStyle w:val="Tableheading"/>
              <w:rPr>
                <w:rFonts w:cstheme="minorHAnsi"/>
                <w:b w:val="0"/>
                <w:sz w:val="20"/>
                <w:szCs w:val="20"/>
              </w:rPr>
            </w:pPr>
            <w:r>
              <w:rPr>
                <w:rFonts w:cstheme="minorHAnsi"/>
                <w:b w:val="0"/>
                <w:sz w:val="20"/>
                <w:szCs w:val="20"/>
              </w:rPr>
              <w:t>-</w:t>
            </w:r>
          </w:p>
        </w:tc>
        <w:tc>
          <w:tcPr>
            <w:tcW w:w="402" w:type="pct"/>
          </w:tcPr>
          <w:p w14:paraId="2752E451" w14:textId="50A55A5F" w:rsidR="00D27B66" w:rsidRPr="00D27B66" w:rsidRDefault="00F13485" w:rsidP="00D27B66">
            <w:pPr>
              <w:pStyle w:val="Tableheading"/>
              <w:rPr>
                <w:rFonts w:cstheme="minorHAnsi"/>
                <w:b w:val="0"/>
                <w:sz w:val="20"/>
                <w:szCs w:val="20"/>
              </w:rPr>
            </w:pPr>
            <w:r>
              <w:rPr>
                <w:rFonts w:cstheme="minorHAnsi"/>
                <w:b w:val="0"/>
                <w:sz w:val="20"/>
                <w:szCs w:val="20"/>
              </w:rPr>
              <w:t>-</w:t>
            </w:r>
          </w:p>
        </w:tc>
        <w:tc>
          <w:tcPr>
            <w:tcW w:w="838" w:type="pct"/>
          </w:tcPr>
          <w:p w14:paraId="320DC1C1" w14:textId="7288D576" w:rsidR="00D27B66" w:rsidRPr="00D27B66" w:rsidRDefault="00F13485" w:rsidP="00D27B66">
            <w:pPr>
              <w:pStyle w:val="Tableheading"/>
              <w:rPr>
                <w:rFonts w:cstheme="minorHAnsi"/>
                <w:b w:val="0"/>
                <w:sz w:val="20"/>
                <w:szCs w:val="20"/>
              </w:rPr>
            </w:pPr>
            <w:r>
              <w:rPr>
                <w:rFonts w:cstheme="minorHAnsi"/>
                <w:b w:val="0"/>
                <w:sz w:val="20"/>
                <w:szCs w:val="20"/>
              </w:rPr>
              <w:t>-</w:t>
            </w:r>
          </w:p>
        </w:tc>
      </w:tr>
      <w:tr w:rsidR="00D27B66" w:rsidRPr="001D0858" w14:paraId="62DFAED6" w14:textId="77777777" w:rsidTr="007B7FC9">
        <w:trPr>
          <w:trHeight w:val="20"/>
        </w:trPr>
        <w:tc>
          <w:tcPr>
            <w:tcW w:w="2149" w:type="pct"/>
          </w:tcPr>
          <w:p w14:paraId="6CF9A12C" w14:textId="75240FE1" w:rsidR="00D27B66" w:rsidRPr="0024576C" w:rsidRDefault="00D27B66" w:rsidP="004B296D">
            <w:pPr>
              <w:pStyle w:val="Tableheading"/>
              <w:jc w:val="left"/>
              <w:rPr>
                <w:rFonts w:cstheme="minorHAnsi"/>
                <w:sz w:val="20"/>
                <w:szCs w:val="20"/>
              </w:rPr>
            </w:pPr>
            <w:r w:rsidRPr="0024576C">
              <w:rPr>
                <w:rFonts w:cstheme="minorHAnsi"/>
                <w:sz w:val="20"/>
                <w:szCs w:val="20"/>
              </w:rPr>
              <w:lastRenderedPageBreak/>
              <w:t>Teriparatide</w:t>
            </w:r>
          </w:p>
        </w:tc>
        <w:tc>
          <w:tcPr>
            <w:tcW w:w="402" w:type="pct"/>
          </w:tcPr>
          <w:p w14:paraId="3FA90048" w14:textId="41C77FF0" w:rsidR="00D27B66" w:rsidRPr="00D27B66" w:rsidRDefault="00D27B66" w:rsidP="00D27B66">
            <w:pPr>
              <w:pStyle w:val="Tableheading"/>
              <w:rPr>
                <w:rFonts w:cstheme="minorHAnsi"/>
                <w:b w:val="0"/>
                <w:sz w:val="20"/>
                <w:szCs w:val="20"/>
              </w:rPr>
            </w:pPr>
            <w:r w:rsidRPr="00D27B66">
              <w:rPr>
                <w:rFonts w:cstheme="minorHAnsi"/>
                <w:b w:val="0"/>
                <w:sz w:val="20"/>
                <w:szCs w:val="20"/>
              </w:rPr>
              <w:t>11</w:t>
            </w:r>
          </w:p>
        </w:tc>
        <w:tc>
          <w:tcPr>
            <w:tcW w:w="402" w:type="pct"/>
          </w:tcPr>
          <w:p w14:paraId="517CA831" w14:textId="1D83DF80" w:rsidR="00D27B66" w:rsidRPr="00D27B66" w:rsidRDefault="00D27B66" w:rsidP="00D27B66">
            <w:pPr>
              <w:pStyle w:val="Tableheading"/>
              <w:rPr>
                <w:rFonts w:cstheme="minorHAnsi"/>
                <w:b w:val="0"/>
                <w:sz w:val="20"/>
                <w:szCs w:val="20"/>
              </w:rPr>
            </w:pPr>
            <w:r w:rsidRPr="00D27B66">
              <w:rPr>
                <w:rFonts w:cstheme="minorHAnsi"/>
                <w:b w:val="0"/>
                <w:sz w:val="20"/>
                <w:szCs w:val="20"/>
              </w:rPr>
              <w:t>16</w:t>
            </w:r>
          </w:p>
        </w:tc>
        <w:tc>
          <w:tcPr>
            <w:tcW w:w="402" w:type="pct"/>
          </w:tcPr>
          <w:p w14:paraId="364D3811" w14:textId="6721E5A6" w:rsidR="00D27B66" w:rsidRPr="00D27B66" w:rsidRDefault="00D27B66" w:rsidP="00D27B66">
            <w:pPr>
              <w:pStyle w:val="Tableheading"/>
              <w:rPr>
                <w:rFonts w:cstheme="minorHAnsi"/>
                <w:b w:val="0"/>
                <w:sz w:val="20"/>
                <w:szCs w:val="20"/>
              </w:rPr>
            </w:pPr>
            <w:r w:rsidRPr="00D27B66">
              <w:rPr>
                <w:rFonts w:cstheme="minorHAnsi"/>
                <w:b w:val="0"/>
                <w:sz w:val="20"/>
                <w:szCs w:val="20"/>
              </w:rPr>
              <w:t>7</w:t>
            </w:r>
          </w:p>
        </w:tc>
        <w:tc>
          <w:tcPr>
            <w:tcW w:w="402" w:type="pct"/>
          </w:tcPr>
          <w:p w14:paraId="4B6CBCF7" w14:textId="1A73FB55" w:rsidR="00D27B66" w:rsidRPr="00D27B66" w:rsidRDefault="00D27B66" w:rsidP="00D27B66">
            <w:pPr>
              <w:pStyle w:val="Tableheading"/>
              <w:rPr>
                <w:rFonts w:cstheme="minorHAnsi"/>
                <w:b w:val="0"/>
                <w:sz w:val="20"/>
                <w:szCs w:val="20"/>
              </w:rPr>
            </w:pPr>
            <w:r w:rsidRPr="00D27B66">
              <w:rPr>
                <w:rFonts w:cstheme="minorHAnsi"/>
                <w:b w:val="0"/>
                <w:sz w:val="20"/>
                <w:szCs w:val="20"/>
              </w:rPr>
              <w:t>8</w:t>
            </w:r>
          </w:p>
        </w:tc>
        <w:tc>
          <w:tcPr>
            <w:tcW w:w="402" w:type="pct"/>
          </w:tcPr>
          <w:p w14:paraId="259A32F0" w14:textId="6E7DA02D" w:rsidR="00D27B66" w:rsidRPr="00D27B66" w:rsidRDefault="00D27B66" w:rsidP="00D27B66">
            <w:pPr>
              <w:pStyle w:val="Tableheading"/>
              <w:rPr>
                <w:rFonts w:cstheme="minorHAnsi"/>
                <w:b w:val="0"/>
                <w:sz w:val="20"/>
                <w:szCs w:val="20"/>
              </w:rPr>
            </w:pPr>
            <w:r w:rsidRPr="00D27B66">
              <w:rPr>
                <w:rFonts w:cstheme="minorHAnsi"/>
                <w:b w:val="0"/>
                <w:sz w:val="20"/>
                <w:szCs w:val="20"/>
              </w:rPr>
              <w:t>9</w:t>
            </w:r>
          </w:p>
        </w:tc>
        <w:tc>
          <w:tcPr>
            <w:tcW w:w="838" w:type="pct"/>
          </w:tcPr>
          <w:p w14:paraId="27A0E78C" w14:textId="0671FFBD" w:rsidR="00D27B66" w:rsidRPr="00D27B66" w:rsidRDefault="00F13485" w:rsidP="00D27B66">
            <w:pPr>
              <w:pStyle w:val="Tableheading"/>
              <w:rPr>
                <w:rFonts w:cstheme="minorHAnsi"/>
                <w:b w:val="0"/>
                <w:sz w:val="20"/>
                <w:szCs w:val="20"/>
              </w:rPr>
            </w:pPr>
            <w:r>
              <w:rPr>
                <w:rFonts w:cstheme="minorHAnsi"/>
                <w:b w:val="0"/>
                <w:sz w:val="20"/>
                <w:szCs w:val="20"/>
              </w:rPr>
              <w:t>-</w:t>
            </w:r>
          </w:p>
        </w:tc>
      </w:tr>
      <w:tr w:rsidR="00D27B66" w:rsidRPr="001D0858" w14:paraId="07B1015A" w14:textId="77777777" w:rsidTr="007B7FC9">
        <w:trPr>
          <w:trHeight w:val="20"/>
        </w:trPr>
        <w:tc>
          <w:tcPr>
            <w:tcW w:w="2149" w:type="pct"/>
          </w:tcPr>
          <w:p w14:paraId="4F16637D" w14:textId="038225ED" w:rsidR="00D27B66" w:rsidRPr="0024576C" w:rsidRDefault="00D27B66" w:rsidP="004B296D">
            <w:pPr>
              <w:pStyle w:val="Tableheading"/>
              <w:jc w:val="left"/>
              <w:rPr>
                <w:rFonts w:cstheme="minorHAnsi"/>
                <w:sz w:val="20"/>
                <w:szCs w:val="20"/>
              </w:rPr>
            </w:pPr>
            <w:r w:rsidRPr="0024576C">
              <w:rPr>
                <w:rFonts w:cstheme="minorHAnsi"/>
                <w:sz w:val="20"/>
                <w:szCs w:val="20"/>
              </w:rPr>
              <w:t>Zoledronic acid</w:t>
            </w:r>
          </w:p>
        </w:tc>
        <w:tc>
          <w:tcPr>
            <w:tcW w:w="402" w:type="pct"/>
          </w:tcPr>
          <w:p w14:paraId="28F3801D" w14:textId="6476D64E" w:rsidR="00D27B66" w:rsidRPr="00D27B66" w:rsidRDefault="00D27B66" w:rsidP="00D27B66">
            <w:pPr>
              <w:pStyle w:val="Tableheading"/>
              <w:rPr>
                <w:rFonts w:cstheme="minorHAnsi"/>
                <w:b w:val="0"/>
                <w:sz w:val="20"/>
                <w:szCs w:val="20"/>
              </w:rPr>
            </w:pPr>
            <w:r w:rsidRPr="00D27B66">
              <w:rPr>
                <w:rFonts w:cstheme="minorHAnsi"/>
                <w:b w:val="0"/>
                <w:sz w:val="20"/>
                <w:szCs w:val="20"/>
              </w:rPr>
              <w:t>630</w:t>
            </w:r>
          </w:p>
        </w:tc>
        <w:tc>
          <w:tcPr>
            <w:tcW w:w="402" w:type="pct"/>
          </w:tcPr>
          <w:p w14:paraId="208699E0" w14:textId="3E086732" w:rsidR="00D27B66" w:rsidRPr="00D27B66" w:rsidRDefault="00D27B66" w:rsidP="00D27B66">
            <w:pPr>
              <w:pStyle w:val="Tableheading"/>
              <w:rPr>
                <w:rFonts w:cstheme="minorHAnsi"/>
                <w:b w:val="0"/>
                <w:sz w:val="20"/>
                <w:szCs w:val="20"/>
              </w:rPr>
            </w:pPr>
            <w:r w:rsidRPr="00D27B66">
              <w:rPr>
                <w:rFonts w:cstheme="minorHAnsi"/>
                <w:b w:val="0"/>
                <w:sz w:val="20"/>
                <w:szCs w:val="20"/>
              </w:rPr>
              <w:t>474</w:t>
            </w:r>
          </w:p>
        </w:tc>
        <w:tc>
          <w:tcPr>
            <w:tcW w:w="402" w:type="pct"/>
          </w:tcPr>
          <w:p w14:paraId="66C9E8D6" w14:textId="636BC27A" w:rsidR="00D27B66" w:rsidRPr="00D27B66" w:rsidRDefault="00D27B66" w:rsidP="00D27B66">
            <w:pPr>
              <w:pStyle w:val="Tableheading"/>
              <w:rPr>
                <w:rFonts w:cstheme="minorHAnsi"/>
                <w:b w:val="0"/>
                <w:sz w:val="20"/>
                <w:szCs w:val="20"/>
              </w:rPr>
            </w:pPr>
            <w:r w:rsidRPr="00D27B66">
              <w:rPr>
                <w:rFonts w:cstheme="minorHAnsi"/>
                <w:b w:val="0"/>
                <w:sz w:val="20"/>
                <w:szCs w:val="20"/>
              </w:rPr>
              <w:t>338</w:t>
            </w:r>
          </w:p>
        </w:tc>
        <w:tc>
          <w:tcPr>
            <w:tcW w:w="402" w:type="pct"/>
          </w:tcPr>
          <w:p w14:paraId="6AF63800" w14:textId="3810AFF1" w:rsidR="00D27B66" w:rsidRPr="00D27B66" w:rsidRDefault="00D27B66" w:rsidP="00D27B66">
            <w:pPr>
              <w:pStyle w:val="Tableheading"/>
              <w:rPr>
                <w:rFonts w:cstheme="minorHAnsi"/>
                <w:b w:val="0"/>
                <w:sz w:val="20"/>
                <w:szCs w:val="20"/>
              </w:rPr>
            </w:pPr>
            <w:r w:rsidRPr="00D27B66">
              <w:rPr>
                <w:rFonts w:cstheme="minorHAnsi"/>
                <w:b w:val="0"/>
                <w:sz w:val="20"/>
                <w:szCs w:val="20"/>
              </w:rPr>
              <w:t>282</w:t>
            </w:r>
          </w:p>
        </w:tc>
        <w:tc>
          <w:tcPr>
            <w:tcW w:w="402" w:type="pct"/>
          </w:tcPr>
          <w:p w14:paraId="02CF452D" w14:textId="733A806C" w:rsidR="00D27B66" w:rsidRPr="00D27B66" w:rsidRDefault="00D27B66" w:rsidP="00D27B66">
            <w:pPr>
              <w:pStyle w:val="Tableheading"/>
              <w:rPr>
                <w:rFonts w:cstheme="minorHAnsi"/>
                <w:b w:val="0"/>
                <w:sz w:val="20"/>
                <w:szCs w:val="20"/>
              </w:rPr>
            </w:pPr>
            <w:r w:rsidRPr="00D27B66">
              <w:rPr>
                <w:rFonts w:cstheme="minorHAnsi"/>
                <w:b w:val="0"/>
                <w:sz w:val="20"/>
                <w:szCs w:val="20"/>
              </w:rPr>
              <w:t>304</w:t>
            </w:r>
          </w:p>
        </w:tc>
        <w:tc>
          <w:tcPr>
            <w:tcW w:w="838" w:type="pct"/>
          </w:tcPr>
          <w:p w14:paraId="649D757C" w14:textId="265DA134" w:rsidR="00D27B66" w:rsidRPr="00D27B66" w:rsidRDefault="00D27B66" w:rsidP="00D27B66">
            <w:pPr>
              <w:pStyle w:val="Tableheading"/>
              <w:rPr>
                <w:rFonts w:cstheme="minorHAnsi"/>
                <w:b w:val="0"/>
                <w:sz w:val="20"/>
                <w:szCs w:val="20"/>
              </w:rPr>
            </w:pPr>
            <w:r w:rsidRPr="00D27B66">
              <w:rPr>
                <w:rFonts w:cstheme="minorHAnsi"/>
                <w:b w:val="0"/>
                <w:sz w:val="20"/>
                <w:szCs w:val="20"/>
              </w:rPr>
              <w:t>168</w:t>
            </w:r>
          </w:p>
        </w:tc>
      </w:tr>
      <w:tr w:rsidR="00C44F5C" w:rsidRPr="001D0858" w14:paraId="38DF7C40" w14:textId="77777777" w:rsidTr="007B7FC9">
        <w:trPr>
          <w:trHeight w:val="20"/>
        </w:trPr>
        <w:tc>
          <w:tcPr>
            <w:tcW w:w="5000" w:type="pct"/>
            <w:gridSpan w:val="7"/>
            <w:shd w:val="clear" w:color="auto" w:fill="D9D9D9" w:themeFill="background1" w:themeFillShade="D9"/>
          </w:tcPr>
          <w:p w14:paraId="09B67CD4" w14:textId="2C1491EC" w:rsidR="00C44F5C" w:rsidRPr="00C11A25" w:rsidRDefault="007E2850" w:rsidP="00D069E4">
            <w:pPr>
              <w:pStyle w:val="Tableheading"/>
              <w:rPr>
                <w:rFonts w:cstheme="minorHAnsi"/>
                <w:sz w:val="20"/>
                <w:szCs w:val="20"/>
              </w:rPr>
            </w:pPr>
            <w:r>
              <w:rPr>
                <w:rFonts w:cstheme="minorHAnsi"/>
                <w:sz w:val="20"/>
                <w:szCs w:val="20"/>
              </w:rPr>
              <w:t>By c</w:t>
            </w:r>
            <w:r w:rsidR="00CE4010">
              <w:rPr>
                <w:rFonts w:cstheme="minorHAnsi"/>
                <w:sz w:val="20"/>
                <w:szCs w:val="20"/>
              </w:rPr>
              <w:t>lass of medicine</w:t>
            </w:r>
          </w:p>
        </w:tc>
      </w:tr>
      <w:tr w:rsidR="002903D2" w:rsidRPr="001D0858" w14:paraId="783F3981" w14:textId="77777777" w:rsidTr="007B7FC9">
        <w:trPr>
          <w:trHeight w:val="20"/>
        </w:trPr>
        <w:tc>
          <w:tcPr>
            <w:tcW w:w="2149" w:type="pct"/>
          </w:tcPr>
          <w:p w14:paraId="1D0A8A7A" w14:textId="0E25EAB5" w:rsidR="002903D2" w:rsidRPr="00822E47" w:rsidRDefault="002903D2" w:rsidP="004B296D">
            <w:pPr>
              <w:pStyle w:val="Tableheading"/>
              <w:jc w:val="left"/>
              <w:rPr>
                <w:rFonts w:cstheme="minorHAnsi"/>
                <w:sz w:val="20"/>
                <w:szCs w:val="20"/>
              </w:rPr>
            </w:pPr>
            <w:r w:rsidRPr="00822E47">
              <w:rPr>
                <w:rFonts w:cstheme="minorHAnsi"/>
                <w:sz w:val="20"/>
                <w:szCs w:val="20"/>
              </w:rPr>
              <w:t>Denosumab</w:t>
            </w:r>
          </w:p>
        </w:tc>
        <w:tc>
          <w:tcPr>
            <w:tcW w:w="402" w:type="pct"/>
          </w:tcPr>
          <w:p w14:paraId="386F21D8" w14:textId="377089C8" w:rsidR="002903D2" w:rsidRPr="004B4004" w:rsidRDefault="002903D2" w:rsidP="002903D2">
            <w:pPr>
              <w:pStyle w:val="Tableheading"/>
              <w:rPr>
                <w:rFonts w:cstheme="minorHAnsi"/>
                <w:b w:val="0"/>
                <w:sz w:val="20"/>
                <w:szCs w:val="20"/>
              </w:rPr>
            </w:pPr>
            <w:r w:rsidRPr="00F13485">
              <w:rPr>
                <w:rFonts w:cstheme="minorHAnsi"/>
                <w:b w:val="0"/>
                <w:sz w:val="20"/>
                <w:szCs w:val="20"/>
              </w:rPr>
              <w:t>3,641</w:t>
            </w:r>
          </w:p>
        </w:tc>
        <w:tc>
          <w:tcPr>
            <w:tcW w:w="402" w:type="pct"/>
          </w:tcPr>
          <w:p w14:paraId="1A7225CD" w14:textId="7362910C" w:rsidR="002903D2" w:rsidRPr="004B4004" w:rsidRDefault="002903D2" w:rsidP="002903D2">
            <w:pPr>
              <w:pStyle w:val="Tableheading"/>
              <w:rPr>
                <w:rFonts w:cstheme="minorHAnsi"/>
                <w:b w:val="0"/>
                <w:sz w:val="20"/>
                <w:szCs w:val="20"/>
              </w:rPr>
            </w:pPr>
            <w:r w:rsidRPr="00F13485">
              <w:rPr>
                <w:rFonts w:cstheme="minorHAnsi"/>
                <w:b w:val="0"/>
                <w:sz w:val="20"/>
                <w:szCs w:val="20"/>
              </w:rPr>
              <w:t>4,932</w:t>
            </w:r>
          </w:p>
        </w:tc>
        <w:tc>
          <w:tcPr>
            <w:tcW w:w="402" w:type="pct"/>
          </w:tcPr>
          <w:p w14:paraId="2820E425" w14:textId="27637FEF" w:rsidR="002903D2" w:rsidRPr="004B4004" w:rsidRDefault="002903D2" w:rsidP="002903D2">
            <w:pPr>
              <w:pStyle w:val="Tableheading"/>
              <w:rPr>
                <w:rFonts w:cstheme="minorHAnsi"/>
                <w:b w:val="0"/>
                <w:sz w:val="20"/>
                <w:szCs w:val="20"/>
              </w:rPr>
            </w:pPr>
            <w:r w:rsidRPr="00F13485">
              <w:rPr>
                <w:rFonts w:cstheme="minorHAnsi"/>
                <w:b w:val="0"/>
                <w:sz w:val="20"/>
                <w:szCs w:val="20"/>
              </w:rPr>
              <w:t>5,797</w:t>
            </w:r>
          </w:p>
        </w:tc>
        <w:tc>
          <w:tcPr>
            <w:tcW w:w="402" w:type="pct"/>
          </w:tcPr>
          <w:p w14:paraId="10DD1B89" w14:textId="2F2FAFFE" w:rsidR="002903D2" w:rsidRPr="004B4004" w:rsidRDefault="002903D2" w:rsidP="002903D2">
            <w:pPr>
              <w:pStyle w:val="Tableheading"/>
              <w:rPr>
                <w:rFonts w:cstheme="minorHAnsi"/>
                <w:b w:val="0"/>
                <w:sz w:val="20"/>
                <w:szCs w:val="20"/>
              </w:rPr>
            </w:pPr>
            <w:r w:rsidRPr="00F13485">
              <w:rPr>
                <w:rFonts w:cstheme="minorHAnsi"/>
                <w:b w:val="0"/>
                <w:sz w:val="20"/>
                <w:szCs w:val="20"/>
              </w:rPr>
              <w:t>6,827</w:t>
            </w:r>
          </w:p>
        </w:tc>
        <w:tc>
          <w:tcPr>
            <w:tcW w:w="402" w:type="pct"/>
          </w:tcPr>
          <w:p w14:paraId="0D76242D" w14:textId="537F77A4" w:rsidR="002903D2" w:rsidRPr="004B4004" w:rsidRDefault="002903D2" w:rsidP="002903D2">
            <w:pPr>
              <w:pStyle w:val="Tableheading"/>
              <w:rPr>
                <w:rFonts w:cstheme="minorHAnsi"/>
                <w:b w:val="0"/>
                <w:sz w:val="20"/>
                <w:szCs w:val="20"/>
              </w:rPr>
            </w:pPr>
            <w:r w:rsidRPr="00F13485">
              <w:rPr>
                <w:rFonts w:cstheme="minorHAnsi"/>
                <w:b w:val="0"/>
                <w:sz w:val="20"/>
                <w:szCs w:val="20"/>
              </w:rPr>
              <w:t>7,187</w:t>
            </w:r>
          </w:p>
        </w:tc>
        <w:tc>
          <w:tcPr>
            <w:tcW w:w="838" w:type="pct"/>
          </w:tcPr>
          <w:p w14:paraId="085677D1" w14:textId="5C1DBCA5" w:rsidR="002903D2" w:rsidRPr="004B4004" w:rsidRDefault="002903D2" w:rsidP="002903D2">
            <w:pPr>
              <w:pStyle w:val="Tableheading"/>
              <w:rPr>
                <w:rFonts w:cstheme="minorHAnsi"/>
                <w:b w:val="0"/>
                <w:sz w:val="20"/>
                <w:szCs w:val="20"/>
              </w:rPr>
            </w:pPr>
            <w:r w:rsidRPr="00F13485">
              <w:rPr>
                <w:rFonts w:cstheme="minorHAnsi"/>
                <w:b w:val="0"/>
                <w:sz w:val="20"/>
                <w:szCs w:val="20"/>
              </w:rPr>
              <w:t>3,381</w:t>
            </w:r>
          </w:p>
        </w:tc>
      </w:tr>
      <w:tr w:rsidR="002903D2" w:rsidRPr="001D0858" w14:paraId="7DBF181B" w14:textId="77777777" w:rsidTr="007B7FC9">
        <w:trPr>
          <w:trHeight w:val="20"/>
        </w:trPr>
        <w:tc>
          <w:tcPr>
            <w:tcW w:w="2149" w:type="pct"/>
          </w:tcPr>
          <w:p w14:paraId="2C8E0CFD" w14:textId="5FA9E8C9" w:rsidR="002903D2" w:rsidRPr="00822E47" w:rsidRDefault="002903D2" w:rsidP="004B296D">
            <w:pPr>
              <w:pStyle w:val="Tableheading"/>
              <w:jc w:val="left"/>
              <w:rPr>
                <w:rFonts w:cstheme="minorHAnsi"/>
                <w:sz w:val="20"/>
                <w:szCs w:val="20"/>
              </w:rPr>
            </w:pPr>
            <w:r w:rsidRPr="00822E47">
              <w:rPr>
                <w:rFonts w:cstheme="minorHAnsi"/>
                <w:sz w:val="20"/>
                <w:szCs w:val="20"/>
              </w:rPr>
              <w:t>Bisphosphonates</w:t>
            </w:r>
          </w:p>
        </w:tc>
        <w:tc>
          <w:tcPr>
            <w:tcW w:w="402" w:type="pct"/>
          </w:tcPr>
          <w:p w14:paraId="60951AF4" w14:textId="2BA0D29E" w:rsidR="002903D2" w:rsidRPr="004B4004" w:rsidRDefault="002903D2" w:rsidP="002903D2">
            <w:pPr>
              <w:pStyle w:val="Tableheading"/>
              <w:rPr>
                <w:rFonts w:cstheme="minorHAnsi"/>
                <w:b w:val="0"/>
                <w:sz w:val="20"/>
                <w:szCs w:val="20"/>
              </w:rPr>
            </w:pPr>
            <w:r w:rsidRPr="00F13485">
              <w:rPr>
                <w:rFonts w:cstheme="minorHAnsi"/>
                <w:b w:val="0"/>
                <w:sz w:val="20"/>
                <w:szCs w:val="20"/>
              </w:rPr>
              <w:t>2,632</w:t>
            </w:r>
          </w:p>
        </w:tc>
        <w:tc>
          <w:tcPr>
            <w:tcW w:w="402" w:type="pct"/>
          </w:tcPr>
          <w:p w14:paraId="5337E2B3" w14:textId="53BCD2CF" w:rsidR="002903D2" w:rsidRPr="004B4004" w:rsidRDefault="002903D2" w:rsidP="002903D2">
            <w:pPr>
              <w:pStyle w:val="Tableheading"/>
              <w:rPr>
                <w:rFonts w:cstheme="minorHAnsi"/>
                <w:b w:val="0"/>
                <w:sz w:val="20"/>
                <w:szCs w:val="20"/>
              </w:rPr>
            </w:pPr>
            <w:r w:rsidRPr="00F13485">
              <w:rPr>
                <w:rFonts w:cstheme="minorHAnsi"/>
                <w:b w:val="0"/>
                <w:sz w:val="20"/>
                <w:szCs w:val="20"/>
              </w:rPr>
              <w:t>2,485</w:t>
            </w:r>
          </w:p>
        </w:tc>
        <w:tc>
          <w:tcPr>
            <w:tcW w:w="402" w:type="pct"/>
          </w:tcPr>
          <w:p w14:paraId="2200C1A0" w14:textId="0DF0401F" w:rsidR="002903D2" w:rsidRPr="004B4004" w:rsidRDefault="002903D2" w:rsidP="002903D2">
            <w:pPr>
              <w:pStyle w:val="Tableheading"/>
              <w:rPr>
                <w:rFonts w:cstheme="minorHAnsi"/>
                <w:b w:val="0"/>
                <w:sz w:val="20"/>
                <w:szCs w:val="20"/>
              </w:rPr>
            </w:pPr>
            <w:r w:rsidRPr="00F13485">
              <w:rPr>
                <w:rFonts w:cstheme="minorHAnsi"/>
                <w:b w:val="0"/>
                <w:sz w:val="20"/>
                <w:szCs w:val="20"/>
              </w:rPr>
              <w:t>1,973</w:t>
            </w:r>
          </w:p>
        </w:tc>
        <w:tc>
          <w:tcPr>
            <w:tcW w:w="402" w:type="pct"/>
          </w:tcPr>
          <w:p w14:paraId="1210CD60" w14:textId="54D88E79" w:rsidR="002903D2" w:rsidRPr="004B4004" w:rsidRDefault="002903D2" w:rsidP="002903D2">
            <w:pPr>
              <w:pStyle w:val="Tableheading"/>
              <w:rPr>
                <w:rFonts w:cstheme="minorHAnsi"/>
                <w:b w:val="0"/>
                <w:sz w:val="20"/>
                <w:szCs w:val="20"/>
              </w:rPr>
            </w:pPr>
            <w:r w:rsidRPr="00F13485">
              <w:rPr>
                <w:rFonts w:cstheme="minorHAnsi"/>
                <w:b w:val="0"/>
                <w:sz w:val="20"/>
                <w:szCs w:val="20"/>
              </w:rPr>
              <w:t>1,722</w:t>
            </w:r>
          </w:p>
        </w:tc>
        <w:tc>
          <w:tcPr>
            <w:tcW w:w="402" w:type="pct"/>
          </w:tcPr>
          <w:p w14:paraId="29A3A2D5" w14:textId="12DE8E0D" w:rsidR="002903D2" w:rsidRPr="004B4004" w:rsidRDefault="002903D2" w:rsidP="002903D2">
            <w:pPr>
              <w:pStyle w:val="Tableheading"/>
              <w:rPr>
                <w:rFonts w:cstheme="minorHAnsi"/>
                <w:b w:val="0"/>
                <w:sz w:val="20"/>
                <w:szCs w:val="20"/>
              </w:rPr>
            </w:pPr>
            <w:r w:rsidRPr="00F13485">
              <w:rPr>
                <w:rFonts w:cstheme="minorHAnsi"/>
                <w:b w:val="0"/>
                <w:sz w:val="20"/>
                <w:szCs w:val="20"/>
              </w:rPr>
              <w:t>1,737</w:t>
            </w:r>
          </w:p>
        </w:tc>
        <w:tc>
          <w:tcPr>
            <w:tcW w:w="838" w:type="pct"/>
          </w:tcPr>
          <w:p w14:paraId="05AA9FBF" w14:textId="7EFC573E" w:rsidR="002903D2" w:rsidRPr="004B4004" w:rsidRDefault="002903D2" w:rsidP="002903D2">
            <w:pPr>
              <w:pStyle w:val="Tableheading"/>
              <w:rPr>
                <w:rFonts w:cstheme="minorHAnsi"/>
                <w:b w:val="0"/>
                <w:sz w:val="20"/>
                <w:szCs w:val="20"/>
              </w:rPr>
            </w:pPr>
            <w:r w:rsidRPr="00F13485">
              <w:rPr>
                <w:rFonts w:cstheme="minorHAnsi"/>
                <w:b w:val="0"/>
                <w:sz w:val="20"/>
                <w:szCs w:val="20"/>
              </w:rPr>
              <w:t>1,186</w:t>
            </w:r>
          </w:p>
        </w:tc>
      </w:tr>
      <w:tr w:rsidR="00F13485" w:rsidRPr="001D0858" w14:paraId="7561EA58" w14:textId="77777777" w:rsidTr="007B7FC9">
        <w:trPr>
          <w:trHeight w:val="20"/>
        </w:trPr>
        <w:tc>
          <w:tcPr>
            <w:tcW w:w="2149" w:type="pct"/>
          </w:tcPr>
          <w:p w14:paraId="270CCD14" w14:textId="5194C052" w:rsidR="00F13485" w:rsidRPr="00822E47" w:rsidRDefault="00F13485" w:rsidP="004B296D">
            <w:pPr>
              <w:pStyle w:val="Tableheading"/>
              <w:jc w:val="left"/>
              <w:rPr>
                <w:rFonts w:cstheme="minorHAnsi"/>
                <w:sz w:val="20"/>
                <w:szCs w:val="20"/>
              </w:rPr>
            </w:pPr>
            <w:r w:rsidRPr="00822E47">
              <w:rPr>
                <w:rFonts w:cstheme="minorHAnsi"/>
                <w:sz w:val="20"/>
                <w:szCs w:val="20"/>
              </w:rPr>
              <w:t>Other osteoporosis medicines</w:t>
            </w:r>
            <w:r w:rsidR="002E371F">
              <w:rPr>
                <w:rFonts w:cstheme="minorHAnsi"/>
                <w:sz w:val="20"/>
                <w:szCs w:val="20"/>
              </w:rPr>
              <w:t>†</w:t>
            </w:r>
          </w:p>
        </w:tc>
        <w:tc>
          <w:tcPr>
            <w:tcW w:w="402" w:type="pct"/>
          </w:tcPr>
          <w:p w14:paraId="3124491D" w14:textId="5516A24B" w:rsidR="00F13485" w:rsidRPr="004B4004" w:rsidRDefault="00F13485" w:rsidP="00F13485">
            <w:pPr>
              <w:pStyle w:val="Tableheading"/>
              <w:rPr>
                <w:rFonts w:cstheme="minorHAnsi"/>
                <w:b w:val="0"/>
                <w:sz w:val="20"/>
                <w:szCs w:val="20"/>
              </w:rPr>
            </w:pPr>
            <w:r w:rsidRPr="00F13485">
              <w:rPr>
                <w:rFonts w:cstheme="minorHAnsi"/>
                <w:b w:val="0"/>
                <w:sz w:val="20"/>
                <w:szCs w:val="20"/>
              </w:rPr>
              <w:t>341</w:t>
            </w:r>
          </w:p>
        </w:tc>
        <w:tc>
          <w:tcPr>
            <w:tcW w:w="402" w:type="pct"/>
          </w:tcPr>
          <w:p w14:paraId="5815B700" w14:textId="605D05C4" w:rsidR="00F13485" w:rsidRPr="004B4004" w:rsidRDefault="00F13485" w:rsidP="00F13485">
            <w:pPr>
              <w:pStyle w:val="Tableheading"/>
              <w:rPr>
                <w:rFonts w:cstheme="minorHAnsi"/>
                <w:b w:val="0"/>
                <w:sz w:val="20"/>
                <w:szCs w:val="20"/>
              </w:rPr>
            </w:pPr>
            <w:r w:rsidRPr="00F13485">
              <w:rPr>
                <w:rFonts w:cstheme="minorHAnsi"/>
                <w:b w:val="0"/>
                <w:sz w:val="20"/>
                <w:szCs w:val="20"/>
              </w:rPr>
              <w:t>133</w:t>
            </w:r>
          </w:p>
        </w:tc>
        <w:tc>
          <w:tcPr>
            <w:tcW w:w="402" w:type="pct"/>
          </w:tcPr>
          <w:p w14:paraId="541A5031" w14:textId="6BB306F8" w:rsidR="00F13485" w:rsidRPr="004B4004" w:rsidRDefault="00F13485" w:rsidP="00F13485">
            <w:pPr>
              <w:pStyle w:val="Tableheading"/>
              <w:rPr>
                <w:rFonts w:cstheme="minorHAnsi"/>
                <w:b w:val="0"/>
                <w:sz w:val="20"/>
                <w:szCs w:val="20"/>
              </w:rPr>
            </w:pPr>
            <w:r w:rsidRPr="00F13485">
              <w:rPr>
                <w:rFonts w:cstheme="minorHAnsi"/>
                <w:b w:val="0"/>
                <w:sz w:val="20"/>
                <w:szCs w:val="20"/>
              </w:rPr>
              <w:t>74</w:t>
            </w:r>
          </w:p>
        </w:tc>
        <w:tc>
          <w:tcPr>
            <w:tcW w:w="402" w:type="pct"/>
          </w:tcPr>
          <w:p w14:paraId="108355CC" w14:textId="4E1F3EF8" w:rsidR="00F13485" w:rsidRPr="004B4004" w:rsidRDefault="00F13485" w:rsidP="00F13485">
            <w:pPr>
              <w:pStyle w:val="Tableheading"/>
              <w:rPr>
                <w:rFonts w:cstheme="minorHAnsi"/>
                <w:b w:val="0"/>
                <w:sz w:val="20"/>
                <w:szCs w:val="20"/>
              </w:rPr>
            </w:pPr>
            <w:r w:rsidRPr="00F13485">
              <w:rPr>
                <w:rFonts w:cstheme="minorHAnsi"/>
                <w:b w:val="0"/>
                <w:sz w:val="20"/>
                <w:szCs w:val="20"/>
              </w:rPr>
              <w:t>44</w:t>
            </w:r>
          </w:p>
        </w:tc>
        <w:tc>
          <w:tcPr>
            <w:tcW w:w="402" w:type="pct"/>
          </w:tcPr>
          <w:p w14:paraId="197F3F77" w14:textId="1FBF9912" w:rsidR="00F13485" w:rsidRPr="004B4004" w:rsidRDefault="00F13485" w:rsidP="00F13485">
            <w:pPr>
              <w:pStyle w:val="Tableheading"/>
              <w:rPr>
                <w:rFonts w:cstheme="minorHAnsi"/>
                <w:b w:val="0"/>
                <w:sz w:val="20"/>
                <w:szCs w:val="20"/>
              </w:rPr>
            </w:pPr>
            <w:r w:rsidRPr="00F13485">
              <w:rPr>
                <w:rFonts w:cstheme="minorHAnsi"/>
                <w:b w:val="0"/>
                <w:sz w:val="20"/>
                <w:szCs w:val="20"/>
              </w:rPr>
              <w:t>49</w:t>
            </w:r>
          </w:p>
        </w:tc>
        <w:tc>
          <w:tcPr>
            <w:tcW w:w="838" w:type="pct"/>
          </w:tcPr>
          <w:p w14:paraId="41B26F3A" w14:textId="14600D60" w:rsidR="00F13485" w:rsidRPr="004B4004" w:rsidRDefault="00F13485" w:rsidP="00F13485">
            <w:pPr>
              <w:pStyle w:val="Tableheading"/>
              <w:rPr>
                <w:rFonts w:cstheme="minorHAnsi"/>
                <w:b w:val="0"/>
                <w:sz w:val="20"/>
                <w:szCs w:val="20"/>
              </w:rPr>
            </w:pPr>
            <w:r w:rsidRPr="00F13485">
              <w:rPr>
                <w:rFonts w:cstheme="minorHAnsi"/>
                <w:b w:val="0"/>
                <w:sz w:val="20"/>
                <w:szCs w:val="20"/>
              </w:rPr>
              <w:t>23</w:t>
            </w:r>
          </w:p>
        </w:tc>
      </w:tr>
      <w:tr w:rsidR="00F13485" w:rsidRPr="001D0858" w14:paraId="23C6AE92" w14:textId="77777777" w:rsidTr="007B7FC9">
        <w:trPr>
          <w:trHeight w:val="20"/>
        </w:trPr>
        <w:tc>
          <w:tcPr>
            <w:tcW w:w="2149" w:type="pct"/>
          </w:tcPr>
          <w:p w14:paraId="4D7365DA" w14:textId="784679D6" w:rsidR="00F13485" w:rsidRPr="00822E47" w:rsidRDefault="00F13485" w:rsidP="004B296D">
            <w:pPr>
              <w:pStyle w:val="Tableheading"/>
              <w:jc w:val="left"/>
              <w:rPr>
                <w:rFonts w:cstheme="minorHAnsi"/>
                <w:sz w:val="20"/>
                <w:szCs w:val="20"/>
              </w:rPr>
            </w:pPr>
            <w:r>
              <w:rPr>
                <w:rFonts w:cstheme="minorHAnsi"/>
                <w:sz w:val="20"/>
                <w:szCs w:val="20"/>
              </w:rPr>
              <w:t>Calcitriol</w:t>
            </w:r>
          </w:p>
        </w:tc>
        <w:tc>
          <w:tcPr>
            <w:tcW w:w="402" w:type="pct"/>
          </w:tcPr>
          <w:p w14:paraId="5F173D87" w14:textId="16D7D707" w:rsidR="00F13485" w:rsidRPr="004B4004" w:rsidRDefault="00F13485" w:rsidP="00F13485">
            <w:pPr>
              <w:pStyle w:val="Tableheading"/>
              <w:rPr>
                <w:rFonts w:cstheme="minorHAnsi"/>
                <w:b w:val="0"/>
                <w:sz w:val="20"/>
                <w:szCs w:val="20"/>
              </w:rPr>
            </w:pPr>
            <w:r w:rsidRPr="00F13485">
              <w:rPr>
                <w:rFonts w:cstheme="minorHAnsi"/>
                <w:b w:val="0"/>
                <w:sz w:val="20"/>
                <w:szCs w:val="20"/>
              </w:rPr>
              <w:t>591</w:t>
            </w:r>
          </w:p>
        </w:tc>
        <w:tc>
          <w:tcPr>
            <w:tcW w:w="402" w:type="pct"/>
          </w:tcPr>
          <w:p w14:paraId="19A03C03" w14:textId="7160F099" w:rsidR="00F13485" w:rsidRPr="004B4004" w:rsidRDefault="00F13485" w:rsidP="00F13485">
            <w:pPr>
              <w:pStyle w:val="Tableheading"/>
              <w:rPr>
                <w:rFonts w:cstheme="minorHAnsi"/>
                <w:b w:val="0"/>
                <w:sz w:val="20"/>
                <w:szCs w:val="20"/>
              </w:rPr>
            </w:pPr>
            <w:r w:rsidRPr="00F13485">
              <w:rPr>
                <w:rFonts w:cstheme="minorHAnsi"/>
                <w:b w:val="0"/>
                <w:sz w:val="20"/>
                <w:szCs w:val="20"/>
              </w:rPr>
              <w:t>568</w:t>
            </w:r>
          </w:p>
        </w:tc>
        <w:tc>
          <w:tcPr>
            <w:tcW w:w="402" w:type="pct"/>
          </w:tcPr>
          <w:p w14:paraId="332AFC02" w14:textId="2EFB06BF" w:rsidR="00F13485" w:rsidRPr="004B4004" w:rsidRDefault="00F13485" w:rsidP="00F13485">
            <w:pPr>
              <w:pStyle w:val="Tableheading"/>
              <w:rPr>
                <w:rFonts w:cstheme="minorHAnsi"/>
                <w:b w:val="0"/>
                <w:sz w:val="20"/>
                <w:szCs w:val="20"/>
              </w:rPr>
            </w:pPr>
            <w:r w:rsidRPr="00F13485">
              <w:rPr>
                <w:rFonts w:cstheme="minorHAnsi"/>
                <w:b w:val="0"/>
                <w:sz w:val="20"/>
                <w:szCs w:val="20"/>
              </w:rPr>
              <w:t>545</w:t>
            </w:r>
          </w:p>
        </w:tc>
        <w:tc>
          <w:tcPr>
            <w:tcW w:w="402" w:type="pct"/>
          </w:tcPr>
          <w:p w14:paraId="1312A60E" w14:textId="6F3E917E" w:rsidR="00F13485" w:rsidRPr="004B4004" w:rsidRDefault="00F13485" w:rsidP="00F13485">
            <w:pPr>
              <w:pStyle w:val="Tableheading"/>
              <w:rPr>
                <w:rFonts w:cstheme="minorHAnsi"/>
                <w:b w:val="0"/>
                <w:sz w:val="20"/>
                <w:szCs w:val="20"/>
              </w:rPr>
            </w:pPr>
            <w:r w:rsidRPr="00F13485">
              <w:rPr>
                <w:rFonts w:cstheme="minorHAnsi"/>
                <w:b w:val="0"/>
                <w:sz w:val="20"/>
                <w:szCs w:val="20"/>
              </w:rPr>
              <w:t>553</w:t>
            </w:r>
          </w:p>
        </w:tc>
        <w:tc>
          <w:tcPr>
            <w:tcW w:w="402" w:type="pct"/>
          </w:tcPr>
          <w:p w14:paraId="4D792BF2" w14:textId="4E60933F" w:rsidR="00F13485" w:rsidRPr="004B4004" w:rsidRDefault="00F13485" w:rsidP="00F13485">
            <w:pPr>
              <w:pStyle w:val="Tableheading"/>
              <w:rPr>
                <w:rFonts w:cstheme="minorHAnsi"/>
                <w:b w:val="0"/>
                <w:sz w:val="20"/>
                <w:szCs w:val="20"/>
              </w:rPr>
            </w:pPr>
            <w:r w:rsidRPr="00F13485">
              <w:rPr>
                <w:rFonts w:cstheme="minorHAnsi"/>
                <w:b w:val="0"/>
                <w:sz w:val="20"/>
                <w:szCs w:val="20"/>
              </w:rPr>
              <w:t>543</w:t>
            </w:r>
          </w:p>
        </w:tc>
        <w:tc>
          <w:tcPr>
            <w:tcW w:w="838" w:type="pct"/>
          </w:tcPr>
          <w:p w14:paraId="3C97B9FB" w14:textId="69FDB71E" w:rsidR="00F13485" w:rsidRPr="004B4004" w:rsidRDefault="00F13485" w:rsidP="00F13485">
            <w:pPr>
              <w:pStyle w:val="Tableheading"/>
              <w:rPr>
                <w:rFonts w:cstheme="minorHAnsi"/>
                <w:b w:val="0"/>
                <w:sz w:val="20"/>
                <w:szCs w:val="20"/>
              </w:rPr>
            </w:pPr>
            <w:r w:rsidRPr="00F13485">
              <w:rPr>
                <w:rFonts w:cstheme="minorHAnsi"/>
                <w:b w:val="0"/>
                <w:sz w:val="20"/>
                <w:szCs w:val="20"/>
              </w:rPr>
              <w:t>274</w:t>
            </w:r>
          </w:p>
        </w:tc>
      </w:tr>
    </w:tbl>
    <w:p w14:paraId="1823EF75" w14:textId="52A2E49A" w:rsidR="00C44F5C" w:rsidRDefault="00C44F5C" w:rsidP="00812493">
      <w:pPr>
        <w:pStyle w:val="Figurecaption"/>
      </w:pPr>
      <w:r>
        <w:t xml:space="preserve">*Six </w:t>
      </w:r>
      <w:r w:rsidRPr="009812D5">
        <w:t>months</w:t>
      </w:r>
      <w:r>
        <w:t xml:space="preserve"> of data only</w:t>
      </w:r>
    </w:p>
    <w:p w14:paraId="4E28C77A" w14:textId="4B6F578D" w:rsidR="002E371F" w:rsidRDefault="002E371F" w:rsidP="00812493">
      <w:pPr>
        <w:pStyle w:val="Figurecaption"/>
      </w:pPr>
      <w:r w:rsidRPr="00FF673A">
        <w:t xml:space="preserve">†Includes </w:t>
      </w:r>
      <w:r w:rsidR="00FF673A" w:rsidRPr="00FF673A">
        <w:t>raloxifene, strontium ranelate and teriparatide</w:t>
      </w:r>
    </w:p>
    <w:p w14:paraId="097EA128" w14:textId="77777777" w:rsidR="00D97DAE" w:rsidRPr="00D97DAE" w:rsidRDefault="00D97DAE" w:rsidP="00D97DAE"/>
    <w:p w14:paraId="4A662F90" w14:textId="1112F46C" w:rsidR="00046475" w:rsidRDefault="00E35CDF" w:rsidP="00046475">
      <w:r>
        <w:rPr>
          <w:noProof/>
        </w:rPr>
        <w:drawing>
          <wp:inline distT="0" distB="0" distL="0" distR="0" wp14:anchorId="1B4C389D" wp14:editId="6349F90E">
            <wp:extent cx="5676900" cy="2838450"/>
            <wp:effectExtent l="0" t="0" r="0" b="0"/>
            <wp:docPr id="19" name="Chart 19" title="Figure 9: Patients initiating osteoporosis therapy by class of medicine at initiation">
              <a:extLst xmlns:a="http://schemas.openxmlformats.org/drawingml/2006/main">
                <a:ext uri="{FF2B5EF4-FFF2-40B4-BE49-F238E27FC236}">
                  <a16:creationId xmlns:a16="http://schemas.microsoft.com/office/drawing/2014/main" id="{3A723D92-AF04-438E-9CDC-74C62E3A5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7856F2" w14:textId="5134DFF9" w:rsidR="00E35CDF" w:rsidRDefault="00E35CDF" w:rsidP="00E35CDF">
      <w:pPr>
        <w:pStyle w:val="Figuretitle"/>
      </w:pPr>
      <w:r w:rsidRPr="00C02394">
        <w:t xml:space="preserve">Figure </w:t>
      </w:r>
      <w:r w:rsidR="002F5E3F">
        <w:t>9</w:t>
      </w:r>
      <w:r w:rsidRPr="00C02394">
        <w:t xml:space="preserve">: </w:t>
      </w:r>
      <w:r w:rsidRPr="00937BB9">
        <w:t xml:space="preserve">Patients initiating osteoporosis therapy by </w:t>
      </w:r>
      <w:r>
        <w:t>class</w:t>
      </w:r>
      <w:r w:rsidRPr="00937BB9">
        <w:t xml:space="preserve"> of medicine at initiation</w:t>
      </w:r>
    </w:p>
    <w:p w14:paraId="16AC4773" w14:textId="657829C8" w:rsidR="00E35CDF" w:rsidRPr="00FE645A" w:rsidRDefault="00E96054" w:rsidP="00E35CDF">
      <w:pPr>
        <w:pStyle w:val="Figurecaption"/>
      </w:pPr>
      <w:r>
        <w:t>*</w:t>
      </w:r>
      <w:r w:rsidR="00E35CDF">
        <w:t>Other medicines include raloxifene, strontium ranelate and teriparatide</w:t>
      </w:r>
    </w:p>
    <w:p w14:paraId="56081DF6" w14:textId="5536536E" w:rsidR="00C02394" w:rsidRDefault="00C02394" w:rsidP="005445A9">
      <w:r>
        <w:rPr>
          <w:noProof/>
        </w:rPr>
        <w:lastRenderedPageBreak/>
        <w:drawing>
          <wp:inline distT="0" distB="0" distL="0" distR="0" wp14:anchorId="67067719" wp14:editId="07C7DB2B">
            <wp:extent cx="5705475" cy="3000375"/>
            <wp:effectExtent l="0" t="0" r="9525" b="9525"/>
            <wp:docPr id="1" name="Chart 1" title="Figure 10: Patients initiating osteoporosis therapy by type of medicine at initiation">
              <a:extLst xmlns:a="http://schemas.openxmlformats.org/drawingml/2006/main">
                <a:ext uri="{FF2B5EF4-FFF2-40B4-BE49-F238E27FC236}">
                  <a16:creationId xmlns:a16="http://schemas.microsoft.com/office/drawing/2014/main" id="{90B080DC-04A7-41C3-9154-E4F18E010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02B8472" w14:textId="5D7B82E4" w:rsidR="00C02394" w:rsidRDefault="00C02394" w:rsidP="00C02394">
      <w:pPr>
        <w:pStyle w:val="Figuretitle"/>
      </w:pPr>
      <w:r w:rsidRPr="00C02394">
        <w:t xml:space="preserve">Figure </w:t>
      </w:r>
      <w:r w:rsidR="002F5E3F">
        <w:t>10</w:t>
      </w:r>
      <w:r w:rsidRPr="00C02394">
        <w:t xml:space="preserve">: </w:t>
      </w:r>
      <w:r w:rsidR="00F01016">
        <w:t>P</w:t>
      </w:r>
      <w:r w:rsidR="002D705D">
        <w:t>atients</w:t>
      </w:r>
      <w:r w:rsidR="00ED74AF">
        <w:t xml:space="preserve"> initiating osteoporosis </w:t>
      </w:r>
      <w:r w:rsidR="00F01016">
        <w:t>therapy</w:t>
      </w:r>
      <w:r w:rsidR="00ED74AF">
        <w:t xml:space="preserve"> by type of </w:t>
      </w:r>
      <w:r w:rsidR="00F01016">
        <w:t>medicine at initiation</w:t>
      </w:r>
    </w:p>
    <w:p w14:paraId="55F9A34F" w14:textId="20BF163E" w:rsidR="00EE27A3" w:rsidRPr="00812493" w:rsidRDefault="006907A9" w:rsidP="00812493">
      <w:pPr>
        <w:pStyle w:val="Heading4"/>
        <w:rPr>
          <w:sz w:val="24"/>
        </w:rPr>
      </w:pPr>
      <w:r w:rsidRPr="00812493">
        <w:rPr>
          <w:sz w:val="24"/>
        </w:rPr>
        <w:t>Treatment duration</w:t>
      </w:r>
    </w:p>
    <w:p w14:paraId="7E240BEF" w14:textId="4B507344" w:rsidR="009D6C64" w:rsidRDefault="00B27D74" w:rsidP="009D6C64">
      <w:r>
        <w:t>Table 17</w:t>
      </w:r>
      <w:r w:rsidR="00A9423B">
        <w:t xml:space="preserve"> presents the average treatment duration</w:t>
      </w:r>
      <w:r w:rsidR="00035907">
        <w:t xml:space="preserve"> on a patient</w:t>
      </w:r>
      <w:r w:rsidR="00461D28">
        <w:t>’</w:t>
      </w:r>
      <w:r w:rsidR="00035907">
        <w:t>s initiating therapy</w:t>
      </w:r>
      <w:r w:rsidR="00BB1ECD">
        <w:t>,</w:t>
      </w:r>
      <w:r w:rsidR="00A9423B">
        <w:t xml:space="preserve"> </w:t>
      </w:r>
      <w:r w:rsidR="00BB1ECD">
        <w:t xml:space="preserve">including breaks, </w:t>
      </w:r>
      <w:r w:rsidR="00C717EE">
        <w:t xml:space="preserve">for patients who initiated an </w:t>
      </w:r>
      <w:r w:rsidR="00BB1ECD">
        <w:t>osteoporosis medicine</w:t>
      </w:r>
      <w:r w:rsidR="00C717EE">
        <w:t xml:space="preserve"> between 2014 and 2017</w:t>
      </w:r>
      <w:r w:rsidR="00C927CF">
        <w:t>,</w:t>
      </w:r>
      <w:r w:rsidR="00C927CF" w:rsidRPr="00C927CF">
        <w:t xml:space="preserve"> noting that some patients only had 18 months of follow-up available and others up to 5.5 years</w:t>
      </w:r>
      <w:r w:rsidR="00C717EE">
        <w:t xml:space="preserve">. A sensitivity analysis limited </w:t>
      </w:r>
      <w:r w:rsidR="00DE3311">
        <w:t>the population to only those who initiated therapy between 2014 and 2015, allowing a long</w:t>
      </w:r>
      <w:r w:rsidR="0010222F">
        <w:t>er</w:t>
      </w:r>
      <w:r w:rsidR="00DE3311">
        <w:t xml:space="preserve"> follow-up period to be assessed</w:t>
      </w:r>
      <w:r w:rsidR="00461D28">
        <w:t xml:space="preserve"> before the end of the study time period</w:t>
      </w:r>
      <w:r w:rsidR="00DE3311">
        <w:t xml:space="preserve">. </w:t>
      </w:r>
      <w:r w:rsidR="00DA399D" w:rsidRPr="00DA399D">
        <w:t>Table 1</w:t>
      </w:r>
      <w:r>
        <w:t>8</w:t>
      </w:r>
      <w:r w:rsidR="00DA399D" w:rsidRPr="00DA399D">
        <w:t xml:space="preserve"> presents the average treatment duration on a patient’s initiating therapy, </w:t>
      </w:r>
      <w:r w:rsidR="00DA399D">
        <w:t>excluding</w:t>
      </w:r>
      <w:r w:rsidR="00DA399D" w:rsidRPr="00DA399D">
        <w:t xml:space="preserve"> breaks, for patients who initiated an osteoporosis medicine between 2014 and 2017. </w:t>
      </w:r>
      <w:r w:rsidR="00DA399D">
        <w:t>The same sensitivity analysis was applied to Table 16.</w:t>
      </w:r>
    </w:p>
    <w:p w14:paraId="4279729C" w14:textId="19D52991" w:rsidR="003234A5" w:rsidRDefault="003234A5" w:rsidP="009D6C64">
      <w:r>
        <w:t xml:space="preserve">The </w:t>
      </w:r>
      <w:r w:rsidR="00F8775F">
        <w:t xml:space="preserve">median </w:t>
      </w:r>
      <w:r>
        <w:t>average duration on any</w:t>
      </w:r>
      <w:r w:rsidR="001651CB">
        <w:t xml:space="preserve"> initiating</w:t>
      </w:r>
      <w:r>
        <w:t xml:space="preserve"> osteoporosis medicine was </w:t>
      </w:r>
      <w:r w:rsidR="004D3296">
        <w:t xml:space="preserve">769 </w:t>
      </w:r>
      <w:r>
        <w:t xml:space="preserve">days or </w:t>
      </w:r>
      <w:r w:rsidR="0055409D">
        <w:t>2.</w:t>
      </w:r>
      <w:r w:rsidR="004D3296">
        <w:t>1</w:t>
      </w:r>
      <w:r w:rsidR="0055409D">
        <w:t xml:space="preserve"> years</w:t>
      </w:r>
      <w:r w:rsidR="00B27D74">
        <w:t>, including breaks (Table 17</w:t>
      </w:r>
      <w:r w:rsidR="00DD43F0">
        <w:t xml:space="preserve">) and </w:t>
      </w:r>
      <w:r w:rsidR="006A194D">
        <w:t xml:space="preserve">665 </w:t>
      </w:r>
      <w:r w:rsidR="00DD43F0">
        <w:t xml:space="preserve">days or </w:t>
      </w:r>
      <w:r w:rsidR="00DC3936">
        <w:t>1.8</w:t>
      </w:r>
      <w:r w:rsidR="001651CB">
        <w:t xml:space="preserve"> years excluding treatment breaks</w:t>
      </w:r>
      <w:r w:rsidR="00B27D74">
        <w:t xml:space="preserve"> (Table 18</w:t>
      </w:r>
      <w:r w:rsidR="00C73F67">
        <w:t>)</w:t>
      </w:r>
      <w:r w:rsidR="0055409D">
        <w:t xml:space="preserve">. </w:t>
      </w:r>
      <w:r w:rsidR="00504665">
        <w:t xml:space="preserve">This figure was largely </w:t>
      </w:r>
      <w:r w:rsidR="00D464A6">
        <w:t>attributable</w:t>
      </w:r>
      <w:r w:rsidR="00504665">
        <w:t xml:space="preserve"> to</w:t>
      </w:r>
      <w:r w:rsidR="0077464D">
        <w:t xml:space="preserve">, </w:t>
      </w:r>
      <w:r w:rsidR="00D464A6">
        <w:t>by far</w:t>
      </w:r>
      <w:r w:rsidR="00504665">
        <w:t xml:space="preserve"> the </w:t>
      </w:r>
      <w:r w:rsidR="00293ACA">
        <w:t>most initiated</w:t>
      </w:r>
      <w:r w:rsidR="00504665">
        <w:t xml:space="preserve"> therapy, denosumab</w:t>
      </w:r>
      <w:r w:rsidR="00D464A6">
        <w:t xml:space="preserve">. </w:t>
      </w:r>
      <w:r w:rsidR="0055409D">
        <w:t xml:space="preserve">The </w:t>
      </w:r>
      <w:r w:rsidR="00B04812">
        <w:t xml:space="preserve">longest duration of therapy was seen for patients who initiate denosumab, with a </w:t>
      </w:r>
      <w:r w:rsidR="00DC3936">
        <w:t xml:space="preserve">median </w:t>
      </w:r>
      <w:r w:rsidR="00B04812">
        <w:t xml:space="preserve">average of </w:t>
      </w:r>
      <w:r w:rsidR="007425B9">
        <w:t>2.</w:t>
      </w:r>
      <w:r w:rsidR="007E01E9">
        <w:t>5</w:t>
      </w:r>
      <w:r w:rsidR="007425B9">
        <w:t xml:space="preserve"> years with breaks or </w:t>
      </w:r>
      <w:r w:rsidR="00905AC8">
        <w:t>2.</w:t>
      </w:r>
      <w:r w:rsidR="003B6081">
        <w:t>2</w:t>
      </w:r>
      <w:r w:rsidR="00905AC8">
        <w:t xml:space="preserve"> years</w:t>
      </w:r>
      <w:r w:rsidR="007425B9">
        <w:t xml:space="preserve"> excluding breaks</w:t>
      </w:r>
      <w:r w:rsidR="00905AC8">
        <w:t xml:space="preserve">. </w:t>
      </w:r>
      <w:r w:rsidR="0077464D">
        <w:t xml:space="preserve">Patients who initiated </w:t>
      </w:r>
      <w:r w:rsidR="00302F2E">
        <w:t>zoledronic</w:t>
      </w:r>
      <w:r w:rsidR="00B72AA3">
        <w:t xml:space="preserve"> acid </w:t>
      </w:r>
      <w:r w:rsidR="00ED5CDE">
        <w:t>had</w:t>
      </w:r>
      <w:r w:rsidR="00B72AA3">
        <w:t xml:space="preserve"> a</w:t>
      </w:r>
      <w:r w:rsidR="00570431">
        <w:t xml:space="preserve"> media</w:t>
      </w:r>
      <w:r w:rsidR="00B72AA3">
        <w:t xml:space="preserve">n average duration of therapy of </w:t>
      </w:r>
      <w:r w:rsidR="007348BD">
        <w:t>1</w:t>
      </w:r>
      <w:r w:rsidR="006A78B6">
        <w:t>.0 years</w:t>
      </w:r>
      <w:r w:rsidR="00545C37">
        <w:t xml:space="preserve">. </w:t>
      </w:r>
      <w:r w:rsidR="003F3906">
        <w:t xml:space="preserve">The 6 monthly and 12 monthly administration of denosumab and </w:t>
      </w:r>
      <w:r w:rsidR="00302F2E">
        <w:t>zoledronic</w:t>
      </w:r>
      <w:r w:rsidR="003F3906">
        <w:t xml:space="preserve"> acid, respectively,</w:t>
      </w:r>
      <w:r w:rsidR="00202AC7">
        <w:t xml:space="preserve"> </w:t>
      </w:r>
      <w:r w:rsidR="00302F2E">
        <w:t>along with</w:t>
      </w:r>
      <w:r w:rsidR="00202AC7">
        <w:t xml:space="preserve"> the</w:t>
      </w:r>
      <w:r w:rsidR="00302F2E">
        <w:t>ir</w:t>
      </w:r>
      <w:r w:rsidR="00202AC7">
        <w:t xml:space="preserve"> good tolerability profile might explain the</w:t>
      </w:r>
      <w:r w:rsidR="00450294">
        <w:t>ir</w:t>
      </w:r>
      <w:r w:rsidR="00202AC7">
        <w:t xml:space="preserve"> favourable duration on therapy </w:t>
      </w:r>
      <w:r w:rsidR="00450294">
        <w:t xml:space="preserve">profiles. </w:t>
      </w:r>
      <w:r w:rsidR="00983842">
        <w:t xml:space="preserve">Alendronate and </w:t>
      </w:r>
      <w:r w:rsidR="002E15FC">
        <w:t xml:space="preserve">risedronate had similar </w:t>
      </w:r>
      <w:r w:rsidR="00181AC9">
        <w:t xml:space="preserve">treatment </w:t>
      </w:r>
      <w:r w:rsidR="002E15FC">
        <w:t>durations</w:t>
      </w:r>
      <w:r w:rsidR="00181AC9">
        <w:t>,</w:t>
      </w:r>
      <w:r w:rsidR="008D2B1D">
        <w:t xml:space="preserve"> </w:t>
      </w:r>
      <w:r w:rsidR="00181AC9">
        <w:t xml:space="preserve">at </w:t>
      </w:r>
      <w:r w:rsidR="007101F7">
        <w:t>1</w:t>
      </w:r>
      <w:r w:rsidR="00495698">
        <w:t>.1</w:t>
      </w:r>
      <w:r w:rsidR="00181AC9">
        <w:t xml:space="preserve"> years </w:t>
      </w:r>
      <w:r w:rsidR="008D2B1D">
        <w:t xml:space="preserve">including treatment breaks </w:t>
      </w:r>
      <w:r w:rsidR="00C7465F">
        <w:t xml:space="preserve">and </w:t>
      </w:r>
      <w:r w:rsidR="00DF18A7">
        <w:t>0.7</w:t>
      </w:r>
      <w:r w:rsidR="004E1A84">
        <w:t xml:space="preserve"> years excluding breaks</w:t>
      </w:r>
      <w:r w:rsidR="00181AC9">
        <w:t>.</w:t>
      </w:r>
    </w:p>
    <w:p w14:paraId="0FA4908B" w14:textId="61F08800" w:rsidR="00F44E91" w:rsidRDefault="00F44E91" w:rsidP="009D6C64">
      <w:r>
        <w:t xml:space="preserve">In the sensitivity analysis, the subset of patients with </w:t>
      </w:r>
      <w:r w:rsidR="00EC1F5B">
        <w:t>at least 3.5 years of follow-up available</w:t>
      </w:r>
      <w:r w:rsidR="00A40143">
        <w:t>, showed even long</w:t>
      </w:r>
      <w:r w:rsidR="00EC64AA">
        <w:t>er</w:t>
      </w:r>
      <w:r w:rsidR="00A40143">
        <w:t xml:space="preserve"> durations of therapy for </w:t>
      </w:r>
      <w:r w:rsidR="00A96F2C">
        <w:t>denosumab</w:t>
      </w:r>
      <w:r w:rsidR="00D24F2E">
        <w:t>, with a</w:t>
      </w:r>
      <w:r w:rsidR="009459FB">
        <w:t xml:space="preserve"> </w:t>
      </w:r>
      <w:r w:rsidR="00130D4A">
        <w:t xml:space="preserve">median </w:t>
      </w:r>
      <w:r w:rsidR="00D24F2E">
        <w:t>average treatment duration</w:t>
      </w:r>
      <w:r w:rsidR="009459FB">
        <w:t>,</w:t>
      </w:r>
      <w:r w:rsidR="00D24F2E">
        <w:t xml:space="preserve"> including breaks, of </w:t>
      </w:r>
      <w:r w:rsidR="009459FB">
        <w:t>3.</w:t>
      </w:r>
      <w:r w:rsidR="008E5A27">
        <w:t>9</w:t>
      </w:r>
      <w:r w:rsidR="009459FB">
        <w:t xml:space="preserve"> years. T</w:t>
      </w:r>
      <w:r w:rsidR="00252521">
        <w:t>his was not the case for zoledronic acid whose results were similar</w:t>
      </w:r>
      <w:r w:rsidR="00EB7745">
        <w:t xml:space="preserve"> (</w:t>
      </w:r>
      <w:r w:rsidR="002A6E62">
        <w:t>1</w:t>
      </w:r>
      <w:r w:rsidR="00EB7745">
        <w:t xml:space="preserve"> year)</w:t>
      </w:r>
      <w:r w:rsidR="00B2564A">
        <w:t>.</w:t>
      </w:r>
      <w:r w:rsidR="00DA2A4A">
        <w:t xml:space="preserve"> Alendronate and risedronate </w:t>
      </w:r>
      <w:r w:rsidR="001719A9">
        <w:t>durations increased by around a month in the sensitivity analysis.</w:t>
      </w:r>
    </w:p>
    <w:p w14:paraId="202178F5" w14:textId="77777777" w:rsidR="00B04123" w:rsidRDefault="002D6CDC" w:rsidP="009D6C64">
      <w:r w:rsidRPr="002D6CDC">
        <w:lastRenderedPageBreak/>
        <w:t xml:space="preserve">In the MedicineInsight study the median duration of denosumab treatment (including treatment breaks) was approximately </w:t>
      </w:r>
      <w:r w:rsidR="002B557D">
        <w:t>7.</w:t>
      </w:r>
      <w:r w:rsidRPr="002D6CDC">
        <w:t>9 months longer than the PBS study estimated, at 3.2 years. This was despite the limitation that MedicineInsight might underestimate treatment duration for therapies that are initiated by specialists. There are several potential explanations for the differing results between the two studies, including</w:t>
      </w:r>
      <w:r w:rsidR="00B04123">
        <w:t>:</w:t>
      </w:r>
    </w:p>
    <w:p w14:paraId="1014511E" w14:textId="0606D9C7" w:rsidR="00A32783" w:rsidRDefault="002D6CDC" w:rsidP="00F07167">
      <w:pPr>
        <w:pStyle w:val="ListParagraph"/>
        <w:numPr>
          <w:ilvl w:val="0"/>
          <w:numId w:val="12"/>
        </w:numPr>
      </w:pPr>
      <w:r w:rsidRPr="002D6CDC">
        <w:t>the difference in available follow-up time, with patients in the PBS study having at least 18 months of follow-up compared with at least 2 years in the MedicineInsight study</w:t>
      </w:r>
      <w:r w:rsidR="00F07167">
        <w:t>.</w:t>
      </w:r>
    </w:p>
    <w:p w14:paraId="7E8346FD" w14:textId="53C9F69D" w:rsidR="00F754F0" w:rsidRDefault="002D6CDC" w:rsidP="00F07167">
      <w:pPr>
        <w:pStyle w:val="ListParagraph"/>
        <w:numPr>
          <w:ilvl w:val="0"/>
          <w:numId w:val="12"/>
        </w:numPr>
      </w:pPr>
      <w:r w:rsidRPr="002D6CDC">
        <w:t>a difference between prescribed versus dispensing information</w:t>
      </w:r>
      <w:r w:rsidR="00F07167">
        <w:t>. P</w:t>
      </w:r>
      <w:r w:rsidR="004C3401" w:rsidRPr="004C3401">
        <w:t>atients prescribed a medicine may or may not have the medicine dispensed by a pharmacist. If the script is not dispensed, MedicineInsight data will overestimate the duration of treatment compared with PBS data</w:t>
      </w:r>
      <w:r w:rsidR="00F07167">
        <w:t>.</w:t>
      </w:r>
      <w:r w:rsidR="00F754F0">
        <w:t xml:space="preserve"> </w:t>
      </w:r>
    </w:p>
    <w:p w14:paraId="56DA67C5" w14:textId="0523C47D" w:rsidR="00E535A5" w:rsidRDefault="00153800" w:rsidP="00F07167">
      <w:pPr>
        <w:pStyle w:val="ListParagraph"/>
        <w:numPr>
          <w:ilvl w:val="0"/>
          <w:numId w:val="12"/>
        </w:numPr>
      </w:pPr>
      <w:r>
        <w:t>if</w:t>
      </w:r>
      <w:r w:rsidR="002D6CDC" w:rsidRPr="002D6CDC">
        <w:t xml:space="preserve"> denosumab therapy was initiated by specialists but only used once and not continued by the GP, </w:t>
      </w:r>
      <w:r w:rsidR="004C3552">
        <w:t xml:space="preserve">the </w:t>
      </w:r>
      <w:r w:rsidR="002D6CDC" w:rsidRPr="002D6CDC">
        <w:t>PBS data will pick this up</w:t>
      </w:r>
      <w:r w:rsidR="004C3552">
        <w:t xml:space="preserve">, </w:t>
      </w:r>
      <w:r w:rsidR="002D6CDC" w:rsidRPr="002D6CDC">
        <w:t>draw</w:t>
      </w:r>
      <w:r w:rsidR="004C3552">
        <w:t>ing</w:t>
      </w:r>
      <w:r w:rsidR="002D6CDC" w:rsidRPr="002D6CDC">
        <w:t xml:space="preserve"> the PBS average down. </w:t>
      </w:r>
    </w:p>
    <w:p w14:paraId="3707E624" w14:textId="085CC4C0" w:rsidR="002D6CDC" w:rsidRPr="009D6C64" w:rsidRDefault="002D6CDC" w:rsidP="009D6C64">
      <w:r w:rsidRPr="002D6CDC">
        <w:t>Interestingly, in the subset of PBS patients with at least 3.5 years of follow-up available in the sensitivity analysis, the median average treatment duration, including breaks, was</w:t>
      </w:r>
      <w:r w:rsidR="00A24156">
        <w:t xml:space="preserve"> longer at</w:t>
      </w:r>
      <w:r w:rsidRPr="002D6CDC">
        <w:t xml:space="preserve"> 3.9 years</w:t>
      </w:r>
      <w:r w:rsidR="00153800">
        <w:t>.</w:t>
      </w:r>
    </w:p>
    <w:p w14:paraId="6136A771" w14:textId="3DE79EAD" w:rsidR="007430E4" w:rsidRDefault="00B27D74" w:rsidP="007430E4">
      <w:pPr>
        <w:pStyle w:val="Tabletitle"/>
      </w:pPr>
      <w:r>
        <w:t>Table 17</w:t>
      </w:r>
      <w:r w:rsidR="007430E4">
        <w:t>:</w:t>
      </w:r>
      <w:r w:rsidR="00933BDD">
        <w:t xml:space="preserve"> </w:t>
      </w:r>
      <w:r w:rsidR="007430E4">
        <w:t>A</w:t>
      </w:r>
      <w:r w:rsidR="00705A63">
        <w:t xml:space="preserve">verage </w:t>
      </w:r>
      <w:r w:rsidR="00933BDD">
        <w:t>treatment</w:t>
      </w:r>
      <w:r w:rsidR="00705A63">
        <w:t xml:space="preserve"> duration </w:t>
      </w:r>
      <w:r w:rsidR="00352802">
        <w:t xml:space="preserve">in days </w:t>
      </w:r>
      <w:r w:rsidR="00705A63">
        <w:t>(including trea</w:t>
      </w:r>
      <w:r w:rsidR="00933BDD">
        <w:t>tment breaks) for patients initiating osteoporosis medicines between 2014 and 2017, by type of treatment</w:t>
      </w:r>
    </w:p>
    <w:tbl>
      <w:tblPr>
        <w:tblStyle w:val="TableGrid"/>
        <w:tblW w:w="0" w:type="auto"/>
        <w:tblLook w:val="04A0" w:firstRow="1" w:lastRow="0" w:firstColumn="1" w:lastColumn="0" w:noHBand="0" w:noVBand="1"/>
        <w:tblCaption w:val="Table 15: Average treatment duration in days (including treatment breaks) for patients initiating osteoporosis medicines between 2014 and 2017, by type of treatment"/>
      </w:tblPr>
      <w:tblGrid>
        <w:gridCol w:w="2807"/>
        <w:gridCol w:w="698"/>
        <w:gridCol w:w="707"/>
        <w:gridCol w:w="854"/>
        <w:gridCol w:w="773"/>
        <w:gridCol w:w="774"/>
        <w:gridCol w:w="707"/>
        <w:gridCol w:w="854"/>
        <w:gridCol w:w="773"/>
      </w:tblGrid>
      <w:tr w:rsidR="00DA55BB" w:rsidRPr="001D0858" w14:paraId="60E72E62" w14:textId="77777777" w:rsidTr="00DA55BB">
        <w:trPr>
          <w:trHeight w:val="20"/>
          <w:tblHeader/>
        </w:trPr>
        <w:tc>
          <w:tcPr>
            <w:tcW w:w="0" w:type="auto"/>
            <w:vMerge w:val="restart"/>
            <w:shd w:val="clear" w:color="auto" w:fill="BFBFBF" w:themeFill="background1" w:themeFillShade="BF"/>
          </w:tcPr>
          <w:p w14:paraId="2CC02945" w14:textId="77777777" w:rsidR="00DA55BB" w:rsidRDefault="00DA55BB" w:rsidP="00D069E4">
            <w:pPr>
              <w:pStyle w:val="Tableheading"/>
              <w:rPr>
                <w:sz w:val="20"/>
                <w:szCs w:val="20"/>
              </w:rPr>
            </w:pPr>
          </w:p>
        </w:tc>
        <w:tc>
          <w:tcPr>
            <w:tcW w:w="0" w:type="auto"/>
            <w:gridSpan w:val="4"/>
            <w:shd w:val="clear" w:color="auto" w:fill="BFBFBF" w:themeFill="background1" w:themeFillShade="BF"/>
          </w:tcPr>
          <w:p w14:paraId="067650CE" w14:textId="1F22A215" w:rsidR="00DA55BB" w:rsidRPr="001D0858" w:rsidRDefault="00DA55BB" w:rsidP="00D069E4">
            <w:pPr>
              <w:pStyle w:val="Tableheading"/>
              <w:rPr>
                <w:sz w:val="20"/>
                <w:szCs w:val="20"/>
              </w:rPr>
            </w:pPr>
            <w:r w:rsidRPr="00DA55BB">
              <w:rPr>
                <w:sz w:val="20"/>
                <w:szCs w:val="20"/>
              </w:rPr>
              <w:t>Initiators between 2014 and 2017</w:t>
            </w:r>
          </w:p>
        </w:tc>
        <w:tc>
          <w:tcPr>
            <w:tcW w:w="0" w:type="auto"/>
            <w:gridSpan w:val="4"/>
            <w:shd w:val="clear" w:color="auto" w:fill="BFBFBF" w:themeFill="background1" w:themeFillShade="BF"/>
          </w:tcPr>
          <w:p w14:paraId="5883FFA4" w14:textId="77777777" w:rsidR="00DA55BB" w:rsidRPr="00CA01B0" w:rsidRDefault="00DA55BB" w:rsidP="00CA01B0">
            <w:pPr>
              <w:pStyle w:val="Tableheading"/>
              <w:rPr>
                <w:sz w:val="20"/>
                <w:szCs w:val="20"/>
              </w:rPr>
            </w:pPr>
            <w:r w:rsidRPr="00CA01B0">
              <w:rPr>
                <w:sz w:val="20"/>
                <w:szCs w:val="20"/>
              </w:rPr>
              <w:t>Sensitivity analysis</w:t>
            </w:r>
          </w:p>
          <w:p w14:paraId="0F4EE656" w14:textId="5AF30F97" w:rsidR="00DA55BB" w:rsidRDefault="00DA55BB" w:rsidP="00CA01B0">
            <w:pPr>
              <w:pStyle w:val="Tableheading"/>
              <w:rPr>
                <w:sz w:val="20"/>
                <w:szCs w:val="20"/>
              </w:rPr>
            </w:pPr>
            <w:r w:rsidRPr="00CA01B0">
              <w:rPr>
                <w:sz w:val="20"/>
                <w:szCs w:val="20"/>
              </w:rPr>
              <w:t>Initiators between 2014 and 2015</w:t>
            </w:r>
          </w:p>
        </w:tc>
      </w:tr>
      <w:tr w:rsidR="00DA55BB" w:rsidRPr="001D0858" w14:paraId="658E255C" w14:textId="66B03624" w:rsidTr="00DA55BB">
        <w:trPr>
          <w:trHeight w:val="20"/>
          <w:tblHeader/>
        </w:trPr>
        <w:tc>
          <w:tcPr>
            <w:tcW w:w="0" w:type="auto"/>
            <w:vMerge/>
            <w:shd w:val="clear" w:color="auto" w:fill="BFBFBF" w:themeFill="background1" w:themeFillShade="BF"/>
          </w:tcPr>
          <w:p w14:paraId="08C277F1" w14:textId="77777777" w:rsidR="00DA55BB" w:rsidRDefault="00DA55BB" w:rsidP="00D069E4">
            <w:pPr>
              <w:pStyle w:val="Tableheading"/>
              <w:rPr>
                <w:sz w:val="20"/>
                <w:szCs w:val="20"/>
              </w:rPr>
            </w:pPr>
          </w:p>
        </w:tc>
        <w:tc>
          <w:tcPr>
            <w:tcW w:w="0" w:type="auto"/>
            <w:shd w:val="clear" w:color="auto" w:fill="BFBFBF" w:themeFill="background1" w:themeFillShade="BF"/>
          </w:tcPr>
          <w:p w14:paraId="277FFC85" w14:textId="71F13A59" w:rsidR="00DA55BB" w:rsidRPr="001D0858" w:rsidRDefault="00DA55BB" w:rsidP="00D069E4">
            <w:pPr>
              <w:pStyle w:val="Tableheading"/>
              <w:rPr>
                <w:sz w:val="20"/>
                <w:szCs w:val="20"/>
              </w:rPr>
            </w:pPr>
            <w:r>
              <w:rPr>
                <w:sz w:val="20"/>
                <w:szCs w:val="20"/>
              </w:rPr>
              <w:t>Mean</w:t>
            </w:r>
          </w:p>
        </w:tc>
        <w:tc>
          <w:tcPr>
            <w:tcW w:w="0" w:type="auto"/>
            <w:shd w:val="clear" w:color="auto" w:fill="BFBFBF" w:themeFill="background1" w:themeFillShade="BF"/>
          </w:tcPr>
          <w:p w14:paraId="740734FB" w14:textId="4DDC0E07" w:rsidR="00DA55BB" w:rsidRPr="001D0858" w:rsidRDefault="00DA55BB" w:rsidP="00D069E4">
            <w:pPr>
              <w:pStyle w:val="Tableheading"/>
              <w:rPr>
                <w:sz w:val="20"/>
                <w:szCs w:val="20"/>
              </w:rPr>
            </w:pPr>
            <w:r>
              <w:rPr>
                <w:sz w:val="20"/>
                <w:szCs w:val="20"/>
              </w:rPr>
              <w:t>Mode</w:t>
            </w:r>
          </w:p>
        </w:tc>
        <w:tc>
          <w:tcPr>
            <w:tcW w:w="0" w:type="auto"/>
            <w:shd w:val="clear" w:color="auto" w:fill="BFBFBF" w:themeFill="background1" w:themeFillShade="BF"/>
          </w:tcPr>
          <w:p w14:paraId="53888A00" w14:textId="6A6CAD98" w:rsidR="00DA55BB" w:rsidRPr="001D0858" w:rsidRDefault="00DA55BB" w:rsidP="00D069E4">
            <w:pPr>
              <w:pStyle w:val="Tableheading"/>
              <w:rPr>
                <w:sz w:val="20"/>
                <w:szCs w:val="20"/>
              </w:rPr>
            </w:pPr>
            <w:r>
              <w:rPr>
                <w:sz w:val="20"/>
                <w:szCs w:val="20"/>
              </w:rPr>
              <w:t>Median</w:t>
            </w:r>
          </w:p>
        </w:tc>
        <w:tc>
          <w:tcPr>
            <w:tcW w:w="0" w:type="auto"/>
            <w:shd w:val="clear" w:color="auto" w:fill="BFBFBF" w:themeFill="background1" w:themeFillShade="BF"/>
          </w:tcPr>
          <w:p w14:paraId="382315EA" w14:textId="664CA032" w:rsidR="00DA55BB" w:rsidRPr="001D0858" w:rsidRDefault="00DA55BB" w:rsidP="00D069E4">
            <w:pPr>
              <w:pStyle w:val="Tableheading"/>
              <w:rPr>
                <w:sz w:val="20"/>
                <w:szCs w:val="20"/>
              </w:rPr>
            </w:pPr>
            <w:r>
              <w:rPr>
                <w:sz w:val="20"/>
                <w:szCs w:val="20"/>
              </w:rPr>
              <w:t>N</w:t>
            </w:r>
          </w:p>
        </w:tc>
        <w:tc>
          <w:tcPr>
            <w:tcW w:w="0" w:type="auto"/>
            <w:shd w:val="clear" w:color="auto" w:fill="BFBFBF" w:themeFill="background1" w:themeFillShade="BF"/>
          </w:tcPr>
          <w:p w14:paraId="350C8BC6" w14:textId="490C34C3" w:rsidR="00DA55BB" w:rsidRPr="001D0858" w:rsidRDefault="00DA55BB" w:rsidP="00D069E4">
            <w:pPr>
              <w:pStyle w:val="Tableheading"/>
              <w:rPr>
                <w:sz w:val="20"/>
                <w:szCs w:val="20"/>
              </w:rPr>
            </w:pPr>
            <w:r>
              <w:rPr>
                <w:sz w:val="20"/>
                <w:szCs w:val="20"/>
              </w:rPr>
              <w:t>Mean</w:t>
            </w:r>
          </w:p>
        </w:tc>
        <w:tc>
          <w:tcPr>
            <w:tcW w:w="0" w:type="auto"/>
            <w:shd w:val="clear" w:color="auto" w:fill="BFBFBF" w:themeFill="background1" w:themeFillShade="BF"/>
          </w:tcPr>
          <w:p w14:paraId="3D5AF5A2" w14:textId="7C11D6B1" w:rsidR="00DA55BB" w:rsidRPr="001D0858" w:rsidRDefault="00DA55BB" w:rsidP="00D069E4">
            <w:pPr>
              <w:pStyle w:val="Tableheading"/>
              <w:rPr>
                <w:sz w:val="20"/>
                <w:szCs w:val="20"/>
              </w:rPr>
            </w:pPr>
            <w:r>
              <w:rPr>
                <w:sz w:val="20"/>
                <w:szCs w:val="20"/>
              </w:rPr>
              <w:t>Mode</w:t>
            </w:r>
          </w:p>
        </w:tc>
        <w:tc>
          <w:tcPr>
            <w:tcW w:w="0" w:type="auto"/>
            <w:shd w:val="clear" w:color="auto" w:fill="BFBFBF" w:themeFill="background1" w:themeFillShade="BF"/>
          </w:tcPr>
          <w:p w14:paraId="15870778" w14:textId="4CA38637" w:rsidR="00DA55BB" w:rsidRDefault="00DA55BB" w:rsidP="00D069E4">
            <w:pPr>
              <w:pStyle w:val="Tableheading"/>
              <w:rPr>
                <w:sz w:val="20"/>
                <w:szCs w:val="20"/>
              </w:rPr>
            </w:pPr>
            <w:r>
              <w:rPr>
                <w:sz w:val="20"/>
                <w:szCs w:val="20"/>
              </w:rPr>
              <w:t>Median</w:t>
            </w:r>
          </w:p>
        </w:tc>
        <w:tc>
          <w:tcPr>
            <w:tcW w:w="0" w:type="auto"/>
            <w:shd w:val="clear" w:color="auto" w:fill="BFBFBF" w:themeFill="background1" w:themeFillShade="BF"/>
          </w:tcPr>
          <w:p w14:paraId="1119F546" w14:textId="3860C4D9" w:rsidR="00DA55BB" w:rsidRDefault="00DA55BB" w:rsidP="00D069E4">
            <w:pPr>
              <w:pStyle w:val="Tableheading"/>
              <w:rPr>
                <w:sz w:val="20"/>
                <w:szCs w:val="20"/>
              </w:rPr>
            </w:pPr>
            <w:r>
              <w:rPr>
                <w:sz w:val="20"/>
                <w:szCs w:val="20"/>
              </w:rPr>
              <w:t>N</w:t>
            </w:r>
          </w:p>
        </w:tc>
      </w:tr>
      <w:tr w:rsidR="00FA0DC8" w:rsidRPr="001D0858" w14:paraId="08320894" w14:textId="29D8F617" w:rsidTr="00DA55BB">
        <w:trPr>
          <w:trHeight w:val="20"/>
        </w:trPr>
        <w:tc>
          <w:tcPr>
            <w:tcW w:w="0" w:type="auto"/>
          </w:tcPr>
          <w:p w14:paraId="193C2EA3" w14:textId="77777777" w:rsidR="00FA0DC8" w:rsidRPr="00C11A25" w:rsidRDefault="00FA0DC8" w:rsidP="00FA0DC8">
            <w:pPr>
              <w:pStyle w:val="Tableheading"/>
              <w:jc w:val="left"/>
              <w:rPr>
                <w:rFonts w:cstheme="minorHAnsi"/>
                <w:sz w:val="20"/>
                <w:szCs w:val="20"/>
              </w:rPr>
            </w:pPr>
            <w:r w:rsidRPr="00C11A25">
              <w:rPr>
                <w:rFonts w:cstheme="minorHAnsi"/>
                <w:sz w:val="20"/>
                <w:szCs w:val="20"/>
              </w:rPr>
              <w:t>Total</w:t>
            </w:r>
          </w:p>
        </w:tc>
        <w:tc>
          <w:tcPr>
            <w:tcW w:w="0" w:type="auto"/>
          </w:tcPr>
          <w:p w14:paraId="34D5F27D" w14:textId="4B351656" w:rsidR="00FA0DC8" w:rsidRPr="000175ED" w:rsidRDefault="00FA0DC8" w:rsidP="00FA0DC8">
            <w:pPr>
              <w:pStyle w:val="Tableheading"/>
              <w:rPr>
                <w:rFonts w:cstheme="minorHAnsi"/>
                <w:b w:val="0"/>
                <w:sz w:val="20"/>
                <w:szCs w:val="20"/>
              </w:rPr>
            </w:pPr>
            <w:r w:rsidRPr="00FA0DC8">
              <w:rPr>
                <w:rFonts w:cstheme="minorHAnsi"/>
                <w:b w:val="0"/>
                <w:sz w:val="20"/>
                <w:szCs w:val="20"/>
              </w:rPr>
              <w:t>815.8</w:t>
            </w:r>
          </w:p>
        </w:tc>
        <w:tc>
          <w:tcPr>
            <w:tcW w:w="0" w:type="auto"/>
          </w:tcPr>
          <w:p w14:paraId="0EC485FF" w14:textId="4EA6C8B8" w:rsidR="00FA0DC8" w:rsidRPr="000175ED" w:rsidRDefault="00FA0DC8" w:rsidP="00FA0DC8">
            <w:pPr>
              <w:pStyle w:val="Tableheading"/>
              <w:rPr>
                <w:rFonts w:cstheme="minorHAnsi"/>
                <w:b w:val="0"/>
                <w:sz w:val="20"/>
                <w:szCs w:val="20"/>
              </w:rPr>
            </w:pPr>
            <w:r w:rsidRPr="00FA0DC8">
              <w:rPr>
                <w:rFonts w:cstheme="minorHAnsi"/>
                <w:b w:val="0"/>
                <w:sz w:val="20"/>
                <w:szCs w:val="20"/>
              </w:rPr>
              <w:t>180</w:t>
            </w:r>
          </w:p>
        </w:tc>
        <w:tc>
          <w:tcPr>
            <w:tcW w:w="0" w:type="auto"/>
          </w:tcPr>
          <w:p w14:paraId="24554049" w14:textId="6F6F0EC3" w:rsidR="00FA0DC8" w:rsidRPr="000175ED" w:rsidRDefault="00FA0DC8" w:rsidP="00FA0DC8">
            <w:pPr>
              <w:pStyle w:val="Tableheading"/>
              <w:rPr>
                <w:rFonts w:cstheme="minorHAnsi"/>
                <w:b w:val="0"/>
                <w:sz w:val="20"/>
                <w:szCs w:val="20"/>
              </w:rPr>
            </w:pPr>
            <w:r w:rsidRPr="00FA0DC8">
              <w:rPr>
                <w:rFonts w:cstheme="minorHAnsi"/>
                <w:b w:val="0"/>
                <w:sz w:val="20"/>
                <w:szCs w:val="20"/>
              </w:rPr>
              <w:t>769</w:t>
            </w:r>
          </w:p>
        </w:tc>
        <w:tc>
          <w:tcPr>
            <w:tcW w:w="0" w:type="auto"/>
          </w:tcPr>
          <w:p w14:paraId="758FF048" w14:textId="2AEF764C" w:rsidR="00FA0DC8" w:rsidRPr="000175ED" w:rsidRDefault="00FA0DC8" w:rsidP="00FA0DC8">
            <w:pPr>
              <w:pStyle w:val="Tableheading"/>
              <w:rPr>
                <w:rFonts w:cstheme="minorHAnsi"/>
                <w:b w:val="0"/>
                <w:sz w:val="20"/>
                <w:szCs w:val="20"/>
              </w:rPr>
            </w:pPr>
            <w:r w:rsidRPr="00FA0DC8">
              <w:rPr>
                <w:rFonts w:cstheme="minorHAnsi"/>
                <w:b w:val="0"/>
                <w:sz w:val="20"/>
                <w:szCs w:val="20"/>
              </w:rPr>
              <w:t>32,834</w:t>
            </w:r>
          </w:p>
        </w:tc>
        <w:tc>
          <w:tcPr>
            <w:tcW w:w="0" w:type="auto"/>
          </w:tcPr>
          <w:p w14:paraId="2E01EA1A" w14:textId="28274FFE" w:rsidR="00FA0DC8" w:rsidRPr="000175ED" w:rsidRDefault="00FA0DC8" w:rsidP="00FA0DC8">
            <w:pPr>
              <w:pStyle w:val="Tableheading"/>
              <w:rPr>
                <w:rFonts w:cstheme="minorHAnsi"/>
                <w:b w:val="0"/>
                <w:sz w:val="20"/>
                <w:szCs w:val="20"/>
              </w:rPr>
            </w:pPr>
            <w:r w:rsidRPr="00FA0DC8">
              <w:rPr>
                <w:rFonts w:cstheme="minorHAnsi"/>
                <w:b w:val="0"/>
                <w:sz w:val="20"/>
                <w:szCs w:val="20"/>
              </w:rPr>
              <w:t>993.5</w:t>
            </w:r>
          </w:p>
        </w:tc>
        <w:tc>
          <w:tcPr>
            <w:tcW w:w="0" w:type="auto"/>
          </w:tcPr>
          <w:p w14:paraId="1A7EA94F" w14:textId="07347AE0" w:rsidR="00FA0DC8" w:rsidRPr="000175ED" w:rsidRDefault="00FA0DC8" w:rsidP="00FA0DC8">
            <w:pPr>
              <w:pStyle w:val="Tableheading"/>
              <w:rPr>
                <w:rFonts w:cstheme="minorHAnsi"/>
                <w:b w:val="0"/>
                <w:sz w:val="20"/>
                <w:szCs w:val="20"/>
              </w:rPr>
            </w:pPr>
            <w:r w:rsidRPr="00FA0DC8">
              <w:rPr>
                <w:rFonts w:cstheme="minorHAnsi"/>
                <w:b w:val="0"/>
                <w:sz w:val="20"/>
                <w:szCs w:val="20"/>
              </w:rPr>
              <w:t>180</w:t>
            </w:r>
          </w:p>
        </w:tc>
        <w:tc>
          <w:tcPr>
            <w:tcW w:w="0" w:type="auto"/>
          </w:tcPr>
          <w:p w14:paraId="47E3956F" w14:textId="035A8E50" w:rsidR="00FA0DC8" w:rsidRPr="00C57575" w:rsidRDefault="00FA0DC8" w:rsidP="00FA0DC8">
            <w:pPr>
              <w:pStyle w:val="Tableheading"/>
              <w:rPr>
                <w:rFonts w:cstheme="minorHAnsi"/>
                <w:b w:val="0"/>
                <w:sz w:val="20"/>
                <w:szCs w:val="20"/>
              </w:rPr>
            </w:pPr>
            <w:r w:rsidRPr="00FA0DC8">
              <w:rPr>
                <w:rFonts w:cstheme="minorHAnsi"/>
                <w:b w:val="0"/>
                <w:sz w:val="20"/>
                <w:szCs w:val="20"/>
              </w:rPr>
              <w:t>1197</w:t>
            </w:r>
          </w:p>
        </w:tc>
        <w:tc>
          <w:tcPr>
            <w:tcW w:w="0" w:type="auto"/>
          </w:tcPr>
          <w:p w14:paraId="0365A27B" w14:textId="3F9A0F89" w:rsidR="00FA0DC8" w:rsidRPr="00C57575" w:rsidRDefault="00FA0DC8" w:rsidP="00FA0DC8">
            <w:pPr>
              <w:pStyle w:val="Tableheading"/>
              <w:rPr>
                <w:rFonts w:cstheme="minorHAnsi"/>
                <w:b w:val="0"/>
                <w:sz w:val="20"/>
                <w:szCs w:val="20"/>
              </w:rPr>
            </w:pPr>
            <w:r w:rsidRPr="00FA0DC8">
              <w:rPr>
                <w:rFonts w:cstheme="minorHAnsi"/>
                <w:b w:val="0"/>
                <w:sz w:val="20"/>
                <w:szCs w:val="20"/>
              </w:rPr>
              <w:t>15,315</w:t>
            </w:r>
          </w:p>
        </w:tc>
      </w:tr>
      <w:tr w:rsidR="003A1F22" w:rsidRPr="001D0858" w14:paraId="26F001C7" w14:textId="2B761E08" w:rsidTr="00DA55BB">
        <w:trPr>
          <w:trHeight w:val="20"/>
        </w:trPr>
        <w:tc>
          <w:tcPr>
            <w:tcW w:w="0" w:type="auto"/>
            <w:gridSpan w:val="9"/>
            <w:shd w:val="clear" w:color="auto" w:fill="D9D9D9" w:themeFill="background1" w:themeFillShade="D9"/>
          </w:tcPr>
          <w:p w14:paraId="6D6AEB40" w14:textId="0A057C2A" w:rsidR="003A1F22" w:rsidRPr="00957354" w:rsidRDefault="003A1F22" w:rsidP="003A1F22">
            <w:pPr>
              <w:pStyle w:val="Tableheading"/>
              <w:rPr>
                <w:sz w:val="20"/>
                <w:szCs w:val="20"/>
              </w:rPr>
            </w:pPr>
          </w:p>
        </w:tc>
      </w:tr>
      <w:tr w:rsidR="00857F24" w:rsidRPr="001D0858" w14:paraId="776C16E2" w14:textId="448C9CCC" w:rsidTr="00DA55BB">
        <w:trPr>
          <w:trHeight w:val="20"/>
        </w:trPr>
        <w:tc>
          <w:tcPr>
            <w:tcW w:w="0" w:type="auto"/>
          </w:tcPr>
          <w:p w14:paraId="608100AA" w14:textId="77777777" w:rsidR="00857F24" w:rsidRPr="008F7DCD" w:rsidRDefault="00857F24" w:rsidP="00857F24">
            <w:pPr>
              <w:pStyle w:val="Tableheading"/>
              <w:jc w:val="left"/>
              <w:rPr>
                <w:rFonts w:cstheme="minorHAnsi"/>
                <w:sz w:val="20"/>
                <w:szCs w:val="20"/>
              </w:rPr>
            </w:pPr>
            <w:r w:rsidRPr="00957354">
              <w:rPr>
                <w:rFonts w:cstheme="minorHAnsi"/>
                <w:sz w:val="20"/>
                <w:szCs w:val="20"/>
              </w:rPr>
              <w:t>Alendronate (incl combination products)</w:t>
            </w:r>
          </w:p>
        </w:tc>
        <w:tc>
          <w:tcPr>
            <w:tcW w:w="0" w:type="auto"/>
          </w:tcPr>
          <w:p w14:paraId="50035DA3" w14:textId="5C4012A9" w:rsidR="00857F24" w:rsidRPr="00BC42C7" w:rsidRDefault="00857F24" w:rsidP="00857F24">
            <w:pPr>
              <w:pStyle w:val="Tableheading"/>
              <w:rPr>
                <w:rFonts w:cstheme="minorHAnsi"/>
                <w:b w:val="0"/>
                <w:sz w:val="20"/>
                <w:szCs w:val="20"/>
              </w:rPr>
            </w:pPr>
            <w:r w:rsidRPr="00857F24">
              <w:rPr>
                <w:rFonts w:cstheme="minorHAnsi"/>
                <w:b w:val="0"/>
                <w:sz w:val="20"/>
                <w:szCs w:val="20"/>
              </w:rPr>
              <w:t>563.8</w:t>
            </w:r>
          </w:p>
        </w:tc>
        <w:tc>
          <w:tcPr>
            <w:tcW w:w="0" w:type="auto"/>
          </w:tcPr>
          <w:p w14:paraId="2C2C14ED" w14:textId="2118B344" w:rsidR="00857F24" w:rsidRPr="00BC42C7"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322B925A" w14:textId="4BA1F153" w:rsidR="00857F24" w:rsidRPr="00BC42C7" w:rsidRDefault="00857F24" w:rsidP="00857F24">
            <w:pPr>
              <w:pStyle w:val="Tableheading"/>
              <w:rPr>
                <w:rFonts w:cstheme="minorHAnsi"/>
                <w:b w:val="0"/>
                <w:sz w:val="20"/>
                <w:szCs w:val="20"/>
              </w:rPr>
            </w:pPr>
            <w:r w:rsidRPr="00857F24">
              <w:rPr>
                <w:rFonts w:cstheme="minorHAnsi"/>
                <w:b w:val="0"/>
                <w:sz w:val="20"/>
                <w:szCs w:val="20"/>
              </w:rPr>
              <w:t>392</w:t>
            </w:r>
          </w:p>
        </w:tc>
        <w:tc>
          <w:tcPr>
            <w:tcW w:w="0" w:type="auto"/>
          </w:tcPr>
          <w:p w14:paraId="4C9A60C2" w14:textId="6C888DD8" w:rsidR="00857F24" w:rsidRPr="00BC42C7" w:rsidRDefault="00857F24" w:rsidP="00857F24">
            <w:pPr>
              <w:pStyle w:val="Tableheading"/>
              <w:rPr>
                <w:rFonts w:cstheme="minorHAnsi"/>
                <w:b w:val="0"/>
                <w:sz w:val="20"/>
                <w:szCs w:val="20"/>
              </w:rPr>
            </w:pPr>
            <w:r w:rsidRPr="00857F24">
              <w:rPr>
                <w:rFonts w:cstheme="minorHAnsi"/>
                <w:b w:val="0"/>
                <w:sz w:val="20"/>
                <w:szCs w:val="20"/>
              </w:rPr>
              <w:t>4</w:t>
            </w:r>
            <w:r>
              <w:rPr>
                <w:rFonts w:cstheme="minorHAnsi"/>
                <w:b w:val="0"/>
                <w:sz w:val="20"/>
                <w:szCs w:val="20"/>
              </w:rPr>
              <w:t>,</w:t>
            </w:r>
            <w:r w:rsidRPr="00857F24">
              <w:rPr>
                <w:rFonts w:cstheme="minorHAnsi"/>
                <w:b w:val="0"/>
                <w:sz w:val="20"/>
                <w:szCs w:val="20"/>
              </w:rPr>
              <w:t>375</w:t>
            </w:r>
          </w:p>
        </w:tc>
        <w:tc>
          <w:tcPr>
            <w:tcW w:w="0" w:type="auto"/>
          </w:tcPr>
          <w:p w14:paraId="597ED90D" w14:textId="72771506" w:rsidR="00857F24" w:rsidRPr="00BC42C7" w:rsidRDefault="00857F24" w:rsidP="00857F24">
            <w:pPr>
              <w:pStyle w:val="Tableheading"/>
              <w:rPr>
                <w:rFonts w:cstheme="minorHAnsi"/>
                <w:b w:val="0"/>
                <w:sz w:val="20"/>
                <w:szCs w:val="20"/>
              </w:rPr>
            </w:pPr>
            <w:r w:rsidRPr="00857F24">
              <w:rPr>
                <w:rFonts w:cstheme="minorHAnsi"/>
                <w:b w:val="0"/>
                <w:sz w:val="20"/>
                <w:szCs w:val="20"/>
              </w:rPr>
              <w:t>651.7</w:t>
            </w:r>
          </w:p>
        </w:tc>
        <w:tc>
          <w:tcPr>
            <w:tcW w:w="0" w:type="auto"/>
          </w:tcPr>
          <w:p w14:paraId="7259BB1C" w14:textId="5D6E7420" w:rsidR="00857F24" w:rsidRPr="00BC42C7"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67E138BB" w14:textId="7169CDA8" w:rsidR="00857F24" w:rsidRPr="00A63DC0" w:rsidRDefault="00857F24" w:rsidP="00857F24">
            <w:pPr>
              <w:pStyle w:val="Tableheading"/>
              <w:rPr>
                <w:rFonts w:cstheme="minorHAnsi"/>
                <w:b w:val="0"/>
                <w:sz w:val="20"/>
                <w:szCs w:val="20"/>
              </w:rPr>
            </w:pPr>
            <w:r w:rsidRPr="00857F24">
              <w:rPr>
                <w:rFonts w:cstheme="minorHAnsi"/>
                <w:b w:val="0"/>
                <w:sz w:val="20"/>
                <w:szCs w:val="20"/>
              </w:rPr>
              <w:t>421</w:t>
            </w:r>
          </w:p>
        </w:tc>
        <w:tc>
          <w:tcPr>
            <w:tcW w:w="0" w:type="auto"/>
          </w:tcPr>
          <w:p w14:paraId="616808A9" w14:textId="3DA6E6BC" w:rsidR="00857F24" w:rsidRPr="00A63DC0" w:rsidRDefault="00857F24" w:rsidP="00857F24">
            <w:pPr>
              <w:pStyle w:val="Tableheading"/>
              <w:rPr>
                <w:rFonts w:cstheme="minorHAnsi"/>
                <w:b w:val="0"/>
                <w:sz w:val="20"/>
                <w:szCs w:val="20"/>
              </w:rPr>
            </w:pPr>
            <w:r w:rsidRPr="00857F24">
              <w:rPr>
                <w:rFonts w:cstheme="minorHAnsi"/>
                <w:b w:val="0"/>
                <w:sz w:val="20"/>
                <w:szCs w:val="20"/>
              </w:rPr>
              <w:t>2</w:t>
            </w:r>
            <w:r>
              <w:rPr>
                <w:rFonts w:cstheme="minorHAnsi"/>
                <w:b w:val="0"/>
                <w:sz w:val="20"/>
                <w:szCs w:val="20"/>
              </w:rPr>
              <w:t>,</w:t>
            </w:r>
            <w:r w:rsidRPr="00857F24">
              <w:rPr>
                <w:rFonts w:cstheme="minorHAnsi"/>
                <w:b w:val="0"/>
                <w:sz w:val="20"/>
                <w:szCs w:val="20"/>
              </w:rPr>
              <w:t>515</w:t>
            </w:r>
          </w:p>
        </w:tc>
      </w:tr>
      <w:tr w:rsidR="00857F24" w:rsidRPr="001D0858" w14:paraId="72EB832E" w14:textId="1064A20F" w:rsidTr="00DA55BB">
        <w:trPr>
          <w:trHeight w:val="20"/>
        </w:trPr>
        <w:tc>
          <w:tcPr>
            <w:tcW w:w="0" w:type="auto"/>
          </w:tcPr>
          <w:p w14:paraId="08B6C3BB" w14:textId="77777777" w:rsidR="00857F24" w:rsidRPr="008F7DCD" w:rsidRDefault="00857F24" w:rsidP="00857F24">
            <w:pPr>
              <w:pStyle w:val="Tableheading"/>
              <w:jc w:val="left"/>
              <w:rPr>
                <w:rFonts w:cstheme="minorHAnsi"/>
                <w:sz w:val="20"/>
                <w:szCs w:val="20"/>
              </w:rPr>
            </w:pPr>
            <w:r w:rsidRPr="00957354">
              <w:rPr>
                <w:rFonts w:cstheme="minorHAnsi"/>
                <w:sz w:val="20"/>
                <w:szCs w:val="20"/>
              </w:rPr>
              <w:t>Calcitriol</w:t>
            </w:r>
          </w:p>
        </w:tc>
        <w:tc>
          <w:tcPr>
            <w:tcW w:w="0" w:type="auto"/>
          </w:tcPr>
          <w:p w14:paraId="667F9880" w14:textId="3DD0C056" w:rsidR="00857F24" w:rsidRPr="00BC42C7" w:rsidRDefault="00857F24" w:rsidP="00857F24">
            <w:pPr>
              <w:pStyle w:val="Tableheading"/>
              <w:rPr>
                <w:rFonts w:cstheme="minorHAnsi"/>
                <w:b w:val="0"/>
                <w:sz w:val="20"/>
                <w:szCs w:val="20"/>
              </w:rPr>
            </w:pPr>
            <w:r w:rsidRPr="00857F24">
              <w:rPr>
                <w:rFonts w:cstheme="minorHAnsi"/>
                <w:b w:val="0"/>
                <w:sz w:val="20"/>
                <w:szCs w:val="20"/>
              </w:rPr>
              <w:t>590</w:t>
            </w:r>
          </w:p>
        </w:tc>
        <w:tc>
          <w:tcPr>
            <w:tcW w:w="0" w:type="auto"/>
          </w:tcPr>
          <w:p w14:paraId="480A4FD9" w14:textId="0C6F6E07" w:rsidR="00857F24" w:rsidRPr="00BC42C7" w:rsidRDefault="00857F24" w:rsidP="00857F24">
            <w:pPr>
              <w:pStyle w:val="Tableheading"/>
              <w:rPr>
                <w:rFonts w:cstheme="minorHAnsi"/>
                <w:b w:val="0"/>
                <w:sz w:val="20"/>
                <w:szCs w:val="20"/>
              </w:rPr>
            </w:pPr>
            <w:r w:rsidRPr="00857F24">
              <w:rPr>
                <w:rFonts w:cstheme="minorHAnsi"/>
                <w:b w:val="0"/>
                <w:sz w:val="20"/>
                <w:szCs w:val="20"/>
              </w:rPr>
              <w:t>50</w:t>
            </w:r>
          </w:p>
        </w:tc>
        <w:tc>
          <w:tcPr>
            <w:tcW w:w="0" w:type="auto"/>
          </w:tcPr>
          <w:p w14:paraId="4EA62082" w14:textId="29DCB14D" w:rsidR="00857F24" w:rsidRPr="00BC42C7" w:rsidRDefault="00857F24" w:rsidP="00857F24">
            <w:pPr>
              <w:pStyle w:val="Tableheading"/>
              <w:rPr>
                <w:rFonts w:cstheme="minorHAnsi"/>
                <w:b w:val="0"/>
                <w:sz w:val="20"/>
                <w:szCs w:val="20"/>
              </w:rPr>
            </w:pPr>
            <w:r w:rsidRPr="00857F24">
              <w:rPr>
                <w:rFonts w:cstheme="minorHAnsi"/>
                <w:b w:val="0"/>
                <w:sz w:val="20"/>
                <w:szCs w:val="20"/>
              </w:rPr>
              <w:t>421</w:t>
            </w:r>
          </w:p>
        </w:tc>
        <w:tc>
          <w:tcPr>
            <w:tcW w:w="0" w:type="auto"/>
          </w:tcPr>
          <w:p w14:paraId="5639EB8C" w14:textId="4DB68A09" w:rsidR="00857F24" w:rsidRPr="00BC42C7" w:rsidRDefault="00857F24" w:rsidP="00857F24">
            <w:pPr>
              <w:pStyle w:val="Tableheading"/>
              <w:rPr>
                <w:rFonts w:cstheme="minorHAnsi"/>
                <w:b w:val="0"/>
                <w:sz w:val="20"/>
                <w:szCs w:val="20"/>
              </w:rPr>
            </w:pPr>
            <w:r w:rsidRPr="00857F24">
              <w:rPr>
                <w:rFonts w:cstheme="minorHAnsi"/>
                <w:b w:val="0"/>
                <w:sz w:val="20"/>
                <w:szCs w:val="20"/>
              </w:rPr>
              <w:t>2</w:t>
            </w:r>
            <w:r>
              <w:rPr>
                <w:rFonts w:cstheme="minorHAnsi"/>
                <w:b w:val="0"/>
                <w:sz w:val="20"/>
                <w:szCs w:val="20"/>
              </w:rPr>
              <w:t>,</w:t>
            </w:r>
            <w:r w:rsidRPr="00857F24">
              <w:rPr>
                <w:rFonts w:cstheme="minorHAnsi"/>
                <w:b w:val="0"/>
                <w:sz w:val="20"/>
                <w:szCs w:val="20"/>
              </w:rPr>
              <w:t>257</w:t>
            </w:r>
          </w:p>
        </w:tc>
        <w:tc>
          <w:tcPr>
            <w:tcW w:w="0" w:type="auto"/>
          </w:tcPr>
          <w:p w14:paraId="070E4F47" w14:textId="69E818B0" w:rsidR="00857F24" w:rsidRPr="00BC42C7" w:rsidRDefault="00857F24" w:rsidP="00857F24">
            <w:pPr>
              <w:pStyle w:val="Tableheading"/>
              <w:rPr>
                <w:rFonts w:cstheme="minorHAnsi"/>
                <w:b w:val="0"/>
                <w:sz w:val="20"/>
                <w:szCs w:val="20"/>
              </w:rPr>
            </w:pPr>
            <w:r w:rsidRPr="00857F24">
              <w:rPr>
                <w:rFonts w:cstheme="minorHAnsi"/>
                <w:b w:val="0"/>
                <w:sz w:val="20"/>
                <w:szCs w:val="20"/>
              </w:rPr>
              <w:t>723.2</w:t>
            </w:r>
          </w:p>
        </w:tc>
        <w:tc>
          <w:tcPr>
            <w:tcW w:w="0" w:type="auto"/>
          </w:tcPr>
          <w:p w14:paraId="4B03FC1B" w14:textId="0807F4ED" w:rsidR="00857F24" w:rsidRPr="00BC42C7" w:rsidRDefault="00857F24" w:rsidP="00857F24">
            <w:pPr>
              <w:pStyle w:val="Tableheading"/>
              <w:rPr>
                <w:rFonts w:cstheme="minorHAnsi"/>
                <w:b w:val="0"/>
                <w:sz w:val="20"/>
                <w:szCs w:val="20"/>
              </w:rPr>
            </w:pPr>
            <w:r w:rsidRPr="00857F24">
              <w:rPr>
                <w:rFonts w:cstheme="minorHAnsi"/>
                <w:b w:val="0"/>
                <w:sz w:val="20"/>
                <w:szCs w:val="20"/>
              </w:rPr>
              <w:t>50</w:t>
            </w:r>
          </w:p>
        </w:tc>
        <w:tc>
          <w:tcPr>
            <w:tcW w:w="0" w:type="auto"/>
          </w:tcPr>
          <w:p w14:paraId="276A7587" w14:textId="344BEB89" w:rsidR="00857F24" w:rsidRPr="00A63DC0" w:rsidRDefault="00857F24" w:rsidP="00857F24">
            <w:pPr>
              <w:pStyle w:val="Tableheading"/>
              <w:rPr>
                <w:rFonts w:cstheme="minorHAnsi"/>
                <w:b w:val="0"/>
                <w:sz w:val="20"/>
                <w:szCs w:val="20"/>
              </w:rPr>
            </w:pPr>
            <w:r w:rsidRPr="00857F24">
              <w:rPr>
                <w:rFonts w:cstheme="minorHAnsi"/>
                <w:b w:val="0"/>
                <w:sz w:val="20"/>
                <w:szCs w:val="20"/>
              </w:rPr>
              <w:t>511</w:t>
            </w:r>
          </w:p>
        </w:tc>
        <w:tc>
          <w:tcPr>
            <w:tcW w:w="0" w:type="auto"/>
          </w:tcPr>
          <w:p w14:paraId="7FA9E1AD" w14:textId="46EEA140" w:rsidR="00857F24" w:rsidRPr="00A63DC0" w:rsidRDefault="00857F24" w:rsidP="00857F24">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159</w:t>
            </w:r>
          </w:p>
        </w:tc>
      </w:tr>
      <w:tr w:rsidR="00857F24" w:rsidRPr="001D0858" w14:paraId="40EDAAB8" w14:textId="11840C45" w:rsidTr="00DA55BB">
        <w:trPr>
          <w:trHeight w:val="20"/>
        </w:trPr>
        <w:tc>
          <w:tcPr>
            <w:tcW w:w="0" w:type="auto"/>
          </w:tcPr>
          <w:p w14:paraId="501460B7"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Denosumab</w:t>
            </w:r>
          </w:p>
        </w:tc>
        <w:tc>
          <w:tcPr>
            <w:tcW w:w="0" w:type="auto"/>
          </w:tcPr>
          <w:p w14:paraId="38CF20A0" w14:textId="58C29500" w:rsidR="00857F24" w:rsidRPr="000F2789" w:rsidRDefault="00857F24" w:rsidP="00857F24">
            <w:pPr>
              <w:pStyle w:val="Tableheading"/>
              <w:rPr>
                <w:rFonts w:cstheme="minorHAnsi"/>
                <w:b w:val="0"/>
                <w:sz w:val="20"/>
                <w:szCs w:val="20"/>
              </w:rPr>
            </w:pPr>
            <w:r w:rsidRPr="00857F24">
              <w:rPr>
                <w:rFonts w:cstheme="minorHAnsi"/>
                <w:b w:val="0"/>
                <w:sz w:val="20"/>
                <w:szCs w:val="20"/>
              </w:rPr>
              <w:t>946</w:t>
            </w:r>
          </w:p>
        </w:tc>
        <w:tc>
          <w:tcPr>
            <w:tcW w:w="0" w:type="auto"/>
          </w:tcPr>
          <w:p w14:paraId="7D237349" w14:textId="3BDB18A9" w:rsidR="00857F24" w:rsidRPr="000F2789" w:rsidRDefault="00857F24" w:rsidP="00857F24">
            <w:pPr>
              <w:pStyle w:val="Tableheading"/>
              <w:rPr>
                <w:rFonts w:cstheme="minorHAnsi"/>
                <w:b w:val="0"/>
                <w:sz w:val="20"/>
                <w:szCs w:val="20"/>
              </w:rPr>
            </w:pPr>
            <w:r w:rsidRPr="00857F24">
              <w:rPr>
                <w:rFonts w:cstheme="minorHAnsi"/>
                <w:b w:val="0"/>
                <w:sz w:val="20"/>
                <w:szCs w:val="20"/>
              </w:rPr>
              <w:t>180</w:t>
            </w:r>
          </w:p>
        </w:tc>
        <w:tc>
          <w:tcPr>
            <w:tcW w:w="0" w:type="auto"/>
          </w:tcPr>
          <w:p w14:paraId="540ABD91" w14:textId="5F4DE84E" w:rsidR="00857F24" w:rsidRPr="000F2789" w:rsidRDefault="00857F24" w:rsidP="00857F24">
            <w:pPr>
              <w:pStyle w:val="Tableheading"/>
              <w:rPr>
                <w:rFonts w:cstheme="minorHAnsi"/>
                <w:b w:val="0"/>
                <w:sz w:val="20"/>
                <w:szCs w:val="20"/>
              </w:rPr>
            </w:pPr>
            <w:r w:rsidRPr="00857F24">
              <w:rPr>
                <w:rFonts w:cstheme="minorHAnsi"/>
                <w:b w:val="0"/>
                <w:sz w:val="20"/>
                <w:szCs w:val="20"/>
              </w:rPr>
              <w:t>915</w:t>
            </w:r>
          </w:p>
        </w:tc>
        <w:tc>
          <w:tcPr>
            <w:tcW w:w="0" w:type="auto"/>
          </w:tcPr>
          <w:p w14:paraId="3B173BDE" w14:textId="6EDA4AC4" w:rsidR="00857F24" w:rsidRPr="000F2789" w:rsidRDefault="00857F24" w:rsidP="00857F24">
            <w:pPr>
              <w:pStyle w:val="Tableheading"/>
              <w:rPr>
                <w:rFonts w:cstheme="minorHAnsi"/>
                <w:b w:val="0"/>
                <w:sz w:val="20"/>
                <w:szCs w:val="20"/>
              </w:rPr>
            </w:pPr>
            <w:r w:rsidRPr="00857F24">
              <w:rPr>
                <w:rFonts w:cstheme="minorHAnsi"/>
                <w:b w:val="0"/>
                <w:sz w:val="20"/>
                <w:szCs w:val="20"/>
              </w:rPr>
              <w:t>21</w:t>
            </w:r>
            <w:r>
              <w:rPr>
                <w:rFonts w:cstheme="minorHAnsi"/>
                <w:b w:val="0"/>
                <w:sz w:val="20"/>
                <w:szCs w:val="20"/>
              </w:rPr>
              <w:t>,</w:t>
            </w:r>
            <w:r w:rsidRPr="00857F24">
              <w:rPr>
                <w:rFonts w:cstheme="minorHAnsi"/>
                <w:b w:val="0"/>
                <w:sz w:val="20"/>
                <w:szCs w:val="20"/>
              </w:rPr>
              <w:t>197</w:t>
            </w:r>
          </w:p>
        </w:tc>
        <w:tc>
          <w:tcPr>
            <w:tcW w:w="0" w:type="auto"/>
          </w:tcPr>
          <w:p w14:paraId="05608579" w14:textId="0945CA81" w:rsidR="00857F24" w:rsidRPr="000F2789" w:rsidRDefault="00857F24" w:rsidP="00857F24">
            <w:pPr>
              <w:pStyle w:val="Tableheading"/>
              <w:rPr>
                <w:rFonts w:cstheme="minorHAnsi"/>
                <w:b w:val="0"/>
                <w:sz w:val="20"/>
                <w:szCs w:val="20"/>
              </w:rPr>
            </w:pPr>
            <w:r w:rsidRPr="00857F24">
              <w:rPr>
                <w:rFonts w:cstheme="minorHAnsi"/>
                <w:b w:val="0"/>
                <w:sz w:val="20"/>
                <w:szCs w:val="20"/>
              </w:rPr>
              <w:t>1254.4</w:t>
            </w:r>
          </w:p>
        </w:tc>
        <w:tc>
          <w:tcPr>
            <w:tcW w:w="0" w:type="auto"/>
          </w:tcPr>
          <w:p w14:paraId="62ED33EB" w14:textId="55766E16" w:rsidR="00857F24" w:rsidRPr="000F2789" w:rsidRDefault="00857F24" w:rsidP="00857F24">
            <w:pPr>
              <w:pStyle w:val="Tableheading"/>
              <w:rPr>
                <w:rFonts w:cstheme="minorHAnsi"/>
                <w:b w:val="0"/>
                <w:sz w:val="20"/>
                <w:szCs w:val="20"/>
              </w:rPr>
            </w:pPr>
            <w:r w:rsidRPr="00857F24">
              <w:rPr>
                <w:rFonts w:cstheme="minorHAnsi"/>
                <w:b w:val="0"/>
                <w:sz w:val="20"/>
                <w:szCs w:val="20"/>
              </w:rPr>
              <w:t>180</w:t>
            </w:r>
          </w:p>
        </w:tc>
        <w:tc>
          <w:tcPr>
            <w:tcW w:w="0" w:type="auto"/>
          </w:tcPr>
          <w:p w14:paraId="6D717D45" w14:textId="3B6A16D0" w:rsidR="00857F24" w:rsidRPr="00A63DC0" w:rsidRDefault="00857F24" w:rsidP="00857F24">
            <w:pPr>
              <w:pStyle w:val="Tableheading"/>
              <w:rPr>
                <w:rFonts w:cstheme="minorHAnsi"/>
                <w:b w:val="0"/>
                <w:sz w:val="20"/>
                <w:szCs w:val="20"/>
              </w:rPr>
            </w:pPr>
            <w:r w:rsidRPr="00857F24">
              <w:rPr>
                <w:rFonts w:cstheme="minorHAnsi"/>
                <w:b w:val="0"/>
                <w:sz w:val="20"/>
                <w:szCs w:val="20"/>
              </w:rPr>
              <w:t>1416</w:t>
            </w:r>
          </w:p>
        </w:tc>
        <w:tc>
          <w:tcPr>
            <w:tcW w:w="0" w:type="auto"/>
          </w:tcPr>
          <w:p w14:paraId="11D76A4B" w14:textId="4BACDDC1" w:rsidR="00857F24" w:rsidRPr="00A63DC0" w:rsidRDefault="00857F24" w:rsidP="00857F24">
            <w:pPr>
              <w:pStyle w:val="Tableheading"/>
              <w:rPr>
                <w:rFonts w:cstheme="minorHAnsi"/>
                <w:b w:val="0"/>
                <w:sz w:val="20"/>
                <w:szCs w:val="20"/>
              </w:rPr>
            </w:pPr>
            <w:r w:rsidRPr="00857F24">
              <w:rPr>
                <w:rFonts w:cstheme="minorHAnsi"/>
                <w:b w:val="0"/>
                <w:sz w:val="20"/>
                <w:szCs w:val="20"/>
              </w:rPr>
              <w:t>8</w:t>
            </w:r>
            <w:r>
              <w:rPr>
                <w:rFonts w:cstheme="minorHAnsi"/>
                <w:b w:val="0"/>
                <w:sz w:val="20"/>
                <w:szCs w:val="20"/>
              </w:rPr>
              <w:t>,</w:t>
            </w:r>
            <w:r w:rsidRPr="00857F24">
              <w:rPr>
                <w:rFonts w:cstheme="minorHAnsi"/>
                <w:b w:val="0"/>
                <w:sz w:val="20"/>
                <w:szCs w:val="20"/>
              </w:rPr>
              <w:t>573</w:t>
            </w:r>
          </w:p>
        </w:tc>
      </w:tr>
      <w:tr w:rsidR="00857F24" w:rsidRPr="001D0858" w14:paraId="324CC686" w14:textId="24F77E75" w:rsidTr="00DA55BB">
        <w:trPr>
          <w:trHeight w:val="20"/>
        </w:trPr>
        <w:tc>
          <w:tcPr>
            <w:tcW w:w="0" w:type="auto"/>
          </w:tcPr>
          <w:p w14:paraId="78BB2158"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Raloxifene</w:t>
            </w:r>
          </w:p>
        </w:tc>
        <w:tc>
          <w:tcPr>
            <w:tcW w:w="0" w:type="auto"/>
          </w:tcPr>
          <w:p w14:paraId="3DFB1844" w14:textId="632DF170" w:rsidR="00857F24" w:rsidRPr="000F2789" w:rsidRDefault="00857F24" w:rsidP="00857F24">
            <w:pPr>
              <w:pStyle w:val="Tableheading"/>
              <w:rPr>
                <w:rFonts w:cstheme="minorHAnsi"/>
                <w:b w:val="0"/>
                <w:sz w:val="20"/>
                <w:szCs w:val="20"/>
              </w:rPr>
            </w:pPr>
            <w:r w:rsidRPr="00857F24">
              <w:rPr>
                <w:rFonts w:cstheme="minorHAnsi"/>
                <w:b w:val="0"/>
                <w:sz w:val="20"/>
                <w:szCs w:val="20"/>
              </w:rPr>
              <w:t>589.2</w:t>
            </w:r>
          </w:p>
        </w:tc>
        <w:tc>
          <w:tcPr>
            <w:tcW w:w="0" w:type="auto"/>
          </w:tcPr>
          <w:p w14:paraId="64DEC6BC" w14:textId="74943152"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517B18ED" w14:textId="74351C9C" w:rsidR="00857F24" w:rsidRPr="000F2789" w:rsidRDefault="00857F24" w:rsidP="00857F24">
            <w:pPr>
              <w:pStyle w:val="Tableheading"/>
              <w:rPr>
                <w:rFonts w:cstheme="minorHAnsi"/>
                <w:b w:val="0"/>
                <w:sz w:val="20"/>
                <w:szCs w:val="20"/>
              </w:rPr>
            </w:pPr>
            <w:r w:rsidRPr="00857F24">
              <w:rPr>
                <w:rFonts w:cstheme="minorHAnsi"/>
                <w:b w:val="0"/>
                <w:sz w:val="20"/>
                <w:szCs w:val="20"/>
              </w:rPr>
              <w:t>393</w:t>
            </w:r>
          </w:p>
        </w:tc>
        <w:tc>
          <w:tcPr>
            <w:tcW w:w="0" w:type="auto"/>
          </w:tcPr>
          <w:p w14:paraId="7A7814E2" w14:textId="34977666" w:rsidR="00857F24" w:rsidRPr="000F2789" w:rsidRDefault="00857F24" w:rsidP="00857F24">
            <w:pPr>
              <w:pStyle w:val="Tableheading"/>
              <w:rPr>
                <w:rFonts w:cstheme="minorHAnsi"/>
                <w:b w:val="0"/>
                <w:sz w:val="20"/>
                <w:szCs w:val="20"/>
              </w:rPr>
            </w:pPr>
            <w:r w:rsidRPr="00857F24">
              <w:rPr>
                <w:rFonts w:cstheme="minorHAnsi"/>
                <w:b w:val="0"/>
                <w:sz w:val="20"/>
                <w:szCs w:val="20"/>
              </w:rPr>
              <w:t>241</w:t>
            </w:r>
          </w:p>
        </w:tc>
        <w:tc>
          <w:tcPr>
            <w:tcW w:w="0" w:type="auto"/>
          </w:tcPr>
          <w:p w14:paraId="6BC62BAB" w14:textId="31A5E5EC" w:rsidR="00857F24" w:rsidRPr="000F2789" w:rsidRDefault="00857F24" w:rsidP="00857F24">
            <w:pPr>
              <w:pStyle w:val="Tableheading"/>
              <w:rPr>
                <w:rFonts w:cstheme="minorHAnsi"/>
                <w:b w:val="0"/>
                <w:sz w:val="20"/>
                <w:szCs w:val="20"/>
              </w:rPr>
            </w:pPr>
            <w:r w:rsidRPr="00857F24">
              <w:rPr>
                <w:rFonts w:cstheme="minorHAnsi"/>
                <w:b w:val="0"/>
                <w:sz w:val="20"/>
                <w:szCs w:val="20"/>
              </w:rPr>
              <w:t>648.6</w:t>
            </w:r>
          </w:p>
        </w:tc>
        <w:tc>
          <w:tcPr>
            <w:tcW w:w="0" w:type="auto"/>
          </w:tcPr>
          <w:p w14:paraId="2C862BD8" w14:textId="4472516C"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2AD2ACC6" w14:textId="70AA6909" w:rsidR="00857F24" w:rsidRDefault="00857F24" w:rsidP="00857F24">
            <w:pPr>
              <w:pStyle w:val="Tableheading"/>
              <w:rPr>
                <w:rFonts w:cstheme="minorHAnsi"/>
                <w:b w:val="0"/>
                <w:sz w:val="20"/>
                <w:szCs w:val="20"/>
              </w:rPr>
            </w:pPr>
            <w:r w:rsidRPr="00857F24">
              <w:rPr>
                <w:rFonts w:cstheme="minorHAnsi"/>
                <w:b w:val="0"/>
                <w:sz w:val="20"/>
                <w:szCs w:val="20"/>
              </w:rPr>
              <w:t>452</w:t>
            </w:r>
          </w:p>
        </w:tc>
        <w:tc>
          <w:tcPr>
            <w:tcW w:w="0" w:type="auto"/>
          </w:tcPr>
          <w:p w14:paraId="45BB03A1" w14:textId="548C5F13" w:rsidR="00857F24" w:rsidRDefault="00857F24" w:rsidP="00857F24">
            <w:pPr>
              <w:pStyle w:val="Tableheading"/>
              <w:rPr>
                <w:rFonts w:cstheme="minorHAnsi"/>
                <w:b w:val="0"/>
                <w:sz w:val="20"/>
                <w:szCs w:val="20"/>
              </w:rPr>
            </w:pPr>
            <w:r w:rsidRPr="00857F24">
              <w:rPr>
                <w:rFonts w:cstheme="minorHAnsi"/>
                <w:b w:val="0"/>
                <w:sz w:val="20"/>
                <w:szCs w:val="20"/>
              </w:rPr>
              <w:t>152</w:t>
            </w:r>
          </w:p>
        </w:tc>
      </w:tr>
      <w:tr w:rsidR="00857F24" w:rsidRPr="001D0858" w14:paraId="0036C266" w14:textId="7AD041F6" w:rsidTr="00DA55BB">
        <w:trPr>
          <w:trHeight w:val="20"/>
        </w:trPr>
        <w:tc>
          <w:tcPr>
            <w:tcW w:w="0" w:type="auto"/>
          </w:tcPr>
          <w:p w14:paraId="4668E057"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Risedronate (incl combination products)</w:t>
            </w:r>
          </w:p>
        </w:tc>
        <w:tc>
          <w:tcPr>
            <w:tcW w:w="0" w:type="auto"/>
          </w:tcPr>
          <w:p w14:paraId="40734565" w14:textId="28284FD1" w:rsidR="00857F24" w:rsidRPr="000F2789" w:rsidRDefault="00857F24" w:rsidP="00857F24">
            <w:pPr>
              <w:pStyle w:val="Tableheading"/>
              <w:rPr>
                <w:rFonts w:cstheme="minorHAnsi"/>
                <w:b w:val="0"/>
                <w:sz w:val="20"/>
                <w:szCs w:val="20"/>
              </w:rPr>
            </w:pPr>
            <w:r w:rsidRPr="00857F24">
              <w:rPr>
                <w:rFonts w:cstheme="minorHAnsi"/>
                <w:b w:val="0"/>
                <w:sz w:val="20"/>
                <w:szCs w:val="20"/>
              </w:rPr>
              <w:t>550.3</w:t>
            </w:r>
          </w:p>
        </w:tc>
        <w:tc>
          <w:tcPr>
            <w:tcW w:w="0" w:type="auto"/>
          </w:tcPr>
          <w:p w14:paraId="2139FABA" w14:textId="2D8ADEB1"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48546C8A" w14:textId="438DF701" w:rsidR="00857F24" w:rsidRPr="000F2789" w:rsidRDefault="00857F24" w:rsidP="00857F24">
            <w:pPr>
              <w:pStyle w:val="Tableheading"/>
              <w:rPr>
                <w:rFonts w:cstheme="minorHAnsi"/>
                <w:b w:val="0"/>
                <w:sz w:val="20"/>
                <w:szCs w:val="20"/>
              </w:rPr>
            </w:pPr>
            <w:r w:rsidRPr="00857F24">
              <w:rPr>
                <w:rFonts w:cstheme="minorHAnsi"/>
                <w:b w:val="0"/>
                <w:sz w:val="20"/>
                <w:szCs w:val="20"/>
              </w:rPr>
              <w:t>387</w:t>
            </w:r>
          </w:p>
        </w:tc>
        <w:tc>
          <w:tcPr>
            <w:tcW w:w="0" w:type="auto"/>
          </w:tcPr>
          <w:p w14:paraId="69D4C219" w14:textId="477336B1" w:rsidR="00857F24" w:rsidRPr="000F2789" w:rsidRDefault="00857F24" w:rsidP="00857F24">
            <w:pPr>
              <w:pStyle w:val="Tableheading"/>
              <w:rPr>
                <w:rFonts w:cstheme="minorHAnsi"/>
                <w:b w:val="0"/>
                <w:sz w:val="20"/>
                <w:szCs w:val="20"/>
              </w:rPr>
            </w:pPr>
            <w:r w:rsidRPr="00857F24">
              <w:rPr>
                <w:rFonts w:cstheme="minorHAnsi"/>
                <w:b w:val="0"/>
                <w:sz w:val="20"/>
                <w:szCs w:val="20"/>
              </w:rPr>
              <w:t>2</w:t>
            </w:r>
            <w:r>
              <w:rPr>
                <w:rFonts w:cstheme="minorHAnsi"/>
                <w:b w:val="0"/>
                <w:sz w:val="20"/>
                <w:szCs w:val="20"/>
              </w:rPr>
              <w:t>,</w:t>
            </w:r>
            <w:r w:rsidRPr="00857F24">
              <w:rPr>
                <w:rFonts w:cstheme="minorHAnsi"/>
                <w:b w:val="0"/>
                <w:sz w:val="20"/>
                <w:szCs w:val="20"/>
              </w:rPr>
              <w:t>713</w:t>
            </w:r>
          </w:p>
        </w:tc>
        <w:tc>
          <w:tcPr>
            <w:tcW w:w="0" w:type="auto"/>
          </w:tcPr>
          <w:p w14:paraId="22271C5D" w14:textId="002C653B" w:rsidR="00857F24" w:rsidRPr="000F2789" w:rsidRDefault="00857F24" w:rsidP="00857F24">
            <w:pPr>
              <w:pStyle w:val="Tableheading"/>
              <w:rPr>
                <w:rFonts w:cstheme="minorHAnsi"/>
                <w:b w:val="0"/>
                <w:sz w:val="20"/>
                <w:szCs w:val="20"/>
              </w:rPr>
            </w:pPr>
            <w:r w:rsidRPr="00857F24">
              <w:rPr>
                <w:rFonts w:cstheme="minorHAnsi"/>
                <w:b w:val="0"/>
                <w:sz w:val="20"/>
                <w:szCs w:val="20"/>
              </w:rPr>
              <w:t>643.7</w:t>
            </w:r>
          </w:p>
        </w:tc>
        <w:tc>
          <w:tcPr>
            <w:tcW w:w="0" w:type="auto"/>
          </w:tcPr>
          <w:p w14:paraId="5177E91C" w14:textId="42343158"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39EE6303" w14:textId="6755DD8D" w:rsidR="00857F24" w:rsidRPr="00A63DC0" w:rsidRDefault="00857F24" w:rsidP="00857F24">
            <w:pPr>
              <w:pStyle w:val="Tableheading"/>
              <w:rPr>
                <w:rFonts w:cstheme="minorHAnsi"/>
                <w:b w:val="0"/>
                <w:sz w:val="20"/>
                <w:szCs w:val="20"/>
              </w:rPr>
            </w:pPr>
            <w:r w:rsidRPr="00857F24">
              <w:rPr>
                <w:rFonts w:cstheme="minorHAnsi"/>
                <w:b w:val="0"/>
                <w:sz w:val="20"/>
                <w:szCs w:val="20"/>
              </w:rPr>
              <w:t>430</w:t>
            </w:r>
          </w:p>
        </w:tc>
        <w:tc>
          <w:tcPr>
            <w:tcW w:w="0" w:type="auto"/>
          </w:tcPr>
          <w:p w14:paraId="227F6BBD" w14:textId="41C41638" w:rsidR="00857F24" w:rsidRPr="00A63DC0" w:rsidRDefault="00857F24" w:rsidP="00857F24">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498</w:t>
            </w:r>
          </w:p>
        </w:tc>
      </w:tr>
      <w:tr w:rsidR="00857F24" w:rsidRPr="001D0858" w14:paraId="7DB80E71" w14:textId="305EC55C" w:rsidTr="00DA55BB">
        <w:trPr>
          <w:trHeight w:val="20"/>
        </w:trPr>
        <w:tc>
          <w:tcPr>
            <w:tcW w:w="0" w:type="auto"/>
          </w:tcPr>
          <w:p w14:paraId="4FCC73C2"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Strontium ranelate (delisted August 2016)</w:t>
            </w:r>
          </w:p>
        </w:tc>
        <w:tc>
          <w:tcPr>
            <w:tcW w:w="0" w:type="auto"/>
          </w:tcPr>
          <w:p w14:paraId="7181B5DD" w14:textId="6E2B29BA" w:rsidR="00857F24" w:rsidRPr="000F2789" w:rsidRDefault="00857F24" w:rsidP="00857F24">
            <w:pPr>
              <w:pStyle w:val="Tableheading"/>
              <w:rPr>
                <w:rFonts w:cstheme="minorHAnsi"/>
                <w:b w:val="0"/>
                <w:sz w:val="20"/>
                <w:szCs w:val="20"/>
              </w:rPr>
            </w:pPr>
            <w:r w:rsidRPr="00857F24">
              <w:rPr>
                <w:rFonts w:cstheme="minorHAnsi"/>
                <w:b w:val="0"/>
                <w:sz w:val="20"/>
                <w:szCs w:val="20"/>
              </w:rPr>
              <w:t>196.7</w:t>
            </w:r>
          </w:p>
        </w:tc>
        <w:tc>
          <w:tcPr>
            <w:tcW w:w="0" w:type="auto"/>
          </w:tcPr>
          <w:p w14:paraId="182AC617" w14:textId="08ECC2E7"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3BFE1BED" w14:textId="7DFDD4FB" w:rsidR="00857F24" w:rsidRPr="000F2789" w:rsidRDefault="00857F24" w:rsidP="00857F24">
            <w:pPr>
              <w:pStyle w:val="Tableheading"/>
              <w:rPr>
                <w:rFonts w:cstheme="minorHAnsi"/>
                <w:b w:val="0"/>
                <w:sz w:val="20"/>
                <w:szCs w:val="20"/>
              </w:rPr>
            </w:pPr>
            <w:r w:rsidRPr="00857F24">
              <w:rPr>
                <w:rFonts w:cstheme="minorHAnsi"/>
                <w:b w:val="0"/>
                <w:sz w:val="20"/>
                <w:szCs w:val="20"/>
              </w:rPr>
              <w:t>84</w:t>
            </w:r>
          </w:p>
        </w:tc>
        <w:tc>
          <w:tcPr>
            <w:tcW w:w="0" w:type="auto"/>
          </w:tcPr>
          <w:p w14:paraId="1E821616" w14:textId="0DE0A2D0" w:rsidR="00857F24" w:rsidRPr="000F2789" w:rsidRDefault="00857F24" w:rsidP="00857F24">
            <w:pPr>
              <w:pStyle w:val="Tableheading"/>
              <w:rPr>
                <w:rFonts w:cstheme="minorHAnsi"/>
                <w:b w:val="0"/>
                <w:sz w:val="20"/>
                <w:szCs w:val="20"/>
              </w:rPr>
            </w:pPr>
            <w:r w:rsidRPr="00857F24">
              <w:rPr>
                <w:rFonts w:cstheme="minorHAnsi"/>
                <w:b w:val="0"/>
                <w:sz w:val="20"/>
                <w:szCs w:val="20"/>
              </w:rPr>
              <w:t>309</w:t>
            </w:r>
          </w:p>
        </w:tc>
        <w:tc>
          <w:tcPr>
            <w:tcW w:w="0" w:type="auto"/>
          </w:tcPr>
          <w:p w14:paraId="7F960C4D" w14:textId="7DD2C253" w:rsidR="00857F24" w:rsidRPr="000F2789" w:rsidRDefault="00857F24" w:rsidP="00857F24">
            <w:pPr>
              <w:pStyle w:val="Tableheading"/>
              <w:rPr>
                <w:rFonts w:cstheme="minorHAnsi"/>
                <w:b w:val="0"/>
                <w:sz w:val="20"/>
                <w:szCs w:val="20"/>
              </w:rPr>
            </w:pPr>
            <w:r w:rsidRPr="00857F24">
              <w:rPr>
                <w:rFonts w:cstheme="minorHAnsi"/>
                <w:b w:val="0"/>
                <w:sz w:val="20"/>
                <w:szCs w:val="20"/>
              </w:rPr>
              <w:t>202.3</w:t>
            </w:r>
          </w:p>
        </w:tc>
        <w:tc>
          <w:tcPr>
            <w:tcW w:w="0" w:type="auto"/>
          </w:tcPr>
          <w:p w14:paraId="3A62DCA9" w14:textId="1975F645"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143EAAF0" w14:textId="5D758251" w:rsidR="00857F24" w:rsidRDefault="00857F24" w:rsidP="00857F24">
            <w:pPr>
              <w:pStyle w:val="Tableheading"/>
              <w:rPr>
                <w:rFonts w:cstheme="minorHAnsi"/>
                <w:b w:val="0"/>
                <w:sz w:val="20"/>
                <w:szCs w:val="20"/>
              </w:rPr>
            </w:pPr>
            <w:r w:rsidRPr="00857F24">
              <w:rPr>
                <w:rFonts w:cstheme="minorHAnsi"/>
                <w:b w:val="0"/>
                <w:sz w:val="20"/>
                <w:szCs w:val="20"/>
              </w:rPr>
              <w:t>85</w:t>
            </w:r>
          </w:p>
        </w:tc>
        <w:tc>
          <w:tcPr>
            <w:tcW w:w="0" w:type="auto"/>
          </w:tcPr>
          <w:p w14:paraId="3EC61A43" w14:textId="001541AF" w:rsidR="00857F24" w:rsidRDefault="00857F24" w:rsidP="00857F24">
            <w:pPr>
              <w:pStyle w:val="Tableheading"/>
              <w:rPr>
                <w:rFonts w:cstheme="minorHAnsi"/>
                <w:b w:val="0"/>
                <w:sz w:val="20"/>
                <w:szCs w:val="20"/>
              </w:rPr>
            </w:pPr>
            <w:r w:rsidRPr="00857F24">
              <w:rPr>
                <w:rFonts w:cstheme="minorHAnsi"/>
                <w:b w:val="0"/>
                <w:sz w:val="20"/>
                <w:szCs w:val="20"/>
              </w:rPr>
              <w:t>295</w:t>
            </w:r>
          </w:p>
        </w:tc>
      </w:tr>
      <w:tr w:rsidR="00857F24" w:rsidRPr="001D0858" w14:paraId="2D232F52" w14:textId="27A8E28D" w:rsidTr="00DA55BB">
        <w:trPr>
          <w:trHeight w:val="20"/>
        </w:trPr>
        <w:tc>
          <w:tcPr>
            <w:tcW w:w="0" w:type="auto"/>
          </w:tcPr>
          <w:p w14:paraId="190EF718"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Teriparatide</w:t>
            </w:r>
          </w:p>
        </w:tc>
        <w:tc>
          <w:tcPr>
            <w:tcW w:w="0" w:type="auto"/>
          </w:tcPr>
          <w:p w14:paraId="6E2A18E0" w14:textId="4A858B66" w:rsidR="00857F24" w:rsidRPr="000F2789" w:rsidRDefault="00857F24" w:rsidP="00857F24">
            <w:pPr>
              <w:pStyle w:val="Tableheading"/>
              <w:rPr>
                <w:rFonts w:cstheme="minorHAnsi"/>
                <w:b w:val="0"/>
                <w:sz w:val="20"/>
                <w:szCs w:val="20"/>
              </w:rPr>
            </w:pPr>
            <w:r w:rsidRPr="00857F24">
              <w:rPr>
                <w:rFonts w:cstheme="minorHAnsi"/>
                <w:b w:val="0"/>
                <w:sz w:val="20"/>
                <w:szCs w:val="20"/>
              </w:rPr>
              <w:t>398.9</w:t>
            </w:r>
          </w:p>
        </w:tc>
        <w:tc>
          <w:tcPr>
            <w:tcW w:w="0" w:type="auto"/>
          </w:tcPr>
          <w:p w14:paraId="60093C50" w14:textId="0041A412"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5D5BBB7A" w14:textId="714009BF" w:rsidR="00857F24" w:rsidRPr="000F2789" w:rsidRDefault="00857F24" w:rsidP="00857F24">
            <w:pPr>
              <w:pStyle w:val="Tableheading"/>
              <w:rPr>
                <w:rFonts w:cstheme="minorHAnsi"/>
                <w:b w:val="0"/>
                <w:sz w:val="20"/>
                <w:szCs w:val="20"/>
              </w:rPr>
            </w:pPr>
            <w:r w:rsidRPr="00857F24">
              <w:rPr>
                <w:rFonts w:cstheme="minorHAnsi"/>
                <w:b w:val="0"/>
                <w:sz w:val="20"/>
                <w:szCs w:val="20"/>
              </w:rPr>
              <w:t>508</w:t>
            </w:r>
          </w:p>
        </w:tc>
        <w:tc>
          <w:tcPr>
            <w:tcW w:w="0" w:type="auto"/>
          </w:tcPr>
          <w:p w14:paraId="23341F2C" w14:textId="40C2E1F8" w:rsidR="00857F24" w:rsidRPr="000F2789" w:rsidRDefault="00857F24" w:rsidP="00857F24">
            <w:pPr>
              <w:pStyle w:val="Tableheading"/>
              <w:rPr>
                <w:rFonts w:cstheme="minorHAnsi"/>
                <w:b w:val="0"/>
                <w:sz w:val="20"/>
                <w:szCs w:val="20"/>
              </w:rPr>
            </w:pPr>
            <w:r w:rsidRPr="00857F24">
              <w:rPr>
                <w:rFonts w:cstheme="minorHAnsi"/>
                <w:b w:val="0"/>
                <w:sz w:val="20"/>
                <w:szCs w:val="20"/>
              </w:rPr>
              <w:t>42</w:t>
            </w:r>
          </w:p>
        </w:tc>
        <w:tc>
          <w:tcPr>
            <w:tcW w:w="0" w:type="auto"/>
          </w:tcPr>
          <w:p w14:paraId="219CAB62" w14:textId="0F63B971" w:rsidR="00857F24" w:rsidRPr="000F2789" w:rsidRDefault="00857F24" w:rsidP="00857F24">
            <w:pPr>
              <w:pStyle w:val="Tableheading"/>
              <w:rPr>
                <w:rFonts w:cstheme="minorHAnsi"/>
                <w:b w:val="0"/>
                <w:sz w:val="20"/>
                <w:szCs w:val="20"/>
              </w:rPr>
            </w:pPr>
            <w:r w:rsidRPr="00857F24">
              <w:rPr>
                <w:rFonts w:cstheme="minorHAnsi"/>
                <w:b w:val="0"/>
                <w:sz w:val="20"/>
                <w:szCs w:val="20"/>
              </w:rPr>
              <w:t>364.9</w:t>
            </w:r>
          </w:p>
        </w:tc>
        <w:tc>
          <w:tcPr>
            <w:tcW w:w="0" w:type="auto"/>
          </w:tcPr>
          <w:p w14:paraId="1267A49F" w14:textId="7FCDEF6D" w:rsidR="00857F24" w:rsidRPr="000F2789" w:rsidRDefault="00857F24" w:rsidP="00857F24">
            <w:pPr>
              <w:pStyle w:val="Tableheading"/>
              <w:rPr>
                <w:rFonts w:cstheme="minorHAnsi"/>
                <w:b w:val="0"/>
                <w:sz w:val="20"/>
                <w:szCs w:val="20"/>
              </w:rPr>
            </w:pPr>
            <w:r w:rsidRPr="00857F24">
              <w:rPr>
                <w:rFonts w:cstheme="minorHAnsi"/>
                <w:b w:val="0"/>
                <w:sz w:val="20"/>
                <w:szCs w:val="20"/>
              </w:rPr>
              <w:t>28</w:t>
            </w:r>
          </w:p>
        </w:tc>
        <w:tc>
          <w:tcPr>
            <w:tcW w:w="0" w:type="auto"/>
          </w:tcPr>
          <w:p w14:paraId="196CEBC5" w14:textId="1A671E76" w:rsidR="00857F24" w:rsidRDefault="00857F24" w:rsidP="00857F24">
            <w:pPr>
              <w:pStyle w:val="Tableheading"/>
              <w:rPr>
                <w:rFonts w:cstheme="minorHAnsi"/>
                <w:b w:val="0"/>
                <w:sz w:val="20"/>
                <w:szCs w:val="20"/>
              </w:rPr>
            </w:pPr>
            <w:r w:rsidRPr="00857F24">
              <w:rPr>
                <w:rFonts w:cstheme="minorHAnsi"/>
                <w:b w:val="0"/>
                <w:sz w:val="20"/>
                <w:szCs w:val="20"/>
              </w:rPr>
              <w:t>506</w:t>
            </w:r>
          </w:p>
        </w:tc>
        <w:tc>
          <w:tcPr>
            <w:tcW w:w="0" w:type="auto"/>
          </w:tcPr>
          <w:p w14:paraId="1508015C" w14:textId="01086412" w:rsidR="00857F24" w:rsidRDefault="00857F24" w:rsidP="00857F24">
            <w:pPr>
              <w:pStyle w:val="Tableheading"/>
              <w:rPr>
                <w:rFonts w:cstheme="minorHAnsi"/>
                <w:b w:val="0"/>
                <w:sz w:val="20"/>
                <w:szCs w:val="20"/>
              </w:rPr>
            </w:pPr>
            <w:r w:rsidRPr="00857F24">
              <w:rPr>
                <w:rFonts w:cstheme="minorHAnsi"/>
                <w:b w:val="0"/>
                <w:sz w:val="20"/>
                <w:szCs w:val="20"/>
              </w:rPr>
              <w:t>27</w:t>
            </w:r>
          </w:p>
        </w:tc>
      </w:tr>
      <w:tr w:rsidR="00857F24" w:rsidRPr="001D0858" w14:paraId="4C8FEF9B" w14:textId="4893BFBC" w:rsidTr="00DA55BB">
        <w:trPr>
          <w:trHeight w:val="20"/>
        </w:trPr>
        <w:tc>
          <w:tcPr>
            <w:tcW w:w="0" w:type="auto"/>
          </w:tcPr>
          <w:p w14:paraId="39DB222C" w14:textId="77777777" w:rsidR="00857F24" w:rsidRPr="00957354" w:rsidRDefault="00857F24" w:rsidP="00857F24">
            <w:pPr>
              <w:pStyle w:val="Tableheading"/>
              <w:jc w:val="left"/>
              <w:rPr>
                <w:rFonts w:cstheme="minorHAnsi"/>
                <w:sz w:val="20"/>
                <w:szCs w:val="20"/>
              </w:rPr>
            </w:pPr>
            <w:r w:rsidRPr="00957354">
              <w:rPr>
                <w:rFonts w:cstheme="minorHAnsi"/>
                <w:sz w:val="20"/>
                <w:szCs w:val="20"/>
              </w:rPr>
              <w:t>Zoledronic acid</w:t>
            </w:r>
          </w:p>
        </w:tc>
        <w:tc>
          <w:tcPr>
            <w:tcW w:w="0" w:type="auto"/>
          </w:tcPr>
          <w:p w14:paraId="26BAD378" w14:textId="39F3B9CA" w:rsidR="00857F24" w:rsidRPr="000F2789" w:rsidRDefault="00857F24" w:rsidP="00857F24">
            <w:pPr>
              <w:pStyle w:val="Tableheading"/>
              <w:rPr>
                <w:rFonts w:cstheme="minorHAnsi"/>
                <w:b w:val="0"/>
                <w:sz w:val="20"/>
                <w:szCs w:val="20"/>
              </w:rPr>
            </w:pPr>
            <w:r w:rsidRPr="00857F24">
              <w:rPr>
                <w:rFonts w:cstheme="minorHAnsi"/>
                <w:b w:val="0"/>
                <w:sz w:val="20"/>
                <w:szCs w:val="20"/>
              </w:rPr>
              <w:t>713.6</w:t>
            </w:r>
          </w:p>
        </w:tc>
        <w:tc>
          <w:tcPr>
            <w:tcW w:w="0" w:type="auto"/>
          </w:tcPr>
          <w:p w14:paraId="684F6221" w14:textId="562B5D83" w:rsidR="00857F24" w:rsidRPr="000F2789" w:rsidRDefault="00857F24" w:rsidP="00857F24">
            <w:pPr>
              <w:pStyle w:val="Tableheading"/>
              <w:rPr>
                <w:rFonts w:cstheme="minorHAnsi"/>
                <w:b w:val="0"/>
                <w:sz w:val="20"/>
                <w:szCs w:val="20"/>
              </w:rPr>
            </w:pPr>
            <w:r w:rsidRPr="00857F24">
              <w:rPr>
                <w:rFonts w:cstheme="minorHAnsi"/>
                <w:b w:val="0"/>
                <w:sz w:val="20"/>
                <w:szCs w:val="20"/>
              </w:rPr>
              <w:t>365</w:t>
            </w:r>
          </w:p>
        </w:tc>
        <w:tc>
          <w:tcPr>
            <w:tcW w:w="0" w:type="auto"/>
          </w:tcPr>
          <w:p w14:paraId="48748D64" w14:textId="58AF5BCE" w:rsidR="00857F24" w:rsidRPr="000F2789" w:rsidRDefault="00857F24" w:rsidP="00857F24">
            <w:pPr>
              <w:pStyle w:val="Tableheading"/>
              <w:rPr>
                <w:rFonts w:cstheme="minorHAnsi"/>
                <w:b w:val="0"/>
                <w:sz w:val="20"/>
                <w:szCs w:val="20"/>
              </w:rPr>
            </w:pPr>
            <w:r w:rsidRPr="00857F24">
              <w:rPr>
                <w:rFonts w:cstheme="minorHAnsi"/>
                <w:b w:val="0"/>
                <w:sz w:val="20"/>
                <w:szCs w:val="20"/>
              </w:rPr>
              <w:t>365</w:t>
            </w:r>
          </w:p>
        </w:tc>
        <w:tc>
          <w:tcPr>
            <w:tcW w:w="0" w:type="auto"/>
          </w:tcPr>
          <w:p w14:paraId="3A610367" w14:textId="2A05F6F3" w:rsidR="00857F24" w:rsidRPr="000F2789" w:rsidRDefault="00857F24" w:rsidP="00857F24">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724</w:t>
            </w:r>
          </w:p>
        </w:tc>
        <w:tc>
          <w:tcPr>
            <w:tcW w:w="0" w:type="auto"/>
          </w:tcPr>
          <w:p w14:paraId="36CC6A99" w14:textId="76D98B20" w:rsidR="00857F24" w:rsidRPr="000F2789" w:rsidRDefault="00857F24" w:rsidP="00857F24">
            <w:pPr>
              <w:pStyle w:val="Tableheading"/>
              <w:rPr>
                <w:rFonts w:cstheme="minorHAnsi"/>
                <w:b w:val="0"/>
                <w:sz w:val="20"/>
                <w:szCs w:val="20"/>
              </w:rPr>
            </w:pPr>
            <w:r w:rsidRPr="00857F24">
              <w:rPr>
                <w:rFonts w:cstheme="minorHAnsi"/>
                <w:b w:val="0"/>
                <w:sz w:val="20"/>
                <w:szCs w:val="20"/>
              </w:rPr>
              <w:t>774.2</w:t>
            </w:r>
          </w:p>
        </w:tc>
        <w:tc>
          <w:tcPr>
            <w:tcW w:w="0" w:type="auto"/>
          </w:tcPr>
          <w:p w14:paraId="5B2243CD" w14:textId="12BB4104" w:rsidR="00857F24" w:rsidRPr="000F2789" w:rsidRDefault="00857F24" w:rsidP="00857F24">
            <w:pPr>
              <w:pStyle w:val="Tableheading"/>
              <w:rPr>
                <w:rFonts w:cstheme="minorHAnsi"/>
                <w:b w:val="0"/>
                <w:sz w:val="20"/>
                <w:szCs w:val="20"/>
              </w:rPr>
            </w:pPr>
            <w:r w:rsidRPr="00857F24">
              <w:rPr>
                <w:rFonts w:cstheme="minorHAnsi"/>
                <w:b w:val="0"/>
                <w:sz w:val="20"/>
                <w:szCs w:val="20"/>
              </w:rPr>
              <w:t>365</w:t>
            </w:r>
          </w:p>
        </w:tc>
        <w:tc>
          <w:tcPr>
            <w:tcW w:w="0" w:type="auto"/>
          </w:tcPr>
          <w:p w14:paraId="5D5D11E5" w14:textId="34B9E9A1" w:rsidR="00857F24" w:rsidRPr="00A63DC0" w:rsidRDefault="00857F24" w:rsidP="00857F24">
            <w:pPr>
              <w:pStyle w:val="Tableheading"/>
              <w:rPr>
                <w:rFonts w:cstheme="minorHAnsi"/>
                <w:b w:val="0"/>
                <w:sz w:val="20"/>
                <w:szCs w:val="20"/>
              </w:rPr>
            </w:pPr>
            <w:r w:rsidRPr="00857F24">
              <w:rPr>
                <w:rFonts w:cstheme="minorHAnsi"/>
                <w:b w:val="0"/>
                <w:sz w:val="20"/>
                <w:szCs w:val="20"/>
              </w:rPr>
              <w:t>365</w:t>
            </w:r>
          </w:p>
        </w:tc>
        <w:tc>
          <w:tcPr>
            <w:tcW w:w="0" w:type="auto"/>
          </w:tcPr>
          <w:p w14:paraId="672F6E74" w14:textId="1A954BC5" w:rsidR="00857F24" w:rsidRPr="00A63DC0" w:rsidRDefault="00857F24" w:rsidP="00857F24">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104</w:t>
            </w:r>
          </w:p>
        </w:tc>
      </w:tr>
    </w:tbl>
    <w:p w14:paraId="6DF515B4" w14:textId="3CDA20E1" w:rsidR="00A20BC9" w:rsidRDefault="00A20BC9" w:rsidP="007430E4"/>
    <w:p w14:paraId="172C23A5" w14:textId="77777777" w:rsidR="00A20BC9" w:rsidRDefault="00A20BC9">
      <w:pPr>
        <w:spacing w:line="276" w:lineRule="auto"/>
      </w:pPr>
      <w:r>
        <w:br w:type="page"/>
      </w:r>
    </w:p>
    <w:p w14:paraId="39C5578E" w14:textId="4AE47DEC" w:rsidR="003F3897" w:rsidRDefault="003F3897" w:rsidP="003F3897">
      <w:pPr>
        <w:pStyle w:val="Tabletitle"/>
      </w:pPr>
      <w:r>
        <w:lastRenderedPageBreak/>
        <w:t>Table 1</w:t>
      </w:r>
      <w:r w:rsidR="00B27D74">
        <w:t>8</w:t>
      </w:r>
      <w:r>
        <w:t>:</w:t>
      </w:r>
      <w:r w:rsidR="00933BDD">
        <w:t xml:space="preserve"> </w:t>
      </w:r>
      <w:r w:rsidR="00933BDD" w:rsidRPr="00933BDD">
        <w:t xml:space="preserve">Average treatment duration </w:t>
      </w:r>
      <w:r w:rsidR="00352802">
        <w:t xml:space="preserve">in days </w:t>
      </w:r>
      <w:r w:rsidR="00933BDD" w:rsidRPr="00933BDD">
        <w:t>(</w:t>
      </w:r>
      <w:r w:rsidR="00933BDD">
        <w:t>ex</w:t>
      </w:r>
      <w:r w:rsidR="00933BDD" w:rsidRPr="00933BDD">
        <w:t>cluding treatment breaks) for patients initiating osteoporosis medicines between 2014 and 2017, by type of treatment</w:t>
      </w:r>
    </w:p>
    <w:tbl>
      <w:tblPr>
        <w:tblStyle w:val="TableGrid"/>
        <w:tblW w:w="0" w:type="auto"/>
        <w:tblLook w:val="04A0" w:firstRow="1" w:lastRow="0" w:firstColumn="1" w:lastColumn="0" w:noHBand="0" w:noVBand="1"/>
        <w:tblCaption w:val="Table 16: Average treatment duration in days (excluding treatment breaks) for patients initiating osteoporosis medicines between 2014 and 2017, by type of treatment"/>
      </w:tblPr>
      <w:tblGrid>
        <w:gridCol w:w="2807"/>
        <w:gridCol w:w="698"/>
        <w:gridCol w:w="707"/>
        <w:gridCol w:w="854"/>
        <w:gridCol w:w="773"/>
        <w:gridCol w:w="774"/>
        <w:gridCol w:w="707"/>
        <w:gridCol w:w="854"/>
        <w:gridCol w:w="773"/>
      </w:tblGrid>
      <w:tr w:rsidR="003F3897" w:rsidRPr="001D0858" w14:paraId="22EA7460" w14:textId="77777777" w:rsidTr="00D069E4">
        <w:trPr>
          <w:trHeight w:val="20"/>
          <w:tblHeader/>
        </w:trPr>
        <w:tc>
          <w:tcPr>
            <w:tcW w:w="0" w:type="auto"/>
            <w:vMerge w:val="restart"/>
            <w:shd w:val="clear" w:color="auto" w:fill="BFBFBF" w:themeFill="background1" w:themeFillShade="BF"/>
          </w:tcPr>
          <w:p w14:paraId="62BCB23C" w14:textId="77777777" w:rsidR="003F3897" w:rsidRDefault="003F3897" w:rsidP="00D069E4">
            <w:pPr>
              <w:pStyle w:val="Tableheading"/>
              <w:rPr>
                <w:sz w:val="20"/>
                <w:szCs w:val="20"/>
              </w:rPr>
            </w:pPr>
          </w:p>
        </w:tc>
        <w:tc>
          <w:tcPr>
            <w:tcW w:w="0" w:type="auto"/>
            <w:gridSpan w:val="4"/>
            <w:shd w:val="clear" w:color="auto" w:fill="BFBFBF" w:themeFill="background1" w:themeFillShade="BF"/>
          </w:tcPr>
          <w:p w14:paraId="7C0E84DB" w14:textId="77777777" w:rsidR="003F3897" w:rsidRPr="001D0858" w:rsidRDefault="003F3897" w:rsidP="00D069E4">
            <w:pPr>
              <w:pStyle w:val="Tableheading"/>
              <w:rPr>
                <w:sz w:val="20"/>
                <w:szCs w:val="20"/>
              </w:rPr>
            </w:pPr>
            <w:r w:rsidRPr="00DA55BB">
              <w:rPr>
                <w:sz w:val="20"/>
                <w:szCs w:val="20"/>
              </w:rPr>
              <w:t>Initiators between 2014 and 2017</w:t>
            </w:r>
          </w:p>
        </w:tc>
        <w:tc>
          <w:tcPr>
            <w:tcW w:w="0" w:type="auto"/>
            <w:gridSpan w:val="4"/>
            <w:shd w:val="clear" w:color="auto" w:fill="BFBFBF" w:themeFill="background1" w:themeFillShade="BF"/>
          </w:tcPr>
          <w:p w14:paraId="540BB653" w14:textId="77777777" w:rsidR="003F3897" w:rsidRPr="00CA01B0" w:rsidRDefault="003F3897" w:rsidP="00D069E4">
            <w:pPr>
              <w:pStyle w:val="Tableheading"/>
              <w:rPr>
                <w:sz w:val="20"/>
                <w:szCs w:val="20"/>
              </w:rPr>
            </w:pPr>
            <w:r w:rsidRPr="00CA01B0">
              <w:rPr>
                <w:sz w:val="20"/>
                <w:szCs w:val="20"/>
              </w:rPr>
              <w:t>Sensitivity analysis</w:t>
            </w:r>
          </w:p>
          <w:p w14:paraId="605E763A" w14:textId="77777777" w:rsidR="003F3897" w:rsidRDefault="003F3897" w:rsidP="00D069E4">
            <w:pPr>
              <w:pStyle w:val="Tableheading"/>
              <w:rPr>
                <w:sz w:val="20"/>
                <w:szCs w:val="20"/>
              </w:rPr>
            </w:pPr>
            <w:r w:rsidRPr="00CA01B0">
              <w:rPr>
                <w:sz w:val="20"/>
                <w:szCs w:val="20"/>
              </w:rPr>
              <w:t>Initiators between 2014 and 2015</w:t>
            </w:r>
          </w:p>
        </w:tc>
      </w:tr>
      <w:tr w:rsidR="003F3897" w:rsidRPr="001D0858" w14:paraId="7765AF6A" w14:textId="77777777" w:rsidTr="00D069E4">
        <w:trPr>
          <w:trHeight w:val="20"/>
          <w:tblHeader/>
        </w:trPr>
        <w:tc>
          <w:tcPr>
            <w:tcW w:w="0" w:type="auto"/>
            <w:vMerge/>
            <w:shd w:val="clear" w:color="auto" w:fill="BFBFBF" w:themeFill="background1" w:themeFillShade="BF"/>
          </w:tcPr>
          <w:p w14:paraId="177F5088" w14:textId="77777777" w:rsidR="003F3897" w:rsidRDefault="003F3897" w:rsidP="00D069E4">
            <w:pPr>
              <w:pStyle w:val="Tableheading"/>
              <w:rPr>
                <w:sz w:val="20"/>
                <w:szCs w:val="20"/>
              </w:rPr>
            </w:pPr>
          </w:p>
        </w:tc>
        <w:tc>
          <w:tcPr>
            <w:tcW w:w="0" w:type="auto"/>
            <w:shd w:val="clear" w:color="auto" w:fill="BFBFBF" w:themeFill="background1" w:themeFillShade="BF"/>
          </w:tcPr>
          <w:p w14:paraId="0A413A17" w14:textId="77777777" w:rsidR="003F3897" w:rsidRPr="001D0858" w:rsidRDefault="003F3897" w:rsidP="00D069E4">
            <w:pPr>
              <w:pStyle w:val="Tableheading"/>
              <w:rPr>
                <w:sz w:val="20"/>
                <w:szCs w:val="20"/>
              </w:rPr>
            </w:pPr>
            <w:r>
              <w:rPr>
                <w:sz w:val="20"/>
                <w:szCs w:val="20"/>
              </w:rPr>
              <w:t>Mean</w:t>
            </w:r>
          </w:p>
        </w:tc>
        <w:tc>
          <w:tcPr>
            <w:tcW w:w="0" w:type="auto"/>
            <w:shd w:val="clear" w:color="auto" w:fill="BFBFBF" w:themeFill="background1" w:themeFillShade="BF"/>
          </w:tcPr>
          <w:p w14:paraId="035E3F2E" w14:textId="77777777" w:rsidR="003F3897" w:rsidRPr="001D0858" w:rsidRDefault="003F3897" w:rsidP="00D069E4">
            <w:pPr>
              <w:pStyle w:val="Tableheading"/>
              <w:rPr>
                <w:sz w:val="20"/>
                <w:szCs w:val="20"/>
              </w:rPr>
            </w:pPr>
            <w:r>
              <w:rPr>
                <w:sz w:val="20"/>
                <w:szCs w:val="20"/>
              </w:rPr>
              <w:t>Mode</w:t>
            </w:r>
          </w:p>
        </w:tc>
        <w:tc>
          <w:tcPr>
            <w:tcW w:w="0" w:type="auto"/>
            <w:shd w:val="clear" w:color="auto" w:fill="BFBFBF" w:themeFill="background1" w:themeFillShade="BF"/>
          </w:tcPr>
          <w:p w14:paraId="51AA6B60" w14:textId="77777777" w:rsidR="003F3897" w:rsidRPr="001D0858" w:rsidRDefault="003F3897" w:rsidP="00D069E4">
            <w:pPr>
              <w:pStyle w:val="Tableheading"/>
              <w:rPr>
                <w:sz w:val="20"/>
                <w:szCs w:val="20"/>
              </w:rPr>
            </w:pPr>
            <w:r>
              <w:rPr>
                <w:sz w:val="20"/>
                <w:szCs w:val="20"/>
              </w:rPr>
              <w:t>Median</w:t>
            </w:r>
          </w:p>
        </w:tc>
        <w:tc>
          <w:tcPr>
            <w:tcW w:w="0" w:type="auto"/>
            <w:shd w:val="clear" w:color="auto" w:fill="BFBFBF" w:themeFill="background1" w:themeFillShade="BF"/>
          </w:tcPr>
          <w:p w14:paraId="11E62D66" w14:textId="77777777" w:rsidR="003F3897" w:rsidRPr="001D0858" w:rsidRDefault="003F3897" w:rsidP="00D069E4">
            <w:pPr>
              <w:pStyle w:val="Tableheading"/>
              <w:rPr>
                <w:sz w:val="20"/>
                <w:szCs w:val="20"/>
              </w:rPr>
            </w:pPr>
            <w:r>
              <w:rPr>
                <w:sz w:val="20"/>
                <w:szCs w:val="20"/>
              </w:rPr>
              <w:t>N</w:t>
            </w:r>
          </w:p>
        </w:tc>
        <w:tc>
          <w:tcPr>
            <w:tcW w:w="0" w:type="auto"/>
            <w:shd w:val="clear" w:color="auto" w:fill="BFBFBF" w:themeFill="background1" w:themeFillShade="BF"/>
          </w:tcPr>
          <w:p w14:paraId="46686EA2" w14:textId="77777777" w:rsidR="003F3897" w:rsidRPr="001D0858" w:rsidRDefault="003F3897" w:rsidP="00D069E4">
            <w:pPr>
              <w:pStyle w:val="Tableheading"/>
              <w:rPr>
                <w:sz w:val="20"/>
                <w:szCs w:val="20"/>
              </w:rPr>
            </w:pPr>
            <w:r>
              <w:rPr>
                <w:sz w:val="20"/>
                <w:szCs w:val="20"/>
              </w:rPr>
              <w:t>Mean</w:t>
            </w:r>
          </w:p>
        </w:tc>
        <w:tc>
          <w:tcPr>
            <w:tcW w:w="0" w:type="auto"/>
            <w:shd w:val="clear" w:color="auto" w:fill="BFBFBF" w:themeFill="background1" w:themeFillShade="BF"/>
          </w:tcPr>
          <w:p w14:paraId="2F6908C1" w14:textId="77777777" w:rsidR="003F3897" w:rsidRPr="001D0858" w:rsidRDefault="003F3897" w:rsidP="00D069E4">
            <w:pPr>
              <w:pStyle w:val="Tableheading"/>
              <w:rPr>
                <w:sz w:val="20"/>
                <w:szCs w:val="20"/>
              </w:rPr>
            </w:pPr>
            <w:r>
              <w:rPr>
                <w:sz w:val="20"/>
                <w:szCs w:val="20"/>
              </w:rPr>
              <w:t>Mode</w:t>
            </w:r>
          </w:p>
        </w:tc>
        <w:tc>
          <w:tcPr>
            <w:tcW w:w="0" w:type="auto"/>
            <w:shd w:val="clear" w:color="auto" w:fill="BFBFBF" w:themeFill="background1" w:themeFillShade="BF"/>
          </w:tcPr>
          <w:p w14:paraId="6B81AE06" w14:textId="77777777" w:rsidR="003F3897" w:rsidRDefault="003F3897" w:rsidP="00D069E4">
            <w:pPr>
              <w:pStyle w:val="Tableheading"/>
              <w:rPr>
                <w:sz w:val="20"/>
                <w:szCs w:val="20"/>
              </w:rPr>
            </w:pPr>
            <w:r>
              <w:rPr>
                <w:sz w:val="20"/>
                <w:szCs w:val="20"/>
              </w:rPr>
              <w:t>Median</w:t>
            </w:r>
          </w:p>
        </w:tc>
        <w:tc>
          <w:tcPr>
            <w:tcW w:w="0" w:type="auto"/>
            <w:shd w:val="clear" w:color="auto" w:fill="BFBFBF" w:themeFill="background1" w:themeFillShade="BF"/>
          </w:tcPr>
          <w:p w14:paraId="68FE1B2E" w14:textId="77777777" w:rsidR="003F3897" w:rsidRDefault="003F3897" w:rsidP="00D069E4">
            <w:pPr>
              <w:pStyle w:val="Tableheading"/>
              <w:rPr>
                <w:sz w:val="20"/>
                <w:szCs w:val="20"/>
              </w:rPr>
            </w:pPr>
            <w:r>
              <w:rPr>
                <w:sz w:val="20"/>
                <w:szCs w:val="20"/>
              </w:rPr>
              <w:t>N</w:t>
            </w:r>
          </w:p>
        </w:tc>
      </w:tr>
      <w:tr w:rsidR="00551B3A" w:rsidRPr="001D0858" w14:paraId="78C502FC" w14:textId="77777777" w:rsidTr="00D069E4">
        <w:trPr>
          <w:trHeight w:val="20"/>
        </w:trPr>
        <w:tc>
          <w:tcPr>
            <w:tcW w:w="0" w:type="auto"/>
          </w:tcPr>
          <w:p w14:paraId="13077171" w14:textId="77777777" w:rsidR="00551B3A" w:rsidRPr="00C11A25" w:rsidRDefault="00551B3A" w:rsidP="00551B3A">
            <w:pPr>
              <w:pStyle w:val="Tableheading"/>
              <w:jc w:val="left"/>
              <w:rPr>
                <w:rFonts w:cstheme="minorHAnsi"/>
                <w:sz w:val="20"/>
                <w:szCs w:val="20"/>
              </w:rPr>
            </w:pPr>
            <w:r w:rsidRPr="00C11A25">
              <w:rPr>
                <w:rFonts w:cstheme="minorHAnsi"/>
                <w:sz w:val="20"/>
                <w:szCs w:val="20"/>
              </w:rPr>
              <w:t>Total</w:t>
            </w:r>
          </w:p>
        </w:tc>
        <w:tc>
          <w:tcPr>
            <w:tcW w:w="0" w:type="auto"/>
          </w:tcPr>
          <w:p w14:paraId="1F97C050" w14:textId="150AA050" w:rsidR="00551B3A" w:rsidRPr="000175ED" w:rsidRDefault="00551B3A" w:rsidP="00551B3A">
            <w:pPr>
              <w:pStyle w:val="Tableheading"/>
              <w:rPr>
                <w:rFonts w:cstheme="minorHAnsi"/>
                <w:b w:val="0"/>
                <w:sz w:val="20"/>
                <w:szCs w:val="20"/>
              </w:rPr>
            </w:pPr>
            <w:r w:rsidRPr="00551B3A">
              <w:rPr>
                <w:rFonts w:cstheme="minorHAnsi"/>
                <w:b w:val="0"/>
                <w:sz w:val="20"/>
                <w:szCs w:val="20"/>
              </w:rPr>
              <w:t>716.3</w:t>
            </w:r>
          </w:p>
        </w:tc>
        <w:tc>
          <w:tcPr>
            <w:tcW w:w="0" w:type="auto"/>
          </w:tcPr>
          <w:p w14:paraId="1BB982C0" w14:textId="5DBEF821" w:rsidR="00551B3A" w:rsidRPr="000175ED" w:rsidRDefault="00551B3A" w:rsidP="00551B3A">
            <w:pPr>
              <w:pStyle w:val="Tableheading"/>
              <w:rPr>
                <w:rFonts w:cstheme="minorHAnsi"/>
                <w:b w:val="0"/>
                <w:sz w:val="20"/>
                <w:szCs w:val="20"/>
              </w:rPr>
            </w:pPr>
            <w:r w:rsidRPr="00551B3A">
              <w:rPr>
                <w:rFonts w:cstheme="minorHAnsi"/>
                <w:b w:val="0"/>
                <w:sz w:val="20"/>
                <w:szCs w:val="20"/>
              </w:rPr>
              <w:t>180</w:t>
            </w:r>
          </w:p>
        </w:tc>
        <w:tc>
          <w:tcPr>
            <w:tcW w:w="0" w:type="auto"/>
          </w:tcPr>
          <w:p w14:paraId="36D9B061" w14:textId="35AB63BB" w:rsidR="00551B3A" w:rsidRPr="000175ED" w:rsidRDefault="00551B3A" w:rsidP="00551B3A">
            <w:pPr>
              <w:pStyle w:val="Tableheading"/>
              <w:rPr>
                <w:rFonts w:cstheme="minorHAnsi"/>
                <w:b w:val="0"/>
                <w:sz w:val="20"/>
                <w:szCs w:val="20"/>
              </w:rPr>
            </w:pPr>
            <w:r w:rsidRPr="00551B3A">
              <w:rPr>
                <w:rFonts w:cstheme="minorHAnsi"/>
                <w:b w:val="0"/>
                <w:sz w:val="20"/>
                <w:szCs w:val="20"/>
              </w:rPr>
              <w:t>665</w:t>
            </w:r>
          </w:p>
        </w:tc>
        <w:tc>
          <w:tcPr>
            <w:tcW w:w="0" w:type="auto"/>
          </w:tcPr>
          <w:p w14:paraId="58504EA8" w14:textId="501D2BCC" w:rsidR="00551B3A" w:rsidRPr="000175ED" w:rsidRDefault="00551B3A" w:rsidP="00551B3A">
            <w:pPr>
              <w:pStyle w:val="Tableheading"/>
              <w:rPr>
                <w:rFonts w:cstheme="minorHAnsi"/>
                <w:b w:val="0"/>
                <w:sz w:val="20"/>
                <w:szCs w:val="20"/>
              </w:rPr>
            </w:pPr>
            <w:r w:rsidRPr="00551B3A">
              <w:rPr>
                <w:rFonts w:cstheme="minorHAnsi"/>
                <w:b w:val="0"/>
                <w:sz w:val="20"/>
                <w:szCs w:val="20"/>
              </w:rPr>
              <w:t>32</w:t>
            </w:r>
            <w:r>
              <w:rPr>
                <w:rFonts w:cstheme="minorHAnsi"/>
                <w:b w:val="0"/>
                <w:sz w:val="20"/>
                <w:szCs w:val="20"/>
              </w:rPr>
              <w:t>,</w:t>
            </w:r>
            <w:r w:rsidRPr="00551B3A">
              <w:rPr>
                <w:rFonts w:cstheme="minorHAnsi"/>
                <w:b w:val="0"/>
                <w:sz w:val="20"/>
                <w:szCs w:val="20"/>
              </w:rPr>
              <w:t>834</w:t>
            </w:r>
          </w:p>
        </w:tc>
        <w:tc>
          <w:tcPr>
            <w:tcW w:w="0" w:type="auto"/>
          </w:tcPr>
          <w:p w14:paraId="1BE65F92" w14:textId="0AF6AC81" w:rsidR="00551B3A" w:rsidRPr="000175ED" w:rsidRDefault="00551B3A" w:rsidP="00551B3A">
            <w:pPr>
              <w:pStyle w:val="Tableheading"/>
              <w:rPr>
                <w:rFonts w:cstheme="minorHAnsi"/>
                <w:b w:val="0"/>
                <w:sz w:val="20"/>
                <w:szCs w:val="20"/>
              </w:rPr>
            </w:pPr>
            <w:r w:rsidRPr="00551B3A">
              <w:rPr>
                <w:rFonts w:cstheme="minorHAnsi"/>
                <w:b w:val="0"/>
                <w:sz w:val="20"/>
                <w:szCs w:val="20"/>
              </w:rPr>
              <w:t>856.5</w:t>
            </w:r>
          </w:p>
        </w:tc>
        <w:tc>
          <w:tcPr>
            <w:tcW w:w="0" w:type="auto"/>
          </w:tcPr>
          <w:p w14:paraId="6FED2406" w14:textId="433F9328" w:rsidR="00551B3A" w:rsidRPr="000175ED" w:rsidRDefault="00551B3A" w:rsidP="00551B3A">
            <w:pPr>
              <w:pStyle w:val="Tableheading"/>
              <w:rPr>
                <w:rFonts w:cstheme="minorHAnsi"/>
                <w:b w:val="0"/>
                <w:sz w:val="20"/>
                <w:szCs w:val="20"/>
              </w:rPr>
            </w:pPr>
            <w:r w:rsidRPr="00551B3A">
              <w:rPr>
                <w:rFonts w:cstheme="minorHAnsi"/>
                <w:b w:val="0"/>
                <w:sz w:val="20"/>
                <w:szCs w:val="20"/>
              </w:rPr>
              <w:t>180</w:t>
            </w:r>
          </w:p>
        </w:tc>
        <w:tc>
          <w:tcPr>
            <w:tcW w:w="0" w:type="auto"/>
          </w:tcPr>
          <w:p w14:paraId="778BFF06" w14:textId="27AB6338" w:rsidR="00551B3A" w:rsidRPr="00C57575" w:rsidRDefault="00551B3A" w:rsidP="00551B3A">
            <w:pPr>
              <w:pStyle w:val="Tableheading"/>
              <w:rPr>
                <w:rFonts w:cstheme="minorHAnsi"/>
                <w:b w:val="0"/>
                <w:sz w:val="20"/>
                <w:szCs w:val="20"/>
              </w:rPr>
            </w:pPr>
            <w:r w:rsidRPr="00551B3A">
              <w:rPr>
                <w:rFonts w:cstheme="minorHAnsi"/>
                <w:b w:val="0"/>
                <w:sz w:val="20"/>
                <w:szCs w:val="20"/>
              </w:rPr>
              <w:t>843</w:t>
            </w:r>
          </w:p>
        </w:tc>
        <w:tc>
          <w:tcPr>
            <w:tcW w:w="0" w:type="auto"/>
          </w:tcPr>
          <w:p w14:paraId="50C38B54" w14:textId="0A2605A2" w:rsidR="00551B3A" w:rsidRPr="00C57575" w:rsidRDefault="00551B3A" w:rsidP="00551B3A">
            <w:pPr>
              <w:pStyle w:val="Tableheading"/>
              <w:rPr>
                <w:rFonts w:cstheme="minorHAnsi"/>
                <w:b w:val="0"/>
                <w:sz w:val="20"/>
                <w:szCs w:val="20"/>
              </w:rPr>
            </w:pPr>
            <w:r w:rsidRPr="00551B3A">
              <w:rPr>
                <w:rFonts w:cstheme="minorHAnsi"/>
                <w:b w:val="0"/>
                <w:sz w:val="20"/>
                <w:szCs w:val="20"/>
              </w:rPr>
              <w:t>15</w:t>
            </w:r>
            <w:r>
              <w:rPr>
                <w:rFonts w:cstheme="minorHAnsi"/>
                <w:b w:val="0"/>
                <w:sz w:val="20"/>
                <w:szCs w:val="20"/>
              </w:rPr>
              <w:t>,</w:t>
            </w:r>
            <w:r w:rsidRPr="00551B3A">
              <w:rPr>
                <w:rFonts w:cstheme="minorHAnsi"/>
                <w:b w:val="0"/>
                <w:sz w:val="20"/>
                <w:szCs w:val="20"/>
              </w:rPr>
              <w:t>315</w:t>
            </w:r>
          </w:p>
        </w:tc>
      </w:tr>
      <w:tr w:rsidR="003F3897" w:rsidRPr="001D0858" w14:paraId="452009AD" w14:textId="77777777" w:rsidTr="00D069E4">
        <w:trPr>
          <w:trHeight w:val="20"/>
        </w:trPr>
        <w:tc>
          <w:tcPr>
            <w:tcW w:w="0" w:type="auto"/>
            <w:gridSpan w:val="9"/>
            <w:shd w:val="clear" w:color="auto" w:fill="D9D9D9" w:themeFill="background1" w:themeFillShade="D9"/>
          </w:tcPr>
          <w:p w14:paraId="391065D9" w14:textId="77777777" w:rsidR="003F3897" w:rsidRPr="00957354" w:rsidRDefault="003F3897" w:rsidP="00D069E4">
            <w:pPr>
              <w:pStyle w:val="Tableheading"/>
              <w:rPr>
                <w:sz w:val="20"/>
                <w:szCs w:val="20"/>
              </w:rPr>
            </w:pPr>
          </w:p>
        </w:tc>
      </w:tr>
      <w:tr w:rsidR="00051C19" w:rsidRPr="001D0858" w14:paraId="72CDD8D0" w14:textId="77777777" w:rsidTr="00D069E4">
        <w:trPr>
          <w:trHeight w:val="20"/>
        </w:trPr>
        <w:tc>
          <w:tcPr>
            <w:tcW w:w="0" w:type="auto"/>
          </w:tcPr>
          <w:p w14:paraId="79201580" w14:textId="77777777" w:rsidR="00051C19" w:rsidRPr="008F7DCD" w:rsidRDefault="00051C19" w:rsidP="00051C19">
            <w:pPr>
              <w:pStyle w:val="Tableheading"/>
              <w:jc w:val="left"/>
              <w:rPr>
                <w:rFonts w:cstheme="minorHAnsi"/>
                <w:sz w:val="20"/>
                <w:szCs w:val="20"/>
              </w:rPr>
            </w:pPr>
            <w:r w:rsidRPr="00957354">
              <w:rPr>
                <w:rFonts w:cstheme="minorHAnsi"/>
                <w:sz w:val="20"/>
                <w:szCs w:val="20"/>
              </w:rPr>
              <w:t>Alendronate (incl combination products)</w:t>
            </w:r>
          </w:p>
        </w:tc>
        <w:tc>
          <w:tcPr>
            <w:tcW w:w="0" w:type="auto"/>
          </w:tcPr>
          <w:p w14:paraId="5EE5BFAB" w14:textId="6D974FF0" w:rsidR="00051C19" w:rsidRPr="00BC42C7" w:rsidRDefault="00051C19" w:rsidP="00051C19">
            <w:pPr>
              <w:pStyle w:val="Tableheading"/>
              <w:rPr>
                <w:rFonts w:cstheme="minorHAnsi"/>
                <w:b w:val="0"/>
                <w:sz w:val="20"/>
                <w:szCs w:val="20"/>
              </w:rPr>
            </w:pPr>
            <w:r w:rsidRPr="00D276E1">
              <w:rPr>
                <w:rFonts w:cstheme="minorHAnsi"/>
                <w:b w:val="0"/>
                <w:sz w:val="20"/>
                <w:szCs w:val="20"/>
              </w:rPr>
              <w:t>459</w:t>
            </w:r>
            <w:r>
              <w:rPr>
                <w:rFonts w:cstheme="minorHAnsi"/>
                <w:b w:val="0"/>
                <w:sz w:val="20"/>
                <w:szCs w:val="20"/>
              </w:rPr>
              <w:t>.0</w:t>
            </w:r>
          </w:p>
        </w:tc>
        <w:tc>
          <w:tcPr>
            <w:tcW w:w="0" w:type="auto"/>
          </w:tcPr>
          <w:p w14:paraId="2EF6D9D1" w14:textId="54E45AA6" w:rsidR="00051C19" w:rsidRPr="00BC42C7"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4F0EE078" w14:textId="755076E9" w:rsidR="00051C19" w:rsidRPr="00BC42C7" w:rsidRDefault="00051C19" w:rsidP="00051C19">
            <w:pPr>
              <w:pStyle w:val="Tableheading"/>
              <w:rPr>
                <w:rFonts w:cstheme="minorHAnsi"/>
                <w:b w:val="0"/>
                <w:sz w:val="20"/>
                <w:szCs w:val="20"/>
              </w:rPr>
            </w:pPr>
            <w:r w:rsidRPr="00D276E1">
              <w:rPr>
                <w:rFonts w:cstheme="minorHAnsi"/>
                <w:b w:val="0"/>
                <w:sz w:val="20"/>
                <w:szCs w:val="20"/>
              </w:rPr>
              <w:t>255</w:t>
            </w:r>
          </w:p>
        </w:tc>
        <w:tc>
          <w:tcPr>
            <w:tcW w:w="0" w:type="auto"/>
          </w:tcPr>
          <w:p w14:paraId="08C6489E" w14:textId="639E56BE" w:rsidR="00051C19" w:rsidRPr="00BC42C7" w:rsidRDefault="00051C19" w:rsidP="00051C19">
            <w:pPr>
              <w:pStyle w:val="Tableheading"/>
              <w:rPr>
                <w:rFonts w:cstheme="minorHAnsi"/>
                <w:b w:val="0"/>
                <w:sz w:val="20"/>
                <w:szCs w:val="20"/>
              </w:rPr>
            </w:pPr>
            <w:r w:rsidRPr="00051C19">
              <w:rPr>
                <w:rFonts w:cstheme="minorHAnsi"/>
                <w:b w:val="0"/>
                <w:sz w:val="20"/>
                <w:szCs w:val="20"/>
              </w:rPr>
              <w:t>4,375</w:t>
            </w:r>
          </w:p>
        </w:tc>
        <w:tc>
          <w:tcPr>
            <w:tcW w:w="0" w:type="auto"/>
          </w:tcPr>
          <w:p w14:paraId="39DC93E4" w14:textId="6430240A" w:rsidR="00051C19" w:rsidRPr="00BC42C7" w:rsidRDefault="00051C19" w:rsidP="00051C19">
            <w:pPr>
              <w:pStyle w:val="Tableheading"/>
              <w:rPr>
                <w:rFonts w:cstheme="minorHAnsi"/>
                <w:b w:val="0"/>
                <w:sz w:val="20"/>
                <w:szCs w:val="20"/>
              </w:rPr>
            </w:pPr>
            <w:r w:rsidRPr="00D276E1">
              <w:rPr>
                <w:rFonts w:cstheme="minorHAnsi"/>
                <w:b w:val="0"/>
                <w:sz w:val="20"/>
                <w:szCs w:val="20"/>
              </w:rPr>
              <w:t>527.3</w:t>
            </w:r>
          </w:p>
        </w:tc>
        <w:tc>
          <w:tcPr>
            <w:tcW w:w="0" w:type="auto"/>
          </w:tcPr>
          <w:p w14:paraId="5E225809" w14:textId="243B867B" w:rsidR="00051C19" w:rsidRPr="00BC42C7"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669832AD" w14:textId="74D052C7" w:rsidR="00051C19" w:rsidRPr="00A63DC0" w:rsidRDefault="00051C19" w:rsidP="00051C19">
            <w:pPr>
              <w:pStyle w:val="Tableheading"/>
              <w:rPr>
                <w:rFonts w:cstheme="minorHAnsi"/>
                <w:b w:val="0"/>
                <w:sz w:val="20"/>
                <w:szCs w:val="20"/>
              </w:rPr>
            </w:pPr>
            <w:r w:rsidRPr="00D276E1">
              <w:rPr>
                <w:rFonts w:cstheme="minorHAnsi"/>
                <w:b w:val="0"/>
                <w:sz w:val="20"/>
                <w:szCs w:val="20"/>
              </w:rPr>
              <w:t>281</w:t>
            </w:r>
          </w:p>
        </w:tc>
        <w:tc>
          <w:tcPr>
            <w:tcW w:w="0" w:type="auto"/>
          </w:tcPr>
          <w:p w14:paraId="77DCF5C7" w14:textId="77777777" w:rsidR="00051C19" w:rsidRPr="00A63DC0" w:rsidRDefault="00051C19" w:rsidP="00051C19">
            <w:pPr>
              <w:pStyle w:val="Tableheading"/>
              <w:rPr>
                <w:rFonts w:cstheme="minorHAnsi"/>
                <w:b w:val="0"/>
                <w:sz w:val="20"/>
                <w:szCs w:val="20"/>
              </w:rPr>
            </w:pPr>
            <w:r w:rsidRPr="00857F24">
              <w:rPr>
                <w:rFonts w:cstheme="minorHAnsi"/>
                <w:b w:val="0"/>
                <w:sz w:val="20"/>
                <w:szCs w:val="20"/>
              </w:rPr>
              <w:t>2</w:t>
            </w:r>
            <w:r>
              <w:rPr>
                <w:rFonts w:cstheme="minorHAnsi"/>
                <w:b w:val="0"/>
                <w:sz w:val="20"/>
                <w:szCs w:val="20"/>
              </w:rPr>
              <w:t>,</w:t>
            </w:r>
            <w:r w:rsidRPr="00857F24">
              <w:rPr>
                <w:rFonts w:cstheme="minorHAnsi"/>
                <w:b w:val="0"/>
                <w:sz w:val="20"/>
                <w:szCs w:val="20"/>
              </w:rPr>
              <w:t>515</w:t>
            </w:r>
          </w:p>
        </w:tc>
      </w:tr>
      <w:tr w:rsidR="00051C19" w:rsidRPr="001D0858" w14:paraId="253771E9" w14:textId="77777777" w:rsidTr="00D069E4">
        <w:trPr>
          <w:trHeight w:val="20"/>
        </w:trPr>
        <w:tc>
          <w:tcPr>
            <w:tcW w:w="0" w:type="auto"/>
          </w:tcPr>
          <w:p w14:paraId="5E0397C6" w14:textId="77777777" w:rsidR="00051C19" w:rsidRPr="008F7DCD" w:rsidRDefault="00051C19" w:rsidP="00051C19">
            <w:pPr>
              <w:pStyle w:val="Tableheading"/>
              <w:jc w:val="left"/>
              <w:rPr>
                <w:rFonts w:cstheme="minorHAnsi"/>
                <w:sz w:val="20"/>
                <w:szCs w:val="20"/>
              </w:rPr>
            </w:pPr>
            <w:r w:rsidRPr="00957354">
              <w:rPr>
                <w:rFonts w:cstheme="minorHAnsi"/>
                <w:sz w:val="20"/>
                <w:szCs w:val="20"/>
              </w:rPr>
              <w:t>Calcitriol</w:t>
            </w:r>
          </w:p>
        </w:tc>
        <w:tc>
          <w:tcPr>
            <w:tcW w:w="0" w:type="auto"/>
          </w:tcPr>
          <w:p w14:paraId="4AE27CA4" w14:textId="268A93EC" w:rsidR="00051C19" w:rsidRPr="00BC42C7" w:rsidRDefault="00051C19" w:rsidP="00051C19">
            <w:pPr>
              <w:pStyle w:val="Tableheading"/>
              <w:rPr>
                <w:rFonts w:cstheme="minorHAnsi"/>
                <w:b w:val="0"/>
                <w:sz w:val="20"/>
                <w:szCs w:val="20"/>
              </w:rPr>
            </w:pPr>
            <w:r w:rsidRPr="00D276E1">
              <w:rPr>
                <w:rFonts w:cstheme="minorHAnsi"/>
                <w:b w:val="0"/>
                <w:sz w:val="20"/>
                <w:szCs w:val="20"/>
              </w:rPr>
              <w:t>360.2</w:t>
            </w:r>
          </w:p>
        </w:tc>
        <w:tc>
          <w:tcPr>
            <w:tcW w:w="0" w:type="auto"/>
          </w:tcPr>
          <w:p w14:paraId="6DD48720" w14:textId="5EE68473" w:rsidR="00051C19" w:rsidRPr="00BC42C7" w:rsidRDefault="00051C19" w:rsidP="00051C19">
            <w:pPr>
              <w:pStyle w:val="Tableheading"/>
              <w:rPr>
                <w:rFonts w:cstheme="minorHAnsi"/>
                <w:b w:val="0"/>
                <w:sz w:val="20"/>
                <w:szCs w:val="20"/>
              </w:rPr>
            </w:pPr>
            <w:r w:rsidRPr="00D276E1">
              <w:rPr>
                <w:rFonts w:cstheme="minorHAnsi"/>
                <w:b w:val="0"/>
                <w:sz w:val="20"/>
                <w:szCs w:val="20"/>
              </w:rPr>
              <w:t>50</w:t>
            </w:r>
          </w:p>
        </w:tc>
        <w:tc>
          <w:tcPr>
            <w:tcW w:w="0" w:type="auto"/>
          </w:tcPr>
          <w:p w14:paraId="0D50D7E1" w14:textId="1AD2A1E0" w:rsidR="00051C19" w:rsidRPr="00BC42C7" w:rsidRDefault="00051C19" w:rsidP="00051C19">
            <w:pPr>
              <w:pStyle w:val="Tableheading"/>
              <w:rPr>
                <w:rFonts w:cstheme="minorHAnsi"/>
                <w:b w:val="0"/>
                <w:sz w:val="20"/>
                <w:szCs w:val="20"/>
              </w:rPr>
            </w:pPr>
            <w:r w:rsidRPr="00D276E1">
              <w:rPr>
                <w:rFonts w:cstheme="minorHAnsi"/>
                <w:b w:val="0"/>
                <w:sz w:val="20"/>
                <w:szCs w:val="20"/>
              </w:rPr>
              <w:t>225</w:t>
            </w:r>
          </w:p>
        </w:tc>
        <w:tc>
          <w:tcPr>
            <w:tcW w:w="0" w:type="auto"/>
          </w:tcPr>
          <w:p w14:paraId="717692F3" w14:textId="4C72A2B2" w:rsidR="00051C19" w:rsidRPr="00BC42C7" w:rsidRDefault="00051C19" w:rsidP="00051C19">
            <w:pPr>
              <w:pStyle w:val="Tableheading"/>
              <w:rPr>
                <w:rFonts w:cstheme="minorHAnsi"/>
                <w:b w:val="0"/>
                <w:sz w:val="20"/>
                <w:szCs w:val="20"/>
              </w:rPr>
            </w:pPr>
            <w:r w:rsidRPr="00051C19">
              <w:rPr>
                <w:rFonts w:cstheme="minorHAnsi"/>
                <w:b w:val="0"/>
                <w:sz w:val="20"/>
                <w:szCs w:val="20"/>
              </w:rPr>
              <w:t>2,257</w:t>
            </w:r>
          </w:p>
        </w:tc>
        <w:tc>
          <w:tcPr>
            <w:tcW w:w="0" w:type="auto"/>
          </w:tcPr>
          <w:p w14:paraId="6CF067AA" w14:textId="04624394" w:rsidR="00051C19" w:rsidRPr="00BC42C7" w:rsidRDefault="00051C19" w:rsidP="00051C19">
            <w:pPr>
              <w:pStyle w:val="Tableheading"/>
              <w:rPr>
                <w:rFonts w:cstheme="minorHAnsi"/>
                <w:b w:val="0"/>
                <w:sz w:val="20"/>
                <w:szCs w:val="20"/>
              </w:rPr>
            </w:pPr>
            <w:r w:rsidRPr="00D276E1">
              <w:rPr>
                <w:rFonts w:cstheme="minorHAnsi"/>
                <w:b w:val="0"/>
                <w:sz w:val="20"/>
                <w:szCs w:val="20"/>
              </w:rPr>
              <w:t>432.6</w:t>
            </w:r>
          </w:p>
        </w:tc>
        <w:tc>
          <w:tcPr>
            <w:tcW w:w="0" w:type="auto"/>
          </w:tcPr>
          <w:p w14:paraId="5DC5DA78" w14:textId="1D80774D" w:rsidR="00051C19" w:rsidRPr="00BC42C7" w:rsidRDefault="00051C19" w:rsidP="00051C19">
            <w:pPr>
              <w:pStyle w:val="Tableheading"/>
              <w:rPr>
                <w:rFonts w:cstheme="minorHAnsi"/>
                <w:b w:val="0"/>
                <w:sz w:val="20"/>
                <w:szCs w:val="20"/>
              </w:rPr>
            </w:pPr>
            <w:r w:rsidRPr="00D276E1">
              <w:rPr>
                <w:rFonts w:cstheme="minorHAnsi"/>
                <w:b w:val="0"/>
                <w:sz w:val="20"/>
                <w:szCs w:val="20"/>
              </w:rPr>
              <w:t>50</w:t>
            </w:r>
          </w:p>
        </w:tc>
        <w:tc>
          <w:tcPr>
            <w:tcW w:w="0" w:type="auto"/>
          </w:tcPr>
          <w:p w14:paraId="0A5B1539" w14:textId="59F43FF2" w:rsidR="00051C19" w:rsidRPr="00A63DC0" w:rsidRDefault="00051C19" w:rsidP="00051C19">
            <w:pPr>
              <w:pStyle w:val="Tableheading"/>
              <w:rPr>
                <w:rFonts w:cstheme="minorHAnsi"/>
                <w:b w:val="0"/>
                <w:sz w:val="20"/>
                <w:szCs w:val="20"/>
              </w:rPr>
            </w:pPr>
            <w:r w:rsidRPr="00D276E1">
              <w:rPr>
                <w:rFonts w:cstheme="minorHAnsi"/>
                <w:b w:val="0"/>
                <w:sz w:val="20"/>
                <w:szCs w:val="20"/>
              </w:rPr>
              <w:t>272</w:t>
            </w:r>
          </w:p>
        </w:tc>
        <w:tc>
          <w:tcPr>
            <w:tcW w:w="0" w:type="auto"/>
          </w:tcPr>
          <w:p w14:paraId="6349E733" w14:textId="77777777" w:rsidR="00051C19" w:rsidRPr="00A63DC0" w:rsidRDefault="00051C19" w:rsidP="00051C19">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159</w:t>
            </w:r>
          </w:p>
        </w:tc>
      </w:tr>
      <w:tr w:rsidR="00051C19" w:rsidRPr="001D0858" w14:paraId="700F5F17" w14:textId="77777777" w:rsidTr="00D069E4">
        <w:trPr>
          <w:trHeight w:val="20"/>
        </w:trPr>
        <w:tc>
          <w:tcPr>
            <w:tcW w:w="0" w:type="auto"/>
          </w:tcPr>
          <w:p w14:paraId="5B19BE13"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Denosumab</w:t>
            </w:r>
          </w:p>
        </w:tc>
        <w:tc>
          <w:tcPr>
            <w:tcW w:w="0" w:type="auto"/>
          </w:tcPr>
          <w:p w14:paraId="059DD538" w14:textId="09402F23" w:rsidR="00051C19" w:rsidRPr="000F2789" w:rsidRDefault="00051C19" w:rsidP="00051C19">
            <w:pPr>
              <w:pStyle w:val="Tableheading"/>
              <w:rPr>
                <w:rFonts w:cstheme="minorHAnsi"/>
                <w:b w:val="0"/>
                <w:sz w:val="20"/>
                <w:szCs w:val="20"/>
              </w:rPr>
            </w:pPr>
            <w:r w:rsidRPr="00D276E1">
              <w:rPr>
                <w:rFonts w:cstheme="minorHAnsi"/>
                <w:b w:val="0"/>
                <w:sz w:val="20"/>
                <w:szCs w:val="20"/>
              </w:rPr>
              <w:t>858.3</w:t>
            </w:r>
          </w:p>
        </w:tc>
        <w:tc>
          <w:tcPr>
            <w:tcW w:w="0" w:type="auto"/>
          </w:tcPr>
          <w:p w14:paraId="1309718E" w14:textId="520755B0" w:rsidR="00051C19" w:rsidRPr="000F2789" w:rsidRDefault="00051C19" w:rsidP="00051C19">
            <w:pPr>
              <w:pStyle w:val="Tableheading"/>
              <w:rPr>
                <w:rFonts w:cstheme="minorHAnsi"/>
                <w:b w:val="0"/>
                <w:sz w:val="20"/>
                <w:szCs w:val="20"/>
              </w:rPr>
            </w:pPr>
            <w:r w:rsidRPr="00D276E1">
              <w:rPr>
                <w:rFonts w:cstheme="minorHAnsi"/>
                <w:b w:val="0"/>
                <w:sz w:val="20"/>
                <w:szCs w:val="20"/>
              </w:rPr>
              <w:t>180</w:t>
            </w:r>
          </w:p>
        </w:tc>
        <w:tc>
          <w:tcPr>
            <w:tcW w:w="0" w:type="auto"/>
          </w:tcPr>
          <w:p w14:paraId="6C560E81" w14:textId="077A14EF" w:rsidR="00051C19" w:rsidRPr="000F2789" w:rsidRDefault="00051C19" w:rsidP="00051C19">
            <w:pPr>
              <w:pStyle w:val="Tableheading"/>
              <w:rPr>
                <w:rFonts w:cstheme="minorHAnsi"/>
                <w:b w:val="0"/>
                <w:sz w:val="20"/>
                <w:szCs w:val="20"/>
              </w:rPr>
            </w:pPr>
            <w:r w:rsidRPr="00D276E1">
              <w:rPr>
                <w:rFonts w:cstheme="minorHAnsi"/>
                <w:b w:val="0"/>
                <w:sz w:val="20"/>
                <w:szCs w:val="20"/>
              </w:rPr>
              <w:t>803</w:t>
            </w:r>
          </w:p>
        </w:tc>
        <w:tc>
          <w:tcPr>
            <w:tcW w:w="0" w:type="auto"/>
          </w:tcPr>
          <w:p w14:paraId="3C77545D" w14:textId="64D8612D" w:rsidR="00051C19" w:rsidRPr="000F2789" w:rsidRDefault="00051C19" w:rsidP="00051C19">
            <w:pPr>
              <w:pStyle w:val="Tableheading"/>
              <w:rPr>
                <w:rFonts w:cstheme="minorHAnsi"/>
                <w:b w:val="0"/>
                <w:sz w:val="20"/>
                <w:szCs w:val="20"/>
              </w:rPr>
            </w:pPr>
            <w:r w:rsidRPr="00051C19">
              <w:rPr>
                <w:rFonts w:cstheme="minorHAnsi"/>
                <w:b w:val="0"/>
                <w:sz w:val="20"/>
                <w:szCs w:val="20"/>
              </w:rPr>
              <w:t>21,197</w:t>
            </w:r>
          </w:p>
        </w:tc>
        <w:tc>
          <w:tcPr>
            <w:tcW w:w="0" w:type="auto"/>
          </w:tcPr>
          <w:p w14:paraId="48EC4408" w14:textId="39A648A6" w:rsidR="00051C19" w:rsidRPr="000F2789" w:rsidRDefault="00051C19" w:rsidP="00051C19">
            <w:pPr>
              <w:pStyle w:val="Tableheading"/>
              <w:rPr>
                <w:rFonts w:cstheme="minorHAnsi"/>
                <w:b w:val="0"/>
                <w:sz w:val="20"/>
                <w:szCs w:val="20"/>
              </w:rPr>
            </w:pPr>
            <w:r w:rsidRPr="00D276E1">
              <w:rPr>
                <w:rFonts w:cstheme="minorHAnsi"/>
                <w:b w:val="0"/>
                <w:sz w:val="20"/>
                <w:szCs w:val="20"/>
              </w:rPr>
              <w:t>1121.4</w:t>
            </w:r>
          </w:p>
        </w:tc>
        <w:tc>
          <w:tcPr>
            <w:tcW w:w="0" w:type="auto"/>
          </w:tcPr>
          <w:p w14:paraId="2AFAD55A" w14:textId="502AB656" w:rsidR="00051C19" w:rsidRPr="000F2789" w:rsidRDefault="00051C19" w:rsidP="00051C19">
            <w:pPr>
              <w:pStyle w:val="Tableheading"/>
              <w:rPr>
                <w:rFonts w:cstheme="minorHAnsi"/>
                <w:b w:val="0"/>
                <w:sz w:val="20"/>
                <w:szCs w:val="20"/>
              </w:rPr>
            </w:pPr>
            <w:r w:rsidRPr="00D276E1">
              <w:rPr>
                <w:rFonts w:cstheme="minorHAnsi"/>
                <w:b w:val="0"/>
                <w:sz w:val="20"/>
                <w:szCs w:val="20"/>
              </w:rPr>
              <w:t>180</w:t>
            </w:r>
          </w:p>
        </w:tc>
        <w:tc>
          <w:tcPr>
            <w:tcW w:w="0" w:type="auto"/>
          </w:tcPr>
          <w:p w14:paraId="73D7AD7E" w14:textId="0B586F8B" w:rsidR="00051C19" w:rsidRPr="00A63DC0" w:rsidRDefault="00051C19" w:rsidP="00051C19">
            <w:pPr>
              <w:pStyle w:val="Tableheading"/>
              <w:rPr>
                <w:rFonts w:cstheme="minorHAnsi"/>
                <w:b w:val="0"/>
                <w:sz w:val="20"/>
                <w:szCs w:val="20"/>
              </w:rPr>
            </w:pPr>
            <w:r w:rsidRPr="00D276E1">
              <w:rPr>
                <w:rFonts w:cstheme="minorHAnsi"/>
                <w:b w:val="0"/>
                <w:sz w:val="20"/>
                <w:szCs w:val="20"/>
              </w:rPr>
              <w:t>1286</w:t>
            </w:r>
          </w:p>
        </w:tc>
        <w:tc>
          <w:tcPr>
            <w:tcW w:w="0" w:type="auto"/>
          </w:tcPr>
          <w:p w14:paraId="3427A5C6" w14:textId="77777777" w:rsidR="00051C19" w:rsidRPr="00A63DC0" w:rsidRDefault="00051C19" w:rsidP="00051C19">
            <w:pPr>
              <w:pStyle w:val="Tableheading"/>
              <w:rPr>
                <w:rFonts w:cstheme="minorHAnsi"/>
                <w:b w:val="0"/>
                <w:sz w:val="20"/>
                <w:szCs w:val="20"/>
              </w:rPr>
            </w:pPr>
            <w:r w:rsidRPr="00857F24">
              <w:rPr>
                <w:rFonts w:cstheme="minorHAnsi"/>
                <w:b w:val="0"/>
                <w:sz w:val="20"/>
                <w:szCs w:val="20"/>
              </w:rPr>
              <w:t>8</w:t>
            </w:r>
            <w:r>
              <w:rPr>
                <w:rFonts w:cstheme="minorHAnsi"/>
                <w:b w:val="0"/>
                <w:sz w:val="20"/>
                <w:szCs w:val="20"/>
              </w:rPr>
              <w:t>,</w:t>
            </w:r>
            <w:r w:rsidRPr="00857F24">
              <w:rPr>
                <w:rFonts w:cstheme="minorHAnsi"/>
                <w:b w:val="0"/>
                <w:sz w:val="20"/>
                <w:szCs w:val="20"/>
              </w:rPr>
              <w:t>573</w:t>
            </w:r>
          </w:p>
        </w:tc>
      </w:tr>
      <w:tr w:rsidR="00051C19" w:rsidRPr="001D0858" w14:paraId="0294C23A" w14:textId="77777777" w:rsidTr="00D069E4">
        <w:trPr>
          <w:trHeight w:val="20"/>
        </w:trPr>
        <w:tc>
          <w:tcPr>
            <w:tcW w:w="0" w:type="auto"/>
          </w:tcPr>
          <w:p w14:paraId="18BFDE1C"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Raloxifene</w:t>
            </w:r>
          </w:p>
        </w:tc>
        <w:tc>
          <w:tcPr>
            <w:tcW w:w="0" w:type="auto"/>
          </w:tcPr>
          <w:p w14:paraId="13B88941" w14:textId="1BB17ADA" w:rsidR="00051C19" w:rsidRPr="000F2789" w:rsidRDefault="00051C19" w:rsidP="00051C19">
            <w:pPr>
              <w:pStyle w:val="Tableheading"/>
              <w:rPr>
                <w:rFonts w:cstheme="minorHAnsi"/>
                <w:b w:val="0"/>
                <w:sz w:val="20"/>
                <w:szCs w:val="20"/>
              </w:rPr>
            </w:pPr>
            <w:r w:rsidRPr="00D276E1">
              <w:rPr>
                <w:rFonts w:cstheme="minorHAnsi"/>
                <w:b w:val="0"/>
                <w:sz w:val="20"/>
                <w:szCs w:val="20"/>
              </w:rPr>
              <w:t>492.4</w:t>
            </w:r>
          </w:p>
        </w:tc>
        <w:tc>
          <w:tcPr>
            <w:tcW w:w="0" w:type="auto"/>
          </w:tcPr>
          <w:p w14:paraId="2976351E" w14:textId="05F45AA3"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36E083B6" w14:textId="34B36D54" w:rsidR="00051C19" w:rsidRPr="000F2789" w:rsidRDefault="00051C19" w:rsidP="00051C19">
            <w:pPr>
              <w:pStyle w:val="Tableheading"/>
              <w:rPr>
                <w:rFonts w:cstheme="minorHAnsi"/>
                <w:b w:val="0"/>
                <w:sz w:val="20"/>
                <w:szCs w:val="20"/>
              </w:rPr>
            </w:pPr>
            <w:r w:rsidRPr="00D276E1">
              <w:rPr>
                <w:rFonts w:cstheme="minorHAnsi"/>
                <w:b w:val="0"/>
                <w:sz w:val="20"/>
                <w:szCs w:val="20"/>
              </w:rPr>
              <w:t>248</w:t>
            </w:r>
          </w:p>
        </w:tc>
        <w:tc>
          <w:tcPr>
            <w:tcW w:w="0" w:type="auto"/>
          </w:tcPr>
          <w:p w14:paraId="5E299F5A" w14:textId="5C14E55F" w:rsidR="00051C19" w:rsidRPr="000F2789" w:rsidRDefault="00051C19" w:rsidP="00051C19">
            <w:pPr>
              <w:pStyle w:val="Tableheading"/>
              <w:rPr>
                <w:rFonts w:cstheme="minorHAnsi"/>
                <w:b w:val="0"/>
                <w:sz w:val="20"/>
                <w:szCs w:val="20"/>
              </w:rPr>
            </w:pPr>
            <w:r w:rsidRPr="00051C19">
              <w:rPr>
                <w:rFonts w:cstheme="minorHAnsi"/>
                <w:b w:val="0"/>
                <w:sz w:val="20"/>
                <w:szCs w:val="20"/>
              </w:rPr>
              <w:t>241</w:t>
            </w:r>
          </w:p>
        </w:tc>
        <w:tc>
          <w:tcPr>
            <w:tcW w:w="0" w:type="auto"/>
          </w:tcPr>
          <w:p w14:paraId="7DD32F69" w14:textId="74450EB2" w:rsidR="00051C19" w:rsidRPr="000F2789" w:rsidRDefault="00051C19" w:rsidP="00051C19">
            <w:pPr>
              <w:pStyle w:val="Tableheading"/>
              <w:rPr>
                <w:rFonts w:cstheme="minorHAnsi"/>
                <w:b w:val="0"/>
                <w:sz w:val="20"/>
                <w:szCs w:val="20"/>
              </w:rPr>
            </w:pPr>
            <w:r w:rsidRPr="00D276E1">
              <w:rPr>
                <w:rFonts w:cstheme="minorHAnsi"/>
                <w:b w:val="0"/>
                <w:sz w:val="20"/>
                <w:szCs w:val="20"/>
              </w:rPr>
              <w:t>542</w:t>
            </w:r>
          </w:p>
        </w:tc>
        <w:tc>
          <w:tcPr>
            <w:tcW w:w="0" w:type="auto"/>
          </w:tcPr>
          <w:p w14:paraId="29CEC8AE" w14:textId="10AB330F"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7CF586A9" w14:textId="2F5FED7D" w:rsidR="00051C19" w:rsidRDefault="00051C19" w:rsidP="00051C19">
            <w:pPr>
              <w:pStyle w:val="Tableheading"/>
              <w:rPr>
                <w:rFonts w:cstheme="minorHAnsi"/>
                <w:b w:val="0"/>
                <w:sz w:val="20"/>
                <w:szCs w:val="20"/>
              </w:rPr>
            </w:pPr>
            <w:r w:rsidRPr="00D276E1">
              <w:rPr>
                <w:rFonts w:cstheme="minorHAnsi"/>
                <w:b w:val="0"/>
                <w:sz w:val="20"/>
                <w:szCs w:val="20"/>
              </w:rPr>
              <w:t>285.5</w:t>
            </w:r>
          </w:p>
        </w:tc>
        <w:tc>
          <w:tcPr>
            <w:tcW w:w="0" w:type="auto"/>
          </w:tcPr>
          <w:p w14:paraId="723BFE39" w14:textId="77777777" w:rsidR="00051C19" w:rsidRDefault="00051C19" w:rsidP="00051C19">
            <w:pPr>
              <w:pStyle w:val="Tableheading"/>
              <w:rPr>
                <w:rFonts w:cstheme="minorHAnsi"/>
                <w:b w:val="0"/>
                <w:sz w:val="20"/>
                <w:szCs w:val="20"/>
              </w:rPr>
            </w:pPr>
            <w:r w:rsidRPr="00857F24">
              <w:rPr>
                <w:rFonts w:cstheme="minorHAnsi"/>
                <w:b w:val="0"/>
                <w:sz w:val="20"/>
                <w:szCs w:val="20"/>
              </w:rPr>
              <w:t>152</w:t>
            </w:r>
          </w:p>
        </w:tc>
      </w:tr>
      <w:tr w:rsidR="00051C19" w:rsidRPr="001D0858" w14:paraId="78EBDACD" w14:textId="77777777" w:rsidTr="00D069E4">
        <w:trPr>
          <w:trHeight w:val="20"/>
        </w:trPr>
        <w:tc>
          <w:tcPr>
            <w:tcW w:w="0" w:type="auto"/>
          </w:tcPr>
          <w:p w14:paraId="1FEBE5BE"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Risedronate (incl combination products)</w:t>
            </w:r>
          </w:p>
        </w:tc>
        <w:tc>
          <w:tcPr>
            <w:tcW w:w="0" w:type="auto"/>
          </w:tcPr>
          <w:p w14:paraId="37D9661E" w14:textId="63840283" w:rsidR="00051C19" w:rsidRPr="000F2789" w:rsidRDefault="00051C19" w:rsidP="00051C19">
            <w:pPr>
              <w:pStyle w:val="Tableheading"/>
              <w:rPr>
                <w:rFonts w:cstheme="minorHAnsi"/>
                <w:b w:val="0"/>
                <w:sz w:val="20"/>
                <w:szCs w:val="20"/>
              </w:rPr>
            </w:pPr>
            <w:r w:rsidRPr="00D276E1">
              <w:rPr>
                <w:rFonts w:cstheme="minorHAnsi"/>
                <w:b w:val="0"/>
                <w:sz w:val="20"/>
                <w:szCs w:val="20"/>
              </w:rPr>
              <w:t>448.6</w:t>
            </w:r>
          </w:p>
        </w:tc>
        <w:tc>
          <w:tcPr>
            <w:tcW w:w="0" w:type="auto"/>
          </w:tcPr>
          <w:p w14:paraId="2A2F714E" w14:textId="5FD27D0B"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791A8018" w14:textId="7E05D252" w:rsidR="00051C19" w:rsidRPr="000F2789" w:rsidRDefault="00051C19" w:rsidP="00051C19">
            <w:pPr>
              <w:pStyle w:val="Tableheading"/>
              <w:rPr>
                <w:rFonts w:cstheme="minorHAnsi"/>
                <w:b w:val="0"/>
                <w:sz w:val="20"/>
                <w:szCs w:val="20"/>
              </w:rPr>
            </w:pPr>
            <w:r w:rsidRPr="00D276E1">
              <w:rPr>
                <w:rFonts w:cstheme="minorHAnsi"/>
                <w:b w:val="0"/>
                <w:sz w:val="20"/>
                <w:szCs w:val="20"/>
              </w:rPr>
              <w:t>253</w:t>
            </w:r>
          </w:p>
        </w:tc>
        <w:tc>
          <w:tcPr>
            <w:tcW w:w="0" w:type="auto"/>
          </w:tcPr>
          <w:p w14:paraId="08B112DB" w14:textId="28B0482D" w:rsidR="00051C19" w:rsidRPr="000F2789" w:rsidRDefault="00051C19" w:rsidP="00051C19">
            <w:pPr>
              <w:pStyle w:val="Tableheading"/>
              <w:rPr>
                <w:rFonts w:cstheme="minorHAnsi"/>
                <w:b w:val="0"/>
                <w:sz w:val="20"/>
                <w:szCs w:val="20"/>
              </w:rPr>
            </w:pPr>
            <w:r w:rsidRPr="00051C19">
              <w:rPr>
                <w:rFonts w:cstheme="minorHAnsi"/>
                <w:b w:val="0"/>
                <w:sz w:val="20"/>
                <w:szCs w:val="20"/>
              </w:rPr>
              <w:t>2,713</w:t>
            </w:r>
          </w:p>
        </w:tc>
        <w:tc>
          <w:tcPr>
            <w:tcW w:w="0" w:type="auto"/>
          </w:tcPr>
          <w:p w14:paraId="0C2D1209" w14:textId="789F30F8" w:rsidR="00051C19" w:rsidRPr="000F2789" w:rsidRDefault="00051C19" w:rsidP="00051C19">
            <w:pPr>
              <w:pStyle w:val="Tableheading"/>
              <w:rPr>
                <w:rFonts w:cstheme="minorHAnsi"/>
                <w:b w:val="0"/>
                <w:sz w:val="20"/>
                <w:szCs w:val="20"/>
              </w:rPr>
            </w:pPr>
            <w:r w:rsidRPr="00D276E1">
              <w:rPr>
                <w:rFonts w:cstheme="minorHAnsi"/>
                <w:b w:val="0"/>
                <w:sz w:val="20"/>
                <w:szCs w:val="20"/>
              </w:rPr>
              <w:t>521.2</w:t>
            </w:r>
          </w:p>
        </w:tc>
        <w:tc>
          <w:tcPr>
            <w:tcW w:w="0" w:type="auto"/>
          </w:tcPr>
          <w:p w14:paraId="381998C5" w14:textId="77736487"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49068B91" w14:textId="7897F564" w:rsidR="00051C19" w:rsidRPr="00A63DC0" w:rsidRDefault="00051C19" w:rsidP="00051C19">
            <w:pPr>
              <w:pStyle w:val="Tableheading"/>
              <w:rPr>
                <w:rFonts w:cstheme="minorHAnsi"/>
                <w:b w:val="0"/>
                <w:sz w:val="20"/>
                <w:szCs w:val="20"/>
              </w:rPr>
            </w:pPr>
            <w:r w:rsidRPr="00D276E1">
              <w:rPr>
                <w:rFonts w:cstheme="minorHAnsi"/>
                <w:b w:val="0"/>
                <w:sz w:val="20"/>
                <w:szCs w:val="20"/>
              </w:rPr>
              <w:t>280</w:t>
            </w:r>
          </w:p>
        </w:tc>
        <w:tc>
          <w:tcPr>
            <w:tcW w:w="0" w:type="auto"/>
          </w:tcPr>
          <w:p w14:paraId="1B2516E4" w14:textId="77777777" w:rsidR="00051C19" w:rsidRPr="00A63DC0" w:rsidRDefault="00051C19" w:rsidP="00051C19">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498</w:t>
            </w:r>
          </w:p>
        </w:tc>
      </w:tr>
      <w:tr w:rsidR="00051C19" w:rsidRPr="001D0858" w14:paraId="50EBCB35" w14:textId="77777777" w:rsidTr="00D069E4">
        <w:trPr>
          <w:trHeight w:val="20"/>
        </w:trPr>
        <w:tc>
          <w:tcPr>
            <w:tcW w:w="0" w:type="auto"/>
          </w:tcPr>
          <w:p w14:paraId="0B35F099"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Strontium ranelate (delisted August 2016)</w:t>
            </w:r>
          </w:p>
        </w:tc>
        <w:tc>
          <w:tcPr>
            <w:tcW w:w="0" w:type="auto"/>
          </w:tcPr>
          <w:p w14:paraId="2F5BD674" w14:textId="21AEBF32" w:rsidR="00051C19" w:rsidRPr="000F2789" w:rsidRDefault="00051C19" w:rsidP="00051C19">
            <w:pPr>
              <w:pStyle w:val="Tableheading"/>
              <w:rPr>
                <w:rFonts w:cstheme="minorHAnsi"/>
                <w:b w:val="0"/>
                <w:sz w:val="20"/>
                <w:szCs w:val="20"/>
              </w:rPr>
            </w:pPr>
            <w:r w:rsidRPr="00D276E1">
              <w:rPr>
                <w:rFonts w:cstheme="minorHAnsi"/>
                <w:b w:val="0"/>
                <w:sz w:val="20"/>
                <w:szCs w:val="20"/>
              </w:rPr>
              <w:t>150.8</w:t>
            </w:r>
          </w:p>
        </w:tc>
        <w:tc>
          <w:tcPr>
            <w:tcW w:w="0" w:type="auto"/>
          </w:tcPr>
          <w:p w14:paraId="713EF4CF" w14:textId="6700C8DC"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17428CC8" w14:textId="76EE3369" w:rsidR="00051C19" w:rsidRPr="000F2789" w:rsidRDefault="00051C19" w:rsidP="00051C19">
            <w:pPr>
              <w:pStyle w:val="Tableheading"/>
              <w:rPr>
                <w:rFonts w:cstheme="minorHAnsi"/>
                <w:b w:val="0"/>
                <w:sz w:val="20"/>
                <w:szCs w:val="20"/>
              </w:rPr>
            </w:pPr>
            <w:r w:rsidRPr="00D276E1">
              <w:rPr>
                <w:rFonts w:cstheme="minorHAnsi"/>
                <w:b w:val="0"/>
                <w:sz w:val="20"/>
                <w:szCs w:val="20"/>
              </w:rPr>
              <w:t>68</w:t>
            </w:r>
          </w:p>
        </w:tc>
        <w:tc>
          <w:tcPr>
            <w:tcW w:w="0" w:type="auto"/>
          </w:tcPr>
          <w:p w14:paraId="6F1F9791" w14:textId="0DCDB7F3" w:rsidR="00051C19" w:rsidRPr="000F2789" w:rsidRDefault="00051C19" w:rsidP="00051C19">
            <w:pPr>
              <w:pStyle w:val="Tableheading"/>
              <w:rPr>
                <w:rFonts w:cstheme="minorHAnsi"/>
                <w:b w:val="0"/>
                <w:sz w:val="20"/>
                <w:szCs w:val="20"/>
              </w:rPr>
            </w:pPr>
            <w:r w:rsidRPr="00051C19">
              <w:rPr>
                <w:rFonts w:cstheme="minorHAnsi"/>
                <w:b w:val="0"/>
                <w:sz w:val="20"/>
                <w:szCs w:val="20"/>
              </w:rPr>
              <w:t>309</w:t>
            </w:r>
          </w:p>
        </w:tc>
        <w:tc>
          <w:tcPr>
            <w:tcW w:w="0" w:type="auto"/>
          </w:tcPr>
          <w:p w14:paraId="2A067762" w14:textId="43FE5216" w:rsidR="00051C19" w:rsidRPr="000F2789" w:rsidRDefault="00051C19" w:rsidP="00051C19">
            <w:pPr>
              <w:pStyle w:val="Tableheading"/>
              <w:rPr>
                <w:rFonts w:cstheme="minorHAnsi"/>
                <w:b w:val="0"/>
                <w:sz w:val="20"/>
                <w:szCs w:val="20"/>
              </w:rPr>
            </w:pPr>
            <w:r w:rsidRPr="00D276E1">
              <w:rPr>
                <w:rFonts w:cstheme="minorHAnsi"/>
                <w:b w:val="0"/>
                <w:sz w:val="20"/>
                <w:szCs w:val="20"/>
              </w:rPr>
              <w:t>154.5</w:t>
            </w:r>
          </w:p>
        </w:tc>
        <w:tc>
          <w:tcPr>
            <w:tcW w:w="0" w:type="auto"/>
          </w:tcPr>
          <w:p w14:paraId="551EBF0B" w14:textId="25EC30A5"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1793FE09" w14:textId="7C1B5FA9" w:rsidR="00051C19" w:rsidRDefault="00051C19" w:rsidP="00051C19">
            <w:pPr>
              <w:pStyle w:val="Tableheading"/>
              <w:rPr>
                <w:rFonts w:cstheme="minorHAnsi"/>
                <w:b w:val="0"/>
                <w:sz w:val="20"/>
                <w:szCs w:val="20"/>
              </w:rPr>
            </w:pPr>
            <w:r w:rsidRPr="00D276E1">
              <w:rPr>
                <w:rFonts w:cstheme="minorHAnsi"/>
                <w:b w:val="0"/>
                <w:sz w:val="20"/>
                <w:szCs w:val="20"/>
              </w:rPr>
              <w:t>69</w:t>
            </w:r>
          </w:p>
        </w:tc>
        <w:tc>
          <w:tcPr>
            <w:tcW w:w="0" w:type="auto"/>
          </w:tcPr>
          <w:p w14:paraId="23856E79" w14:textId="77777777" w:rsidR="00051C19" w:rsidRDefault="00051C19" w:rsidP="00051C19">
            <w:pPr>
              <w:pStyle w:val="Tableheading"/>
              <w:rPr>
                <w:rFonts w:cstheme="minorHAnsi"/>
                <w:b w:val="0"/>
                <w:sz w:val="20"/>
                <w:szCs w:val="20"/>
              </w:rPr>
            </w:pPr>
            <w:r w:rsidRPr="00857F24">
              <w:rPr>
                <w:rFonts w:cstheme="minorHAnsi"/>
                <w:b w:val="0"/>
                <w:sz w:val="20"/>
                <w:szCs w:val="20"/>
              </w:rPr>
              <w:t>295</w:t>
            </w:r>
          </w:p>
        </w:tc>
      </w:tr>
      <w:tr w:rsidR="00051C19" w:rsidRPr="001D0858" w14:paraId="6C2CD065" w14:textId="77777777" w:rsidTr="00D069E4">
        <w:trPr>
          <w:trHeight w:val="20"/>
        </w:trPr>
        <w:tc>
          <w:tcPr>
            <w:tcW w:w="0" w:type="auto"/>
          </w:tcPr>
          <w:p w14:paraId="00DF9363"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Teriparatide</w:t>
            </w:r>
          </w:p>
        </w:tc>
        <w:tc>
          <w:tcPr>
            <w:tcW w:w="0" w:type="auto"/>
          </w:tcPr>
          <w:p w14:paraId="1C25FC5B" w14:textId="7E6DC9B3" w:rsidR="00051C19" w:rsidRPr="000F2789" w:rsidRDefault="00051C19" w:rsidP="00051C19">
            <w:pPr>
              <w:pStyle w:val="Tableheading"/>
              <w:rPr>
                <w:rFonts w:cstheme="minorHAnsi"/>
                <w:b w:val="0"/>
                <w:sz w:val="20"/>
                <w:szCs w:val="20"/>
              </w:rPr>
            </w:pPr>
            <w:r w:rsidRPr="00D276E1">
              <w:rPr>
                <w:rFonts w:cstheme="minorHAnsi"/>
                <w:b w:val="0"/>
                <w:sz w:val="20"/>
                <w:szCs w:val="20"/>
              </w:rPr>
              <w:t>361.2</w:t>
            </w:r>
          </w:p>
        </w:tc>
        <w:tc>
          <w:tcPr>
            <w:tcW w:w="0" w:type="auto"/>
          </w:tcPr>
          <w:p w14:paraId="784EFC28" w14:textId="28B3D590"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092C92B8" w14:textId="32DB30B3" w:rsidR="00051C19" w:rsidRPr="000F2789" w:rsidRDefault="00051C19" w:rsidP="00051C19">
            <w:pPr>
              <w:pStyle w:val="Tableheading"/>
              <w:rPr>
                <w:rFonts w:cstheme="minorHAnsi"/>
                <w:b w:val="0"/>
                <w:sz w:val="20"/>
                <w:szCs w:val="20"/>
              </w:rPr>
            </w:pPr>
            <w:r w:rsidRPr="00D276E1">
              <w:rPr>
                <w:rFonts w:cstheme="minorHAnsi"/>
                <w:b w:val="0"/>
                <w:sz w:val="20"/>
                <w:szCs w:val="20"/>
              </w:rPr>
              <w:t>480.5</w:t>
            </w:r>
          </w:p>
        </w:tc>
        <w:tc>
          <w:tcPr>
            <w:tcW w:w="0" w:type="auto"/>
          </w:tcPr>
          <w:p w14:paraId="0E05423D" w14:textId="28169156" w:rsidR="00051C19" w:rsidRPr="000F2789" w:rsidRDefault="00051C19" w:rsidP="00051C19">
            <w:pPr>
              <w:pStyle w:val="Tableheading"/>
              <w:rPr>
                <w:rFonts w:cstheme="minorHAnsi"/>
                <w:b w:val="0"/>
                <w:sz w:val="20"/>
                <w:szCs w:val="20"/>
              </w:rPr>
            </w:pPr>
            <w:r w:rsidRPr="00051C19">
              <w:rPr>
                <w:rFonts w:cstheme="minorHAnsi"/>
                <w:b w:val="0"/>
                <w:sz w:val="20"/>
                <w:szCs w:val="20"/>
              </w:rPr>
              <w:t>42</w:t>
            </w:r>
          </w:p>
        </w:tc>
        <w:tc>
          <w:tcPr>
            <w:tcW w:w="0" w:type="auto"/>
          </w:tcPr>
          <w:p w14:paraId="7ACAC3C5" w14:textId="2EA98CD9" w:rsidR="00051C19" w:rsidRPr="000F2789" w:rsidRDefault="00051C19" w:rsidP="00051C19">
            <w:pPr>
              <w:pStyle w:val="Tableheading"/>
              <w:rPr>
                <w:rFonts w:cstheme="minorHAnsi"/>
                <w:b w:val="0"/>
                <w:sz w:val="20"/>
                <w:szCs w:val="20"/>
              </w:rPr>
            </w:pPr>
            <w:r w:rsidRPr="00D276E1">
              <w:rPr>
                <w:rFonts w:cstheme="minorHAnsi"/>
                <w:b w:val="0"/>
                <w:sz w:val="20"/>
                <w:szCs w:val="20"/>
              </w:rPr>
              <w:t>324.9</w:t>
            </w:r>
          </w:p>
        </w:tc>
        <w:tc>
          <w:tcPr>
            <w:tcW w:w="0" w:type="auto"/>
          </w:tcPr>
          <w:p w14:paraId="4FC563D0" w14:textId="7A69C625" w:rsidR="00051C19" w:rsidRPr="000F2789" w:rsidRDefault="00051C19" w:rsidP="00051C19">
            <w:pPr>
              <w:pStyle w:val="Tableheading"/>
              <w:rPr>
                <w:rFonts w:cstheme="minorHAnsi"/>
                <w:b w:val="0"/>
                <w:sz w:val="20"/>
                <w:szCs w:val="20"/>
              </w:rPr>
            </w:pPr>
            <w:r w:rsidRPr="00D276E1">
              <w:rPr>
                <w:rFonts w:cstheme="minorHAnsi"/>
                <w:b w:val="0"/>
                <w:sz w:val="20"/>
                <w:szCs w:val="20"/>
              </w:rPr>
              <w:t>28</w:t>
            </w:r>
          </w:p>
        </w:tc>
        <w:tc>
          <w:tcPr>
            <w:tcW w:w="0" w:type="auto"/>
          </w:tcPr>
          <w:p w14:paraId="6292F728" w14:textId="1DC7773F" w:rsidR="00051C19" w:rsidRDefault="00051C19" w:rsidP="00051C19">
            <w:pPr>
              <w:pStyle w:val="Tableheading"/>
              <w:rPr>
                <w:rFonts w:cstheme="minorHAnsi"/>
                <w:b w:val="0"/>
                <w:sz w:val="20"/>
                <w:szCs w:val="20"/>
              </w:rPr>
            </w:pPr>
            <w:r w:rsidRPr="00D276E1">
              <w:rPr>
                <w:rFonts w:cstheme="minorHAnsi"/>
                <w:b w:val="0"/>
                <w:sz w:val="20"/>
                <w:szCs w:val="20"/>
              </w:rPr>
              <w:t>477</w:t>
            </w:r>
          </w:p>
        </w:tc>
        <w:tc>
          <w:tcPr>
            <w:tcW w:w="0" w:type="auto"/>
          </w:tcPr>
          <w:p w14:paraId="3B209625" w14:textId="77777777" w:rsidR="00051C19" w:rsidRDefault="00051C19" w:rsidP="00051C19">
            <w:pPr>
              <w:pStyle w:val="Tableheading"/>
              <w:rPr>
                <w:rFonts w:cstheme="minorHAnsi"/>
                <w:b w:val="0"/>
                <w:sz w:val="20"/>
                <w:szCs w:val="20"/>
              </w:rPr>
            </w:pPr>
            <w:r w:rsidRPr="00857F24">
              <w:rPr>
                <w:rFonts w:cstheme="minorHAnsi"/>
                <w:b w:val="0"/>
                <w:sz w:val="20"/>
                <w:szCs w:val="20"/>
              </w:rPr>
              <w:t>27</w:t>
            </w:r>
          </w:p>
        </w:tc>
      </w:tr>
      <w:tr w:rsidR="00051C19" w:rsidRPr="001D0858" w14:paraId="241E4C53" w14:textId="77777777" w:rsidTr="00D069E4">
        <w:trPr>
          <w:trHeight w:val="20"/>
        </w:trPr>
        <w:tc>
          <w:tcPr>
            <w:tcW w:w="0" w:type="auto"/>
          </w:tcPr>
          <w:p w14:paraId="0E43B36C" w14:textId="77777777" w:rsidR="00051C19" w:rsidRPr="00957354" w:rsidRDefault="00051C19" w:rsidP="00051C19">
            <w:pPr>
              <w:pStyle w:val="Tableheading"/>
              <w:jc w:val="left"/>
              <w:rPr>
                <w:rFonts w:cstheme="minorHAnsi"/>
                <w:sz w:val="20"/>
                <w:szCs w:val="20"/>
              </w:rPr>
            </w:pPr>
            <w:r w:rsidRPr="00957354">
              <w:rPr>
                <w:rFonts w:cstheme="minorHAnsi"/>
                <w:sz w:val="20"/>
                <w:szCs w:val="20"/>
              </w:rPr>
              <w:t>Zoledronic acid</w:t>
            </w:r>
          </w:p>
        </w:tc>
        <w:tc>
          <w:tcPr>
            <w:tcW w:w="0" w:type="auto"/>
          </w:tcPr>
          <w:p w14:paraId="5646EC1B" w14:textId="6D071E0D" w:rsidR="00051C19" w:rsidRPr="000F2789" w:rsidRDefault="00051C19" w:rsidP="00051C19">
            <w:pPr>
              <w:pStyle w:val="Tableheading"/>
              <w:rPr>
                <w:rFonts w:cstheme="minorHAnsi"/>
                <w:b w:val="0"/>
                <w:sz w:val="20"/>
                <w:szCs w:val="20"/>
              </w:rPr>
            </w:pPr>
            <w:r w:rsidRPr="00D276E1">
              <w:rPr>
                <w:rFonts w:cstheme="minorHAnsi"/>
                <w:b w:val="0"/>
                <w:sz w:val="20"/>
                <w:szCs w:val="20"/>
              </w:rPr>
              <w:t>645.8</w:t>
            </w:r>
          </w:p>
        </w:tc>
        <w:tc>
          <w:tcPr>
            <w:tcW w:w="0" w:type="auto"/>
          </w:tcPr>
          <w:p w14:paraId="79DCB8A6" w14:textId="621392C7" w:rsidR="00051C19" w:rsidRPr="000F2789" w:rsidRDefault="00051C19" w:rsidP="00051C19">
            <w:pPr>
              <w:pStyle w:val="Tableheading"/>
              <w:rPr>
                <w:rFonts w:cstheme="minorHAnsi"/>
                <w:b w:val="0"/>
                <w:sz w:val="20"/>
                <w:szCs w:val="20"/>
              </w:rPr>
            </w:pPr>
            <w:r w:rsidRPr="00D276E1">
              <w:rPr>
                <w:rFonts w:cstheme="minorHAnsi"/>
                <w:b w:val="0"/>
                <w:sz w:val="20"/>
                <w:szCs w:val="20"/>
              </w:rPr>
              <w:t>365</w:t>
            </w:r>
          </w:p>
        </w:tc>
        <w:tc>
          <w:tcPr>
            <w:tcW w:w="0" w:type="auto"/>
          </w:tcPr>
          <w:p w14:paraId="23A4A747" w14:textId="31112A39" w:rsidR="00051C19" w:rsidRPr="000F2789" w:rsidRDefault="00051C19" w:rsidP="00051C19">
            <w:pPr>
              <w:pStyle w:val="Tableheading"/>
              <w:rPr>
                <w:rFonts w:cstheme="minorHAnsi"/>
                <w:b w:val="0"/>
                <w:sz w:val="20"/>
                <w:szCs w:val="20"/>
              </w:rPr>
            </w:pPr>
            <w:r w:rsidRPr="00D276E1">
              <w:rPr>
                <w:rFonts w:cstheme="minorHAnsi"/>
                <w:b w:val="0"/>
                <w:sz w:val="20"/>
                <w:szCs w:val="20"/>
              </w:rPr>
              <w:t>365</w:t>
            </w:r>
          </w:p>
        </w:tc>
        <w:tc>
          <w:tcPr>
            <w:tcW w:w="0" w:type="auto"/>
          </w:tcPr>
          <w:p w14:paraId="7EB202B7" w14:textId="04D26298" w:rsidR="00051C19" w:rsidRPr="000F2789" w:rsidRDefault="00051C19" w:rsidP="00051C19">
            <w:pPr>
              <w:pStyle w:val="Tableheading"/>
              <w:rPr>
                <w:rFonts w:cstheme="minorHAnsi"/>
                <w:b w:val="0"/>
                <w:sz w:val="20"/>
                <w:szCs w:val="20"/>
              </w:rPr>
            </w:pPr>
            <w:r w:rsidRPr="00051C19">
              <w:rPr>
                <w:rFonts w:cstheme="minorHAnsi"/>
                <w:b w:val="0"/>
                <w:sz w:val="20"/>
                <w:szCs w:val="20"/>
              </w:rPr>
              <w:t>1,724</w:t>
            </w:r>
          </w:p>
        </w:tc>
        <w:tc>
          <w:tcPr>
            <w:tcW w:w="0" w:type="auto"/>
          </w:tcPr>
          <w:p w14:paraId="0E1F21F7" w14:textId="2D7BB057" w:rsidR="00051C19" w:rsidRPr="000F2789" w:rsidRDefault="00051C19" w:rsidP="00051C19">
            <w:pPr>
              <w:pStyle w:val="Tableheading"/>
              <w:rPr>
                <w:rFonts w:cstheme="minorHAnsi"/>
                <w:b w:val="0"/>
                <w:sz w:val="20"/>
                <w:szCs w:val="20"/>
              </w:rPr>
            </w:pPr>
            <w:r w:rsidRPr="00D276E1">
              <w:rPr>
                <w:rFonts w:cstheme="minorHAnsi"/>
                <w:b w:val="0"/>
                <w:sz w:val="20"/>
                <w:szCs w:val="20"/>
              </w:rPr>
              <w:t>689.1</w:t>
            </w:r>
          </w:p>
        </w:tc>
        <w:tc>
          <w:tcPr>
            <w:tcW w:w="0" w:type="auto"/>
          </w:tcPr>
          <w:p w14:paraId="5B66C164" w14:textId="20870222" w:rsidR="00051C19" w:rsidRPr="000F2789" w:rsidRDefault="00051C19" w:rsidP="00051C19">
            <w:pPr>
              <w:pStyle w:val="Tableheading"/>
              <w:rPr>
                <w:rFonts w:cstheme="minorHAnsi"/>
                <w:b w:val="0"/>
                <w:sz w:val="20"/>
                <w:szCs w:val="20"/>
              </w:rPr>
            </w:pPr>
            <w:r w:rsidRPr="00D276E1">
              <w:rPr>
                <w:rFonts w:cstheme="minorHAnsi"/>
                <w:b w:val="0"/>
                <w:sz w:val="20"/>
                <w:szCs w:val="20"/>
              </w:rPr>
              <w:t>365</w:t>
            </w:r>
          </w:p>
        </w:tc>
        <w:tc>
          <w:tcPr>
            <w:tcW w:w="0" w:type="auto"/>
          </w:tcPr>
          <w:p w14:paraId="1016102B" w14:textId="4CEEBD45" w:rsidR="00051C19" w:rsidRPr="00A63DC0" w:rsidRDefault="00051C19" w:rsidP="00051C19">
            <w:pPr>
              <w:pStyle w:val="Tableheading"/>
              <w:rPr>
                <w:rFonts w:cstheme="minorHAnsi"/>
                <w:b w:val="0"/>
                <w:sz w:val="20"/>
                <w:szCs w:val="20"/>
              </w:rPr>
            </w:pPr>
            <w:r w:rsidRPr="00D276E1">
              <w:rPr>
                <w:rFonts w:cstheme="minorHAnsi"/>
                <w:b w:val="0"/>
                <w:sz w:val="20"/>
                <w:szCs w:val="20"/>
              </w:rPr>
              <w:t>365</w:t>
            </w:r>
          </w:p>
        </w:tc>
        <w:tc>
          <w:tcPr>
            <w:tcW w:w="0" w:type="auto"/>
          </w:tcPr>
          <w:p w14:paraId="3976F83F" w14:textId="77777777" w:rsidR="00051C19" w:rsidRPr="00A63DC0" w:rsidRDefault="00051C19" w:rsidP="00051C19">
            <w:pPr>
              <w:pStyle w:val="Tableheading"/>
              <w:rPr>
                <w:rFonts w:cstheme="minorHAnsi"/>
                <w:b w:val="0"/>
                <w:sz w:val="20"/>
                <w:szCs w:val="20"/>
              </w:rPr>
            </w:pPr>
            <w:r w:rsidRPr="00857F24">
              <w:rPr>
                <w:rFonts w:cstheme="minorHAnsi"/>
                <w:b w:val="0"/>
                <w:sz w:val="20"/>
                <w:szCs w:val="20"/>
              </w:rPr>
              <w:t>1</w:t>
            </w:r>
            <w:r>
              <w:rPr>
                <w:rFonts w:cstheme="minorHAnsi"/>
                <w:b w:val="0"/>
                <w:sz w:val="20"/>
                <w:szCs w:val="20"/>
              </w:rPr>
              <w:t>,</w:t>
            </w:r>
            <w:r w:rsidRPr="00857F24">
              <w:rPr>
                <w:rFonts w:cstheme="minorHAnsi"/>
                <w:b w:val="0"/>
                <w:sz w:val="20"/>
                <w:szCs w:val="20"/>
              </w:rPr>
              <w:t>104</w:t>
            </w:r>
          </w:p>
        </w:tc>
      </w:tr>
    </w:tbl>
    <w:p w14:paraId="5EB7B404" w14:textId="7CFD4C5C" w:rsidR="003F3897" w:rsidRDefault="003F3897" w:rsidP="007430E4"/>
    <w:p w14:paraId="1C674E8C" w14:textId="30EF7B76" w:rsidR="00986EFC" w:rsidRPr="00812493" w:rsidRDefault="00986EFC" w:rsidP="00812493">
      <w:pPr>
        <w:pStyle w:val="Heading4"/>
        <w:rPr>
          <w:sz w:val="24"/>
        </w:rPr>
      </w:pPr>
      <w:r w:rsidRPr="00812493">
        <w:rPr>
          <w:sz w:val="24"/>
        </w:rPr>
        <w:t>Time to first treatment break</w:t>
      </w:r>
    </w:p>
    <w:p w14:paraId="11DFABE8" w14:textId="20DBAD9E" w:rsidR="006907A9" w:rsidRDefault="00835D0B" w:rsidP="006907A9">
      <w:r>
        <w:t>Table 19</w:t>
      </w:r>
      <w:r w:rsidR="008E3FAD">
        <w:t xml:space="preserve"> presents the </w:t>
      </w:r>
      <w:r w:rsidR="007D17FF">
        <w:t>median</w:t>
      </w:r>
      <w:r w:rsidR="00C316DB" w:rsidRPr="00C316DB">
        <w:t xml:space="preserve"> time to first treatment break </w:t>
      </w:r>
      <w:r w:rsidR="00C316DB">
        <w:t>f</w:t>
      </w:r>
      <w:r w:rsidR="00C316DB" w:rsidRPr="00C316DB">
        <w:t xml:space="preserve">or patients who initiated therapy between 1 January 2014 and 31 December 2017, and who experienced a treatment break, </w:t>
      </w:r>
      <w:r w:rsidR="00093AA6">
        <w:t>by</w:t>
      </w:r>
      <w:r w:rsidR="00C316DB" w:rsidRPr="00C316DB">
        <w:t xml:space="preserve"> type of t</w:t>
      </w:r>
      <w:r w:rsidR="00093AA6">
        <w:t>reatment</w:t>
      </w:r>
      <w:r w:rsidR="003953B2">
        <w:t xml:space="preserve">. </w:t>
      </w:r>
      <w:r w:rsidR="000170DF">
        <w:t>Of the</w:t>
      </w:r>
      <w:r w:rsidR="004F06A5">
        <w:t xml:space="preserve"> 11,219 patients who experience</w:t>
      </w:r>
      <w:r w:rsidR="000170DF">
        <w:t>d</w:t>
      </w:r>
      <w:r w:rsidR="004F06A5">
        <w:t xml:space="preserve"> a treatment break </w:t>
      </w:r>
      <w:r w:rsidR="000170DF">
        <w:t>from</w:t>
      </w:r>
      <w:r w:rsidR="004F06A5">
        <w:t xml:space="preserve"> their initiating therapy</w:t>
      </w:r>
      <w:r w:rsidR="000170DF">
        <w:t xml:space="preserve">, </w:t>
      </w:r>
      <w:r w:rsidR="006C5D5E">
        <w:t xml:space="preserve">patients on </w:t>
      </w:r>
      <w:r w:rsidR="006E366B">
        <w:t>zoledronic</w:t>
      </w:r>
      <w:r w:rsidR="006C5D5E">
        <w:t xml:space="preserve"> acid and denosumab had the longest </w:t>
      </w:r>
      <w:r w:rsidR="00CC42AB">
        <w:t xml:space="preserve">median </w:t>
      </w:r>
      <w:r w:rsidR="006C5D5E">
        <w:t>time to first treatment break</w:t>
      </w:r>
      <w:r w:rsidR="00A041B8">
        <w:t>,</w:t>
      </w:r>
      <w:r w:rsidR="00DA5509">
        <w:t xml:space="preserve"> </w:t>
      </w:r>
      <w:r w:rsidR="00A041B8">
        <w:t>at a</w:t>
      </w:r>
      <w:r w:rsidR="002B4654">
        <w:t>pproximately 1 year</w:t>
      </w:r>
      <w:r w:rsidR="00254214">
        <w:t xml:space="preserve">, reflecting one supply of </w:t>
      </w:r>
      <w:r w:rsidR="006E366B">
        <w:t>zoledronic</w:t>
      </w:r>
      <w:r w:rsidR="00254214">
        <w:t xml:space="preserve"> acid and two supplies of denosumab</w:t>
      </w:r>
      <w:r>
        <w:t xml:space="preserve"> (Table 19</w:t>
      </w:r>
      <w:r w:rsidR="006E366B">
        <w:t>).</w:t>
      </w:r>
      <w:r w:rsidR="004F06A5">
        <w:t xml:space="preserve"> </w:t>
      </w:r>
      <w:r w:rsidR="003628D1">
        <w:t xml:space="preserve">The </w:t>
      </w:r>
      <w:r w:rsidR="003E488E">
        <w:t>median</w:t>
      </w:r>
      <w:r w:rsidR="003628D1">
        <w:t xml:space="preserve"> time to first treatment break </w:t>
      </w:r>
      <w:r w:rsidR="000135C0">
        <w:t xml:space="preserve">was approximately 5 months </w:t>
      </w:r>
      <w:r w:rsidR="003628D1">
        <w:t>for a</w:t>
      </w:r>
      <w:r w:rsidR="005942D2">
        <w:t>lendronate and risedronate</w:t>
      </w:r>
      <w:r w:rsidR="00180D12">
        <w:t xml:space="preserve">, </w:t>
      </w:r>
      <w:r w:rsidR="0088200E">
        <w:t xml:space="preserve">just over 6 months for teriparatide, </w:t>
      </w:r>
      <w:r w:rsidR="00E85262">
        <w:t>4 months for raloxifene</w:t>
      </w:r>
      <w:r w:rsidR="004A5607">
        <w:t>,</w:t>
      </w:r>
      <w:r w:rsidR="00226E37">
        <w:t xml:space="preserve"> and 3 months for calcitriol</w:t>
      </w:r>
      <w:r w:rsidR="00015444">
        <w:t xml:space="preserve">. </w:t>
      </w:r>
      <w:r w:rsidR="009E7D7E">
        <w:t>T</w:t>
      </w:r>
      <w:r w:rsidR="00EC64AA" w:rsidRPr="00EC64AA">
        <w:t xml:space="preserve">he sensitivity analysis, the subset of patients with at least 3.5 years of follow-up available, showed </w:t>
      </w:r>
      <w:r w:rsidR="00295CF0">
        <w:t xml:space="preserve">a </w:t>
      </w:r>
      <w:r w:rsidR="006B2FC4">
        <w:t xml:space="preserve">slightly </w:t>
      </w:r>
      <w:r w:rsidR="00EC64AA" w:rsidRPr="00EC64AA">
        <w:t>long</w:t>
      </w:r>
      <w:r w:rsidR="00EC64AA">
        <w:t>er</w:t>
      </w:r>
      <w:r w:rsidR="006B2FC4">
        <w:t xml:space="preserve"> median</w:t>
      </w:r>
      <w:r w:rsidR="00EC64AA" w:rsidRPr="00EC64AA">
        <w:t xml:space="preserve"> </w:t>
      </w:r>
      <w:r w:rsidR="006B2FC4">
        <w:t>time to first treatment break</w:t>
      </w:r>
      <w:r w:rsidR="00EC64AA" w:rsidRPr="00EC64AA">
        <w:t xml:space="preserve"> for </w:t>
      </w:r>
      <w:r w:rsidR="006B2FC4">
        <w:t>all medicines</w:t>
      </w:r>
      <w:r>
        <w:t xml:space="preserve"> (Table 20</w:t>
      </w:r>
      <w:r w:rsidR="007F03C9">
        <w:t>). H</w:t>
      </w:r>
      <w:r w:rsidR="00DF3714">
        <w:t>owever</w:t>
      </w:r>
      <w:r w:rsidR="007F03C9">
        <w:t>,</w:t>
      </w:r>
      <w:r w:rsidR="00DF3714">
        <w:t xml:space="preserve"> for teriparatide </w:t>
      </w:r>
      <w:r w:rsidR="00BA0FFB">
        <w:t xml:space="preserve">the median time </w:t>
      </w:r>
      <w:r w:rsidR="00A61207">
        <w:t>to first treatment break</w:t>
      </w:r>
      <w:r w:rsidR="00A61207" w:rsidRPr="00EC64AA">
        <w:t xml:space="preserve"> </w:t>
      </w:r>
      <w:r w:rsidR="00BA0FFB">
        <w:t>more than doubled</w:t>
      </w:r>
      <w:r w:rsidR="00A61207">
        <w:t xml:space="preserve"> in the sensitivity analysis</w:t>
      </w:r>
      <w:r w:rsidR="00D377A7">
        <w:t>, however these findings should be interpreted with caution due to the small</w:t>
      </w:r>
      <w:r w:rsidR="00F07A5E">
        <w:t xml:space="preserve"> number of patients </w:t>
      </w:r>
      <w:r w:rsidR="00B81770">
        <w:t xml:space="preserve">(n=5) </w:t>
      </w:r>
      <w:r w:rsidR="00F07A5E">
        <w:t>on teriparatide</w:t>
      </w:r>
      <w:r w:rsidR="007C5C55">
        <w:t xml:space="preserve"> </w:t>
      </w:r>
      <w:r>
        <w:t>(Table 20</w:t>
      </w:r>
      <w:r w:rsidR="007F03C9">
        <w:t>)</w:t>
      </w:r>
      <w:r w:rsidR="00A61207">
        <w:t>.</w:t>
      </w:r>
      <w:r w:rsidR="00253AAE">
        <w:t xml:space="preserve"> </w:t>
      </w:r>
    </w:p>
    <w:p w14:paraId="5590E74F" w14:textId="13C1717D" w:rsidR="002C58FE" w:rsidRDefault="00171283" w:rsidP="006907A9">
      <w:r>
        <w:t>Table 19</w:t>
      </w:r>
      <w:r w:rsidR="002C58FE">
        <w:t xml:space="preserve"> also presents the </w:t>
      </w:r>
      <w:r w:rsidR="003C3154">
        <w:t>average (mean and median) duration</w:t>
      </w:r>
      <w:r w:rsidR="006800C0">
        <w:t xml:space="preserve"> </w:t>
      </w:r>
      <w:r w:rsidR="002F62E8">
        <w:t>of the first treatment break by type of therapy.</w:t>
      </w:r>
      <w:r w:rsidR="003C3154">
        <w:t xml:space="preserve"> </w:t>
      </w:r>
      <w:r w:rsidR="00B0578C">
        <w:t xml:space="preserve">The mean average duration </w:t>
      </w:r>
      <w:r w:rsidR="000C21B3">
        <w:t xml:space="preserve">of the first treatment break was </w:t>
      </w:r>
      <w:r w:rsidR="003F5017">
        <w:t xml:space="preserve">highest for </w:t>
      </w:r>
      <w:r w:rsidR="00490782">
        <w:t xml:space="preserve">patients initiating on </w:t>
      </w:r>
      <w:r w:rsidR="00DB53E1">
        <w:t>zol</w:t>
      </w:r>
      <w:r w:rsidR="005447D7">
        <w:t>e</w:t>
      </w:r>
      <w:r w:rsidR="00DB53E1">
        <w:t>dronic acid (</w:t>
      </w:r>
      <w:r w:rsidR="00850F31">
        <w:t xml:space="preserve">268 days), followed by </w:t>
      </w:r>
      <w:r w:rsidR="003F5017">
        <w:t>alendronate (220 days)</w:t>
      </w:r>
      <w:r w:rsidR="00850F31">
        <w:t>,</w:t>
      </w:r>
      <w:r w:rsidR="003F5017">
        <w:t xml:space="preserve"> denosumab (200 days)</w:t>
      </w:r>
      <w:r w:rsidR="00F9046B">
        <w:t xml:space="preserve"> and</w:t>
      </w:r>
      <w:r w:rsidR="00C6758F">
        <w:t xml:space="preserve"> </w:t>
      </w:r>
      <w:r w:rsidR="0037379F">
        <w:t xml:space="preserve">calcitriol </w:t>
      </w:r>
      <w:r w:rsidR="00927FF8">
        <w:t xml:space="preserve">and raloxifene </w:t>
      </w:r>
      <w:r w:rsidR="00596574">
        <w:t>(both 190 days)</w:t>
      </w:r>
      <w:r w:rsidR="00F9046B">
        <w:t xml:space="preserve">. The shortest treatment break was experienced by patients initiating on </w:t>
      </w:r>
      <w:r w:rsidR="00A97CED">
        <w:t>teriparatide (125 days)</w:t>
      </w:r>
      <w:r w:rsidR="00AD2CDC">
        <w:t>.</w:t>
      </w:r>
      <w:r w:rsidR="008440EB">
        <w:t xml:space="preserve"> </w:t>
      </w:r>
      <w:r w:rsidR="008440EB" w:rsidRPr="008440EB">
        <w:t xml:space="preserve">In the sensitivity analysis, the subset of patients with at least 3.5 years of follow-up available, showed slightly longer </w:t>
      </w:r>
      <w:r w:rsidR="008440EB">
        <w:t>duration of</w:t>
      </w:r>
      <w:r w:rsidR="008440EB" w:rsidRPr="008440EB">
        <w:t xml:space="preserve"> first treatment break</w:t>
      </w:r>
      <w:r w:rsidR="00654DDC">
        <w:t>s</w:t>
      </w:r>
      <w:r>
        <w:t xml:space="preserve"> for all medicines (Table 20</w:t>
      </w:r>
      <w:r w:rsidR="008440EB" w:rsidRPr="008440EB">
        <w:t>).</w:t>
      </w:r>
    </w:p>
    <w:p w14:paraId="328AE8EE" w14:textId="74AC4BFB" w:rsidR="004C62C5" w:rsidRDefault="00E3211E" w:rsidP="004C62C5">
      <w:pPr>
        <w:pStyle w:val="Tabletitle"/>
      </w:pPr>
      <w:r>
        <w:lastRenderedPageBreak/>
        <w:t>Table 19</w:t>
      </w:r>
      <w:r w:rsidR="004C62C5">
        <w:t xml:space="preserve">: Time to first </w:t>
      </w:r>
      <w:r w:rsidR="004C62C5" w:rsidRPr="00933BDD">
        <w:t xml:space="preserve">treatment </w:t>
      </w:r>
      <w:r w:rsidR="00352802">
        <w:t xml:space="preserve">break and </w:t>
      </w:r>
      <w:r w:rsidR="004C62C5" w:rsidRPr="00933BDD">
        <w:t>duration</w:t>
      </w:r>
      <w:r w:rsidR="00352802">
        <w:t xml:space="preserve"> of break</w:t>
      </w:r>
      <w:r w:rsidR="004C62C5" w:rsidRPr="00933BDD">
        <w:t xml:space="preserve"> for patients initiating osteoporosis medicines between 2014 and 2017, by type of treatment</w:t>
      </w:r>
    </w:p>
    <w:tbl>
      <w:tblPr>
        <w:tblStyle w:val="TableGrid"/>
        <w:tblW w:w="0" w:type="auto"/>
        <w:tblLook w:val="04A0" w:firstRow="1" w:lastRow="0" w:firstColumn="1" w:lastColumn="0" w:noHBand="0" w:noVBand="1"/>
        <w:tblCaption w:val="Table 17: Time to first treatment break and duration of break for patients initiating osteoporosis medicines between 2014 and 2017, by type of treatment"/>
      </w:tblPr>
      <w:tblGrid>
        <w:gridCol w:w="2925"/>
        <w:gridCol w:w="1746"/>
        <w:gridCol w:w="928"/>
        <w:gridCol w:w="860"/>
        <w:gridCol w:w="948"/>
        <w:gridCol w:w="765"/>
        <w:gridCol w:w="775"/>
      </w:tblGrid>
      <w:tr w:rsidR="007B1C21" w:rsidRPr="001D0858" w14:paraId="29AE7057" w14:textId="000ADC54" w:rsidTr="00121F7A">
        <w:trPr>
          <w:trHeight w:val="20"/>
          <w:tblHeader/>
        </w:trPr>
        <w:tc>
          <w:tcPr>
            <w:tcW w:w="2963" w:type="dxa"/>
            <w:vMerge w:val="restart"/>
            <w:shd w:val="clear" w:color="auto" w:fill="BFBFBF" w:themeFill="background1" w:themeFillShade="BF"/>
          </w:tcPr>
          <w:p w14:paraId="1616B945" w14:textId="77777777" w:rsidR="007B1C21" w:rsidRDefault="007B1C21" w:rsidP="00D069E4">
            <w:pPr>
              <w:pStyle w:val="Tableheading"/>
              <w:rPr>
                <w:sz w:val="20"/>
                <w:szCs w:val="20"/>
              </w:rPr>
            </w:pPr>
          </w:p>
        </w:tc>
        <w:tc>
          <w:tcPr>
            <w:tcW w:w="1762" w:type="dxa"/>
            <w:shd w:val="clear" w:color="auto" w:fill="BFBFBF" w:themeFill="background1" w:themeFillShade="BF"/>
          </w:tcPr>
          <w:p w14:paraId="036D128D" w14:textId="77777777" w:rsidR="007B1C21" w:rsidRPr="001D0858" w:rsidRDefault="007B1C21" w:rsidP="00D069E4">
            <w:pPr>
              <w:pStyle w:val="Tableheading"/>
              <w:rPr>
                <w:sz w:val="20"/>
                <w:szCs w:val="20"/>
              </w:rPr>
            </w:pPr>
            <w:r>
              <w:rPr>
                <w:sz w:val="20"/>
                <w:szCs w:val="20"/>
              </w:rPr>
              <w:t>Time to first treatment break (days)</w:t>
            </w:r>
          </w:p>
        </w:tc>
        <w:tc>
          <w:tcPr>
            <w:tcW w:w="3519" w:type="dxa"/>
            <w:gridSpan w:val="4"/>
            <w:shd w:val="clear" w:color="auto" w:fill="BFBFBF" w:themeFill="background1" w:themeFillShade="BF"/>
          </w:tcPr>
          <w:p w14:paraId="4DFACD9A" w14:textId="02A3EDA8" w:rsidR="007B1C21" w:rsidRDefault="007B1C21" w:rsidP="00A54796">
            <w:pPr>
              <w:pStyle w:val="Tableheading"/>
              <w:rPr>
                <w:sz w:val="20"/>
                <w:szCs w:val="20"/>
              </w:rPr>
            </w:pPr>
            <w:r>
              <w:rPr>
                <w:sz w:val="20"/>
                <w:szCs w:val="20"/>
              </w:rPr>
              <w:t>Duration of first treatment break (days)</w:t>
            </w:r>
          </w:p>
        </w:tc>
        <w:tc>
          <w:tcPr>
            <w:tcW w:w="703" w:type="dxa"/>
            <w:vMerge w:val="restart"/>
            <w:shd w:val="clear" w:color="auto" w:fill="BFBFBF" w:themeFill="background1" w:themeFillShade="BF"/>
          </w:tcPr>
          <w:p w14:paraId="3BB33C70" w14:textId="686EA7DA" w:rsidR="007B1C21" w:rsidRDefault="007B1C21" w:rsidP="00D069E4">
            <w:pPr>
              <w:pStyle w:val="Tableheading"/>
              <w:rPr>
                <w:sz w:val="20"/>
                <w:szCs w:val="20"/>
              </w:rPr>
            </w:pPr>
            <w:r>
              <w:rPr>
                <w:sz w:val="20"/>
                <w:szCs w:val="20"/>
              </w:rPr>
              <w:t>N</w:t>
            </w:r>
          </w:p>
        </w:tc>
      </w:tr>
      <w:tr w:rsidR="007B1C21" w:rsidRPr="001D0858" w14:paraId="00A7B2E5" w14:textId="08E3D377" w:rsidTr="00121F7A">
        <w:trPr>
          <w:trHeight w:val="20"/>
          <w:tblHeader/>
        </w:trPr>
        <w:tc>
          <w:tcPr>
            <w:tcW w:w="2963" w:type="dxa"/>
            <w:vMerge/>
            <w:shd w:val="clear" w:color="auto" w:fill="BFBFBF" w:themeFill="background1" w:themeFillShade="BF"/>
          </w:tcPr>
          <w:p w14:paraId="24187E3E" w14:textId="77777777" w:rsidR="007B1C21" w:rsidRDefault="007B1C21" w:rsidP="00D069E4">
            <w:pPr>
              <w:pStyle w:val="Tableheading"/>
              <w:rPr>
                <w:sz w:val="20"/>
                <w:szCs w:val="20"/>
              </w:rPr>
            </w:pPr>
          </w:p>
        </w:tc>
        <w:tc>
          <w:tcPr>
            <w:tcW w:w="1762" w:type="dxa"/>
            <w:shd w:val="clear" w:color="auto" w:fill="BFBFBF" w:themeFill="background1" w:themeFillShade="BF"/>
          </w:tcPr>
          <w:p w14:paraId="5AAFD2AF" w14:textId="2F1A46C5" w:rsidR="007B1C21" w:rsidRPr="001D0858" w:rsidRDefault="007B1C21" w:rsidP="00D069E4">
            <w:pPr>
              <w:pStyle w:val="Tableheading"/>
              <w:rPr>
                <w:sz w:val="20"/>
                <w:szCs w:val="20"/>
              </w:rPr>
            </w:pPr>
            <w:r>
              <w:rPr>
                <w:sz w:val="20"/>
                <w:szCs w:val="20"/>
              </w:rPr>
              <w:t>Median</w:t>
            </w:r>
          </w:p>
        </w:tc>
        <w:tc>
          <w:tcPr>
            <w:tcW w:w="933" w:type="dxa"/>
            <w:shd w:val="clear" w:color="auto" w:fill="BFBFBF" w:themeFill="background1" w:themeFillShade="BF"/>
          </w:tcPr>
          <w:p w14:paraId="74D43705" w14:textId="77777777" w:rsidR="007B1C21" w:rsidRPr="001D0858" w:rsidRDefault="007B1C21" w:rsidP="00D069E4">
            <w:pPr>
              <w:pStyle w:val="Tableheading"/>
              <w:rPr>
                <w:sz w:val="20"/>
                <w:szCs w:val="20"/>
              </w:rPr>
            </w:pPr>
            <w:r>
              <w:rPr>
                <w:sz w:val="20"/>
                <w:szCs w:val="20"/>
              </w:rPr>
              <w:t>Mean</w:t>
            </w:r>
          </w:p>
        </w:tc>
        <w:tc>
          <w:tcPr>
            <w:tcW w:w="860" w:type="dxa"/>
            <w:shd w:val="clear" w:color="auto" w:fill="BFBFBF" w:themeFill="background1" w:themeFillShade="BF"/>
          </w:tcPr>
          <w:p w14:paraId="0C4FA2BF" w14:textId="1DC5F4A4" w:rsidR="007B1C21" w:rsidRPr="001D0858" w:rsidRDefault="007B1C21" w:rsidP="00D069E4">
            <w:pPr>
              <w:pStyle w:val="Tableheading"/>
              <w:rPr>
                <w:sz w:val="20"/>
                <w:szCs w:val="20"/>
              </w:rPr>
            </w:pPr>
            <w:r>
              <w:rPr>
                <w:sz w:val="20"/>
                <w:szCs w:val="20"/>
              </w:rPr>
              <w:t>M</w:t>
            </w:r>
            <w:r w:rsidR="00B52328">
              <w:rPr>
                <w:sz w:val="20"/>
                <w:szCs w:val="20"/>
              </w:rPr>
              <w:t>edian</w:t>
            </w:r>
          </w:p>
        </w:tc>
        <w:tc>
          <w:tcPr>
            <w:tcW w:w="959" w:type="dxa"/>
            <w:shd w:val="clear" w:color="auto" w:fill="BFBFBF" w:themeFill="background1" w:themeFillShade="BF"/>
          </w:tcPr>
          <w:p w14:paraId="66232A76" w14:textId="0C8FD529" w:rsidR="007B1C21" w:rsidRDefault="007B1C21" w:rsidP="00D069E4">
            <w:pPr>
              <w:pStyle w:val="Tableheading"/>
              <w:rPr>
                <w:sz w:val="20"/>
                <w:szCs w:val="20"/>
              </w:rPr>
            </w:pPr>
            <w:r>
              <w:rPr>
                <w:sz w:val="20"/>
                <w:szCs w:val="20"/>
              </w:rPr>
              <w:t>Q1</w:t>
            </w:r>
          </w:p>
        </w:tc>
        <w:tc>
          <w:tcPr>
            <w:tcW w:w="767" w:type="dxa"/>
            <w:shd w:val="clear" w:color="auto" w:fill="BFBFBF" w:themeFill="background1" w:themeFillShade="BF"/>
          </w:tcPr>
          <w:p w14:paraId="6E20F018" w14:textId="518119A5" w:rsidR="007B1C21" w:rsidRDefault="007B1C21" w:rsidP="00D069E4">
            <w:pPr>
              <w:pStyle w:val="Tableheading"/>
              <w:rPr>
                <w:sz w:val="20"/>
                <w:szCs w:val="20"/>
              </w:rPr>
            </w:pPr>
            <w:r>
              <w:rPr>
                <w:sz w:val="20"/>
                <w:szCs w:val="20"/>
              </w:rPr>
              <w:t>Q3</w:t>
            </w:r>
          </w:p>
        </w:tc>
        <w:tc>
          <w:tcPr>
            <w:tcW w:w="703" w:type="dxa"/>
            <w:vMerge/>
            <w:shd w:val="clear" w:color="auto" w:fill="BFBFBF" w:themeFill="background1" w:themeFillShade="BF"/>
          </w:tcPr>
          <w:p w14:paraId="273436E7" w14:textId="34043FA3" w:rsidR="007B1C21" w:rsidRDefault="007B1C21" w:rsidP="00D069E4">
            <w:pPr>
              <w:pStyle w:val="Tableheading"/>
              <w:rPr>
                <w:sz w:val="20"/>
                <w:szCs w:val="20"/>
              </w:rPr>
            </w:pPr>
          </w:p>
        </w:tc>
      </w:tr>
      <w:tr w:rsidR="00121F7A" w:rsidRPr="001D0858" w14:paraId="46150C32" w14:textId="2951CAE0" w:rsidTr="00121F7A">
        <w:trPr>
          <w:trHeight w:val="20"/>
        </w:trPr>
        <w:tc>
          <w:tcPr>
            <w:tcW w:w="2963" w:type="dxa"/>
          </w:tcPr>
          <w:p w14:paraId="6C0F475E" w14:textId="77777777" w:rsidR="00121F7A" w:rsidRPr="008F7DCD" w:rsidRDefault="00121F7A" w:rsidP="00121F7A">
            <w:pPr>
              <w:pStyle w:val="Tableheading"/>
              <w:jc w:val="left"/>
              <w:rPr>
                <w:rFonts w:cstheme="minorHAnsi"/>
                <w:sz w:val="20"/>
                <w:szCs w:val="20"/>
              </w:rPr>
            </w:pPr>
            <w:r w:rsidRPr="00957354">
              <w:rPr>
                <w:rFonts w:cstheme="minorHAnsi"/>
                <w:sz w:val="20"/>
                <w:szCs w:val="20"/>
              </w:rPr>
              <w:t>Alendronate (incl combination products)</w:t>
            </w:r>
          </w:p>
        </w:tc>
        <w:tc>
          <w:tcPr>
            <w:tcW w:w="1762" w:type="dxa"/>
          </w:tcPr>
          <w:p w14:paraId="2131D7C3" w14:textId="29C5BC44" w:rsidR="00121F7A" w:rsidRPr="00BC42C7" w:rsidRDefault="00121F7A" w:rsidP="00121F7A">
            <w:pPr>
              <w:pStyle w:val="Tableheading"/>
              <w:rPr>
                <w:rFonts w:cstheme="minorHAnsi"/>
                <w:b w:val="0"/>
                <w:sz w:val="20"/>
                <w:szCs w:val="20"/>
              </w:rPr>
            </w:pPr>
            <w:r w:rsidRPr="00121F7A">
              <w:rPr>
                <w:rFonts w:cstheme="minorHAnsi"/>
                <w:b w:val="0"/>
                <w:sz w:val="20"/>
                <w:szCs w:val="20"/>
              </w:rPr>
              <w:t>147</w:t>
            </w:r>
          </w:p>
        </w:tc>
        <w:tc>
          <w:tcPr>
            <w:tcW w:w="933" w:type="dxa"/>
          </w:tcPr>
          <w:p w14:paraId="46D92038" w14:textId="686DD6A9" w:rsidR="00121F7A" w:rsidRPr="00BC42C7" w:rsidRDefault="00121F7A" w:rsidP="00121F7A">
            <w:pPr>
              <w:pStyle w:val="Tableheading"/>
              <w:rPr>
                <w:rFonts w:cstheme="minorHAnsi"/>
                <w:b w:val="0"/>
                <w:sz w:val="20"/>
                <w:szCs w:val="20"/>
              </w:rPr>
            </w:pPr>
            <w:r w:rsidRPr="00121F7A">
              <w:rPr>
                <w:rFonts w:cstheme="minorHAnsi"/>
                <w:b w:val="0"/>
                <w:sz w:val="20"/>
                <w:szCs w:val="20"/>
              </w:rPr>
              <w:t>220.3</w:t>
            </w:r>
          </w:p>
        </w:tc>
        <w:tc>
          <w:tcPr>
            <w:tcW w:w="860" w:type="dxa"/>
          </w:tcPr>
          <w:p w14:paraId="12B5F08B" w14:textId="58D0F8A5" w:rsidR="00121F7A" w:rsidRPr="00BC42C7" w:rsidRDefault="00121F7A" w:rsidP="00121F7A">
            <w:pPr>
              <w:pStyle w:val="Tableheading"/>
              <w:rPr>
                <w:rFonts w:cstheme="minorHAnsi"/>
                <w:b w:val="0"/>
                <w:sz w:val="20"/>
                <w:szCs w:val="20"/>
              </w:rPr>
            </w:pPr>
            <w:r w:rsidRPr="00121F7A">
              <w:rPr>
                <w:rFonts w:cstheme="minorHAnsi"/>
                <w:b w:val="0"/>
                <w:sz w:val="20"/>
                <w:szCs w:val="20"/>
              </w:rPr>
              <w:t>124</w:t>
            </w:r>
          </w:p>
        </w:tc>
        <w:tc>
          <w:tcPr>
            <w:tcW w:w="959" w:type="dxa"/>
          </w:tcPr>
          <w:p w14:paraId="68D9C30F" w14:textId="63DFB751" w:rsidR="00121F7A" w:rsidRPr="00A63DC0" w:rsidRDefault="00121F7A" w:rsidP="00121F7A">
            <w:pPr>
              <w:pStyle w:val="Tableheading"/>
              <w:rPr>
                <w:rFonts w:cstheme="minorHAnsi"/>
                <w:b w:val="0"/>
                <w:sz w:val="20"/>
                <w:szCs w:val="20"/>
              </w:rPr>
            </w:pPr>
            <w:r w:rsidRPr="00121F7A">
              <w:rPr>
                <w:rFonts w:cstheme="minorHAnsi"/>
                <w:b w:val="0"/>
                <w:sz w:val="20"/>
                <w:szCs w:val="20"/>
              </w:rPr>
              <w:t>82</w:t>
            </w:r>
          </w:p>
        </w:tc>
        <w:tc>
          <w:tcPr>
            <w:tcW w:w="767" w:type="dxa"/>
          </w:tcPr>
          <w:p w14:paraId="051D09FE" w14:textId="1888956A" w:rsidR="00121F7A" w:rsidRPr="00A63DC0" w:rsidRDefault="00121F7A" w:rsidP="00121F7A">
            <w:pPr>
              <w:pStyle w:val="Tableheading"/>
              <w:rPr>
                <w:rFonts w:cstheme="minorHAnsi"/>
                <w:b w:val="0"/>
                <w:sz w:val="20"/>
                <w:szCs w:val="20"/>
              </w:rPr>
            </w:pPr>
            <w:r w:rsidRPr="00121F7A">
              <w:rPr>
                <w:rFonts w:cstheme="minorHAnsi"/>
                <w:b w:val="0"/>
                <w:sz w:val="20"/>
                <w:szCs w:val="20"/>
              </w:rPr>
              <w:t>237</w:t>
            </w:r>
          </w:p>
        </w:tc>
        <w:tc>
          <w:tcPr>
            <w:tcW w:w="703" w:type="dxa"/>
          </w:tcPr>
          <w:p w14:paraId="41E0A9D9" w14:textId="73190072" w:rsidR="00121F7A" w:rsidRPr="00A63DC0" w:rsidRDefault="00121F7A" w:rsidP="00121F7A">
            <w:pPr>
              <w:pStyle w:val="Tableheading"/>
              <w:rPr>
                <w:rFonts w:cstheme="minorHAnsi"/>
                <w:b w:val="0"/>
                <w:sz w:val="20"/>
                <w:szCs w:val="20"/>
              </w:rPr>
            </w:pPr>
            <w:r w:rsidRPr="00121F7A">
              <w:rPr>
                <w:rFonts w:cstheme="minorHAnsi"/>
                <w:b w:val="0"/>
                <w:sz w:val="20"/>
                <w:szCs w:val="20"/>
              </w:rPr>
              <w:t>1,345</w:t>
            </w:r>
          </w:p>
        </w:tc>
      </w:tr>
      <w:tr w:rsidR="00121F7A" w:rsidRPr="001D0858" w14:paraId="54FCBA74" w14:textId="638555F7" w:rsidTr="00121F7A">
        <w:trPr>
          <w:trHeight w:val="20"/>
        </w:trPr>
        <w:tc>
          <w:tcPr>
            <w:tcW w:w="2963" w:type="dxa"/>
          </w:tcPr>
          <w:p w14:paraId="3081B979" w14:textId="77777777" w:rsidR="00121F7A" w:rsidRPr="008F7DCD" w:rsidRDefault="00121F7A" w:rsidP="00121F7A">
            <w:pPr>
              <w:pStyle w:val="Tableheading"/>
              <w:jc w:val="left"/>
              <w:rPr>
                <w:rFonts w:cstheme="minorHAnsi"/>
                <w:sz w:val="20"/>
                <w:szCs w:val="20"/>
              </w:rPr>
            </w:pPr>
            <w:r w:rsidRPr="00957354">
              <w:rPr>
                <w:rFonts w:cstheme="minorHAnsi"/>
                <w:sz w:val="20"/>
                <w:szCs w:val="20"/>
              </w:rPr>
              <w:t>Calcitriol</w:t>
            </w:r>
          </w:p>
        </w:tc>
        <w:tc>
          <w:tcPr>
            <w:tcW w:w="1762" w:type="dxa"/>
          </w:tcPr>
          <w:p w14:paraId="7BB53297" w14:textId="798015BB" w:rsidR="00121F7A" w:rsidRPr="00BC42C7" w:rsidRDefault="00121F7A" w:rsidP="00121F7A">
            <w:pPr>
              <w:pStyle w:val="Tableheading"/>
              <w:rPr>
                <w:rFonts w:cstheme="minorHAnsi"/>
                <w:b w:val="0"/>
                <w:sz w:val="20"/>
                <w:szCs w:val="20"/>
              </w:rPr>
            </w:pPr>
            <w:r w:rsidRPr="00121F7A">
              <w:rPr>
                <w:rFonts w:cstheme="minorHAnsi"/>
                <w:b w:val="0"/>
                <w:sz w:val="20"/>
                <w:szCs w:val="20"/>
              </w:rPr>
              <w:t>87</w:t>
            </w:r>
          </w:p>
        </w:tc>
        <w:tc>
          <w:tcPr>
            <w:tcW w:w="933" w:type="dxa"/>
          </w:tcPr>
          <w:p w14:paraId="21071DD4" w14:textId="2D091CD4" w:rsidR="00121F7A" w:rsidRPr="00BC42C7" w:rsidRDefault="00121F7A" w:rsidP="00121F7A">
            <w:pPr>
              <w:pStyle w:val="Tableheading"/>
              <w:rPr>
                <w:rFonts w:cstheme="minorHAnsi"/>
                <w:b w:val="0"/>
                <w:sz w:val="20"/>
                <w:szCs w:val="20"/>
              </w:rPr>
            </w:pPr>
            <w:r w:rsidRPr="00121F7A">
              <w:rPr>
                <w:rFonts w:cstheme="minorHAnsi"/>
                <w:b w:val="0"/>
                <w:sz w:val="20"/>
                <w:szCs w:val="20"/>
              </w:rPr>
              <w:t>190.5</w:t>
            </w:r>
          </w:p>
        </w:tc>
        <w:tc>
          <w:tcPr>
            <w:tcW w:w="860" w:type="dxa"/>
          </w:tcPr>
          <w:p w14:paraId="291021CA" w14:textId="51A3C66F" w:rsidR="00121F7A" w:rsidRPr="00BC42C7" w:rsidRDefault="00121F7A" w:rsidP="00121F7A">
            <w:pPr>
              <w:pStyle w:val="Tableheading"/>
              <w:rPr>
                <w:rFonts w:cstheme="minorHAnsi"/>
                <w:b w:val="0"/>
                <w:sz w:val="20"/>
                <w:szCs w:val="20"/>
              </w:rPr>
            </w:pPr>
            <w:r w:rsidRPr="00121F7A">
              <w:rPr>
                <w:rFonts w:cstheme="minorHAnsi"/>
                <w:b w:val="0"/>
                <w:sz w:val="20"/>
                <w:szCs w:val="20"/>
              </w:rPr>
              <w:t>126</w:t>
            </w:r>
          </w:p>
        </w:tc>
        <w:tc>
          <w:tcPr>
            <w:tcW w:w="959" w:type="dxa"/>
          </w:tcPr>
          <w:p w14:paraId="6AECF8B4" w14:textId="13006CDD" w:rsidR="00121F7A" w:rsidRPr="00A63DC0" w:rsidRDefault="00121F7A" w:rsidP="00121F7A">
            <w:pPr>
              <w:pStyle w:val="Tableheading"/>
              <w:rPr>
                <w:rFonts w:cstheme="minorHAnsi"/>
                <w:b w:val="0"/>
                <w:sz w:val="20"/>
                <w:szCs w:val="20"/>
              </w:rPr>
            </w:pPr>
            <w:r w:rsidRPr="00121F7A">
              <w:rPr>
                <w:rFonts w:cstheme="minorHAnsi"/>
                <w:b w:val="0"/>
                <w:sz w:val="20"/>
                <w:szCs w:val="20"/>
              </w:rPr>
              <w:t>78</w:t>
            </w:r>
          </w:p>
        </w:tc>
        <w:tc>
          <w:tcPr>
            <w:tcW w:w="767" w:type="dxa"/>
          </w:tcPr>
          <w:p w14:paraId="200E05AE" w14:textId="125D1A47" w:rsidR="00121F7A" w:rsidRPr="00A63DC0" w:rsidRDefault="00121F7A" w:rsidP="00121F7A">
            <w:pPr>
              <w:pStyle w:val="Tableheading"/>
              <w:rPr>
                <w:rFonts w:cstheme="minorHAnsi"/>
                <w:b w:val="0"/>
                <w:sz w:val="20"/>
                <w:szCs w:val="20"/>
              </w:rPr>
            </w:pPr>
            <w:r w:rsidRPr="00121F7A">
              <w:rPr>
                <w:rFonts w:cstheme="minorHAnsi"/>
                <w:b w:val="0"/>
                <w:sz w:val="20"/>
                <w:szCs w:val="20"/>
              </w:rPr>
              <w:t>210</w:t>
            </w:r>
          </w:p>
        </w:tc>
        <w:tc>
          <w:tcPr>
            <w:tcW w:w="703" w:type="dxa"/>
          </w:tcPr>
          <w:p w14:paraId="0D3FE370" w14:textId="213310F9" w:rsidR="00121F7A" w:rsidRPr="00A63DC0" w:rsidRDefault="00121F7A" w:rsidP="00121F7A">
            <w:pPr>
              <w:pStyle w:val="Tableheading"/>
              <w:rPr>
                <w:rFonts w:cstheme="minorHAnsi"/>
                <w:b w:val="0"/>
                <w:sz w:val="20"/>
                <w:szCs w:val="20"/>
              </w:rPr>
            </w:pPr>
            <w:r w:rsidRPr="00121F7A">
              <w:rPr>
                <w:rFonts w:cstheme="minorHAnsi"/>
                <w:b w:val="0"/>
                <w:sz w:val="20"/>
                <w:szCs w:val="20"/>
              </w:rPr>
              <w:t>1,207</w:t>
            </w:r>
          </w:p>
        </w:tc>
      </w:tr>
      <w:tr w:rsidR="00121F7A" w:rsidRPr="001D0858" w14:paraId="3EC7B972" w14:textId="264E2837" w:rsidTr="00121F7A">
        <w:trPr>
          <w:trHeight w:val="20"/>
        </w:trPr>
        <w:tc>
          <w:tcPr>
            <w:tcW w:w="2963" w:type="dxa"/>
          </w:tcPr>
          <w:p w14:paraId="7E89D099"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Denosumab</w:t>
            </w:r>
          </w:p>
        </w:tc>
        <w:tc>
          <w:tcPr>
            <w:tcW w:w="1762" w:type="dxa"/>
          </w:tcPr>
          <w:p w14:paraId="08148355" w14:textId="777965B8" w:rsidR="00121F7A" w:rsidRPr="000F2789" w:rsidRDefault="00121F7A" w:rsidP="00121F7A">
            <w:pPr>
              <w:pStyle w:val="Tableheading"/>
              <w:rPr>
                <w:rFonts w:cstheme="minorHAnsi"/>
                <w:b w:val="0"/>
                <w:sz w:val="20"/>
                <w:szCs w:val="20"/>
              </w:rPr>
            </w:pPr>
            <w:r w:rsidRPr="00121F7A">
              <w:rPr>
                <w:rFonts w:cstheme="minorHAnsi"/>
                <w:b w:val="0"/>
                <w:sz w:val="20"/>
                <w:szCs w:val="20"/>
              </w:rPr>
              <w:t>357</w:t>
            </w:r>
          </w:p>
        </w:tc>
        <w:tc>
          <w:tcPr>
            <w:tcW w:w="933" w:type="dxa"/>
          </w:tcPr>
          <w:p w14:paraId="5B157061" w14:textId="43A27E98" w:rsidR="00121F7A" w:rsidRPr="000F2789" w:rsidRDefault="00121F7A" w:rsidP="00121F7A">
            <w:pPr>
              <w:pStyle w:val="Tableheading"/>
              <w:rPr>
                <w:rFonts w:cstheme="minorHAnsi"/>
                <w:b w:val="0"/>
                <w:sz w:val="20"/>
                <w:szCs w:val="20"/>
              </w:rPr>
            </w:pPr>
            <w:r w:rsidRPr="00121F7A">
              <w:rPr>
                <w:rFonts w:cstheme="minorHAnsi"/>
                <w:b w:val="0"/>
                <w:sz w:val="20"/>
                <w:szCs w:val="20"/>
              </w:rPr>
              <w:t>200.4</w:t>
            </w:r>
          </w:p>
        </w:tc>
        <w:tc>
          <w:tcPr>
            <w:tcW w:w="860" w:type="dxa"/>
          </w:tcPr>
          <w:p w14:paraId="6085127A" w14:textId="4BDF6BC7" w:rsidR="00121F7A" w:rsidRPr="000F2789" w:rsidRDefault="00121F7A" w:rsidP="00121F7A">
            <w:pPr>
              <w:pStyle w:val="Tableheading"/>
              <w:rPr>
                <w:rFonts w:cstheme="minorHAnsi"/>
                <w:b w:val="0"/>
                <w:sz w:val="20"/>
                <w:szCs w:val="20"/>
              </w:rPr>
            </w:pPr>
            <w:r w:rsidRPr="00121F7A">
              <w:rPr>
                <w:rFonts w:cstheme="minorHAnsi"/>
                <w:b w:val="0"/>
                <w:sz w:val="20"/>
                <w:szCs w:val="20"/>
              </w:rPr>
              <w:t>142</w:t>
            </w:r>
          </w:p>
        </w:tc>
        <w:tc>
          <w:tcPr>
            <w:tcW w:w="959" w:type="dxa"/>
          </w:tcPr>
          <w:p w14:paraId="6C22B8F8" w14:textId="553693F9" w:rsidR="00121F7A" w:rsidRPr="00A63DC0" w:rsidRDefault="00121F7A" w:rsidP="00121F7A">
            <w:pPr>
              <w:pStyle w:val="Tableheading"/>
              <w:rPr>
                <w:rFonts w:cstheme="minorHAnsi"/>
                <w:b w:val="0"/>
                <w:sz w:val="20"/>
                <w:szCs w:val="20"/>
              </w:rPr>
            </w:pPr>
            <w:r w:rsidRPr="00121F7A">
              <w:rPr>
                <w:rFonts w:cstheme="minorHAnsi"/>
                <w:b w:val="0"/>
                <w:sz w:val="20"/>
                <w:szCs w:val="20"/>
              </w:rPr>
              <w:t>86</w:t>
            </w:r>
          </w:p>
        </w:tc>
        <w:tc>
          <w:tcPr>
            <w:tcW w:w="767" w:type="dxa"/>
          </w:tcPr>
          <w:p w14:paraId="0B1EFC75" w14:textId="29D799C4" w:rsidR="00121F7A" w:rsidRPr="00A63DC0" w:rsidRDefault="00121F7A" w:rsidP="00121F7A">
            <w:pPr>
              <w:pStyle w:val="Tableheading"/>
              <w:rPr>
                <w:rFonts w:cstheme="minorHAnsi"/>
                <w:b w:val="0"/>
                <w:sz w:val="20"/>
                <w:szCs w:val="20"/>
              </w:rPr>
            </w:pPr>
            <w:r w:rsidRPr="00121F7A">
              <w:rPr>
                <w:rFonts w:cstheme="minorHAnsi"/>
                <w:b w:val="0"/>
                <w:sz w:val="20"/>
                <w:szCs w:val="20"/>
              </w:rPr>
              <w:t>218</w:t>
            </w:r>
          </w:p>
        </w:tc>
        <w:tc>
          <w:tcPr>
            <w:tcW w:w="703" w:type="dxa"/>
          </w:tcPr>
          <w:p w14:paraId="1F698B71" w14:textId="3F1EE82A" w:rsidR="00121F7A" w:rsidRPr="00A63DC0" w:rsidRDefault="00121F7A" w:rsidP="00121F7A">
            <w:pPr>
              <w:pStyle w:val="Tableheading"/>
              <w:rPr>
                <w:rFonts w:cstheme="minorHAnsi"/>
                <w:b w:val="0"/>
                <w:sz w:val="20"/>
                <w:szCs w:val="20"/>
              </w:rPr>
            </w:pPr>
            <w:r w:rsidRPr="00121F7A">
              <w:rPr>
                <w:rFonts w:cstheme="minorHAnsi"/>
                <w:b w:val="0"/>
                <w:sz w:val="20"/>
                <w:szCs w:val="20"/>
              </w:rPr>
              <w:t>7,303</w:t>
            </w:r>
          </w:p>
        </w:tc>
      </w:tr>
      <w:tr w:rsidR="00121F7A" w:rsidRPr="001D0858" w14:paraId="37D82E9D" w14:textId="091A338E" w:rsidTr="00121F7A">
        <w:trPr>
          <w:trHeight w:val="20"/>
        </w:trPr>
        <w:tc>
          <w:tcPr>
            <w:tcW w:w="2963" w:type="dxa"/>
          </w:tcPr>
          <w:p w14:paraId="0F2212F3"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Raloxifene</w:t>
            </w:r>
          </w:p>
        </w:tc>
        <w:tc>
          <w:tcPr>
            <w:tcW w:w="1762" w:type="dxa"/>
          </w:tcPr>
          <w:p w14:paraId="293DA129" w14:textId="67237B30" w:rsidR="00121F7A" w:rsidRPr="000F2789" w:rsidRDefault="00121F7A" w:rsidP="00121F7A">
            <w:pPr>
              <w:pStyle w:val="Tableheading"/>
              <w:rPr>
                <w:rFonts w:cstheme="minorHAnsi"/>
                <w:b w:val="0"/>
                <w:sz w:val="20"/>
                <w:szCs w:val="20"/>
              </w:rPr>
            </w:pPr>
            <w:r w:rsidRPr="00121F7A">
              <w:rPr>
                <w:rFonts w:cstheme="minorHAnsi"/>
                <w:b w:val="0"/>
                <w:sz w:val="20"/>
                <w:szCs w:val="20"/>
              </w:rPr>
              <w:t>127.5</w:t>
            </w:r>
          </w:p>
        </w:tc>
        <w:tc>
          <w:tcPr>
            <w:tcW w:w="933" w:type="dxa"/>
          </w:tcPr>
          <w:p w14:paraId="437EE1CB" w14:textId="61469271" w:rsidR="00121F7A" w:rsidRPr="000F2789" w:rsidRDefault="00121F7A" w:rsidP="00121F7A">
            <w:pPr>
              <w:pStyle w:val="Tableheading"/>
              <w:rPr>
                <w:rFonts w:cstheme="minorHAnsi"/>
                <w:b w:val="0"/>
                <w:sz w:val="20"/>
                <w:szCs w:val="20"/>
              </w:rPr>
            </w:pPr>
            <w:r w:rsidRPr="00121F7A">
              <w:rPr>
                <w:rFonts w:cstheme="minorHAnsi"/>
                <w:b w:val="0"/>
                <w:sz w:val="20"/>
                <w:szCs w:val="20"/>
              </w:rPr>
              <w:t>189.7</w:t>
            </w:r>
          </w:p>
        </w:tc>
        <w:tc>
          <w:tcPr>
            <w:tcW w:w="860" w:type="dxa"/>
          </w:tcPr>
          <w:p w14:paraId="75A8FEFC" w14:textId="6B6CD0CA" w:rsidR="00121F7A" w:rsidRPr="000F2789" w:rsidRDefault="00121F7A" w:rsidP="00121F7A">
            <w:pPr>
              <w:pStyle w:val="Tableheading"/>
              <w:rPr>
                <w:rFonts w:cstheme="minorHAnsi"/>
                <w:b w:val="0"/>
                <w:sz w:val="20"/>
                <w:szCs w:val="20"/>
              </w:rPr>
            </w:pPr>
            <w:r w:rsidRPr="00121F7A">
              <w:rPr>
                <w:rFonts w:cstheme="minorHAnsi"/>
                <w:b w:val="0"/>
                <w:sz w:val="20"/>
                <w:szCs w:val="20"/>
              </w:rPr>
              <w:t>123</w:t>
            </w:r>
          </w:p>
        </w:tc>
        <w:tc>
          <w:tcPr>
            <w:tcW w:w="959" w:type="dxa"/>
          </w:tcPr>
          <w:p w14:paraId="6F4B0C5E" w14:textId="4892CA1F" w:rsidR="00121F7A" w:rsidRDefault="00121F7A" w:rsidP="00121F7A">
            <w:pPr>
              <w:pStyle w:val="Tableheading"/>
              <w:rPr>
                <w:rFonts w:cstheme="minorHAnsi"/>
                <w:b w:val="0"/>
                <w:sz w:val="20"/>
                <w:szCs w:val="20"/>
              </w:rPr>
            </w:pPr>
            <w:r w:rsidRPr="00121F7A">
              <w:rPr>
                <w:rFonts w:cstheme="minorHAnsi"/>
                <w:b w:val="0"/>
                <w:sz w:val="20"/>
                <w:szCs w:val="20"/>
              </w:rPr>
              <w:t>84</w:t>
            </w:r>
          </w:p>
        </w:tc>
        <w:tc>
          <w:tcPr>
            <w:tcW w:w="767" w:type="dxa"/>
          </w:tcPr>
          <w:p w14:paraId="2D26780C" w14:textId="4260E11A" w:rsidR="00121F7A" w:rsidRDefault="00121F7A" w:rsidP="00121F7A">
            <w:pPr>
              <w:pStyle w:val="Tableheading"/>
              <w:rPr>
                <w:rFonts w:cstheme="minorHAnsi"/>
                <w:b w:val="0"/>
                <w:sz w:val="20"/>
                <w:szCs w:val="20"/>
              </w:rPr>
            </w:pPr>
            <w:r w:rsidRPr="00121F7A">
              <w:rPr>
                <w:rFonts w:cstheme="minorHAnsi"/>
                <w:b w:val="0"/>
                <w:sz w:val="20"/>
                <w:szCs w:val="20"/>
              </w:rPr>
              <w:t>195.5</w:t>
            </w:r>
          </w:p>
        </w:tc>
        <w:tc>
          <w:tcPr>
            <w:tcW w:w="703" w:type="dxa"/>
          </w:tcPr>
          <w:p w14:paraId="4D3872C7" w14:textId="19A8741F" w:rsidR="00121F7A" w:rsidRDefault="00121F7A" w:rsidP="00121F7A">
            <w:pPr>
              <w:pStyle w:val="Tableheading"/>
              <w:rPr>
                <w:rFonts w:cstheme="minorHAnsi"/>
                <w:b w:val="0"/>
                <w:sz w:val="20"/>
                <w:szCs w:val="20"/>
              </w:rPr>
            </w:pPr>
            <w:r w:rsidRPr="00121F7A">
              <w:rPr>
                <w:rFonts w:cstheme="minorHAnsi"/>
                <w:b w:val="0"/>
                <w:sz w:val="20"/>
                <w:szCs w:val="20"/>
              </w:rPr>
              <w:t>72</w:t>
            </w:r>
          </w:p>
        </w:tc>
      </w:tr>
      <w:tr w:rsidR="00121F7A" w:rsidRPr="001D0858" w14:paraId="62A249A3" w14:textId="50445C8C" w:rsidTr="00121F7A">
        <w:trPr>
          <w:trHeight w:val="20"/>
        </w:trPr>
        <w:tc>
          <w:tcPr>
            <w:tcW w:w="2963" w:type="dxa"/>
          </w:tcPr>
          <w:p w14:paraId="7B811718"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Risedronate (incl combination products)</w:t>
            </w:r>
          </w:p>
        </w:tc>
        <w:tc>
          <w:tcPr>
            <w:tcW w:w="1762" w:type="dxa"/>
          </w:tcPr>
          <w:p w14:paraId="226000A9" w14:textId="6E7B7C49" w:rsidR="00121F7A" w:rsidRPr="000F2789" w:rsidRDefault="00121F7A" w:rsidP="00121F7A">
            <w:pPr>
              <w:pStyle w:val="Tableheading"/>
              <w:rPr>
                <w:rFonts w:cstheme="minorHAnsi"/>
                <w:b w:val="0"/>
                <w:sz w:val="20"/>
                <w:szCs w:val="20"/>
              </w:rPr>
            </w:pPr>
            <w:r w:rsidRPr="00121F7A">
              <w:rPr>
                <w:rFonts w:cstheme="minorHAnsi"/>
                <w:b w:val="0"/>
                <w:sz w:val="20"/>
                <w:szCs w:val="20"/>
              </w:rPr>
              <w:t>147</w:t>
            </w:r>
          </w:p>
        </w:tc>
        <w:tc>
          <w:tcPr>
            <w:tcW w:w="933" w:type="dxa"/>
          </w:tcPr>
          <w:p w14:paraId="4969BB60" w14:textId="6C3D8AEC" w:rsidR="00121F7A" w:rsidRPr="000F2789" w:rsidRDefault="00121F7A" w:rsidP="00121F7A">
            <w:pPr>
              <w:pStyle w:val="Tableheading"/>
              <w:rPr>
                <w:rFonts w:cstheme="minorHAnsi"/>
                <w:b w:val="0"/>
                <w:sz w:val="20"/>
                <w:szCs w:val="20"/>
              </w:rPr>
            </w:pPr>
            <w:r w:rsidRPr="00121F7A">
              <w:rPr>
                <w:rFonts w:cstheme="minorHAnsi"/>
                <w:b w:val="0"/>
                <w:sz w:val="20"/>
                <w:szCs w:val="20"/>
              </w:rPr>
              <w:t>208</w:t>
            </w:r>
          </w:p>
        </w:tc>
        <w:tc>
          <w:tcPr>
            <w:tcW w:w="860" w:type="dxa"/>
          </w:tcPr>
          <w:p w14:paraId="78463BD2" w14:textId="10077214" w:rsidR="00121F7A" w:rsidRPr="000F2789" w:rsidRDefault="00121F7A" w:rsidP="00121F7A">
            <w:pPr>
              <w:pStyle w:val="Tableheading"/>
              <w:rPr>
                <w:rFonts w:cstheme="minorHAnsi"/>
                <w:b w:val="0"/>
                <w:sz w:val="20"/>
                <w:szCs w:val="20"/>
              </w:rPr>
            </w:pPr>
            <w:r w:rsidRPr="00121F7A">
              <w:rPr>
                <w:rFonts w:cstheme="minorHAnsi"/>
                <w:b w:val="0"/>
                <w:sz w:val="20"/>
                <w:szCs w:val="20"/>
              </w:rPr>
              <w:t>127</w:t>
            </w:r>
          </w:p>
        </w:tc>
        <w:tc>
          <w:tcPr>
            <w:tcW w:w="959" w:type="dxa"/>
          </w:tcPr>
          <w:p w14:paraId="3971E159" w14:textId="08B023F0" w:rsidR="00121F7A" w:rsidRPr="00A63DC0" w:rsidRDefault="00121F7A" w:rsidP="00121F7A">
            <w:pPr>
              <w:pStyle w:val="Tableheading"/>
              <w:rPr>
                <w:rFonts w:cstheme="minorHAnsi"/>
                <w:b w:val="0"/>
                <w:sz w:val="20"/>
                <w:szCs w:val="20"/>
              </w:rPr>
            </w:pPr>
            <w:r w:rsidRPr="00121F7A">
              <w:rPr>
                <w:rFonts w:cstheme="minorHAnsi"/>
                <w:b w:val="0"/>
                <w:sz w:val="20"/>
                <w:szCs w:val="20"/>
              </w:rPr>
              <w:t>81</w:t>
            </w:r>
          </w:p>
        </w:tc>
        <w:tc>
          <w:tcPr>
            <w:tcW w:w="767" w:type="dxa"/>
          </w:tcPr>
          <w:p w14:paraId="60DEE920" w14:textId="685F6A47" w:rsidR="00121F7A" w:rsidRPr="00A63DC0" w:rsidRDefault="00121F7A" w:rsidP="00121F7A">
            <w:pPr>
              <w:pStyle w:val="Tableheading"/>
              <w:rPr>
                <w:rFonts w:cstheme="minorHAnsi"/>
                <w:b w:val="0"/>
                <w:sz w:val="20"/>
                <w:szCs w:val="20"/>
              </w:rPr>
            </w:pPr>
            <w:r w:rsidRPr="00121F7A">
              <w:rPr>
                <w:rFonts w:cstheme="minorHAnsi"/>
                <w:b w:val="0"/>
                <w:sz w:val="20"/>
                <w:szCs w:val="20"/>
              </w:rPr>
              <w:t>243</w:t>
            </w:r>
          </w:p>
        </w:tc>
        <w:tc>
          <w:tcPr>
            <w:tcW w:w="703" w:type="dxa"/>
          </w:tcPr>
          <w:p w14:paraId="699F4E7C" w14:textId="2F7D198F" w:rsidR="00121F7A" w:rsidRPr="00A63DC0" w:rsidRDefault="00121F7A" w:rsidP="00121F7A">
            <w:pPr>
              <w:pStyle w:val="Tableheading"/>
              <w:rPr>
                <w:rFonts w:cstheme="minorHAnsi"/>
                <w:b w:val="0"/>
                <w:sz w:val="20"/>
                <w:szCs w:val="20"/>
              </w:rPr>
            </w:pPr>
            <w:r w:rsidRPr="00121F7A">
              <w:rPr>
                <w:rFonts w:cstheme="minorHAnsi"/>
                <w:b w:val="0"/>
                <w:sz w:val="20"/>
                <w:szCs w:val="20"/>
              </w:rPr>
              <w:t>849</w:t>
            </w:r>
          </w:p>
        </w:tc>
      </w:tr>
      <w:tr w:rsidR="00121F7A" w:rsidRPr="001D0858" w14:paraId="7655F793" w14:textId="6737FC67" w:rsidTr="00121F7A">
        <w:trPr>
          <w:trHeight w:val="20"/>
        </w:trPr>
        <w:tc>
          <w:tcPr>
            <w:tcW w:w="2963" w:type="dxa"/>
          </w:tcPr>
          <w:p w14:paraId="06EFEA54"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Strontium ranelate (delisted August 2016)</w:t>
            </w:r>
          </w:p>
        </w:tc>
        <w:tc>
          <w:tcPr>
            <w:tcW w:w="1762" w:type="dxa"/>
          </w:tcPr>
          <w:p w14:paraId="3CFD5283" w14:textId="6D4A4EC6" w:rsidR="00121F7A" w:rsidRPr="000F2789" w:rsidRDefault="00121F7A" w:rsidP="00121F7A">
            <w:pPr>
              <w:pStyle w:val="Tableheading"/>
              <w:rPr>
                <w:rFonts w:cstheme="minorHAnsi"/>
                <w:b w:val="0"/>
                <w:sz w:val="20"/>
                <w:szCs w:val="20"/>
              </w:rPr>
            </w:pPr>
            <w:r w:rsidRPr="00121F7A">
              <w:rPr>
                <w:rFonts w:cstheme="minorHAnsi"/>
                <w:b w:val="0"/>
                <w:sz w:val="20"/>
                <w:szCs w:val="20"/>
              </w:rPr>
              <w:t>80</w:t>
            </w:r>
          </w:p>
        </w:tc>
        <w:tc>
          <w:tcPr>
            <w:tcW w:w="933" w:type="dxa"/>
          </w:tcPr>
          <w:p w14:paraId="641BBC2A" w14:textId="2AFF2FFF" w:rsidR="00121F7A" w:rsidRPr="000F2789" w:rsidRDefault="00121F7A" w:rsidP="00121F7A">
            <w:pPr>
              <w:pStyle w:val="Tableheading"/>
              <w:rPr>
                <w:rFonts w:cstheme="minorHAnsi"/>
                <w:b w:val="0"/>
                <w:sz w:val="20"/>
                <w:szCs w:val="20"/>
              </w:rPr>
            </w:pPr>
            <w:r w:rsidRPr="00121F7A">
              <w:rPr>
                <w:rFonts w:cstheme="minorHAnsi"/>
                <w:b w:val="0"/>
                <w:sz w:val="20"/>
                <w:szCs w:val="20"/>
              </w:rPr>
              <w:t>153</w:t>
            </w:r>
          </w:p>
        </w:tc>
        <w:tc>
          <w:tcPr>
            <w:tcW w:w="860" w:type="dxa"/>
          </w:tcPr>
          <w:p w14:paraId="170E9404" w14:textId="1AE12580" w:rsidR="00121F7A" w:rsidRPr="000F2789" w:rsidRDefault="00121F7A" w:rsidP="00121F7A">
            <w:pPr>
              <w:pStyle w:val="Tableheading"/>
              <w:rPr>
                <w:rFonts w:cstheme="minorHAnsi"/>
                <w:b w:val="0"/>
                <w:sz w:val="20"/>
                <w:szCs w:val="20"/>
              </w:rPr>
            </w:pPr>
            <w:r w:rsidRPr="00121F7A">
              <w:rPr>
                <w:rFonts w:cstheme="minorHAnsi"/>
                <w:b w:val="0"/>
                <w:sz w:val="20"/>
                <w:szCs w:val="20"/>
              </w:rPr>
              <w:t>115</w:t>
            </w:r>
          </w:p>
        </w:tc>
        <w:tc>
          <w:tcPr>
            <w:tcW w:w="959" w:type="dxa"/>
          </w:tcPr>
          <w:p w14:paraId="2551217D" w14:textId="4A686D80" w:rsidR="00121F7A" w:rsidRDefault="00121F7A" w:rsidP="00121F7A">
            <w:pPr>
              <w:pStyle w:val="Tableheading"/>
              <w:rPr>
                <w:rFonts w:cstheme="minorHAnsi"/>
                <w:b w:val="0"/>
                <w:sz w:val="20"/>
                <w:szCs w:val="20"/>
              </w:rPr>
            </w:pPr>
            <w:r w:rsidRPr="00121F7A">
              <w:rPr>
                <w:rFonts w:cstheme="minorHAnsi"/>
                <w:b w:val="0"/>
                <w:sz w:val="20"/>
                <w:szCs w:val="20"/>
              </w:rPr>
              <w:t>77</w:t>
            </w:r>
          </w:p>
        </w:tc>
        <w:tc>
          <w:tcPr>
            <w:tcW w:w="767" w:type="dxa"/>
          </w:tcPr>
          <w:p w14:paraId="347E8F8E" w14:textId="233DA4B6" w:rsidR="00121F7A" w:rsidRDefault="00121F7A" w:rsidP="00121F7A">
            <w:pPr>
              <w:pStyle w:val="Tableheading"/>
              <w:rPr>
                <w:rFonts w:cstheme="minorHAnsi"/>
                <w:b w:val="0"/>
                <w:sz w:val="20"/>
                <w:szCs w:val="20"/>
              </w:rPr>
            </w:pPr>
            <w:r w:rsidRPr="00121F7A">
              <w:rPr>
                <w:rFonts w:cstheme="minorHAnsi"/>
                <w:b w:val="0"/>
                <w:sz w:val="20"/>
                <w:szCs w:val="20"/>
              </w:rPr>
              <w:t>198</w:t>
            </w:r>
          </w:p>
        </w:tc>
        <w:tc>
          <w:tcPr>
            <w:tcW w:w="703" w:type="dxa"/>
          </w:tcPr>
          <w:p w14:paraId="69DAF1BA" w14:textId="0EE4B276" w:rsidR="00121F7A" w:rsidRDefault="00121F7A" w:rsidP="00121F7A">
            <w:pPr>
              <w:pStyle w:val="Tableheading"/>
              <w:rPr>
                <w:rFonts w:cstheme="minorHAnsi"/>
                <w:b w:val="0"/>
                <w:sz w:val="20"/>
                <w:szCs w:val="20"/>
              </w:rPr>
            </w:pPr>
            <w:r w:rsidRPr="00121F7A">
              <w:rPr>
                <w:rFonts w:cstheme="minorHAnsi"/>
                <w:b w:val="0"/>
                <w:sz w:val="20"/>
                <w:szCs w:val="20"/>
              </w:rPr>
              <w:t>59</w:t>
            </w:r>
          </w:p>
        </w:tc>
      </w:tr>
      <w:tr w:rsidR="00121F7A" w:rsidRPr="001D0858" w14:paraId="4B312CFA" w14:textId="20BC02F1" w:rsidTr="00121F7A">
        <w:trPr>
          <w:trHeight w:val="20"/>
        </w:trPr>
        <w:tc>
          <w:tcPr>
            <w:tcW w:w="2963" w:type="dxa"/>
          </w:tcPr>
          <w:p w14:paraId="5B07BD0F"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Teriparatide</w:t>
            </w:r>
          </w:p>
        </w:tc>
        <w:tc>
          <w:tcPr>
            <w:tcW w:w="1762" w:type="dxa"/>
          </w:tcPr>
          <w:p w14:paraId="52ECCFA0" w14:textId="769F1242" w:rsidR="00121F7A" w:rsidRPr="000F2789" w:rsidRDefault="00121F7A" w:rsidP="00121F7A">
            <w:pPr>
              <w:pStyle w:val="Tableheading"/>
              <w:rPr>
                <w:rFonts w:cstheme="minorHAnsi"/>
                <w:b w:val="0"/>
                <w:sz w:val="20"/>
                <w:szCs w:val="20"/>
              </w:rPr>
            </w:pPr>
            <w:r w:rsidRPr="00121F7A">
              <w:rPr>
                <w:rFonts w:cstheme="minorHAnsi"/>
                <w:b w:val="0"/>
                <w:sz w:val="20"/>
                <w:szCs w:val="20"/>
              </w:rPr>
              <w:t>190</w:t>
            </w:r>
          </w:p>
        </w:tc>
        <w:tc>
          <w:tcPr>
            <w:tcW w:w="933" w:type="dxa"/>
          </w:tcPr>
          <w:p w14:paraId="0FE072CC" w14:textId="5A34E367" w:rsidR="00121F7A" w:rsidRPr="000F2789" w:rsidRDefault="00121F7A" w:rsidP="00121F7A">
            <w:pPr>
              <w:pStyle w:val="Tableheading"/>
              <w:rPr>
                <w:rFonts w:cstheme="minorHAnsi"/>
                <w:b w:val="0"/>
                <w:sz w:val="20"/>
                <w:szCs w:val="20"/>
              </w:rPr>
            </w:pPr>
            <w:r w:rsidRPr="00121F7A">
              <w:rPr>
                <w:rFonts w:cstheme="minorHAnsi"/>
                <w:b w:val="0"/>
                <w:sz w:val="20"/>
                <w:szCs w:val="20"/>
              </w:rPr>
              <w:t>125.4</w:t>
            </w:r>
          </w:p>
        </w:tc>
        <w:tc>
          <w:tcPr>
            <w:tcW w:w="860" w:type="dxa"/>
          </w:tcPr>
          <w:p w14:paraId="30A0B0DC" w14:textId="3A04D935" w:rsidR="00121F7A" w:rsidRPr="000F2789" w:rsidRDefault="00121F7A" w:rsidP="00121F7A">
            <w:pPr>
              <w:pStyle w:val="Tableheading"/>
              <w:rPr>
                <w:rFonts w:cstheme="minorHAnsi"/>
                <w:b w:val="0"/>
                <w:sz w:val="20"/>
                <w:szCs w:val="20"/>
              </w:rPr>
            </w:pPr>
            <w:r w:rsidRPr="00121F7A">
              <w:rPr>
                <w:rFonts w:cstheme="minorHAnsi"/>
                <w:b w:val="0"/>
                <w:sz w:val="20"/>
                <w:szCs w:val="20"/>
              </w:rPr>
              <w:t>117</w:t>
            </w:r>
          </w:p>
        </w:tc>
        <w:tc>
          <w:tcPr>
            <w:tcW w:w="959" w:type="dxa"/>
          </w:tcPr>
          <w:p w14:paraId="1FADBCF8" w14:textId="670DAA95" w:rsidR="00121F7A" w:rsidRDefault="00121F7A" w:rsidP="00121F7A">
            <w:pPr>
              <w:pStyle w:val="Tableheading"/>
              <w:rPr>
                <w:rFonts w:cstheme="minorHAnsi"/>
                <w:b w:val="0"/>
                <w:sz w:val="20"/>
                <w:szCs w:val="20"/>
              </w:rPr>
            </w:pPr>
            <w:r w:rsidRPr="00121F7A">
              <w:rPr>
                <w:rFonts w:cstheme="minorHAnsi"/>
                <w:b w:val="0"/>
                <w:sz w:val="20"/>
                <w:szCs w:val="20"/>
              </w:rPr>
              <w:t>93</w:t>
            </w:r>
          </w:p>
        </w:tc>
        <w:tc>
          <w:tcPr>
            <w:tcW w:w="767" w:type="dxa"/>
          </w:tcPr>
          <w:p w14:paraId="67372FC9" w14:textId="1255F84A" w:rsidR="00121F7A" w:rsidRDefault="00121F7A" w:rsidP="00121F7A">
            <w:pPr>
              <w:pStyle w:val="Tableheading"/>
              <w:rPr>
                <w:rFonts w:cstheme="minorHAnsi"/>
                <w:b w:val="0"/>
                <w:sz w:val="20"/>
                <w:szCs w:val="20"/>
              </w:rPr>
            </w:pPr>
            <w:r w:rsidRPr="00121F7A">
              <w:rPr>
                <w:rFonts w:cstheme="minorHAnsi"/>
                <w:b w:val="0"/>
                <w:sz w:val="20"/>
                <w:szCs w:val="20"/>
              </w:rPr>
              <w:t>123</w:t>
            </w:r>
          </w:p>
        </w:tc>
        <w:tc>
          <w:tcPr>
            <w:tcW w:w="703" w:type="dxa"/>
          </w:tcPr>
          <w:p w14:paraId="67C9A7CC" w14:textId="0722E06A" w:rsidR="00121F7A" w:rsidRDefault="00121F7A" w:rsidP="00121F7A">
            <w:pPr>
              <w:pStyle w:val="Tableheading"/>
              <w:rPr>
                <w:rFonts w:cstheme="minorHAnsi"/>
                <w:b w:val="0"/>
                <w:sz w:val="20"/>
                <w:szCs w:val="20"/>
              </w:rPr>
            </w:pPr>
            <w:r w:rsidRPr="00121F7A">
              <w:rPr>
                <w:rFonts w:cstheme="minorHAnsi"/>
                <w:b w:val="0"/>
                <w:sz w:val="20"/>
                <w:szCs w:val="20"/>
              </w:rPr>
              <w:t>9</w:t>
            </w:r>
          </w:p>
        </w:tc>
      </w:tr>
      <w:tr w:rsidR="00121F7A" w:rsidRPr="001D0858" w14:paraId="3F4AA8C9" w14:textId="2EF7B89A" w:rsidTr="00121F7A">
        <w:trPr>
          <w:trHeight w:val="20"/>
        </w:trPr>
        <w:tc>
          <w:tcPr>
            <w:tcW w:w="2963" w:type="dxa"/>
          </w:tcPr>
          <w:p w14:paraId="38974F6F" w14:textId="77777777" w:rsidR="00121F7A" w:rsidRPr="00957354" w:rsidRDefault="00121F7A" w:rsidP="00121F7A">
            <w:pPr>
              <w:pStyle w:val="Tableheading"/>
              <w:jc w:val="left"/>
              <w:rPr>
                <w:rFonts w:cstheme="minorHAnsi"/>
                <w:sz w:val="20"/>
                <w:szCs w:val="20"/>
              </w:rPr>
            </w:pPr>
            <w:r w:rsidRPr="00957354">
              <w:rPr>
                <w:rFonts w:cstheme="minorHAnsi"/>
                <w:sz w:val="20"/>
                <w:szCs w:val="20"/>
              </w:rPr>
              <w:t>Zoledronic acid</w:t>
            </w:r>
          </w:p>
        </w:tc>
        <w:tc>
          <w:tcPr>
            <w:tcW w:w="1762" w:type="dxa"/>
          </w:tcPr>
          <w:p w14:paraId="1FCF1C49" w14:textId="6007F874" w:rsidR="00121F7A" w:rsidRPr="000F2789" w:rsidRDefault="00121F7A" w:rsidP="00121F7A">
            <w:pPr>
              <w:pStyle w:val="Tableheading"/>
              <w:rPr>
                <w:rFonts w:cstheme="minorHAnsi"/>
                <w:b w:val="0"/>
                <w:sz w:val="20"/>
                <w:szCs w:val="20"/>
              </w:rPr>
            </w:pPr>
            <w:r w:rsidRPr="00121F7A">
              <w:rPr>
                <w:rFonts w:cstheme="minorHAnsi"/>
                <w:b w:val="0"/>
                <w:sz w:val="20"/>
                <w:szCs w:val="20"/>
              </w:rPr>
              <w:t>365</w:t>
            </w:r>
          </w:p>
        </w:tc>
        <w:tc>
          <w:tcPr>
            <w:tcW w:w="933" w:type="dxa"/>
          </w:tcPr>
          <w:p w14:paraId="585FB500" w14:textId="46C76220" w:rsidR="00121F7A" w:rsidRPr="000F2789" w:rsidRDefault="00121F7A" w:rsidP="00121F7A">
            <w:pPr>
              <w:pStyle w:val="Tableheading"/>
              <w:rPr>
                <w:rFonts w:cstheme="minorHAnsi"/>
                <w:b w:val="0"/>
                <w:sz w:val="20"/>
                <w:szCs w:val="20"/>
              </w:rPr>
            </w:pPr>
            <w:r w:rsidRPr="00121F7A">
              <w:rPr>
                <w:rFonts w:cstheme="minorHAnsi"/>
                <w:b w:val="0"/>
                <w:sz w:val="20"/>
                <w:szCs w:val="20"/>
              </w:rPr>
              <w:t>268.6</w:t>
            </w:r>
          </w:p>
        </w:tc>
        <w:tc>
          <w:tcPr>
            <w:tcW w:w="860" w:type="dxa"/>
          </w:tcPr>
          <w:p w14:paraId="6AAF9A76" w14:textId="6A0C4036" w:rsidR="00121F7A" w:rsidRPr="000F2789" w:rsidRDefault="00121F7A" w:rsidP="00121F7A">
            <w:pPr>
              <w:pStyle w:val="Tableheading"/>
              <w:rPr>
                <w:rFonts w:cstheme="minorHAnsi"/>
                <w:b w:val="0"/>
                <w:sz w:val="20"/>
                <w:szCs w:val="20"/>
              </w:rPr>
            </w:pPr>
            <w:r w:rsidRPr="00121F7A">
              <w:rPr>
                <w:rFonts w:cstheme="minorHAnsi"/>
                <w:b w:val="0"/>
                <w:sz w:val="20"/>
                <w:szCs w:val="20"/>
              </w:rPr>
              <w:t>170</w:t>
            </w:r>
          </w:p>
        </w:tc>
        <w:tc>
          <w:tcPr>
            <w:tcW w:w="959" w:type="dxa"/>
          </w:tcPr>
          <w:p w14:paraId="6DC59C6C" w14:textId="7308489B" w:rsidR="00121F7A" w:rsidRPr="00A63DC0" w:rsidRDefault="00121F7A" w:rsidP="00121F7A">
            <w:pPr>
              <w:pStyle w:val="Tableheading"/>
              <w:rPr>
                <w:rFonts w:cstheme="minorHAnsi"/>
                <w:b w:val="0"/>
                <w:sz w:val="20"/>
                <w:szCs w:val="20"/>
              </w:rPr>
            </w:pPr>
            <w:r w:rsidRPr="00121F7A">
              <w:rPr>
                <w:rFonts w:cstheme="minorHAnsi"/>
                <w:b w:val="0"/>
                <w:sz w:val="20"/>
                <w:szCs w:val="20"/>
              </w:rPr>
              <w:t>94</w:t>
            </w:r>
          </w:p>
        </w:tc>
        <w:tc>
          <w:tcPr>
            <w:tcW w:w="767" w:type="dxa"/>
          </w:tcPr>
          <w:p w14:paraId="510EC93A" w14:textId="1FD65F37" w:rsidR="00121F7A" w:rsidRPr="00A63DC0" w:rsidRDefault="00121F7A" w:rsidP="00121F7A">
            <w:pPr>
              <w:pStyle w:val="Tableheading"/>
              <w:rPr>
                <w:rFonts w:cstheme="minorHAnsi"/>
                <w:b w:val="0"/>
                <w:sz w:val="20"/>
                <w:szCs w:val="20"/>
              </w:rPr>
            </w:pPr>
            <w:r w:rsidRPr="00121F7A">
              <w:rPr>
                <w:rFonts w:cstheme="minorHAnsi"/>
                <w:b w:val="0"/>
                <w:sz w:val="20"/>
                <w:szCs w:val="20"/>
              </w:rPr>
              <w:t>368</w:t>
            </w:r>
          </w:p>
        </w:tc>
        <w:tc>
          <w:tcPr>
            <w:tcW w:w="703" w:type="dxa"/>
          </w:tcPr>
          <w:p w14:paraId="7071AE1B" w14:textId="7E0F9306" w:rsidR="00121F7A" w:rsidRPr="00A63DC0" w:rsidRDefault="00121F7A" w:rsidP="00121F7A">
            <w:pPr>
              <w:pStyle w:val="Tableheading"/>
              <w:rPr>
                <w:rFonts w:cstheme="minorHAnsi"/>
                <w:b w:val="0"/>
                <w:sz w:val="20"/>
                <w:szCs w:val="20"/>
              </w:rPr>
            </w:pPr>
            <w:r w:rsidRPr="00121F7A">
              <w:rPr>
                <w:rFonts w:cstheme="minorHAnsi"/>
                <w:b w:val="0"/>
                <w:sz w:val="20"/>
                <w:szCs w:val="20"/>
              </w:rPr>
              <w:t>383</w:t>
            </w:r>
          </w:p>
        </w:tc>
      </w:tr>
      <w:tr w:rsidR="00121F7A" w:rsidRPr="001D0858" w14:paraId="5902B922" w14:textId="77777777" w:rsidTr="00121F7A">
        <w:trPr>
          <w:trHeight w:val="20"/>
        </w:trPr>
        <w:tc>
          <w:tcPr>
            <w:tcW w:w="2963" w:type="dxa"/>
          </w:tcPr>
          <w:p w14:paraId="7C151B42" w14:textId="65B6390D" w:rsidR="00121F7A" w:rsidRPr="00957354" w:rsidRDefault="00121F7A" w:rsidP="00121F7A">
            <w:pPr>
              <w:pStyle w:val="Tableheading"/>
              <w:jc w:val="left"/>
              <w:rPr>
                <w:rFonts w:cstheme="minorHAnsi"/>
                <w:sz w:val="20"/>
                <w:szCs w:val="20"/>
              </w:rPr>
            </w:pPr>
            <w:r>
              <w:rPr>
                <w:rFonts w:cstheme="minorHAnsi"/>
                <w:sz w:val="20"/>
                <w:szCs w:val="20"/>
              </w:rPr>
              <w:t>Total</w:t>
            </w:r>
          </w:p>
        </w:tc>
        <w:tc>
          <w:tcPr>
            <w:tcW w:w="1762" w:type="dxa"/>
          </w:tcPr>
          <w:p w14:paraId="50C3AA7D" w14:textId="532E520E" w:rsidR="00121F7A" w:rsidRPr="00CA102E" w:rsidRDefault="00121F7A" w:rsidP="00121F7A">
            <w:pPr>
              <w:pStyle w:val="Tableheading"/>
              <w:rPr>
                <w:rFonts w:cstheme="minorHAnsi"/>
                <w:sz w:val="20"/>
                <w:szCs w:val="20"/>
              </w:rPr>
            </w:pPr>
            <w:r w:rsidRPr="00CA102E">
              <w:rPr>
                <w:rFonts w:cstheme="minorHAnsi"/>
                <w:sz w:val="20"/>
                <w:szCs w:val="20"/>
              </w:rPr>
              <w:t>207</w:t>
            </w:r>
          </w:p>
        </w:tc>
        <w:tc>
          <w:tcPr>
            <w:tcW w:w="933" w:type="dxa"/>
          </w:tcPr>
          <w:p w14:paraId="7D704C75" w14:textId="330EC1B9" w:rsidR="00121F7A" w:rsidRPr="00CA102E" w:rsidRDefault="00121F7A" w:rsidP="00121F7A">
            <w:pPr>
              <w:pStyle w:val="Tableheading"/>
              <w:rPr>
                <w:rFonts w:cstheme="minorHAnsi"/>
                <w:sz w:val="20"/>
                <w:szCs w:val="20"/>
              </w:rPr>
            </w:pPr>
            <w:r w:rsidRPr="00CA102E">
              <w:rPr>
                <w:rFonts w:cstheme="minorHAnsi"/>
                <w:sz w:val="20"/>
                <w:szCs w:val="20"/>
              </w:rPr>
              <w:t>204.1</w:t>
            </w:r>
          </w:p>
        </w:tc>
        <w:tc>
          <w:tcPr>
            <w:tcW w:w="860" w:type="dxa"/>
          </w:tcPr>
          <w:p w14:paraId="5832168B" w14:textId="582A997E" w:rsidR="00121F7A" w:rsidRPr="00CA102E" w:rsidRDefault="00121F7A" w:rsidP="00121F7A">
            <w:pPr>
              <w:pStyle w:val="Tableheading"/>
              <w:rPr>
                <w:rFonts w:cstheme="minorHAnsi"/>
                <w:sz w:val="20"/>
                <w:szCs w:val="20"/>
              </w:rPr>
            </w:pPr>
            <w:r w:rsidRPr="00CA102E">
              <w:rPr>
                <w:rFonts w:cstheme="minorHAnsi"/>
                <w:sz w:val="20"/>
                <w:szCs w:val="20"/>
              </w:rPr>
              <w:t>137</w:t>
            </w:r>
          </w:p>
        </w:tc>
        <w:tc>
          <w:tcPr>
            <w:tcW w:w="959" w:type="dxa"/>
          </w:tcPr>
          <w:p w14:paraId="1497BE05" w14:textId="754F54F5" w:rsidR="00121F7A" w:rsidRPr="00CA102E" w:rsidRDefault="00121F7A" w:rsidP="00121F7A">
            <w:pPr>
              <w:pStyle w:val="Tableheading"/>
              <w:rPr>
                <w:rFonts w:cstheme="minorHAnsi"/>
                <w:sz w:val="20"/>
                <w:szCs w:val="20"/>
              </w:rPr>
            </w:pPr>
            <w:r w:rsidRPr="00CA102E">
              <w:rPr>
                <w:rFonts w:cstheme="minorHAnsi"/>
                <w:sz w:val="20"/>
                <w:szCs w:val="20"/>
              </w:rPr>
              <w:t>85</w:t>
            </w:r>
          </w:p>
        </w:tc>
        <w:tc>
          <w:tcPr>
            <w:tcW w:w="767" w:type="dxa"/>
          </w:tcPr>
          <w:p w14:paraId="1C619265" w14:textId="7F7B2134" w:rsidR="00121F7A" w:rsidRPr="00CA102E" w:rsidRDefault="00121F7A" w:rsidP="00121F7A">
            <w:pPr>
              <w:pStyle w:val="Tableheading"/>
              <w:rPr>
                <w:rFonts w:cstheme="minorHAnsi"/>
                <w:sz w:val="20"/>
                <w:szCs w:val="20"/>
              </w:rPr>
            </w:pPr>
            <w:r w:rsidRPr="00CA102E">
              <w:rPr>
                <w:rFonts w:cstheme="minorHAnsi"/>
                <w:sz w:val="20"/>
                <w:szCs w:val="20"/>
              </w:rPr>
              <w:t>223</w:t>
            </w:r>
          </w:p>
        </w:tc>
        <w:tc>
          <w:tcPr>
            <w:tcW w:w="703" w:type="dxa"/>
          </w:tcPr>
          <w:p w14:paraId="6639F897" w14:textId="38C4DB2C" w:rsidR="00121F7A" w:rsidRPr="00CA102E" w:rsidRDefault="00121F7A" w:rsidP="00121F7A">
            <w:pPr>
              <w:pStyle w:val="Tableheading"/>
              <w:rPr>
                <w:rFonts w:cstheme="minorHAnsi"/>
                <w:sz w:val="20"/>
                <w:szCs w:val="20"/>
              </w:rPr>
            </w:pPr>
            <w:r w:rsidRPr="00CA102E">
              <w:rPr>
                <w:rFonts w:cstheme="minorHAnsi"/>
                <w:sz w:val="20"/>
                <w:szCs w:val="20"/>
              </w:rPr>
              <w:t>11,219</w:t>
            </w:r>
          </w:p>
        </w:tc>
      </w:tr>
    </w:tbl>
    <w:p w14:paraId="2E3A0462" w14:textId="77777777" w:rsidR="004C62C5" w:rsidRDefault="004C62C5" w:rsidP="004C62C5"/>
    <w:p w14:paraId="71772DFC" w14:textId="2949E6DA" w:rsidR="00166664" w:rsidRDefault="00E3211E" w:rsidP="00166664">
      <w:pPr>
        <w:pStyle w:val="Tabletitle"/>
      </w:pPr>
      <w:r>
        <w:t>Table 20</w:t>
      </w:r>
      <w:r w:rsidR="00166664">
        <w:t xml:space="preserve">: Time to first </w:t>
      </w:r>
      <w:r w:rsidR="00166664" w:rsidRPr="00933BDD">
        <w:t xml:space="preserve">treatment </w:t>
      </w:r>
      <w:r w:rsidR="00166664">
        <w:t xml:space="preserve">break and </w:t>
      </w:r>
      <w:r w:rsidR="00166664" w:rsidRPr="00933BDD">
        <w:t>duration</w:t>
      </w:r>
      <w:r w:rsidR="00166664">
        <w:t xml:space="preserve"> of break</w:t>
      </w:r>
      <w:r w:rsidR="00166664" w:rsidRPr="00933BDD">
        <w:t xml:space="preserve"> for patients initiating osteoporosis medicines between 2014 and 201</w:t>
      </w:r>
      <w:r w:rsidR="008170F0">
        <w:t>5</w:t>
      </w:r>
      <w:r w:rsidR="00166664" w:rsidRPr="00933BDD">
        <w:t>, by type of treatment</w:t>
      </w:r>
      <w:r w:rsidR="008170F0">
        <w:t xml:space="preserve"> (sensitivity analysis)</w:t>
      </w:r>
    </w:p>
    <w:tbl>
      <w:tblPr>
        <w:tblStyle w:val="TableGrid"/>
        <w:tblW w:w="0" w:type="auto"/>
        <w:tblLook w:val="04A0" w:firstRow="1" w:lastRow="0" w:firstColumn="1" w:lastColumn="0" w:noHBand="0" w:noVBand="1"/>
        <w:tblCaption w:val="Table 18: Time to first treatment break and duration of break for patients initiating osteoporosis medicines between 2014 and 2015, by type of treatment (sensitivity analysis)"/>
      </w:tblPr>
      <w:tblGrid>
        <w:gridCol w:w="2927"/>
        <w:gridCol w:w="1748"/>
        <w:gridCol w:w="928"/>
        <w:gridCol w:w="857"/>
        <w:gridCol w:w="949"/>
        <w:gridCol w:w="765"/>
        <w:gridCol w:w="773"/>
      </w:tblGrid>
      <w:tr w:rsidR="00166664" w:rsidRPr="001D0858" w14:paraId="2775AE0A" w14:textId="77777777" w:rsidTr="00423E43">
        <w:trPr>
          <w:trHeight w:val="20"/>
          <w:tblHeader/>
        </w:trPr>
        <w:tc>
          <w:tcPr>
            <w:tcW w:w="2927" w:type="dxa"/>
            <w:vMerge w:val="restart"/>
            <w:shd w:val="clear" w:color="auto" w:fill="BFBFBF" w:themeFill="background1" w:themeFillShade="BF"/>
          </w:tcPr>
          <w:p w14:paraId="042C1B08" w14:textId="77777777" w:rsidR="00166664" w:rsidRDefault="00166664" w:rsidP="00D069E4">
            <w:pPr>
              <w:pStyle w:val="Tableheading"/>
              <w:rPr>
                <w:sz w:val="20"/>
                <w:szCs w:val="20"/>
              </w:rPr>
            </w:pPr>
          </w:p>
        </w:tc>
        <w:tc>
          <w:tcPr>
            <w:tcW w:w="1748" w:type="dxa"/>
            <w:shd w:val="clear" w:color="auto" w:fill="BFBFBF" w:themeFill="background1" w:themeFillShade="BF"/>
          </w:tcPr>
          <w:p w14:paraId="2B15A666" w14:textId="77777777" w:rsidR="00166664" w:rsidRPr="001D0858" w:rsidRDefault="00166664" w:rsidP="00D069E4">
            <w:pPr>
              <w:pStyle w:val="Tableheading"/>
              <w:rPr>
                <w:sz w:val="20"/>
                <w:szCs w:val="20"/>
              </w:rPr>
            </w:pPr>
            <w:r>
              <w:rPr>
                <w:sz w:val="20"/>
                <w:szCs w:val="20"/>
              </w:rPr>
              <w:t>Time to first treatment break (days)</w:t>
            </w:r>
          </w:p>
        </w:tc>
        <w:tc>
          <w:tcPr>
            <w:tcW w:w="3499" w:type="dxa"/>
            <w:gridSpan w:val="4"/>
            <w:shd w:val="clear" w:color="auto" w:fill="BFBFBF" w:themeFill="background1" w:themeFillShade="BF"/>
          </w:tcPr>
          <w:p w14:paraId="789D5C23" w14:textId="77777777" w:rsidR="00166664" w:rsidRDefault="00166664" w:rsidP="00D069E4">
            <w:pPr>
              <w:pStyle w:val="Tableheading"/>
              <w:rPr>
                <w:sz w:val="20"/>
                <w:szCs w:val="20"/>
              </w:rPr>
            </w:pPr>
            <w:r>
              <w:rPr>
                <w:sz w:val="20"/>
                <w:szCs w:val="20"/>
              </w:rPr>
              <w:t>Duration of first treatment break (days)</w:t>
            </w:r>
          </w:p>
        </w:tc>
        <w:tc>
          <w:tcPr>
            <w:tcW w:w="773" w:type="dxa"/>
            <w:vMerge w:val="restart"/>
            <w:shd w:val="clear" w:color="auto" w:fill="BFBFBF" w:themeFill="background1" w:themeFillShade="BF"/>
          </w:tcPr>
          <w:p w14:paraId="47E496B0" w14:textId="77777777" w:rsidR="00166664" w:rsidRDefault="00166664" w:rsidP="00D069E4">
            <w:pPr>
              <w:pStyle w:val="Tableheading"/>
              <w:rPr>
                <w:sz w:val="20"/>
                <w:szCs w:val="20"/>
              </w:rPr>
            </w:pPr>
            <w:r>
              <w:rPr>
                <w:sz w:val="20"/>
                <w:szCs w:val="20"/>
              </w:rPr>
              <w:t>N</w:t>
            </w:r>
          </w:p>
        </w:tc>
      </w:tr>
      <w:tr w:rsidR="00CA102E" w:rsidRPr="001D0858" w14:paraId="30258EDC" w14:textId="77777777" w:rsidTr="00423E43">
        <w:trPr>
          <w:trHeight w:val="20"/>
          <w:tblHeader/>
        </w:trPr>
        <w:tc>
          <w:tcPr>
            <w:tcW w:w="2927" w:type="dxa"/>
            <w:vMerge/>
            <w:shd w:val="clear" w:color="auto" w:fill="BFBFBF" w:themeFill="background1" w:themeFillShade="BF"/>
          </w:tcPr>
          <w:p w14:paraId="68A26FC6" w14:textId="77777777" w:rsidR="00166664" w:rsidRDefault="00166664" w:rsidP="00D069E4">
            <w:pPr>
              <w:pStyle w:val="Tableheading"/>
              <w:rPr>
                <w:sz w:val="20"/>
                <w:szCs w:val="20"/>
              </w:rPr>
            </w:pPr>
          </w:p>
        </w:tc>
        <w:tc>
          <w:tcPr>
            <w:tcW w:w="1748" w:type="dxa"/>
            <w:shd w:val="clear" w:color="auto" w:fill="BFBFBF" w:themeFill="background1" w:themeFillShade="BF"/>
          </w:tcPr>
          <w:p w14:paraId="3AA6FD56" w14:textId="77777777" w:rsidR="00166664" w:rsidRPr="001D0858" w:rsidRDefault="00166664" w:rsidP="00D069E4">
            <w:pPr>
              <w:pStyle w:val="Tableheading"/>
              <w:rPr>
                <w:sz w:val="20"/>
                <w:szCs w:val="20"/>
              </w:rPr>
            </w:pPr>
            <w:r>
              <w:rPr>
                <w:sz w:val="20"/>
                <w:szCs w:val="20"/>
              </w:rPr>
              <w:t>Median</w:t>
            </w:r>
          </w:p>
        </w:tc>
        <w:tc>
          <w:tcPr>
            <w:tcW w:w="928" w:type="dxa"/>
            <w:shd w:val="clear" w:color="auto" w:fill="BFBFBF" w:themeFill="background1" w:themeFillShade="BF"/>
          </w:tcPr>
          <w:p w14:paraId="33519021" w14:textId="77777777" w:rsidR="00166664" w:rsidRPr="001D0858" w:rsidRDefault="00166664" w:rsidP="00D069E4">
            <w:pPr>
              <w:pStyle w:val="Tableheading"/>
              <w:rPr>
                <w:sz w:val="20"/>
                <w:szCs w:val="20"/>
              </w:rPr>
            </w:pPr>
            <w:r>
              <w:rPr>
                <w:sz w:val="20"/>
                <w:szCs w:val="20"/>
              </w:rPr>
              <w:t>Mean</w:t>
            </w:r>
          </w:p>
        </w:tc>
        <w:tc>
          <w:tcPr>
            <w:tcW w:w="857" w:type="dxa"/>
            <w:shd w:val="clear" w:color="auto" w:fill="BFBFBF" w:themeFill="background1" w:themeFillShade="BF"/>
          </w:tcPr>
          <w:p w14:paraId="5B130B31" w14:textId="77777777" w:rsidR="00166664" w:rsidRPr="001D0858" w:rsidRDefault="00166664" w:rsidP="00D069E4">
            <w:pPr>
              <w:pStyle w:val="Tableheading"/>
              <w:rPr>
                <w:sz w:val="20"/>
                <w:szCs w:val="20"/>
              </w:rPr>
            </w:pPr>
            <w:r>
              <w:rPr>
                <w:sz w:val="20"/>
                <w:szCs w:val="20"/>
              </w:rPr>
              <w:t>Mode</w:t>
            </w:r>
          </w:p>
        </w:tc>
        <w:tc>
          <w:tcPr>
            <w:tcW w:w="949" w:type="dxa"/>
            <w:shd w:val="clear" w:color="auto" w:fill="BFBFBF" w:themeFill="background1" w:themeFillShade="BF"/>
          </w:tcPr>
          <w:p w14:paraId="04A14267" w14:textId="77777777" w:rsidR="00166664" w:rsidRDefault="00166664" w:rsidP="00D069E4">
            <w:pPr>
              <w:pStyle w:val="Tableheading"/>
              <w:rPr>
                <w:sz w:val="20"/>
                <w:szCs w:val="20"/>
              </w:rPr>
            </w:pPr>
            <w:r>
              <w:rPr>
                <w:sz w:val="20"/>
                <w:szCs w:val="20"/>
              </w:rPr>
              <w:t>Q1</w:t>
            </w:r>
          </w:p>
        </w:tc>
        <w:tc>
          <w:tcPr>
            <w:tcW w:w="765" w:type="dxa"/>
            <w:shd w:val="clear" w:color="auto" w:fill="BFBFBF" w:themeFill="background1" w:themeFillShade="BF"/>
          </w:tcPr>
          <w:p w14:paraId="397D169A" w14:textId="77777777" w:rsidR="00166664" w:rsidRDefault="00166664" w:rsidP="00D069E4">
            <w:pPr>
              <w:pStyle w:val="Tableheading"/>
              <w:rPr>
                <w:sz w:val="20"/>
                <w:szCs w:val="20"/>
              </w:rPr>
            </w:pPr>
            <w:r>
              <w:rPr>
                <w:sz w:val="20"/>
                <w:szCs w:val="20"/>
              </w:rPr>
              <w:t>Q3</w:t>
            </w:r>
          </w:p>
        </w:tc>
        <w:tc>
          <w:tcPr>
            <w:tcW w:w="773" w:type="dxa"/>
            <w:vMerge/>
            <w:shd w:val="clear" w:color="auto" w:fill="BFBFBF" w:themeFill="background1" w:themeFillShade="BF"/>
          </w:tcPr>
          <w:p w14:paraId="0ED8D9BB" w14:textId="77777777" w:rsidR="00166664" w:rsidRDefault="00166664" w:rsidP="00D069E4">
            <w:pPr>
              <w:pStyle w:val="Tableheading"/>
              <w:rPr>
                <w:sz w:val="20"/>
                <w:szCs w:val="20"/>
              </w:rPr>
            </w:pPr>
          </w:p>
        </w:tc>
      </w:tr>
      <w:tr w:rsidR="00CA102E" w:rsidRPr="001D0858" w14:paraId="34CC9F86" w14:textId="77777777" w:rsidTr="00423E43">
        <w:trPr>
          <w:trHeight w:val="20"/>
        </w:trPr>
        <w:tc>
          <w:tcPr>
            <w:tcW w:w="2927" w:type="dxa"/>
          </w:tcPr>
          <w:p w14:paraId="2BE6630B" w14:textId="77777777" w:rsidR="00CA102E" w:rsidRPr="008F7DCD" w:rsidRDefault="00CA102E" w:rsidP="00CA102E">
            <w:pPr>
              <w:pStyle w:val="Tableheading"/>
              <w:jc w:val="left"/>
              <w:rPr>
                <w:rFonts w:cstheme="minorHAnsi"/>
                <w:sz w:val="20"/>
                <w:szCs w:val="20"/>
              </w:rPr>
            </w:pPr>
            <w:r w:rsidRPr="00957354">
              <w:rPr>
                <w:rFonts w:cstheme="minorHAnsi"/>
                <w:sz w:val="20"/>
                <w:szCs w:val="20"/>
              </w:rPr>
              <w:t>Alendronate (incl combination products)</w:t>
            </w:r>
          </w:p>
        </w:tc>
        <w:tc>
          <w:tcPr>
            <w:tcW w:w="1748" w:type="dxa"/>
          </w:tcPr>
          <w:p w14:paraId="40725DA9" w14:textId="53242940" w:rsidR="00CA102E" w:rsidRPr="00BC42C7" w:rsidRDefault="00CA102E" w:rsidP="00CA102E">
            <w:pPr>
              <w:pStyle w:val="Tableheading"/>
              <w:rPr>
                <w:rFonts w:cstheme="minorHAnsi"/>
                <w:b w:val="0"/>
                <w:sz w:val="20"/>
                <w:szCs w:val="20"/>
              </w:rPr>
            </w:pPr>
            <w:r w:rsidRPr="00CA102E">
              <w:rPr>
                <w:rFonts w:cstheme="minorHAnsi"/>
                <w:b w:val="0"/>
                <w:sz w:val="20"/>
                <w:szCs w:val="20"/>
              </w:rPr>
              <w:t>165</w:t>
            </w:r>
          </w:p>
        </w:tc>
        <w:tc>
          <w:tcPr>
            <w:tcW w:w="928" w:type="dxa"/>
          </w:tcPr>
          <w:p w14:paraId="7E7FECDD" w14:textId="5A35E48A" w:rsidR="00CA102E" w:rsidRPr="00BC42C7" w:rsidRDefault="00CA102E" w:rsidP="00CA102E">
            <w:pPr>
              <w:pStyle w:val="Tableheading"/>
              <w:rPr>
                <w:rFonts w:cstheme="minorHAnsi"/>
                <w:b w:val="0"/>
                <w:sz w:val="20"/>
                <w:szCs w:val="20"/>
              </w:rPr>
            </w:pPr>
            <w:r w:rsidRPr="00CA102E">
              <w:rPr>
                <w:rFonts w:cstheme="minorHAnsi"/>
                <w:b w:val="0"/>
                <w:sz w:val="20"/>
                <w:szCs w:val="20"/>
              </w:rPr>
              <w:t>228.6</w:t>
            </w:r>
          </w:p>
        </w:tc>
        <w:tc>
          <w:tcPr>
            <w:tcW w:w="857" w:type="dxa"/>
          </w:tcPr>
          <w:p w14:paraId="0CAEDDA3" w14:textId="2CE85048" w:rsidR="00CA102E" w:rsidRPr="00BC42C7" w:rsidRDefault="00CA102E" w:rsidP="00CA102E">
            <w:pPr>
              <w:pStyle w:val="Tableheading"/>
              <w:rPr>
                <w:rFonts w:cstheme="minorHAnsi"/>
                <w:b w:val="0"/>
                <w:sz w:val="20"/>
                <w:szCs w:val="20"/>
              </w:rPr>
            </w:pPr>
            <w:r w:rsidRPr="00CA102E">
              <w:rPr>
                <w:rFonts w:cstheme="minorHAnsi"/>
                <w:b w:val="0"/>
                <w:sz w:val="20"/>
                <w:szCs w:val="20"/>
              </w:rPr>
              <w:t>120</w:t>
            </w:r>
          </w:p>
        </w:tc>
        <w:tc>
          <w:tcPr>
            <w:tcW w:w="949" w:type="dxa"/>
          </w:tcPr>
          <w:p w14:paraId="2B7979BA" w14:textId="68BD22F7" w:rsidR="00CA102E" w:rsidRPr="00A63DC0" w:rsidRDefault="00CA102E" w:rsidP="00CA102E">
            <w:pPr>
              <w:pStyle w:val="Tableheading"/>
              <w:rPr>
                <w:rFonts w:cstheme="minorHAnsi"/>
                <w:b w:val="0"/>
                <w:sz w:val="20"/>
                <w:szCs w:val="20"/>
              </w:rPr>
            </w:pPr>
            <w:r w:rsidRPr="00CA102E">
              <w:rPr>
                <w:rFonts w:cstheme="minorHAnsi"/>
                <w:b w:val="0"/>
                <w:sz w:val="20"/>
                <w:szCs w:val="20"/>
              </w:rPr>
              <w:t>81</w:t>
            </w:r>
          </w:p>
        </w:tc>
        <w:tc>
          <w:tcPr>
            <w:tcW w:w="765" w:type="dxa"/>
          </w:tcPr>
          <w:p w14:paraId="6E3FA14B" w14:textId="217958C3" w:rsidR="00CA102E" w:rsidRPr="00A63DC0" w:rsidRDefault="00CA102E" w:rsidP="00CA102E">
            <w:pPr>
              <w:pStyle w:val="Tableheading"/>
              <w:rPr>
                <w:rFonts w:cstheme="minorHAnsi"/>
                <w:b w:val="0"/>
                <w:sz w:val="20"/>
                <w:szCs w:val="20"/>
              </w:rPr>
            </w:pPr>
            <w:r w:rsidRPr="00CA102E">
              <w:rPr>
                <w:rFonts w:cstheme="minorHAnsi"/>
                <w:b w:val="0"/>
                <w:sz w:val="20"/>
                <w:szCs w:val="20"/>
              </w:rPr>
              <w:t>235</w:t>
            </w:r>
          </w:p>
        </w:tc>
        <w:tc>
          <w:tcPr>
            <w:tcW w:w="773" w:type="dxa"/>
          </w:tcPr>
          <w:p w14:paraId="1A1BBA73" w14:textId="3BF8224D" w:rsidR="00CA102E" w:rsidRPr="00A63DC0" w:rsidRDefault="00CA102E" w:rsidP="00CA102E">
            <w:pPr>
              <w:pStyle w:val="Tableheading"/>
              <w:rPr>
                <w:rFonts w:cstheme="minorHAnsi"/>
                <w:b w:val="0"/>
                <w:sz w:val="20"/>
                <w:szCs w:val="20"/>
              </w:rPr>
            </w:pPr>
            <w:r w:rsidRPr="00CA102E">
              <w:rPr>
                <w:rFonts w:cstheme="minorHAnsi"/>
                <w:b w:val="0"/>
                <w:sz w:val="20"/>
                <w:szCs w:val="20"/>
              </w:rPr>
              <w:t>826</w:t>
            </w:r>
          </w:p>
        </w:tc>
      </w:tr>
      <w:tr w:rsidR="00CA102E" w:rsidRPr="001D0858" w14:paraId="701F1C0D" w14:textId="77777777" w:rsidTr="00423E43">
        <w:trPr>
          <w:trHeight w:val="20"/>
        </w:trPr>
        <w:tc>
          <w:tcPr>
            <w:tcW w:w="2927" w:type="dxa"/>
          </w:tcPr>
          <w:p w14:paraId="2910B80A" w14:textId="77777777" w:rsidR="00CA102E" w:rsidRPr="008F7DCD" w:rsidRDefault="00CA102E" w:rsidP="00CA102E">
            <w:pPr>
              <w:pStyle w:val="Tableheading"/>
              <w:jc w:val="left"/>
              <w:rPr>
                <w:rFonts w:cstheme="minorHAnsi"/>
                <w:sz w:val="20"/>
                <w:szCs w:val="20"/>
              </w:rPr>
            </w:pPr>
            <w:r w:rsidRPr="00957354">
              <w:rPr>
                <w:rFonts w:cstheme="minorHAnsi"/>
                <w:sz w:val="20"/>
                <w:szCs w:val="20"/>
              </w:rPr>
              <w:t>Calcitriol</w:t>
            </w:r>
          </w:p>
        </w:tc>
        <w:tc>
          <w:tcPr>
            <w:tcW w:w="1748" w:type="dxa"/>
          </w:tcPr>
          <w:p w14:paraId="017121BE" w14:textId="3547F603" w:rsidR="00CA102E" w:rsidRPr="00BC42C7" w:rsidRDefault="00CA102E" w:rsidP="00CA102E">
            <w:pPr>
              <w:pStyle w:val="Tableheading"/>
              <w:rPr>
                <w:rFonts w:cstheme="minorHAnsi"/>
                <w:b w:val="0"/>
                <w:sz w:val="20"/>
                <w:szCs w:val="20"/>
              </w:rPr>
            </w:pPr>
            <w:r w:rsidRPr="00CA102E">
              <w:rPr>
                <w:rFonts w:cstheme="minorHAnsi"/>
                <w:b w:val="0"/>
                <w:sz w:val="20"/>
                <w:szCs w:val="20"/>
              </w:rPr>
              <w:t>97</w:t>
            </w:r>
          </w:p>
        </w:tc>
        <w:tc>
          <w:tcPr>
            <w:tcW w:w="928" w:type="dxa"/>
          </w:tcPr>
          <w:p w14:paraId="6C281BC9" w14:textId="68F537EC" w:rsidR="00CA102E" w:rsidRPr="00BC42C7" w:rsidRDefault="00CA102E" w:rsidP="00CA102E">
            <w:pPr>
              <w:pStyle w:val="Tableheading"/>
              <w:rPr>
                <w:rFonts w:cstheme="minorHAnsi"/>
                <w:b w:val="0"/>
                <w:sz w:val="20"/>
                <w:szCs w:val="20"/>
              </w:rPr>
            </w:pPr>
            <w:r w:rsidRPr="00CA102E">
              <w:rPr>
                <w:rFonts w:cstheme="minorHAnsi"/>
                <w:b w:val="0"/>
                <w:sz w:val="20"/>
                <w:szCs w:val="20"/>
              </w:rPr>
              <w:t>205.3</w:t>
            </w:r>
          </w:p>
        </w:tc>
        <w:tc>
          <w:tcPr>
            <w:tcW w:w="857" w:type="dxa"/>
          </w:tcPr>
          <w:p w14:paraId="59BEDCD7" w14:textId="23BC8BFC" w:rsidR="00CA102E" w:rsidRPr="00BC42C7" w:rsidRDefault="00CA102E" w:rsidP="00CA102E">
            <w:pPr>
              <w:pStyle w:val="Tableheading"/>
              <w:rPr>
                <w:rFonts w:cstheme="minorHAnsi"/>
                <w:b w:val="0"/>
                <w:sz w:val="20"/>
                <w:szCs w:val="20"/>
              </w:rPr>
            </w:pPr>
            <w:r w:rsidRPr="00CA102E">
              <w:rPr>
                <w:rFonts w:cstheme="minorHAnsi"/>
                <w:b w:val="0"/>
                <w:sz w:val="20"/>
                <w:szCs w:val="20"/>
              </w:rPr>
              <w:t>126</w:t>
            </w:r>
          </w:p>
        </w:tc>
        <w:tc>
          <w:tcPr>
            <w:tcW w:w="949" w:type="dxa"/>
          </w:tcPr>
          <w:p w14:paraId="0A2AFC00" w14:textId="720286D9" w:rsidR="00CA102E" w:rsidRPr="00A63DC0" w:rsidRDefault="00CA102E" w:rsidP="00CA102E">
            <w:pPr>
              <w:pStyle w:val="Tableheading"/>
              <w:rPr>
                <w:rFonts w:cstheme="minorHAnsi"/>
                <w:b w:val="0"/>
                <w:sz w:val="20"/>
                <w:szCs w:val="20"/>
              </w:rPr>
            </w:pPr>
            <w:r w:rsidRPr="00CA102E">
              <w:rPr>
                <w:rFonts w:cstheme="minorHAnsi"/>
                <w:b w:val="0"/>
                <w:sz w:val="20"/>
                <w:szCs w:val="20"/>
              </w:rPr>
              <w:t>79</w:t>
            </w:r>
          </w:p>
        </w:tc>
        <w:tc>
          <w:tcPr>
            <w:tcW w:w="765" w:type="dxa"/>
          </w:tcPr>
          <w:p w14:paraId="2E1241F3" w14:textId="14871151" w:rsidR="00CA102E" w:rsidRPr="00A63DC0" w:rsidRDefault="00CA102E" w:rsidP="00CA102E">
            <w:pPr>
              <w:pStyle w:val="Tableheading"/>
              <w:rPr>
                <w:rFonts w:cstheme="minorHAnsi"/>
                <w:b w:val="0"/>
                <w:sz w:val="20"/>
                <w:szCs w:val="20"/>
              </w:rPr>
            </w:pPr>
            <w:r w:rsidRPr="00CA102E">
              <w:rPr>
                <w:rFonts w:cstheme="minorHAnsi"/>
                <w:b w:val="0"/>
                <w:sz w:val="20"/>
                <w:szCs w:val="20"/>
              </w:rPr>
              <w:t>216</w:t>
            </w:r>
          </w:p>
        </w:tc>
        <w:tc>
          <w:tcPr>
            <w:tcW w:w="773" w:type="dxa"/>
          </w:tcPr>
          <w:p w14:paraId="0D78D8BA" w14:textId="2886DB99" w:rsidR="00CA102E" w:rsidRPr="00A63DC0" w:rsidRDefault="00CA102E" w:rsidP="00CA102E">
            <w:pPr>
              <w:pStyle w:val="Tableheading"/>
              <w:rPr>
                <w:rFonts w:cstheme="minorHAnsi"/>
                <w:b w:val="0"/>
                <w:sz w:val="20"/>
                <w:szCs w:val="20"/>
              </w:rPr>
            </w:pPr>
            <w:r w:rsidRPr="00CA102E">
              <w:rPr>
                <w:rFonts w:cstheme="minorHAnsi"/>
                <w:b w:val="0"/>
                <w:sz w:val="20"/>
                <w:szCs w:val="20"/>
              </w:rPr>
              <w:t>657</w:t>
            </w:r>
          </w:p>
        </w:tc>
      </w:tr>
      <w:tr w:rsidR="00CA102E" w:rsidRPr="001D0858" w14:paraId="3A300808" w14:textId="77777777" w:rsidTr="00423E43">
        <w:trPr>
          <w:trHeight w:val="20"/>
        </w:trPr>
        <w:tc>
          <w:tcPr>
            <w:tcW w:w="2927" w:type="dxa"/>
          </w:tcPr>
          <w:p w14:paraId="74841FAC"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Denosumab</w:t>
            </w:r>
          </w:p>
        </w:tc>
        <w:tc>
          <w:tcPr>
            <w:tcW w:w="1748" w:type="dxa"/>
          </w:tcPr>
          <w:p w14:paraId="0BBFFA8E" w14:textId="0C65685A" w:rsidR="00CA102E" w:rsidRPr="000F2789" w:rsidRDefault="00CA102E" w:rsidP="00CA102E">
            <w:pPr>
              <w:pStyle w:val="Tableheading"/>
              <w:rPr>
                <w:rFonts w:cstheme="minorHAnsi"/>
                <w:b w:val="0"/>
                <w:sz w:val="20"/>
                <w:szCs w:val="20"/>
              </w:rPr>
            </w:pPr>
            <w:r w:rsidRPr="00CA102E">
              <w:rPr>
                <w:rFonts w:cstheme="minorHAnsi"/>
                <w:b w:val="0"/>
                <w:sz w:val="20"/>
                <w:szCs w:val="20"/>
              </w:rPr>
              <w:t>374</w:t>
            </w:r>
          </w:p>
        </w:tc>
        <w:tc>
          <w:tcPr>
            <w:tcW w:w="928" w:type="dxa"/>
          </w:tcPr>
          <w:p w14:paraId="5EFBD0CE" w14:textId="07236CE9" w:rsidR="00CA102E" w:rsidRPr="000F2789" w:rsidRDefault="00CA102E" w:rsidP="00CA102E">
            <w:pPr>
              <w:pStyle w:val="Tableheading"/>
              <w:rPr>
                <w:rFonts w:cstheme="minorHAnsi"/>
                <w:b w:val="0"/>
                <w:sz w:val="20"/>
                <w:szCs w:val="20"/>
              </w:rPr>
            </w:pPr>
            <w:r w:rsidRPr="00CA102E">
              <w:rPr>
                <w:rFonts w:cstheme="minorHAnsi"/>
                <w:b w:val="0"/>
                <w:sz w:val="20"/>
                <w:szCs w:val="20"/>
              </w:rPr>
              <w:t>222.3</w:t>
            </w:r>
          </w:p>
        </w:tc>
        <w:tc>
          <w:tcPr>
            <w:tcW w:w="857" w:type="dxa"/>
          </w:tcPr>
          <w:p w14:paraId="7D866A04" w14:textId="644932D1" w:rsidR="00CA102E" w:rsidRPr="000F2789" w:rsidRDefault="00CA102E" w:rsidP="00CA102E">
            <w:pPr>
              <w:pStyle w:val="Tableheading"/>
              <w:rPr>
                <w:rFonts w:cstheme="minorHAnsi"/>
                <w:b w:val="0"/>
                <w:sz w:val="20"/>
                <w:szCs w:val="20"/>
              </w:rPr>
            </w:pPr>
            <w:r w:rsidRPr="00CA102E">
              <w:rPr>
                <w:rFonts w:cstheme="minorHAnsi"/>
                <w:b w:val="0"/>
                <w:sz w:val="20"/>
                <w:szCs w:val="20"/>
              </w:rPr>
              <w:t>149</w:t>
            </w:r>
          </w:p>
        </w:tc>
        <w:tc>
          <w:tcPr>
            <w:tcW w:w="949" w:type="dxa"/>
          </w:tcPr>
          <w:p w14:paraId="289E0CF9" w14:textId="218C28C0" w:rsidR="00CA102E" w:rsidRPr="00A63DC0" w:rsidRDefault="00CA102E" w:rsidP="00CA102E">
            <w:pPr>
              <w:pStyle w:val="Tableheading"/>
              <w:rPr>
                <w:rFonts w:cstheme="minorHAnsi"/>
                <w:b w:val="0"/>
                <w:sz w:val="20"/>
                <w:szCs w:val="20"/>
              </w:rPr>
            </w:pPr>
            <w:r w:rsidRPr="00CA102E">
              <w:rPr>
                <w:rFonts w:cstheme="minorHAnsi"/>
                <w:b w:val="0"/>
                <w:sz w:val="20"/>
                <w:szCs w:val="20"/>
              </w:rPr>
              <w:t>87</w:t>
            </w:r>
          </w:p>
        </w:tc>
        <w:tc>
          <w:tcPr>
            <w:tcW w:w="765" w:type="dxa"/>
          </w:tcPr>
          <w:p w14:paraId="52646720" w14:textId="4E72A8E8" w:rsidR="00CA102E" w:rsidRPr="00A63DC0" w:rsidRDefault="00CA102E" w:rsidP="00CA102E">
            <w:pPr>
              <w:pStyle w:val="Tableheading"/>
              <w:rPr>
                <w:rFonts w:cstheme="minorHAnsi"/>
                <w:b w:val="0"/>
                <w:sz w:val="20"/>
                <w:szCs w:val="20"/>
              </w:rPr>
            </w:pPr>
            <w:r w:rsidRPr="00CA102E">
              <w:rPr>
                <w:rFonts w:cstheme="minorHAnsi"/>
                <w:b w:val="0"/>
                <w:sz w:val="20"/>
                <w:szCs w:val="20"/>
              </w:rPr>
              <w:t>236</w:t>
            </w:r>
          </w:p>
        </w:tc>
        <w:tc>
          <w:tcPr>
            <w:tcW w:w="773" w:type="dxa"/>
          </w:tcPr>
          <w:p w14:paraId="70D51914" w14:textId="120F6C00" w:rsidR="00CA102E" w:rsidRPr="00A63DC0" w:rsidRDefault="00CA102E" w:rsidP="00CA102E">
            <w:pPr>
              <w:pStyle w:val="Tableheading"/>
              <w:rPr>
                <w:rFonts w:cstheme="minorHAnsi"/>
                <w:b w:val="0"/>
                <w:sz w:val="20"/>
                <w:szCs w:val="20"/>
              </w:rPr>
            </w:pPr>
            <w:r w:rsidRPr="00CA102E">
              <w:rPr>
                <w:rFonts w:cstheme="minorHAnsi"/>
                <w:b w:val="0"/>
                <w:sz w:val="20"/>
                <w:szCs w:val="20"/>
              </w:rPr>
              <w:t>3</w:t>
            </w:r>
            <w:r>
              <w:rPr>
                <w:rFonts w:cstheme="minorHAnsi"/>
                <w:b w:val="0"/>
                <w:sz w:val="20"/>
                <w:szCs w:val="20"/>
              </w:rPr>
              <w:t>,</w:t>
            </w:r>
            <w:r w:rsidRPr="00CA102E">
              <w:rPr>
                <w:rFonts w:cstheme="minorHAnsi"/>
                <w:b w:val="0"/>
                <w:sz w:val="20"/>
                <w:szCs w:val="20"/>
              </w:rPr>
              <w:t>736</w:t>
            </w:r>
          </w:p>
        </w:tc>
      </w:tr>
      <w:tr w:rsidR="00CA102E" w:rsidRPr="001D0858" w14:paraId="3C1799E1" w14:textId="77777777" w:rsidTr="00423E43">
        <w:trPr>
          <w:trHeight w:val="20"/>
        </w:trPr>
        <w:tc>
          <w:tcPr>
            <w:tcW w:w="2927" w:type="dxa"/>
          </w:tcPr>
          <w:p w14:paraId="5FB0E6CF"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Raloxifene</w:t>
            </w:r>
          </w:p>
        </w:tc>
        <w:tc>
          <w:tcPr>
            <w:tcW w:w="1748" w:type="dxa"/>
          </w:tcPr>
          <w:p w14:paraId="20936D1E" w14:textId="6FC28007" w:rsidR="00CA102E" w:rsidRPr="000F2789" w:rsidRDefault="00CA102E" w:rsidP="00CA102E">
            <w:pPr>
              <w:pStyle w:val="Tableheading"/>
              <w:rPr>
                <w:rFonts w:cstheme="minorHAnsi"/>
                <w:b w:val="0"/>
                <w:sz w:val="20"/>
                <w:szCs w:val="20"/>
              </w:rPr>
            </w:pPr>
            <w:r w:rsidRPr="00CA102E">
              <w:rPr>
                <w:rFonts w:cstheme="minorHAnsi"/>
                <w:b w:val="0"/>
                <w:sz w:val="20"/>
                <w:szCs w:val="20"/>
              </w:rPr>
              <w:t>122</w:t>
            </w:r>
          </w:p>
        </w:tc>
        <w:tc>
          <w:tcPr>
            <w:tcW w:w="928" w:type="dxa"/>
          </w:tcPr>
          <w:p w14:paraId="52CDCA2D" w14:textId="5C9B94A2" w:rsidR="00CA102E" w:rsidRPr="000F2789" w:rsidRDefault="00CA102E" w:rsidP="00CA102E">
            <w:pPr>
              <w:pStyle w:val="Tableheading"/>
              <w:rPr>
                <w:rFonts w:cstheme="minorHAnsi"/>
                <w:b w:val="0"/>
                <w:sz w:val="20"/>
                <w:szCs w:val="20"/>
              </w:rPr>
            </w:pPr>
            <w:r w:rsidRPr="00CA102E">
              <w:rPr>
                <w:rFonts w:cstheme="minorHAnsi"/>
                <w:b w:val="0"/>
                <w:sz w:val="20"/>
                <w:szCs w:val="20"/>
              </w:rPr>
              <w:t>200.5</w:t>
            </w:r>
          </w:p>
        </w:tc>
        <w:tc>
          <w:tcPr>
            <w:tcW w:w="857" w:type="dxa"/>
          </w:tcPr>
          <w:p w14:paraId="3BD1F59E" w14:textId="7B1C7175" w:rsidR="00CA102E" w:rsidRPr="000F2789" w:rsidRDefault="00CA102E" w:rsidP="00CA102E">
            <w:pPr>
              <w:pStyle w:val="Tableheading"/>
              <w:rPr>
                <w:rFonts w:cstheme="minorHAnsi"/>
                <w:b w:val="0"/>
                <w:sz w:val="20"/>
                <w:szCs w:val="20"/>
              </w:rPr>
            </w:pPr>
            <w:r w:rsidRPr="00CA102E">
              <w:rPr>
                <w:rFonts w:cstheme="minorHAnsi"/>
                <w:b w:val="0"/>
                <w:sz w:val="20"/>
                <w:szCs w:val="20"/>
              </w:rPr>
              <w:t>112</w:t>
            </w:r>
          </w:p>
        </w:tc>
        <w:tc>
          <w:tcPr>
            <w:tcW w:w="949" w:type="dxa"/>
          </w:tcPr>
          <w:p w14:paraId="00C87D01" w14:textId="750034C5" w:rsidR="00CA102E" w:rsidRDefault="00CA102E" w:rsidP="00CA102E">
            <w:pPr>
              <w:pStyle w:val="Tableheading"/>
              <w:rPr>
                <w:rFonts w:cstheme="minorHAnsi"/>
                <w:b w:val="0"/>
                <w:sz w:val="20"/>
                <w:szCs w:val="20"/>
              </w:rPr>
            </w:pPr>
            <w:r w:rsidRPr="00CA102E">
              <w:rPr>
                <w:rFonts w:cstheme="minorHAnsi"/>
                <w:b w:val="0"/>
                <w:sz w:val="20"/>
                <w:szCs w:val="20"/>
              </w:rPr>
              <w:t>84</w:t>
            </w:r>
          </w:p>
        </w:tc>
        <w:tc>
          <w:tcPr>
            <w:tcW w:w="765" w:type="dxa"/>
          </w:tcPr>
          <w:p w14:paraId="2670313C" w14:textId="19ED109F" w:rsidR="00CA102E" w:rsidRDefault="00CA102E" w:rsidP="00CA102E">
            <w:pPr>
              <w:pStyle w:val="Tableheading"/>
              <w:rPr>
                <w:rFonts w:cstheme="minorHAnsi"/>
                <w:b w:val="0"/>
                <w:sz w:val="20"/>
                <w:szCs w:val="20"/>
              </w:rPr>
            </w:pPr>
            <w:r w:rsidRPr="00CA102E">
              <w:rPr>
                <w:rFonts w:cstheme="minorHAnsi"/>
                <w:b w:val="0"/>
                <w:sz w:val="20"/>
                <w:szCs w:val="20"/>
              </w:rPr>
              <w:t>212</w:t>
            </w:r>
          </w:p>
        </w:tc>
        <w:tc>
          <w:tcPr>
            <w:tcW w:w="773" w:type="dxa"/>
          </w:tcPr>
          <w:p w14:paraId="391D822C" w14:textId="36A68AAF" w:rsidR="00CA102E" w:rsidRDefault="00CA102E" w:rsidP="00CA102E">
            <w:pPr>
              <w:pStyle w:val="Tableheading"/>
              <w:rPr>
                <w:rFonts w:cstheme="minorHAnsi"/>
                <w:b w:val="0"/>
                <w:sz w:val="20"/>
                <w:szCs w:val="20"/>
              </w:rPr>
            </w:pPr>
            <w:r w:rsidRPr="00CA102E">
              <w:rPr>
                <w:rFonts w:cstheme="minorHAnsi"/>
                <w:b w:val="0"/>
                <w:sz w:val="20"/>
                <w:szCs w:val="20"/>
              </w:rPr>
              <w:t>47</w:t>
            </w:r>
          </w:p>
        </w:tc>
      </w:tr>
      <w:tr w:rsidR="00CA102E" w:rsidRPr="001D0858" w14:paraId="081A3629" w14:textId="77777777" w:rsidTr="00423E43">
        <w:trPr>
          <w:trHeight w:val="20"/>
        </w:trPr>
        <w:tc>
          <w:tcPr>
            <w:tcW w:w="2927" w:type="dxa"/>
          </w:tcPr>
          <w:p w14:paraId="70771E42"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Risedronate (incl combination products)</w:t>
            </w:r>
          </w:p>
        </w:tc>
        <w:tc>
          <w:tcPr>
            <w:tcW w:w="1748" w:type="dxa"/>
          </w:tcPr>
          <w:p w14:paraId="24D0BBCB" w14:textId="13BD039C" w:rsidR="00CA102E" w:rsidRPr="000F2789" w:rsidRDefault="00CA102E" w:rsidP="00CA102E">
            <w:pPr>
              <w:pStyle w:val="Tableheading"/>
              <w:rPr>
                <w:rFonts w:cstheme="minorHAnsi"/>
                <w:b w:val="0"/>
                <w:sz w:val="20"/>
                <w:szCs w:val="20"/>
              </w:rPr>
            </w:pPr>
            <w:r w:rsidRPr="00CA102E">
              <w:rPr>
                <w:rFonts w:cstheme="minorHAnsi"/>
                <w:b w:val="0"/>
                <w:sz w:val="20"/>
                <w:szCs w:val="20"/>
              </w:rPr>
              <w:t>150</w:t>
            </w:r>
          </w:p>
        </w:tc>
        <w:tc>
          <w:tcPr>
            <w:tcW w:w="928" w:type="dxa"/>
          </w:tcPr>
          <w:p w14:paraId="76C13149" w14:textId="1CF19DE1" w:rsidR="00CA102E" w:rsidRPr="000F2789" w:rsidRDefault="00CA102E" w:rsidP="00CA102E">
            <w:pPr>
              <w:pStyle w:val="Tableheading"/>
              <w:rPr>
                <w:rFonts w:cstheme="minorHAnsi"/>
                <w:b w:val="0"/>
                <w:sz w:val="20"/>
                <w:szCs w:val="20"/>
              </w:rPr>
            </w:pPr>
            <w:r w:rsidRPr="00CA102E">
              <w:rPr>
                <w:rFonts w:cstheme="minorHAnsi"/>
                <w:b w:val="0"/>
                <w:sz w:val="20"/>
                <w:szCs w:val="20"/>
              </w:rPr>
              <w:t>221.9</w:t>
            </w:r>
          </w:p>
        </w:tc>
        <w:tc>
          <w:tcPr>
            <w:tcW w:w="857" w:type="dxa"/>
          </w:tcPr>
          <w:p w14:paraId="6C8CB5DA" w14:textId="1FD26CBA" w:rsidR="00CA102E" w:rsidRPr="000F2789" w:rsidRDefault="00CA102E" w:rsidP="00CA102E">
            <w:pPr>
              <w:pStyle w:val="Tableheading"/>
              <w:rPr>
                <w:rFonts w:cstheme="minorHAnsi"/>
                <w:b w:val="0"/>
                <w:sz w:val="20"/>
                <w:szCs w:val="20"/>
              </w:rPr>
            </w:pPr>
            <w:r w:rsidRPr="00CA102E">
              <w:rPr>
                <w:rFonts w:cstheme="minorHAnsi"/>
                <w:b w:val="0"/>
                <w:sz w:val="20"/>
                <w:szCs w:val="20"/>
              </w:rPr>
              <w:t>127</w:t>
            </w:r>
          </w:p>
        </w:tc>
        <w:tc>
          <w:tcPr>
            <w:tcW w:w="949" w:type="dxa"/>
          </w:tcPr>
          <w:p w14:paraId="6D29619B" w14:textId="6C56A593" w:rsidR="00CA102E" w:rsidRPr="00A63DC0" w:rsidRDefault="00CA102E" w:rsidP="00CA102E">
            <w:pPr>
              <w:pStyle w:val="Tableheading"/>
              <w:rPr>
                <w:rFonts w:cstheme="minorHAnsi"/>
                <w:b w:val="0"/>
                <w:sz w:val="20"/>
                <w:szCs w:val="20"/>
              </w:rPr>
            </w:pPr>
            <w:r w:rsidRPr="00CA102E">
              <w:rPr>
                <w:rFonts w:cstheme="minorHAnsi"/>
                <w:b w:val="0"/>
                <w:sz w:val="20"/>
                <w:szCs w:val="20"/>
              </w:rPr>
              <w:t>84</w:t>
            </w:r>
          </w:p>
        </w:tc>
        <w:tc>
          <w:tcPr>
            <w:tcW w:w="765" w:type="dxa"/>
          </w:tcPr>
          <w:p w14:paraId="6792696C" w14:textId="4C24EB0A" w:rsidR="00CA102E" w:rsidRPr="00A63DC0" w:rsidRDefault="00CA102E" w:rsidP="00CA102E">
            <w:pPr>
              <w:pStyle w:val="Tableheading"/>
              <w:rPr>
                <w:rFonts w:cstheme="minorHAnsi"/>
                <w:b w:val="0"/>
                <w:sz w:val="20"/>
                <w:szCs w:val="20"/>
              </w:rPr>
            </w:pPr>
            <w:r w:rsidRPr="00CA102E">
              <w:rPr>
                <w:rFonts w:cstheme="minorHAnsi"/>
                <w:b w:val="0"/>
                <w:sz w:val="20"/>
                <w:szCs w:val="20"/>
              </w:rPr>
              <w:t>265</w:t>
            </w:r>
          </w:p>
        </w:tc>
        <w:tc>
          <w:tcPr>
            <w:tcW w:w="773" w:type="dxa"/>
          </w:tcPr>
          <w:p w14:paraId="76E346A6" w14:textId="6FDBAD91" w:rsidR="00CA102E" w:rsidRPr="00A63DC0" w:rsidRDefault="00CA102E" w:rsidP="00CA102E">
            <w:pPr>
              <w:pStyle w:val="Tableheading"/>
              <w:rPr>
                <w:rFonts w:cstheme="minorHAnsi"/>
                <w:b w:val="0"/>
                <w:sz w:val="20"/>
                <w:szCs w:val="20"/>
              </w:rPr>
            </w:pPr>
            <w:r w:rsidRPr="00CA102E">
              <w:rPr>
                <w:rFonts w:cstheme="minorHAnsi"/>
                <w:b w:val="0"/>
                <w:sz w:val="20"/>
                <w:szCs w:val="20"/>
              </w:rPr>
              <w:t>497</w:t>
            </w:r>
          </w:p>
        </w:tc>
      </w:tr>
      <w:tr w:rsidR="00CA102E" w:rsidRPr="001D0858" w14:paraId="7B01F78B" w14:textId="77777777" w:rsidTr="00423E43">
        <w:trPr>
          <w:trHeight w:val="20"/>
        </w:trPr>
        <w:tc>
          <w:tcPr>
            <w:tcW w:w="2927" w:type="dxa"/>
          </w:tcPr>
          <w:p w14:paraId="709C6D14"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Strontium ranelate (delisted August 2016)</w:t>
            </w:r>
          </w:p>
        </w:tc>
        <w:tc>
          <w:tcPr>
            <w:tcW w:w="1748" w:type="dxa"/>
          </w:tcPr>
          <w:p w14:paraId="3C117C38" w14:textId="314EAB13" w:rsidR="00CA102E" w:rsidRPr="000F2789" w:rsidRDefault="00CA102E" w:rsidP="00CA102E">
            <w:pPr>
              <w:pStyle w:val="Tableheading"/>
              <w:rPr>
                <w:rFonts w:cstheme="minorHAnsi"/>
                <w:b w:val="0"/>
                <w:sz w:val="20"/>
                <w:szCs w:val="20"/>
              </w:rPr>
            </w:pPr>
            <w:r w:rsidRPr="00CA102E">
              <w:rPr>
                <w:rFonts w:cstheme="minorHAnsi"/>
                <w:b w:val="0"/>
                <w:sz w:val="20"/>
                <w:szCs w:val="20"/>
              </w:rPr>
              <w:t>81</w:t>
            </w:r>
          </w:p>
        </w:tc>
        <w:tc>
          <w:tcPr>
            <w:tcW w:w="928" w:type="dxa"/>
          </w:tcPr>
          <w:p w14:paraId="05D7562D" w14:textId="20B18136" w:rsidR="00CA102E" w:rsidRPr="000F2789" w:rsidRDefault="00CA102E" w:rsidP="00CA102E">
            <w:pPr>
              <w:pStyle w:val="Tableheading"/>
              <w:rPr>
                <w:rFonts w:cstheme="minorHAnsi"/>
                <w:b w:val="0"/>
                <w:sz w:val="20"/>
                <w:szCs w:val="20"/>
              </w:rPr>
            </w:pPr>
            <w:r w:rsidRPr="00CA102E">
              <w:rPr>
                <w:rFonts w:cstheme="minorHAnsi"/>
                <w:b w:val="0"/>
                <w:sz w:val="20"/>
                <w:szCs w:val="20"/>
              </w:rPr>
              <w:t>154.3</w:t>
            </w:r>
          </w:p>
        </w:tc>
        <w:tc>
          <w:tcPr>
            <w:tcW w:w="857" w:type="dxa"/>
          </w:tcPr>
          <w:p w14:paraId="3111AA0E" w14:textId="0110333A" w:rsidR="00CA102E" w:rsidRPr="000F2789" w:rsidRDefault="00CA102E" w:rsidP="00CA102E">
            <w:pPr>
              <w:pStyle w:val="Tableheading"/>
              <w:rPr>
                <w:rFonts w:cstheme="minorHAnsi"/>
                <w:b w:val="0"/>
                <w:sz w:val="20"/>
                <w:szCs w:val="20"/>
              </w:rPr>
            </w:pPr>
            <w:r w:rsidRPr="00CA102E">
              <w:rPr>
                <w:rFonts w:cstheme="minorHAnsi"/>
                <w:b w:val="0"/>
                <w:sz w:val="20"/>
                <w:szCs w:val="20"/>
              </w:rPr>
              <w:t>115</w:t>
            </w:r>
          </w:p>
        </w:tc>
        <w:tc>
          <w:tcPr>
            <w:tcW w:w="949" w:type="dxa"/>
          </w:tcPr>
          <w:p w14:paraId="0DB5AD49" w14:textId="77B0C4EF" w:rsidR="00CA102E" w:rsidRDefault="00CA102E" w:rsidP="00CA102E">
            <w:pPr>
              <w:pStyle w:val="Tableheading"/>
              <w:rPr>
                <w:rFonts w:cstheme="minorHAnsi"/>
                <w:b w:val="0"/>
                <w:sz w:val="20"/>
                <w:szCs w:val="20"/>
              </w:rPr>
            </w:pPr>
            <w:r w:rsidRPr="00CA102E">
              <w:rPr>
                <w:rFonts w:cstheme="minorHAnsi"/>
                <w:b w:val="0"/>
                <w:sz w:val="20"/>
                <w:szCs w:val="20"/>
              </w:rPr>
              <w:t>78</w:t>
            </w:r>
          </w:p>
        </w:tc>
        <w:tc>
          <w:tcPr>
            <w:tcW w:w="765" w:type="dxa"/>
          </w:tcPr>
          <w:p w14:paraId="0DC586F7" w14:textId="7033FBF6" w:rsidR="00CA102E" w:rsidRDefault="00CA102E" w:rsidP="00CA102E">
            <w:pPr>
              <w:pStyle w:val="Tableheading"/>
              <w:rPr>
                <w:rFonts w:cstheme="minorHAnsi"/>
                <w:b w:val="0"/>
                <w:sz w:val="20"/>
                <w:szCs w:val="20"/>
              </w:rPr>
            </w:pPr>
            <w:r w:rsidRPr="00CA102E">
              <w:rPr>
                <w:rFonts w:cstheme="minorHAnsi"/>
                <w:b w:val="0"/>
                <w:sz w:val="20"/>
                <w:szCs w:val="20"/>
              </w:rPr>
              <w:t>198</w:t>
            </w:r>
          </w:p>
        </w:tc>
        <w:tc>
          <w:tcPr>
            <w:tcW w:w="773" w:type="dxa"/>
          </w:tcPr>
          <w:p w14:paraId="6DD7631B" w14:textId="1F6F82C2" w:rsidR="00CA102E" w:rsidRDefault="00CA102E" w:rsidP="00CA102E">
            <w:pPr>
              <w:pStyle w:val="Tableheading"/>
              <w:rPr>
                <w:rFonts w:cstheme="minorHAnsi"/>
                <w:b w:val="0"/>
                <w:sz w:val="20"/>
                <w:szCs w:val="20"/>
              </w:rPr>
            </w:pPr>
            <w:r w:rsidRPr="00CA102E">
              <w:rPr>
                <w:rFonts w:cstheme="minorHAnsi"/>
                <w:b w:val="0"/>
                <w:sz w:val="20"/>
                <w:szCs w:val="20"/>
              </w:rPr>
              <w:t>58</w:t>
            </w:r>
          </w:p>
        </w:tc>
      </w:tr>
      <w:tr w:rsidR="00CA102E" w:rsidRPr="001D0858" w14:paraId="6792F43E" w14:textId="77777777" w:rsidTr="00423E43">
        <w:trPr>
          <w:trHeight w:val="20"/>
        </w:trPr>
        <w:tc>
          <w:tcPr>
            <w:tcW w:w="2927" w:type="dxa"/>
          </w:tcPr>
          <w:p w14:paraId="15828FB4"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Teriparatide</w:t>
            </w:r>
          </w:p>
        </w:tc>
        <w:tc>
          <w:tcPr>
            <w:tcW w:w="1748" w:type="dxa"/>
          </w:tcPr>
          <w:p w14:paraId="4CCF97C6" w14:textId="2FCEFB06" w:rsidR="00CA102E" w:rsidRPr="000F2789" w:rsidRDefault="00CA102E" w:rsidP="00CA102E">
            <w:pPr>
              <w:pStyle w:val="Tableheading"/>
              <w:rPr>
                <w:rFonts w:cstheme="minorHAnsi"/>
                <w:b w:val="0"/>
                <w:sz w:val="20"/>
                <w:szCs w:val="20"/>
              </w:rPr>
            </w:pPr>
            <w:r w:rsidRPr="00CA102E">
              <w:rPr>
                <w:rFonts w:cstheme="minorHAnsi"/>
                <w:b w:val="0"/>
                <w:sz w:val="20"/>
                <w:szCs w:val="20"/>
              </w:rPr>
              <w:t>356</w:t>
            </w:r>
          </w:p>
        </w:tc>
        <w:tc>
          <w:tcPr>
            <w:tcW w:w="928" w:type="dxa"/>
          </w:tcPr>
          <w:p w14:paraId="52FE6749" w14:textId="16924DAC" w:rsidR="00CA102E" w:rsidRPr="000F2789" w:rsidRDefault="00CA102E" w:rsidP="00CA102E">
            <w:pPr>
              <w:pStyle w:val="Tableheading"/>
              <w:rPr>
                <w:rFonts w:cstheme="minorHAnsi"/>
                <w:b w:val="0"/>
                <w:sz w:val="20"/>
                <w:szCs w:val="20"/>
              </w:rPr>
            </w:pPr>
            <w:r w:rsidRPr="00CA102E">
              <w:rPr>
                <w:rFonts w:cstheme="minorHAnsi"/>
                <w:b w:val="0"/>
                <w:sz w:val="20"/>
                <w:szCs w:val="20"/>
              </w:rPr>
              <w:t>146.6</w:t>
            </w:r>
          </w:p>
        </w:tc>
        <w:tc>
          <w:tcPr>
            <w:tcW w:w="857" w:type="dxa"/>
          </w:tcPr>
          <w:p w14:paraId="04CD4BFE" w14:textId="6062904D" w:rsidR="00CA102E" w:rsidRPr="000F2789" w:rsidRDefault="00CA102E" w:rsidP="00CA102E">
            <w:pPr>
              <w:pStyle w:val="Tableheading"/>
              <w:rPr>
                <w:rFonts w:cstheme="minorHAnsi"/>
                <w:b w:val="0"/>
                <w:sz w:val="20"/>
                <w:szCs w:val="20"/>
              </w:rPr>
            </w:pPr>
            <w:r w:rsidRPr="00CA102E">
              <w:rPr>
                <w:rFonts w:cstheme="minorHAnsi"/>
                <w:b w:val="0"/>
                <w:sz w:val="20"/>
                <w:szCs w:val="20"/>
              </w:rPr>
              <w:t>120</w:t>
            </w:r>
          </w:p>
        </w:tc>
        <w:tc>
          <w:tcPr>
            <w:tcW w:w="949" w:type="dxa"/>
          </w:tcPr>
          <w:p w14:paraId="52E8F509" w14:textId="744A5A46" w:rsidR="00CA102E" w:rsidRDefault="00CA102E" w:rsidP="00CA102E">
            <w:pPr>
              <w:pStyle w:val="Tableheading"/>
              <w:rPr>
                <w:rFonts w:cstheme="minorHAnsi"/>
                <w:b w:val="0"/>
                <w:sz w:val="20"/>
                <w:szCs w:val="20"/>
              </w:rPr>
            </w:pPr>
            <w:r w:rsidRPr="00CA102E">
              <w:rPr>
                <w:rFonts w:cstheme="minorHAnsi"/>
                <w:b w:val="0"/>
                <w:sz w:val="20"/>
                <w:szCs w:val="20"/>
              </w:rPr>
              <w:t>117</w:t>
            </w:r>
          </w:p>
        </w:tc>
        <w:tc>
          <w:tcPr>
            <w:tcW w:w="765" w:type="dxa"/>
          </w:tcPr>
          <w:p w14:paraId="4E0D4917" w14:textId="466D5E6D" w:rsidR="00CA102E" w:rsidRDefault="00CA102E" w:rsidP="00CA102E">
            <w:pPr>
              <w:pStyle w:val="Tableheading"/>
              <w:rPr>
                <w:rFonts w:cstheme="minorHAnsi"/>
                <w:b w:val="0"/>
                <w:sz w:val="20"/>
                <w:szCs w:val="20"/>
              </w:rPr>
            </w:pPr>
            <w:r w:rsidRPr="00CA102E">
              <w:rPr>
                <w:rFonts w:cstheme="minorHAnsi"/>
                <w:b w:val="0"/>
                <w:sz w:val="20"/>
                <w:szCs w:val="20"/>
              </w:rPr>
              <w:t>153</w:t>
            </w:r>
          </w:p>
        </w:tc>
        <w:tc>
          <w:tcPr>
            <w:tcW w:w="773" w:type="dxa"/>
          </w:tcPr>
          <w:p w14:paraId="6EB9C3A1" w14:textId="758C2024" w:rsidR="00CA102E" w:rsidRDefault="00CA102E" w:rsidP="00CA102E">
            <w:pPr>
              <w:pStyle w:val="Tableheading"/>
              <w:rPr>
                <w:rFonts w:cstheme="minorHAnsi"/>
                <w:b w:val="0"/>
                <w:sz w:val="20"/>
                <w:szCs w:val="20"/>
              </w:rPr>
            </w:pPr>
            <w:r w:rsidRPr="00CA102E">
              <w:rPr>
                <w:rFonts w:cstheme="minorHAnsi"/>
                <w:b w:val="0"/>
                <w:sz w:val="20"/>
                <w:szCs w:val="20"/>
              </w:rPr>
              <w:t>5</w:t>
            </w:r>
          </w:p>
        </w:tc>
      </w:tr>
      <w:tr w:rsidR="00CA102E" w:rsidRPr="001D0858" w14:paraId="0EFBA51D" w14:textId="77777777" w:rsidTr="00423E43">
        <w:trPr>
          <w:trHeight w:val="20"/>
        </w:trPr>
        <w:tc>
          <w:tcPr>
            <w:tcW w:w="2927" w:type="dxa"/>
          </w:tcPr>
          <w:p w14:paraId="0BB0D900" w14:textId="77777777" w:rsidR="00CA102E" w:rsidRPr="00957354" w:rsidRDefault="00CA102E" w:rsidP="00CA102E">
            <w:pPr>
              <w:pStyle w:val="Tableheading"/>
              <w:jc w:val="left"/>
              <w:rPr>
                <w:rFonts w:cstheme="minorHAnsi"/>
                <w:sz w:val="20"/>
                <w:szCs w:val="20"/>
              </w:rPr>
            </w:pPr>
            <w:r w:rsidRPr="00957354">
              <w:rPr>
                <w:rFonts w:cstheme="minorHAnsi"/>
                <w:sz w:val="20"/>
                <w:szCs w:val="20"/>
              </w:rPr>
              <w:t>Zoledronic acid</w:t>
            </w:r>
          </w:p>
        </w:tc>
        <w:tc>
          <w:tcPr>
            <w:tcW w:w="1748" w:type="dxa"/>
          </w:tcPr>
          <w:p w14:paraId="1A818CC0" w14:textId="4A35AF3B" w:rsidR="00CA102E" w:rsidRPr="000F2789" w:rsidRDefault="00CA102E" w:rsidP="00CA102E">
            <w:pPr>
              <w:pStyle w:val="Tableheading"/>
              <w:rPr>
                <w:rFonts w:cstheme="minorHAnsi"/>
                <w:b w:val="0"/>
                <w:sz w:val="20"/>
                <w:szCs w:val="20"/>
              </w:rPr>
            </w:pPr>
            <w:r w:rsidRPr="00CA102E">
              <w:rPr>
                <w:rFonts w:cstheme="minorHAnsi"/>
                <w:b w:val="0"/>
                <w:sz w:val="20"/>
                <w:szCs w:val="20"/>
              </w:rPr>
              <w:t>365</w:t>
            </w:r>
          </w:p>
        </w:tc>
        <w:tc>
          <w:tcPr>
            <w:tcW w:w="928" w:type="dxa"/>
          </w:tcPr>
          <w:p w14:paraId="77015A9E" w14:textId="22305C40" w:rsidR="00CA102E" w:rsidRPr="000F2789" w:rsidRDefault="00CA102E" w:rsidP="00CA102E">
            <w:pPr>
              <w:pStyle w:val="Tableheading"/>
              <w:rPr>
                <w:rFonts w:cstheme="minorHAnsi"/>
                <w:b w:val="0"/>
                <w:sz w:val="20"/>
                <w:szCs w:val="20"/>
              </w:rPr>
            </w:pPr>
            <w:r w:rsidRPr="00CA102E">
              <w:rPr>
                <w:rFonts w:cstheme="minorHAnsi"/>
                <w:b w:val="0"/>
                <w:sz w:val="20"/>
                <w:szCs w:val="20"/>
              </w:rPr>
              <w:t>301.1</w:t>
            </w:r>
          </w:p>
        </w:tc>
        <w:tc>
          <w:tcPr>
            <w:tcW w:w="857" w:type="dxa"/>
          </w:tcPr>
          <w:p w14:paraId="09FE5A6F" w14:textId="72D3DBB6" w:rsidR="00CA102E" w:rsidRPr="000F2789" w:rsidRDefault="00CA102E" w:rsidP="00CA102E">
            <w:pPr>
              <w:pStyle w:val="Tableheading"/>
              <w:rPr>
                <w:rFonts w:cstheme="minorHAnsi"/>
                <w:b w:val="0"/>
                <w:sz w:val="20"/>
                <w:szCs w:val="20"/>
              </w:rPr>
            </w:pPr>
            <w:r w:rsidRPr="00CA102E">
              <w:rPr>
                <w:rFonts w:cstheme="minorHAnsi"/>
                <w:b w:val="0"/>
                <w:sz w:val="20"/>
                <w:szCs w:val="20"/>
              </w:rPr>
              <w:t>204.5</w:t>
            </w:r>
          </w:p>
        </w:tc>
        <w:tc>
          <w:tcPr>
            <w:tcW w:w="949" w:type="dxa"/>
          </w:tcPr>
          <w:p w14:paraId="7DE011B0" w14:textId="67CE6BD9" w:rsidR="00CA102E" w:rsidRPr="00A63DC0" w:rsidRDefault="00CA102E" w:rsidP="00CA102E">
            <w:pPr>
              <w:pStyle w:val="Tableheading"/>
              <w:rPr>
                <w:rFonts w:cstheme="minorHAnsi"/>
                <w:b w:val="0"/>
                <w:sz w:val="20"/>
                <w:szCs w:val="20"/>
              </w:rPr>
            </w:pPr>
            <w:r w:rsidRPr="00CA102E">
              <w:rPr>
                <w:rFonts w:cstheme="minorHAnsi"/>
                <w:b w:val="0"/>
                <w:sz w:val="20"/>
                <w:szCs w:val="20"/>
              </w:rPr>
              <w:t>97.5</w:t>
            </w:r>
          </w:p>
        </w:tc>
        <w:tc>
          <w:tcPr>
            <w:tcW w:w="765" w:type="dxa"/>
          </w:tcPr>
          <w:p w14:paraId="18138414" w14:textId="76162E12" w:rsidR="00CA102E" w:rsidRPr="00A63DC0" w:rsidRDefault="00CA102E" w:rsidP="00CA102E">
            <w:pPr>
              <w:pStyle w:val="Tableheading"/>
              <w:rPr>
                <w:rFonts w:cstheme="minorHAnsi"/>
                <w:b w:val="0"/>
                <w:sz w:val="20"/>
                <w:szCs w:val="20"/>
              </w:rPr>
            </w:pPr>
            <w:r w:rsidRPr="00CA102E">
              <w:rPr>
                <w:rFonts w:cstheme="minorHAnsi"/>
                <w:b w:val="0"/>
                <w:sz w:val="20"/>
                <w:szCs w:val="20"/>
              </w:rPr>
              <w:t>392.5</w:t>
            </w:r>
          </w:p>
        </w:tc>
        <w:tc>
          <w:tcPr>
            <w:tcW w:w="773" w:type="dxa"/>
          </w:tcPr>
          <w:p w14:paraId="3FBE9F8C" w14:textId="2B1F7000" w:rsidR="00CA102E" w:rsidRPr="00A63DC0" w:rsidRDefault="00CA102E" w:rsidP="00CA102E">
            <w:pPr>
              <w:pStyle w:val="Tableheading"/>
              <w:rPr>
                <w:rFonts w:cstheme="minorHAnsi"/>
                <w:b w:val="0"/>
                <w:sz w:val="20"/>
                <w:szCs w:val="20"/>
              </w:rPr>
            </w:pPr>
            <w:r w:rsidRPr="00CA102E">
              <w:rPr>
                <w:rFonts w:cstheme="minorHAnsi"/>
                <w:b w:val="0"/>
                <w:sz w:val="20"/>
                <w:szCs w:val="20"/>
              </w:rPr>
              <w:t>268</w:t>
            </w:r>
          </w:p>
        </w:tc>
      </w:tr>
      <w:tr w:rsidR="00423E43" w:rsidRPr="001D0858" w14:paraId="1573E1D0" w14:textId="77777777" w:rsidTr="00423E43">
        <w:trPr>
          <w:trHeight w:val="20"/>
        </w:trPr>
        <w:tc>
          <w:tcPr>
            <w:tcW w:w="2927" w:type="dxa"/>
          </w:tcPr>
          <w:p w14:paraId="66FA088C" w14:textId="77777777" w:rsidR="00423E43" w:rsidRPr="00957354" w:rsidRDefault="00423E43" w:rsidP="00423E43">
            <w:pPr>
              <w:pStyle w:val="Tableheading"/>
              <w:jc w:val="left"/>
              <w:rPr>
                <w:rFonts w:cstheme="minorHAnsi"/>
                <w:sz w:val="20"/>
                <w:szCs w:val="20"/>
              </w:rPr>
            </w:pPr>
            <w:r>
              <w:rPr>
                <w:rFonts w:cstheme="minorHAnsi"/>
                <w:sz w:val="20"/>
                <w:szCs w:val="20"/>
              </w:rPr>
              <w:t>Total</w:t>
            </w:r>
          </w:p>
        </w:tc>
        <w:tc>
          <w:tcPr>
            <w:tcW w:w="1748" w:type="dxa"/>
          </w:tcPr>
          <w:p w14:paraId="2126D9D9" w14:textId="52AB5A5E" w:rsidR="00423E43" w:rsidRPr="00CA102E" w:rsidRDefault="00423E43" w:rsidP="00423E43">
            <w:pPr>
              <w:pStyle w:val="Tableheading"/>
              <w:rPr>
                <w:rFonts w:cstheme="minorHAnsi"/>
                <w:sz w:val="20"/>
                <w:szCs w:val="20"/>
              </w:rPr>
            </w:pPr>
            <w:r w:rsidRPr="00CA102E">
              <w:rPr>
                <w:rFonts w:cstheme="minorHAnsi"/>
                <w:sz w:val="20"/>
                <w:szCs w:val="20"/>
              </w:rPr>
              <w:t>309.5</w:t>
            </w:r>
          </w:p>
        </w:tc>
        <w:tc>
          <w:tcPr>
            <w:tcW w:w="928" w:type="dxa"/>
          </w:tcPr>
          <w:p w14:paraId="6A801E64" w14:textId="0282A352" w:rsidR="00423E43" w:rsidRPr="00CA102E" w:rsidRDefault="00423E43" w:rsidP="00423E43">
            <w:pPr>
              <w:pStyle w:val="Tableheading"/>
              <w:rPr>
                <w:rFonts w:cstheme="minorHAnsi"/>
                <w:sz w:val="20"/>
                <w:szCs w:val="20"/>
              </w:rPr>
            </w:pPr>
            <w:r w:rsidRPr="00CA102E">
              <w:rPr>
                <w:rFonts w:cstheme="minorHAnsi"/>
                <w:sz w:val="20"/>
                <w:szCs w:val="20"/>
              </w:rPr>
              <w:t>223.7</w:t>
            </w:r>
          </w:p>
        </w:tc>
        <w:tc>
          <w:tcPr>
            <w:tcW w:w="857" w:type="dxa"/>
          </w:tcPr>
          <w:p w14:paraId="501AC3E2" w14:textId="30150CB7" w:rsidR="00423E43" w:rsidRPr="00CA102E" w:rsidRDefault="00423E43" w:rsidP="00423E43">
            <w:pPr>
              <w:pStyle w:val="Tableheading"/>
              <w:rPr>
                <w:rFonts w:cstheme="minorHAnsi"/>
                <w:sz w:val="20"/>
                <w:szCs w:val="20"/>
              </w:rPr>
            </w:pPr>
            <w:r w:rsidRPr="00CA102E">
              <w:rPr>
                <w:rFonts w:cstheme="minorHAnsi"/>
                <w:sz w:val="20"/>
                <w:szCs w:val="20"/>
              </w:rPr>
              <w:t>140</w:t>
            </w:r>
          </w:p>
        </w:tc>
        <w:tc>
          <w:tcPr>
            <w:tcW w:w="949" w:type="dxa"/>
          </w:tcPr>
          <w:p w14:paraId="2DD9A1F9" w14:textId="30A67F4A" w:rsidR="00423E43" w:rsidRPr="00CA102E" w:rsidRDefault="00423E43" w:rsidP="00423E43">
            <w:pPr>
              <w:pStyle w:val="Tableheading"/>
              <w:rPr>
                <w:rFonts w:cstheme="minorHAnsi"/>
                <w:sz w:val="20"/>
                <w:szCs w:val="20"/>
              </w:rPr>
            </w:pPr>
            <w:r w:rsidRPr="00CA102E">
              <w:rPr>
                <w:rFonts w:cstheme="minorHAnsi"/>
                <w:sz w:val="20"/>
                <w:szCs w:val="20"/>
              </w:rPr>
              <w:t>85</w:t>
            </w:r>
          </w:p>
        </w:tc>
        <w:tc>
          <w:tcPr>
            <w:tcW w:w="765" w:type="dxa"/>
          </w:tcPr>
          <w:p w14:paraId="1127A461" w14:textId="60D7A7CA" w:rsidR="00423E43" w:rsidRPr="00CA102E" w:rsidRDefault="00423E43" w:rsidP="00423E43">
            <w:pPr>
              <w:pStyle w:val="Tableheading"/>
              <w:rPr>
                <w:rFonts w:cstheme="minorHAnsi"/>
                <w:sz w:val="20"/>
                <w:szCs w:val="20"/>
              </w:rPr>
            </w:pPr>
            <w:r w:rsidRPr="00CA102E">
              <w:rPr>
                <w:rFonts w:cstheme="minorHAnsi"/>
                <w:sz w:val="20"/>
                <w:szCs w:val="20"/>
              </w:rPr>
              <w:t>241</w:t>
            </w:r>
          </w:p>
        </w:tc>
        <w:tc>
          <w:tcPr>
            <w:tcW w:w="773" w:type="dxa"/>
          </w:tcPr>
          <w:p w14:paraId="38D9C553" w14:textId="1F9429AC" w:rsidR="00423E43" w:rsidRPr="00CA102E" w:rsidRDefault="00423E43" w:rsidP="00423E43">
            <w:pPr>
              <w:pStyle w:val="Tableheading"/>
              <w:rPr>
                <w:rFonts w:cstheme="minorHAnsi"/>
                <w:sz w:val="20"/>
                <w:szCs w:val="20"/>
              </w:rPr>
            </w:pPr>
            <w:r w:rsidRPr="00CA102E">
              <w:rPr>
                <w:rFonts w:cstheme="minorHAnsi"/>
                <w:sz w:val="20"/>
                <w:szCs w:val="20"/>
              </w:rPr>
              <w:t>6</w:t>
            </w:r>
            <w:r w:rsidR="00CA102E">
              <w:rPr>
                <w:rFonts w:cstheme="minorHAnsi"/>
                <w:sz w:val="20"/>
                <w:szCs w:val="20"/>
              </w:rPr>
              <w:t>,</w:t>
            </w:r>
            <w:r w:rsidRPr="00CA102E">
              <w:rPr>
                <w:rFonts w:cstheme="minorHAnsi"/>
                <w:sz w:val="20"/>
                <w:szCs w:val="20"/>
              </w:rPr>
              <w:t>092</w:t>
            </w:r>
          </w:p>
        </w:tc>
      </w:tr>
    </w:tbl>
    <w:p w14:paraId="19AAA82E" w14:textId="77777777" w:rsidR="00166664" w:rsidRDefault="00166664" w:rsidP="00166664"/>
    <w:p w14:paraId="5E982751" w14:textId="61DEC014" w:rsidR="00093AA6" w:rsidRPr="00812493" w:rsidRDefault="007F614D" w:rsidP="00812493">
      <w:pPr>
        <w:pStyle w:val="Heading4"/>
        <w:rPr>
          <w:sz w:val="24"/>
        </w:rPr>
      </w:pPr>
      <w:r w:rsidRPr="00812493">
        <w:rPr>
          <w:sz w:val="24"/>
        </w:rPr>
        <w:lastRenderedPageBreak/>
        <w:t>Treatment breaks while on denosumab</w:t>
      </w:r>
    </w:p>
    <w:p w14:paraId="6A11789A" w14:textId="3FFF3F6B" w:rsidR="007F614D" w:rsidRDefault="0072244A" w:rsidP="006907A9">
      <w:bookmarkStart w:id="5" w:name="_Hlk48305152"/>
      <w:r w:rsidRPr="0072244A">
        <w:t xml:space="preserve">For </w:t>
      </w:r>
      <w:r w:rsidR="00CF2E0D">
        <w:t xml:space="preserve">32,731 </w:t>
      </w:r>
      <w:r w:rsidRPr="0072244A">
        <w:t xml:space="preserve">patients who initiated therapy with denosumab </w:t>
      </w:r>
      <w:r w:rsidR="002B0D9D">
        <w:t xml:space="preserve">(regardless of whether they had been dispensed a different osteoporosis medicine beforehand) </w:t>
      </w:r>
      <w:r w:rsidRPr="0072244A">
        <w:t xml:space="preserve">between 1 January 2014 and 31 December 2017, </w:t>
      </w:r>
      <w:r w:rsidR="00CF2E0D">
        <w:t>11,533 (</w:t>
      </w:r>
      <w:r w:rsidR="00D5175F">
        <w:t>35.2%)</w:t>
      </w:r>
      <w:r w:rsidRPr="0072244A">
        <w:t xml:space="preserve"> experienced a treatment break</w:t>
      </w:r>
      <w:r w:rsidR="00404896">
        <w:rPr>
          <w:rStyle w:val="FootnoteReference"/>
        </w:rPr>
        <w:footnoteReference w:id="15"/>
      </w:r>
      <w:r w:rsidR="00D5175F">
        <w:t>. Of th</w:t>
      </w:r>
      <w:r w:rsidR="00CA5850">
        <w:t>e denosumab initiators who experienced a treatment break</w:t>
      </w:r>
      <w:r w:rsidRPr="0072244A">
        <w:t xml:space="preserve">, </w:t>
      </w:r>
      <w:r w:rsidR="00192851">
        <w:t xml:space="preserve">only 2.5% </w:t>
      </w:r>
      <w:r w:rsidRPr="0072244A">
        <w:t xml:space="preserve">were </w:t>
      </w:r>
      <w:r w:rsidR="00F21FBD">
        <w:t xml:space="preserve">covered by another </w:t>
      </w:r>
      <w:r w:rsidR="001F7197">
        <w:t xml:space="preserve">prescription for osteoporosis therapy </w:t>
      </w:r>
      <w:r w:rsidRPr="0072244A">
        <w:t>during that treatment break</w:t>
      </w:r>
      <w:r w:rsidR="00AF057F">
        <w:t xml:space="preserve"> (</w:t>
      </w:r>
      <w:r w:rsidR="0005410E">
        <w:t>Table 21</w:t>
      </w:r>
      <w:r w:rsidR="00AF057F">
        <w:t>)</w:t>
      </w:r>
      <w:r w:rsidR="008773DC">
        <w:t>.</w:t>
      </w:r>
      <w:r w:rsidR="00AF057F">
        <w:t xml:space="preserve"> </w:t>
      </w:r>
      <w:r w:rsidR="00AF057F" w:rsidRPr="00AF057F">
        <w:t xml:space="preserve">In the sensitivity analysis, the subset of patients with at least 3.5 years of follow-up available, </w:t>
      </w:r>
      <w:r w:rsidR="00954E9F">
        <w:t xml:space="preserve">patients </w:t>
      </w:r>
      <w:r w:rsidR="00AF057F">
        <w:t>were</w:t>
      </w:r>
      <w:r w:rsidR="00AF057F" w:rsidRPr="00AF057F">
        <w:t xml:space="preserve"> slightly </w:t>
      </w:r>
      <w:r w:rsidR="00AF057F">
        <w:t>more likely to be prescribed another medicine while on a treatment break from denosumab</w:t>
      </w:r>
      <w:r w:rsidR="00303C67">
        <w:t xml:space="preserve"> (Table 21</w:t>
      </w:r>
      <w:r w:rsidR="00AF057F" w:rsidRPr="00AF057F">
        <w:t>).</w:t>
      </w:r>
    </w:p>
    <w:bookmarkEnd w:id="5"/>
    <w:p w14:paraId="31181C7E" w14:textId="6951C7F7" w:rsidR="0048456E" w:rsidRDefault="00303C67" w:rsidP="0048456E">
      <w:pPr>
        <w:pStyle w:val="Tabletitle"/>
      </w:pPr>
      <w:r>
        <w:t>Table 21</w:t>
      </w:r>
      <w:r w:rsidR="0048456E">
        <w:t>: Evidence of alternative treatment during</w:t>
      </w:r>
      <w:r w:rsidR="00DA020F">
        <w:t xml:space="preserve"> breaks in denosumab treatment for patients who initiated </w:t>
      </w:r>
      <w:r w:rsidR="00EE1196">
        <w:t xml:space="preserve">denosumab between 2014 and 2017, or between 2014 and 2015 </w:t>
      </w:r>
      <w:r w:rsidR="0048456E">
        <w:t>(sensitivity analysis)</w:t>
      </w:r>
    </w:p>
    <w:tbl>
      <w:tblPr>
        <w:tblStyle w:val="TableGrid"/>
        <w:tblW w:w="5000" w:type="pct"/>
        <w:tblLook w:val="04A0" w:firstRow="1" w:lastRow="0" w:firstColumn="1" w:lastColumn="0" w:noHBand="0" w:noVBand="1"/>
        <w:tblCaption w:val="Table 19: Evidence of alternative treatment during breaks in denosumab treatment for patients who initiated denosumab between 2014 and 2017, or between 2014 and 2015 (sensitivity analysis)"/>
      </w:tblPr>
      <w:tblGrid>
        <w:gridCol w:w="1271"/>
        <w:gridCol w:w="1867"/>
        <w:gridCol w:w="2203"/>
        <w:gridCol w:w="1949"/>
        <w:gridCol w:w="1657"/>
      </w:tblGrid>
      <w:tr w:rsidR="00944133" w:rsidRPr="001D0858" w14:paraId="68A3D625" w14:textId="77777777" w:rsidTr="00387294">
        <w:trPr>
          <w:trHeight w:val="20"/>
          <w:tblHeader/>
        </w:trPr>
        <w:tc>
          <w:tcPr>
            <w:tcW w:w="710" w:type="pct"/>
            <w:vMerge w:val="restart"/>
            <w:shd w:val="clear" w:color="auto" w:fill="BFBFBF" w:themeFill="background1" w:themeFillShade="BF"/>
          </w:tcPr>
          <w:p w14:paraId="1DECCE5B" w14:textId="77777777" w:rsidR="00944133" w:rsidRDefault="00944133" w:rsidP="00D069E4">
            <w:pPr>
              <w:pStyle w:val="Tableheading"/>
              <w:rPr>
                <w:sz w:val="20"/>
                <w:szCs w:val="20"/>
              </w:rPr>
            </w:pPr>
          </w:p>
        </w:tc>
        <w:tc>
          <w:tcPr>
            <w:tcW w:w="1043" w:type="pct"/>
            <w:shd w:val="clear" w:color="auto" w:fill="BFBFBF" w:themeFill="background1" w:themeFillShade="BF"/>
          </w:tcPr>
          <w:p w14:paraId="20B533E1" w14:textId="1BDE670A" w:rsidR="00944133" w:rsidRPr="001D0858" w:rsidRDefault="00944133" w:rsidP="00D069E4">
            <w:pPr>
              <w:pStyle w:val="Tableheading"/>
              <w:rPr>
                <w:sz w:val="20"/>
                <w:szCs w:val="20"/>
              </w:rPr>
            </w:pPr>
            <w:r>
              <w:rPr>
                <w:sz w:val="20"/>
                <w:szCs w:val="20"/>
              </w:rPr>
              <w:t>Pts who initiated denosumab</w:t>
            </w:r>
          </w:p>
        </w:tc>
        <w:tc>
          <w:tcPr>
            <w:tcW w:w="1231" w:type="pct"/>
            <w:shd w:val="clear" w:color="auto" w:fill="BFBFBF" w:themeFill="background1" w:themeFillShade="BF"/>
          </w:tcPr>
          <w:p w14:paraId="1F73F153" w14:textId="5F9639D2" w:rsidR="00944133" w:rsidRDefault="00944133" w:rsidP="00D069E4">
            <w:pPr>
              <w:pStyle w:val="Tableheading"/>
              <w:rPr>
                <w:sz w:val="20"/>
                <w:szCs w:val="20"/>
              </w:rPr>
            </w:pPr>
            <w:r>
              <w:rPr>
                <w:sz w:val="20"/>
                <w:szCs w:val="20"/>
              </w:rPr>
              <w:t>Pts who had a treatment break</w:t>
            </w:r>
          </w:p>
        </w:tc>
        <w:tc>
          <w:tcPr>
            <w:tcW w:w="2015" w:type="pct"/>
            <w:gridSpan w:val="2"/>
            <w:shd w:val="clear" w:color="auto" w:fill="BFBFBF" w:themeFill="background1" w:themeFillShade="BF"/>
          </w:tcPr>
          <w:p w14:paraId="487681C6" w14:textId="59BBEAC3" w:rsidR="00944133" w:rsidRDefault="00944133" w:rsidP="00D069E4">
            <w:pPr>
              <w:pStyle w:val="Tableheading"/>
              <w:rPr>
                <w:sz w:val="20"/>
                <w:szCs w:val="20"/>
              </w:rPr>
            </w:pPr>
            <w:r>
              <w:rPr>
                <w:sz w:val="20"/>
                <w:szCs w:val="20"/>
              </w:rPr>
              <w:t>Pts who had another treatment during treatment break</w:t>
            </w:r>
          </w:p>
        </w:tc>
      </w:tr>
      <w:tr w:rsidR="00944133" w:rsidRPr="001D0858" w14:paraId="7D30A6D0" w14:textId="77777777" w:rsidTr="00387294">
        <w:trPr>
          <w:trHeight w:val="20"/>
          <w:tblHeader/>
        </w:trPr>
        <w:tc>
          <w:tcPr>
            <w:tcW w:w="710" w:type="pct"/>
            <w:vMerge/>
            <w:shd w:val="clear" w:color="auto" w:fill="BFBFBF" w:themeFill="background1" w:themeFillShade="BF"/>
          </w:tcPr>
          <w:p w14:paraId="705B3BB4" w14:textId="77777777" w:rsidR="00944133" w:rsidRDefault="00944133" w:rsidP="00D069E4">
            <w:pPr>
              <w:pStyle w:val="Tableheading"/>
              <w:rPr>
                <w:sz w:val="20"/>
                <w:szCs w:val="20"/>
              </w:rPr>
            </w:pPr>
          </w:p>
        </w:tc>
        <w:tc>
          <w:tcPr>
            <w:tcW w:w="1043" w:type="pct"/>
            <w:shd w:val="clear" w:color="auto" w:fill="BFBFBF" w:themeFill="background1" w:themeFillShade="BF"/>
          </w:tcPr>
          <w:p w14:paraId="770E68AA" w14:textId="76E1DCB3" w:rsidR="00944133" w:rsidRPr="001D0858" w:rsidRDefault="00387294" w:rsidP="00D069E4">
            <w:pPr>
              <w:pStyle w:val="Tableheading"/>
              <w:rPr>
                <w:sz w:val="20"/>
                <w:szCs w:val="20"/>
              </w:rPr>
            </w:pPr>
            <w:r>
              <w:rPr>
                <w:sz w:val="20"/>
                <w:szCs w:val="20"/>
              </w:rPr>
              <w:t>N</w:t>
            </w:r>
          </w:p>
        </w:tc>
        <w:tc>
          <w:tcPr>
            <w:tcW w:w="1231" w:type="pct"/>
            <w:shd w:val="clear" w:color="auto" w:fill="BFBFBF" w:themeFill="background1" w:themeFillShade="BF"/>
          </w:tcPr>
          <w:p w14:paraId="7ED240C2" w14:textId="3FF1E380" w:rsidR="00944133" w:rsidRPr="001D0858" w:rsidRDefault="00387294" w:rsidP="00D069E4">
            <w:pPr>
              <w:pStyle w:val="Tableheading"/>
              <w:rPr>
                <w:sz w:val="20"/>
                <w:szCs w:val="20"/>
              </w:rPr>
            </w:pPr>
            <w:r>
              <w:rPr>
                <w:sz w:val="20"/>
                <w:szCs w:val="20"/>
              </w:rPr>
              <w:t>N1 (% N1/N)</w:t>
            </w:r>
          </w:p>
        </w:tc>
        <w:tc>
          <w:tcPr>
            <w:tcW w:w="1089" w:type="pct"/>
            <w:shd w:val="clear" w:color="auto" w:fill="BFBFBF" w:themeFill="background1" w:themeFillShade="BF"/>
          </w:tcPr>
          <w:p w14:paraId="630B4E2E" w14:textId="32BDC647" w:rsidR="00944133" w:rsidRPr="001D0858" w:rsidRDefault="00387294" w:rsidP="00D069E4">
            <w:pPr>
              <w:pStyle w:val="Tableheading"/>
              <w:rPr>
                <w:sz w:val="20"/>
                <w:szCs w:val="20"/>
              </w:rPr>
            </w:pPr>
            <w:r>
              <w:rPr>
                <w:sz w:val="20"/>
                <w:szCs w:val="20"/>
              </w:rPr>
              <w:t>Yes</w:t>
            </w:r>
          </w:p>
        </w:tc>
        <w:tc>
          <w:tcPr>
            <w:tcW w:w="926" w:type="pct"/>
            <w:shd w:val="clear" w:color="auto" w:fill="BFBFBF" w:themeFill="background1" w:themeFillShade="BF"/>
          </w:tcPr>
          <w:p w14:paraId="43C336B8" w14:textId="653EBBF6" w:rsidR="00944133" w:rsidRDefault="00387294" w:rsidP="00D069E4">
            <w:pPr>
              <w:pStyle w:val="Tableheading"/>
              <w:rPr>
                <w:sz w:val="20"/>
                <w:szCs w:val="20"/>
              </w:rPr>
            </w:pPr>
            <w:r>
              <w:rPr>
                <w:sz w:val="20"/>
                <w:szCs w:val="20"/>
              </w:rPr>
              <w:t>No</w:t>
            </w:r>
          </w:p>
        </w:tc>
      </w:tr>
      <w:tr w:rsidR="009279AB" w:rsidRPr="001D0858" w14:paraId="070DA093" w14:textId="77777777" w:rsidTr="00387294">
        <w:trPr>
          <w:trHeight w:val="20"/>
        </w:trPr>
        <w:tc>
          <w:tcPr>
            <w:tcW w:w="710" w:type="pct"/>
          </w:tcPr>
          <w:p w14:paraId="3340B5F8" w14:textId="0F6EE1D4" w:rsidR="009279AB" w:rsidRPr="00957354" w:rsidRDefault="009279AB" w:rsidP="009279AB">
            <w:pPr>
              <w:pStyle w:val="Tableheading"/>
              <w:jc w:val="left"/>
              <w:rPr>
                <w:rFonts w:cstheme="minorHAnsi"/>
                <w:sz w:val="20"/>
                <w:szCs w:val="20"/>
              </w:rPr>
            </w:pPr>
            <w:r>
              <w:rPr>
                <w:rFonts w:cstheme="minorHAnsi"/>
                <w:sz w:val="20"/>
                <w:szCs w:val="20"/>
              </w:rPr>
              <w:t>2014–2017</w:t>
            </w:r>
          </w:p>
        </w:tc>
        <w:tc>
          <w:tcPr>
            <w:tcW w:w="1043" w:type="pct"/>
          </w:tcPr>
          <w:p w14:paraId="5491B3D9" w14:textId="1795F47C" w:rsidR="009279AB" w:rsidRPr="000F2789" w:rsidRDefault="009279AB" w:rsidP="009279AB">
            <w:pPr>
              <w:pStyle w:val="Tableheading"/>
              <w:rPr>
                <w:rFonts w:cstheme="minorHAnsi"/>
                <w:b w:val="0"/>
                <w:sz w:val="20"/>
                <w:szCs w:val="20"/>
              </w:rPr>
            </w:pPr>
            <w:r w:rsidRPr="009279AB">
              <w:rPr>
                <w:rFonts w:cstheme="minorHAnsi"/>
                <w:b w:val="0"/>
                <w:sz w:val="20"/>
                <w:szCs w:val="20"/>
              </w:rPr>
              <w:t>32,731</w:t>
            </w:r>
          </w:p>
        </w:tc>
        <w:tc>
          <w:tcPr>
            <w:tcW w:w="1231" w:type="pct"/>
          </w:tcPr>
          <w:p w14:paraId="74AD73FB" w14:textId="76F666DB" w:rsidR="009279AB" w:rsidRPr="000F2789" w:rsidRDefault="009279AB" w:rsidP="009279AB">
            <w:pPr>
              <w:pStyle w:val="Tableheading"/>
              <w:rPr>
                <w:rFonts w:cstheme="minorHAnsi"/>
                <w:b w:val="0"/>
                <w:sz w:val="20"/>
                <w:szCs w:val="20"/>
              </w:rPr>
            </w:pPr>
            <w:r w:rsidRPr="009279AB">
              <w:rPr>
                <w:rFonts w:cstheme="minorHAnsi"/>
                <w:b w:val="0"/>
                <w:sz w:val="20"/>
                <w:szCs w:val="20"/>
              </w:rPr>
              <w:t>11,533 (35.2%)</w:t>
            </w:r>
          </w:p>
        </w:tc>
        <w:tc>
          <w:tcPr>
            <w:tcW w:w="1089" w:type="pct"/>
          </w:tcPr>
          <w:p w14:paraId="3D475075" w14:textId="65D4CC21" w:rsidR="009279AB" w:rsidRPr="000F2789" w:rsidRDefault="009279AB" w:rsidP="009279AB">
            <w:pPr>
              <w:pStyle w:val="Tableheading"/>
              <w:rPr>
                <w:rFonts w:cstheme="minorHAnsi"/>
                <w:b w:val="0"/>
                <w:sz w:val="20"/>
                <w:szCs w:val="20"/>
              </w:rPr>
            </w:pPr>
            <w:r w:rsidRPr="009279AB">
              <w:rPr>
                <w:rFonts w:cstheme="minorHAnsi"/>
                <w:b w:val="0"/>
                <w:sz w:val="20"/>
                <w:szCs w:val="20"/>
              </w:rPr>
              <w:t>289</w:t>
            </w:r>
            <w:r>
              <w:rPr>
                <w:rFonts w:cstheme="minorHAnsi"/>
                <w:b w:val="0"/>
                <w:sz w:val="20"/>
                <w:szCs w:val="20"/>
              </w:rPr>
              <w:t xml:space="preserve"> </w:t>
            </w:r>
            <w:r w:rsidRPr="009279AB">
              <w:rPr>
                <w:rFonts w:cstheme="minorHAnsi"/>
                <w:b w:val="0"/>
                <w:sz w:val="20"/>
                <w:szCs w:val="20"/>
              </w:rPr>
              <w:t>(2.5%)</w:t>
            </w:r>
          </w:p>
        </w:tc>
        <w:tc>
          <w:tcPr>
            <w:tcW w:w="926" w:type="pct"/>
          </w:tcPr>
          <w:p w14:paraId="73E65E1C" w14:textId="2FA7EF79" w:rsidR="009279AB" w:rsidRDefault="009279AB" w:rsidP="009279AB">
            <w:pPr>
              <w:pStyle w:val="Tableheading"/>
              <w:rPr>
                <w:rFonts w:cstheme="minorHAnsi"/>
                <w:b w:val="0"/>
                <w:sz w:val="20"/>
                <w:szCs w:val="20"/>
              </w:rPr>
            </w:pPr>
            <w:r w:rsidRPr="009279AB">
              <w:rPr>
                <w:rFonts w:cstheme="minorHAnsi"/>
                <w:b w:val="0"/>
                <w:sz w:val="20"/>
                <w:szCs w:val="20"/>
              </w:rPr>
              <w:t>11,244</w:t>
            </w:r>
            <w:r>
              <w:rPr>
                <w:rFonts w:cstheme="minorHAnsi"/>
                <w:b w:val="0"/>
                <w:sz w:val="20"/>
                <w:szCs w:val="20"/>
              </w:rPr>
              <w:t xml:space="preserve"> </w:t>
            </w:r>
            <w:r w:rsidRPr="009279AB">
              <w:rPr>
                <w:rFonts w:cstheme="minorHAnsi"/>
                <w:b w:val="0"/>
                <w:sz w:val="20"/>
                <w:szCs w:val="20"/>
              </w:rPr>
              <w:t>(97.5%)</w:t>
            </w:r>
          </w:p>
        </w:tc>
      </w:tr>
      <w:tr w:rsidR="008473B0" w:rsidRPr="001D0858" w14:paraId="193F7E8E" w14:textId="77777777" w:rsidTr="00387294">
        <w:trPr>
          <w:trHeight w:val="20"/>
        </w:trPr>
        <w:tc>
          <w:tcPr>
            <w:tcW w:w="710" w:type="pct"/>
          </w:tcPr>
          <w:p w14:paraId="30D5EAEA" w14:textId="0E8BB8CC" w:rsidR="008473B0" w:rsidRPr="00957354" w:rsidRDefault="008473B0" w:rsidP="008473B0">
            <w:pPr>
              <w:pStyle w:val="Tableheading"/>
              <w:jc w:val="left"/>
              <w:rPr>
                <w:rFonts w:cstheme="minorHAnsi"/>
                <w:sz w:val="20"/>
                <w:szCs w:val="20"/>
              </w:rPr>
            </w:pPr>
            <w:r>
              <w:rPr>
                <w:rFonts w:cstheme="minorHAnsi"/>
                <w:sz w:val="20"/>
                <w:szCs w:val="20"/>
              </w:rPr>
              <w:t>2014–2015</w:t>
            </w:r>
          </w:p>
        </w:tc>
        <w:tc>
          <w:tcPr>
            <w:tcW w:w="1043" w:type="pct"/>
          </w:tcPr>
          <w:p w14:paraId="19A1DFBD" w14:textId="7B25C32E" w:rsidR="008473B0" w:rsidRPr="000F2789" w:rsidRDefault="008473B0" w:rsidP="008473B0">
            <w:pPr>
              <w:pStyle w:val="Tableheading"/>
              <w:rPr>
                <w:rFonts w:cstheme="minorHAnsi"/>
                <w:b w:val="0"/>
                <w:sz w:val="20"/>
                <w:szCs w:val="20"/>
              </w:rPr>
            </w:pPr>
            <w:r w:rsidRPr="008473B0">
              <w:rPr>
                <w:rFonts w:cstheme="minorHAnsi"/>
                <w:b w:val="0"/>
                <w:sz w:val="20"/>
                <w:szCs w:val="20"/>
              </w:rPr>
              <w:t>14</w:t>
            </w:r>
            <w:r>
              <w:rPr>
                <w:rFonts w:cstheme="minorHAnsi"/>
                <w:b w:val="0"/>
                <w:sz w:val="20"/>
                <w:szCs w:val="20"/>
              </w:rPr>
              <w:t>,</w:t>
            </w:r>
            <w:r w:rsidRPr="008473B0">
              <w:rPr>
                <w:rFonts w:cstheme="minorHAnsi"/>
                <w:b w:val="0"/>
                <w:sz w:val="20"/>
                <w:szCs w:val="20"/>
              </w:rPr>
              <w:t>569</w:t>
            </w:r>
          </w:p>
        </w:tc>
        <w:tc>
          <w:tcPr>
            <w:tcW w:w="1231" w:type="pct"/>
          </w:tcPr>
          <w:p w14:paraId="72110922" w14:textId="0149E187" w:rsidR="008473B0" w:rsidRPr="000F2789" w:rsidRDefault="008473B0" w:rsidP="008473B0">
            <w:pPr>
              <w:pStyle w:val="Tableheading"/>
              <w:rPr>
                <w:rFonts w:cstheme="minorHAnsi"/>
                <w:b w:val="0"/>
                <w:sz w:val="20"/>
                <w:szCs w:val="20"/>
              </w:rPr>
            </w:pPr>
            <w:r w:rsidRPr="008473B0">
              <w:rPr>
                <w:rFonts w:cstheme="minorHAnsi"/>
                <w:b w:val="0"/>
                <w:sz w:val="20"/>
                <w:szCs w:val="20"/>
              </w:rPr>
              <w:t>6</w:t>
            </w:r>
            <w:r>
              <w:rPr>
                <w:rFonts w:cstheme="minorHAnsi"/>
                <w:b w:val="0"/>
                <w:sz w:val="20"/>
                <w:szCs w:val="20"/>
              </w:rPr>
              <w:t>,</w:t>
            </w:r>
            <w:r w:rsidRPr="008473B0">
              <w:rPr>
                <w:rFonts w:cstheme="minorHAnsi"/>
                <w:b w:val="0"/>
                <w:sz w:val="20"/>
                <w:szCs w:val="20"/>
              </w:rPr>
              <w:t>347</w:t>
            </w:r>
            <w:r>
              <w:rPr>
                <w:rFonts w:cstheme="minorHAnsi"/>
                <w:b w:val="0"/>
                <w:sz w:val="20"/>
                <w:szCs w:val="20"/>
              </w:rPr>
              <w:t xml:space="preserve"> </w:t>
            </w:r>
            <w:r w:rsidRPr="008473B0">
              <w:rPr>
                <w:rFonts w:cstheme="minorHAnsi"/>
                <w:b w:val="0"/>
                <w:sz w:val="20"/>
                <w:szCs w:val="20"/>
              </w:rPr>
              <w:t>(43.6%)</w:t>
            </w:r>
          </w:p>
        </w:tc>
        <w:tc>
          <w:tcPr>
            <w:tcW w:w="1089" w:type="pct"/>
          </w:tcPr>
          <w:p w14:paraId="12985564" w14:textId="72A8C31D" w:rsidR="008473B0" w:rsidRPr="000F2789" w:rsidRDefault="008473B0" w:rsidP="008473B0">
            <w:pPr>
              <w:pStyle w:val="Tableheading"/>
              <w:rPr>
                <w:rFonts w:cstheme="minorHAnsi"/>
                <w:b w:val="0"/>
                <w:sz w:val="20"/>
                <w:szCs w:val="20"/>
              </w:rPr>
            </w:pPr>
            <w:r w:rsidRPr="008473B0">
              <w:rPr>
                <w:rFonts w:cstheme="minorHAnsi"/>
                <w:b w:val="0"/>
                <w:sz w:val="20"/>
                <w:szCs w:val="20"/>
              </w:rPr>
              <w:t>192</w:t>
            </w:r>
            <w:r>
              <w:rPr>
                <w:rFonts w:cstheme="minorHAnsi"/>
                <w:b w:val="0"/>
                <w:sz w:val="20"/>
                <w:szCs w:val="20"/>
              </w:rPr>
              <w:t xml:space="preserve"> </w:t>
            </w:r>
            <w:r w:rsidRPr="008473B0">
              <w:rPr>
                <w:rFonts w:cstheme="minorHAnsi"/>
                <w:b w:val="0"/>
                <w:sz w:val="20"/>
                <w:szCs w:val="20"/>
              </w:rPr>
              <w:t>(3</w:t>
            </w:r>
            <w:r>
              <w:rPr>
                <w:rFonts w:cstheme="minorHAnsi"/>
                <w:b w:val="0"/>
                <w:sz w:val="20"/>
                <w:szCs w:val="20"/>
              </w:rPr>
              <w:t>.0</w:t>
            </w:r>
            <w:r w:rsidRPr="008473B0">
              <w:rPr>
                <w:rFonts w:cstheme="minorHAnsi"/>
                <w:b w:val="0"/>
                <w:sz w:val="20"/>
                <w:szCs w:val="20"/>
              </w:rPr>
              <w:t>%)</w:t>
            </w:r>
          </w:p>
        </w:tc>
        <w:tc>
          <w:tcPr>
            <w:tcW w:w="926" w:type="pct"/>
          </w:tcPr>
          <w:p w14:paraId="79109080" w14:textId="3DC49ABB" w:rsidR="008473B0" w:rsidRPr="00A63DC0" w:rsidRDefault="008473B0" w:rsidP="008473B0">
            <w:pPr>
              <w:pStyle w:val="Tableheading"/>
              <w:rPr>
                <w:rFonts w:cstheme="minorHAnsi"/>
                <w:b w:val="0"/>
                <w:sz w:val="20"/>
                <w:szCs w:val="20"/>
              </w:rPr>
            </w:pPr>
            <w:r w:rsidRPr="008473B0">
              <w:rPr>
                <w:rFonts w:cstheme="minorHAnsi"/>
                <w:b w:val="0"/>
                <w:sz w:val="20"/>
                <w:szCs w:val="20"/>
              </w:rPr>
              <w:t>6</w:t>
            </w:r>
            <w:r>
              <w:rPr>
                <w:rFonts w:cstheme="minorHAnsi"/>
                <w:b w:val="0"/>
                <w:sz w:val="20"/>
                <w:szCs w:val="20"/>
              </w:rPr>
              <w:t>,</w:t>
            </w:r>
            <w:r w:rsidRPr="008473B0">
              <w:rPr>
                <w:rFonts w:cstheme="minorHAnsi"/>
                <w:b w:val="0"/>
                <w:sz w:val="20"/>
                <w:szCs w:val="20"/>
              </w:rPr>
              <w:t>155</w:t>
            </w:r>
            <w:r>
              <w:rPr>
                <w:rFonts w:cstheme="minorHAnsi"/>
                <w:b w:val="0"/>
                <w:sz w:val="20"/>
                <w:szCs w:val="20"/>
              </w:rPr>
              <w:t xml:space="preserve"> </w:t>
            </w:r>
            <w:r w:rsidRPr="008473B0">
              <w:rPr>
                <w:rFonts w:cstheme="minorHAnsi"/>
                <w:b w:val="0"/>
                <w:sz w:val="20"/>
                <w:szCs w:val="20"/>
              </w:rPr>
              <w:t>(97</w:t>
            </w:r>
            <w:r>
              <w:rPr>
                <w:rFonts w:cstheme="minorHAnsi"/>
                <w:b w:val="0"/>
                <w:sz w:val="20"/>
                <w:szCs w:val="20"/>
              </w:rPr>
              <w:t>.0</w:t>
            </w:r>
            <w:r w:rsidRPr="008473B0">
              <w:rPr>
                <w:rFonts w:cstheme="minorHAnsi"/>
                <w:b w:val="0"/>
                <w:sz w:val="20"/>
                <w:szCs w:val="20"/>
              </w:rPr>
              <w:t>%)</w:t>
            </w:r>
          </w:p>
        </w:tc>
      </w:tr>
    </w:tbl>
    <w:p w14:paraId="62907791" w14:textId="5DD14C99" w:rsidR="0072244A" w:rsidRDefault="0072244A" w:rsidP="006907A9"/>
    <w:p w14:paraId="417477A7" w14:textId="798C5A26" w:rsidR="00444EAC" w:rsidRPr="00812493" w:rsidRDefault="00444EAC" w:rsidP="00812493">
      <w:pPr>
        <w:pStyle w:val="Heading4"/>
        <w:rPr>
          <w:sz w:val="24"/>
        </w:rPr>
      </w:pPr>
      <w:r w:rsidRPr="00812493">
        <w:rPr>
          <w:sz w:val="24"/>
        </w:rPr>
        <w:t>Treatment cessation</w:t>
      </w:r>
    </w:p>
    <w:p w14:paraId="2DCCEB95" w14:textId="2377E4D1" w:rsidR="00B10961" w:rsidRDefault="00B10961" w:rsidP="00B10961">
      <w:r w:rsidRPr="0072244A">
        <w:t xml:space="preserve">For </w:t>
      </w:r>
      <w:r w:rsidR="007E3706">
        <w:t>21,197</w:t>
      </w:r>
      <w:r>
        <w:t xml:space="preserve"> </w:t>
      </w:r>
      <w:r w:rsidRPr="0072244A">
        <w:t>patients who</w:t>
      </w:r>
      <w:r w:rsidR="007E3706">
        <w:t xml:space="preserve"> were directly </w:t>
      </w:r>
      <w:r w:rsidRPr="0072244A">
        <w:t xml:space="preserve">initiated </w:t>
      </w:r>
      <w:r w:rsidR="007E3706">
        <w:t>on denosumab</w:t>
      </w:r>
      <w:r w:rsidR="00041803">
        <w:t>, without being dispensed any other osteoporosis medicine,</w:t>
      </w:r>
      <w:r w:rsidRPr="0072244A">
        <w:t xml:space="preserve"> between 1 January 2014 and 31 December 2017, </w:t>
      </w:r>
      <w:r w:rsidR="00363F98">
        <w:t>7,157</w:t>
      </w:r>
      <w:r>
        <w:t xml:space="preserve"> (</w:t>
      </w:r>
      <w:r w:rsidR="00C93D0D">
        <w:t>33.8</w:t>
      </w:r>
      <w:r>
        <w:t>%)</w:t>
      </w:r>
      <w:r w:rsidRPr="0072244A">
        <w:t xml:space="preserve"> </w:t>
      </w:r>
      <w:r w:rsidR="00C93D0D">
        <w:t>ceased therapy</w:t>
      </w:r>
      <w:r>
        <w:t xml:space="preserve">. Of the </w:t>
      </w:r>
      <w:r w:rsidR="00C307BD">
        <w:t>patient</w:t>
      </w:r>
      <w:r w:rsidR="00995AC7">
        <w:t>s</w:t>
      </w:r>
      <w:r w:rsidR="00C307BD">
        <w:t xml:space="preserve"> directly initiated on denosumab</w:t>
      </w:r>
      <w:r>
        <w:t xml:space="preserve"> who </w:t>
      </w:r>
      <w:r w:rsidR="00C307BD">
        <w:t>ceased therapy</w:t>
      </w:r>
      <w:r w:rsidRPr="0072244A">
        <w:t xml:space="preserve">, </w:t>
      </w:r>
      <w:r>
        <w:t xml:space="preserve">only </w:t>
      </w:r>
      <w:r w:rsidR="000134C3">
        <w:t>5</w:t>
      </w:r>
      <w:r w:rsidR="00504FEA">
        <w:t>.0</w:t>
      </w:r>
      <w:r>
        <w:t xml:space="preserve">% </w:t>
      </w:r>
      <w:r w:rsidR="00332BBC">
        <w:t xml:space="preserve">had another </w:t>
      </w:r>
      <w:r w:rsidR="00BC4417">
        <w:t>treatment after cessation</w:t>
      </w:r>
      <w:r>
        <w:t xml:space="preserve"> (Table </w:t>
      </w:r>
      <w:r w:rsidR="0005410E">
        <w:t>22</w:t>
      </w:r>
      <w:r>
        <w:t xml:space="preserve">). </w:t>
      </w:r>
      <w:r w:rsidR="005A5527">
        <w:t>I</w:t>
      </w:r>
      <w:r w:rsidR="005A5527" w:rsidRPr="00AF057F">
        <w:t>n the sensitivity analysis</w:t>
      </w:r>
      <w:r w:rsidR="005A5527">
        <w:t>, t</w:t>
      </w:r>
      <w:r w:rsidR="00AF03AF">
        <w:t xml:space="preserve">he results </w:t>
      </w:r>
      <w:r w:rsidR="005A5527">
        <w:t xml:space="preserve">for denosumab </w:t>
      </w:r>
      <w:r w:rsidR="00AF03AF">
        <w:t xml:space="preserve">were not significantly different </w:t>
      </w:r>
      <w:r w:rsidR="005A5527">
        <w:t>among</w:t>
      </w:r>
      <w:r w:rsidRPr="00AF057F">
        <w:t xml:space="preserve"> the subset of patients with at least 3.5 years of follow-up available (Table </w:t>
      </w:r>
      <w:r w:rsidR="00B63A9D">
        <w:t>2</w:t>
      </w:r>
      <w:r w:rsidR="0005410E">
        <w:t>3</w:t>
      </w:r>
      <w:r w:rsidRPr="00AF057F">
        <w:t>).</w:t>
      </w:r>
    </w:p>
    <w:p w14:paraId="36D89045" w14:textId="5ADE23B7" w:rsidR="00B10961" w:rsidRPr="00B10961" w:rsidRDefault="00EF26F0" w:rsidP="00B10961">
      <w:r>
        <w:t xml:space="preserve">Patients who were directly initiated on bisphosphonates and other osteoporosis medicines were much more likely to cease therapy than patients initiated on </w:t>
      </w:r>
      <w:r w:rsidR="00BD2695">
        <w:t>denosumab and</w:t>
      </w:r>
      <w:r>
        <w:t xml:space="preserve"> were also much more likely to start treatment with an alternative osteoporosis medicine after ceasing their original medicine. </w:t>
      </w:r>
      <w:r w:rsidR="00E0587A">
        <w:t xml:space="preserve">Around three quarters of patients who </w:t>
      </w:r>
      <w:r w:rsidR="00BB07E9">
        <w:t xml:space="preserve">first started osteoporosis therapy on </w:t>
      </w:r>
      <w:r w:rsidR="004D0D5C">
        <w:t xml:space="preserve">alendronate, </w:t>
      </w:r>
      <w:r w:rsidR="00D52FFE">
        <w:t>risedronate, zoledronic acid</w:t>
      </w:r>
      <w:r w:rsidR="00230DE0">
        <w:t xml:space="preserve"> </w:t>
      </w:r>
      <w:r w:rsidR="00B6544A">
        <w:t>or</w:t>
      </w:r>
      <w:r w:rsidR="00D52FFE">
        <w:t xml:space="preserve"> </w:t>
      </w:r>
      <w:r w:rsidR="00B6544A">
        <w:t xml:space="preserve">raloxifene, ceased their initiating therapy during the </w:t>
      </w:r>
      <w:r w:rsidR="0018153E">
        <w:t>time period assessed</w:t>
      </w:r>
      <w:r w:rsidR="00276AA5">
        <w:t xml:space="preserve"> </w:t>
      </w:r>
      <w:r w:rsidR="0018153E">
        <w:t xml:space="preserve">and around a third to </w:t>
      </w:r>
      <w:r w:rsidR="00C82DDB">
        <w:t xml:space="preserve">two fifths </w:t>
      </w:r>
      <w:r w:rsidR="003B5CD3">
        <w:t xml:space="preserve">of those that ceased </w:t>
      </w:r>
      <w:r w:rsidR="00804CE1">
        <w:t>had</w:t>
      </w:r>
      <w:r w:rsidR="003B5CD3">
        <w:t xml:space="preserve"> an alternative therapy</w:t>
      </w:r>
      <w:r w:rsidR="006C2F29">
        <w:t xml:space="preserve"> after cessation</w:t>
      </w:r>
      <w:r w:rsidR="00804CE1">
        <w:t xml:space="preserve"> (Table </w:t>
      </w:r>
      <w:r w:rsidR="0005410E">
        <w:t>22</w:t>
      </w:r>
      <w:r w:rsidR="00804CE1">
        <w:t>)</w:t>
      </w:r>
      <w:r w:rsidR="006C2F29">
        <w:t>.</w:t>
      </w:r>
      <w:r w:rsidR="00804CE1">
        <w:t xml:space="preserve"> Presumably</w:t>
      </w:r>
      <w:r w:rsidR="007612DE">
        <w:t xml:space="preserve">, the majority of these patients were switched to denosumab </w:t>
      </w:r>
      <w:r w:rsidR="00567E1A">
        <w:t xml:space="preserve">which </w:t>
      </w:r>
      <w:r w:rsidR="002933B1">
        <w:t xml:space="preserve">was dispensed to </w:t>
      </w:r>
      <w:r w:rsidR="00567E1A">
        <w:t xml:space="preserve">three quarters of </w:t>
      </w:r>
      <w:r w:rsidR="002933B1">
        <w:t xml:space="preserve">all </w:t>
      </w:r>
      <w:r w:rsidR="00567E1A">
        <w:t>patients on an osteoporosis medicine in 2018.</w:t>
      </w:r>
    </w:p>
    <w:p w14:paraId="186B5925" w14:textId="287F7D4D" w:rsidR="00806B83" w:rsidRDefault="00806B83" w:rsidP="00806B83">
      <w:pPr>
        <w:pStyle w:val="Tabletitle"/>
      </w:pPr>
      <w:r>
        <w:lastRenderedPageBreak/>
        <w:t xml:space="preserve">Table </w:t>
      </w:r>
      <w:r w:rsidR="0005410E">
        <w:t>22</w:t>
      </w:r>
      <w:r>
        <w:t xml:space="preserve">: </w:t>
      </w:r>
      <w:r w:rsidR="00097829">
        <w:t xml:space="preserve">Treatment cessation </w:t>
      </w:r>
      <w:r>
        <w:t xml:space="preserve">for patients who initiated </w:t>
      </w:r>
      <w:r w:rsidR="00097829">
        <w:t xml:space="preserve">osteoporosis medicines </w:t>
      </w:r>
      <w:r>
        <w:t>2014 and 2017</w:t>
      </w:r>
    </w:p>
    <w:tbl>
      <w:tblPr>
        <w:tblStyle w:val="TableGrid"/>
        <w:tblW w:w="9067" w:type="dxa"/>
        <w:tblLook w:val="04A0" w:firstRow="1" w:lastRow="0" w:firstColumn="1" w:lastColumn="0" w:noHBand="0" w:noVBand="1"/>
        <w:tblCaption w:val="Table 20: Treatment cessation for patients who initiated osteoporosis medicines 2014 and 2017"/>
      </w:tblPr>
      <w:tblGrid>
        <w:gridCol w:w="2116"/>
        <w:gridCol w:w="2296"/>
        <w:gridCol w:w="1679"/>
        <w:gridCol w:w="1417"/>
        <w:gridCol w:w="1559"/>
      </w:tblGrid>
      <w:tr w:rsidR="00302ED1" w:rsidRPr="001D0858" w14:paraId="7739FE03" w14:textId="77777777" w:rsidTr="009A5AFC">
        <w:trPr>
          <w:trHeight w:val="20"/>
          <w:tblHeader/>
        </w:trPr>
        <w:tc>
          <w:tcPr>
            <w:tcW w:w="2116" w:type="dxa"/>
            <w:vMerge w:val="restart"/>
            <w:shd w:val="clear" w:color="auto" w:fill="BFBFBF" w:themeFill="background1" w:themeFillShade="BF"/>
          </w:tcPr>
          <w:p w14:paraId="34C26AA2" w14:textId="77777777" w:rsidR="00806B83" w:rsidRDefault="00806B83" w:rsidP="00D069E4">
            <w:pPr>
              <w:pStyle w:val="Tableheading"/>
              <w:rPr>
                <w:sz w:val="20"/>
                <w:szCs w:val="20"/>
              </w:rPr>
            </w:pPr>
          </w:p>
        </w:tc>
        <w:tc>
          <w:tcPr>
            <w:tcW w:w="2296" w:type="dxa"/>
            <w:shd w:val="clear" w:color="auto" w:fill="BFBFBF" w:themeFill="background1" w:themeFillShade="BF"/>
          </w:tcPr>
          <w:p w14:paraId="2181A192" w14:textId="029866E2" w:rsidR="00806B83" w:rsidRPr="001D0858" w:rsidRDefault="00806B83" w:rsidP="00D069E4">
            <w:pPr>
              <w:pStyle w:val="Tableheading"/>
              <w:rPr>
                <w:sz w:val="20"/>
                <w:szCs w:val="20"/>
              </w:rPr>
            </w:pPr>
            <w:r>
              <w:rPr>
                <w:sz w:val="20"/>
                <w:szCs w:val="20"/>
              </w:rPr>
              <w:t xml:space="preserve">Pts who initiated </w:t>
            </w:r>
            <w:r w:rsidR="00834A56">
              <w:rPr>
                <w:sz w:val="20"/>
                <w:szCs w:val="20"/>
              </w:rPr>
              <w:t>osteoporosis medicines</w:t>
            </w:r>
          </w:p>
        </w:tc>
        <w:tc>
          <w:tcPr>
            <w:tcW w:w="1679" w:type="dxa"/>
            <w:shd w:val="clear" w:color="auto" w:fill="BFBFBF" w:themeFill="background1" w:themeFillShade="BF"/>
          </w:tcPr>
          <w:p w14:paraId="052013EB" w14:textId="3940F079" w:rsidR="00806B83" w:rsidRDefault="00806B83" w:rsidP="00D069E4">
            <w:pPr>
              <w:pStyle w:val="Tableheading"/>
              <w:rPr>
                <w:sz w:val="20"/>
                <w:szCs w:val="20"/>
              </w:rPr>
            </w:pPr>
            <w:r>
              <w:rPr>
                <w:sz w:val="20"/>
                <w:szCs w:val="20"/>
              </w:rPr>
              <w:t xml:space="preserve">Pts who </w:t>
            </w:r>
            <w:r w:rsidR="00834A56">
              <w:rPr>
                <w:sz w:val="20"/>
                <w:szCs w:val="20"/>
              </w:rPr>
              <w:t>ceased initiat</w:t>
            </w:r>
            <w:r w:rsidR="00C57EAB">
              <w:rPr>
                <w:sz w:val="20"/>
                <w:szCs w:val="20"/>
              </w:rPr>
              <w:t>ed</w:t>
            </w:r>
            <w:r w:rsidR="00834A56">
              <w:rPr>
                <w:sz w:val="20"/>
                <w:szCs w:val="20"/>
              </w:rPr>
              <w:t xml:space="preserve"> treatment</w:t>
            </w:r>
          </w:p>
        </w:tc>
        <w:tc>
          <w:tcPr>
            <w:tcW w:w="2976" w:type="dxa"/>
            <w:gridSpan w:val="2"/>
            <w:shd w:val="clear" w:color="auto" w:fill="BFBFBF" w:themeFill="background1" w:themeFillShade="BF"/>
          </w:tcPr>
          <w:p w14:paraId="3AA8C27D" w14:textId="16B94DFB" w:rsidR="00806B83" w:rsidRDefault="00806B83" w:rsidP="00D069E4">
            <w:pPr>
              <w:pStyle w:val="Tableheading"/>
              <w:rPr>
                <w:sz w:val="20"/>
                <w:szCs w:val="20"/>
              </w:rPr>
            </w:pPr>
            <w:r>
              <w:rPr>
                <w:sz w:val="20"/>
                <w:szCs w:val="20"/>
              </w:rPr>
              <w:t>Pts who had another treatment</w:t>
            </w:r>
            <w:r w:rsidR="00834A56">
              <w:rPr>
                <w:sz w:val="20"/>
                <w:szCs w:val="20"/>
              </w:rPr>
              <w:t xml:space="preserve"> after cessation</w:t>
            </w:r>
          </w:p>
        </w:tc>
      </w:tr>
      <w:tr w:rsidR="0061044E" w:rsidRPr="001D0858" w14:paraId="547DE1F8" w14:textId="77777777" w:rsidTr="009A5AFC">
        <w:trPr>
          <w:trHeight w:val="20"/>
          <w:tblHeader/>
        </w:trPr>
        <w:tc>
          <w:tcPr>
            <w:tcW w:w="2116" w:type="dxa"/>
            <w:vMerge/>
            <w:shd w:val="clear" w:color="auto" w:fill="BFBFBF" w:themeFill="background1" w:themeFillShade="BF"/>
          </w:tcPr>
          <w:p w14:paraId="06D2B9AC" w14:textId="77777777" w:rsidR="00806B83" w:rsidRDefault="00806B83" w:rsidP="00D069E4">
            <w:pPr>
              <w:pStyle w:val="Tableheading"/>
              <w:rPr>
                <w:sz w:val="20"/>
                <w:szCs w:val="20"/>
              </w:rPr>
            </w:pPr>
          </w:p>
        </w:tc>
        <w:tc>
          <w:tcPr>
            <w:tcW w:w="2296" w:type="dxa"/>
            <w:shd w:val="clear" w:color="auto" w:fill="BFBFBF" w:themeFill="background1" w:themeFillShade="BF"/>
          </w:tcPr>
          <w:p w14:paraId="5D29A345" w14:textId="77777777" w:rsidR="00806B83" w:rsidRPr="001D0858" w:rsidRDefault="00806B83" w:rsidP="00D069E4">
            <w:pPr>
              <w:pStyle w:val="Tableheading"/>
              <w:rPr>
                <w:sz w:val="20"/>
                <w:szCs w:val="20"/>
              </w:rPr>
            </w:pPr>
            <w:r>
              <w:rPr>
                <w:sz w:val="20"/>
                <w:szCs w:val="20"/>
              </w:rPr>
              <w:t>N</w:t>
            </w:r>
          </w:p>
        </w:tc>
        <w:tc>
          <w:tcPr>
            <w:tcW w:w="1679" w:type="dxa"/>
            <w:shd w:val="clear" w:color="auto" w:fill="BFBFBF" w:themeFill="background1" w:themeFillShade="BF"/>
          </w:tcPr>
          <w:p w14:paraId="21697937" w14:textId="77777777" w:rsidR="00806B83" w:rsidRPr="001D0858" w:rsidRDefault="00806B83" w:rsidP="00D069E4">
            <w:pPr>
              <w:pStyle w:val="Tableheading"/>
              <w:rPr>
                <w:sz w:val="20"/>
                <w:szCs w:val="20"/>
              </w:rPr>
            </w:pPr>
            <w:r>
              <w:rPr>
                <w:sz w:val="20"/>
                <w:szCs w:val="20"/>
              </w:rPr>
              <w:t>N1 (% N1/N)</w:t>
            </w:r>
          </w:p>
        </w:tc>
        <w:tc>
          <w:tcPr>
            <w:tcW w:w="1417" w:type="dxa"/>
            <w:shd w:val="clear" w:color="auto" w:fill="BFBFBF" w:themeFill="background1" w:themeFillShade="BF"/>
          </w:tcPr>
          <w:p w14:paraId="665C0314" w14:textId="77777777" w:rsidR="00806B83" w:rsidRPr="001D0858" w:rsidRDefault="00806B83" w:rsidP="00D069E4">
            <w:pPr>
              <w:pStyle w:val="Tableheading"/>
              <w:rPr>
                <w:sz w:val="20"/>
                <w:szCs w:val="20"/>
              </w:rPr>
            </w:pPr>
            <w:r>
              <w:rPr>
                <w:sz w:val="20"/>
                <w:szCs w:val="20"/>
              </w:rPr>
              <w:t>Yes</w:t>
            </w:r>
          </w:p>
        </w:tc>
        <w:tc>
          <w:tcPr>
            <w:tcW w:w="1559" w:type="dxa"/>
            <w:shd w:val="clear" w:color="auto" w:fill="BFBFBF" w:themeFill="background1" w:themeFillShade="BF"/>
          </w:tcPr>
          <w:p w14:paraId="72EEF6C5" w14:textId="77777777" w:rsidR="00806B83" w:rsidRDefault="00806B83" w:rsidP="00D069E4">
            <w:pPr>
              <w:pStyle w:val="Tableheading"/>
              <w:rPr>
                <w:sz w:val="20"/>
                <w:szCs w:val="20"/>
              </w:rPr>
            </w:pPr>
            <w:r>
              <w:rPr>
                <w:sz w:val="20"/>
                <w:szCs w:val="20"/>
              </w:rPr>
              <w:t>No</w:t>
            </w:r>
          </w:p>
        </w:tc>
      </w:tr>
      <w:tr w:rsidR="00BD5AB8" w:rsidRPr="001D0858" w14:paraId="4B99F5E8" w14:textId="77777777" w:rsidTr="009A5AFC">
        <w:trPr>
          <w:trHeight w:val="20"/>
        </w:trPr>
        <w:tc>
          <w:tcPr>
            <w:tcW w:w="2116" w:type="dxa"/>
          </w:tcPr>
          <w:p w14:paraId="7C52D16A" w14:textId="29E422A0" w:rsidR="00BD5AB8" w:rsidRPr="00957354" w:rsidRDefault="00BD5AB8" w:rsidP="00BD5AB8">
            <w:pPr>
              <w:pStyle w:val="Tableheading"/>
              <w:jc w:val="left"/>
              <w:rPr>
                <w:rFonts w:cstheme="minorHAnsi"/>
                <w:sz w:val="20"/>
                <w:szCs w:val="20"/>
              </w:rPr>
            </w:pPr>
            <w:r w:rsidRPr="00834A56">
              <w:rPr>
                <w:rFonts w:cstheme="minorHAnsi"/>
                <w:sz w:val="20"/>
                <w:szCs w:val="20"/>
              </w:rPr>
              <w:t>Alendronate (incl combination products)</w:t>
            </w:r>
          </w:p>
        </w:tc>
        <w:tc>
          <w:tcPr>
            <w:tcW w:w="2296" w:type="dxa"/>
          </w:tcPr>
          <w:p w14:paraId="1038C60C" w14:textId="22D8C6CC" w:rsidR="00BD5AB8" w:rsidRPr="000F2789" w:rsidRDefault="00BD5AB8" w:rsidP="00BD5AB8">
            <w:pPr>
              <w:pStyle w:val="Tableheading"/>
              <w:rPr>
                <w:rFonts w:cstheme="minorHAnsi"/>
                <w:b w:val="0"/>
                <w:sz w:val="20"/>
                <w:szCs w:val="20"/>
              </w:rPr>
            </w:pPr>
            <w:r w:rsidRPr="00C748CD">
              <w:rPr>
                <w:rFonts w:cstheme="minorHAnsi"/>
                <w:b w:val="0"/>
                <w:sz w:val="20"/>
                <w:szCs w:val="20"/>
              </w:rPr>
              <w:t>4</w:t>
            </w:r>
            <w:r>
              <w:rPr>
                <w:rFonts w:cstheme="minorHAnsi"/>
                <w:b w:val="0"/>
                <w:sz w:val="20"/>
                <w:szCs w:val="20"/>
              </w:rPr>
              <w:t>,</w:t>
            </w:r>
            <w:r w:rsidRPr="00C748CD">
              <w:rPr>
                <w:rFonts w:cstheme="minorHAnsi"/>
                <w:b w:val="0"/>
                <w:sz w:val="20"/>
                <w:szCs w:val="20"/>
              </w:rPr>
              <w:t>375</w:t>
            </w:r>
          </w:p>
        </w:tc>
        <w:tc>
          <w:tcPr>
            <w:tcW w:w="1679" w:type="dxa"/>
          </w:tcPr>
          <w:p w14:paraId="6D127B9F" w14:textId="0724B751" w:rsidR="00BD5AB8" w:rsidRPr="000F2789" w:rsidRDefault="00BD5AB8" w:rsidP="00BD5AB8">
            <w:pPr>
              <w:pStyle w:val="Tableheading"/>
              <w:rPr>
                <w:rFonts w:cstheme="minorHAnsi"/>
                <w:b w:val="0"/>
                <w:sz w:val="20"/>
                <w:szCs w:val="20"/>
              </w:rPr>
            </w:pPr>
            <w:r w:rsidRPr="00BD5AB8">
              <w:rPr>
                <w:rFonts w:cstheme="minorHAnsi"/>
                <w:b w:val="0"/>
                <w:sz w:val="20"/>
                <w:szCs w:val="20"/>
              </w:rPr>
              <w:t>3</w:t>
            </w:r>
            <w:r>
              <w:rPr>
                <w:rFonts w:cstheme="minorHAnsi"/>
                <w:b w:val="0"/>
                <w:sz w:val="20"/>
                <w:szCs w:val="20"/>
              </w:rPr>
              <w:t>,</w:t>
            </w:r>
            <w:r w:rsidRPr="00BD5AB8">
              <w:rPr>
                <w:rFonts w:cstheme="minorHAnsi"/>
                <w:b w:val="0"/>
                <w:sz w:val="20"/>
                <w:szCs w:val="20"/>
              </w:rPr>
              <w:t>326 (76.0%)</w:t>
            </w:r>
          </w:p>
        </w:tc>
        <w:tc>
          <w:tcPr>
            <w:tcW w:w="1417" w:type="dxa"/>
          </w:tcPr>
          <w:p w14:paraId="791D649D" w14:textId="1470256F" w:rsidR="00BD5AB8" w:rsidRPr="000F2789" w:rsidRDefault="00BD5AB8" w:rsidP="00BD5AB8">
            <w:pPr>
              <w:pStyle w:val="Tableheading"/>
              <w:rPr>
                <w:rFonts w:cstheme="minorHAnsi"/>
                <w:b w:val="0"/>
                <w:sz w:val="20"/>
                <w:szCs w:val="20"/>
              </w:rPr>
            </w:pPr>
            <w:r w:rsidRPr="00C748CD">
              <w:rPr>
                <w:rFonts w:cstheme="minorHAnsi"/>
                <w:b w:val="0"/>
                <w:sz w:val="20"/>
                <w:szCs w:val="20"/>
              </w:rPr>
              <w:t>1</w:t>
            </w:r>
            <w:r>
              <w:rPr>
                <w:rFonts w:cstheme="minorHAnsi"/>
                <w:b w:val="0"/>
                <w:sz w:val="20"/>
                <w:szCs w:val="20"/>
              </w:rPr>
              <w:t>,</w:t>
            </w:r>
            <w:r w:rsidRPr="00C748CD">
              <w:rPr>
                <w:rFonts w:cstheme="minorHAnsi"/>
                <w:b w:val="0"/>
                <w:sz w:val="20"/>
                <w:szCs w:val="20"/>
              </w:rPr>
              <w:t>328 (39.9%)</w:t>
            </w:r>
          </w:p>
        </w:tc>
        <w:tc>
          <w:tcPr>
            <w:tcW w:w="1559" w:type="dxa"/>
          </w:tcPr>
          <w:p w14:paraId="77A9E3ED" w14:textId="26C9FF83" w:rsidR="00BD5AB8" w:rsidRDefault="00BD5AB8" w:rsidP="00BD5AB8">
            <w:pPr>
              <w:pStyle w:val="Tableheading"/>
              <w:rPr>
                <w:rFonts w:cstheme="minorHAnsi"/>
                <w:b w:val="0"/>
                <w:sz w:val="20"/>
                <w:szCs w:val="20"/>
              </w:rPr>
            </w:pPr>
            <w:r w:rsidRPr="00C748CD">
              <w:rPr>
                <w:rFonts w:cstheme="minorHAnsi"/>
                <w:b w:val="0"/>
                <w:sz w:val="20"/>
                <w:szCs w:val="20"/>
              </w:rPr>
              <w:t>1</w:t>
            </w:r>
            <w:r>
              <w:rPr>
                <w:rFonts w:cstheme="minorHAnsi"/>
                <w:b w:val="0"/>
                <w:sz w:val="20"/>
                <w:szCs w:val="20"/>
              </w:rPr>
              <w:t>,</w:t>
            </w:r>
            <w:r w:rsidRPr="00C748CD">
              <w:rPr>
                <w:rFonts w:cstheme="minorHAnsi"/>
                <w:b w:val="0"/>
                <w:sz w:val="20"/>
                <w:szCs w:val="20"/>
              </w:rPr>
              <w:t>998 (60.1%)</w:t>
            </w:r>
          </w:p>
        </w:tc>
      </w:tr>
      <w:tr w:rsidR="00BD5AB8" w:rsidRPr="001D0858" w14:paraId="4634FAF5" w14:textId="77777777" w:rsidTr="009A5AFC">
        <w:trPr>
          <w:trHeight w:val="20"/>
        </w:trPr>
        <w:tc>
          <w:tcPr>
            <w:tcW w:w="2116" w:type="dxa"/>
          </w:tcPr>
          <w:p w14:paraId="6C7B9407" w14:textId="30110F8B" w:rsidR="00BD5AB8" w:rsidRPr="00957354" w:rsidRDefault="00BD5AB8" w:rsidP="00BD5AB8">
            <w:pPr>
              <w:pStyle w:val="Tableheading"/>
              <w:jc w:val="left"/>
              <w:rPr>
                <w:rFonts w:cstheme="minorHAnsi"/>
                <w:sz w:val="20"/>
                <w:szCs w:val="20"/>
              </w:rPr>
            </w:pPr>
            <w:r w:rsidRPr="00834A56">
              <w:rPr>
                <w:rFonts w:cstheme="minorHAnsi"/>
                <w:sz w:val="20"/>
                <w:szCs w:val="20"/>
              </w:rPr>
              <w:t>Calcitriol</w:t>
            </w:r>
          </w:p>
        </w:tc>
        <w:tc>
          <w:tcPr>
            <w:tcW w:w="2296" w:type="dxa"/>
          </w:tcPr>
          <w:p w14:paraId="5BEACD13" w14:textId="714F51C7" w:rsidR="00BD5AB8" w:rsidRPr="000F2789" w:rsidRDefault="00BD5AB8" w:rsidP="00BD5AB8">
            <w:pPr>
              <w:pStyle w:val="Tableheading"/>
              <w:rPr>
                <w:rFonts w:cstheme="minorHAnsi"/>
                <w:b w:val="0"/>
                <w:sz w:val="20"/>
                <w:szCs w:val="20"/>
              </w:rPr>
            </w:pPr>
            <w:r w:rsidRPr="00C748CD">
              <w:rPr>
                <w:rFonts w:cstheme="minorHAnsi"/>
                <w:b w:val="0"/>
                <w:sz w:val="20"/>
                <w:szCs w:val="20"/>
              </w:rPr>
              <w:t>2</w:t>
            </w:r>
            <w:r>
              <w:rPr>
                <w:rFonts w:cstheme="minorHAnsi"/>
                <w:b w:val="0"/>
                <w:sz w:val="20"/>
                <w:szCs w:val="20"/>
              </w:rPr>
              <w:t>,</w:t>
            </w:r>
            <w:r w:rsidRPr="00C748CD">
              <w:rPr>
                <w:rFonts w:cstheme="minorHAnsi"/>
                <w:b w:val="0"/>
                <w:sz w:val="20"/>
                <w:szCs w:val="20"/>
              </w:rPr>
              <w:t>257</w:t>
            </w:r>
          </w:p>
        </w:tc>
        <w:tc>
          <w:tcPr>
            <w:tcW w:w="1679" w:type="dxa"/>
          </w:tcPr>
          <w:p w14:paraId="59CA278B" w14:textId="269946D0" w:rsidR="00BD5AB8" w:rsidRPr="000F2789" w:rsidRDefault="00BD5AB8" w:rsidP="00BD5AB8">
            <w:pPr>
              <w:pStyle w:val="Tableheading"/>
              <w:rPr>
                <w:rFonts w:cstheme="minorHAnsi"/>
                <w:b w:val="0"/>
                <w:sz w:val="20"/>
                <w:szCs w:val="20"/>
              </w:rPr>
            </w:pPr>
            <w:r w:rsidRPr="00BD5AB8">
              <w:rPr>
                <w:rFonts w:cstheme="minorHAnsi"/>
                <w:b w:val="0"/>
                <w:sz w:val="20"/>
                <w:szCs w:val="20"/>
              </w:rPr>
              <w:t>1</w:t>
            </w:r>
            <w:r>
              <w:rPr>
                <w:rFonts w:cstheme="minorHAnsi"/>
                <w:b w:val="0"/>
                <w:sz w:val="20"/>
                <w:szCs w:val="20"/>
              </w:rPr>
              <w:t>,</w:t>
            </w:r>
            <w:r w:rsidRPr="00BD5AB8">
              <w:rPr>
                <w:rFonts w:cstheme="minorHAnsi"/>
                <w:b w:val="0"/>
                <w:sz w:val="20"/>
                <w:szCs w:val="20"/>
              </w:rPr>
              <w:t>720 (76.2%)</w:t>
            </w:r>
          </w:p>
        </w:tc>
        <w:tc>
          <w:tcPr>
            <w:tcW w:w="1417" w:type="dxa"/>
          </w:tcPr>
          <w:p w14:paraId="3B5BF0F0" w14:textId="49A7ED75" w:rsidR="00BD5AB8" w:rsidRPr="000F2789" w:rsidRDefault="00BD5AB8" w:rsidP="00BD5AB8">
            <w:pPr>
              <w:pStyle w:val="Tableheading"/>
              <w:rPr>
                <w:rFonts w:cstheme="minorHAnsi"/>
                <w:b w:val="0"/>
                <w:sz w:val="20"/>
                <w:szCs w:val="20"/>
              </w:rPr>
            </w:pPr>
            <w:r w:rsidRPr="00C748CD">
              <w:rPr>
                <w:rFonts w:cstheme="minorHAnsi"/>
                <w:b w:val="0"/>
                <w:sz w:val="20"/>
                <w:szCs w:val="20"/>
              </w:rPr>
              <w:t>119 (6.9%)</w:t>
            </w:r>
          </w:p>
        </w:tc>
        <w:tc>
          <w:tcPr>
            <w:tcW w:w="1559" w:type="dxa"/>
          </w:tcPr>
          <w:p w14:paraId="5137012D" w14:textId="75F929A9" w:rsidR="00BD5AB8" w:rsidRPr="00A63DC0" w:rsidRDefault="00BD5AB8" w:rsidP="00BD5AB8">
            <w:pPr>
              <w:pStyle w:val="Tableheading"/>
              <w:rPr>
                <w:rFonts w:cstheme="minorHAnsi"/>
                <w:b w:val="0"/>
                <w:sz w:val="20"/>
                <w:szCs w:val="20"/>
              </w:rPr>
            </w:pPr>
            <w:r w:rsidRPr="00C748CD">
              <w:rPr>
                <w:rFonts w:cstheme="minorHAnsi"/>
                <w:b w:val="0"/>
                <w:sz w:val="20"/>
                <w:szCs w:val="20"/>
              </w:rPr>
              <w:t>1</w:t>
            </w:r>
            <w:r>
              <w:rPr>
                <w:rFonts w:cstheme="minorHAnsi"/>
                <w:b w:val="0"/>
                <w:sz w:val="20"/>
                <w:szCs w:val="20"/>
              </w:rPr>
              <w:t>,</w:t>
            </w:r>
            <w:r w:rsidRPr="00C748CD">
              <w:rPr>
                <w:rFonts w:cstheme="minorHAnsi"/>
                <w:b w:val="0"/>
                <w:sz w:val="20"/>
                <w:szCs w:val="20"/>
              </w:rPr>
              <w:t>601 (93.1%)</w:t>
            </w:r>
          </w:p>
        </w:tc>
      </w:tr>
      <w:tr w:rsidR="00BD5AB8" w:rsidRPr="001D0858" w14:paraId="479084BF" w14:textId="77777777" w:rsidTr="009A5AFC">
        <w:trPr>
          <w:trHeight w:val="20"/>
        </w:trPr>
        <w:tc>
          <w:tcPr>
            <w:tcW w:w="2116" w:type="dxa"/>
          </w:tcPr>
          <w:p w14:paraId="0B11CE4F" w14:textId="198E22E9" w:rsidR="00BD5AB8" w:rsidRDefault="00BD5AB8" w:rsidP="00BD5AB8">
            <w:pPr>
              <w:pStyle w:val="Tableheading"/>
              <w:jc w:val="left"/>
              <w:rPr>
                <w:rFonts w:cstheme="minorHAnsi"/>
                <w:sz w:val="20"/>
                <w:szCs w:val="20"/>
              </w:rPr>
            </w:pPr>
            <w:r w:rsidRPr="00834A56">
              <w:rPr>
                <w:rFonts w:cstheme="minorHAnsi"/>
                <w:sz w:val="20"/>
                <w:szCs w:val="20"/>
              </w:rPr>
              <w:t>Denosumab</w:t>
            </w:r>
          </w:p>
        </w:tc>
        <w:tc>
          <w:tcPr>
            <w:tcW w:w="2296" w:type="dxa"/>
          </w:tcPr>
          <w:p w14:paraId="45245F6D" w14:textId="0B013F0D" w:rsidR="00BD5AB8" w:rsidRPr="008473B0" w:rsidRDefault="00BD5AB8" w:rsidP="00BD5AB8">
            <w:pPr>
              <w:pStyle w:val="Tableheading"/>
              <w:rPr>
                <w:rFonts w:cstheme="minorHAnsi"/>
                <w:b w:val="0"/>
                <w:sz w:val="20"/>
                <w:szCs w:val="20"/>
              </w:rPr>
            </w:pPr>
            <w:r w:rsidRPr="00C748CD">
              <w:rPr>
                <w:rFonts w:cstheme="minorHAnsi"/>
                <w:b w:val="0"/>
                <w:sz w:val="20"/>
                <w:szCs w:val="20"/>
              </w:rPr>
              <w:t>21</w:t>
            </w:r>
            <w:r>
              <w:rPr>
                <w:rFonts w:cstheme="minorHAnsi"/>
                <w:b w:val="0"/>
                <w:sz w:val="20"/>
                <w:szCs w:val="20"/>
              </w:rPr>
              <w:t>,</w:t>
            </w:r>
            <w:r w:rsidRPr="00C748CD">
              <w:rPr>
                <w:rFonts w:cstheme="minorHAnsi"/>
                <w:b w:val="0"/>
                <w:sz w:val="20"/>
                <w:szCs w:val="20"/>
              </w:rPr>
              <w:t>197</w:t>
            </w:r>
          </w:p>
        </w:tc>
        <w:tc>
          <w:tcPr>
            <w:tcW w:w="1679" w:type="dxa"/>
          </w:tcPr>
          <w:p w14:paraId="1F6DB151" w14:textId="613E6FBA" w:rsidR="00BD5AB8" w:rsidRPr="008473B0" w:rsidRDefault="00BD5AB8" w:rsidP="00BD5AB8">
            <w:pPr>
              <w:pStyle w:val="Tableheading"/>
              <w:rPr>
                <w:rFonts w:cstheme="minorHAnsi"/>
                <w:b w:val="0"/>
                <w:sz w:val="20"/>
                <w:szCs w:val="20"/>
              </w:rPr>
            </w:pPr>
            <w:r w:rsidRPr="00BD5AB8">
              <w:rPr>
                <w:rFonts w:cstheme="minorHAnsi"/>
                <w:b w:val="0"/>
                <w:sz w:val="20"/>
                <w:szCs w:val="20"/>
              </w:rPr>
              <w:t>7</w:t>
            </w:r>
            <w:r>
              <w:rPr>
                <w:rFonts w:cstheme="minorHAnsi"/>
                <w:b w:val="0"/>
                <w:sz w:val="20"/>
                <w:szCs w:val="20"/>
              </w:rPr>
              <w:t>,</w:t>
            </w:r>
            <w:r w:rsidRPr="00BD5AB8">
              <w:rPr>
                <w:rFonts w:cstheme="minorHAnsi"/>
                <w:b w:val="0"/>
                <w:sz w:val="20"/>
                <w:szCs w:val="20"/>
              </w:rPr>
              <w:t>157 (33.8%)</w:t>
            </w:r>
          </w:p>
        </w:tc>
        <w:tc>
          <w:tcPr>
            <w:tcW w:w="1417" w:type="dxa"/>
          </w:tcPr>
          <w:p w14:paraId="4E38264C" w14:textId="2D393A7E" w:rsidR="00BD5AB8" w:rsidRPr="008473B0" w:rsidRDefault="00BD5AB8" w:rsidP="00BD5AB8">
            <w:pPr>
              <w:pStyle w:val="Tableheading"/>
              <w:rPr>
                <w:rFonts w:cstheme="minorHAnsi"/>
                <w:b w:val="0"/>
                <w:sz w:val="20"/>
                <w:szCs w:val="20"/>
              </w:rPr>
            </w:pPr>
            <w:r w:rsidRPr="00C748CD">
              <w:rPr>
                <w:rFonts w:cstheme="minorHAnsi"/>
                <w:b w:val="0"/>
                <w:sz w:val="20"/>
                <w:szCs w:val="20"/>
              </w:rPr>
              <w:t>355 (5.0%)</w:t>
            </w:r>
          </w:p>
        </w:tc>
        <w:tc>
          <w:tcPr>
            <w:tcW w:w="1559" w:type="dxa"/>
          </w:tcPr>
          <w:p w14:paraId="5B222273" w14:textId="2C898D8E" w:rsidR="00BD5AB8" w:rsidRPr="008473B0" w:rsidRDefault="00BD5AB8" w:rsidP="00BD5AB8">
            <w:pPr>
              <w:pStyle w:val="Tableheading"/>
              <w:rPr>
                <w:rFonts w:cstheme="minorHAnsi"/>
                <w:b w:val="0"/>
                <w:sz w:val="20"/>
                <w:szCs w:val="20"/>
              </w:rPr>
            </w:pPr>
            <w:r w:rsidRPr="00C748CD">
              <w:rPr>
                <w:rFonts w:cstheme="minorHAnsi"/>
                <w:b w:val="0"/>
                <w:sz w:val="20"/>
                <w:szCs w:val="20"/>
              </w:rPr>
              <w:t>6</w:t>
            </w:r>
            <w:r>
              <w:rPr>
                <w:rFonts w:cstheme="minorHAnsi"/>
                <w:b w:val="0"/>
                <w:sz w:val="20"/>
                <w:szCs w:val="20"/>
              </w:rPr>
              <w:t>,</w:t>
            </w:r>
            <w:r w:rsidRPr="00C748CD">
              <w:rPr>
                <w:rFonts w:cstheme="minorHAnsi"/>
                <w:b w:val="0"/>
                <w:sz w:val="20"/>
                <w:szCs w:val="20"/>
              </w:rPr>
              <w:t>802 (95.</w:t>
            </w:r>
            <w:r>
              <w:rPr>
                <w:rFonts w:cstheme="minorHAnsi"/>
                <w:b w:val="0"/>
                <w:sz w:val="20"/>
                <w:szCs w:val="20"/>
              </w:rPr>
              <w:t>0</w:t>
            </w:r>
            <w:r w:rsidRPr="00C748CD">
              <w:rPr>
                <w:rFonts w:cstheme="minorHAnsi"/>
                <w:b w:val="0"/>
                <w:sz w:val="20"/>
                <w:szCs w:val="20"/>
              </w:rPr>
              <w:t>%)</w:t>
            </w:r>
          </w:p>
        </w:tc>
      </w:tr>
      <w:tr w:rsidR="00BD5AB8" w:rsidRPr="001D0858" w14:paraId="015813E0" w14:textId="77777777" w:rsidTr="009A5AFC">
        <w:trPr>
          <w:trHeight w:val="20"/>
        </w:trPr>
        <w:tc>
          <w:tcPr>
            <w:tcW w:w="2116" w:type="dxa"/>
          </w:tcPr>
          <w:p w14:paraId="5A1CCE03" w14:textId="7CDE0F32" w:rsidR="00BD5AB8" w:rsidRDefault="00BD5AB8" w:rsidP="00BD5AB8">
            <w:pPr>
              <w:pStyle w:val="Tableheading"/>
              <w:jc w:val="left"/>
              <w:rPr>
                <w:rFonts w:cstheme="minorHAnsi"/>
                <w:sz w:val="20"/>
                <w:szCs w:val="20"/>
              </w:rPr>
            </w:pPr>
            <w:r w:rsidRPr="00834A56">
              <w:rPr>
                <w:rFonts w:cstheme="minorHAnsi"/>
                <w:sz w:val="20"/>
                <w:szCs w:val="20"/>
              </w:rPr>
              <w:t>Raloxifene</w:t>
            </w:r>
          </w:p>
        </w:tc>
        <w:tc>
          <w:tcPr>
            <w:tcW w:w="2296" w:type="dxa"/>
          </w:tcPr>
          <w:p w14:paraId="1E18342A" w14:textId="21AA8839" w:rsidR="00BD5AB8" w:rsidRPr="008473B0" w:rsidRDefault="00BD5AB8" w:rsidP="00BD5AB8">
            <w:pPr>
              <w:pStyle w:val="Tableheading"/>
              <w:rPr>
                <w:rFonts w:cstheme="minorHAnsi"/>
                <w:b w:val="0"/>
                <w:sz w:val="20"/>
                <w:szCs w:val="20"/>
              </w:rPr>
            </w:pPr>
            <w:r w:rsidRPr="00C748CD">
              <w:rPr>
                <w:rFonts w:cstheme="minorHAnsi"/>
                <w:b w:val="0"/>
                <w:sz w:val="20"/>
                <w:szCs w:val="20"/>
              </w:rPr>
              <w:t>241</w:t>
            </w:r>
          </w:p>
        </w:tc>
        <w:tc>
          <w:tcPr>
            <w:tcW w:w="1679" w:type="dxa"/>
          </w:tcPr>
          <w:p w14:paraId="2195F864" w14:textId="03C2D14A" w:rsidR="00BD5AB8" w:rsidRPr="008473B0" w:rsidRDefault="00BD5AB8" w:rsidP="00BD5AB8">
            <w:pPr>
              <w:pStyle w:val="Tableheading"/>
              <w:rPr>
                <w:rFonts w:cstheme="minorHAnsi"/>
                <w:b w:val="0"/>
                <w:sz w:val="20"/>
                <w:szCs w:val="20"/>
              </w:rPr>
            </w:pPr>
            <w:r w:rsidRPr="00BD5AB8">
              <w:rPr>
                <w:rFonts w:cstheme="minorHAnsi"/>
                <w:b w:val="0"/>
                <w:sz w:val="20"/>
                <w:szCs w:val="20"/>
              </w:rPr>
              <w:t>180 (74.7%)</w:t>
            </w:r>
          </w:p>
        </w:tc>
        <w:tc>
          <w:tcPr>
            <w:tcW w:w="1417" w:type="dxa"/>
          </w:tcPr>
          <w:p w14:paraId="1166D299" w14:textId="73ADC31E" w:rsidR="00BD5AB8" w:rsidRPr="008473B0" w:rsidRDefault="00BD5AB8" w:rsidP="00BD5AB8">
            <w:pPr>
              <w:pStyle w:val="Tableheading"/>
              <w:rPr>
                <w:rFonts w:cstheme="minorHAnsi"/>
                <w:b w:val="0"/>
                <w:sz w:val="20"/>
                <w:szCs w:val="20"/>
              </w:rPr>
            </w:pPr>
            <w:r w:rsidRPr="00C748CD">
              <w:rPr>
                <w:rFonts w:cstheme="minorHAnsi"/>
                <w:b w:val="0"/>
                <w:sz w:val="20"/>
                <w:szCs w:val="20"/>
              </w:rPr>
              <w:t>74 (41.1%)</w:t>
            </w:r>
          </w:p>
        </w:tc>
        <w:tc>
          <w:tcPr>
            <w:tcW w:w="1559" w:type="dxa"/>
          </w:tcPr>
          <w:p w14:paraId="30A9E8E3" w14:textId="595B3506" w:rsidR="00BD5AB8" w:rsidRPr="008473B0" w:rsidRDefault="00BD5AB8" w:rsidP="00BD5AB8">
            <w:pPr>
              <w:pStyle w:val="Tableheading"/>
              <w:rPr>
                <w:rFonts w:cstheme="minorHAnsi"/>
                <w:b w:val="0"/>
                <w:sz w:val="20"/>
                <w:szCs w:val="20"/>
              </w:rPr>
            </w:pPr>
            <w:r w:rsidRPr="00C748CD">
              <w:rPr>
                <w:rFonts w:cstheme="minorHAnsi"/>
                <w:b w:val="0"/>
                <w:sz w:val="20"/>
                <w:szCs w:val="20"/>
              </w:rPr>
              <w:t>106 (58.9%)</w:t>
            </w:r>
          </w:p>
        </w:tc>
      </w:tr>
      <w:tr w:rsidR="00BD5AB8" w:rsidRPr="001D0858" w14:paraId="0C3BCCA0" w14:textId="77777777" w:rsidTr="009A5AFC">
        <w:trPr>
          <w:trHeight w:val="20"/>
        </w:trPr>
        <w:tc>
          <w:tcPr>
            <w:tcW w:w="2116" w:type="dxa"/>
          </w:tcPr>
          <w:p w14:paraId="6F6706EC" w14:textId="6DF9E719" w:rsidR="00BD5AB8" w:rsidRDefault="00BD5AB8" w:rsidP="00BD5AB8">
            <w:pPr>
              <w:pStyle w:val="Tableheading"/>
              <w:jc w:val="left"/>
              <w:rPr>
                <w:rFonts w:cstheme="minorHAnsi"/>
                <w:sz w:val="20"/>
                <w:szCs w:val="20"/>
              </w:rPr>
            </w:pPr>
            <w:r w:rsidRPr="00834A56">
              <w:rPr>
                <w:rFonts w:cstheme="minorHAnsi"/>
                <w:sz w:val="20"/>
                <w:szCs w:val="20"/>
              </w:rPr>
              <w:t>Risedronate (incl combination products)</w:t>
            </w:r>
          </w:p>
        </w:tc>
        <w:tc>
          <w:tcPr>
            <w:tcW w:w="2296" w:type="dxa"/>
          </w:tcPr>
          <w:p w14:paraId="5E8190CE" w14:textId="49DC7DA9" w:rsidR="00BD5AB8" w:rsidRPr="008473B0" w:rsidRDefault="00BD5AB8" w:rsidP="00BD5AB8">
            <w:pPr>
              <w:pStyle w:val="Tableheading"/>
              <w:rPr>
                <w:rFonts w:cstheme="minorHAnsi"/>
                <w:b w:val="0"/>
                <w:sz w:val="20"/>
                <w:szCs w:val="20"/>
              </w:rPr>
            </w:pPr>
            <w:r w:rsidRPr="00C748CD">
              <w:rPr>
                <w:rFonts w:cstheme="minorHAnsi"/>
                <w:b w:val="0"/>
                <w:sz w:val="20"/>
                <w:szCs w:val="20"/>
              </w:rPr>
              <w:t>2</w:t>
            </w:r>
            <w:r>
              <w:rPr>
                <w:rFonts w:cstheme="minorHAnsi"/>
                <w:b w:val="0"/>
                <w:sz w:val="20"/>
                <w:szCs w:val="20"/>
              </w:rPr>
              <w:t>,</w:t>
            </w:r>
            <w:r w:rsidRPr="00C748CD">
              <w:rPr>
                <w:rFonts w:cstheme="minorHAnsi"/>
                <w:b w:val="0"/>
                <w:sz w:val="20"/>
                <w:szCs w:val="20"/>
              </w:rPr>
              <w:t>713</w:t>
            </w:r>
          </w:p>
        </w:tc>
        <w:tc>
          <w:tcPr>
            <w:tcW w:w="1679" w:type="dxa"/>
          </w:tcPr>
          <w:p w14:paraId="2B9D1F74" w14:textId="33512E6E" w:rsidR="00BD5AB8" w:rsidRPr="008473B0" w:rsidRDefault="00BD5AB8" w:rsidP="00BD5AB8">
            <w:pPr>
              <w:pStyle w:val="Tableheading"/>
              <w:rPr>
                <w:rFonts w:cstheme="minorHAnsi"/>
                <w:b w:val="0"/>
                <w:sz w:val="20"/>
                <w:szCs w:val="20"/>
              </w:rPr>
            </w:pPr>
            <w:r w:rsidRPr="00BD5AB8">
              <w:rPr>
                <w:rFonts w:cstheme="minorHAnsi"/>
                <w:b w:val="0"/>
                <w:sz w:val="20"/>
                <w:szCs w:val="20"/>
              </w:rPr>
              <w:t>2</w:t>
            </w:r>
            <w:r>
              <w:rPr>
                <w:rFonts w:cstheme="minorHAnsi"/>
                <w:b w:val="0"/>
                <w:sz w:val="20"/>
                <w:szCs w:val="20"/>
              </w:rPr>
              <w:t>,</w:t>
            </w:r>
            <w:r w:rsidRPr="00BD5AB8">
              <w:rPr>
                <w:rFonts w:cstheme="minorHAnsi"/>
                <w:b w:val="0"/>
                <w:sz w:val="20"/>
                <w:szCs w:val="20"/>
              </w:rPr>
              <w:t>101 (77.4%)</w:t>
            </w:r>
          </w:p>
        </w:tc>
        <w:tc>
          <w:tcPr>
            <w:tcW w:w="1417" w:type="dxa"/>
          </w:tcPr>
          <w:p w14:paraId="45CC7F34" w14:textId="3B435FB7" w:rsidR="00BD5AB8" w:rsidRPr="008473B0" w:rsidRDefault="00BD5AB8" w:rsidP="00BD5AB8">
            <w:pPr>
              <w:pStyle w:val="Tableheading"/>
              <w:rPr>
                <w:rFonts w:cstheme="minorHAnsi"/>
                <w:b w:val="0"/>
                <w:sz w:val="20"/>
                <w:szCs w:val="20"/>
              </w:rPr>
            </w:pPr>
            <w:r w:rsidRPr="00C748CD">
              <w:rPr>
                <w:rFonts w:cstheme="minorHAnsi"/>
                <w:b w:val="0"/>
                <w:sz w:val="20"/>
                <w:szCs w:val="20"/>
              </w:rPr>
              <w:t>834 (39.7%)</w:t>
            </w:r>
          </w:p>
        </w:tc>
        <w:tc>
          <w:tcPr>
            <w:tcW w:w="1559" w:type="dxa"/>
          </w:tcPr>
          <w:p w14:paraId="5138D477" w14:textId="52C0FD55" w:rsidR="00BD5AB8" w:rsidRPr="008473B0" w:rsidRDefault="00BD5AB8" w:rsidP="00BD5AB8">
            <w:pPr>
              <w:pStyle w:val="Tableheading"/>
              <w:rPr>
                <w:rFonts w:cstheme="minorHAnsi"/>
                <w:b w:val="0"/>
                <w:sz w:val="20"/>
                <w:szCs w:val="20"/>
              </w:rPr>
            </w:pPr>
            <w:r w:rsidRPr="00C748CD">
              <w:rPr>
                <w:rFonts w:cstheme="minorHAnsi"/>
                <w:b w:val="0"/>
                <w:sz w:val="20"/>
                <w:szCs w:val="20"/>
              </w:rPr>
              <w:t>1</w:t>
            </w:r>
            <w:r>
              <w:rPr>
                <w:rFonts w:cstheme="minorHAnsi"/>
                <w:b w:val="0"/>
                <w:sz w:val="20"/>
                <w:szCs w:val="20"/>
              </w:rPr>
              <w:t>,</w:t>
            </w:r>
            <w:r w:rsidRPr="00C748CD">
              <w:rPr>
                <w:rFonts w:cstheme="minorHAnsi"/>
                <w:b w:val="0"/>
                <w:sz w:val="20"/>
                <w:szCs w:val="20"/>
              </w:rPr>
              <w:t>267 (60.3%)</w:t>
            </w:r>
          </w:p>
        </w:tc>
      </w:tr>
      <w:tr w:rsidR="00BD5AB8" w:rsidRPr="001D0858" w14:paraId="0998279C" w14:textId="77777777" w:rsidTr="009A5AFC">
        <w:trPr>
          <w:trHeight w:val="20"/>
        </w:trPr>
        <w:tc>
          <w:tcPr>
            <w:tcW w:w="2116" w:type="dxa"/>
          </w:tcPr>
          <w:p w14:paraId="38BCBA14" w14:textId="2723A6B1" w:rsidR="00BD5AB8" w:rsidRDefault="00BD5AB8" w:rsidP="00BD5AB8">
            <w:pPr>
              <w:pStyle w:val="Tableheading"/>
              <w:jc w:val="left"/>
              <w:rPr>
                <w:rFonts w:cstheme="minorHAnsi"/>
                <w:sz w:val="20"/>
                <w:szCs w:val="20"/>
              </w:rPr>
            </w:pPr>
            <w:r w:rsidRPr="00834A56">
              <w:rPr>
                <w:rFonts w:cstheme="minorHAnsi"/>
                <w:sz w:val="20"/>
                <w:szCs w:val="20"/>
              </w:rPr>
              <w:t>Strontium ranelate (delisted August 2016)</w:t>
            </w:r>
          </w:p>
        </w:tc>
        <w:tc>
          <w:tcPr>
            <w:tcW w:w="2296" w:type="dxa"/>
          </w:tcPr>
          <w:p w14:paraId="3B3B7166" w14:textId="637F4866" w:rsidR="00BD5AB8" w:rsidRPr="008473B0" w:rsidRDefault="00BD5AB8" w:rsidP="00BD5AB8">
            <w:pPr>
              <w:pStyle w:val="Tableheading"/>
              <w:rPr>
                <w:rFonts w:cstheme="minorHAnsi"/>
                <w:b w:val="0"/>
                <w:sz w:val="20"/>
                <w:szCs w:val="20"/>
              </w:rPr>
            </w:pPr>
            <w:r w:rsidRPr="00C748CD">
              <w:rPr>
                <w:rFonts w:cstheme="minorHAnsi"/>
                <w:b w:val="0"/>
                <w:sz w:val="20"/>
                <w:szCs w:val="20"/>
              </w:rPr>
              <w:t>309</w:t>
            </w:r>
          </w:p>
        </w:tc>
        <w:tc>
          <w:tcPr>
            <w:tcW w:w="1679" w:type="dxa"/>
          </w:tcPr>
          <w:p w14:paraId="727A319D" w14:textId="2F85291E" w:rsidR="00BD5AB8" w:rsidRPr="008473B0" w:rsidRDefault="00BD5AB8" w:rsidP="00BD5AB8">
            <w:pPr>
              <w:pStyle w:val="Tableheading"/>
              <w:rPr>
                <w:rFonts w:cstheme="minorHAnsi"/>
                <w:b w:val="0"/>
                <w:sz w:val="20"/>
                <w:szCs w:val="20"/>
              </w:rPr>
            </w:pPr>
            <w:r w:rsidRPr="00BD5AB8">
              <w:rPr>
                <w:rFonts w:cstheme="minorHAnsi"/>
                <w:b w:val="0"/>
                <w:sz w:val="20"/>
                <w:szCs w:val="20"/>
              </w:rPr>
              <w:t>309 (100.0%)</w:t>
            </w:r>
          </w:p>
        </w:tc>
        <w:tc>
          <w:tcPr>
            <w:tcW w:w="1417" w:type="dxa"/>
          </w:tcPr>
          <w:p w14:paraId="54CE52E3" w14:textId="7AE6EB8A" w:rsidR="00BD5AB8" w:rsidRPr="008473B0" w:rsidRDefault="00BD5AB8" w:rsidP="00BD5AB8">
            <w:pPr>
              <w:pStyle w:val="Tableheading"/>
              <w:rPr>
                <w:rFonts w:cstheme="minorHAnsi"/>
                <w:b w:val="0"/>
                <w:sz w:val="20"/>
                <w:szCs w:val="20"/>
              </w:rPr>
            </w:pPr>
            <w:r w:rsidRPr="00C748CD">
              <w:rPr>
                <w:rFonts w:cstheme="minorHAnsi"/>
                <w:b w:val="0"/>
                <w:sz w:val="20"/>
                <w:szCs w:val="20"/>
              </w:rPr>
              <w:t>178 (57.6%)</w:t>
            </w:r>
          </w:p>
        </w:tc>
        <w:tc>
          <w:tcPr>
            <w:tcW w:w="1559" w:type="dxa"/>
          </w:tcPr>
          <w:p w14:paraId="0A4EBC3D" w14:textId="36675D52" w:rsidR="00BD5AB8" w:rsidRPr="008473B0" w:rsidRDefault="00BD5AB8" w:rsidP="00BD5AB8">
            <w:pPr>
              <w:pStyle w:val="Tableheading"/>
              <w:rPr>
                <w:rFonts w:cstheme="minorHAnsi"/>
                <w:b w:val="0"/>
                <w:sz w:val="20"/>
                <w:szCs w:val="20"/>
              </w:rPr>
            </w:pPr>
            <w:r w:rsidRPr="00C748CD">
              <w:rPr>
                <w:rFonts w:cstheme="minorHAnsi"/>
                <w:b w:val="0"/>
                <w:sz w:val="20"/>
                <w:szCs w:val="20"/>
              </w:rPr>
              <w:t>131 (42.4%)</w:t>
            </w:r>
          </w:p>
        </w:tc>
      </w:tr>
      <w:tr w:rsidR="00BD5AB8" w:rsidRPr="001D0858" w14:paraId="1E18043A" w14:textId="77777777" w:rsidTr="009A5AFC">
        <w:trPr>
          <w:trHeight w:val="20"/>
        </w:trPr>
        <w:tc>
          <w:tcPr>
            <w:tcW w:w="2116" w:type="dxa"/>
          </w:tcPr>
          <w:p w14:paraId="1B9DBB5A" w14:textId="1DBE8A7A" w:rsidR="00BD5AB8" w:rsidRDefault="00BD5AB8" w:rsidP="00BD5AB8">
            <w:pPr>
              <w:pStyle w:val="Tableheading"/>
              <w:jc w:val="left"/>
              <w:rPr>
                <w:rFonts w:cstheme="minorHAnsi"/>
                <w:sz w:val="20"/>
                <w:szCs w:val="20"/>
              </w:rPr>
            </w:pPr>
            <w:r w:rsidRPr="00834A56">
              <w:rPr>
                <w:rFonts w:cstheme="minorHAnsi"/>
                <w:sz w:val="20"/>
                <w:szCs w:val="20"/>
              </w:rPr>
              <w:t>Teriparatide</w:t>
            </w:r>
          </w:p>
        </w:tc>
        <w:tc>
          <w:tcPr>
            <w:tcW w:w="2296" w:type="dxa"/>
          </w:tcPr>
          <w:p w14:paraId="0D2933B4" w14:textId="705FE6CD" w:rsidR="00BD5AB8" w:rsidRPr="008473B0" w:rsidRDefault="00BD5AB8" w:rsidP="00BD5AB8">
            <w:pPr>
              <w:pStyle w:val="Tableheading"/>
              <w:rPr>
                <w:rFonts w:cstheme="minorHAnsi"/>
                <w:b w:val="0"/>
                <w:sz w:val="20"/>
                <w:szCs w:val="20"/>
              </w:rPr>
            </w:pPr>
            <w:r w:rsidRPr="00C748CD">
              <w:rPr>
                <w:rFonts w:cstheme="minorHAnsi"/>
                <w:b w:val="0"/>
                <w:sz w:val="20"/>
                <w:szCs w:val="20"/>
              </w:rPr>
              <w:t>42</w:t>
            </w:r>
          </w:p>
        </w:tc>
        <w:tc>
          <w:tcPr>
            <w:tcW w:w="1679" w:type="dxa"/>
          </w:tcPr>
          <w:p w14:paraId="00B1493A" w14:textId="37898DA8" w:rsidR="00BD5AB8" w:rsidRPr="008473B0" w:rsidRDefault="00BD5AB8" w:rsidP="00BD5AB8">
            <w:pPr>
              <w:pStyle w:val="Tableheading"/>
              <w:rPr>
                <w:rFonts w:cstheme="minorHAnsi"/>
                <w:b w:val="0"/>
                <w:sz w:val="20"/>
                <w:szCs w:val="20"/>
              </w:rPr>
            </w:pPr>
            <w:r w:rsidRPr="00BD5AB8">
              <w:rPr>
                <w:rFonts w:cstheme="minorHAnsi"/>
                <w:b w:val="0"/>
                <w:sz w:val="20"/>
                <w:szCs w:val="20"/>
              </w:rPr>
              <w:t>42 (100.0%)</w:t>
            </w:r>
          </w:p>
        </w:tc>
        <w:tc>
          <w:tcPr>
            <w:tcW w:w="1417" w:type="dxa"/>
          </w:tcPr>
          <w:p w14:paraId="2C52D877" w14:textId="62E9CC8E" w:rsidR="00BD5AB8" w:rsidRPr="008473B0" w:rsidRDefault="00BD5AB8" w:rsidP="00BD5AB8">
            <w:pPr>
              <w:pStyle w:val="Tableheading"/>
              <w:rPr>
                <w:rFonts w:cstheme="minorHAnsi"/>
                <w:b w:val="0"/>
                <w:sz w:val="20"/>
                <w:szCs w:val="20"/>
              </w:rPr>
            </w:pPr>
            <w:r w:rsidRPr="00C748CD">
              <w:rPr>
                <w:rFonts w:cstheme="minorHAnsi"/>
                <w:b w:val="0"/>
                <w:sz w:val="20"/>
                <w:szCs w:val="20"/>
              </w:rPr>
              <w:t>29 (69.0%)</w:t>
            </w:r>
          </w:p>
        </w:tc>
        <w:tc>
          <w:tcPr>
            <w:tcW w:w="1559" w:type="dxa"/>
          </w:tcPr>
          <w:p w14:paraId="01470F06" w14:textId="435FEBD9" w:rsidR="00BD5AB8" w:rsidRPr="008473B0" w:rsidRDefault="00BD5AB8" w:rsidP="00BD5AB8">
            <w:pPr>
              <w:pStyle w:val="Tableheading"/>
              <w:rPr>
                <w:rFonts w:cstheme="minorHAnsi"/>
                <w:b w:val="0"/>
                <w:sz w:val="20"/>
                <w:szCs w:val="20"/>
              </w:rPr>
            </w:pPr>
            <w:r w:rsidRPr="00C748CD">
              <w:rPr>
                <w:rFonts w:cstheme="minorHAnsi"/>
                <w:b w:val="0"/>
                <w:sz w:val="20"/>
                <w:szCs w:val="20"/>
              </w:rPr>
              <w:t>13 (31.0%)</w:t>
            </w:r>
          </w:p>
        </w:tc>
      </w:tr>
      <w:tr w:rsidR="00BD5AB8" w:rsidRPr="001D0858" w14:paraId="607FC2BF" w14:textId="77777777" w:rsidTr="009A5AFC">
        <w:trPr>
          <w:trHeight w:val="20"/>
        </w:trPr>
        <w:tc>
          <w:tcPr>
            <w:tcW w:w="2116" w:type="dxa"/>
          </w:tcPr>
          <w:p w14:paraId="6AD5E04E" w14:textId="31D32A4F" w:rsidR="00BD5AB8" w:rsidRDefault="00BD5AB8" w:rsidP="00BD5AB8">
            <w:pPr>
              <w:pStyle w:val="Tableheading"/>
              <w:jc w:val="left"/>
              <w:rPr>
                <w:rFonts w:cstheme="minorHAnsi"/>
                <w:sz w:val="20"/>
                <w:szCs w:val="20"/>
              </w:rPr>
            </w:pPr>
            <w:r w:rsidRPr="00834A56">
              <w:rPr>
                <w:rFonts w:cstheme="minorHAnsi"/>
                <w:sz w:val="20"/>
                <w:szCs w:val="20"/>
              </w:rPr>
              <w:t>Zoledronic acid</w:t>
            </w:r>
          </w:p>
        </w:tc>
        <w:tc>
          <w:tcPr>
            <w:tcW w:w="2296" w:type="dxa"/>
          </w:tcPr>
          <w:p w14:paraId="2A0AFFAE" w14:textId="2ACD8F1E" w:rsidR="00BD5AB8" w:rsidRPr="008473B0" w:rsidRDefault="00BD5AB8" w:rsidP="00BD5AB8">
            <w:pPr>
              <w:pStyle w:val="Tableheading"/>
              <w:rPr>
                <w:rFonts w:cstheme="minorHAnsi"/>
                <w:b w:val="0"/>
                <w:sz w:val="20"/>
                <w:szCs w:val="20"/>
              </w:rPr>
            </w:pPr>
            <w:r w:rsidRPr="00C748CD">
              <w:rPr>
                <w:rFonts w:cstheme="minorHAnsi"/>
                <w:b w:val="0"/>
                <w:sz w:val="20"/>
                <w:szCs w:val="20"/>
              </w:rPr>
              <w:t>1</w:t>
            </w:r>
            <w:r>
              <w:rPr>
                <w:rFonts w:cstheme="minorHAnsi"/>
                <w:b w:val="0"/>
                <w:sz w:val="20"/>
                <w:szCs w:val="20"/>
              </w:rPr>
              <w:t>,</w:t>
            </w:r>
            <w:r w:rsidRPr="00C748CD">
              <w:rPr>
                <w:rFonts w:cstheme="minorHAnsi"/>
                <w:b w:val="0"/>
                <w:sz w:val="20"/>
                <w:szCs w:val="20"/>
              </w:rPr>
              <w:t>724</w:t>
            </w:r>
          </w:p>
        </w:tc>
        <w:tc>
          <w:tcPr>
            <w:tcW w:w="1679" w:type="dxa"/>
          </w:tcPr>
          <w:p w14:paraId="02FF8D0F" w14:textId="4C6EEF1A" w:rsidR="00BD5AB8" w:rsidRPr="008473B0" w:rsidRDefault="00BD5AB8" w:rsidP="00BD5AB8">
            <w:pPr>
              <w:pStyle w:val="Tableheading"/>
              <w:rPr>
                <w:rFonts w:cstheme="minorHAnsi"/>
                <w:b w:val="0"/>
                <w:sz w:val="20"/>
                <w:szCs w:val="20"/>
              </w:rPr>
            </w:pPr>
            <w:r w:rsidRPr="00BD5AB8">
              <w:rPr>
                <w:rFonts w:cstheme="minorHAnsi"/>
                <w:b w:val="0"/>
                <w:sz w:val="20"/>
                <w:szCs w:val="20"/>
              </w:rPr>
              <w:t>1</w:t>
            </w:r>
            <w:r>
              <w:rPr>
                <w:rFonts w:cstheme="minorHAnsi"/>
                <w:b w:val="0"/>
                <w:sz w:val="20"/>
                <w:szCs w:val="20"/>
              </w:rPr>
              <w:t>,</w:t>
            </w:r>
            <w:r w:rsidRPr="00BD5AB8">
              <w:rPr>
                <w:rFonts w:cstheme="minorHAnsi"/>
                <w:b w:val="0"/>
                <w:sz w:val="20"/>
                <w:szCs w:val="20"/>
              </w:rPr>
              <w:t>350 (78.3%)</w:t>
            </w:r>
          </w:p>
        </w:tc>
        <w:tc>
          <w:tcPr>
            <w:tcW w:w="1417" w:type="dxa"/>
          </w:tcPr>
          <w:p w14:paraId="20D31992" w14:textId="5A5576FC" w:rsidR="00BD5AB8" w:rsidRPr="008473B0" w:rsidRDefault="00BD5AB8" w:rsidP="00BD5AB8">
            <w:pPr>
              <w:pStyle w:val="Tableheading"/>
              <w:rPr>
                <w:rFonts w:cstheme="minorHAnsi"/>
                <w:b w:val="0"/>
                <w:sz w:val="20"/>
                <w:szCs w:val="20"/>
              </w:rPr>
            </w:pPr>
            <w:r w:rsidRPr="00C748CD">
              <w:rPr>
                <w:rFonts w:cstheme="minorHAnsi"/>
                <w:b w:val="0"/>
                <w:sz w:val="20"/>
                <w:szCs w:val="20"/>
              </w:rPr>
              <w:t>461 (34.1%)</w:t>
            </w:r>
          </w:p>
        </w:tc>
        <w:tc>
          <w:tcPr>
            <w:tcW w:w="1559" w:type="dxa"/>
          </w:tcPr>
          <w:p w14:paraId="5D88B475" w14:textId="27C39B20" w:rsidR="00BD5AB8" w:rsidRPr="008473B0" w:rsidRDefault="00BD5AB8" w:rsidP="00BD5AB8">
            <w:pPr>
              <w:pStyle w:val="Tableheading"/>
              <w:rPr>
                <w:rFonts w:cstheme="minorHAnsi"/>
                <w:b w:val="0"/>
                <w:sz w:val="20"/>
                <w:szCs w:val="20"/>
              </w:rPr>
            </w:pPr>
            <w:r w:rsidRPr="00C748CD">
              <w:rPr>
                <w:rFonts w:cstheme="minorHAnsi"/>
                <w:b w:val="0"/>
                <w:sz w:val="20"/>
                <w:szCs w:val="20"/>
              </w:rPr>
              <w:t>889 (65.9%)</w:t>
            </w:r>
          </w:p>
        </w:tc>
      </w:tr>
      <w:tr w:rsidR="0061044E" w:rsidRPr="001D0858" w14:paraId="44685502" w14:textId="77777777" w:rsidTr="009A5AFC">
        <w:trPr>
          <w:trHeight w:val="20"/>
        </w:trPr>
        <w:tc>
          <w:tcPr>
            <w:tcW w:w="2116" w:type="dxa"/>
          </w:tcPr>
          <w:p w14:paraId="560CC639" w14:textId="469BB6DD" w:rsidR="00834A56" w:rsidRPr="00834A56" w:rsidRDefault="00834A56" w:rsidP="00834A56">
            <w:pPr>
              <w:pStyle w:val="Tableheading"/>
              <w:jc w:val="left"/>
              <w:rPr>
                <w:rFonts w:cstheme="minorHAnsi"/>
                <w:sz w:val="20"/>
                <w:szCs w:val="20"/>
              </w:rPr>
            </w:pPr>
            <w:r w:rsidRPr="00834A56">
              <w:rPr>
                <w:rFonts w:cstheme="minorHAnsi"/>
                <w:sz w:val="20"/>
                <w:szCs w:val="20"/>
              </w:rPr>
              <w:t>Total</w:t>
            </w:r>
          </w:p>
        </w:tc>
        <w:tc>
          <w:tcPr>
            <w:tcW w:w="2296" w:type="dxa"/>
          </w:tcPr>
          <w:p w14:paraId="431D61FB" w14:textId="2AAE3726" w:rsidR="00834A56" w:rsidRPr="009F7AE7" w:rsidRDefault="005517C0" w:rsidP="00834A56">
            <w:pPr>
              <w:pStyle w:val="Tableheading"/>
              <w:rPr>
                <w:rFonts w:cstheme="minorHAnsi"/>
                <w:b w:val="0"/>
                <w:sz w:val="20"/>
                <w:szCs w:val="20"/>
              </w:rPr>
            </w:pPr>
            <w:r w:rsidRPr="009A5AFC">
              <w:rPr>
                <w:rFonts w:cstheme="minorHAnsi"/>
                <w:b w:val="0"/>
                <w:sz w:val="20"/>
                <w:szCs w:val="20"/>
              </w:rPr>
              <w:t>3</w:t>
            </w:r>
            <w:r w:rsidR="00A47B84" w:rsidRPr="009A5AFC">
              <w:rPr>
                <w:rFonts w:cstheme="minorHAnsi"/>
                <w:b w:val="0"/>
                <w:sz w:val="20"/>
                <w:szCs w:val="20"/>
              </w:rPr>
              <w:t>2,</w:t>
            </w:r>
            <w:r w:rsidR="00A47B84" w:rsidRPr="00C3460C">
              <w:rPr>
                <w:rFonts w:cstheme="minorHAnsi"/>
                <w:b w:val="0"/>
                <w:sz w:val="20"/>
                <w:szCs w:val="20"/>
              </w:rPr>
              <w:t>858</w:t>
            </w:r>
          </w:p>
        </w:tc>
        <w:tc>
          <w:tcPr>
            <w:tcW w:w="1679" w:type="dxa"/>
          </w:tcPr>
          <w:p w14:paraId="5944BBE4" w14:textId="30709951" w:rsidR="00834A56" w:rsidRPr="009A5AFC" w:rsidRDefault="00A47B84" w:rsidP="00834A56">
            <w:pPr>
              <w:pStyle w:val="Tableheading"/>
              <w:rPr>
                <w:rFonts w:cstheme="minorHAnsi"/>
                <w:b w:val="0"/>
                <w:sz w:val="20"/>
                <w:szCs w:val="20"/>
              </w:rPr>
            </w:pPr>
            <w:r w:rsidRPr="00EC511A">
              <w:rPr>
                <w:rFonts w:cstheme="minorHAnsi"/>
                <w:b w:val="0"/>
                <w:sz w:val="20"/>
                <w:szCs w:val="20"/>
              </w:rPr>
              <w:t>16,185</w:t>
            </w:r>
            <w:r w:rsidR="005D0337" w:rsidRPr="00F25FA5">
              <w:rPr>
                <w:rFonts w:cstheme="minorHAnsi"/>
                <w:b w:val="0"/>
                <w:sz w:val="20"/>
                <w:szCs w:val="20"/>
              </w:rPr>
              <w:t xml:space="preserve"> </w:t>
            </w:r>
            <w:r w:rsidR="005D0337" w:rsidRPr="009A5AFC">
              <w:rPr>
                <w:rFonts w:cstheme="minorHAnsi"/>
                <w:b w:val="0"/>
                <w:sz w:val="20"/>
                <w:szCs w:val="20"/>
              </w:rPr>
              <w:t>(49.3%)</w:t>
            </w:r>
          </w:p>
        </w:tc>
        <w:tc>
          <w:tcPr>
            <w:tcW w:w="1417" w:type="dxa"/>
          </w:tcPr>
          <w:p w14:paraId="3CE8EE46" w14:textId="04B27FAD" w:rsidR="00834A56" w:rsidRPr="009A5AFC" w:rsidRDefault="00A47B84" w:rsidP="00834A56">
            <w:pPr>
              <w:pStyle w:val="Tableheading"/>
              <w:rPr>
                <w:rFonts w:cstheme="minorHAnsi"/>
                <w:b w:val="0"/>
                <w:sz w:val="20"/>
                <w:szCs w:val="20"/>
              </w:rPr>
            </w:pPr>
            <w:r w:rsidRPr="009A5AFC">
              <w:rPr>
                <w:rFonts w:cstheme="minorHAnsi"/>
                <w:b w:val="0"/>
                <w:sz w:val="20"/>
                <w:szCs w:val="20"/>
              </w:rPr>
              <w:t>3,3</w:t>
            </w:r>
            <w:r w:rsidR="00D96C46" w:rsidRPr="009A5AFC">
              <w:rPr>
                <w:rFonts w:cstheme="minorHAnsi"/>
                <w:b w:val="0"/>
                <w:sz w:val="20"/>
                <w:szCs w:val="20"/>
              </w:rPr>
              <w:t>78</w:t>
            </w:r>
            <w:r w:rsidR="00916644" w:rsidRPr="009A5AFC">
              <w:rPr>
                <w:rFonts w:cstheme="minorHAnsi"/>
                <w:b w:val="0"/>
                <w:sz w:val="20"/>
                <w:szCs w:val="20"/>
              </w:rPr>
              <w:t xml:space="preserve"> (20.8%)</w:t>
            </w:r>
          </w:p>
        </w:tc>
        <w:tc>
          <w:tcPr>
            <w:tcW w:w="1559" w:type="dxa"/>
          </w:tcPr>
          <w:p w14:paraId="4F09C21B" w14:textId="118D71F4" w:rsidR="00834A56" w:rsidRPr="009A5AFC" w:rsidRDefault="00A47B84" w:rsidP="00834A56">
            <w:pPr>
              <w:pStyle w:val="Tableheading"/>
              <w:rPr>
                <w:rFonts w:cstheme="minorHAnsi"/>
                <w:b w:val="0"/>
                <w:sz w:val="20"/>
                <w:szCs w:val="20"/>
              </w:rPr>
            </w:pPr>
            <w:r w:rsidRPr="009A5AFC">
              <w:rPr>
                <w:rFonts w:cstheme="minorHAnsi"/>
                <w:b w:val="0"/>
                <w:sz w:val="20"/>
                <w:szCs w:val="20"/>
              </w:rPr>
              <w:t>12,8</w:t>
            </w:r>
            <w:r w:rsidR="009A5AFC" w:rsidRPr="009A5AFC">
              <w:rPr>
                <w:rFonts w:cstheme="minorHAnsi"/>
                <w:b w:val="0"/>
                <w:sz w:val="20"/>
                <w:szCs w:val="20"/>
              </w:rPr>
              <w:t>07</w:t>
            </w:r>
            <w:r w:rsidR="00916644" w:rsidRPr="00C3460C">
              <w:rPr>
                <w:rFonts w:cstheme="minorHAnsi"/>
                <w:b w:val="0"/>
                <w:sz w:val="20"/>
                <w:szCs w:val="20"/>
              </w:rPr>
              <w:t xml:space="preserve"> </w:t>
            </w:r>
            <w:r w:rsidR="00916644" w:rsidRPr="009A5AFC">
              <w:rPr>
                <w:rFonts w:cstheme="minorHAnsi"/>
                <w:b w:val="0"/>
                <w:sz w:val="20"/>
                <w:szCs w:val="20"/>
              </w:rPr>
              <w:t>(79.2%)</w:t>
            </w:r>
          </w:p>
        </w:tc>
      </w:tr>
    </w:tbl>
    <w:p w14:paraId="48541EF6" w14:textId="77777777" w:rsidR="00545AFA" w:rsidRPr="00545AFA" w:rsidRDefault="00545AFA" w:rsidP="00545AFA"/>
    <w:p w14:paraId="54956571" w14:textId="799C1B41" w:rsidR="00E86FFC" w:rsidRPr="00806B83" w:rsidRDefault="00E86FFC" w:rsidP="00E86FFC">
      <w:pPr>
        <w:pStyle w:val="Tabletitle"/>
      </w:pPr>
      <w:r>
        <w:t>Table 2</w:t>
      </w:r>
      <w:r w:rsidR="0005410E">
        <w:t>3</w:t>
      </w:r>
      <w:r>
        <w:t>: Treatment cessation for patients who initiated osteoporosis medicines 2014 and 2015 (sensitivity analysis)</w:t>
      </w:r>
    </w:p>
    <w:tbl>
      <w:tblPr>
        <w:tblStyle w:val="TableGrid"/>
        <w:tblW w:w="9184" w:type="dxa"/>
        <w:tblLook w:val="04A0" w:firstRow="1" w:lastRow="0" w:firstColumn="1" w:lastColumn="0" w:noHBand="0" w:noVBand="1"/>
        <w:tblCaption w:val="Table 21: Treatment cessation for patients who initiated osteoporosis medicines 2014 and 2015 (sensitivity analysis)"/>
      </w:tblPr>
      <w:tblGrid>
        <w:gridCol w:w="2284"/>
        <w:gridCol w:w="2261"/>
        <w:gridCol w:w="1949"/>
        <w:gridCol w:w="1345"/>
        <w:gridCol w:w="1345"/>
      </w:tblGrid>
      <w:tr w:rsidR="0037177A" w:rsidRPr="001D0858" w14:paraId="59D8E204" w14:textId="77777777" w:rsidTr="009F7AE7">
        <w:trPr>
          <w:trHeight w:val="36"/>
          <w:tblHeader/>
        </w:trPr>
        <w:tc>
          <w:tcPr>
            <w:tcW w:w="0" w:type="auto"/>
            <w:vMerge w:val="restart"/>
            <w:shd w:val="clear" w:color="auto" w:fill="BFBFBF" w:themeFill="background1" w:themeFillShade="BF"/>
          </w:tcPr>
          <w:p w14:paraId="02617B51" w14:textId="77777777" w:rsidR="00E86FFC" w:rsidRDefault="00E86FFC" w:rsidP="00D069E4">
            <w:pPr>
              <w:pStyle w:val="Tableheading"/>
              <w:rPr>
                <w:sz w:val="20"/>
                <w:szCs w:val="20"/>
              </w:rPr>
            </w:pPr>
          </w:p>
        </w:tc>
        <w:tc>
          <w:tcPr>
            <w:tcW w:w="0" w:type="auto"/>
            <w:shd w:val="clear" w:color="auto" w:fill="BFBFBF" w:themeFill="background1" w:themeFillShade="BF"/>
          </w:tcPr>
          <w:p w14:paraId="70C48F0A" w14:textId="77777777" w:rsidR="00E86FFC" w:rsidRPr="001D0858" w:rsidRDefault="00E86FFC" w:rsidP="00D069E4">
            <w:pPr>
              <w:pStyle w:val="Tableheading"/>
              <w:rPr>
                <w:sz w:val="20"/>
                <w:szCs w:val="20"/>
              </w:rPr>
            </w:pPr>
            <w:r>
              <w:rPr>
                <w:sz w:val="20"/>
                <w:szCs w:val="20"/>
              </w:rPr>
              <w:t>Pts who initiated osteoporosis medicines</w:t>
            </w:r>
          </w:p>
        </w:tc>
        <w:tc>
          <w:tcPr>
            <w:tcW w:w="0" w:type="auto"/>
            <w:shd w:val="clear" w:color="auto" w:fill="BFBFBF" w:themeFill="background1" w:themeFillShade="BF"/>
          </w:tcPr>
          <w:p w14:paraId="3FB070D1" w14:textId="77777777" w:rsidR="00E86FFC" w:rsidRDefault="00E86FFC" w:rsidP="00D069E4">
            <w:pPr>
              <w:pStyle w:val="Tableheading"/>
              <w:rPr>
                <w:sz w:val="20"/>
                <w:szCs w:val="20"/>
              </w:rPr>
            </w:pPr>
            <w:r>
              <w:rPr>
                <w:sz w:val="20"/>
                <w:szCs w:val="20"/>
              </w:rPr>
              <w:t>Pts who ceased initiating treatment</w:t>
            </w:r>
          </w:p>
        </w:tc>
        <w:tc>
          <w:tcPr>
            <w:tcW w:w="0" w:type="auto"/>
            <w:gridSpan w:val="2"/>
            <w:shd w:val="clear" w:color="auto" w:fill="BFBFBF" w:themeFill="background1" w:themeFillShade="BF"/>
          </w:tcPr>
          <w:p w14:paraId="6EE4C7FB" w14:textId="77777777" w:rsidR="00E86FFC" w:rsidRDefault="00E86FFC" w:rsidP="00D069E4">
            <w:pPr>
              <w:pStyle w:val="Tableheading"/>
              <w:rPr>
                <w:sz w:val="20"/>
                <w:szCs w:val="20"/>
              </w:rPr>
            </w:pPr>
            <w:r>
              <w:rPr>
                <w:sz w:val="20"/>
                <w:szCs w:val="20"/>
              </w:rPr>
              <w:t>Pts who had another treatment after cessation</w:t>
            </w:r>
          </w:p>
        </w:tc>
      </w:tr>
      <w:tr w:rsidR="00E86FFC" w:rsidRPr="001D0858" w14:paraId="07C842C0" w14:textId="77777777" w:rsidTr="009F7AE7">
        <w:trPr>
          <w:trHeight w:val="36"/>
          <w:tblHeader/>
        </w:trPr>
        <w:tc>
          <w:tcPr>
            <w:tcW w:w="0" w:type="auto"/>
            <w:vMerge/>
            <w:shd w:val="clear" w:color="auto" w:fill="BFBFBF" w:themeFill="background1" w:themeFillShade="BF"/>
          </w:tcPr>
          <w:p w14:paraId="70639AC7" w14:textId="77777777" w:rsidR="00E86FFC" w:rsidRDefault="00E86FFC" w:rsidP="00D069E4">
            <w:pPr>
              <w:pStyle w:val="Tableheading"/>
              <w:rPr>
                <w:sz w:val="20"/>
                <w:szCs w:val="20"/>
              </w:rPr>
            </w:pPr>
          </w:p>
        </w:tc>
        <w:tc>
          <w:tcPr>
            <w:tcW w:w="0" w:type="auto"/>
            <w:shd w:val="clear" w:color="auto" w:fill="BFBFBF" w:themeFill="background1" w:themeFillShade="BF"/>
          </w:tcPr>
          <w:p w14:paraId="3835B0A4" w14:textId="77777777" w:rsidR="00E86FFC" w:rsidRPr="001D0858" w:rsidRDefault="00E86FFC" w:rsidP="00D069E4">
            <w:pPr>
              <w:pStyle w:val="Tableheading"/>
              <w:rPr>
                <w:sz w:val="20"/>
                <w:szCs w:val="20"/>
              </w:rPr>
            </w:pPr>
            <w:r>
              <w:rPr>
                <w:sz w:val="20"/>
                <w:szCs w:val="20"/>
              </w:rPr>
              <w:t>N</w:t>
            </w:r>
          </w:p>
        </w:tc>
        <w:tc>
          <w:tcPr>
            <w:tcW w:w="0" w:type="auto"/>
            <w:shd w:val="clear" w:color="auto" w:fill="BFBFBF" w:themeFill="background1" w:themeFillShade="BF"/>
          </w:tcPr>
          <w:p w14:paraId="7EC6503A" w14:textId="77777777" w:rsidR="00E86FFC" w:rsidRPr="001D0858" w:rsidRDefault="00E86FFC" w:rsidP="00D069E4">
            <w:pPr>
              <w:pStyle w:val="Tableheading"/>
              <w:rPr>
                <w:sz w:val="20"/>
                <w:szCs w:val="20"/>
              </w:rPr>
            </w:pPr>
            <w:r>
              <w:rPr>
                <w:sz w:val="20"/>
                <w:szCs w:val="20"/>
              </w:rPr>
              <w:t>N1 (% N1/N)</w:t>
            </w:r>
          </w:p>
        </w:tc>
        <w:tc>
          <w:tcPr>
            <w:tcW w:w="0" w:type="auto"/>
            <w:shd w:val="clear" w:color="auto" w:fill="BFBFBF" w:themeFill="background1" w:themeFillShade="BF"/>
          </w:tcPr>
          <w:p w14:paraId="1900BA4F" w14:textId="77777777" w:rsidR="00E86FFC" w:rsidRPr="001D0858" w:rsidRDefault="00E86FFC" w:rsidP="00D069E4">
            <w:pPr>
              <w:pStyle w:val="Tableheading"/>
              <w:rPr>
                <w:sz w:val="20"/>
                <w:szCs w:val="20"/>
              </w:rPr>
            </w:pPr>
            <w:r>
              <w:rPr>
                <w:sz w:val="20"/>
                <w:szCs w:val="20"/>
              </w:rPr>
              <w:t>Yes</w:t>
            </w:r>
          </w:p>
        </w:tc>
        <w:tc>
          <w:tcPr>
            <w:tcW w:w="0" w:type="auto"/>
            <w:shd w:val="clear" w:color="auto" w:fill="BFBFBF" w:themeFill="background1" w:themeFillShade="BF"/>
          </w:tcPr>
          <w:p w14:paraId="4BF81847" w14:textId="77777777" w:rsidR="00E86FFC" w:rsidRDefault="00E86FFC" w:rsidP="00D069E4">
            <w:pPr>
              <w:pStyle w:val="Tableheading"/>
              <w:rPr>
                <w:sz w:val="20"/>
                <w:szCs w:val="20"/>
              </w:rPr>
            </w:pPr>
            <w:r>
              <w:rPr>
                <w:sz w:val="20"/>
                <w:szCs w:val="20"/>
              </w:rPr>
              <w:t>No</w:t>
            </w:r>
          </w:p>
        </w:tc>
      </w:tr>
      <w:tr w:rsidR="00452512" w:rsidRPr="001D0858" w14:paraId="3252FFD7" w14:textId="77777777" w:rsidTr="009F7AE7">
        <w:trPr>
          <w:trHeight w:val="36"/>
        </w:trPr>
        <w:tc>
          <w:tcPr>
            <w:tcW w:w="0" w:type="auto"/>
          </w:tcPr>
          <w:p w14:paraId="28B562E5" w14:textId="77777777" w:rsidR="00452512" w:rsidRPr="00957354" w:rsidRDefault="00452512" w:rsidP="00452512">
            <w:pPr>
              <w:pStyle w:val="Tableheading"/>
              <w:jc w:val="left"/>
              <w:rPr>
                <w:rFonts w:cstheme="minorHAnsi"/>
                <w:sz w:val="20"/>
                <w:szCs w:val="20"/>
              </w:rPr>
            </w:pPr>
            <w:r w:rsidRPr="00834A56">
              <w:rPr>
                <w:rFonts w:cstheme="minorHAnsi"/>
                <w:sz w:val="20"/>
                <w:szCs w:val="20"/>
              </w:rPr>
              <w:t>Alendronate (incl combination products)</w:t>
            </w:r>
          </w:p>
        </w:tc>
        <w:tc>
          <w:tcPr>
            <w:tcW w:w="0" w:type="auto"/>
          </w:tcPr>
          <w:p w14:paraId="519FA5EF" w14:textId="0136CC28" w:rsidR="00452512" w:rsidRPr="000F2789" w:rsidRDefault="00452512" w:rsidP="00452512">
            <w:pPr>
              <w:pStyle w:val="Tableheading"/>
              <w:rPr>
                <w:rFonts w:cstheme="minorHAnsi"/>
                <w:b w:val="0"/>
                <w:sz w:val="20"/>
                <w:szCs w:val="20"/>
              </w:rPr>
            </w:pPr>
            <w:r w:rsidRPr="00452512">
              <w:rPr>
                <w:rFonts w:cstheme="minorHAnsi"/>
                <w:b w:val="0"/>
                <w:sz w:val="20"/>
                <w:szCs w:val="20"/>
              </w:rPr>
              <w:t>2</w:t>
            </w:r>
            <w:r w:rsidR="003353D3">
              <w:rPr>
                <w:rFonts w:cstheme="minorHAnsi"/>
                <w:b w:val="0"/>
                <w:sz w:val="20"/>
                <w:szCs w:val="20"/>
              </w:rPr>
              <w:t>,</w:t>
            </w:r>
            <w:r w:rsidRPr="00452512">
              <w:rPr>
                <w:rFonts w:cstheme="minorHAnsi"/>
                <w:b w:val="0"/>
                <w:sz w:val="20"/>
                <w:szCs w:val="20"/>
              </w:rPr>
              <w:t>515</w:t>
            </w:r>
          </w:p>
        </w:tc>
        <w:tc>
          <w:tcPr>
            <w:tcW w:w="0" w:type="auto"/>
          </w:tcPr>
          <w:p w14:paraId="74ADAB3F" w14:textId="18E0F0FF" w:rsidR="00452512" w:rsidRPr="000F2789" w:rsidRDefault="00452512" w:rsidP="00452512">
            <w:pPr>
              <w:pStyle w:val="Tableheading"/>
              <w:rPr>
                <w:rFonts w:cstheme="minorHAnsi"/>
                <w:b w:val="0"/>
                <w:sz w:val="20"/>
                <w:szCs w:val="20"/>
              </w:rPr>
            </w:pPr>
            <w:r w:rsidRPr="00452512">
              <w:rPr>
                <w:rFonts w:cstheme="minorHAnsi"/>
                <w:b w:val="0"/>
                <w:sz w:val="20"/>
                <w:szCs w:val="20"/>
              </w:rPr>
              <w:t>2,040 (81.1%)</w:t>
            </w:r>
          </w:p>
        </w:tc>
        <w:tc>
          <w:tcPr>
            <w:tcW w:w="0" w:type="auto"/>
          </w:tcPr>
          <w:p w14:paraId="458F7F88" w14:textId="0228B13A" w:rsidR="00452512" w:rsidRPr="000F2789" w:rsidRDefault="00452512" w:rsidP="00452512">
            <w:pPr>
              <w:pStyle w:val="Tableheading"/>
              <w:rPr>
                <w:rFonts w:cstheme="minorHAnsi"/>
                <w:b w:val="0"/>
                <w:sz w:val="20"/>
                <w:szCs w:val="20"/>
              </w:rPr>
            </w:pPr>
            <w:r w:rsidRPr="00452512">
              <w:rPr>
                <w:rFonts w:cstheme="minorHAnsi"/>
                <w:b w:val="0"/>
                <w:sz w:val="20"/>
                <w:szCs w:val="20"/>
              </w:rPr>
              <w:t>844 (41.4%)</w:t>
            </w:r>
          </w:p>
        </w:tc>
        <w:tc>
          <w:tcPr>
            <w:tcW w:w="0" w:type="auto"/>
          </w:tcPr>
          <w:p w14:paraId="2D1C50C2" w14:textId="7599323E" w:rsidR="00452512" w:rsidRDefault="00452512" w:rsidP="00452512">
            <w:pPr>
              <w:pStyle w:val="Tableheading"/>
              <w:rPr>
                <w:rFonts w:cstheme="minorHAnsi"/>
                <w:b w:val="0"/>
                <w:sz w:val="20"/>
                <w:szCs w:val="20"/>
              </w:rPr>
            </w:pPr>
            <w:r w:rsidRPr="00452512">
              <w:rPr>
                <w:rFonts w:cstheme="minorHAnsi"/>
                <w:b w:val="0"/>
                <w:sz w:val="20"/>
                <w:szCs w:val="20"/>
              </w:rPr>
              <w:t>1,196 (58.6%)</w:t>
            </w:r>
          </w:p>
        </w:tc>
      </w:tr>
      <w:tr w:rsidR="00452512" w:rsidRPr="001D0858" w14:paraId="3DD3C36A" w14:textId="77777777" w:rsidTr="009F7AE7">
        <w:trPr>
          <w:trHeight w:val="36"/>
        </w:trPr>
        <w:tc>
          <w:tcPr>
            <w:tcW w:w="0" w:type="auto"/>
          </w:tcPr>
          <w:p w14:paraId="352D9B05" w14:textId="77777777" w:rsidR="00452512" w:rsidRPr="00957354" w:rsidRDefault="00452512" w:rsidP="00452512">
            <w:pPr>
              <w:pStyle w:val="Tableheading"/>
              <w:jc w:val="left"/>
              <w:rPr>
                <w:rFonts w:cstheme="minorHAnsi"/>
                <w:sz w:val="20"/>
                <w:szCs w:val="20"/>
              </w:rPr>
            </w:pPr>
            <w:r w:rsidRPr="00834A56">
              <w:rPr>
                <w:rFonts w:cstheme="minorHAnsi"/>
                <w:sz w:val="20"/>
                <w:szCs w:val="20"/>
              </w:rPr>
              <w:t>Calcitriol</w:t>
            </w:r>
          </w:p>
        </w:tc>
        <w:tc>
          <w:tcPr>
            <w:tcW w:w="0" w:type="auto"/>
          </w:tcPr>
          <w:p w14:paraId="31A0E655" w14:textId="2E42C0E5" w:rsidR="00452512" w:rsidRPr="000F2789" w:rsidRDefault="00452512" w:rsidP="00452512">
            <w:pPr>
              <w:pStyle w:val="Tableheading"/>
              <w:rPr>
                <w:rFonts w:cstheme="minorHAnsi"/>
                <w:b w:val="0"/>
                <w:sz w:val="20"/>
                <w:szCs w:val="20"/>
              </w:rPr>
            </w:pPr>
            <w:r w:rsidRPr="00452512">
              <w:rPr>
                <w:rFonts w:cstheme="minorHAnsi"/>
                <w:b w:val="0"/>
                <w:sz w:val="20"/>
                <w:szCs w:val="20"/>
              </w:rPr>
              <w:t>1</w:t>
            </w:r>
            <w:r w:rsidR="003353D3">
              <w:rPr>
                <w:rFonts w:cstheme="minorHAnsi"/>
                <w:b w:val="0"/>
                <w:sz w:val="20"/>
                <w:szCs w:val="20"/>
              </w:rPr>
              <w:t>,</w:t>
            </w:r>
            <w:r w:rsidRPr="00452512">
              <w:rPr>
                <w:rFonts w:cstheme="minorHAnsi"/>
                <w:b w:val="0"/>
                <w:sz w:val="20"/>
                <w:szCs w:val="20"/>
              </w:rPr>
              <w:t>159</w:t>
            </w:r>
          </w:p>
        </w:tc>
        <w:tc>
          <w:tcPr>
            <w:tcW w:w="0" w:type="auto"/>
          </w:tcPr>
          <w:p w14:paraId="04B12AB7" w14:textId="088A25E1" w:rsidR="00452512" w:rsidRPr="000F2789" w:rsidRDefault="00452512" w:rsidP="00452512">
            <w:pPr>
              <w:pStyle w:val="Tableheading"/>
              <w:rPr>
                <w:rFonts w:cstheme="minorHAnsi"/>
                <w:b w:val="0"/>
                <w:sz w:val="20"/>
                <w:szCs w:val="20"/>
              </w:rPr>
            </w:pPr>
            <w:r w:rsidRPr="00452512">
              <w:rPr>
                <w:rFonts w:cstheme="minorHAnsi"/>
                <w:b w:val="0"/>
                <w:sz w:val="20"/>
                <w:szCs w:val="20"/>
              </w:rPr>
              <w:t>921 (79.5%)</w:t>
            </w:r>
          </w:p>
        </w:tc>
        <w:tc>
          <w:tcPr>
            <w:tcW w:w="0" w:type="auto"/>
          </w:tcPr>
          <w:p w14:paraId="1BC06E2C" w14:textId="6E23BA29" w:rsidR="00452512" w:rsidRPr="000F2789" w:rsidRDefault="00452512" w:rsidP="00452512">
            <w:pPr>
              <w:pStyle w:val="Tableheading"/>
              <w:rPr>
                <w:rFonts w:cstheme="minorHAnsi"/>
                <w:b w:val="0"/>
                <w:sz w:val="20"/>
                <w:szCs w:val="20"/>
              </w:rPr>
            </w:pPr>
            <w:r w:rsidRPr="00452512">
              <w:rPr>
                <w:rFonts w:cstheme="minorHAnsi"/>
                <w:b w:val="0"/>
                <w:sz w:val="20"/>
                <w:szCs w:val="20"/>
              </w:rPr>
              <w:t>74 (8.0%)</w:t>
            </w:r>
          </w:p>
        </w:tc>
        <w:tc>
          <w:tcPr>
            <w:tcW w:w="0" w:type="auto"/>
          </w:tcPr>
          <w:p w14:paraId="404F5099" w14:textId="11297C39" w:rsidR="00452512" w:rsidRPr="00A63DC0" w:rsidRDefault="00452512" w:rsidP="00452512">
            <w:pPr>
              <w:pStyle w:val="Tableheading"/>
              <w:rPr>
                <w:rFonts w:cstheme="minorHAnsi"/>
                <w:b w:val="0"/>
                <w:sz w:val="20"/>
                <w:szCs w:val="20"/>
              </w:rPr>
            </w:pPr>
            <w:r w:rsidRPr="00452512">
              <w:rPr>
                <w:rFonts w:cstheme="minorHAnsi"/>
                <w:b w:val="0"/>
                <w:sz w:val="20"/>
                <w:szCs w:val="20"/>
              </w:rPr>
              <w:t>847 (92.0%)</w:t>
            </w:r>
          </w:p>
        </w:tc>
      </w:tr>
      <w:tr w:rsidR="00452512" w:rsidRPr="001D0858" w14:paraId="779B08F4" w14:textId="77777777" w:rsidTr="009F7AE7">
        <w:trPr>
          <w:trHeight w:val="36"/>
        </w:trPr>
        <w:tc>
          <w:tcPr>
            <w:tcW w:w="0" w:type="auto"/>
          </w:tcPr>
          <w:p w14:paraId="7FFC9E6F" w14:textId="77777777" w:rsidR="00452512" w:rsidRDefault="00452512" w:rsidP="00452512">
            <w:pPr>
              <w:pStyle w:val="Tableheading"/>
              <w:jc w:val="left"/>
              <w:rPr>
                <w:rFonts w:cstheme="minorHAnsi"/>
                <w:sz w:val="20"/>
                <w:szCs w:val="20"/>
              </w:rPr>
            </w:pPr>
            <w:r w:rsidRPr="00834A56">
              <w:rPr>
                <w:rFonts w:cstheme="minorHAnsi"/>
                <w:sz w:val="20"/>
                <w:szCs w:val="20"/>
              </w:rPr>
              <w:t>Denosumab</w:t>
            </w:r>
          </w:p>
        </w:tc>
        <w:tc>
          <w:tcPr>
            <w:tcW w:w="0" w:type="auto"/>
          </w:tcPr>
          <w:p w14:paraId="1956FBDE" w14:textId="51EEEB08" w:rsidR="00452512" w:rsidRPr="008473B0" w:rsidRDefault="00452512" w:rsidP="00452512">
            <w:pPr>
              <w:pStyle w:val="Tableheading"/>
              <w:rPr>
                <w:rFonts w:cstheme="minorHAnsi"/>
                <w:b w:val="0"/>
                <w:sz w:val="20"/>
                <w:szCs w:val="20"/>
              </w:rPr>
            </w:pPr>
            <w:r w:rsidRPr="00452512">
              <w:rPr>
                <w:rFonts w:cstheme="minorHAnsi"/>
                <w:b w:val="0"/>
                <w:sz w:val="20"/>
                <w:szCs w:val="20"/>
              </w:rPr>
              <w:t>8</w:t>
            </w:r>
            <w:r w:rsidR="003353D3">
              <w:rPr>
                <w:rFonts w:cstheme="minorHAnsi"/>
                <w:b w:val="0"/>
                <w:sz w:val="20"/>
                <w:szCs w:val="20"/>
              </w:rPr>
              <w:t>,</w:t>
            </w:r>
            <w:r w:rsidRPr="00452512">
              <w:rPr>
                <w:rFonts w:cstheme="minorHAnsi"/>
                <w:b w:val="0"/>
                <w:sz w:val="20"/>
                <w:szCs w:val="20"/>
              </w:rPr>
              <w:t>573</w:t>
            </w:r>
          </w:p>
        </w:tc>
        <w:tc>
          <w:tcPr>
            <w:tcW w:w="0" w:type="auto"/>
          </w:tcPr>
          <w:p w14:paraId="39092AB9" w14:textId="36DBE7E7" w:rsidR="00452512" w:rsidRPr="008473B0" w:rsidRDefault="00452512" w:rsidP="00452512">
            <w:pPr>
              <w:pStyle w:val="Tableheading"/>
              <w:rPr>
                <w:rFonts w:cstheme="minorHAnsi"/>
                <w:b w:val="0"/>
                <w:sz w:val="20"/>
                <w:szCs w:val="20"/>
              </w:rPr>
            </w:pPr>
            <w:r w:rsidRPr="00452512">
              <w:rPr>
                <w:rFonts w:cstheme="minorHAnsi"/>
                <w:b w:val="0"/>
                <w:sz w:val="20"/>
                <w:szCs w:val="20"/>
              </w:rPr>
              <w:t>3,329 (38.8%)</w:t>
            </w:r>
          </w:p>
        </w:tc>
        <w:tc>
          <w:tcPr>
            <w:tcW w:w="0" w:type="auto"/>
          </w:tcPr>
          <w:p w14:paraId="2FB8C217" w14:textId="6BA9AAA9" w:rsidR="00452512" w:rsidRPr="008473B0" w:rsidRDefault="00452512" w:rsidP="00452512">
            <w:pPr>
              <w:pStyle w:val="Tableheading"/>
              <w:rPr>
                <w:rFonts w:cstheme="minorHAnsi"/>
                <w:b w:val="0"/>
                <w:sz w:val="20"/>
                <w:szCs w:val="20"/>
              </w:rPr>
            </w:pPr>
            <w:r w:rsidRPr="00452512">
              <w:rPr>
                <w:rFonts w:cstheme="minorHAnsi"/>
                <w:b w:val="0"/>
                <w:sz w:val="20"/>
                <w:szCs w:val="20"/>
              </w:rPr>
              <w:t>177 (5.3%)</w:t>
            </w:r>
          </w:p>
        </w:tc>
        <w:tc>
          <w:tcPr>
            <w:tcW w:w="0" w:type="auto"/>
          </w:tcPr>
          <w:p w14:paraId="5DFABFC0" w14:textId="7F8F4862" w:rsidR="00452512" w:rsidRPr="008473B0" w:rsidRDefault="00452512" w:rsidP="00452512">
            <w:pPr>
              <w:pStyle w:val="Tableheading"/>
              <w:rPr>
                <w:rFonts w:cstheme="minorHAnsi"/>
                <w:b w:val="0"/>
                <w:sz w:val="20"/>
                <w:szCs w:val="20"/>
              </w:rPr>
            </w:pPr>
            <w:r w:rsidRPr="00452512">
              <w:rPr>
                <w:rFonts w:cstheme="minorHAnsi"/>
                <w:b w:val="0"/>
                <w:sz w:val="20"/>
                <w:szCs w:val="20"/>
              </w:rPr>
              <w:t>3,152 (94.7%)</w:t>
            </w:r>
          </w:p>
        </w:tc>
      </w:tr>
      <w:tr w:rsidR="00452512" w:rsidRPr="001D0858" w14:paraId="5D089D7D" w14:textId="77777777" w:rsidTr="009F7AE7">
        <w:trPr>
          <w:trHeight w:val="36"/>
        </w:trPr>
        <w:tc>
          <w:tcPr>
            <w:tcW w:w="0" w:type="auto"/>
          </w:tcPr>
          <w:p w14:paraId="11B3818A" w14:textId="77777777" w:rsidR="00452512" w:rsidRDefault="00452512" w:rsidP="00452512">
            <w:pPr>
              <w:pStyle w:val="Tableheading"/>
              <w:jc w:val="left"/>
              <w:rPr>
                <w:rFonts w:cstheme="minorHAnsi"/>
                <w:sz w:val="20"/>
                <w:szCs w:val="20"/>
              </w:rPr>
            </w:pPr>
            <w:r w:rsidRPr="00834A56">
              <w:rPr>
                <w:rFonts w:cstheme="minorHAnsi"/>
                <w:sz w:val="20"/>
                <w:szCs w:val="20"/>
              </w:rPr>
              <w:t>Raloxifene</w:t>
            </w:r>
          </w:p>
        </w:tc>
        <w:tc>
          <w:tcPr>
            <w:tcW w:w="0" w:type="auto"/>
          </w:tcPr>
          <w:p w14:paraId="2E7D3937" w14:textId="413CD6C4" w:rsidR="00452512" w:rsidRPr="008473B0" w:rsidRDefault="00452512" w:rsidP="00452512">
            <w:pPr>
              <w:pStyle w:val="Tableheading"/>
              <w:rPr>
                <w:rFonts w:cstheme="minorHAnsi"/>
                <w:b w:val="0"/>
                <w:sz w:val="20"/>
                <w:szCs w:val="20"/>
              </w:rPr>
            </w:pPr>
            <w:r w:rsidRPr="00452512">
              <w:rPr>
                <w:rFonts w:cstheme="minorHAnsi"/>
                <w:b w:val="0"/>
                <w:sz w:val="20"/>
                <w:szCs w:val="20"/>
              </w:rPr>
              <w:t>152</w:t>
            </w:r>
          </w:p>
        </w:tc>
        <w:tc>
          <w:tcPr>
            <w:tcW w:w="0" w:type="auto"/>
          </w:tcPr>
          <w:p w14:paraId="1508C1A8" w14:textId="2D5C677B" w:rsidR="00452512" w:rsidRPr="008473B0" w:rsidRDefault="00452512" w:rsidP="00452512">
            <w:pPr>
              <w:pStyle w:val="Tableheading"/>
              <w:rPr>
                <w:rFonts w:cstheme="minorHAnsi"/>
                <w:b w:val="0"/>
                <w:sz w:val="20"/>
                <w:szCs w:val="20"/>
              </w:rPr>
            </w:pPr>
            <w:r w:rsidRPr="00452512">
              <w:rPr>
                <w:rFonts w:cstheme="minorHAnsi"/>
                <w:b w:val="0"/>
                <w:sz w:val="20"/>
                <w:szCs w:val="20"/>
              </w:rPr>
              <w:t>125 (82.2%)</w:t>
            </w:r>
          </w:p>
        </w:tc>
        <w:tc>
          <w:tcPr>
            <w:tcW w:w="0" w:type="auto"/>
          </w:tcPr>
          <w:p w14:paraId="0BFA193C" w14:textId="6704F839" w:rsidR="00452512" w:rsidRPr="008473B0" w:rsidRDefault="00452512" w:rsidP="00452512">
            <w:pPr>
              <w:pStyle w:val="Tableheading"/>
              <w:rPr>
                <w:rFonts w:cstheme="minorHAnsi"/>
                <w:b w:val="0"/>
                <w:sz w:val="20"/>
                <w:szCs w:val="20"/>
              </w:rPr>
            </w:pPr>
            <w:r w:rsidRPr="00452512">
              <w:rPr>
                <w:rFonts w:cstheme="minorHAnsi"/>
                <w:b w:val="0"/>
                <w:sz w:val="20"/>
                <w:szCs w:val="20"/>
              </w:rPr>
              <w:t>59 (47.2%)</w:t>
            </w:r>
          </w:p>
        </w:tc>
        <w:tc>
          <w:tcPr>
            <w:tcW w:w="0" w:type="auto"/>
          </w:tcPr>
          <w:p w14:paraId="14A6C60D" w14:textId="36D8C1DA" w:rsidR="00452512" w:rsidRPr="008473B0" w:rsidRDefault="00452512" w:rsidP="00452512">
            <w:pPr>
              <w:pStyle w:val="Tableheading"/>
              <w:rPr>
                <w:rFonts w:cstheme="minorHAnsi"/>
                <w:b w:val="0"/>
                <w:sz w:val="20"/>
                <w:szCs w:val="20"/>
              </w:rPr>
            </w:pPr>
            <w:r w:rsidRPr="00452512">
              <w:rPr>
                <w:rFonts w:cstheme="minorHAnsi"/>
                <w:b w:val="0"/>
                <w:sz w:val="20"/>
                <w:szCs w:val="20"/>
              </w:rPr>
              <w:t>66 (52.8%)</w:t>
            </w:r>
          </w:p>
        </w:tc>
      </w:tr>
      <w:tr w:rsidR="00452512" w:rsidRPr="001D0858" w14:paraId="7AA1E43F" w14:textId="77777777" w:rsidTr="009F7AE7">
        <w:trPr>
          <w:trHeight w:val="36"/>
        </w:trPr>
        <w:tc>
          <w:tcPr>
            <w:tcW w:w="0" w:type="auto"/>
          </w:tcPr>
          <w:p w14:paraId="2E8EAA2A" w14:textId="77777777" w:rsidR="00452512" w:rsidRDefault="00452512" w:rsidP="00452512">
            <w:pPr>
              <w:pStyle w:val="Tableheading"/>
              <w:jc w:val="left"/>
              <w:rPr>
                <w:rFonts w:cstheme="minorHAnsi"/>
                <w:sz w:val="20"/>
                <w:szCs w:val="20"/>
              </w:rPr>
            </w:pPr>
            <w:r w:rsidRPr="00834A56">
              <w:rPr>
                <w:rFonts w:cstheme="minorHAnsi"/>
                <w:sz w:val="20"/>
                <w:szCs w:val="20"/>
              </w:rPr>
              <w:t>Risedronate (incl combination products)</w:t>
            </w:r>
          </w:p>
        </w:tc>
        <w:tc>
          <w:tcPr>
            <w:tcW w:w="0" w:type="auto"/>
          </w:tcPr>
          <w:p w14:paraId="3222DA5C" w14:textId="55BB6F14" w:rsidR="00452512" w:rsidRPr="008473B0" w:rsidRDefault="00452512" w:rsidP="00452512">
            <w:pPr>
              <w:pStyle w:val="Tableheading"/>
              <w:rPr>
                <w:rFonts w:cstheme="minorHAnsi"/>
                <w:b w:val="0"/>
                <w:sz w:val="20"/>
                <w:szCs w:val="20"/>
              </w:rPr>
            </w:pPr>
            <w:r w:rsidRPr="00452512">
              <w:rPr>
                <w:rFonts w:cstheme="minorHAnsi"/>
                <w:b w:val="0"/>
                <w:sz w:val="20"/>
                <w:szCs w:val="20"/>
              </w:rPr>
              <w:t>1</w:t>
            </w:r>
            <w:r w:rsidR="003353D3">
              <w:rPr>
                <w:rFonts w:cstheme="minorHAnsi"/>
                <w:b w:val="0"/>
                <w:sz w:val="20"/>
                <w:szCs w:val="20"/>
              </w:rPr>
              <w:t>,</w:t>
            </w:r>
            <w:r w:rsidRPr="00452512">
              <w:rPr>
                <w:rFonts w:cstheme="minorHAnsi"/>
                <w:b w:val="0"/>
                <w:sz w:val="20"/>
                <w:szCs w:val="20"/>
              </w:rPr>
              <w:t>498</w:t>
            </w:r>
          </w:p>
        </w:tc>
        <w:tc>
          <w:tcPr>
            <w:tcW w:w="0" w:type="auto"/>
          </w:tcPr>
          <w:p w14:paraId="7E1FD1BC" w14:textId="4CFA9600" w:rsidR="00452512" w:rsidRPr="008473B0" w:rsidRDefault="00452512" w:rsidP="00452512">
            <w:pPr>
              <w:pStyle w:val="Tableheading"/>
              <w:rPr>
                <w:rFonts w:cstheme="minorHAnsi"/>
                <w:b w:val="0"/>
                <w:sz w:val="20"/>
                <w:szCs w:val="20"/>
              </w:rPr>
            </w:pPr>
            <w:r w:rsidRPr="00452512">
              <w:rPr>
                <w:rFonts w:cstheme="minorHAnsi"/>
                <w:b w:val="0"/>
                <w:sz w:val="20"/>
                <w:szCs w:val="20"/>
              </w:rPr>
              <w:t>1,227 (81.9%)</w:t>
            </w:r>
          </w:p>
        </w:tc>
        <w:tc>
          <w:tcPr>
            <w:tcW w:w="0" w:type="auto"/>
          </w:tcPr>
          <w:p w14:paraId="25BE2318" w14:textId="44B39306" w:rsidR="00452512" w:rsidRPr="008473B0" w:rsidRDefault="00452512" w:rsidP="00452512">
            <w:pPr>
              <w:pStyle w:val="Tableheading"/>
              <w:rPr>
                <w:rFonts w:cstheme="minorHAnsi"/>
                <w:b w:val="0"/>
                <w:sz w:val="20"/>
                <w:szCs w:val="20"/>
              </w:rPr>
            </w:pPr>
            <w:r w:rsidRPr="00452512">
              <w:rPr>
                <w:rFonts w:cstheme="minorHAnsi"/>
                <w:b w:val="0"/>
                <w:sz w:val="20"/>
                <w:szCs w:val="20"/>
              </w:rPr>
              <w:t>524 (42.7%)</w:t>
            </w:r>
          </w:p>
        </w:tc>
        <w:tc>
          <w:tcPr>
            <w:tcW w:w="0" w:type="auto"/>
          </w:tcPr>
          <w:p w14:paraId="0A5504B2" w14:textId="3491918D" w:rsidR="00452512" w:rsidRPr="008473B0" w:rsidRDefault="00452512" w:rsidP="00452512">
            <w:pPr>
              <w:pStyle w:val="Tableheading"/>
              <w:rPr>
                <w:rFonts w:cstheme="minorHAnsi"/>
                <w:b w:val="0"/>
                <w:sz w:val="20"/>
                <w:szCs w:val="20"/>
              </w:rPr>
            </w:pPr>
            <w:r w:rsidRPr="00452512">
              <w:rPr>
                <w:rFonts w:cstheme="minorHAnsi"/>
                <w:b w:val="0"/>
                <w:sz w:val="20"/>
                <w:szCs w:val="20"/>
              </w:rPr>
              <w:t>703 (57.3%)</w:t>
            </w:r>
          </w:p>
        </w:tc>
      </w:tr>
      <w:tr w:rsidR="00452512" w:rsidRPr="001D0858" w14:paraId="6DC31835" w14:textId="77777777" w:rsidTr="009F7AE7">
        <w:trPr>
          <w:trHeight w:val="36"/>
        </w:trPr>
        <w:tc>
          <w:tcPr>
            <w:tcW w:w="0" w:type="auto"/>
          </w:tcPr>
          <w:p w14:paraId="2FBE3EF2" w14:textId="77777777" w:rsidR="00452512" w:rsidRDefault="00452512" w:rsidP="00452512">
            <w:pPr>
              <w:pStyle w:val="Tableheading"/>
              <w:jc w:val="left"/>
              <w:rPr>
                <w:rFonts w:cstheme="minorHAnsi"/>
                <w:sz w:val="20"/>
                <w:szCs w:val="20"/>
              </w:rPr>
            </w:pPr>
            <w:r w:rsidRPr="00834A56">
              <w:rPr>
                <w:rFonts w:cstheme="minorHAnsi"/>
                <w:sz w:val="20"/>
                <w:szCs w:val="20"/>
              </w:rPr>
              <w:t>Strontium ranelate (delisted August 2016)</w:t>
            </w:r>
          </w:p>
        </w:tc>
        <w:tc>
          <w:tcPr>
            <w:tcW w:w="0" w:type="auto"/>
          </w:tcPr>
          <w:p w14:paraId="30819FB5" w14:textId="0ABCD140" w:rsidR="00452512" w:rsidRPr="008473B0" w:rsidRDefault="00452512" w:rsidP="00452512">
            <w:pPr>
              <w:pStyle w:val="Tableheading"/>
              <w:rPr>
                <w:rFonts w:cstheme="minorHAnsi"/>
                <w:b w:val="0"/>
                <w:sz w:val="20"/>
                <w:szCs w:val="20"/>
              </w:rPr>
            </w:pPr>
            <w:r w:rsidRPr="00452512">
              <w:rPr>
                <w:rFonts w:cstheme="minorHAnsi"/>
                <w:b w:val="0"/>
                <w:sz w:val="20"/>
                <w:szCs w:val="20"/>
              </w:rPr>
              <w:t>295</w:t>
            </w:r>
          </w:p>
        </w:tc>
        <w:tc>
          <w:tcPr>
            <w:tcW w:w="0" w:type="auto"/>
          </w:tcPr>
          <w:p w14:paraId="77D8BBC4" w14:textId="4459604E" w:rsidR="00452512" w:rsidRPr="008473B0" w:rsidRDefault="00452512" w:rsidP="00452512">
            <w:pPr>
              <w:pStyle w:val="Tableheading"/>
              <w:rPr>
                <w:rFonts w:cstheme="minorHAnsi"/>
                <w:b w:val="0"/>
                <w:sz w:val="20"/>
                <w:szCs w:val="20"/>
              </w:rPr>
            </w:pPr>
            <w:r w:rsidRPr="00452512">
              <w:rPr>
                <w:rFonts w:cstheme="minorHAnsi"/>
                <w:b w:val="0"/>
                <w:sz w:val="20"/>
                <w:szCs w:val="20"/>
              </w:rPr>
              <w:t>295 (100.0%)</w:t>
            </w:r>
          </w:p>
        </w:tc>
        <w:tc>
          <w:tcPr>
            <w:tcW w:w="0" w:type="auto"/>
          </w:tcPr>
          <w:p w14:paraId="50A84650" w14:textId="381C31BC" w:rsidR="00452512" w:rsidRPr="008473B0" w:rsidRDefault="00452512" w:rsidP="00452512">
            <w:pPr>
              <w:pStyle w:val="Tableheading"/>
              <w:rPr>
                <w:rFonts w:cstheme="minorHAnsi"/>
                <w:b w:val="0"/>
                <w:sz w:val="20"/>
                <w:szCs w:val="20"/>
              </w:rPr>
            </w:pPr>
            <w:r w:rsidRPr="00452512">
              <w:rPr>
                <w:rFonts w:cstheme="minorHAnsi"/>
                <w:b w:val="0"/>
                <w:sz w:val="20"/>
                <w:szCs w:val="20"/>
              </w:rPr>
              <w:t>172 (58.3%)</w:t>
            </w:r>
          </w:p>
        </w:tc>
        <w:tc>
          <w:tcPr>
            <w:tcW w:w="0" w:type="auto"/>
          </w:tcPr>
          <w:p w14:paraId="629E4B7E" w14:textId="4F89A164" w:rsidR="00452512" w:rsidRPr="008473B0" w:rsidRDefault="00452512" w:rsidP="00452512">
            <w:pPr>
              <w:pStyle w:val="Tableheading"/>
              <w:rPr>
                <w:rFonts w:cstheme="minorHAnsi"/>
                <w:b w:val="0"/>
                <w:sz w:val="20"/>
                <w:szCs w:val="20"/>
              </w:rPr>
            </w:pPr>
            <w:r w:rsidRPr="00452512">
              <w:rPr>
                <w:rFonts w:cstheme="minorHAnsi"/>
                <w:b w:val="0"/>
                <w:sz w:val="20"/>
                <w:szCs w:val="20"/>
              </w:rPr>
              <w:t>123 (41.7%)</w:t>
            </w:r>
          </w:p>
        </w:tc>
      </w:tr>
      <w:tr w:rsidR="00452512" w:rsidRPr="001D0858" w14:paraId="11FFB62A" w14:textId="77777777" w:rsidTr="009F7AE7">
        <w:trPr>
          <w:trHeight w:val="36"/>
        </w:trPr>
        <w:tc>
          <w:tcPr>
            <w:tcW w:w="0" w:type="auto"/>
          </w:tcPr>
          <w:p w14:paraId="7084979F" w14:textId="77777777" w:rsidR="00452512" w:rsidRDefault="00452512" w:rsidP="00452512">
            <w:pPr>
              <w:pStyle w:val="Tableheading"/>
              <w:jc w:val="left"/>
              <w:rPr>
                <w:rFonts w:cstheme="minorHAnsi"/>
                <w:sz w:val="20"/>
                <w:szCs w:val="20"/>
              </w:rPr>
            </w:pPr>
            <w:r w:rsidRPr="00834A56">
              <w:rPr>
                <w:rFonts w:cstheme="minorHAnsi"/>
                <w:sz w:val="20"/>
                <w:szCs w:val="20"/>
              </w:rPr>
              <w:t>Teriparatide</w:t>
            </w:r>
          </w:p>
        </w:tc>
        <w:tc>
          <w:tcPr>
            <w:tcW w:w="0" w:type="auto"/>
          </w:tcPr>
          <w:p w14:paraId="29B99E08" w14:textId="08B43050" w:rsidR="00452512" w:rsidRPr="008473B0" w:rsidRDefault="00452512" w:rsidP="00452512">
            <w:pPr>
              <w:pStyle w:val="Tableheading"/>
              <w:rPr>
                <w:rFonts w:cstheme="minorHAnsi"/>
                <w:b w:val="0"/>
                <w:sz w:val="20"/>
                <w:szCs w:val="20"/>
              </w:rPr>
            </w:pPr>
            <w:r w:rsidRPr="00452512">
              <w:rPr>
                <w:rFonts w:cstheme="minorHAnsi"/>
                <w:b w:val="0"/>
                <w:sz w:val="20"/>
                <w:szCs w:val="20"/>
              </w:rPr>
              <w:t>27</w:t>
            </w:r>
          </w:p>
        </w:tc>
        <w:tc>
          <w:tcPr>
            <w:tcW w:w="0" w:type="auto"/>
          </w:tcPr>
          <w:p w14:paraId="50F068B4" w14:textId="33D0762A" w:rsidR="00452512" w:rsidRPr="008473B0" w:rsidRDefault="00452512" w:rsidP="00452512">
            <w:pPr>
              <w:pStyle w:val="Tableheading"/>
              <w:rPr>
                <w:rFonts w:cstheme="minorHAnsi"/>
                <w:b w:val="0"/>
                <w:sz w:val="20"/>
                <w:szCs w:val="20"/>
              </w:rPr>
            </w:pPr>
            <w:r w:rsidRPr="00452512">
              <w:rPr>
                <w:rFonts w:cstheme="minorHAnsi"/>
                <w:b w:val="0"/>
                <w:sz w:val="20"/>
                <w:szCs w:val="20"/>
              </w:rPr>
              <w:t>27 (100.0%)</w:t>
            </w:r>
          </w:p>
        </w:tc>
        <w:tc>
          <w:tcPr>
            <w:tcW w:w="0" w:type="auto"/>
          </w:tcPr>
          <w:p w14:paraId="31EDAC64" w14:textId="2CACC9FF" w:rsidR="00452512" w:rsidRPr="008473B0" w:rsidRDefault="00452512" w:rsidP="00452512">
            <w:pPr>
              <w:pStyle w:val="Tableheading"/>
              <w:rPr>
                <w:rFonts w:cstheme="minorHAnsi"/>
                <w:b w:val="0"/>
                <w:sz w:val="20"/>
                <w:szCs w:val="20"/>
              </w:rPr>
            </w:pPr>
            <w:r w:rsidRPr="00452512">
              <w:rPr>
                <w:rFonts w:cstheme="minorHAnsi"/>
                <w:b w:val="0"/>
                <w:sz w:val="20"/>
                <w:szCs w:val="20"/>
              </w:rPr>
              <w:t>21 (77.8%)</w:t>
            </w:r>
          </w:p>
        </w:tc>
        <w:tc>
          <w:tcPr>
            <w:tcW w:w="0" w:type="auto"/>
          </w:tcPr>
          <w:p w14:paraId="05FB3A7E" w14:textId="6E016AFE" w:rsidR="00452512" w:rsidRPr="008473B0" w:rsidRDefault="00452512" w:rsidP="00452512">
            <w:pPr>
              <w:pStyle w:val="Tableheading"/>
              <w:rPr>
                <w:rFonts w:cstheme="minorHAnsi"/>
                <w:b w:val="0"/>
                <w:sz w:val="20"/>
                <w:szCs w:val="20"/>
              </w:rPr>
            </w:pPr>
            <w:r w:rsidRPr="00452512">
              <w:rPr>
                <w:rFonts w:cstheme="minorHAnsi"/>
                <w:b w:val="0"/>
                <w:sz w:val="20"/>
                <w:szCs w:val="20"/>
              </w:rPr>
              <w:t>6 (22.2%)</w:t>
            </w:r>
          </w:p>
        </w:tc>
      </w:tr>
      <w:tr w:rsidR="00452512" w:rsidRPr="001D0858" w14:paraId="25562620" w14:textId="77777777" w:rsidTr="009F7AE7">
        <w:trPr>
          <w:trHeight w:val="36"/>
        </w:trPr>
        <w:tc>
          <w:tcPr>
            <w:tcW w:w="0" w:type="auto"/>
          </w:tcPr>
          <w:p w14:paraId="19FC1A30" w14:textId="77777777" w:rsidR="00452512" w:rsidRDefault="00452512" w:rsidP="00452512">
            <w:pPr>
              <w:pStyle w:val="Tableheading"/>
              <w:jc w:val="left"/>
              <w:rPr>
                <w:rFonts w:cstheme="minorHAnsi"/>
                <w:sz w:val="20"/>
                <w:szCs w:val="20"/>
              </w:rPr>
            </w:pPr>
            <w:r w:rsidRPr="00834A56">
              <w:rPr>
                <w:rFonts w:cstheme="minorHAnsi"/>
                <w:sz w:val="20"/>
                <w:szCs w:val="20"/>
              </w:rPr>
              <w:t>Zoledronic acid</w:t>
            </w:r>
          </w:p>
        </w:tc>
        <w:tc>
          <w:tcPr>
            <w:tcW w:w="0" w:type="auto"/>
          </w:tcPr>
          <w:p w14:paraId="77856E5D" w14:textId="12A13A45" w:rsidR="00452512" w:rsidRPr="008473B0" w:rsidRDefault="00452512" w:rsidP="00452512">
            <w:pPr>
              <w:pStyle w:val="Tableheading"/>
              <w:rPr>
                <w:rFonts w:cstheme="minorHAnsi"/>
                <w:b w:val="0"/>
                <w:sz w:val="20"/>
                <w:szCs w:val="20"/>
              </w:rPr>
            </w:pPr>
            <w:r w:rsidRPr="00452512">
              <w:rPr>
                <w:rFonts w:cstheme="minorHAnsi"/>
                <w:b w:val="0"/>
                <w:sz w:val="20"/>
                <w:szCs w:val="20"/>
              </w:rPr>
              <w:t>1</w:t>
            </w:r>
            <w:r w:rsidR="003353D3">
              <w:rPr>
                <w:rFonts w:cstheme="minorHAnsi"/>
                <w:b w:val="0"/>
                <w:sz w:val="20"/>
                <w:szCs w:val="20"/>
              </w:rPr>
              <w:t>,</w:t>
            </w:r>
            <w:r w:rsidRPr="00452512">
              <w:rPr>
                <w:rFonts w:cstheme="minorHAnsi"/>
                <w:b w:val="0"/>
                <w:sz w:val="20"/>
                <w:szCs w:val="20"/>
              </w:rPr>
              <w:t>104</w:t>
            </w:r>
          </w:p>
        </w:tc>
        <w:tc>
          <w:tcPr>
            <w:tcW w:w="0" w:type="auto"/>
          </w:tcPr>
          <w:p w14:paraId="54E7D833" w14:textId="5F51FD53" w:rsidR="00452512" w:rsidRPr="008473B0" w:rsidRDefault="00452512" w:rsidP="00452512">
            <w:pPr>
              <w:pStyle w:val="Tableheading"/>
              <w:rPr>
                <w:rFonts w:cstheme="minorHAnsi"/>
                <w:b w:val="0"/>
                <w:sz w:val="20"/>
                <w:szCs w:val="20"/>
              </w:rPr>
            </w:pPr>
            <w:r w:rsidRPr="00452512">
              <w:rPr>
                <w:rFonts w:cstheme="minorHAnsi"/>
                <w:b w:val="0"/>
                <w:sz w:val="20"/>
                <w:szCs w:val="20"/>
              </w:rPr>
              <w:t>940 (85.1%)</w:t>
            </w:r>
          </w:p>
        </w:tc>
        <w:tc>
          <w:tcPr>
            <w:tcW w:w="0" w:type="auto"/>
          </w:tcPr>
          <w:p w14:paraId="5D5E0474" w14:textId="7BCE0729" w:rsidR="00452512" w:rsidRPr="008473B0" w:rsidRDefault="00452512" w:rsidP="00452512">
            <w:pPr>
              <w:pStyle w:val="Tableheading"/>
              <w:rPr>
                <w:rFonts w:cstheme="minorHAnsi"/>
                <w:b w:val="0"/>
                <w:sz w:val="20"/>
                <w:szCs w:val="20"/>
              </w:rPr>
            </w:pPr>
            <w:r w:rsidRPr="00452512">
              <w:rPr>
                <w:rFonts w:cstheme="minorHAnsi"/>
                <w:b w:val="0"/>
                <w:sz w:val="20"/>
                <w:szCs w:val="20"/>
              </w:rPr>
              <w:t>346 (36.8%)</w:t>
            </w:r>
          </w:p>
        </w:tc>
        <w:tc>
          <w:tcPr>
            <w:tcW w:w="0" w:type="auto"/>
          </w:tcPr>
          <w:p w14:paraId="7ADDAD81" w14:textId="4772812B" w:rsidR="00452512" w:rsidRPr="008473B0" w:rsidRDefault="00452512" w:rsidP="00452512">
            <w:pPr>
              <w:pStyle w:val="Tableheading"/>
              <w:rPr>
                <w:rFonts w:cstheme="minorHAnsi"/>
                <w:b w:val="0"/>
                <w:sz w:val="20"/>
                <w:szCs w:val="20"/>
              </w:rPr>
            </w:pPr>
            <w:r w:rsidRPr="00452512">
              <w:rPr>
                <w:rFonts w:cstheme="minorHAnsi"/>
                <w:b w:val="0"/>
                <w:sz w:val="20"/>
                <w:szCs w:val="20"/>
              </w:rPr>
              <w:t>594 (63.2%)</w:t>
            </w:r>
          </w:p>
        </w:tc>
      </w:tr>
      <w:tr w:rsidR="00E86FFC" w:rsidRPr="001D0858" w14:paraId="234F0A84" w14:textId="77777777" w:rsidTr="009F7AE7">
        <w:trPr>
          <w:trHeight w:val="36"/>
        </w:trPr>
        <w:tc>
          <w:tcPr>
            <w:tcW w:w="0" w:type="auto"/>
          </w:tcPr>
          <w:p w14:paraId="750161A1" w14:textId="77777777" w:rsidR="00E86FFC" w:rsidRPr="00834A56" w:rsidRDefault="00E86FFC" w:rsidP="00D069E4">
            <w:pPr>
              <w:pStyle w:val="Tableheading"/>
              <w:jc w:val="left"/>
              <w:rPr>
                <w:rFonts w:cstheme="minorHAnsi"/>
                <w:sz w:val="20"/>
                <w:szCs w:val="20"/>
              </w:rPr>
            </w:pPr>
            <w:r w:rsidRPr="00834A56">
              <w:rPr>
                <w:rFonts w:cstheme="minorHAnsi"/>
                <w:sz w:val="20"/>
                <w:szCs w:val="20"/>
              </w:rPr>
              <w:t>Total</w:t>
            </w:r>
          </w:p>
        </w:tc>
        <w:tc>
          <w:tcPr>
            <w:tcW w:w="0" w:type="auto"/>
          </w:tcPr>
          <w:p w14:paraId="510B4CAE" w14:textId="4E45210A" w:rsidR="00E86FFC" w:rsidRPr="008473B0" w:rsidRDefault="00C3460C" w:rsidP="00D069E4">
            <w:pPr>
              <w:pStyle w:val="Tableheading"/>
              <w:rPr>
                <w:rFonts w:cstheme="minorHAnsi"/>
                <w:b w:val="0"/>
                <w:sz w:val="20"/>
                <w:szCs w:val="20"/>
              </w:rPr>
            </w:pPr>
            <w:r>
              <w:rPr>
                <w:rFonts w:cstheme="minorHAnsi"/>
                <w:b w:val="0"/>
                <w:sz w:val="20"/>
                <w:szCs w:val="20"/>
              </w:rPr>
              <w:t>15</w:t>
            </w:r>
            <w:r w:rsidR="003353D3">
              <w:rPr>
                <w:rFonts w:cstheme="minorHAnsi"/>
                <w:b w:val="0"/>
                <w:sz w:val="20"/>
                <w:szCs w:val="20"/>
              </w:rPr>
              <w:t>,</w:t>
            </w:r>
            <w:r>
              <w:rPr>
                <w:rFonts w:cstheme="minorHAnsi"/>
                <w:b w:val="0"/>
                <w:sz w:val="20"/>
                <w:szCs w:val="20"/>
              </w:rPr>
              <w:t>323</w:t>
            </w:r>
          </w:p>
        </w:tc>
        <w:tc>
          <w:tcPr>
            <w:tcW w:w="0" w:type="auto"/>
          </w:tcPr>
          <w:p w14:paraId="39899E55" w14:textId="21902815" w:rsidR="00E86FFC" w:rsidRPr="008473B0" w:rsidRDefault="00445480" w:rsidP="00D069E4">
            <w:pPr>
              <w:pStyle w:val="Tableheading"/>
              <w:rPr>
                <w:rFonts w:cstheme="minorHAnsi"/>
                <w:b w:val="0"/>
                <w:sz w:val="20"/>
                <w:szCs w:val="20"/>
              </w:rPr>
            </w:pPr>
            <w:r>
              <w:rPr>
                <w:rFonts w:cstheme="minorHAnsi"/>
                <w:b w:val="0"/>
                <w:sz w:val="20"/>
                <w:szCs w:val="20"/>
              </w:rPr>
              <w:t>8</w:t>
            </w:r>
            <w:r w:rsidR="003353D3">
              <w:rPr>
                <w:rFonts w:cstheme="minorHAnsi"/>
                <w:b w:val="0"/>
                <w:sz w:val="20"/>
                <w:szCs w:val="20"/>
              </w:rPr>
              <w:t>,</w:t>
            </w:r>
            <w:r>
              <w:rPr>
                <w:rFonts w:cstheme="minorHAnsi"/>
                <w:b w:val="0"/>
                <w:sz w:val="20"/>
                <w:szCs w:val="20"/>
              </w:rPr>
              <w:t>904</w:t>
            </w:r>
            <w:r w:rsidR="00034BC0">
              <w:rPr>
                <w:rFonts w:cstheme="minorHAnsi"/>
                <w:b w:val="0"/>
                <w:sz w:val="20"/>
                <w:szCs w:val="20"/>
              </w:rPr>
              <w:t xml:space="preserve"> (58.1%)</w:t>
            </w:r>
          </w:p>
        </w:tc>
        <w:tc>
          <w:tcPr>
            <w:tcW w:w="0" w:type="auto"/>
          </w:tcPr>
          <w:p w14:paraId="6F8BE4AA" w14:textId="2B606674" w:rsidR="00E86FFC" w:rsidRPr="008473B0" w:rsidRDefault="007E4C4E" w:rsidP="00D069E4">
            <w:pPr>
              <w:pStyle w:val="Tableheading"/>
              <w:rPr>
                <w:rFonts w:cstheme="minorHAnsi"/>
                <w:b w:val="0"/>
                <w:sz w:val="20"/>
                <w:szCs w:val="20"/>
              </w:rPr>
            </w:pPr>
            <w:r>
              <w:rPr>
                <w:rFonts w:cstheme="minorHAnsi"/>
                <w:b w:val="0"/>
                <w:sz w:val="20"/>
                <w:szCs w:val="20"/>
              </w:rPr>
              <w:t>1</w:t>
            </w:r>
            <w:r w:rsidR="003353D3">
              <w:rPr>
                <w:rFonts w:cstheme="minorHAnsi"/>
                <w:b w:val="0"/>
                <w:sz w:val="20"/>
                <w:szCs w:val="20"/>
              </w:rPr>
              <w:t>,</w:t>
            </w:r>
            <w:r>
              <w:rPr>
                <w:rFonts w:cstheme="minorHAnsi"/>
                <w:b w:val="0"/>
                <w:sz w:val="20"/>
                <w:szCs w:val="20"/>
              </w:rPr>
              <w:t>907</w:t>
            </w:r>
            <w:r w:rsidR="008F2F20">
              <w:rPr>
                <w:rFonts w:cstheme="minorHAnsi"/>
                <w:b w:val="0"/>
                <w:sz w:val="20"/>
                <w:szCs w:val="20"/>
              </w:rPr>
              <w:t xml:space="preserve"> (21.4%)</w:t>
            </w:r>
          </w:p>
        </w:tc>
        <w:tc>
          <w:tcPr>
            <w:tcW w:w="0" w:type="auto"/>
          </w:tcPr>
          <w:p w14:paraId="64D03A07" w14:textId="1D67634C" w:rsidR="00E86FFC" w:rsidRPr="008473B0" w:rsidRDefault="00B916E2" w:rsidP="00D069E4">
            <w:pPr>
              <w:pStyle w:val="Tableheading"/>
              <w:rPr>
                <w:rFonts w:cstheme="minorHAnsi"/>
                <w:b w:val="0"/>
                <w:sz w:val="20"/>
                <w:szCs w:val="20"/>
              </w:rPr>
            </w:pPr>
            <w:r>
              <w:rPr>
                <w:rFonts w:cstheme="minorHAnsi"/>
                <w:b w:val="0"/>
                <w:sz w:val="20"/>
                <w:szCs w:val="20"/>
              </w:rPr>
              <w:t>6</w:t>
            </w:r>
            <w:r w:rsidR="003353D3">
              <w:rPr>
                <w:rFonts w:cstheme="minorHAnsi"/>
                <w:b w:val="0"/>
                <w:sz w:val="20"/>
                <w:szCs w:val="20"/>
              </w:rPr>
              <w:t>,</w:t>
            </w:r>
            <w:r>
              <w:rPr>
                <w:rFonts w:cstheme="minorHAnsi"/>
                <w:b w:val="0"/>
                <w:sz w:val="20"/>
                <w:szCs w:val="20"/>
              </w:rPr>
              <w:t>997</w:t>
            </w:r>
            <w:r w:rsidR="003353D3">
              <w:rPr>
                <w:rFonts w:cstheme="minorHAnsi"/>
                <w:b w:val="0"/>
                <w:sz w:val="20"/>
                <w:szCs w:val="20"/>
              </w:rPr>
              <w:t xml:space="preserve"> (78.6%)</w:t>
            </w:r>
          </w:p>
        </w:tc>
      </w:tr>
    </w:tbl>
    <w:p w14:paraId="2A5339FA" w14:textId="732BC5D4" w:rsidR="00A20BC9" w:rsidRDefault="00A20BC9" w:rsidP="00E86FFC"/>
    <w:p w14:paraId="71514954" w14:textId="77777777" w:rsidR="00A20BC9" w:rsidRDefault="00A20BC9">
      <w:pPr>
        <w:spacing w:line="276" w:lineRule="auto"/>
      </w:pPr>
      <w:r>
        <w:br w:type="page"/>
      </w:r>
    </w:p>
    <w:p w14:paraId="6802AAFC" w14:textId="0FB52EE1" w:rsidR="009D07DA" w:rsidRPr="00812493" w:rsidRDefault="00812493" w:rsidP="00812493">
      <w:pPr>
        <w:pStyle w:val="Heading3"/>
        <w:rPr>
          <w:sz w:val="28"/>
        </w:rPr>
      </w:pPr>
      <w:r w:rsidRPr="00812493">
        <w:rPr>
          <w:sz w:val="28"/>
        </w:rPr>
        <w:lastRenderedPageBreak/>
        <w:t>MedicineInsight Data</w:t>
      </w:r>
    </w:p>
    <w:p w14:paraId="746E5DF0" w14:textId="77777777" w:rsidR="00812493" w:rsidRPr="00812493" w:rsidRDefault="00812493" w:rsidP="00812493">
      <w:pPr>
        <w:pStyle w:val="Heading4"/>
        <w:rPr>
          <w:sz w:val="24"/>
        </w:rPr>
      </w:pPr>
      <w:r w:rsidRPr="00812493">
        <w:rPr>
          <w:sz w:val="24"/>
        </w:rPr>
        <w:t>Baseline population</w:t>
      </w:r>
    </w:p>
    <w:p w14:paraId="4916C748" w14:textId="77777777" w:rsidR="00812493" w:rsidRDefault="00812493" w:rsidP="00812493">
      <w:r>
        <w:t>There were 896,548 regularly attending patients from 445 practice sites</w:t>
      </w:r>
      <w:r>
        <w:rPr>
          <w:rStyle w:val="FootnoteReference"/>
        </w:rPr>
        <w:footnoteReference w:id="16"/>
      </w:r>
      <w:r>
        <w:t xml:space="preserve">, comprising 506 active practices, who were eligible for inclusion in the regular patient prevalence study (study period January 2018 to December 2019). </w:t>
      </w:r>
    </w:p>
    <w:p w14:paraId="09E8022E" w14:textId="77777777" w:rsidR="00812493" w:rsidRPr="00F00232" w:rsidRDefault="00812493" w:rsidP="00812493">
      <w:r>
        <w:t>There were 1,073,261</w:t>
      </w:r>
      <w:r w:rsidRPr="00925E0B">
        <w:t xml:space="preserve"> patients from 44</w:t>
      </w:r>
      <w:r>
        <w:t>4</w:t>
      </w:r>
      <w:r w:rsidRPr="00925E0B">
        <w:t xml:space="preserve"> practice sites, comprising 50</w:t>
      </w:r>
      <w:r>
        <w:t>5</w:t>
      </w:r>
      <w:r w:rsidRPr="00925E0B">
        <w:t xml:space="preserve"> active practices, who were eligible for inclusion in the </w:t>
      </w:r>
      <w:r>
        <w:t xml:space="preserve">historical osteoporosis </w:t>
      </w:r>
      <w:r w:rsidRPr="00925E0B">
        <w:t>study</w:t>
      </w:r>
      <w:r>
        <w:t xml:space="preserve"> </w:t>
      </w:r>
      <w:r w:rsidRPr="00925E0B">
        <w:t>(</w:t>
      </w:r>
      <w:r>
        <w:t>had had least</w:t>
      </w:r>
      <w:r w:rsidRPr="00FB2C2D">
        <w:t xml:space="preserve"> three clinical encounters during the </w:t>
      </w:r>
      <w:r w:rsidRPr="00925E0B">
        <w:t>study period January 201</w:t>
      </w:r>
      <w:r>
        <w:t>4</w:t>
      </w:r>
      <w:r w:rsidRPr="00925E0B">
        <w:t xml:space="preserve"> to December 201</w:t>
      </w:r>
      <w:r>
        <w:t>7</w:t>
      </w:r>
      <w:r w:rsidRPr="00925E0B">
        <w:t>).</w:t>
      </w:r>
    </w:p>
    <w:p w14:paraId="24A85D34" w14:textId="77777777" w:rsidR="00812493" w:rsidRPr="00812493" w:rsidRDefault="00812493" w:rsidP="00812493">
      <w:pPr>
        <w:pStyle w:val="Heading4"/>
        <w:rPr>
          <w:sz w:val="24"/>
        </w:rPr>
      </w:pPr>
      <w:r w:rsidRPr="00812493">
        <w:rPr>
          <w:sz w:val="24"/>
        </w:rPr>
        <w:t>Prevalence of osteoporosis in general practice patients</w:t>
      </w:r>
    </w:p>
    <w:p w14:paraId="6A0C5A19" w14:textId="4317928C" w:rsidR="00812493" w:rsidRDefault="00812493" w:rsidP="00812493">
      <w:r>
        <w:t xml:space="preserve">Among eligible regularly attending patients aged 50 years or older in the Jan 2018–Dec 2019 period (regular patient prevalence study), 13.6% had a record of osteoporosis at some point </w:t>
      </w:r>
      <w:r w:rsidR="009F5420">
        <w:t>in their medical record (Table 24</w:t>
      </w:r>
      <w:r>
        <w:t>). This is similar to that reported by Naik-Panvelkar (12.4%).</w:t>
      </w:r>
    </w:p>
    <w:p w14:paraId="76E9527C" w14:textId="77777777" w:rsidR="00812493" w:rsidRDefault="00812493" w:rsidP="00812493">
      <w:r>
        <w:t xml:space="preserve">As expected, the patient prevalence of osteoporosis was higher in women </w:t>
      </w:r>
      <w:r w:rsidRPr="00513940">
        <w:t xml:space="preserve">with an estimated prevalence ratio in </w:t>
      </w:r>
      <w:r>
        <w:t xml:space="preserve">general practice of </w:t>
      </w:r>
      <w:r w:rsidRPr="00513940">
        <w:t>3.</w:t>
      </w:r>
      <w:r>
        <w:t>1</w:t>
      </w:r>
      <w:r w:rsidRPr="00513940">
        <w:t>:1 for people over 50 years (6</w:t>
      </w:r>
      <w:r>
        <w:t>.3</w:t>
      </w:r>
      <w:r w:rsidRPr="00513940">
        <w:t xml:space="preserve">% of men and </w:t>
      </w:r>
      <w:r>
        <w:t>19.5</w:t>
      </w:r>
      <w:r w:rsidRPr="00513940">
        <w:t>% of women).</w:t>
      </w:r>
    </w:p>
    <w:p w14:paraId="700E6457" w14:textId="747D4294" w:rsidR="00812493" w:rsidRDefault="00812493" w:rsidP="00812493">
      <w:r>
        <w:t>Patient prevalence of osteoporosis rose with increasi</w:t>
      </w:r>
      <w:r w:rsidR="009F5420">
        <w:t>ng age in both sexes (Table 24</w:t>
      </w:r>
      <w:r>
        <w:t>; Figure 1</w:t>
      </w:r>
      <w:r w:rsidR="00337E96">
        <w:t>1</w:t>
      </w:r>
      <w:r>
        <w:t>). Just over a third of female patients aged 70+ years had a recorded diagnosis of osteoporosis compared with 13.2% of men of the same age.</w:t>
      </w:r>
    </w:p>
    <w:p w14:paraId="732C6333" w14:textId="4AAADF5F" w:rsidR="00812493" w:rsidRDefault="009F5420" w:rsidP="00812493">
      <w:pPr>
        <w:pStyle w:val="Tabletitle"/>
      </w:pPr>
      <w:r>
        <w:t>Table 24</w:t>
      </w:r>
      <w:r w:rsidR="00812493">
        <w:t>: Patient prevalence of recorded osteoporosis in the Jan 2018–Dec 2019 (prevalence study population) and the Jan 2014–Dec 2017 (osteoporosis study population) by age and sex</w:t>
      </w:r>
    </w:p>
    <w:tbl>
      <w:tblPr>
        <w:tblStyle w:val="TableGrid"/>
        <w:tblW w:w="0" w:type="auto"/>
        <w:tblLayout w:type="fixed"/>
        <w:tblLook w:val="04A0" w:firstRow="1" w:lastRow="0" w:firstColumn="1" w:lastColumn="0" w:noHBand="0" w:noVBand="1"/>
        <w:tblCaption w:val="Table 8: Patient prevalence of recorded osteoporosis in the Jan 2018–Dec 2019 (prevalence study population) and the Jan 2014–Dec 2017 (osteoporosis study population) by age and sex"/>
      </w:tblPr>
      <w:tblGrid>
        <w:gridCol w:w="1413"/>
        <w:gridCol w:w="992"/>
        <w:gridCol w:w="1429"/>
        <w:gridCol w:w="1278"/>
        <w:gridCol w:w="1120"/>
        <w:gridCol w:w="1436"/>
        <w:gridCol w:w="1279"/>
      </w:tblGrid>
      <w:tr w:rsidR="00812493" w:rsidRPr="001D0858" w14:paraId="597A7A5B" w14:textId="77777777" w:rsidTr="00A41887">
        <w:trPr>
          <w:trHeight w:val="20"/>
          <w:tblHeader/>
        </w:trPr>
        <w:tc>
          <w:tcPr>
            <w:tcW w:w="1413" w:type="dxa"/>
            <w:vMerge w:val="restart"/>
            <w:shd w:val="clear" w:color="auto" w:fill="BFBFBF" w:themeFill="background1" w:themeFillShade="BF"/>
          </w:tcPr>
          <w:p w14:paraId="08E696A3" w14:textId="77777777" w:rsidR="00812493" w:rsidRPr="001D0858" w:rsidRDefault="00812493" w:rsidP="00A41887">
            <w:pPr>
              <w:pStyle w:val="Tableheading"/>
              <w:rPr>
                <w:sz w:val="20"/>
                <w:szCs w:val="20"/>
              </w:rPr>
            </w:pPr>
          </w:p>
        </w:tc>
        <w:tc>
          <w:tcPr>
            <w:tcW w:w="3699" w:type="dxa"/>
            <w:gridSpan w:val="3"/>
            <w:shd w:val="clear" w:color="auto" w:fill="BFBFBF" w:themeFill="background1" w:themeFillShade="BF"/>
          </w:tcPr>
          <w:p w14:paraId="112DAF7A" w14:textId="77777777" w:rsidR="00812493" w:rsidRPr="001D0858" w:rsidRDefault="00812493" w:rsidP="00A41887">
            <w:pPr>
              <w:pStyle w:val="Tableheading"/>
              <w:rPr>
                <w:sz w:val="20"/>
                <w:szCs w:val="20"/>
              </w:rPr>
            </w:pPr>
            <w:r>
              <w:rPr>
                <w:sz w:val="20"/>
                <w:szCs w:val="20"/>
              </w:rPr>
              <w:t>Regular patient prevalence study (3 visits between Jan 2018–Dec 2019)</w:t>
            </w:r>
          </w:p>
        </w:tc>
        <w:tc>
          <w:tcPr>
            <w:tcW w:w="3835" w:type="dxa"/>
            <w:gridSpan w:val="3"/>
            <w:shd w:val="clear" w:color="auto" w:fill="BFBFBF" w:themeFill="background1" w:themeFillShade="BF"/>
          </w:tcPr>
          <w:p w14:paraId="20B1A102" w14:textId="77777777" w:rsidR="00812493" w:rsidRPr="001D0858" w:rsidRDefault="00812493" w:rsidP="00A41887">
            <w:pPr>
              <w:pStyle w:val="Tableheading"/>
              <w:rPr>
                <w:sz w:val="20"/>
                <w:szCs w:val="20"/>
              </w:rPr>
            </w:pPr>
            <w:r>
              <w:rPr>
                <w:sz w:val="20"/>
                <w:szCs w:val="20"/>
              </w:rPr>
              <w:t>Historical osteoporosis study (3 visits between Jan 2014–Dec 2017)</w:t>
            </w:r>
          </w:p>
        </w:tc>
      </w:tr>
      <w:tr w:rsidR="00812493" w:rsidRPr="001D0858" w14:paraId="464D9603" w14:textId="77777777" w:rsidTr="00A41887">
        <w:trPr>
          <w:trHeight w:val="20"/>
          <w:tblHeader/>
        </w:trPr>
        <w:tc>
          <w:tcPr>
            <w:tcW w:w="1413" w:type="dxa"/>
            <w:vMerge/>
            <w:shd w:val="clear" w:color="auto" w:fill="BFBFBF" w:themeFill="background1" w:themeFillShade="BF"/>
          </w:tcPr>
          <w:p w14:paraId="4AB4CA7A" w14:textId="77777777" w:rsidR="00812493" w:rsidRDefault="00812493" w:rsidP="00A41887">
            <w:pPr>
              <w:pStyle w:val="Tableheading"/>
              <w:rPr>
                <w:sz w:val="20"/>
                <w:szCs w:val="20"/>
              </w:rPr>
            </w:pPr>
          </w:p>
        </w:tc>
        <w:tc>
          <w:tcPr>
            <w:tcW w:w="992" w:type="dxa"/>
            <w:shd w:val="clear" w:color="auto" w:fill="BFBFBF" w:themeFill="background1" w:themeFillShade="BF"/>
          </w:tcPr>
          <w:p w14:paraId="14C886DC" w14:textId="77777777" w:rsidR="00812493" w:rsidRPr="001D0858" w:rsidRDefault="00812493" w:rsidP="00A41887">
            <w:pPr>
              <w:pStyle w:val="Tableheading"/>
              <w:rPr>
                <w:sz w:val="20"/>
                <w:szCs w:val="20"/>
              </w:rPr>
            </w:pPr>
            <w:r>
              <w:rPr>
                <w:sz w:val="20"/>
                <w:szCs w:val="20"/>
              </w:rPr>
              <w:t>No. eligible patients</w:t>
            </w:r>
          </w:p>
        </w:tc>
        <w:tc>
          <w:tcPr>
            <w:tcW w:w="1429" w:type="dxa"/>
            <w:shd w:val="clear" w:color="auto" w:fill="BFBFBF" w:themeFill="background1" w:themeFillShade="BF"/>
          </w:tcPr>
          <w:p w14:paraId="6BEA65E9" w14:textId="77777777" w:rsidR="00812493" w:rsidRPr="001D0858" w:rsidRDefault="00812493" w:rsidP="00A41887">
            <w:pPr>
              <w:pStyle w:val="Tableheading"/>
              <w:rPr>
                <w:sz w:val="20"/>
                <w:szCs w:val="20"/>
              </w:rPr>
            </w:pPr>
            <w:r>
              <w:rPr>
                <w:sz w:val="20"/>
                <w:szCs w:val="20"/>
              </w:rPr>
              <w:t>No. patients with record of osteoporosis</w:t>
            </w:r>
          </w:p>
        </w:tc>
        <w:tc>
          <w:tcPr>
            <w:tcW w:w="1278" w:type="dxa"/>
            <w:shd w:val="clear" w:color="auto" w:fill="BFBFBF" w:themeFill="background1" w:themeFillShade="BF"/>
          </w:tcPr>
          <w:p w14:paraId="1A547A22" w14:textId="77777777" w:rsidR="00812493" w:rsidRPr="001D0858" w:rsidRDefault="00812493" w:rsidP="00A41887">
            <w:pPr>
              <w:pStyle w:val="Tableheading"/>
              <w:rPr>
                <w:sz w:val="20"/>
                <w:szCs w:val="20"/>
              </w:rPr>
            </w:pPr>
            <w:r>
              <w:rPr>
                <w:sz w:val="20"/>
                <w:szCs w:val="20"/>
              </w:rPr>
              <w:t>% (95% CI)</w:t>
            </w:r>
          </w:p>
        </w:tc>
        <w:tc>
          <w:tcPr>
            <w:tcW w:w="1120" w:type="dxa"/>
            <w:shd w:val="clear" w:color="auto" w:fill="BFBFBF" w:themeFill="background1" w:themeFillShade="BF"/>
          </w:tcPr>
          <w:p w14:paraId="35DE1FC7" w14:textId="77777777" w:rsidR="00812493" w:rsidRPr="001D0858" w:rsidRDefault="00812493" w:rsidP="00A41887">
            <w:pPr>
              <w:pStyle w:val="Tableheading"/>
              <w:rPr>
                <w:sz w:val="20"/>
                <w:szCs w:val="20"/>
              </w:rPr>
            </w:pPr>
            <w:r>
              <w:rPr>
                <w:sz w:val="20"/>
                <w:szCs w:val="20"/>
              </w:rPr>
              <w:t>No. eligible patients</w:t>
            </w:r>
          </w:p>
        </w:tc>
        <w:tc>
          <w:tcPr>
            <w:tcW w:w="1436" w:type="dxa"/>
            <w:shd w:val="clear" w:color="auto" w:fill="BFBFBF" w:themeFill="background1" w:themeFillShade="BF"/>
          </w:tcPr>
          <w:p w14:paraId="2575DC54" w14:textId="77777777" w:rsidR="00812493" w:rsidRPr="001D0858" w:rsidRDefault="00812493" w:rsidP="00A41887">
            <w:pPr>
              <w:pStyle w:val="Tableheading"/>
              <w:rPr>
                <w:sz w:val="20"/>
                <w:szCs w:val="20"/>
              </w:rPr>
            </w:pPr>
            <w:r>
              <w:rPr>
                <w:sz w:val="20"/>
                <w:szCs w:val="20"/>
              </w:rPr>
              <w:t>No. patients with record of osteoporosis</w:t>
            </w:r>
          </w:p>
        </w:tc>
        <w:tc>
          <w:tcPr>
            <w:tcW w:w="1279" w:type="dxa"/>
            <w:shd w:val="clear" w:color="auto" w:fill="BFBFBF" w:themeFill="background1" w:themeFillShade="BF"/>
          </w:tcPr>
          <w:p w14:paraId="35923D7C" w14:textId="77777777" w:rsidR="00812493" w:rsidRPr="001D0858" w:rsidRDefault="00812493" w:rsidP="00A41887">
            <w:pPr>
              <w:pStyle w:val="Tableheading"/>
              <w:rPr>
                <w:sz w:val="20"/>
                <w:szCs w:val="20"/>
              </w:rPr>
            </w:pPr>
            <w:r>
              <w:rPr>
                <w:sz w:val="20"/>
                <w:szCs w:val="20"/>
              </w:rPr>
              <w:t>% (95% CI)</w:t>
            </w:r>
          </w:p>
        </w:tc>
      </w:tr>
      <w:tr w:rsidR="00812493" w:rsidRPr="001D0858" w14:paraId="06D7613E" w14:textId="77777777" w:rsidTr="00A41887">
        <w:trPr>
          <w:trHeight w:val="20"/>
        </w:trPr>
        <w:tc>
          <w:tcPr>
            <w:tcW w:w="1413" w:type="dxa"/>
          </w:tcPr>
          <w:p w14:paraId="2980D45F" w14:textId="77777777" w:rsidR="00812493" w:rsidRPr="00C11A25" w:rsidRDefault="00812493" w:rsidP="00A41887">
            <w:pPr>
              <w:pStyle w:val="Tableheading"/>
              <w:rPr>
                <w:rFonts w:cstheme="minorHAnsi"/>
                <w:sz w:val="20"/>
                <w:szCs w:val="20"/>
              </w:rPr>
            </w:pPr>
            <w:r w:rsidRPr="00C11A25">
              <w:rPr>
                <w:rFonts w:cstheme="minorHAnsi"/>
                <w:sz w:val="20"/>
                <w:szCs w:val="20"/>
              </w:rPr>
              <w:t>Total</w:t>
            </w:r>
          </w:p>
        </w:tc>
        <w:tc>
          <w:tcPr>
            <w:tcW w:w="992" w:type="dxa"/>
          </w:tcPr>
          <w:p w14:paraId="4E600DD6"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896,648</w:t>
            </w:r>
          </w:p>
        </w:tc>
        <w:tc>
          <w:tcPr>
            <w:tcW w:w="1429" w:type="dxa"/>
          </w:tcPr>
          <w:p w14:paraId="55FFB5F7"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121,598</w:t>
            </w:r>
          </w:p>
        </w:tc>
        <w:tc>
          <w:tcPr>
            <w:tcW w:w="1278" w:type="dxa"/>
          </w:tcPr>
          <w:p w14:paraId="4DF49BCC"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13.6 (</w:t>
            </w:r>
            <w:bookmarkStart w:id="6" w:name="_Hlk47708537"/>
            <w:r w:rsidRPr="000F2789">
              <w:rPr>
                <w:rFonts w:cstheme="minorHAnsi"/>
                <w:b w:val="0"/>
                <w:sz w:val="20"/>
                <w:szCs w:val="20"/>
              </w:rPr>
              <w:t>13.0–14.1</w:t>
            </w:r>
            <w:bookmarkEnd w:id="6"/>
            <w:r w:rsidRPr="000F2789">
              <w:rPr>
                <w:rFonts w:cstheme="minorHAnsi"/>
                <w:b w:val="0"/>
                <w:sz w:val="20"/>
                <w:szCs w:val="20"/>
              </w:rPr>
              <w:t>)</w:t>
            </w:r>
          </w:p>
        </w:tc>
        <w:tc>
          <w:tcPr>
            <w:tcW w:w="1120" w:type="dxa"/>
          </w:tcPr>
          <w:p w14:paraId="3C09BD7F"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1,073,261</w:t>
            </w:r>
          </w:p>
        </w:tc>
        <w:tc>
          <w:tcPr>
            <w:tcW w:w="1436" w:type="dxa"/>
          </w:tcPr>
          <w:p w14:paraId="5CB7898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120,388</w:t>
            </w:r>
          </w:p>
        </w:tc>
        <w:tc>
          <w:tcPr>
            <w:tcW w:w="1279" w:type="dxa"/>
          </w:tcPr>
          <w:p w14:paraId="0824CCF4"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11.2 (10.7–11.7)</w:t>
            </w:r>
          </w:p>
        </w:tc>
      </w:tr>
      <w:tr w:rsidR="00812493" w:rsidRPr="001D0858" w14:paraId="79675EC9" w14:textId="77777777" w:rsidTr="00A41887">
        <w:trPr>
          <w:trHeight w:val="20"/>
        </w:trPr>
        <w:tc>
          <w:tcPr>
            <w:tcW w:w="8947" w:type="dxa"/>
            <w:gridSpan w:val="7"/>
            <w:shd w:val="clear" w:color="auto" w:fill="D9D9D9" w:themeFill="background1" w:themeFillShade="D9"/>
          </w:tcPr>
          <w:p w14:paraId="0FBA4EA2" w14:textId="77777777" w:rsidR="00812493" w:rsidRPr="00C11A25" w:rsidRDefault="00812493" w:rsidP="00A41887">
            <w:pPr>
              <w:pStyle w:val="Tableheading"/>
              <w:rPr>
                <w:rFonts w:cstheme="minorHAnsi"/>
                <w:sz w:val="20"/>
                <w:szCs w:val="20"/>
              </w:rPr>
            </w:pPr>
            <w:r w:rsidRPr="00C11A25">
              <w:rPr>
                <w:rFonts w:cstheme="minorHAnsi"/>
                <w:sz w:val="20"/>
                <w:szCs w:val="20"/>
              </w:rPr>
              <w:t>Age group (10 years)</w:t>
            </w:r>
          </w:p>
        </w:tc>
      </w:tr>
      <w:tr w:rsidR="00812493" w:rsidRPr="001D0858" w14:paraId="661D2889" w14:textId="77777777" w:rsidTr="00A41887">
        <w:trPr>
          <w:trHeight w:val="20"/>
        </w:trPr>
        <w:tc>
          <w:tcPr>
            <w:tcW w:w="1413" w:type="dxa"/>
          </w:tcPr>
          <w:p w14:paraId="0DAC3F3B" w14:textId="77777777" w:rsidR="00812493" w:rsidRPr="00C11A25" w:rsidRDefault="00812493" w:rsidP="00A41887">
            <w:pPr>
              <w:pStyle w:val="Tableheading"/>
              <w:rPr>
                <w:rFonts w:cstheme="minorHAnsi"/>
                <w:sz w:val="20"/>
                <w:szCs w:val="20"/>
              </w:rPr>
            </w:pPr>
            <w:r w:rsidRPr="00C11A25">
              <w:rPr>
                <w:rFonts w:cstheme="minorHAnsi"/>
                <w:sz w:val="20"/>
                <w:szCs w:val="20"/>
              </w:rPr>
              <w:t>50–59</w:t>
            </w:r>
          </w:p>
        </w:tc>
        <w:tc>
          <w:tcPr>
            <w:tcW w:w="992" w:type="dxa"/>
          </w:tcPr>
          <w:p w14:paraId="240277C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283,869</w:t>
            </w:r>
          </w:p>
        </w:tc>
        <w:tc>
          <w:tcPr>
            <w:tcW w:w="1429" w:type="dxa"/>
          </w:tcPr>
          <w:p w14:paraId="0DBAC440"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9,119</w:t>
            </w:r>
          </w:p>
        </w:tc>
        <w:tc>
          <w:tcPr>
            <w:tcW w:w="1278" w:type="dxa"/>
          </w:tcPr>
          <w:p w14:paraId="51077762"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3.2 (3.0–3.4)</w:t>
            </w:r>
          </w:p>
        </w:tc>
        <w:tc>
          <w:tcPr>
            <w:tcW w:w="1120" w:type="dxa"/>
          </w:tcPr>
          <w:p w14:paraId="267BC3EB"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358,297</w:t>
            </w:r>
          </w:p>
        </w:tc>
        <w:tc>
          <w:tcPr>
            <w:tcW w:w="1436" w:type="dxa"/>
          </w:tcPr>
          <w:p w14:paraId="7517D5A0"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9,515</w:t>
            </w:r>
          </w:p>
        </w:tc>
        <w:tc>
          <w:tcPr>
            <w:tcW w:w="1279" w:type="dxa"/>
          </w:tcPr>
          <w:p w14:paraId="2E6B515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2.7 (2.5–2.8)</w:t>
            </w:r>
          </w:p>
        </w:tc>
      </w:tr>
      <w:tr w:rsidR="00812493" w:rsidRPr="001D0858" w14:paraId="45EB3CEE" w14:textId="77777777" w:rsidTr="00A41887">
        <w:trPr>
          <w:trHeight w:val="20"/>
        </w:trPr>
        <w:tc>
          <w:tcPr>
            <w:tcW w:w="1413" w:type="dxa"/>
          </w:tcPr>
          <w:p w14:paraId="07A9021D" w14:textId="77777777" w:rsidR="00812493" w:rsidRPr="00C11A25" w:rsidRDefault="00812493" w:rsidP="00A41887">
            <w:pPr>
              <w:pStyle w:val="Tableheading"/>
              <w:rPr>
                <w:rFonts w:cstheme="minorHAnsi"/>
                <w:sz w:val="20"/>
                <w:szCs w:val="20"/>
              </w:rPr>
            </w:pPr>
            <w:r w:rsidRPr="00C11A25">
              <w:rPr>
                <w:rFonts w:cstheme="minorHAnsi"/>
                <w:sz w:val="20"/>
                <w:szCs w:val="20"/>
              </w:rPr>
              <w:t>60–69</w:t>
            </w:r>
          </w:p>
        </w:tc>
        <w:tc>
          <w:tcPr>
            <w:tcW w:w="992" w:type="dxa"/>
          </w:tcPr>
          <w:p w14:paraId="79C2CD0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269,443</w:t>
            </w:r>
          </w:p>
        </w:tc>
        <w:tc>
          <w:tcPr>
            <w:tcW w:w="1429" w:type="dxa"/>
          </w:tcPr>
          <w:p w14:paraId="4141669B"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23,586</w:t>
            </w:r>
          </w:p>
        </w:tc>
        <w:tc>
          <w:tcPr>
            <w:tcW w:w="1278" w:type="dxa"/>
          </w:tcPr>
          <w:p w14:paraId="050A1DF5"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8.8 (8.3–9.2)</w:t>
            </w:r>
          </w:p>
        </w:tc>
        <w:tc>
          <w:tcPr>
            <w:tcW w:w="1120" w:type="dxa"/>
          </w:tcPr>
          <w:p w14:paraId="702BE4B7"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318,719</w:t>
            </w:r>
          </w:p>
        </w:tc>
        <w:tc>
          <w:tcPr>
            <w:tcW w:w="1436" w:type="dxa"/>
          </w:tcPr>
          <w:p w14:paraId="5EF240D5"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23,692</w:t>
            </w:r>
          </w:p>
        </w:tc>
        <w:tc>
          <w:tcPr>
            <w:tcW w:w="1279" w:type="dxa"/>
          </w:tcPr>
          <w:p w14:paraId="0EAE0B11"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7.4 (7.1–7.8)</w:t>
            </w:r>
          </w:p>
        </w:tc>
      </w:tr>
      <w:tr w:rsidR="00812493" w:rsidRPr="001D0858" w14:paraId="39E1222A" w14:textId="77777777" w:rsidTr="00A41887">
        <w:trPr>
          <w:trHeight w:val="20"/>
        </w:trPr>
        <w:tc>
          <w:tcPr>
            <w:tcW w:w="1413" w:type="dxa"/>
          </w:tcPr>
          <w:p w14:paraId="6C8D4150" w14:textId="77777777" w:rsidR="00812493" w:rsidRPr="00C11A25" w:rsidRDefault="00812493" w:rsidP="00A41887">
            <w:pPr>
              <w:pStyle w:val="Tableheading"/>
              <w:rPr>
                <w:rFonts w:cstheme="minorHAnsi"/>
                <w:sz w:val="20"/>
                <w:szCs w:val="20"/>
              </w:rPr>
            </w:pPr>
            <w:r w:rsidRPr="00C11A25">
              <w:rPr>
                <w:rFonts w:cstheme="minorHAnsi"/>
                <w:sz w:val="20"/>
                <w:szCs w:val="20"/>
              </w:rPr>
              <w:t>70+</w:t>
            </w:r>
          </w:p>
        </w:tc>
        <w:tc>
          <w:tcPr>
            <w:tcW w:w="992" w:type="dxa"/>
          </w:tcPr>
          <w:p w14:paraId="020F8584"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343,336</w:t>
            </w:r>
          </w:p>
        </w:tc>
        <w:tc>
          <w:tcPr>
            <w:tcW w:w="1429" w:type="dxa"/>
          </w:tcPr>
          <w:p w14:paraId="2881B85A"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88,893</w:t>
            </w:r>
          </w:p>
        </w:tc>
        <w:tc>
          <w:tcPr>
            <w:tcW w:w="1278" w:type="dxa"/>
          </w:tcPr>
          <w:p w14:paraId="138A0C4C"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25.9 (25.0–26.7)</w:t>
            </w:r>
          </w:p>
        </w:tc>
        <w:tc>
          <w:tcPr>
            <w:tcW w:w="1120" w:type="dxa"/>
          </w:tcPr>
          <w:p w14:paraId="3206818C"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396,245</w:t>
            </w:r>
          </w:p>
        </w:tc>
        <w:tc>
          <w:tcPr>
            <w:tcW w:w="1436" w:type="dxa"/>
          </w:tcPr>
          <w:p w14:paraId="3EA4ABB4"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87,181</w:t>
            </w:r>
          </w:p>
        </w:tc>
        <w:tc>
          <w:tcPr>
            <w:tcW w:w="1279" w:type="dxa"/>
          </w:tcPr>
          <w:p w14:paraId="4E5BFC0B"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22.0 (21.2–22.8)</w:t>
            </w:r>
          </w:p>
        </w:tc>
      </w:tr>
      <w:tr w:rsidR="00812493" w:rsidRPr="001D0858" w14:paraId="4DE51950" w14:textId="77777777" w:rsidTr="00A41887">
        <w:trPr>
          <w:trHeight w:val="20"/>
        </w:trPr>
        <w:tc>
          <w:tcPr>
            <w:tcW w:w="8947" w:type="dxa"/>
            <w:gridSpan w:val="7"/>
            <w:shd w:val="clear" w:color="auto" w:fill="D9D9D9" w:themeFill="background1" w:themeFillShade="D9"/>
          </w:tcPr>
          <w:p w14:paraId="0CE87BE1" w14:textId="77777777" w:rsidR="00812493" w:rsidRPr="00C11A25" w:rsidRDefault="00812493" w:rsidP="00A41887">
            <w:pPr>
              <w:pStyle w:val="Tableheading"/>
              <w:rPr>
                <w:rFonts w:cstheme="minorHAnsi"/>
                <w:sz w:val="20"/>
                <w:szCs w:val="20"/>
              </w:rPr>
            </w:pPr>
            <w:r w:rsidRPr="00C11A25">
              <w:rPr>
                <w:rFonts w:cstheme="minorHAnsi"/>
                <w:sz w:val="20"/>
                <w:szCs w:val="20"/>
              </w:rPr>
              <w:lastRenderedPageBreak/>
              <w:t>Sex</w:t>
            </w:r>
          </w:p>
        </w:tc>
      </w:tr>
      <w:tr w:rsidR="00812493" w:rsidRPr="001D0858" w14:paraId="5B02E370" w14:textId="77777777" w:rsidTr="00A41887">
        <w:trPr>
          <w:trHeight w:val="20"/>
        </w:trPr>
        <w:tc>
          <w:tcPr>
            <w:tcW w:w="1413" w:type="dxa"/>
          </w:tcPr>
          <w:p w14:paraId="69090334" w14:textId="77777777" w:rsidR="00812493" w:rsidRPr="00C11A25" w:rsidRDefault="00812493" w:rsidP="00A41887">
            <w:pPr>
              <w:pStyle w:val="Tableheading"/>
              <w:rPr>
                <w:rFonts w:cstheme="minorHAnsi"/>
                <w:sz w:val="20"/>
                <w:szCs w:val="20"/>
              </w:rPr>
            </w:pPr>
            <w:r w:rsidRPr="00C11A25">
              <w:rPr>
                <w:rFonts w:cstheme="minorHAnsi"/>
                <w:sz w:val="20"/>
                <w:szCs w:val="20"/>
              </w:rPr>
              <w:t>Female</w:t>
            </w:r>
          </w:p>
        </w:tc>
        <w:tc>
          <w:tcPr>
            <w:tcW w:w="992" w:type="dxa"/>
          </w:tcPr>
          <w:p w14:paraId="19CCC65F"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492,759</w:t>
            </w:r>
          </w:p>
        </w:tc>
        <w:tc>
          <w:tcPr>
            <w:tcW w:w="1429" w:type="dxa"/>
          </w:tcPr>
          <w:p w14:paraId="5FE2F43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96,255</w:t>
            </w:r>
          </w:p>
        </w:tc>
        <w:tc>
          <w:tcPr>
            <w:tcW w:w="1278" w:type="dxa"/>
          </w:tcPr>
          <w:p w14:paraId="20C0BE2D"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19.5 (18.8–20.3)</w:t>
            </w:r>
          </w:p>
        </w:tc>
        <w:tc>
          <w:tcPr>
            <w:tcW w:w="1120" w:type="dxa"/>
          </w:tcPr>
          <w:p w14:paraId="1D4C7B0C"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590,008</w:t>
            </w:r>
          </w:p>
        </w:tc>
        <w:tc>
          <w:tcPr>
            <w:tcW w:w="1436" w:type="dxa"/>
          </w:tcPr>
          <w:p w14:paraId="1A1945C4"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96,229</w:t>
            </w:r>
          </w:p>
        </w:tc>
        <w:tc>
          <w:tcPr>
            <w:tcW w:w="1279" w:type="dxa"/>
          </w:tcPr>
          <w:p w14:paraId="569631D7"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16.3 (15.7–17.0)</w:t>
            </w:r>
          </w:p>
        </w:tc>
      </w:tr>
      <w:tr w:rsidR="00812493" w:rsidRPr="001D0858" w14:paraId="1CDD067E" w14:textId="77777777" w:rsidTr="00A41887">
        <w:trPr>
          <w:trHeight w:val="20"/>
        </w:trPr>
        <w:tc>
          <w:tcPr>
            <w:tcW w:w="1413" w:type="dxa"/>
          </w:tcPr>
          <w:p w14:paraId="18DC33D4" w14:textId="77777777" w:rsidR="00812493" w:rsidRPr="00C11A25" w:rsidRDefault="00812493" w:rsidP="00A41887">
            <w:pPr>
              <w:pStyle w:val="Tableheading"/>
              <w:rPr>
                <w:rFonts w:cstheme="minorHAnsi"/>
                <w:sz w:val="20"/>
                <w:szCs w:val="20"/>
              </w:rPr>
            </w:pPr>
            <w:r w:rsidRPr="00C11A25">
              <w:rPr>
                <w:rFonts w:cstheme="minorHAnsi"/>
                <w:sz w:val="20"/>
                <w:szCs w:val="20"/>
              </w:rPr>
              <w:t>Male</w:t>
            </w:r>
          </w:p>
        </w:tc>
        <w:tc>
          <w:tcPr>
            <w:tcW w:w="992" w:type="dxa"/>
          </w:tcPr>
          <w:p w14:paraId="52BD1452"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403,889</w:t>
            </w:r>
          </w:p>
        </w:tc>
        <w:tc>
          <w:tcPr>
            <w:tcW w:w="1429" w:type="dxa"/>
          </w:tcPr>
          <w:p w14:paraId="3AC1727E"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25,343</w:t>
            </w:r>
          </w:p>
        </w:tc>
        <w:tc>
          <w:tcPr>
            <w:tcW w:w="1278" w:type="dxa"/>
          </w:tcPr>
          <w:p w14:paraId="2A522A69"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6.3 (5.9–6.6)</w:t>
            </w:r>
          </w:p>
        </w:tc>
        <w:tc>
          <w:tcPr>
            <w:tcW w:w="1120" w:type="dxa"/>
          </w:tcPr>
          <w:p w14:paraId="2D31C16E"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483,253</w:t>
            </w:r>
          </w:p>
        </w:tc>
        <w:tc>
          <w:tcPr>
            <w:tcW w:w="1436" w:type="dxa"/>
          </w:tcPr>
          <w:p w14:paraId="68D67725"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24,159</w:t>
            </w:r>
          </w:p>
        </w:tc>
        <w:tc>
          <w:tcPr>
            <w:tcW w:w="1279" w:type="dxa"/>
          </w:tcPr>
          <w:p w14:paraId="06A5ACA6" w14:textId="77777777" w:rsidR="00812493" w:rsidRPr="000F2789" w:rsidRDefault="00812493" w:rsidP="00A41887">
            <w:pPr>
              <w:pStyle w:val="Tableheading"/>
              <w:rPr>
                <w:rFonts w:cstheme="minorHAnsi"/>
                <w:b w:val="0"/>
                <w:sz w:val="20"/>
                <w:szCs w:val="20"/>
              </w:rPr>
            </w:pPr>
            <w:r w:rsidRPr="000F2789">
              <w:rPr>
                <w:rFonts w:cstheme="minorHAnsi"/>
                <w:b w:val="0"/>
                <w:sz w:val="20"/>
                <w:szCs w:val="20"/>
              </w:rPr>
              <w:t>5.0 (4.7–5.3)</w:t>
            </w:r>
          </w:p>
        </w:tc>
      </w:tr>
      <w:tr w:rsidR="00812493" w:rsidRPr="001D0858" w14:paraId="78294E76" w14:textId="77777777" w:rsidTr="00A41887">
        <w:trPr>
          <w:trHeight w:val="20"/>
        </w:trPr>
        <w:tc>
          <w:tcPr>
            <w:tcW w:w="8947" w:type="dxa"/>
            <w:gridSpan w:val="7"/>
            <w:shd w:val="clear" w:color="auto" w:fill="D9D9D9" w:themeFill="background1" w:themeFillShade="D9"/>
          </w:tcPr>
          <w:p w14:paraId="664ECD5D" w14:textId="77777777" w:rsidR="00812493" w:rsidRPr="00C11A25" w:rsidRDefault="00812493" w:rsidP="00A41887">
            <w:pPr>
              <w:pStyle w:val="Tableheading"/>
              <w:rPr>
                <w:sz w:val="20"/>
                <w:szCs w:val="20"/>
              </w:rPr>
            </w:pPr>
            <w:r w:rsidRPr="00C11A25">
              <w:rPr>
                <w:sz w:val="20"/>
                <w:szCs w:val="20"/>
              </w:rPr>
              <w:t>Sex/age group</w:t>
            </w:r>
          </w:p>
        </w:tc>
      </w:tr>
      <w:tr w:rsidR="00812493" w:rsidRPr="001D0858" w14:paraId="632A8D7B" w14:textId="77777777" w:rsidTr="00A41887">
        <w:trPr>
          <w:trHeight w:val="20"/>
        </w:trPr>
        <w:tc>
          <w:tcPr>
            <w:tcW w:w="1413" w:type="dxa"/>
          </w:tcPr>
          <w:p w14:paraId="63B3F15D" w14:textId="77777777" w:rsidR="00812493" w:rsidRPr="00C11A25" w:rsidRDefault="00812493" w:rsidP="00A41887">
            <w:pPr>
              <w:pStyle w:val="Tableheading"/>
              <w:rPr>
                <w:sz w:val="20"/>
                <w:szCs w:val="20"/>
              </w:rPr>
            </w:pPr>
            <w:r w:rsidRPr="00C11A25">
              <w:rPr>
                <w:sz w:val="20"/>
                <w:szCs w:val="20"/>
              </w:rPr>
              <w:t>Female 50–59</w:t>
            </w:r>
          </w:p>
        </w:tc>
        <w:tc>
          <w:tcPr>
            <w:tcW w:w="992" w:type="dxa"/>
          </w:tcPr>
          <w:p w14:paraId="093F573A" w14:textId="77777777" w:rsidR="00812493" w:rsidRPr="001D0858" w:rsidRDefault="00812493" w:rsidP="00A41887">
            <w:pPr>
              <w:pStyle w:val="Tableheading"/>
              <w:rPr>
                <w:b w:val="0"/>
                <w:sz w:val="20"/>
                <w:szCs w:val="20"/>
              </w:rPr>
            </w:pPr>
            <w:r w:rsidRPr="000F2789">
              <w:rPr>
                <w:b w:val="0"/>
                <w:sz w:val="20"/>
                <w:szCs w:val="20"/>
              </w:rPr>
              <w:t>158,865</w:t>
            </w:r>
          </w:p>
        </w:tc>
        <w:tc>
          <w:tcPr>
            <w:tcW w:w="1429" w:type="dxa"/>
          </w:tcPr>
          <w:p w14:paraId="5E0208C3" w14:textId="77777777" w:rsidR="00812493" w:rsidRPr="001D0858" w:rsidRDefault="00812493" w:rsidP="00A41887">
            <w:pPr>
              <w:pStyle w:val="Tableheading"/>
              <w:rPr>
                <w:b w:val="0"/>
                <w:sz w:val="20"/>
                <w:szCs w:val="20"/>
              </w:rPr>
            </w:pPr>
            <w:r w:rsidRPr="000F2789">
              <w:rPr>
                <w:b w:val="0"/>
                <w:sz w:val="20"/>
                <w:szCs w:val="20"/>
              </w:rPr>
              <w:t>7,597</w:t>
            </w:r>
          </w:p>
        </w:tc>
        <w:tc>
          <w:tcPr>
            <w:tcW w:w="1278" w:type="dxa"/>
          </w:tcPr>
          <w:p w14:paraId="0F16FFA1" w14:textId="77777777" w:rsidR="00812493" w:rsidRPr="001D0858" w:rsidRDefault="00812493" w:rsidP="00A41887">
            <w:pPr>
              <w:pStyle w:val="Tableheading"/>
              <w:rPr>
                <w:b w:val="0"/>
                <w:sz w:val="20"/>
                <w:szCs w:val="20"/>
              </w:rPr>
            </w:pPr>
            <w:r w:rsidRPr="000F2789">
              <w:rPr>
                <w:b w:val="0"/>
                <w:sz w:val="20"/>
                <w:szCs w:val="20"/>
              </w:rPr>
              <w:t>4.8 (4.5–5.1)</w:t>
            </w:r>
          </w:p>
        </w:tc>
        <w:tc>
          <w:tcPr>
            <w:tcW w:w="1120" w:type="dxa"/>
          </w:tcPr>
          <w:p w14:paraId="00596E5A" w14:textId="77777777" w:rsidR="00812493" w:rsidRPr="001D0858" w:rsidRDefault="00812493" w:rsidP="00A41887">
            <w:pPr>
              <w:pStyle w:val="Tableheading"/>
              <w:rPr>
                <w:b w:val="0"/>
                <w:sz w:val="20"/>
                <w:szCs w:val="20"/>
              </w:rPr>
            </w:pPr>
            <w:r w:rsidRPr="000F2789">
              <w:rPr>
                <w:b w:val="0"/>
                <w:sz w:val="20"/>
                <w:szCs w:val="20"/>
              </w:rPr>
              <w:t>199,306</w:t>
            </w:r>
          </w:p>
        </w:tc>
        <w:tc>
          <w:tcPr>
            <w:tcW w:w="1436" w:type="dxa"/>
          </w:tcPr>
          <w:p w14:paraId="01EB2247" w14:textId="77777777" w:rsidR="00812493" w:rsidRPr="001D0858" w:rsidRDefault="00812493" w:rsidP="00A41887">
            <w:pPr>
              <w:pStyle w:val="Tableheading"/>
              <w:rPr>
                <w:b w:val="0"/>
                <w:sz w:val="20"/>
                <w:szCs w:val="20"/>
              </w:rPr>
            </w:pPr>
            <w:r w:rsidRPr="000F2789">
              <w:rPr>
                <w:b w:val="0"/>
                <w:sz w:val="20"/>
                <w:szCs w:val="20"/>
              </w:rPr>
              <w:t>7,910</w:t>
            </w:r>
          </w:p>
        </w:tc>
        <w:tc>
          <w:tcPr>
            <w:tcW w:w="1279" w:type="dxa"/>
          </w:tcPr>
          <w:p w14:paraId="348EBE62" w14:textId="77777777" w:rsidR="00812493" w:rsidRPr="001D0858" w:rsidRDefault="00812493" w:rsidP="00A41887">
            <w:pPr>
              <w:pStyle w:val="Tableheading"/>
              <w:rPr>
                <w:b w:val="0"/>
                <w:sz w:val="20"/>
                <w:szCs w:val="20"/>
              </w:rPr>
            </w:pPr>
            <w:r w:rsidRPr="000F2789">
              <w:rPr>
                <w:b w:val="0"/>
                <w:sz w:val="20"/>
                <w:szCs w:val="20"/>
              </w:rPr>
              <w:t>4.0 (3.7–4.2)</w:t>
            </w:r>
          </w:p>
        </w:tc>
      </w:tr>
      <w:tr w:rsidR="00812493" w:rsidRPr="001D0858" w14:paraId="6E7C1AFA" w14:textId="77777777" w:rsidTr="00A41887">
        <w:trPr>
          <w:trHeight w:val="20"/>
        </w:trPr>
        <w:tc>
          <w:tcPr>
            <w:tcW w:w="1413" w:type="dxa"/>
          </w:tcPr>
          <w:p w14:paraId="7282841B" w14:textId="77777777" w:rsidR="00812493" w:rsidRPr="00C11A25" w:rsidRDefault="00812493" w:rsidP="00A41887">
            <w:pPr>
              <w:pStyle w:val="Tableheading"/>
              <w:rPr>
                <w:sz w:val="20"/>
                <w:szCs w:val="20"/>
              </w:rPr>
            </w:pPr>
            <w:r w:rsidRPr="00C11A25">
              <w:rPr>
                <w:sz w:val="20"/>
                <w:szCs w:val="20"/>
              </w:rPr>
              <w:t>Female 60–69</w:t>
            </w:r>
          </w:p>
        </w:tc>
        <w:tc>
          <w:tcPr>
            <w:tcW w:w="992" w:type="dxa"/>
          </w:tcPr>
          <w:p w14:paraId="1412EEDB" w14:textId="77777777" w:rsidR="00812493" w:rsidRPr="001D0858" w:rsidRDefault="00812493" w:rsidP="00A41887">
            <w:pPr>
              <w:pStyle w:val="Tableheading"/>
              <w:rPr>
                <w:b w:val="0"/>
                <w:sz w:val="20"/>
                <w:szCs w:val="20"/>
              </w:rPr>
            </w:pPr>
            <w:r w:rsidRPr="000F2789">
              <w:rPr>
                <w:b w:val="0"/>
                <w:sz w:val="20"/>
                <w:szCs w:val="20"/>
              </w:rPr>
              <w:t>145,310</w:t>
            </w:r>
          </w:p>
        </w:tc>
        <w:tc>
          <w:tcPr>
            <w:tcW w:w="1429" w:type="dxa"/>
          </w:tcPr>
          <w:p w14:paraId="35620287" w14:textId="77777777" w:rsidR="00812493" w:rsidRPr="001D0858" w:rsidRDefault="00812493" w:rsidP="00A41887">
            <w:pPr>
              <w:pStyle w:val="Tableheading"/>
              <w:rPr>
                <w:b w:val="0"/>
                <w:sz w:val="20"/>
                <w:szCs w:val="20"/>
              </w:rPr>
            </w:pPr>
            <w:r w:rsidRPr="000F2789">
              <w:rPr>
                <w:b w:val="0"/>
                <w:sz w:val="20"/>
                <w:szCs w:val="20"/>
              </w:rPr>
              <w:t>20,195</w:t>
            </w:r>
          </w:p>
        </w:tc>
        <w:tc>
          <w:tcPr>
            <w:tcW w:w="1278" w:type="dxa"/>
          </w:tcPr>
          <w:p w14:paraId="0C07CD03" w14:textId="77777777" w:rsidR="00812493" w:rsidRPr="001D0858" w:rsidRDefault="00812493" w:rsidP="00A41887">
            <w:pPr>
              <w:pStyle w:val="Tableheading"/>
              <w:rPr>
                <w:b w:val="0"/>
                <w:sz w:val="20"/>
                <w:szCs w:val="20"/>
              </w:rPr>
            </w:pPr>
            <w:r w:rsidRPr="000F2789">
              <w:rPr>
                <w:b w:val="0"/>
                <w:sz w:val="20"/>
                <w:szCs w:val="20"/>
              </w:rPr>
              <w:t>13.9 (13.2–14.6)</w:t>
            </w:r>
          </w:p>
        </w:tc>
        <w:tc>
          <w:tcPr>
            <w:tcW w:w="1120" w:type="dxa"/>
          </w:tcPr>
          <w:p w14:paraId="2250A902" w14:textId="77777777" w:rsidR="00812493" w:rsidRPr="001D0858" w:rsidRDefault="00812493" w:rsidP="00A41887">
            <w:pPr>
              <w:pStyle w:val="Tableheading"/>
              <w:rPr>
                <w:b w:val="0"/>
                <w:sz w:val="20"/>
                <w:szCs w:val="20"/>
              </w:rPr>
            </w:pPr>
            <w:r w:rsidRPr="000F2789">
              <w:rPr>
                <w:b w:val="0"/>
                <w:sz w:val="20"/>
                <w:szCs w:val="20"/>
              </w:rPr>
              <w:t>171,652</w:t>
            </w:r>
          </w:p>
        </w:tc>
        <w:tc>
          <w:tcPr>
            <w:tcW w:w="1436" w:type="dxa"/>
          </w:tcPr>
          <w:p w14:paraId="0B707F0E" w14:textId="77777777" w:rsidR="00812493" w:rsidRPr="001D0858" w:rsidRDefault="00812493" w:rsidP="00A41887">
            <w:pPr>
              <w:pStyle w:val="Tableheading"/>
              <w:rPr>
                <w:b w:val="0"/>
                <w:sz w:val="20"/>
                <w:szCs w:val="20"/>
              </w:rPr>
            </w:pPr>
            <w:r w:rsidRPr="000F2789">
              <w:rPr>
                <w:b w:val="0"/>
                <w:sz w:val="20"/>
                <w:szCs w:val="20"/>
              </w:rPr>
              <w:t>20,238</w:t>
            </w:r>
          </w:p>
        </w:tc>
        <w:tc>
          <w:tcPr>
            <w:tcW w:w="1279" w:type="dxa"/>
          </w:tcPr>
          <w:p w14:paraId="75C700F1" w14:textId="77777777" w:rsidR="00812493" w:rsidRPr="001D0858" w:rsidRDefault="00812493" w:rsidP="00A41887">
            <w:pPr>
              <w:pStyle w:val="Tableheading"/>
              <w:rPr>
                <w:b w:val="0"/>
                <w:sz w:val="20"/>
                <w:szCs w:val="20"/>
              </w:rPr>
            </w:pPr>
            <w:r w:rsidRPr="000F2789">
              <w:rPr>
                <w:b w:val="0"/>
                <w:sz w:val="20"/>
                <w:szCs w:val="20"/>
              </w:rPr>
              <w:t>11.8 (11.2–12.4)</w:t>
            </w:r>
          </w:p>
        </w:tc>
      </w:tr>
      <w:tr w:rsidR="00812493" w:rsidRPr="001D0858" w14:paraId="66143648" w14:textId="77777777" w:rsidTr="00A41887">
        <w:trPr>
          <w:trHeight w:val="20"/>
        </w:trPr>
        <w:tc>
          <w:tcPr>
            <w:tcW w:w="1413" w:type="dxa"/>
          </w:tcPr>
          <w:p w14:paraId="2A23EBB9" w14:textId="77777777" w:rsidR="00812493" w:rsidRPr="00C11A25" w:rsidRDefault="00812493" w:rsidP="00A41887">
            <w:pPr>
              <w:pStyle w:val="Tableheading"/>
              <w:rPr>
                <w:sz w:val="20"/>
                <w:szCs w:val="20"/>
              </w:rPr>
            </w:pPr>
            <w:r w:rsidRPr="00C11A25">
              <w:rPr>
                <w:sz w:val="20"/>
                <w:szCs w:val="20"/>
              </w:rPr>
              <w:t>Female 70+</w:t>
            </w:r>
          </w:p>
        </w:tc>
        <w:tc>
          <w:tcPr>
            <w:tcW w:w="992" w:type="dxa"/>
          </w:tcPr>
          <w:p w14:paraId="3F16D845" w14:textId="77777777" w:rsidR="00812493" w:rsidRPr="001D0858" w:rsidRDefault="00812493" w:rsidP="00A41887">
            <w:pPr>
              <w:pStyle w:val="Tableheading"/>
              <w:rPr>
                <w:b w:val="0"/>
                <w:sz w:val="20"/>
                <w:szCs w:val="20"/>
              </w:rPr>
            </w:pPr>
            <w:r w:rsidRPr="000F2789">
              <w:rPr>
                <w:b w:val="0"/>
                <w:sz w:val="20"/>
                <w:szCs w:val="20"/>
              </w:rPr>
              <w:t>188,584</w:t>
            </w:r>
          </w:p>
        </w:tc>
        <w:tc>
          <w:tcPr>
            <w:tcW w:w="1429" w:type="dxa"/>
          </w:tcPr>
          <w:p w14:paraId="6A73B484" w14:textId="77777777" w:rsidR="00812493" w:rsidRPr="001D0858" w:rsidRDefault="00812493" w:rsidP="00A41887">
            <w:pPr>
              <w:pStyle w:val="Tableheading"/>
              <w:rPr>
                <w:b w:val="0"/>
                <w:sz w:val="20"/>
                <w:szCs w:val="20"/>
              </w:rPr>
            </w:pPr>
            <w:r w:rsidRPr="000F2789">
              <w:rPr>
                <w:b w:val="0"/>
                <w:sz w:val="20"/>
                <w:szCs w:val="20"/>
              </w:rPr>
              <w:t>68,463</w:t>
            </w:r>
          </w:p>
        </w:tc>
        <w:tc>
          <w:tcPr>
            <w:tcW w:w="1278" w:type="dxa"/>
          </w:tcPr>
          <w:p w14:paraId="73E129E8" w14:textId="77777777" w:rsidR="00812493" w:rsidRPr="001D0858" w:rsidRDefault="00812493" w:rsidP="00A41887">
            <w:pPr>
              <w:pStyle w:val="Tableheading"/>
              <w:rPr>
                <w:b w:val="0"/>
                <w:sz w:val="20"/>
                <w:szCs w:val="20"/>
              </w:rPr>
            </w:pPr>
            <w:r w:rsidRPr="000F2789">
              <w:rPr>
                <w:b w:val="0"/>
                <w:sz w:val="20"/>
                <w:szCs w:val="20"/>
              </w:rPr>
              <w:t>36.3 (35.3–37.3)</w:t>
            </w:r>
          </w:p>
        </w:tc>
        <w:tc>
          <w:tcPr>
            <w:tcW w:w="1120" w:type="dxa"/>
          </w:tcPr>
          <w:p w14:paraId="20119016" w14:textId="77777777" w:rsidR="00812493" w:rsidRPr="001D0858" w:rsidRDefault="00812493" w:rsidP="00A41887">
            <w:pPr>
              <w:pStyle w:val="Tableheading"/>
              <w:rPr>
                <w:b w:val="0"/>
                <w:sz w:val="20"/>
                <w:szCs w:val="20"/>
              </w:rPr>
            </w:pPr>
            <w:r w:rsidRPr="000F2789">
              <w:rPr>
                <w:b w:val="0"/>
                <w:sz w:val="20"/>
                <w:szCs w:val="20"/>
              </w:rPr>
              <w:t>219,050</w:t>
            </w:r>
          </w:p>
        </w:tc>
        <w:tc>
          <w:tcPr>
            <w:tcW w:w="1436" w:type="dxa"/>
          </w:tcPr>
          <w:p w14:paraId="5CD1578F" w14:textId="77777777" w:rsidR="00812493" w:rsidRPr="001D0858" w:rsidRDefault="00812493" w:rsidP="00A41887">
            <w:pPr>
              <w:pStyle w:val="Tableheading"/>
              <w:rPr>
                <w:b w:val="0"/>
                <w:sz w:val="20"/>
                <w:szCs w:val="20"/>
              </w:rPr>
            </w:pPr>
            <w:r w:rsidRPr="000F2789">
              <w:rPr>
                <w:b w:val="0"/>
                <w:sz w:val="20"/>
                <w:szCs w:val="20"/>
              </w:rPr>
              <w:t>68,081</w:t>
            </w:r>
          </w:p>
        </w:tc>
        <w:tc>
          <w:tcPr>
            <w:tcW w:w="1279" w:type="dxa"/>
          </w:tcPr>
          <w:p w14:paraId="6618F24C" w14:textId="77777777" w:rsidR="00812493" w:rsidRPr="001D0858" w:rsidRDefault="00812493" w:rsidP="00A41887">
            <w:pPr>
              <w:pStyle w:val="Tableheading"/>
              <w:rPr>
                <w:b w:val="0"/>
                <w:sz w:val="20"/>
                <w:szCs w:val="20"/>
              </w:rPr>
            </w:pPr>
            <w:r w:rsidRPr="000F2789">
              <w:rPr>
                <w:b w:val="0"/>
                <w:sz w:val="20"/>
                <w:szCs w:val="20"/>
              </w:rPr>
              <w:t>31.1 (30.1–32.1)</w:t>
            </w:r>
          </w:p>
        </w:tc>
      </w:tr>
      <w:tr w:rsidR="00812493" w:rsidRPr="001D0858" w14:paraId="1DD557B9" w14:textId="77777777" w:rsidTr="00A41887">
        <w:trPr>
          <w:trHeight w:val="20"/>
        </w:trPr>
        <w:tc>
          <w:tcPr>
            <w:tcW w:w="1413" w:type="dxa"/>
          </w:tcPr>
          <w:p w14:paraId="30735ED8" w14:textId="77777777" w:rsidR="00812493" w:rsidRPr="00C11A25" w:rsidRDefault="00812493" w:rsidP="00A41887">
            <w:pPr>
              <w:pStyle w:val="Tableheading"/>
              <w:rPr>
                <w:sz w:val="20"/>
                <w:szCs w:val="20"/>
              </w:rPr>
            </w:pPr>
            <w:r w:rsidRPr="00C11A25">
              <w:rPr>
                <w:sz w:val="20"/>
                <w:szCs w:val="20"/>
              </w:rPr>
              <w:t>Male 50–59</w:t>
            </w:r>
          </w:p>
        </w:tc>
        <w:tc>
          <w:tcPr>
            <w:tcW w:w="992" w:type="dxa"/>
          </w:tcPr>
          <w:p w14:paraId="550A5384" w14:textId="77777777" w:rsidR="00812493" w:rsidRPr="001D0858" w:rsidRDefault="00812493" w:rsidP="00A41887">
            <w:pPr>
              <w:pStyle w:val="Tableheading"/>
              <w:rPr>
                <w:b w:val="0"/>
                <w:sz w:val="20"/>
                <w:szCs w:val="20"/>
              </w:rPr>
            </w:pPr>
            <w:r w:rsidRPr="000F2789">
              <w:rPr>
                <w:b w:val="0"/>
                <w:sz w:val="20"/>
                <w:szCs w:val="20"/>
              </w:rPr>
              <w:t>125,004</w:t>
            </w:r>
          </w:p>
        </w:tc>
        <w:tc>
          <w:tcPr>
            <w:tcW w:w="1429" w:type="dxa"/>
          </w:tcPr>
          <w:p w14:paraId="0832E0FF" w14:textId="77777777" w:rsidR="00812493" w:rsidRPr="001D0858" w:rsidRDefault="00812493" w:rsidP="00A41887">
            <w:pPr>
              <w:pStyle w:val="Tableheading"/>
              <w:rPr>
                <w:b w:val="0"/>
                <w:sz w:val="20"/>
                <w:szCs w:val="20"/>
              </w:rPr>
            </w:pPr>
            <w:r w:rsidRPr="000F2789">
              <w:rPr>
                <w:b w:val="0"/>
                <w:sz w:val="20"/>
                <w:szCs w:val="20"/>
              </w:rPr>
              <w:t>1,522</w:t>
            </w:r>
          </w:p>
        </w:tc>
        <w:tc>
          <w:tcPr>
            <w:tcW w:w="1278" w:type="dxa"/>
          </w:tcPr>
          <w:p w14:paraId="22EE5BA6" w14:textId="77777777" w:rsidR="00812493" w:rsidRPr="001D0858" w:rsidRDefault="00812493" w:rsidP="00A41887">
            <w:pPr>
              <w:pStyle w:val="Tableheading"/>
              <w:rPr>
                <w:b w:val="0"/>
                <w:sz w:val="20"/>
                <w:szCs w:val="20"/>
              </w:rPr>
            </w:pPr>
            <w:r w:rsidRPr="000F2789">
              <w:rPr>
                <w:b w:val="0"/>
                <w:sz w:val="20"/>
                <w:szCs w:val="20"/>
              </w:rPr>
              <w:t>1.2 (1.1–1.3)</w:t>
            </w:r>
          </w:p>
        </w:tc>
        <w:tc>
          <w:tcPr>
            <w:tcW w:w="1120" w:type="dxa"/>
          </w:tcPr>
          <w:p w14:paraId="2D3EADF2" w14:textId="77777777" w:rsidR="00812493" w:rsidRPr="001D0858" w:rsidRDefault="00812493" w:rsidP="00A41887">
            <w:pPr>
              <w:pStyle w:val="Tableheading"/>
              <w:rPr>
                <w:b w:val="0"/>
                <w:sz w:val="20"/>
                <w:szCs w:val="20"/>
              </w:rPr>
            </w:pPr>
            <w:r w:rsidRPr="000F2789">
              <w:rPr>
                <w:b w:val="0"/>
                <w:sz w:val="20"/>
                <w:szCs w:val="20"/>
              </w:rPr>
              <w:t>158,991</w:t>
            </w:r>
          </w:p>
        </w:tc>
        <w:tc>
          <w:tcPr>
            <w:tcW w:w="1436" w:type="dxa"/>
          </w:tcPr>
          <w:p w14:paraId="58A3F10F" w14:textId="77777777" w:rsidR="00812493" w:rsidRPr="001D0858" w:rsidRDefault="00812493" w:rsidP="00A41887">
            <w:pPr>
              <w:pStyle w:val="Tableheading"/>
              <w:rPr>
                <w:b w:val="0"/>
                <w:sz w:val="20"/>
                <w:szCs w:val="20"/>
              </w:rPr>
            </w:pPr>
            <w:r w:rsidRPr="000F2789">
              <w:rPr>
                <w:b w:val="0"/>
                <w:sz w:val="20"/>
                <w:szCs w:val="20"/>
              </w:rPr>
              <w:t>1,605</w:t>
            </w:r>
          </w:p>
        </w:tc>
        <w:tc>
          <w:tcPr>
            <w:tcW w:w="1279" w:type="dxa"/>
          </w:tcPr>
          <w:p w14:paraId="2463A59E" w14:textId="77777777" w:rsidR="00812493" w:rsidRPr="001D0858" w:rsidRDefault="00812493" w:rsidP="00A41887">
            <w:pPr>
              <w:pStyle w:val="Tableheading"/>
              <w:rPr>
                <w:b w:val="0"/>
                <w:sz w:val="20"/>
                <w:szCs w:val="20"/>
              </w:rPr>
            </w:pPr>
            <w:r w:rsidRPr="000F2789">
              <w:rPr>
                <w:b w:val="0"/>
                <w:sz w:val="20"/>
                <w:szCs w:val="20"/>
              </w:rPr>
              <w:t>1.0 (0.9–1.1)</w:t>
            </w:r>
          </w:p>
        </w:tc>
      </w:tr>
      <w:tr w:rsidR="00812493" w:rsidRPr="001D0858" w14:paraId="332E12D2" w14:textId="77777777" w:rsidTr="00A41887">
        <w:trPr>
          <w:trHeight w:val="20"/>
        </w:trPr>
        <w:tc>
          <w:tcPr>
            <w:tcW w:w="1413" w:type="dxa"/>
          </w:tcPr>
          <w:p w14:paraId="1C9305F6" w14:textId="77777777" w:rsidR="00812493" w:rsidRPr="00C11A25" w:rsidRDefault="00812493" w:rsidP="00A41887">
            <w:pPr>
              <w:pStyle w:val="Tableheading"/>
              <w:rPr>
                <w:sz w:val="20"/>
                <w:szCs w:val="20"/>
              </w:rPr>
            </w:pPr>
            <w:r w:rsidRPr="00C11A25">
              <w:rPr>
                <w:sz w:val="20"/>
                <w:szCs w:val="20"/>
              </w:rPr>
              <w:t>Male 60–69</w:t>
            </w:r>
          </w:p>
        </w:tc>
        <w:tc>
          <w:tcPr>
            <w:tcW w:w="992" w:type="dxa"/>
          </w:tcPr>
          <w:p w14:paraId="4F587938" w14:textId="77777777" w:rsidR="00812493" w:rsidRPr="001D0858" w:rsidRDefault="00812493" w:rsidP="00A41887">
            <w:pPr>
              <w:pStyle w:val="Tableheading"/>
              <w:rPr>
                <w:b w:val="0"/>
                <w:sz w:val="20"/>
                <w:szCs w:val="20"/>
              </w:rPr>
            </w:pPr>
            <w:r w:rsidRPr="000F2789">
              <w:rPr>
                <w:b w:val="0"/>
                <w:sz w:val="20"/>
                <w:szCs w:val="20"/>
              </w:rPr>
              <w:t>124,133</w:t>
            </w:r>
          </w:p>
        </w:tc>
        <w:tc>
          <w:tcPr>
            <w:tcW w:w="1429" w:type="dxa"/>
          </w:tcPr>
          <w:p w14:paraId="102F44CB" w14:textId="77777777" w:rsidR="00812493" w:rsidRPr="001D0858" w:rsidRDefault="00812493" w:rsidP="00A41887">
            <w:pPr>
              <w:pStyle w:val="Tableheading"/>
              <w:rPr>
                <w:b w:val="0"/>
                <w:sz w:val="20"/>
                <w:szCs w:val="20"/>
              </w:rPr>
            </w:pPr>
            <w:r w:rsidRPr="000F2789">
              <w:rPr>
                <w:b w:val="0"/>
                <w:sz w:val="20"/>
                <w:szCs w:val="20"/>
              </w:rPr>
              <w:t>3,391</w:t>
            </w:r>
          </w:p>
        </w:tc>
        <w:tc>
          <w:tcPr>
            <w:tcW w:w="1278" w:type="dxa"/>
          </w:tcPr>
          <w:p w14:paraId="006EE55C" w14:textId="77777777" w:rsidR="00812493" w:rsidRPr="001D0858" w:rsidRDefault="00812493" w:rsidP="00A41887">
            <w:pPr>
              <w:pStyle w:val="Tableheading"/>
              <w:rPr>
                <w:b w:val="0"/>
                <w:sz w:val="20"/>
                <w:szCs w:val="20"/>
              </w:rPr>
            </w:pPr>
            <w:r w:rsidRPr="000F2789">
              <w:rPr>
                <w:b w:val="0"/>
                <w:sz w:val="20"/>
                <w:szCs w:val="20"/>
              </w:rPr>
              <w:t>2.7 (2.6–2.9)</w:t>
            </w:r>
          </w:p>
        </w:tc>
        <w:tc>
          <w:tcPr>
            <w:tcW w:w="1120" w:type="dxa"/>
          </w:tcPr>
          <w:p w14:paraId="3961A415" w14:textId="77777777" w:rsidR="00812493" w:rsidRPr="001D0858" w:rsidRDefault="00812493" w:rsidP="00A41887">
            <w:pPr>
              <w:pStyle w:val="Tableheading"/>
              <w:rPr>
                <w:b w:val="0"/>
                <w:sz w:val="20"/>
                <w:szCs w:val="20"/>
              </w:rPr>
            </w:pPr>
            <w:r w:rsidRPr="000F2789">
              <w:rPr>
                <w:b w:val="0"/>
                <w:sz w:val="20"/>
                <w:szCs w:val="20"/>
              </w:rPr>
              <w:t>147,067</w:t>
            </w:r>
          </w:p>
        </w:tc>
        <w:tc>
          <w:tcPr>
            <w:tcW w:w="1436" w:type="dxa"/>
          </w:tcPr>
          <w:p w14:paraId="71E0932B" w14:textId="77777777" w:rsidR="00812493" w:rsidRPr="001D0858" w:rsidRDefault="00812493" w:rsidP="00A41887">
            <w:pPr>
              <w:pStyle w:val="Tableheading"/>
              <w:rPr>
                <w:b w:val="0"/>
                <w:sz w:val="20"/>
                <w:szCs w:val="20"/>
              </w:rPr>
            </w:pPr>
            <w:r w:rsidRPr="000F2789">
              <w:rPr>
                <w:b w:val="0"/>
                <w:sz w:val="20"/>
                <w:szCs w:val="20"/>
              </w:rPr>
              <w:t>3,454</w:t>
            </w:r>
          </w:p>
        </w:tc>
        <w:tc>
          <w:tcPr>
            <w:tcW w:w="1279" w:type="dxa"/>
          </w:tcPr>
          <w:p w14:paraId="4F7AC03F" w14:textId="77777777" w:rsidR="00812493" w:rsidRPr="001D0858" w:rsidRDefault="00812493" w:rsidP="00A41887">
            <w:pPr>
              <w:pStyle w:val="Tableheading"/>
              <w:rPr>
                <w:b w:val="0"/>
                <w:sz w:val="20"/>
                <w:szCs w:val="20"/>
              </w:rPr>
            </w:pPr>
            <w:r w:rsidRPr="000F2789">
              <w:rPr>
                <w:b w:val="0"/>
                <w:sz w:val="20"/>
                <w:szCs w:val="20"/>
              </w:rPr>
              <w:t>2.3 (2.2–2.5)</w:t>
            </w:r>
          </w:p>
        </w:tc>
      </w:tr>
      <w:tr w:rsidR="00812493" w:rsidRPr="001D0858" w14:paraId="7EE76590" w14:textId="77777777" w:rsidTr="00A41887">
        <w:trPr>
          <w:trHeight w:val="20"/>
        </w:trPr>
        <w:tc>
          <w:tcPr>
            <w:tcW w:w="1413" w:type="dxa"/>
          </w:tcPr>
          <w:p w14:paraId="0994C547" w14:textId="77777777" w:rsidR="00812493" w:rsidRPr="00C11A25" w:rsidRDefault="00812493" w:rsidP="00A41887">
            <w:pPr>
              <w:pStyle w:val="Tableheading"/>
              <w:rPr>
                <w:sz w:val="20"/>
                <w:szCs w:val="20"/>
              </w:rPr>
            </w:pPr>
            <w:r w:rsidRPr="00C11A25">
              <w:rPr>
                <w:sz w:val="20"/>
                <w:szCs w:val="20"/>
              </w:rPr>
              <w:t>Male 70+</w:t>
            </w:r>
          </w:p>
        </w:tc>
        <w:tc>
          <w:tcPr>
            <w:tcW w:w="992" w:type="dxa"/>
          </w:tcPr>
          <w:p w14:paraId="2B60F71B" w14:textId="77777777" w:rsidR="00812493" w:rsidRPr="001D0858" w:rsidRDefault="00812493" w:rsidP="00A41887">
            <w:pPr>
              <w:pStyle w:val="Tableheading"/>
              <w:rPr>
                <w:b w:val="0"/>
                <w:sz w:val="20"/>
                <w:szCs w:val="20"/>
              </w:rPr>
            </w:pPr>
            <w:r w:rsidRPr="000F2789">
              <w:rPr>
                <w:b w:val="0"/>
                <w:sz w:val="20"/>
                <w:szCs w:val="20"/>
              </w:rPr>
              <w:t>154,752</w:t>
            </w:r>
          </w:p>
        </w:tc>
        <w:tc>
          <w:tcPr>
            <w:tcW w:w="1429" w:type="dxa"/>
          </w:tcPr>
          <w:p w14:paraId="41F49722" w14:textId="77777777" w:rsidR="00812493" w:rsidRPr="001D0858" w:rsidRDefault="00812493" w:rsidP="00A41887">
            <w:pPr>
              <w:pStyle w:val="Tableheading"/>
              <w:rPr>
                <w:b w:val="0"/>
                <w:sz w:val="20"/>
                <w:szCs w:val="20"/>
              </w:rPr>
            </w:pPr>
            <w:r w:rsidRPr="000F2789">
              <w:rPr>
                <w:b w:val="0"/>
                <w:sz w:val="20"/>
                <w:szCs w:val="20"/>
              </w:rPr>
              <w:t>20,430</w:t>
            </w:r>
          </w:p>
        </w:tc>
        <w:tc>
          <w:tcPr>
            <w:tcW w:w="1278" w:type="dxa"/>
          </w:tcPr>
          <w:p w14:paraId="5F56C266" w14:textId="77777777" w:rsidR="00812493" w:rsidRPr="001D0858" w:rsidRDefault="00812493" w:rsidP="00A41887">
            <w:pPr>
              <w:pStyle w:val="Tableheading"/>
              <w:rPr>
                <w:b w:val="0"/>
                <w:sz w:val="20"/>
                <w:szCs w:val="20"/>
              </w:rPr>
            </w:pPr>
            <w:r w:rsidRPr="000F2789">
              <w:rPr>
                <w:b w:val="0"/>
                <w:sz w:val="20"/>
                <w:szCs w:val="20"/>
              </w:rPr>
              <w:t>13.2 (12.5–13.9)</w:t>
            </w:r>
          </w:p>
        </w:tc>
        <w:tc>
          <w:tcPr>
            <w:tcW w:w="1120" w:type="dxa"/>
          </w:tcPr>
          <w:p w14:paraId="1E6CB519" w14:textId="77777777" w:rsidR="00812493" w:rsidRPr="001D0858" w:rsidRDefault="00812493" w:rsidP="00A41887">
            <w:pPr>
              <w:pStyle w:val="Tableheading"/>
              <w:rPr>
                <w:b w:val="0"/>
                <w:sz w:val="20"/>
                <w:szCs w:val="20"/>
              </w:rPr>
            </w:pPr>
            <w:r w:rsidRPr="000F2789">
              <w:rPr>
                <w:b w:val="0"/>
                <w:sz w:val="20"/>
                <w:szCs w:val="20"/>
              </w:rPr>
              <w:t>177,195</w:t>
            </w:r>
          </w:p>
        </w:tc>
        <w:tc>
          <w:tcPr>
            <w:tcW w:w="1436" w:type="dxa"/>
          </w:tcPr>
          <w:p w14:paraId="4B6C4517" w14:textId="77777777" w:rsidR="00812493" w:rsidRPr="001D0858" w:rsidRDefault="00812493" w:rsidP="00A41887">
            <w:pPr>
              <w:pStyle w:val="Tableheading"/>
              <w:rPr>
                <w:b w:val="0"/>
                <w:sz w:val="20"/>
                <w:szCs w:val="20"/>
              </w:rPr>
            </w:pPr>
            <w:r w:rsidRPr="000F2789">
              <w:rPr>
                <w:b w:val="0"/>
                <w:sz w:val="20"/>
                <w:szCs w:val="20"/>
              </w:rPr>
              <w:t>19,100</w:t>
            </w:r>
          </w:p>
        </w:tc>
        <w:tc>
          <w:tcPr>
            <w:tcW w:w="1279" w:type="dxa"/>
          </w:tcPr>
          <w:p w14:paraId="13A3685D" w14:textId="77777777" w:rsidR="00812493" w:rsidRPr="001D0858" w:rsidRDefault="00812493" w:rsidP="00A41887">
            <w:pPr>
              <w:pStyle w:val="Tableheading"/>
              <w:rPr>
                <w:b w:val="0"/>
                <w:sz w:val="20"/>
                <w:szCs w:val="20"/>
              </w:rPr>
            </w:pPr>
            <w:r w:rsidRPr="000F2789">
              <w:rPr>
                <w:b w:val="0"/>
                <w:sz w:val="20"/>
                <w:szCs w:val="20"/>
              </w:rPr>
              <w:t>10.8 (10.1–11.4)</w:t>
            </w:r>
          </w:p>
        </w:tc>
      </w:tr>
    </w:tbl>
    <w:p w14:paraId="0E3044D8" w14:textId="77777777" w:rsidR="00812493" w:rsidRDefault="00812493" w:rsidP="00812493"/>
    <w:p w14:paraId="6CCDCBF0" w14:textId="77777777" w:rsidR="00812493" w:rsidRDefault="00812493" w:rsidP="00812493">
      <w:r>
        <w:rPr>
          <w:noProof/>
        </w:rPr>
        <w:drawing>
          <wp:inline distT="0" distB="0" distL="0" distR="0" wp14:anchorId="40BD4C6B" wp14:editId="1E013ECC">
            <wp:extent cx="5602474" cy="3517900"/>
            <wp:effectExtent l="0" t="0" r="0" b="6350"/>
            <wp:docPr id="2" name="Picture 2" title="Figure 1: Proportion of eligible regularly attending patients between Jan 2018–Dec 2019 (prevalence study population) who have a recorded diagnosis of osteoporosis by age and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7281" cy="3520919"/>
                    </a:xfrm>
                    <a:prstGeom prst="rect">
                      <a:avLst/>
                    </a:prstGeom>
                    <a:noFill/>
                  </pic:spPr>
                </pic:pic>
              </a:graphicData>
            </a:graphic>
          </wp:inline>
        </w:drawing>
      </w:r>
    </w:p>
    <w:p w14:paraId="2E159C3E" w14:textId="20A96EBF" w:rsidR="00812493" w:rsidRPr="00FE645A" w:rsidRDefault="00812493" w:rsidP="00812493">
      <w:pPr>
        <w:pStyle w:val="Figuretitle"/>
      </w:pPr>
      <w:bookmarkStart w:id="7" w:name="_Hlk47621690"/>
      <w:r w:rsidRPr="00FE645A">
        <w:t>Figure 1</w:t>
      </w:r>
      <w:r w:rsidR="00337E96">
        <w:t>1</w:t>
      </w:r>
      <w:r w:rsidRPr="00FE645A">
        <w:t xml:space="preserve">: </w:t>
      </w:r>
      <w:r>
        <w:t>Proportion of eligible regularly attending patients between Jan 2018–Dec 2019 (prevalence study population) who have a recorded diagnosis of osteoporosis by age and sex</w:t>
      </w:r>
    </w:p>
    <w:bookmarkEnd w:id="7"/>
    <w:p w14:paraId="0E17B94A" w14:textId="77777777" w:rsidR="00812493" w:rsidRDefault="00812493" w:rsidP="00812493">
      <w:r>
        <w:lastRenderedPageBreak/>
        <w:t xml:space="preserve">The patient prevalence of recorded osteoporosis among </w:t>
      </w:r>
      <w:r w:rsidRPr="008B7B5A">
        <w:t>eligible patients aged 50 years or older in the Jan 201</w:t>
      </w:r>
      <w:r>
        <w:t>4</w:t>
      </w:r>
      <w:r w:rsidRPr="008B7B5A">
        <w:t>–Dec 201</w:t>
      </w:r>
      <w:r>
        <w:t>7</w:t>
      </w:r>
      <w:r w:rsidRPr="008B7B5A">
        <w:t xml:space="preserve"> period (</w:t>
      </w:r>
      <w:r>
        <w:t xml:space="preserve">historical osteoporosis </w:t>
      </w:r>
      <w:r w:rsidRPr="008B7B5A">
        <w:t>study</w:t>
      </w:r>
      <w:r>
        <w:t>) was slightly lower than that reported in the prevalence study population for almost all groups, with the exception of men aged 50–59 (Table 8). This may be because:</w:t>
      </w:r>
    </w:p>
    <w:p w14:paraId="3F2BF94A" w14:textId="77777777" w:rsidR="00812493" w:rsidRDefault="00812493" w:rsidP="00812493">
      <w:pPr>
        <w:pStyle w:val="ListParagraph"/>
        <w:numPr>
          <w:ilvl w:val="0"/>
          <w:numId w:val="20"/>
        </w:numPr>
      </w:pPr>
      <w:r>
        <w:t>the historical osteoporosis study population includes patients who visit their general practice less frequently than the prevalence study. To be eligible for inclusion in the historical osteoporosis study, patients had to visit at least three times over the 4-year study period, rather than at least three times over the 2-year study period</w:t>
      </w:r>
      <w:r w:rsidRPr="004A367D">
        <w:t xml:space="preserve"> </w:t>
      </w:r>
      <w:r>
        <w:t>as in the prevalence study. Infrequent attending patients are more likely to be healthier than regularly attending patients; or</w:t>
      </w:r>
    </w:p>
    <w:p w14:paraId="15076892" w14:textId="77777777" w:rsidR="00812493" w:rsidRDefault="00812493" w:rsidP="00812493">
      <w:pPr>
        <w:pStyle w:val="ListParagraph"/>
        <w:numPr>
          <w:ilvl w:val="0"/>
          <w:numId w:val="20"/>
        </w:numPr>
      </w:pPr>
      <w:r>
        <w:t xml:space="preserve">GPs may be more likely to identify patients at risk, diagnose and record osteoporosis in recent years. </w:t>
      </w:r>
    </w:p>
    <w:p w14:paraId="584376F7" w14:textId="77777777" w:rsidR="00812493" w:rsidRPr="00812493" w:rsidRDefault="00812493" w:rsidP="00812493">
      <w:pPr>
        <w:pStyle w:val="Heading4"/>
        <w:rPr>
          <w:sz w:val="24"/>
        </w:rPr>
      </w:pPr>
      <w:r w:rsidRPr="00812493">
        <w:rPr>
          <w:sz w:val="24"/>
        </w:rPr>
        <w:t>Comparisons with national population estimates of prevalence</w:t>
      </w:r>
    </w:p>
    <w:p w14:paraId="2F37B7F9" w14:textId="77777777" w:rsidR="00812493" w:rsidRDefault="00812493" w:rsidP="00812493">
      <w:r>
        <w:t>The patient prevalence of osteoporosis among regular patients was compared to n</w:t>
      </w:r>
      <w:r w:rsidRPr="004815E7">
        <w:t>ational</w:t>
      </w:r>
      <w:r>
        <w:t xml:space="preserve"> population estimates published by the </w:t>
      </w:r>
      <w:r w:rsidRPr="00BC49CD">
        <w:t>Australian Institute of Health and Welfare</w:t>
      </w:r>
      <w:r>
        <w:t xml:space="preserve"> (AIHW) and taken from the ABS NHS. In order to allow direct comparison, the age categories for the regular patient prevalence study were amended to correspond with the age categories used by the AIHW and ABS (55–64, 65–74 and 75+ years).</w:t>
      </w:r>
    </w:p>
    <w:p w14:paraId="0799A7EC" w14:textId="55EADE25" w:rsidR="00812493" w:rsidRDefault="00812493" w:rsidP="00812493">
      <w:r>
        <w:t>Among MedicineInsight patients aged 55–64, the patient prevalence of osteoporosis in regularly attending patients is lower than the population prevalence estimate</w:t>
      </w:r>
      <w:r w:rsidR="004D74FB">
        <w:t>s in both women and men (Table 25</w:t>
      </w:r>
      <w:r>
        <w:t xml:space="preserve">; Figure </w:t>
      </w:r>
      <w:r w:rsidR="004D74FB">
        <w:t>1</w:t>
      </w:r>
      <w:r>
        <w:t>2). Patient prevalence and population prevalence estimates are similar in women aged 65–69. However, in men aged 65–69 and in both women and men aged 75+ years, the patient prevalence of osteoporosis is higher than the population estimates.</w:t>
      </w:r>
    </w:p>
    <w:p w14:paraId="2CCBC1C2" w14:textId="5AB48BB6" w:rsidR="00812493" w:rsidRPr="001C6067" w:rsidRDefault="004D74FB" w:rsidP="00812493">
      <w:pPr>
        <w:pStyle w:val="Tabletitle"/>
      </w:pPr>
      <w:r>
        <w:t>Table 25</w:t>
      </w:r>
      <w:r w:rsidR="00812493">
        <w:t>: Patient prevalence of recorded osteoporosis among regular attendees between Jan 2018–Dec 2019 (prevalence study population) compared with Australian population prevalence</w:t>
      </w:r>
    </w:p>
    <w:tbl>
      <w:tblPr>
        <w:tblStyle w:val="TableGrid"/>
        <w:tblW w:w="0" w:type="auto"/>
        <w:tblLayout w:type="fixed"/>
        <w:tblLook w:val="04A0" w:firstRow="1" w:lastRow="0" w:firstColumn="1" w:lastColumn="0" w:noHBand="0" w:noVBand="1"/>
        <w:tblCaption w:val="Table 9: Patient prevalence of recorded osteoporosis among regular attendees between Jan 2018–Dec 2019 (prevalence study population) compared with Australian population prevalence"/>
      </w:tblPr>
      <w:tblGrid>
        <w:gridCol w:w="1413"/>
        <w:gridCol w:w="992"/>
        <w:gridCol w:w="1429"/>
        <w:gridCol w:w="1278"/>
        <w:gridCol w:w="3835"/>
      </w:tblGrid>
      <w:tr w:rsidR="00812493" w:rsidRPr="001D0858" w14:paraId="47A0F217" w14:textId="77777777" w:rsidTr="00A41887">
        <w:trPr>
          <w:trHeight w:val="20"/>
          <w:tblHeader/>
        </w:trPr>
        <w:tc>
          <w:tcPr>
            <w:tcW w:w="1413" w:type="dxa"/>
            <w:vMerge w:val="restart"/>
            <w:shd w:val="clear" w:color="auto" w:fill="BFBFBF" w:themeFill="background1" w:themeFillShade="BF"/>
          </w:tcPr>
          <w:p w14:paraId="1FD4EBB9" w14:textId="77777777" w:rsidR="00812493" w:rsidRPr="001D0858" w:rsidRDefault="00812493" w:rsidP="00A41887">
            <w:pPr>
              <w:pStyle w:val="Tableheading"/>
              <w:rPr>
                <w:sz w:val="20"/>
                <w:szCs w:val="20"/>
              </w:rPr>
            </w:pPr>
          </w:p>
        </w:tc>
        <w:tc>
          <w:tcPr>
            <w:tcW w:w="3699" w:type="dxa"/>
            <w:gridSpan w:val="3"/>
            <w:shd w:val="clear" w:color="auto" w:fill="BFBFBF" w:themeFill="background1" w:themeFillShade="BF"/>
          </w:tcPr>
          <w:p w14:paraId="4663CD2E" w14:textId="77777777" w:rsidR="00812493" w:rsidRPr="001D0858" w:rsidRDefault="00812493" w:rsidP="00A41887">
            <w:pPr>
              <w:pStyle w:val="Tableheading"/>
              <w:rPr>
                <w:sz w:val="20"/>
                <w:szCs w:val="20"/>
              </w:rPr>
            </w:pPr>
            <w:r>
              <w:rPr>
                <w:sz w:val="20"/>
                <w:szCs w:val="20"/>
              </w:rPr>
              <w:t>Regular patient prevalence study (3 visits between Jan 2018–Dec 2019)</w:t>
            </w:r>
          </w:p>
        </w:tc>
        <w:tc>
          <w:tcPr>
            <w:tcW w:w="3835" w:type="dxa"/>
            <w:shd w:val="clear" w:color="auto" w:fill="BFBFBF" w:themeFill="background1" w:themeFillShade="BF"/>
          </w:tcPr>
          <w:p w14:paraId="7DC347A8" w14:textId="77777777" w:rsidR="00812493" w:rsidRPr="001D0858" w:rsidRDefault="00812493" w:rsidP="00A41887">
            <w:pPr>
              <w:pStyle w:val="Tableheading"/>
              <w:rPr>
                <w:sz w:val="20"/>
                <w:szCs w:val="20"/>
              </w:rPr>
            </w:pPr>
            <w:r>
              <w:rPr>
                <w:sz w:val="20"/>
                <w:szCs w:val="20"/>
              </w:rPr>
              <w:t>AIHW estimates of osteoporosis population prevalence</w:t>
            </w:r>
          </w:p>
        </w:tc>
      </w:tr>
      <w:tr w:rsidR="00812493" w:rsidRPr="001D0858" w14:paraId="056F263E" w14:textId="77777777" w:rsidTr="00A41887">
        <w:trPr>
          <w:trHeight w:val="20"/>
          <w:tblHeader/>
        </w:trPr>
        <w:tc>
          <w:tcPr>
            <w:tcW w:w="1413" w:type="dxa"/>
            <w:vMerge/>
            <w:shd w:val="clear" w:color="auto" w:fill="BFBFBF" w:themeFill="background1" w:themeFillShade="BF"/>
          </w:tcPr>
          <w:p w14:paraId="04743227" w14:textId="77777777" w:rsidR="00812493" w:rsidRDefault="00812493" w:rsidP="00A41887">
            <w:pPr>
              <w:pStyle w:val="Tableheading"/>
              <w:rPr>
                <w:sz w:val="20"/>
                <w:szCs w:val="20"/>
              </w:rPr>
            </w:pPr>
          </w:p>
        </w:tc>
        <w:tc>
          <w:tcPr>
            <w:tcW w:w="992" w:type="dxa"/>
            <w:shd w:val="clear" w:color="auto" w:fill="BFBFBF" w:themeFill="background1" w:themeFillShade="BF"/>
          </w:tcPr>
          <w:p w14:paraId="78B4B4D1" w14:textId="77777777" w:rsidR="00812493" w:rsidRPr="001D0858" w:rsidRDefault="00812493" w:rsidP="00A41887">
            <w:pPr>
              <w:pStyle w:val="Tableheading"/>
              <w:rPr>
                <w:sz w:val="20"/>
                <w:szCs w:val="20"/>
              </w:rPr>
            </w:pPr>
            <w:r>
              <w:rPr>
                <w:sz w:val="20"/>
                <w:szCs w:val="20"/>
              </w:rPr>
              <w:t>No. eligible patients</w:t>
            </w:r>
          </w:p>
        </w:tc>
        <w:tc>
          <w:tcPr>
            <w:tcW w:w="1429" w:type="dxa"/>
            <w:shd w:val="clear" w:color="auto" w:fill="BFBFBF" w:themeFill="background1" w:themeFillShade="BF"/>
          </w:tcPr>
          <w:p w14:paraId="4789AE09" w14:textId="77777777" w:rsidR="00812493" w:rsidRPr="001D0858" w:rsidRDefault="00812493" w:rsidP="00A41887">
            <w:pPr>
              <w:pStyle w:val="Tableheading"/>
              <w:rPr>
                <w:sz w:val="20"/>
                <w:szCs w:val="20"/>
              </w:rPr>
            </w:pPr>
            <w:r>
              <w:rPr>
                <w:sz w:val="20"/>
                <w:szCs w:val="20"/>
              </w:rPr>
              <w:t>No. patients with record of osteoporosis</w:t>
            </w:r>
          </w:p>
        </w:tc>
        <w:tc>
          <w:tcPr>
            <w:tcW w:w="1278" w:type="dxa"/>
            <w:shd w:val="clear" w:color="auto" w:fill="BFBFBF" w:themeFill="background1" w:themeFillShade="BF"/>
          </w:tcPr>
          <w:p w14:paraId="07E66FB5" w14:textId="77777777" w:rsidR="00812493" w:rsidRPr="001D0858" w:rsidRDefault="00812493" w:rsidP="00A41887">
            <w:pPr>
              <w:pStyle w:val="Tableheading"/>
              <w:rPr>
                <w:sz w:val="20"/>
                <w:szCs w:val="20"/>
              </w:rPr>
            </w:pPr>
            <w:r>
              <w:rPr>
                <w:sz w:val="20"/>
                <w:szCs w:val="20"/>
              </w:rPr>
              <w:t>% (95% CI)</w:t>
            </w:r>
          </w:p>
        </w:tc>
        <w:tc>
          <w:tcPr>
            <w:tcW w:w="3835" w:type="dxa"/>
            <w:shd w:val="clear" w:color="auto" w:fill="BFBFBF" w:themeFill="background1" w:themeFillShade="BF"/>
          </w:tcPr>
          <w:p w14:paraId="2E581D77" w14:textId="77777777" w:rsidR="00812493" w:rsidRPr="001D0858" w:rsidRDefault="00812493" w:rsidP="00A41887">
            <w:pPr>
              <w:pStyle w:val="Tableheading"/>
              <w:rPr>
                <w:sz w:val="20"/>
                <w:szCs w:val="20"/>
              </w:rPr>
            </w:pPr>
            <w:r>
              <w:rPr>
                <w:sz w:val="20"/>
                <w:szCs w:val="20"/>
              </w:rPr>
              <w:t>% (95% CI)</w:t>
            </w:r>
          </w:p>
        </w:tc>
      </w:tr>
      <w:tr w:rsidR="00812493" w:rsidRPr="001D0858" w14:paraId="60846B07" w14:textId="77777777" w:rsidTr="00A41887">
        <w:trPr>
          <w:trHeight w:val="20"/>
        </w:trPr>
        <w:tc>
          <w:tcPr>
            <w:tcW w:w="8947" w:type="dxa"/>
            <w:gridSpan w:val="5"/>
            <w:shd w:val="clear" w:color="auto" w:fill="D9D9D9" w:themeFill="background1" w:themeFillShade="D9"/>
          </w:tcPr>
          <w:p w14:paraId="141ABAFE" w14:textId="77777777" w:rsidR="00812493" w:rsidRPr="00C11A25" w:rsidRDefault="00812493" w:rsidP="00A41887">
            <w:pPr>
              <w:pStyle w:val="Tableheading"/>
              <w:rPr>
                <w:rFonts w:cstheme="minorHAnsi"/>
                <w:sz w:val="20"/>
                <w:szCs w:val="20"/>
              </w:rPr>
            </w:pPr>
            <w:r w:rsidRPr="00C11A25">
              <w:rPr>
                <w:rFonts w:cstheme="minorHAnsi"/>
                <w:sz w:val="20"/>
                <w:szCs w:val="20"/>
              </w:rPr>
              <w:t>Age group (10 years)</w:t>
            </w:r>
          </w:p>
        </w:tc>
      </w:tr>
      <w:tr w:rsidR="00812493" w:rsidRPr="001D0858" w14:paraId="363373BC" w14:textId="77777777" w:rsidTr="00A41887">
        <w:trPr>
          <w:trHeight w:val="20"/>
        </w:trPr>
        <w:tc>
          <w:tcPr>
            <w:tcW w:w="1413" w:type="dxa"/>
          </w:tcPr>
          <w:p w14:paraId="530AD3B1" w14:textId="77777777" w:rsidR="00812493" w:rsidRPr="00B27718" w:rsidRDefault="00812493" w:rsidP="00A41887">
            <w:pPr>
              <w:pStyle w:val="Tableheading"/>
              <w:rPr>
                <w:rFonts w:cstheme="minorHAnsi"/>
                <w:sz w:val="20"/>
                <w:szCs w:val="20"/>
              </w:rPr>
            </w:pPr>
            <w:r>
              <w:rPr>
                <w:rFonts w:cstheme="minorHAnsi"/>
                <w:sz w:val="20"/>
                <w:szCs w:val="20"/>
              </w:rPr>
              <w:t>50–54</w:t>
            </w:r>
          </w:p>
        </w:tc>
        <w:tc>
          <w:tcPr>
            <w:tcW w:w="992" w:type="dxa"/>
          </w:tcPr>
          <w:p w14:paraId="61681992"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139,389</w:t>
            </w:r>
          </w:p>
        </w:tc>
        <w:tc>
          <w:tcPr>
            <w:tcW w:w="1429" w:type="dxa"/>
          </w:tcPr>
          <w:p w14:paraId="71A9E1EF"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2,994</w:t>
            </w:r>
          </w:p>
        </w:tc>
        <w:tc>
          <w:tcPr>
            <w:tcW w:w="1278" w:type="dxa"/>
          </w:tcPr>
          <w:p w14:paraId="1D4D7D3F"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2.1 (2.0–2.3)</w:t>
            </w:r>
          </w:p>
        </w:tc>
        <w:tc>
          <w:tcPr>
            <w:tcW w:w="3835" w:type="dxa"/>
          </w:tcPr>
          <w:p w14:paraId="40CA9142" w14:textId="77777777" w:rsidR="00812493" w:rsidRDefault="00812493" w:rsidP="00A41887">
            <w:pPr>
              <w:pStyle w:val="Tableheading"/>
              <w:rPr>
                <w:rFonts w:cstheme="minorHAnsi"/>
                <w:b w:val="0"/>
                <w:sz w:val="20"/>
                <w:szCs w:val="20"/>
              </w:rPr>
            </w:pPr>
            <w:r>
              <w:rPr>
                <w:rFonts w:cstheme="minorHAnsi"/>
                <w:b w:val="0"/>
                <w:sz w:val="20"/>
                <w:szCs w:val="20"/>
              </w:rPr>
              <w:t>na</w:t>
            </w:r>
          </w:p>
        </w:tc>
      </w:tr>
      <w:tr w:rsidR="00812493" w:rsidRPr="001D0858" w14:paraId="7EE258D9" w14:textId="77777777" w:rsidTr="00A41887">
        <w:trPr>
          <w:trHeight w:val="20"/>
        </w:trPr>
        <w:tc>
          <w:tcPr>
            <w:tcW w:w="1413" w:type="dxa"/>
          </w:tcPr>
          <w:p w14:paraId="6EEBB635" w14:textId="77777777" w:rsidR="00812493" w:rsidRPr="00C11A25" w:rsidRDefault="00812493" w:rsidP="00A41887">
            <w:pPr>
              <w:pStyle w:val="Tableheading"/>
              <w:rPr>
                <w:rFonts w:cstheme="minorHAnsi"/>
                <w:sz w:val="20"/>
                <w:szCs w:val="20"/>
              </w:rPr>
            </w:pPr>
            <w:r w:rsidRPr="00B27718">
              <w:rPr>
                <w:rFonts w:cstheme="minorHAnsi"/>
                <w:sz w:val="20"/>
                <w:szCs w:val="20"/>
              </w:rPr>
              <w:t>55</w:t>
            </w:r>
            <w:r>
              <w:rPr>
                <w:rFonts w:cstheme="minorHAnsi"/>
                <w:sz w:val="20"/>
                <w:szCs w:val="20"/>
              </w:rPr>
              <w:t>–64</w:t>
            </w:r>
          </w:p>
        </w:tc>
        <w:tc>
          <w:tcPr>
            <w:tcW w:w="992" w:type="dxa"/>
          </w:tcPr>
          <w:p w14:paraId="63B9F0F5"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282,919</w:t>
            </w:r>
          </w:p>
        </w:tc>
        <w:tc>
          <w:tcPr>
            <w:tcW w:w="1429" w:type="dxa"/>
          </w:tcPr>
          <w:p w14:paraId="6F5DE1CF"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16,109</w:t>
            </w:r>
          </w:p>
        </w:tc>
        <w:tc>
          <w:tcPr>
            <w:tcW w:w="1278" w:type="dxa"/>
          </w:tcPr>
          <w:p w14:paraId="7FACB73C"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5.7 (5.4–6.0)</w:t>
            </w:r>
          </w:p>
        </w:tc>
        <w:tc>
          <w:tcPr>
            <w:tcW w:w="3835" w:type="dxa"/>
          </w:tcPr>
          <w:p w14:paraId="1FFE6E83" w14:textId="77777777" w:rsidR="00812493" w:rsidRPr="000F2789" w:rsidRDefault="00812493" w:rsidP="00A41887">
            <w:pPr>
              <w:pStyle w:val="Tableheading"/>
              <w:rPr>
                <w:rFonts w:cstheme="minorHAnsi"/>
                <w:b w:val="0"/>
                <w:sz w:val="20"/>
                <w:szCs w:val="20"/>
              </w:rPr>
            </w:pPr>
            <w:r>
              <w:rPr>
                <w:rFonts w:cstheme="minorHAnsi"/>
                <w:b w:val="0"/>
                <w:sz w:val="20"/>
                <w:szCs w:val="20"/>
              </w:rPr>
              <w:t>8.2 (</w:t>
            </w:r>
            <w:r w:rsidRPr="00D15614">
              <w:rPr>
                <w:rFonts w:cstheme="minorHAnsi"/>
                <w:b w:val="0"/>
                <w:sz w:val="20"/>
                <w:szCs w:val="20"/>
              </w:rPr>
              <w:t>7.3–9.2</w:t>
            </w:r>
            <w:r>
              <w:rPr>
                <w:rFonts w:cstheme="minorHAnsi"/>
                <w:b w:val="0"/>
                <w:sz w:val="20"/>
                <w:szCs w:val="20"/>
              </w:rPr>
              <w:t>)</w:t>
            </w:r>
          </w:p>
        </w:tc>
      </w:tr>
      <w:tr w:rsidR="00812493" w:rsidRPr="001D0858" w14:paraId="7CEAF80F" w14:textId="77777777" w:rsidTr="00A41887">
        <w:trPr>
          <w:trHeight w:val="20"/>
        </w:trPr>
        <w:tc>
          <w:tcPr>
            <w:tcW w:w="1413" w:type="dxa"/>
          </w:tcPr>
          <w:p w14:paraId="4C77850D" w14:textId="77777777" w:rsidR="00812493" w:rsidRPr="00C11A25" w:rsidRDefault="00812493" w:rsidP="00A41887">
            <w:pPr>
              <w:pStyle w:val="Tableheading"/>
              <w:rPr>
                <w:rFonts w:cstheme="minorHAnsi"/>
                <w:sz w:val="20"/>
                <w:szCs w:val="20"/>
              </w:rPr>
            </w:pPr>
            <w:r>
              <w:rPr>
                <w:rFonts w:cstheme="minorHAnsi"/>
                <w:sz w:val="20"/>
                <w:szCs w:val="20"/>
              </w:rPr>
              <w:t>65–74</w:t>
            </w:r>
          </w:p>
        </w:tc>
        <w:tc>
          <w:tcPr>
            <w:tcW w:w="992" w:type="dxa"/>
          </w:tcPr>
          <w:p w14:paraId="20382641"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252,747</w:t>
            </w:r>
          </w:p>
        </w:tc>
        <w:tc>
          <w:tcPr>
            <w:tcW w:w="1429" w:type="dxa"/>
          </w:tcPr>
          <w:p w14:paraId="25205FFC"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36,041</w:t>
            </w:r>
          </w:p>
        </w:tc>
        <w:tc>
          <w:tcPr>
            <w:tcW w:w="1278" w:type="dxa"/>
          </w:tcPr>
          <w:p w14:paraId="660F0E40"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14.3 (13.7–14.8)</w:t>
            </w:r>
          </w:p>
        </w:tc>
        <w:tc>
          <w:tcPr>
            <w:tcW w:w="3835" w:type="dxa"/>
          </w:tcPr>
          <w:p w14:paraId="6AA2A6EE" w14:textId="77777777" w:rsidR="00812493" w:rsidRPr="000F2789" w:rsidRDefault="00812493" w:rsidP="00A41887">
            <w:pPr>
              <w:pStyle w:val="Tableheading"/>
              <w:rPr>
                <w:rFonts w:cstheme="minorHAnsi"/>
                <w:b w:val="0"/>
                <w:sz w:val="20"/>
                <w:szCs w:val="20"/>
              </w:rPr>
            </w:pPr>
            <w:r w:rsidRPr="00CA15EC">
              <w:rPr>
                <w:rFonts w:cstheme="minorHAnsi"/>
                <w:b w:val="0"/>
                <w:sz w:val="20"/>
                <w:szCs w:val="20"/>
              </w:rPr>
              <w:t>12.4</w:t>
            </w:r>
            <w:r>
              <w:rPr>
                <w:rFonts w:cstheme="minorHAnsi"/>
                <w:b w:val="0"/>
                <w:sz w:val="20"/>
                <w:szCs w:val="20"/>
              </w:rPr>
              <w:t xml:space="preserve"> (</w:t>
            </w:r>
            <w:r w:rsidRPr="00CA15EC">
              <w:rPr>
                <w:rFonts w:cstheme="minorHAnsi"/>
                <w:b w:val="0"/>
                <w:sz w:val="20"/>
                <w:szCs w:val="20"/>
              </w:rPr>
              <w:t>10.9–13.9</w:t>
            </w:r>
            <w:r>
              <w:rPr>
                <w:rFonts w:cstheme="minorHAnsi"/>
                <w:b w:val="0"/>
                <w:sz w:val="20"/>
                <w:szCs w:val="20"/>
              </w:rPr>
              <w:t>)</w:t>
            </w:r>
          </w:p>
        </w:tc>
      </w:tr>
      <w:tr w:rsidR="00812493" w:rsidRPr="001D0858" w14:paraId="25BD1E5A" w14:textId="77777777" w:rsidTr="00A41887">
        <w:trPr>
          <w:trHeight w:val="20"/>
        </w:trPr>
        <w:tc>
          <w:tcPr>
            <w:tcW w:w="1413" w:type="dxa"/>
          </w:tcPr>
          <w:p w14:paraId="5D3B6476" w14:textId="77777777" w:rsidR="00812493" w:rsidRPr="00C11A25" w:rsidRDefault="00812493" w:rsidP="00A41887">
            <w:pPr>
              <w:pStyle w:val="Tableheading"/>
              <w:rPr>
                <w:rFonts w:cstheme="minorHAnsi"/>
                <w:sz w:val="20"/>
                <w:szCs w:val="20"/>
              </w:rPr>
            </w:pPr>
            <w:r>
              <w:rPr>
                <w:rFonts w:cstheme="minorHAnsi"/>
                <w:sz w:val="20"/>
                <w:szCs w:val="20"/>
              </w:rPr>
              <w:t>75+</w:t>
            </w:r>
          </w:p>
        </w:tc>
        <w:tc>
          <w:tcPr>
            <w:tcW w:w="992" w:type="dxa"/>
          </w:tcPr>
          <w:p w14:paraId="4A89FD60"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221,593</w:t>
            </w:r>
          </w:p>
        </w:tc>
        <w:tc>
          <w:tcPr>
            <w:tcW w:w="1429" w:type="dxa"/>
          </w:tcPr>
          <w:p w14:paraId="2ACA250B"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66,454</w:t>
            </w:r>
          </w:p>
        </w:tc>
        <w:tc>
          <w:tcPr>
            <w:tcW w:w="1278" w:type="dxa"/>
          </w:tcPr>
          <w:p w14:paraId="27FBD051" w14:textId="77777777" w:rsidR="00812493" w:rsidRPr="000F2789" w:rsidRDefault="00812493" w:rsidP="00A41887">
            <w:pPr>
              <w:pStyle w:val="Tableheading"/>
              <w:rPr>
                <w:rFonts w:cstheme="minorHAnsi"/>
                <w:b w:val="0"/>
                <w:sz w:val="20"/>
                <w:szCs w:val="20"/>
              </w:rPr>
            </w:pPr>
            <w:r w:rsidRPr="00837C6E">
              <w:rPr>
                <w:rFonts w:cstheme="minorHAnsi"/>
                <w:b w:val="0"/>
                <w:sz w:val="20"/>
                <w:szCs w:val="20"/>
              </w:rPr>
              <w:t>30.0 (29.0–31.0)</w:t>
            </w:r>
          </w:p>
        </w:tc>
        <w:tc>
          <w:tcPr>
            <w:tcW w:w="3835" w:type="dxa"/>
          </w:tcPr>
          <w:p w14:paraId="02738B8C" w14:textId="77777777" w:rsidR="00812493" w:rsidRPr="000F2789" w:rsidRDefault="00812493" w:rsidP="00A41887">
            <w:pPr>
              <w:pStyle w:val="Tableheading"/>
              <w:rPr>
                <w:rFonts w:cstheme="minorHAnsi"/>
                <w:b w:val="0"/>
                <w:sz w:val="20"/>
                <w:szCs w:val="20"/>
              </w:rPr>
            </w:pPr>
            <w:r w:rsidRPr="00CA15EC">
              <w:rPr>
                <w:rFonts w:cstheme="minorHAnsi"/>
                <w:b w:val="0"/>
                <w:sz w:val="20"/>
                <w:szCs w:val="20"/>
              </w:rPr>
              <w:t>20.5</w:t>
            </w:r>
            <w:r>
              <w:rPr>
                <w:rFonts w:cstheme="minorHAnsi"/>
                <w:b w:val="0"/>
                <w:sz w:val="20"/>
                <w:szCs w:val="20"/>
              </w:rPr>
              <w:t xml:space="preserve"> (</w:t>
            </w:r>
            <w:r w:rsidRPr="00CA15EC">
              <w:rPr>
                <w:rFonts w:cstheme="minorHAnsi"/>
                <w:b w:val="0"/>
                <w:sz w:val="20"/>
                <w:szCs w:val="20"/>
              </w:rPr>
              <w:t>18.0–23.0</w:t>
            </w:r>
            <w:r>
              <w:rPr>
                <w:rFonts w:cstheme="minorHAnsi"/>
                <w:b w:val="0"/>
                <w:sz w:val="20"/>
                <w:szCs w:val="20"/>
              </w:rPr>
              <w:t>)</w:t>
            </w:r>
          </w:p>
        </w:tc>
      </w:tr>
      <w:tr w:rsidR="00812493" w:rsidRPr="001D0858" w14:paraId="7BFD0044" w14:textId="77777777" w:rsidTr="00A41887">
        <w:trPr>
          <w:trHeight w:val="20"/>
        </w:trPr>
        <w:tc>
          <w:tcPr>
            <w:tcW w:w="8947" w:type="dxa"/>
            <w:gridSpan w:val="5"/>
            <w:shd w:val="clear" w:color="auto" w:fill="D9D9D9" w:themeFill="background1" w:themeFillShade="D9"/>
          </w:tcPr>
          <w:p w14:paraId="634227C8" w14:textId="77777777" w:rsidR="00812493" w:rsidRPr="00C11A25" w:rsidRDefault="00812493" w:rsidP="00A41887">
            <w:pPr>
              <w:pStyle w:val="Tableheading"/>
              <w:rPr>
                <w:sz w:val="20"/>
                <w:szCs w:val="20"/>
              </w:rPr>
            </w:pPr>
            <w:r w:rsidRPr="00C11A25">
              <w:rPr>
                <w:sz w:val="20"/>
                <w:szCs w:val="20"/>
              </w:rPr>
              <w:t>Sex/age group</w:t>
            </w:r>
          </w:p>
        </w:tc>
      </w:tr>
      <w:tr w:rsidR="00812493" w:rsidRPr="001D0858" w14:paraId="0D1A96BC" w14:textId="77777777" w:rsidTr="00A41887">
        <w:trPr>
          <w:trHeight w:val="20"/>
        </w:trPr>
        <w:tc>
          <w:tcPr>
            <w:tcW w:w="1413" w:type="dxa"/>
          </w:tcPr>
          <w:p w14:paraId="34001E06" w14:textId="77777777" w:rsidR="00812493" w:rsidRPr="00C11A25" w:rsidRDefault="00812493" w:rsidP="00A41887">
            <w:pPr>
              <w:pStyle w:val="Tableheading"/>
              <w:rPr>
                <w:sz w:val="20"/>
                <w:szCs w:val="20"/>
              </w:rPr>
            </w:pPr>
            <w:r>
              <w:rPr>
                <w:sz w:val="20"/>
                <w:szCs w:val="20"/>
              </w:rPr>
              <w:lastRenderedPageBreak/>
              <w:t>Female 50–54</w:t>
            </w:r>
          </w:p>
        </w:tc>
        <w:tc>
          <w:tcPr>
            <w:tcW w:w="992" w:type="dxa"/>
          </w:tcPr>
          <w:p w14:paraId="038CA69F" w14:textId="77777777" w:rsidR="00812493" w:rsidRPr="001D0858" w:rsidRDefault="00812493" w:rsidP="00A41887">
            <w:pPr>
              <w:pStyle w:val="Tableheading"/>
              <w:rPr>
                <w:b w:val="0"/>
                <w:sz w:val="20"/>
                <w:szCs w:val="20"/>
              </w:rPr>
            </w:pPr>
            <w:r w:rsidRPr="00AA0A77">
              <w:rPr>
                <w:b w:val="0"/>
                <w:sz w:val="20"/>
                <w:szCs w:val="20"/>
              </w:rPr>
              <w:t>78,928</w:t>
            </w:r>
          </w:p>
        </w:tc>
        <w:tc>
          <w:tcPr>
            <w:tcW w:w="1429" w:type="dxa"/>
          </w:tcPr>
          <w:p w14:paraId="45E0DE74" w14:textId="77777777" w:rsidR="00812493" w:rsidRPr="001D0858" w:rsidRDefault="00812493" w:rsidP="00A41887">
            <w:pPr>
              <w:pStyle w:val="Tableheading"/>
              <w:rPr>
                <w:b w:val="0"/>
                <w:sz w:val="20"/>
                <w:szCs w:val="20"/>
              </w:rPr>
            </w:pPr>
            <w:r w:rsidRPr="00AA0A77">
              <w:rPr>
                <w:b w:val="0"/>
                <w:sz w:val="20"/>
                <w:szCs w:val="20"/>
              </w:rPr>
              <w:t>2,414</w:t>
            </w:r>
          </w:p>
        </w:tc>
        <w:tc>
          <w:tcPr>
            <w:tcW w:w="1278" w:type="dxa"/>
          </w:tcPr>
          <w:p w14:paraId="5EC2E6EC" w14:textId="77777777" w:rsidR="00812493" w:rsidRPr="001D0858" w:rsidRDefault="00812493" w:rsidP="00A41887">
            <w:pPr>
              <w:pStyle w:val="Tableheading"/>
              <w:rPr>
                <w:b w:val="0"/>
                <w:sz w:val="20"/>
                <w:szCs w:val="20"/>
              </w:rPr>
            </w:pPr>
            <w:r w:rsidRPr="00AA0A77">
              <w:rPr>
                <w:b w:val="0"/>
                <w:sz w:val="20"/>
                <w:szCs w:val="20"/>
              </w:rPr>
              <w:t>3.1 (2.8–3.3)</w:t>
            </w:r>
          </w:p>
        </w:tc>
        <w:tc>
          <w:tcPr>
            <w:tcW w:w="3835" w:type="dxa"/>
          </w:tcPr>
          <w:p w14:paraId="7621E351" w14:textId="77777777" w:rsidR="00812493" w:rsidRPr="004944FC" w:rsidRDefault="00812493" w:rsidP="00A41887">
            <w:pPr>
              <w:pStyle w:val="Tableheading"/>
              <w:rPr>
                <w:b w:val="0"/>
                <w:sz w:val="20"/>
                <w:szCs w:val="20"/>
              </w:rPr>
            </w:pPr>
            <w:r>
              <w:rPr>
                <w:b w:val="0"/>
                <w:sz w:val="20"/>
                <w:szCs w:val="20"/>
              </w:rPr>
              <w:t>na</w:t>
            </w:r>
          </w:p>
        </w:tc>
      </w:tr>
      <w:tr w:rsidR="00812493" w:rsidRPr="001D0858" w14:paraId="7AE32CEA" w14:textId="77777777" w:rsidTr="00A41887">
        <w:trPr>
          <w:trHeight w:val="20"/>
        </w:trPr>
        <w:tc>
          <w:tcPr>
            <w:tcW w:w="1413" w:type="dxa"/>
          </w:tcPr>
          <w:p w14:paraId="50156AF6" w14:textId="77777777" w:rsidR="00812493" w:rsidRPr="00C11A25" w:rsidRDefault="00812493" w:rsidP="00A41887">
            <w:pPr>
              <w:pStyle w:val="Tableheading"/>
              <w:rPr>
                <w:sz w:val="20"/>
                <w:szCs w:val="20"/>
              </w:rPr>
            </w:pPr>
            <w:r w:rsidRPr="00C11A25">
              <w:rPr>
                <w:sz w:val="20"/>
                <w:szCs w:val="20"/>
              </w:rPr>
              <w:t>Female 5</w:t>
            </w:r>
            <w:r>
              <w:rPr>
                <w:sz w:val="20"/>
                <w:szCs w:val="20"/>
              </w:rPr>
              <w:t>5</w:t>
            </w:r>
            <w:r w:rsidRPr="00C11A25">
              <w:rPr>
                <w:sz w:val="20"/>
                <w:szCs w:val="20"/>
              </w:rPr>
              <w:t>–</w:t>
            </w:r>
            <w:r>
              <w:rPr>
                <w:sz w:val="20"/>
                <w:szCs w:val="20"/>
              </w:rPr>
              <w:t>64</w:t>
            </w:r>
          </w:p>
        </w:tc>
        <w:tc>
          <w:tcPr>
            <w:tcW w:w="992" w:type="dxa"/>
          </w:tcPr>
          <w:p w14:paraId="60B52FD7" w14:textId="77777777" w:rsidR="00812493" w:rsidRPr="001D0858" w:rsidRDefault="00812493" w:rsidP="00A41887">
            <w:pPr>
              <w:pStyle w:val="Tableheading"/>
              <w:rPr>
                <w:b w:val="0"/>
                <w:sz w:val="20"/>
                <w:szCs w:val="20"/>
              </w:rPr>
            </w:pPr>
            <w:r w:rsidRPr="00AA0A77">
              <w:rPr>
                <w:b w:val="0"/>
                <w:sz w:val="20"/>
                <w:szCs w:val="20"/>
              </w:rPr>
              <w:t>155,090</w:t>
            </w:r>
          </w:p>
        </w:tc>
        <w:tc>
          <w:tcPr>
            <w:tcW w:w="1429" w:type="dxa"/>
          </w:tcPr>
          <w:p w14:paraId="21F92818" w14:textId="77777777" w:rsidR="00812493" w:rsidRPr="001D0858" w:rsidRDefault="00812493" w:rsidP="00A41887">
            <w:pPr>
              <w:pStyle w:val="Tableheading"/>
              <w:rPr>
                <w:b w:val="0"/>
                <w:sz w:val="20"/>
                <w:szCs w:val="20"/>
              </w:rPr>
            </w:pPr>
            <w:r w:rsidRPr="00AA0A77">
              <w:rPr>
                <w:b w:val="0"/>
                <w:sz w:val="20"/>
                <w:szCs w:val="20"/>
              </w:rPr>
              <w:t>13,774</w:t>
            </w:r>
          </w:p>
        </w:tc>
        <w:tc>
          <w:tcPr>
            <w:tcW w:w="1278" w:type="dxa"/>
          </w:tcPr>
          <w:p w14:paraId="6E83E427" w14:textId="77777777" w:rsidR="00812493" w:rsidRPr="001D0858" w:rsidRDefault="00812493" w:rsidP="00A41887">
            <w:pPr>
              <w:pStyle w:val="Tableheading"/>
              <w:rPr>
                <w:b w:val="0"/>
                <w:sz w:val="20"/>
                <w:szCs w:val="20"/>
              </w:rPr>
            </w:pPr>
            <w:r w:rsidRPr="00AA0A77">
              <w:rPr>
                <w:b w:val="0"/>
                <w:sz w:val="20"/>
                <w:szCs w:val="20"/>
              </w:rPr>
              <w:t>8.9 (8.4–9.4)</w:t>
            </w:r>
          </w:p>
        </w:tc>
        <w:tc>
          <w:tcPr>
            <w:tcW w:w="3835" w:type="dxa"/>
          </w:tcPr>
          <w:p w14:paraId="54D4984A" w14:textId="77777777" w:rsidR="00812493" w:rsidRPr="001D0858" w:rsidRDefault="00812493" w:rsidP="00A41887">
            <w:pPr>
              <w:pStyle w:val="Tableheading"/>
              <w:rPr>
                <w:b w:val="0"/>
                <w:sz w:val="20"/>
                <w:szCs w:val="20"/>
              </w:rPr>
            </w:pPr>
            <w:r w:rsidRPr="004944FC">
              <w:rPr>
                <w:b w:val="0"/>
                <w:sz w:val="20"/>
                <w:szCs w:val="20"/>
              </w:rPr>
              <w:t>13.0</w:t>
            </w:r>
            <w:r>
              <w:rPr>
                <w:b w:val="0"/>
                <w:sz w:val="20"/>
                <w:szCs w:val="20"/>
              </w:rPr>
              <w:t xml:space="preserve"> (</w:t>
            </w:r>
            <w:r w:rsidRPr="004944FC">
              <w:rPr>
                <w:b w:val="0"/>
                <w:sz w:val="20"/>
                <w:szCs w:val="20"/>
              </w:rPr>
              <w:t>11.4–14.6</w:t>
            </w:r>
            <w:r>
              <w:rPr>
                <w:b w:val="0"/>
                <w:sz w:val="20"/>
                <w:szCs w:val="20"/>
              </w:rPr>
              <w:t>)</w:t>
            </w:r>
          </w:p>
        </w:tc>
      </w:tr>
      <w:tr w:rsidR="00812493" w:rsidRPr="001D0858" w14:paraId="4E4D59FA" w14:textId="77777777" w:rsidTr="00A41887">
        <w:trPr>
          <w:trHeight w:val="20"/>
        </w:trPr>
        <w:tc>
          <w:tcPr>
            <w:tcW w:w="1413" w:type="dxa"/>
          </w:tcPr>
          <w:p w14:paraId="783F0BA2" w14:textId="77777777" w:rsidR="00812493" w:rsidRPr="00C11A25" w:rsidRDefault="00812493" w:rsidP="00A41887">
            <w:pPr>
              <w:pStyle w:val="Tableheading"/>
              <w:rPr>
                <w:sz w:val="20"/>
                <w:szCs w:val="20"/>
              </w:rPr>
            </w:pPr>
            <w:r w:rsidRPr="00C11A25">
              <w:rPr>
                <w:sz w:val="20"/>
                <w:szCs w:val="20"/>
              </w:rPr>
              <w:t>Female 6</w:t>
            </w:r>
            <w:r>
              <w:rPr>
                <w:sz w:val="20"/>
                <w:szCs w:val="20"/>
              </w:rPr>
              <w:t>5</w:t>
            </w:r>
            <w:r w:rsidRPr="00C11A25">
              <w:rPr>
                <w:sz w:val="20"/>
                <w:szCs w:val="20"/>
              </w:rPr>
              <w:t>–</w:t>
            </w:r>
            <w:r>
              <w:rPr>
                <w:sz w:val="20"/>
                <w:szCs w:val="20"/>
              </w:rPr>
              <w:t>74</w:t>
            </w:r>
          </w:p>
        </w:tc>
        <w:tc>
          <w:tcPr>
            <w:tcW w:w="992" w:type="dxa"/>
          </w:tcPr>
          <w:p w14:paraId="25AE4528" w14:textId="77777777" w:rsidR="00812493" w:rsidRPr="001D0858" w:rsidRDefault="00812493" w:rsidP="00A41887">
            <w:pPr>
              <w:pStyle w:val="Tableheading"/>
              <w:rPr>
                <w:b w:val="0"/>
                <w:sz w:val="20"/>
                <w:szCs w:val="20"/>
              </w:rPr>
            </w:pPr>
            <w:r w:rsidRPr="00AA0A77">
              <w:rPr>
                <w:b w:val="0"/>
                <w:sz w:val="20"/>
                <w:szCs w:val="20"/>
              </w:rPr>
              <w:t>134,181</w:t>
            </w:r>
          </w:p>
        </w:tc>
        <w:tc>
          <w:tcPr>
            <w:tcW w:w="1429" w:type="dxa"/>
          </w:tcPr>
          <w:p w14:paraId="299FDA63" w14:textId="77777777" w:rsidR="00812493" w:rsidRPr="001D0858" w:rsidRDefault="00812493" w:rsidP="00A41887">
            <w:pPr>
              <w:pStyle w:val="Tableheading"/>
              <w:rPr>
                <w:b w:val="0"/>
                <w:sz w:val="20"/>
                <w:szCs w:val="20"/>
              </w:rPr>
            </w:pPr>
            <w:r w:rsidRPr="00AA0A77">
              <w:rPr>
                <w:b w:val="0"/>
                <w:sz w:val="20"/>
                <w:szCs w:val="20"/>
              </w:rPr>
              <w:t>29,406</w:t>
            </w:r>
          </w:p>
        </w:tc>
        <w:tc>
          <w:tcPr>
            <w:tcW w:w="1278" w:type="dxa"/>
          </w:tcPr>
          <w:p w14:paraId="7489CD0C" w14:textId="77777777" w:rsidR="00812493" w:rsidRPr="001D0858" w:rsidRDefault="00812493" w:rsidP="00A41887">
            <w:pPr>
              <w:pStyle w:val="Tableheading"/>
              <w:rPr>
                <w:b w:val="0"/>
                <w:sz w:val="20"/>
                <w:szCs w:val="20"/>
              </w:rPr>
            </w:pPr>
            <w:r w:rsidRPr="00AA0A77">
              <w:rPr>
                <w:b w:val="0"/>
                <w:sz w:val="20"/>
                <w:szCs w:val="20"/>
              </w:rPr>
              <w:t>21.9 (21.2–22.7)</w:t>
            </w:r>
          </w:p>
        </w:tc>
        <w:tc>
          <w:tcPr>
            <w:tcW w:w="3835" w:type="dxa"/>
          </w:tcPr>
          <w:p w14:paraId="658C3154" w14:textId="77777777" w:rsidR="00812493" w:rsidRPr="001D0858" w:rsidRDefault="00812493" w:rsidP="00A41887">
            <w:pPr>
              <w:pStyle w:val="Tableheading"/>
              <w:rPr>
                <w:b w:val="0"/>
                <w:sz w:val="20"/>
                <w:szCs w:val="20"/>
              </w:rPr>
            </w:pPr>
            <w:r w:rsidRPr="004944FC">
              <w:rPr>
                <w:b w:val="0"/>
                <w:sz w:val="20"/>
                <w:szCs w:val="20"/>
              </w:rPr>
              <w:t>21.1</w:t>
            </w:r>
            <w:r>
              <w:rPr>
                <w:b w:val="0"/>
                <w:sz w:val="20"/>
                <w:szCs w:val="20"/>
              </w:rPr>
              <w:t xml:space="preserve"> (</w:t>
            </w:r>
            <w:r w:rsidRPr="004944FC">
              <w:rPr>
                <w:b w:val="0"/>
                <w:sz w:val="20"/>
                <w:szCs w:val="20"/>
              </w:rPr>
              <w:t>18.3–24.0</w:t>
            </w:r>
            <w:r>
              <w:rPr>
                <w:b w:val="0"/>
                <w:sz w:val="20"/>
                <w:szCs w:val="20"/>
              </w:rPr>
              <w:t>)</w:t>
            </w:r>
          </w:p>
        </w:tc>
      </w:tr>
      <w:tr w:rsidR="00812493" w:rsidRPr="001D0858" w14:paraId="7D0564C9" w14:textId="77777777" w:rsidTr="00A41887">
        <w:trPr>
          <w:trHeight w:val="20"/>
        </w:trPr>
        <w:tc>
          <w:tcPr>
            <w:tcW w:w="1413" w:type="dxa"/>
          </w:tcPr>
          <w:p w14:paraId="0881AC55" w14:textId="77777777" w:rsidR="00812493" w:rsidRPr="00C11A25" w:rsidRDefault="00812493" w:rsidP="00A41887">
            <w:pPr>
              <w:pStyle w:val="Tableheading"/>
              <w:rPr>
                <w:sz w:val="20"/>
                <w:szCs w:val="20"/>
              </w:rPr>
            </w:pPr>
            <w:r w:rsidRPr="00C11A25">
              <w:rPr>
                <w:sz w:val="20"/>
                <w:szCs w:val="20"/>
              </w:rPr>
              <w:t>Female 7</w:t>
            </w:r>
            <w:r>
              <w:rPr>
                <w:sz w:val="20"/>
                <w:szCs w:val="20"/>
              </w:rPr>
              <w:t>5</w:t>
            </w:r>
            <w:r w:rsidRPr="00C11A25">
              <w:rPr>
                <w:sz w:val="20"/>
                <w:szCs w:val="20"/>
              </w:rPr>
              <w:t>+</w:t>
            </w:r>
          </w:p>
        </w:tc>
        <w:tc>
          <w:tcPr>
            <w:tcW w:w="992" w:type="dxa"/>
          </w:tcPr>
          <w:p w14:paraId="71BCEA8E" w14:textId="77777777" w:rsidR="00812493" w:rsidRPr="001D0858" w:rsidRDefault="00812493" w:rsidP="00A41887">
            <w:pPr>
              <w:pStyle w:val="Tableheading"/>
              <w:rPr>
                <w:b w:val="0"/>
                <w:sz w:val="20"/>
                <w:szCs w:val="20"/>
              </w:rPr>
            </w:pPr>
            <w:r w:rsidRPr="00AA0A77">
              <w:rPr>
                <w:b w:val="0"/>
                <w:sz w:val="20"/>
                <w:szCs w:val="20"/>
              </w:rPr>
              <w:t>124,560</w:t>
            </w:r>
          </w:p>
        </w:tc>
        <w:tc>
          <w:tcPr>
            <w:tcW w:w="1429" w:type="dxa"/>
          </w:tcPr>
          <w:p w14:paraId="777F33D5" w14:textId="77777777" w:rsidR="00812493" w:rsidRPr="001D0858" w:rsidRDefault="00812493" w:rsidP="00A41887">
            <w:pPr>
              <w:pStyle w:val="Tableheading"/>
              <w:rPr>
                <w:b w:val="0"/>
                <w:sz w:val="20"/>
                <w:szCs w:val="20"/>
              </w:rPr>
            </w:pPr>
            <w:r w:rsidRPr="00AA0A77">
              <w:rPr>
                <w:b w:val="0"/>
                <w:sz w:val="20"/>
                <w:szCs w:val="20"/>
              </w:rPr>
              <w:t>50,661</w:t>
            </w:r>
          </w:p>
        </w:tc>
        <w:tc>
          <w:tcPr>
            <w:tcW w:w="1278" w:type="dxa"/>
          </w:tcPr>
          <w:p w14:paraId="65F46218" w14:textId="77777777" w:rsidR="00812493" w:rsidRPr="001D0858" w:rsidRDefault="00812493" w:rsidP="00A41887">
            <w:pPr>
              <w:pStyle w:val="Tableheading"/>
              <w:rPr>
                <w:b w:val="0"/>
                <w:sz w:val="20"/>
                <w:szCs w:val="20"/>
              </w:rPr>
            </w:pPr>
            <w:r w:rsidRPr="00AA0A77">
              <w:rPr>
                <w:b w:val="0"/>
                <w:sz w:val="20"/>
                <w:szCs w:val="20"/>
              </w:rPr>
              <w:t>40.7 (39.6–41.8)</w:t>
            </w:r>
          </w:p>
        </w:tc>
        <w:tc>
          <w:tcPr>
            <w:tcW w:w="3835" w:type="dxa"/>
          </w:tcPr>
          <w:p w14:paraId="6B642C53" w14:textId="77777777" w:rsidR="00812493" w:rsidRPr="001D0858" w:rsidRDefault="00812493" w:rsidP="00A41887">
            <w:pPr>
              <w:pStyle w:val="Tableheading"/>
              <w:rPr>
                <w:b w:val="0"/>
                <w:sz w:val="20"/>
                <w:szCs w:val="20"/>
              </w:rPr>
            </w:pPr>
            <w:r w:rsidRPr="00E54E0D">
              <w:rPr>
                <w:b w:val="0"/>
                <w:sz w:val="20"/>
                <w:szCs w:val="20"/>
              </w:rPr>
              <w:t>29.2</w:t>
            </w:r>
            <w:r>
              <w:rPr>
                <w:b w:val="0"/>
                <w:sz w:val="20"/>
                <w:szCs w:val="20"/>
              </w:rPr>
              <w:t xml:space="preserve"> (</w:t>
            </w:r>
            <w:r w:rsidRPr="00E54E0D">
              <w:rPr>
                <w:b w:val="0"/>
                <w:sz w:val="20"/>
                <w:szCs w:val="20"/>
              </w:rPr>
              <w:t>25.2–33.3</w:t>
            </w:r>
            <w:r>
              <w:rPr>
                <w:b w:val="0"/>
                <w:sz w:val="20"/>
                <w:szCs w:val="20"/>
              </w:rPr>
              <w:t>)</w:t>
            </w:r>
          </w:p>
        </w:tc>
      </w:tr>
      <w:tr w:rsidR="00812493" w:rsidRPr="001D0858" w14:paraId="20E91AB7" w14:textId="77777777" w:rsidTr="00A41887">
        <w:trPr>
          <w:trHeight w:val="20"/>
        </w:trPr>
        <w:tc>
          <w:tcPr>
            <w:tcW w:w="1413" w:type="dxa"/>
          </w:tcPr>
          <w:p w14:paraId="52F85DF1" w14:textId="77777777" w:rsidR="00812493" w:rsidRPr="00C11A25" w:rsidRDefault="00812493" w:rsidP="00A41887">
            <w:pPr>
              <w:pStyle w:val="Tableheading"/>
              <w:rPr>
                <w:sz w:val="20"/>
                <w:szCs w:val="20"/>
              </w:rPr>
            </w:pPr>
            <w:r>
              <w:rPr>
                <w:sz w:val="20"/>
                <w:szCs w:val="20"/>
              </w:rPr>
              <w:t>Male 50–54</w:t>
            </w:r>
          </w:p>
        </w:tc>
        <w:tc>
          <w:tcPr>
            <w:tcW w:w="992" w:type="dxa"/>
          </w:tcPr>
          <w:p w14:paraId="1D38C82F" w14:textId="77777777" w:rsidR="00812493" w:rsidRPr="001D0858" w:rsidRDefault="00812493" w:rsidP="00A41887">
            <w:pPr>
              <w:pStyle w:val="Tableheading"/>
              <w:rPr>
                <w:b w:val="0"/>
                <w:sz w:val="20"/>
                <w:szCs w:val="20"/>
              </w:rPr>
            </w:pPr>
            <w:r w:rsidRPr="00A467D6">
              <w:rPr>
                <w:b w:val="0"/>
                <w:sz w:val="20"/>
                <w:szCs w:val="20"/>
              </w:rPr>
              <w:t>60,461</w:t>
            </w:r>
          </w:p>
        </w:tc>
        <w:tc>
          <w:tcPr>
            <w:tcW w:w="1429" w:type="dxa"/>
          </w:tcPr>
          <w:p w14:paraId="2664808D" w14:textId="77777777" w:rsidR="00812493" w:rsidRPr="001D0858" w:rsidRDefault="00812493" w:rsidP="00A41887">
            <w:pPr>
              <w:pStyle w:val="Tableheading"/>
              <w:rPr>
                <w:b w:val="0"/>
                <w:sz w:val="20"/>
                <w:szCs w:val="20"/>
              </w:rPr>
            </w:pPr>
            <w:r w:rsidRPr="00A467D6">
              <w:rPr>
                <w:b w:val="0"/>
                <w:sz w:val="20"/>
                <w:szCs w:val="20"/>
              </w:rPr>
              <w:t>580</w:t>
            </w:r>
          </w:p>
        </w:tc>
        <w:tc>
          <w:tcPr>
            <w:tcW w:w="1278" w:type="dxa"/>
          </w:tcPr>
          <w:p w14:paraId="78A47404" w14:textId="77777777" w:rsidR="00812493" w:rsidRPr="001D0858" w:rsidRDefault="00812493" w:rsidP="00A41887">
            <w:pPr>
              <w:pStyle w:val="Tableheading"/>
              <w:rPr>
                <w:b w:val="0"/>
                <w:sz w:val="20"/>
                <w:szCs w:val="20"/>
              </w:rPr>
            </w:pPr>
            <w:r w:rsidRPr="00A467D6">
              <w:rPr>
                <w:b w:val="0"/>
                <w:sz w:val="20"/>
                <w:szCs w:val="20"/>
              </w:rPr>
              <w:t>1.0 (0.9–1.1)</w:t>
            </w:r>
          </w:p>
        </w:tc>
        <w:tc>
          <w:tcPr>
            <w:tcW w:w="3835" w:type="dxa"/>
          </w:tcPr>
          <w:p w14:paraId="5803B2A4" w14:textId="77777777" w:rsidR="00812493" w:rsidRPr="004944FC" w:rsidRDefault="00812493" w:rsidP="00A41887">
            <w:pPr>
              <w:pStyle w:val="Tableheading"/>
              <w:rPr>
                <w:b w:val="0"/>
                <w:sz w:val="20"/>
                <w:szCs w:val="20"/>
              </w:rPr>
            </w:pPr>
            <w:r>
              <w:rPr>
                <w:b w:val="0"/>
                <w:sz w:val="20"/>
                <w:szCs w:val="20"/>
              </w:rPr>
              <w:t>na</w:t>
            </w:r>
          </w:p>
        </w:tc>
      </w:tr>
      <w:tr w:rsidR="00812493" w:rsidRPr="001D0858" w14:paraId="5BC8285C" w14:textId="77777777" w:rsidTr="00A41887">
        <w:trPr>
          <w:trHeight w:val="20"/>
        </w:trPr>
        <w:tc>
          <w:tcPr>
            <w:tcW w:w="1413" w:type="dxa"/>
          </w:tcPr>
          <w:p w14:paraId="29B2AFDB" w14:textId="77777777" w:rsidR="00812493" w:rsidRPr="00C11A25" w:rsidRDefault="00812493" w:rsidP="00A41887">
            <w:pPr>
              <w:pStyle w:val="Tableheading"/>
              <w:rPr>
                <w:sz w:val="20"/>
                <w:szCs w:val="20"/>
              </w:rPr>
            </w:pPr>
            <w:r w:rsidRPr="00C11A25">
              <w:rPr>
                <w:sz w:val="20"/>
                <w:szCs w:val="20"/>
              </w:rPr>
              <w:t>Male 5</w:t>
            </w:r>
            <w:r>
              <w:rPr>
                <w:sz w:val="20"/>
                <w:szCs w:val="20"/>
              </w:rPr>
              <w:t>5</w:t>
            </w:r>
            <w:r w:rsidRPr="00C11A25">
              <w:rPr>
                <w:sz w:val="20"/>
                <w:szCs w:val="20"/>
              </w:rPr>
              <w:t>–</w:t>
            </w:r>
            <w:r>
              <w:rPr>
                <w:sz w:val="20"/>
                <w:szCs w:val="20"/>
              </w:rPr>
              <w:t>64</w:t>
            </w:r>
          </w:p>
        </w:tc>
        <w:tc>
          <w:tcPr>
            <w:tcW w:w="992" w:type="dxa"/>
          </w:tcPr>
          <w:p w14:paraId="47112213" w14:textId="77777777" w:rsidR="00812493" w:rsidRPr="001D0858" w:rsidRDefault="00812493" w:rsidP="00A41887">
            <w:pPr>
              <w:pStyle w:val="Tableheading"/>
              <w:rPr>
                <w:b w:val="0"/>
                <w:sz w:val="20"/>
                <w:szCs w:val="20"/>
              </w:rPr>
            </w:pPr>
            <w:r w:rsidRPr="00A467D6">
              <w:rPr>
                <w:b w:val="0"/>
                <w:sz w:val="20"/>
                <w:szCs w:val="20"/>
              </w:rPr>
              <w:t>127,829</w:t>
            </w:r>
          </w:p>
        </w:tc>
        <w:tc>
          <w:tcPr>
            <w:tcW w:w="1429" w:type="dxa"/>
          </w:tcPr>
          <w:p w14:paraId="7755119C" w14:textId="77777777" w:rsidR="00812493" w:rsidRPr="001D0858" w:rsidRDefault="00812493" w:rsidP="00A41887">
            <w:pPr>
              <w:pStyle w:val="Tableheading"/>
              <w:rPr>
                <w:b w:val="0"/>
                <w:sz w:val="20"/>
                <w:szCs w:val="20"/>
              </w:rPr>
            </w:pPr>
            <w:r w:rsidRPr="00A467D6">
              <w:rPr>
                <w:b w:val="0"/>
                <w:sz w:val="20"/>
                <w:szCs w:val="20"/>
              </w:rPr>
              <w:t>2,335</w:t>
            </w:r>
          </w:p>
        </w:tc>
        <w:tc>
          <w:tcPr>
            <w:tcW w:w="1278" w:type="dxa"/>
          </w:tcPr>
          <w:p w14:paraId="15917E4B" w14:textId="77777777" w:rsidR="00812493" w:rsidRPr="001D0858" w:rsidRDefault="00812493" w:rsidP="00A41887">
            <w:pPr>
              <w:pStyle w:val="Tableheading"/>
              <w:rPr>
                <w:b w:val="0"/>
                <w:sz w:val="20"/>
                <w:szCs w:val="20"/>
              </w:rPr>
            </w:pPr>
            <w:r w:rsidRPr="00A467D6">
              <w:rPr>
                <w:b w:val="0"/>
                <w:sz w:val="20"/>
                <w:szCs w:val="20"/>
              </w:rPr>
              <w:t>1.8 (1.7–2.0)</w:t>
            </w:r>
          </w:p>
        </w:tc>
        <w:tc>
          <w:tcPr>
            <w:tcW w:w="3835" w:type="dxa"/>
          </w:tcPr>
          <w:p w14:paraId="09A6B706" w14:textId="77777777" w:rsidR="00812493" w:rsidRPr="001D0858" w:rsidRDefault="00812493" w:rsidP="00A41887">
            <w:pPr>
              <w:pStyle w:val="Tableheading"/>
              <w:rPr>
                <w:b w:val="0"/>
                <w:sz w:val="20"/>
                <w:szCs w:val="20"/>
              </w:rPr>
            </w:pPr>
            <w:r w:rsidRPr="004944FC">
              <w:rPr>
                <w:b w:val="0"/>
                <w:sz w:val="20"/>
                <w:szCs w:val="20"/>
              </w:rPr>
              <w:t>3.2</w:t>
            </w:r>
            <w:r>
              <w:rPr>
                <w:b w:val="0"/>
                <w:sz w:val="20"/>
                <w:szCs w:val="20"/>
              </w:rPr>
              <w:t xml:space="preserve"> (</w:t>
            </w:r>
            <w:r w:rsidRPr="004944FC">
              <w:rPr>
                <w:b w:val="0"/>
                <w:sz w:val="20"/>
                <w:szCs w:val="20"/>
              </w:rPr>
              <w:t>1.9–4.4</w:t>
            </w:r>
            <w:r>
              <w:rPr>
                <w:b w:val="0"/>
                <w:sz w:val="20"/>
                <w:szCs w:val="20"/>
              </w:rPr>
              <w:t>)</w:t>
            </w:r>
          </w:p>
        </w:tc>
      </w:tr>
      <w:tr w:rsidR="00812493" w:rsidRPr="001D0858" w14:paraId="40BEF546" w14:textId="77777777" w:rsidTr="00A41887">
        <w:trPr>
          <w:trHeight w:val="20"/>
        </w:trPr>
        <w:tc>
          <w:tcPr>
            <w:tcW w:w="1413" w:type="dxa"/>
          </w:tcPr>
          <w:p w14:paraId="28C140B1" w14:textId="77777777" w:rsidR="00812493" w:rsidRPr="00C11A25" w:rsidRDefault="00812493" w:rsidP="00A41887">
            <w:pPr>
              <w:pStyle w:val="Tableheading"/>
              <w:rPr>
                <w:sz w:val="20"/>
                <w:szCs w:val="20"/>
              </w:rPr>
            </w:pPr>
            <w:r w:rsidRPr="00C11A25">
              <w:rPr>
                <w:sz w:val="20"/>
                <w:szCs w:val="20"/>
              </w:rPr>
              <w:t>Male 6</w:t>
            </w:r>
            <w:r>
              <w:rPr>
                <w:sz w:val="20"/>
                <w:szCs w:val="20"/>
              </w:rPr>
              <w:t>5</w:t>
            </w:r>
            <w:r w:rsidRPr="00C11A25">
              <w:rPr>
                <w:sz w:val="20"/>
                <w:szCs w:val="20"/>
              </w:rPr>
              <w:t>–</w:t>
            </w:r>
            <w:r>
              <w:rPr>
                <w:sz w:val="20"/>
                <w:szCs w:val="20"/>
              </w:rPr>
              <w:t>74</w:t>
            </w:r>
          </w:p>
        </w:tc>
        <w:tc>
          <w:tcPr>
            <w:tcW w:w="992" w:type="dxa"/>
          </w:tcPr>
          <w:p w14:paraId="18DB9607" w14:textId="77777777" w:rsidR="00812493" w:rsidRPr="001D0858" w:rsidRDefault="00812493" w:rsidP="00A41887">
            <w:pPr>
              <w:pStyle w:val="Tableheading"/>
              <w:rPr>
                <w:b w:val="0"/>
                <w:sz w:val="20"/>
                <w:szCs w:val="20"/>
              </w:rPr>
            </w:pPr>
            <w:r w:rsidRPr="00A467D6">
              <w:rPr>
                <w:b w:val="0"/>
                <w:sz w:val="20"/>
                <w:szCs w:val="20"/>
              </w:rPr>
              <w:t>118,566</w:t>
            </w:r>
          </w:p>
        </w:tc>
        <w:tc>
          <w:tcPr>
            <w:tcW w:w="1429" w:type="dxa"/>
          </w:tcPr>
          <w:p w14:paraId="3B174836" w14:textId="77777777" w:rsidR="00812493" w:rsidRPr="001D0858" w:rsidRDefault="00812493" w:rsidP="00A41887">
            <w:pPr>
              <w:pStyle w:val="Tableheading"/>
              <w:rPr>
                <w:b w:val="0"/>
                <w:sz w:val="20"/>
                <w:szCs w:val="20"/>
              </w:rPr>
            </w:pPr>
            <w:r w:rsidRPr="00A467D6">
              <w:rPr>
                <w:b w:val="0"/>
                <w:sz w:val="20"/>
                <w:szCs w:val="20"/>
              </w:rPr>
              <w:t>6,635</w:t>
            </w:r>
          </w:p>
        </w:tc>
        <w:tc>
          <w:tcPr>
            <w:tcW w:w="1278" w:type="dxa"/>
          </w:tcPr>
          <w:p w14:paraId="073A05E7" w14:textId="77777777" w:rsidR="00812493" w:rsidRPr="001D0858" w:rsidRDefault="00812493" w:rsidP="00A41887">
            <w:pPr>
              <w:pStyle w:val="Tableheading"/>
              <w:rPr>
                <w:b w:val="0"/>
                <w:sz w:val="20"/>
                <w:szCs w:val="20"/>
              </w:rPr>
            </w:pPr>
            <w:r w:rsidRPr="00A467D6">
              <w:rPr>
                <w:b w:val="0"/>
                <w:sz w:val="20"/>
                <w:szCs w:val="20"/>
              </w:rPr>
              <w:t>5.6 (5.3–5.9)</w:t>
            </w:r>
          </w:p>
        </w:tc>
        <w:tc>
          <w:tcPr>
            <w:tcW w:w="3835" w:type="dxa"/>
          </w:tcPr>
          <w:p w14:paraId="580130EE" w14:textId="77777777" w:rsidR="00812493" w:rsidRPr="001D0858" w:rsidRDefault="00812493" w:rsidP="00A41887">
            <w:pPr>
              <w:pStyle w:val="Tableheading"/>
              <w:rPr>
                <w:b w:val="0"/>
                <w:sz w:val="20"/>
                <w:szCs w:val="20"/>
              </w:rPr>
            </w:pPr>
            <w:r w:rsidRPr="001C6067">
              <w:rPr>
                <w:b w:val="0"/>
                <w:sz w:val="20"/>
                <w:szCs w:val="20"/>
              </w:rPr>
              <w:t>3.2</w:t>
            </w:r>
            <w:r>
              <w:rPr>
                <w:b w:val="0"/>
                <w:sz w:val="20"/>
                <w:szCs w:val="20"/>
              </w:rPr>
              <w:t xml:space="preserve"> (</w:t>
            </w:r>
            <w:r w:rsidRPr="001C6067">
              <w:rPr>
                <w:b w:val="0"/>
                <w:sz w:val="20"/>
                <w:szCs w:val="20"/>
              </w:rPr>
              <w:t>2.3–4.2</w:t>
            </w:r>
            <w:r>
              <w:rPr>
                <w:b w:val="0"/>
                <w:sz w:val="20"/>
                <w:szCs w:val="20"/>
              </w:rPr>
              <w:t>)</w:t>
            </w:r>
          </w:p>
        </w:tc>
      </w:tr>
      <w:tr w:rsidR="00812493" w:rsidRPr="001D0858" w14:paraId="33A495EC" w14:textId="77777777" w:rsidTr="00A41887">
        <w:trPr>
          <w:trHeight w:val="20"/>
        </w:trPr>
        <w:tc>
          <w:tcPr>
            <w:tcW w:w="1413" w:type="dxa"/>
          </w:tcPr>
          <w:p w14:paraId="78D45DF6" w14:textId="77777777" w:rsidR="00812493" w:rsidRPr="00C11A25" w:rsidRDefault="00812493" w:rsidP="00A41887">
            <w:pPr>
              <w:pStyle w:val="Tableheading"/>
              <w:rPr>
                <w:sz w:val="20"/>
                <w:szCs w:val="20"/>
              </w:rPr>
            </w:pPr>
            <w:r w:rsidRPr="00C11A25">
              <w:rPr>
                <w:sz w:val="20"/>
                <w:szCs w:val="20"/>
              </w:rPr>
              <w:t>Male 7</w:t>
            </w:r>
            <w:r>
              <w:rPr>
                <w:sz w:val="20"/>
                <w:szCs w:val="20"/>
              </w:rPr>
              <w:t>5</w:t>
            </w:r>
            <w:r w:rsidRPr="00C11A25">
              <w:rPr>
                <w:sz w:val="20"/>
                <w:szCs w:val="20"/>
              </w:rPr>
              <w:t>+</w:t>
            </w:r>
          </w:p>
        </w:tc>
        <w:tc>
          <w:tcPr>
            <w:tcW w:w="992" w:type="dxa"/>
          </w:tcPr>
          <w:p w14:paraId="062596EA" w14:textId="77777777" w:rsidR="00812493" w:rsidRPr="001D0858" w:rsidRDefault="00812493" w:rsidP="00A41887">
            <w:pPr>
              <w:pStyle w:val="Tableheading"/>
              <w:rPr>
                <w:b w:val="0"/>
                <w:sz w:val="20"/>
                <w:szCs w:val="20"/>
              </w:rPr>
            </w:pPr>
            <w:r w:rsidRPr="00A467D6">
              <w:rPr>
                <w:b w:val="0"/>
                <w:sz w:val="20"/>
                <w:szCs w:val="20"/>
              </w:rPr>
              <w:t>97,033</w:t>
            </w:r>
          </w:p>
        </w:tc>
        <w:tc>
          <w:tcPr>
            <w:tcW w:w="1429" w:type="dxa"/>
          </w:tcPr>
          <w:p w14:paraId="6B1B3BE3" w14:textId="77777777" w:rsidR="00812493" w:rsidRPr="001D0858" w:rsidRDefault="00812493" w:rsidP="00A41887">
            <w:pPr>
              <w:pStyle w:val="Tableheading"/>
              <w:rPr>
                <w:b w:val="0"/>
                <w:sz w:val="20"/>
                <w:szCs w:val="20"/>
              </w:rPr>
            </w:pPr>
            <w:r w:rsidRPr="00A467D6">
              <w:rPr>
                <w:b w:val="0"/>
                <w:sz w:val="20"/>
                <w:szCs w:val="20"/>
              </w:rPr>
              <w:t>15,793</w:t>
            </w:r>
          </w:p>
        </w:tc>
        <w:tc>
          <w:tcPr>
            <w:tcW w:w="1278" w:type="dxa"/>
          </w:tcPr>
          <w:p w14:paraId="0ED56C1A" w14:textId="77777777" w:rsidR="00812493" w:rsidRPr="001D0858" w:rsidRDefault="00812493" w:rsidP="00A41887">
            <w:pPr>
              <w:pStyle w:val="Tableheading"/>
              <w:rPr>
                <w:b w:val="0"/>
                <w:sz w:val="20"/>
                <w:szCs w:val="20"/>
              </w:rPr>
            </w:pPr>
            <w:r w:rsidRPr="00A467D6">
              <w:rPr>
                <w:b w:val="0"/>
                <w:sz w:val="20"/>
                <w:szCs w:val="20"/>
              </w:rPr>
              <w:t>16.3 (15.4–17.2)</w:t>
            </w:r>
          </w:p>
        </w:tc>
        <w:tc>
          <w:tcPr>
            <w:tcW w:w="3835" w:type="dxa"/>
          </w:tcPr>
          <w:p w14:paraId="2CA0E602" w14:textId="77777777" w:rsidR="00812493" w:rsidRPr="001D0858" w:rsidRDefault="00812493" w:rsidP="00A41887">
            <w:pPr>
              <w:pStyle w:val="Tableheading"/>
              <w:rPr>
                <w:b w:val="0"/>
                <w:sz w:val="20"/>
                <w:szCs w:val="20"/>
              </w:rPr>
            </w:pPr>
            <w:r w:rsidRPr="001C6067">
              <w:rPr>
                <w:b w:val="0"/>
                <w:sz w:val="20"/>
                <w:szCs w:val="20"/>
              </w:rPr>
              <w:t>10.1</w:t>
            </w:r>
            <w:r>
              <w:rPr>
                <w:b w:val="0"/>
                <w:sz w:val="20"/>
                <w:szCs w:val="20"/>
              </w:rPr>
              <w:t xml:space="preserve"> (</w:t>
            </w:r>
            <w:r w:rsidRPr="001C6067">
              <w:rPr>
                <w:b w:val="0"/>
                <w:sz w:val="20"/>
                <w:szCs w:val="20"/>
              </w:rPr>
              <w:t>7.3–12.8</w:t>
            </w:r>
            <w:r>
              <w:rPr>
                <w:b w:val="0"/>
                <w:sz w:val="20"/>
                <w:szCs w:val="20"/>
              </w:rPr>
              <w:t>)</w:t>
            </w:r>
          </w:p>
        </w:tc>
      </w:tr>
    </w:tbl>
    <w:p w14:paraId="4C18453E" w14:textId="77777777" w:rsidR="00812493" w:rsidRPr="00FA70D0" w:rsidRDefault="00812493" w:rsidP="00812493">
      <w:pPr>
        <w:rPr>
          <w:sz w:val="20"/>
          <w:szCs w:val="20"/>
        </w:rPr>
      </w:pPr>
      <w:r w:rsidRPr="00FA70D0">
        <w:rPr>
          <w:sz w:val="20"/>
          <w:szCs w:val="20"/>
        </w:rPr>
        <w:t>AIHW – Australian Institute of Health and Welfare</w:t>
      </w:r>
    </w:p>
    <w:p w14:paraId="5A253270" w14:textId="77777777" w:rsidR="00812493" w:rsidRDefault="00812493" w:rsidP="00812493"/>
    <w:p w14:paraId="600CE780" w14:textId="77777777" w:rsidR="00812493" w:rsidRDefault="00812493" w:rsidP="00812493">
      <w:r>
        <w:rPr>
          <w:noProof/>
        </w:rPr>
        <w:drawing>
          <wp:inline distT="0" distB="0" distL="0" distR="0" wp14:anchorId="06C9AAFC" wp14:editId="1E75BFE6">
            <wp:extent cx="5687695" cy="1678940"/>
            <wp:effectExtent l="0" t="0" r="8255" b="0"/>
            <wp:docPr id="3" name="Picture 3" title="Figure 2: Patient prevalence of recorded osteoporosis among regular attendees between Jan 2018–Dec 2019 (prevalence study population) compared with national population estimates (by age and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W comparison.png"/>
                    <pic:cNvPicPr/>
                  </pic:nvPicPr>
                  <pic:blipFill>
                    <a:blip r:embed="rId31"/>
                    <a:stretch>
                      <a:fillRect/>
                    </a:stretch>
                  </pic:blipFill>
                  <pic:spPr>
                    <a:xfrm>
                      <a:off x="0" y="0"/>
                      <a:ext cx="5687695" cy="1678940"/>
                    </a:xfrm>
                    <a:prstGeom prst="rect">
                      <a:avLst/>
                    </a:prstGeom>
                  </pic:spPr>
                </pic:pic>
              </a:graphicData>
            </a:graphic>
          </wp:inline>
        </w:drawing>
      </w:r>
    </w:p>
    <w:p w14:paraId="6A19FA28" w14:textId="305B26CD" w:rsidR="00812493" w:rsidRPr="00FE645A" w:rsidRDefault="00812493" w:rsidP="00812493">
      <w:pPr>
        <w:pStyle w:val="Figuretitle"/>
      </w:pPr>
      <w:r w:rsidRPr="00FE645A">
        <w:t xml:space="preserve">Figure </w:t>
      </w:r>
      <w:r w:rsidR="004D74FB">
        <w:t>1</w:t>
      </w:r>
      <w:r>
        <w:t>2</w:t>
      </w:r>
      <w:r w:rsidRPr="00FE645A">
        <w:t xml:space="preserve">: </w:t>
      </w:r>
      <w:r>
        <w:t xml:space="preserve">Patient prevalence of </w:t>
      </w:r>
      <w:r w:rsidRPr="00D90BEE">
        <w:t xml:space="preserve">recorded osteoporosis among regular attendees between Jan 2018–Dec 2019 (prevalence study population) </w:t>
      </w:r>
      <w:r>
        <w:t>compared with national population estimates (by age and sex)</w:t>
      </w:r>
    </w:p>
    <w:p w14:paraId="019EB683" w14:textId="77777777" w:rsidR="00812493" w:rsidRPr="00756948" w:rsidRDefault="00812493" w:rsidP="00812493">
      <w:pPr>
        <w:rPr>
          <w:lang w:val="en-US"/>
        </w:rPr>
      </w:pPr>
    </w:p>
    <w:p w14:paraId="40CC7B3C" w14:textId="77777777" w:rsidR="00812493" w:rsidRPr="00812493" w:rsidRDefault="00812493" w:rsidP="00812493">
      <w:pPr>
        <w:pStyle w:val="Heading4"/>
        <w:rPr>
          <w:sz w:val="24"/>
        </w:rPr>
      </w:pPr>
      <w:r w:rsidRPr="00812493">
        <w:rPr>
          <w:sz w:val="24"/>
        </w:rPr>
        <w:t>Osteoporosis medicines ever prescribed to regular patient population</w:t>
      </w:r>
    </w:p>
    <w:p w14:paraId="7FA076C0" w14:textId="505D6F89" w:rsidR="00812493" w:rsidRDefault="004D74FB" w:rsidP="00812493">
      <w:r>
        <w:t>As can be seen in Table 26</w:t>
      </w:r>
      <w:r w:rsidR="00812493">
        <w:t>, 60.5% (95% CI 59.5 to 61.4) of all regularly attending patients with a record of osteoporosis had been prescribed an osteoporosis medicine at least once. This may be an underestimate as, d</w:t>
      </w:r>
      <w:r w:rsidR="00812493" w:rsidRPr="00CA2062">
        <w:t xml:space="preserve">epending on recording practices, specialist and hospital prescriptions </w:t>
      </w:r>
      <w:r w:rsidR="00812493">
        <w:t xml:space="preserve">are not </w:t>
      </w:r>
      <w:r w:rsidR="00812493" w:rsidRPr="00CA2062">
        <w:t>always captured in the CIS of a general practice. Therefore</w:t>
      </w:r>
      <w:r w:rsidR="00812493">
        <w:t>, some patients,</w:t>
      </w:r>
      <w:r w:rsidR="00812493" w:rsidRPr="00CA2062">
        <w:t xml:space="preserve"> </w:t>
      </w:r>
      <w:r w:rsidR="00812493">
        <w:t xml:space="preserve">prescribed an </w:t>
      </w:r>
      <w:r w:rsidR="00812493" w:rsidRPr="00CA2062">
        <w:t xml:space="preserve">osteoporosis medicine by a specialist, may </w:t>
      </w:r>
      <w:r w:rsidR="00812493">
        <w:t>be missed.</w:t>
      </w:r>
    </w:p>
    <w:p w14:paraId="49F893C4" w14:textId="77777777" w:rsidR="00812493" w:rsidRDefault="00812493" w:rsidP="00812493">
      <w:r>
        <w:t>Just over half of men (52.7%) had been prescribed an osteoporosis medicine at least once, compared with 62.5% of women, suggesting that men may still be less likely to be treated than women even when they have been diagnosed with osteoporosis.</w:t>
      </w:r>
    </w:p>
    <w:p w14:paraId="6049B552" w14:textId="77777777" w:rsidR="00812493" w:rsidRDefault="00812493" w:rsidP="00812493">
      <w:r>
        <w:lastRenderedPageBreak/>
        <w:t>The likelihood that a patient with a record of osteoporosis had been prescribed an osteoporosis medicine rose with increasing age for all patients and for women. However, the proportion of men with diagnosed osteoporosis prescribed an osteoporosis medicine was similar in both the 60–69 age group and the 70+ age group.</w:t>
      </w:r>
    </w:p>
    <w:p w14:paraId="401DCD76" w14:textId="623E155A" w:rsidR="00812493" w:rsidRPr="00B03D84" w:rsidRDefault="00812493" w:rsidP="00812493">
      <w:pPr>
        <w:pStyle w:val="Tabletitle"/>
      </w:pPr>
      <w:r w:rsidRPr="00B03D84">
        <w:t xml:space="preserve">Table </w:t>
      </w:r>
      <w:r w:rsidR="004D74FB">
        <w:t>26</w:t>
      </w:r>
      <w:r w:rsidRPr="00B03D84">
        <w:t>: P</w:t>
      </w:r>
      <w:r>
        <w:t>roportion of patients with a record of osteoporosis who have ever been prescribed an osteoporosis medicine at least once (</w:t>
      </w:r>
      <w:r w:rsidRPr="00B03D84">
        <w:t>by age and sex</w:t>
      </w:r>
      <w:r>
        <w:t>)</w:t>
      </w:r>
    </w:p>
    <w:tbl>
      <w:tblPr>
        <w:tblStyle w:val="TableGrid"/>
        <w:tblW w:w="5000" w:type="pct"/>
        <w:tblLook w:val="04A0" w:firstRow="1" w:lastRow="0" w:firstColumn="1" w:lastColumn="0" w:noHBand="0" w:noVBand="1"/>
        <w:tblCaption w:val="Table 10: Proportion of patients with a record of osteoporosis who have ever been prescribed an osteoporosis medicine at least once (by age and sex)"/>
      </w:tblPr>
      <w:tblGrid>
        <w:gridCol w:w="2469"/>
        <w:gridCol w:w="1736"/>
        <w:gridCol w:w="2502"/>
        <w:gridCol w:w="2240"/>
      </w:tblGrid>
      <w:tr w:rsidR="00812493" w:rsidRPr="001D0858" w14:paraId="76F96C9D" w14:textId="77777777" w:rsidTr="00A41887">
        <w:trPr>
          <w:trHeight w:val="20"/>
          <w:tblHeader/>
        </w:trPr>
        <w:tc>
          <w:tcPr>
            <w:tcW w:w="1380" w:type="pct"/>
            <w:vMerge w:val="restart"/>
            <w:shd w:val="clear" w:color="auto" w:fill="BFBFBF" w:themeFill="background1" w:themeFillShade="BF"/>
          </w:tcPr>
          <w:p w14:paraId="525FED66" w14:textId="77777777" w:rsidR="00812493" w:rsidRPr="001D0858" w:rsidRDefault="00812493" w:rsidP="00A41887">
            <w:pPr>
              <w:pStyle w:val="Tableheading"/>
              <w:rPr>
                <w:sz w:val="20"/>
                <w:szCs w:val="20"/>
              </w:rPr>
            </w:pPr>
          </w:p>
        </w:tc>
        <w:tc>
          <w:tcPr>
            <w:tcW w:w="3620" w:type="pct"/>
            <w:gridSpan w:val="3"/>
            <w:shd w:val="clear" w:color="auto" w:fill="BFBFBF" w:themeFill="background1" w:themeFillShade="BF"/>
          </w:tcPr>
          <w:p w14:paraId="45235179" w14:textId="77777777" w:rsidR="00812493" w:rsidRPr="001D0858" w:rsidRDefault="00812493" w:rsidP="00A41887">
            <w:pPr>
              <w:pStyle w:val="Tableheading"/>
              <w:rPr>
                <w:sz w:val="20"/>
                <w:szCs w:val="20"/>
              </w:rPr>
            </w:pPr>
            <w:r>
              <w:rPr>
                <w:sz w:val="20"/>
                <w:szCs w:val="20"/>
              </w:rPr>
              <w:t>Regular patient prevalence study (3 visits between Jan 2018–Dec 2019)</w:t>
            </w:r>
          </w:p>
        </w:tc>
      </w:tr>
      <w:tr w:rsidR="00812493" w:rsidRPr="001D0858" w14:paraId="218B6E4C" w14:textId="77777777" w:rsidTr="00A41887">
        <w:trPr>
          <w:trHeight w:val="20"/>
          <w:tblHeader/>
        </w:trPr>
        <w:tc>
          <w:tcPr>
            <w:tcW w:w="1380" w:type="pct"/>
            <w:vMerge/>
            <w:shd w:val="clear" w:color="auto" w:fill="BFBFBF" w:themeFill="background1" w:themeFillShade="BF"/>
          </w:tcPr>
          <w:p w14:paraId="59C8C52F" w14:textId="77777777" w:rsidR="00812493" w:rsidRDefault="00812493" w:rsidP="00A41887">
            <w:pPr>
              <w:pStyle w:val="Tableheading"/>
              <w:rPr>
                <w:sz w:val="20"/>
                <w:szCs w:val="20"/>
              </w:rPr>
            </w:pPr>
          </w:p>
        </w:tc>
        <w:tc>
          <w:tcPr>
            <w:tcW w:w="970" w:type="pct"/>
            <w:shd w:val="clear" w:color="auto" w:fill="BFBFBF" w:themeFill="background1" w:themeFillShade="BF"/>
          </w:tcPr>
          <w:p w14:paraId="0641898C" w14:textId="77777777" w:rsidR="00812493" w:rsidRPr="001D0858" w:rsidRDefault="00812493" w:rsidP="00A41887">
            <w:pPr>
              <w:pStyle w:val="Tableheading"/>
              <w:rPr>
                <w:sz w:val="20"/>
                <w:szCs w:val="20"/>
              </w:rPr>
            </w:pPr>
            <w:r>
              <w:rPr>
                <w:sz w:val="20"/>
                <w:szCs w:val="20"/>
              </w:rPr>
              <w:t>No. patients with recorded osteoporosis</w:t>
            </w:r>
          </w:p>
        </w:tc>
        <w:tc>
          <w:tcPr>
            <w:tcW w:w="1398" w:type="pct"/>
            <w:shd w:val="clear" w:color="auto" w:fill="BFBFBF" w:themeFill="background1" w:themeFillShade="BF"/>
          </w:tcPr>
          <w:p w14:paraId="1B4681CD" w14:textId="77777777" w:rsidR="00812493" w:rsidRPr="001D0858" w:rsidRDefault="00812493" w:rsidP="00A41887">
            <w:pPr>
              <w:pStyle w:val="Tableheading"/>
              <w:rPr>
                <w:sz w:val="20"/>
                <w:szCs w:val="20"/>
              </w:rPr>
            </w:pPr>
            <w:r>
              <w:rPr>
                <w:sz w:val="20"/>
                <w:szCs w:val="20"/>
              </w:rPr>
              <w:t>No. patients with at least one record of osteoporosis medicine script ever</w:t>
            </w:r>
          </w:p>
        </w:tc>
        <w:tc>
          <w:tcPr>
            <w:tcW w:w="1252" w:type="pct"/>
            <w:shd w:val="clear" w:color="auto" w:fill="BFBFBF" w:themeFill="background1" w:themeFillShade="BF"/>
          </w:tcPr>
          <w:p w14:paraId="7AEE42F3" w14:textId="77777777" w:rsidR="00812493" w:rsidRPr="001D0858" w:rsidRDefault="00812493" w:rsidP="00A41887">
            <w:pPr>
              <w:pStyle w:val="Tableheading"/>
              <w:rPr>
                <w:sz w:val="20"/>
                <w:szCs w:val="20"/>
              </w:rPr>
            </w:pPr>
            <w:r>
              <w:rPr>
                <w:sz w:val="20"/>
                <w:szCs w:val="20"/>
              </w:rPr>
              <w:t>% (95% CI)</w:t>
            </w:r>
          </w:p>
        </w:tc>
      </w:tr>
      <w:tr w:rsidR="00812493" w:rsidRPr="001D0858" w14:paraId="45EF0E24" w14:textId="77777777" w:rsidTr="00A41887">
        <w:trPr>
          <w:trHeight w:val="20"/>
        </w:trPr>
        <w:tc>
          <w:tcPr>
            <w:tcW w:w="1380" w:type="pct"/>
          </w:tcPr>
          <w:p w14:paraId="7D13238F" w14:textId="77777777" w:rsidR="00812493" w:rsidRPr="00C11A25" w:rsidRDefault="00812493" w:rsidP="00A41887">
            <w:pPr>
              <w:pStyle w:val="Tableheading"/>
              <w:rPr>
                <w:rFonts w:cstheme="minorHAnsi"/>
                <w:sz w:val="20"/>
                <w:szCs w:val="20"/>
              </w:rPr>
            </w:pPr>
            <w:r w:rsidRPr="00C11A25">
              <w:rPr>
                <w:rFonts w:cstheme="minorHAnsi"/>
                <w:sz w:val="20"/>
                <w:szCs w:val="20"/>
              </w:rPr>
              <w:t>Total</w:t>
            </w:r>
          </w:p>
        </w:tc>
        <w:tc>
          <w:tcPr>
            <w:tcW w:w="970" w:type="pct"/>
          </w:tcPr>
          <w:p w14:paraId="62482FDD" w14:textId="77777777" w:rsidR="00812493" w:rsidRPr="00B03D84" w:rsidRDefault="00812493" w:rsidP="00A41887">
            <w:pPr>
              <w:pStyle w:val="Tableheading"/>
              <w:rPr>
                <w:b w:val="0"/>
                <w:sz w:val="20"/>
                <w:szCs w:val="20"/>
              </w:rPr>
            </w:pPr>
            <w:r w:rsidRPr="00B03D84">
              <w:rPr>
                <w:b w:val="0"/>
                <w:sz w:val="20"/>
                <w:szCs w:val="20"/>
              </w:rPr>
              <w:t>121,598</w:t>
            </w:r>
          </w:p>
        </w:tc>
        <w:tc>
          <w:tcPr>
            <w:tcW w:w="1398" w:type="pct"/>
          </w:tcPr>
          <w:p w14:paraId="06612880" w14:textId="77777777" w:rsidR="00812493" w:rsidRPr="00B03D84" w:rsidRDefault="00812493" w:rsidP="00A41887">
            <w:pPr>
              <w:pStyle w:val="Tableheading"/>
              <w:rPr>
                <w:b w:val="0"/>
                <w:sz w:val="20"/>
                <w:szCs w:val="20"/>
              </w:rPr>
            </w:pPr>
            <w:r w:rsidRPr="009C3F06">
              <w:rPr>
                <w:b w:val="0"/>
                <w:sz w:val="20"/>
                <w:szCs w:val="20"/>
              </w:rPr>
              <w:t>73,510</w:t>
            </w:r>
          </w:p>
        </w:tc>
        <w:tc>
          <w:tcPr>
            <w:tcW w:w="1252" w:type="pct"/>
          </w:tcPr>
          <w:p w14:paraId="585B699A" w14:textId="77777777" w:rsidR="00812493" w:rsidRPr="00B03D84" w:rsidRDefault="00812493" w:rsidP="00A41887">
            <w:pPr>
              <w:pStyle w:val="Tableheading"/>
              <w:rPr>
                <w:b w:val="0"/>
                <w:sz w:val="20"/>
                <w:szCs w:val="20"/>
              </w:rPr>
            </w:pPr>
            <w:r w:rsidRPr="009C3F06">
              <w:rPr>
                <w:b w:val="0"/>
                <w:sz w:val="20"/>
                <w:szCs w:val="20"/>
              </w:rPr>
              <w:t>60.5 (59.5–61.4)</w:t>
            </w:r>
          </w:p>
        </w:tc>
      </w:tr>
      <w:tr w:rsidR="00812493" w:rsidRPr="001D0858" w14:paraId="7B520C77" w14:textId="77777777" w:rsidTr="00A41887">
        <w:trPr>
          <w:trHeight w:val="20"/>
        </w:trPr>
        <w:tc>
          <w:tcPr>
            <w:tcW w:w="5000" w:type="pct"/>
            <w:gridSpan w:val="4"/>
            <w:shd w:val="clear" w:color="auto" w:fill="D9D9D9" w:themeFill="background1" w:themeFillShade="D9"/>
          </w:tcPr>
          <w:p w14:paraId="7EFE42B5" w14:textId="77777777" w:rsidR="00812493" w:rsidRPr="009C3F06" w:rsidRDefault="00812493" w:rsidP="00A41887">
            <w:pPr>
              <w:pStyle w:val="Tableheading"/>
              <w:rPr>
                <w:b w:val="0"/>
                <w:sz w:val="20"/>
                <w:szCs w:val="20"/>
              </w:rPr>
            </w:pPr>
            <w:r>
              <w:rPr>
                <w:rFonts w:cstheme="minorHAnsi"/>
                <w:sz w:val="20"/>
                <w:szCs w:val="20"/>
              </w:rPr>
              <w:t>Age group (10 years)</w:t>
            </w:r>
          </w:p>
        </w:tc>
      </w:tr>
      <w:tr w:rsidR="00812493" w:rsidRPr="001D0858" w14:paraId="4EFA053C" w14:textId="77777777" w:rsidTr="00A41887">
        <w:trPr>
          <w:trHeight w:val="20"/>
        </w:trPr>
        <w:tc>
          <w:tcPr>
            <w:tcW w:w="1380" w:type="pct"/>
          </w:tcPr>
          <w:p w14:paraId="15B53508" w14:textId="77777777" w:rsidR="00812493" w:rsidRPr="00C11A25" w:rsidRDefault="00812493" w:rsidP="00A41887">
            <w:pPr>
              <w:pStyle w:val="Tableheading"/>
              <w:rPr>
                <w:rFonts w:cstheme="minorHAnsi"/>
                <w:sz w:val="20"/>
                <w:szCs w:val="20"/>
              </w:rPr>
            </w:pPr>
            <w:r w:rsidRPr="00C11A25">
              <w:rPr>
                <w:rFonts w:cstheme="minorHAnsi"/>
                <w:sz w:val="20"/>
                <w:szCs w:val="20"/>
              </w:rPr>
              <w:t>50–59</w:t>
            </w:r>
          </w:p>
        </w:tc>
        <w:tc>
          <w:tcPr>
            <w:tcW w:w="970" w:type="pct"/>
          </w:tcPr>
          <w:p w14:paraId="63C03ADD" w14:textId="77777777" w:rsidR="00812493" w:rsidRPr="00B03D84" w:rsidRDefault="00812493" w:rsidP="00A41887">
            <w:pPr>
              <w:pStyle w:val="Tableheading"/>
              <w:rPr>
                <w:b w:val="0"/>
                <w:sz w:val="20"/>
                <w:szCs w:val="20"/>
              </w:rPr>
            </w:pPr>
            <w:r w:rsidRPr="00B03D84">
              <w:rPr>
                <w:b w:val="0"/>
                <w:sz w:val="20"/>
                <w:szCs w:val="20"/>
              </w:rPr>
              <w:t>9,119</w:t>
            </w:r>
          </w:p>
        </w:tc>
        <w:tc>
          <w:tcPr>
            <w:tcW w:w="1398" w:type="pct"/>
          </w:tcPr>
          <w:p w14:paraId="609F0AA6" w14:textId="77777777" w:rsidR="00812493" w:rsidRPr="00B03D84" w:rsidRDefault="00812493" w:rsidP="00A41887">
            <w:pPr>
              <w:pStyle w:val="Tableheading"/>
              <w:rPr>
                <w:b w:val="0"/>
                <w:sz w:val="20"/>
                <w:szCs w:val="20"/>
              </w:rPr>
            </w:pPr>
            <w:r w:rsidRPr="009C3F06">
              <w:rPr>
                <w:b w:val="0"/>
                <w:sz w:val="20"/>
                <w:szCs w:val="20"/>
              </w:rPr>
              <w:t>3,473</w:t>
            </w:r>
          </w:p>
        </w:tc>
        <w:tc>
          <w:tcPr>
            <w:tcW w:w="1252" w:type="pct"/>
          </w:tcPr>
          <w:p w14:paraId="50685E64" w14:textId="77777777" w:rsidR="00812493" w:rsidRPr="00B03D84" w:rsidRDefault="00812493" w:rsidP="00A41887">
            <w:pPr>
              <w:pStyle w:val="Tableheading"/>
              <w:rPr>
                <w:b w:val="0"/>
                <w:sz w:val="20"/>
                <w:szCs w:val="20"/>
              </w:rPr>
            </w:pPr>
            <w:r w:rsidRPr="009C3F06">
              <w:rPr>
                <w:b w:val="0"/>
                <w:sz w:val="20"/>
                <w:szCs w:val="20"/>
              </w:rPr>
              <w:t>38.1 (36.4–39.8)</w:t>
            </w:r>
          </w:p>
        </w:tc>
      </w:tr>
      <w:tr w:rsidR="00812493" w:rsidRPr="001D0858" w14:paraId="1889A7FF" w14:textId="77777777" w:rsidTr="00A41887">
        <w:trPr>
          <w:trHeight w:val="20"/>
        </w:trPr>
        <w:tc>
          <w:tcPr>
            <w:tcW w:w="1380" w:type="pct"/>
          </w:tcPr>
          <w:p w14:paraId="68A79FA4" w14:textId="77777777" w:rsidR="00812493" w:rsidRPr="00C11A25" w:rsidRDefault="00812493" w:rsidP="00A41887">
            <w:pPr>
              <w:pStyle w:val="Tableheading"/>
              <w:rPr>
                <w:rFonts w:cstheme="minorHAnsi"/>
                <w:sz w:val="20"/>
                <w:szCs w:val="20"/>
              </w:rPr>
            </w:pPr>
            <w:r w:rsidRPr="00C11A25">
              <w:rPr>
                <w:rFonts w:cstheme="minorHAnsi"/>
                <w:sz w:val="20"/>
                <w:szCs w:val="20"/>
              </w:rPr>
              <w:t>60–69</w:t>
            </w:r>
          </w:p>
        </w:tc>
        <w:tc>
          <w:tcPr>
            <w:tcW w:w="970" w:type="pct"/>
          </w:tcPr>
          <w:p w14:paraId="01A45669" w14:textId="77777777" w:rsidR="00812493" w:rsidRPr="00B03D84" w:rsidRDefault="00812493" w:rsidP="00A41887">
            <w:pPr>
              <w:pStyle w:val="Tableheading"/>
              <w:rPr>
                <w:b w:val="0"/>
                <w:sz w:val="20"/>
                <w:szCs w:val="20"/>
              </w:rPr>
            </w:pPr>
            <w:r w:rsidRPr="00B03D84">
              <w:rPr>
                <w:b w:val="0"/>
                <w:sz w:val="20"/>
                <w:szCs w:val="20"/>
              </w:rPr>
              <w:t>23,586</w:t>
            </w:r>
          </w:p>
        </w:tc>
        <w:tc>
          <w:tcPr>
            <w:tcW w:w="1398" w:type="pct"/>
          </w:tcPr>
          <w:p w14:paraId="1893A8FA" w14:textId="77777777" w:rsidR="00812493" w:rsidRPr="00B03D84" w:rsidRDefault="00812493" w:rsidP="00A41887">
            <w:pPr>
              <w:pStyle w:val="Tableheading"/>
              <w:rPr>
                <w:b w:val="0"/>
                <w:sz w:val="20"/>
                <w:szCs w:val="20"/>
              </w:rPr>
            </w:pPr>
            <w:r w:rsidRPr="009C3F06">
              <w:rPr>
                <w:b w:val="0"/>
                <w:sz w:val="20"/>
                <w:szCs w:val="20"/>
              </w:rPr>
              <w:t>12,398</w:t>
            </w:r>
          </w:p>
        </w:tc>
        <w:tc>
          <w:tcPr>
            <w:tcW w:w="1252" w:type="pct"/>
          </w:tcPr>
          <w:p w14:paraId="73C64673" w14:textId="77777777" w:rsidR="00812493" w:rsidRPr="00B03D84" w:rsidRDefault="00812493" w:rsidP="00A41887">
            <w:pPr>
              <w:pStyle w:val="Tableheading"/>
              <w:rPr>
                <w:b w:val="0"/>
                <w:sz w:val="20"/>
                <w:szCs w:val="20"/>
              </w:rPr>
            </w:pPr>
            <w:r w:rsidRPr="009C3F06">
              <w:rPr>
                <w:b w:val="0"/>
                <w:sz w:val="20"/>
                <w:szCs w:val="20"/>
              </w:rPr>
              <w:t>52.6 (51.2–53.9)</w:t>
            </w:r>
          </w:p>
        </w:tc>
      </w:tr>
      <w:tr w:rsidR="00812493" w:rsidRPr="001D0858" w14:paraId="5924D030" w14:textId="77777777" w:rsidTr="00A41887">
        <w:trPr>
          <w:trHeight w:val="20"/>
        </w:trPr>
        <w:tc>
          <w:tcPr>
            <w:tcW w:w="1380" w:type="pct"/>
          </w:tcPr>
          <w:p w14:paraId="73FEA764" w14:textId="77777777" w:rsidR="00812493" w:rsidRPr="00C11A25" w:rsidRDefault="00812493" w:rsidP="00A41887">
            <w:pPr>
              <w:pStyle w:val="Tableheading"/>
              <w:rPr>
                <w:rFonts w:cstheme="minorHAnsi"/>
                <w:sz w:val="20"/>
                <w:szCs w:val="20"/>
              </w:rPr>
            </w:pPr>
            <w:r w:rsidRPr="00C11A25">
              <w:rPr>
                <w:rFonts w:cstheme="minorHAnsi"/>
                <w:sz w:val="20"/>
                <w:szCs w:val="20"/>
              </w:rPr>
              <w:t>70+</w:t>
            </w:r>
          </w:p>
        </w:tc>
        <w:tc>
          <w:tcPr>
            <w:tcW w:w="970" w:type="pct"/>
          </w:tcPr>
          <w:p w14:paraId="0B68ABA8" w14:textId="77777777" w:rsidR="00812493" w:rsidRPr="00B03D84" w:rsidRDefault="00812493" w:rsidP="00A41887">
            <w:pPr>
              <w:pStyle w:val="Tableheading"/>
              <w:rPr>
                <w:b w:val="0"/>
                <w:sz w:val="20"/>
                <w:szCs w:val="20"/>
              </w:rPr>
            </w:pPr>
            <w:r w:rsidRPr="00B03D84">
              <w:rPr>
                <w:b w:val="0"/>
                <w:sz w:val="20"/>
                <w:szCs w:val="20"/>
              </w:rPr>
              <w:t>88,893</w:t>
            </w:r>
          </w:p>
        </w:tc>
        <w:tc>
          <w:tcPr>
            <w:tcW w:w="1398" w:type="pct"/>
          </w:tcPr>
          <w:p w14:paraId="498DF71D" w14:textId="77777777" w:rsidR="00812493" w:rsidRPr="00B03D84" w:rsidRDefault="00812493" w:rsidP="00A41887">
            <w:pPr>
              <w:pStyle w:val="Tableheading"/>
              <w:rPr>
                <w:b w:val="0"/>
                <w:sz w:val="20"/>
                <w:szCs w:val="20"/>
              </w:rPr>
            </w:pPr>
            <w:r w:rsidRPr="009C3F06">
              <w:rPr>
                <w:b w:val="0"/>
                <w:sz w:val="20"/>
                <w:szCs w:val="20"/>
              </w:rPr>
              <w:t>57,639</w:t>
            </w:r>
          </w:p>
        </w:tc>
        <w:tc>
          <w:tcPr>
            <w:tcW w:w="1252" w:type="pct"/>
          </w:tcPr>
          <w:p w14:paraId="664DFE62" w14:textId="77777777" w:rsidR="00812493" w:rsidRPr="00B03D84" w:rsidRDefault="00812493" w:rsidP="00A41887">
            <w:pPr>
              <w:pStyle w:val="Tableheading"/>
              <w:rPr>
                <w:b w:val="0"/>
                <w:sz w:val="20"/>
                <w:szCs w:val="20"/>
              </w:rPr>
            </w:pPr>
            <w:r w:rsidRPr="00757A63">
              <w:rPr>
                <w:b w:val="0"/>
                <w:sz w:val="20"/>
                <w:szCs w:val="20"/>
              </w:rPr>
              <w:t>64.8 (63.9–65.8)</w:t>
            </w:r>
          </w:p>
        </w:tc>
      </w:tr>
      <w:tr w:rsidR="00812493" w:rsidRPr="001D0858" w14:paraId="49F0FC81" w14:textId="77777777" w:rsidTr="00A41887">
        <w:trPr>
          <w:trHeight w:val="20"/>
        </w:trPr>
        <w:tc>
          <w:tcPr>
            <w:tcW w:w="5000" w:type="pct"/>
            <w:gridSpan w:val="4"/>
            <w:shd w:val="clear" w:color="auto" w:fill="D9D9D9" w:themeFill="background1" w:themeFillShade="D9"/>
          </w:tcPr>
          <w:p w14:paraId="7453B26D" w14:textId="77777777" w:rsidR="00812493" w:rsidRPr="00666FA7" w:rsidRDefault="00812493" w:rsidP="00A41887">
            <w:pPr>
              <w:pStyle w:val="Tableheading"/>
              <w:rPr>
                <w:b w:val="0"/>
                <w:sz w:val="20"/>
                <w:szCs w:val="20"/>
                <w:highlight w:val="yellow"/>
              </w:rPr>
            </w:pPr>
            <w:r>
              <w:rPr>
                <w:rFonts w:cstheme="minorHAnsi"/>
                <w:sz w:val="20"/>
                <w:szCs w:val="20"/>
              </w:rPr>
              <w:t>Sex</w:t>
            </w:r>
          </w:p>
        </w:tc>
      </w:tr>
      <w:tr w:rsidR="00812493" w:rsidRPr="001D0858" w14:paraId="4CB6A946" w14:textId="77777777" w:rsidTr="00A41887">
        <w:trPr>
          <w:trHeight w:val="20"/>
        </w:trPr>
        <w:tc>
          <w:tcPr>
            <w:tcW w:w="1380" w:type="pct"/>
          </w:tcPr>
          <w:p w14:paraId="3D13B2E9" w14:textId="77777777" w:rsidR="00812493" w:rsidRPr="00C11A25" w:rsidRDefault="00812493" w:rsidP="00A41887">
            <w:pPr>
              <w:pStyle w:val="Tableheading"/>
              <w:rPr>
                <w:rFonts w:cstheme="minorHAnsi"/>
                <w:sz w:val="20"/>
                <w:szCs w:val="20"/>
              </w:rPr>
            </w:pPr>
            <w:r w:rsidRPr="00C11A25">
              <w:rPr>
                <w:rFonts w:cstheme="minorHAnsi"/>
                <w:sz w:val="20"/>
                <w:szCs w:val="20"/>
              </w:rPr>
              <w:t>Female</w:t>
            </w:r>
          </w:p>
        </w:tc>
        <w:tc>
          <w:tcPr>
            <w:tcW w:w="970" w:type="pct"/>
          </w:tcPr>
          <w:p w14:paraId="37C36A83" w14:textId="77777777" w:rsidR="00812493" w:rsidRPr="00B03D84" w:rsidRDefault="00812493" w:rsidP="00A41887">
            <w:pPr>
              <w:pStyle w:val="Tableheading"/>
              <w:rPr>
                <w:b w:val="0"/>
                <w:sz w:val="20"/>
                <w:szCs w:val="20"/>
              </w:rPr>
            </w:pPr>
            <w:r w:rsidRPr="009C3F06">
              <w:rPr>
                <w:b w:val="0"/>
                <w:sz w:val="20"/>
                <w:szCs w:val="20"/>
              </w:rPr>
              <w:t>96,255</w:t>
            </w:r>
          </w:p>
        </w:tc>
        <w:tc>
          <w:tcPr>
            <w:tcW w:w="1398" w:type="pct"/>
          </w:tcPr>
          <w:p w14:paraId="5EDA0392" w14:textId="77777777" w:rsidR="00812493" w:rsidRPr="00B03D84" w:rsidRDefault="00812493" w:rsidP="00A41887">
            <w:pPr>
              <w:pStyle w:val="Tableheading"/>
              <w:rPr>
                <w:b w:val="0"/>
                <w:sz w:val="20"/>
                <w:szCs w:val="20"/>
              </w:rPr>
            </w:pPr>
            <w:r w:rsidRPr="009C3F06">
              <w:rPr>
                <w:b w:val="0"/>
                <w:sz w:val="20"/>
                <w:szCs w:val="20"/>
              </w:rPr>
              <w:t>60,162</w:t>
            </w:r>
          </w:p>
        </w:tc>
        <w:tc>
          <w:tcPr>
            <w:tcW w:w="1252" w:type="pct"/>
          </w:tcPr>
          <w:p w14:paraId="6CC7EC07" w14:textId="77777777" w:rsidR="00812493" w:rsidRPr="00B03D84" w:rsidRDefault="00812493" w:rsidP="00A41887">
            <w:pPr>
              <w:pStyle w:val="Tableheading"/>
              <w:rPr>
                <w:b w:val="0"/>
                <w:sz w:val="20"/>
                <w:szCs w:val="20"/>
              </w:rPr>
            </w:pPr>
            <w:r w:rsidRPr="00A06685">
              <w:rPr>
                <w:b w:val="0"/>
                <w:sz w:val="20"/>
                <w:szCs w:val="20"/>
              </w:rPr>
              <w:t>62.5 (61.5–63.5)</w:t>
            </w:r>
          </w:p>
        </w:tc>
      </w:tr>
      <w:tr w:rsidR="00812493" w:rsidRPr="001D0858" w14:paraId="4DAD247E" w14:textId="77777777" w:rsidTr="00A41887">
        <w:trPr>
          <w:trHeight w:val="20"/>
        </w:trPr>
        <w:tc>
          <w:tcPr>
            <w:tcW w:w="1380" w:type="pct"/>
          </w:tcPr>
          <w:p w14:paraId="1688CF74" w14:textId="77777777" w:rsidR="00812493" w:rsidRPr="00C11A25" w:rsidRDefault="00812493" w:rsidP="00A41887">
            <w:pPr>
              <w:pStyle w:val="Tableheading"/>
              <w:rPr>
                <w:rFonts w:cstheme="minorHAnsi"/>
                <w:sz w:val="20"/>
                <w:szCs w:val="20"/>
              </w:rPr>
            </w:pPr>
            <w:r w:rsidRPr="00C11A25">
              <w:rPr>
                <w:rFonts w:cstheme="minorHAnsi"/>
                <w:sz w:val="20"/>
                <w:szCs w:val="20"/>
              </w:rPr>
              <w:t>Male</w:t>
            </w:r>
          </w:p>
        </w:tc>
        <w:tc>
          <w:tcPr>
            <w:tcW w:w="970" w:type="pct"/>
          </w:tcPr>
          <w:p w14:paraId="198B53A2" w14:textId="77777777" w:rsidR="00812493" w:rsidRPr="00B03D84" w:rsidRDefault="00812493" w:rsidP="00A41887">
            <w:pPr>
              <w:pStyle w:val="Tableheading"/>
              <w:rPr>
                <w:b w:val="0"/>
                <w:sz w:val="20"/>
                <w:szCs w:val="20"/>
              </w:rPr>
            </w:pPr>
            <w:r w:rsidRPr="009C3F06">
              <w:rPr>
                <w:b w:val="0"/>
                <w:sz w:val="20"/>
                <w:szCs w:val="20"/>
              </w:rPr>
              <w:t>25,343</w:t>
            </w:r>
          </w:p>
        </w:tc>
        <w:tc>
          <w:tcPr>
            <w:tcW w:w="1398" w:type="pct"/>
          </w:tcPr>
          <w:p w14:paraId="11143410" w14:textId="77777777" w:rsidR="00812493" w:rsidRPr="00B03D84" w:rsidRDefault="00812493" w:rsidP="00A41887">
            <w:pPr>
              <w:pStyle w:val="Tableheading"/>
              <w:rPr>
                <w:b w:val="0"/>
                <w:sz w:val="20"/>
                <w:szCs w:val="20"/>
              </w:rPr>
            </w:pPr>
            <w:r w:rsidRPr="009C3F06">
              <w:rPr>
                <w:b w:val="0"/>
                <w:sz w:val="20"/>
                <w:szCs w:val="20"/>
              </w:rPr>
              <w:t>13,348</w:t>
            </w:r>
          </w:p>
        </w:tc>
        <w:tc>
          <w:tcPr>
            <w:tcW w:w="1252" w:type="pct"/>
          </w:tcPr>
          <w:p w14:paraId="4F1E04DB" w14:textId="77777777" w:rsidR="00812493" w:rsidRPr="00B03D84" w:rsidRDefault="00812493" w:rsidP="00A41887">
            <w:pPr>
              <w:pStyle w:val="Tableheading"/>
              <w:rPr>
                <w:b w:val="0"/>
                <w:sz w:val="20"/>
                <w:szCs w:val="20"/>
              </w:rPr>
            </w:pPr>
            <w:r w:rsidRPr="009C3F06">
              <w:rPr>
                <w:b w:val="0"/>
                <w:sz w:val="20"/>
                <w:szCs w:val="20"/>
              </w:rPr>
              <w:t>52.7 (51.2–54.1)</w:t>
            </w:r>
          </w:p>
        </w:tc>
      </w:tr>
      <w:tr w:rsidR="00812493" w:rsidRPr="001D0858" w14:paraId="58BEA286" w14:textId="77777777" w:rsidTr="00A41887">
        <w:trPr>
          <w:trHeight w:val="20"/>
        </w:trPr>
        <w:tc>
          <w:tcPr>
            <w:tcW w:w="5000" w:type="pct"/>
            <w:gridSpan w:val="4"/>
            <w:shd w:val="clear" w:color="auto" w:fill="D9D9D9" w:themeFill="background1" w:themeFillShade="D9"/>
          </w:tcPr>
          <w:p w14:paraId="065DD4F0" w14:textId="77777777" w:rsidR="00812493" w:rsidRPr="00B66B58" w:rsidRDefault="00812493" w:rsidP="00A41887">
            <w:pPr>
              <w:pStyle w:val="Tableheading"/>
              <w:rPr>
                <w:b w:val="0"/>
                <w:sz w:val="20"/>
                <w:szCs w:val="20"/>
              </w:rPr>
            </w:pPr>
            <w:r>
              <w:rPr>
                <w:sz w:val="20"/>
                <w:szCs w:val="20"/>
              </w:rPr>
              <w:t>Sex/age group</w:t>
            </w:r>
          </w:p>
        </w:tc>
      </w:tr>
      <w:tr w:rsidR="00812493" w:rsidRPr="001D0858" w14:paraId="1EFE298C" w14:textId="77777777" w:rsidTr="00A41887">
        <w:trPr>
          <w:trHeight w:val="20"/>
        </w:trPr>
        <w:tc>
          <w:tcPr>
            <w:tcW w:w="1380" w:type="pct"/>
          </w:tcPr>
          <w:p w14:paraId="246DD662" w14:textId="77777777" w:rsidR="00812493" w:rsidRPr="00C11A25" w:rsidRDefault="00812493" w:rsidP="00A41887">
            <w:pPr>
              <w:pStyle w:val="Tableheading"/>
              <w:rPr>
                <w:sz w:val="20"/>
                <w:szCs w:val="20"/>
              </w:rPr>
            </w:pPr>
            <w:r w:rsidRPr="00C11A25">
              <w:rPr>
                <w:sz w:val="20"/>
                <w:szCs w:val="20"/>
              </w:rPr>
              <w:t>Female 50–59</w:t>
            </w:r>
          </w:p>
        </w:tc>
        <w:tc>
          <w:tcPr>
            <w:tcW w:w="970" w:type="pct"/>
          </w:tcPr>
          <w:p w14:paraId="24C63011" w14:textId="77777777" w:rsidR="00812493" w:rsidRPr="001D0858" w:rsidRDefault="00812493" w:rsidP="00A41887">
            <w:pPr>
              <w:pStyle w:val="Tableheading"/>
              <w:rPr>
                <w:b w:val="0"/>
                <w:sz w:val="20"/>
                <w:szCs w:val="20"/>
              </w:rPr>
            </w:pPr>
            <w:r w:rsidRPr="00B66B58">
              <w:rPr>
                <w:b w:val="0"/>
                <w:sz w:val="20"/>
                <w:szCs w:val="20"/>
              </w:rPr>
              <w:t>7,597</w:t>
            </w:r>
          </w:p>
        </w:tc>
        <w:tc>
          <w:tcPr>
            <w:tcW w:w="1398" w:type="pct"/>
          </w:tcPr>
          <w:p w14:paraId="622EB412" w14:textId="77777777" w:rsidR="00812493" w:rsidRPr="001D0858" w:rsidRDefault="00812493" w:rsidP="00A41887">
            <w:pPr>
              <w:pStyle w:val="Tableheading"/>
              <w:rPr>
                <w:b w:val="0"/>
                <w:sz w:val="20"/>
                <w:szCs w:val="20"/>
              </w:rPr>
            </w:pPr>
            <w:r w:rsidRPr="00B66B58">
              <w:rPr>
                <w:b w:val="0"/>
                <w:sz w:val="20"/>
                <w:szCs w:val="20"/>
              </w:rPr>
              <w:t>2,790</w:t>
            </w:r>
          </w:p>
        </w:tc>
        <w:tc>
          <w:tcPr>
            <w:tcW w:w="1252" w:type="pct"/>
          </w:tcPr>
          <w:p w14:paraId="34BF03B6" w14:textId="77777777" w:rsidR="00812493" w:rsidRPr="001D0858" w:rsidRDefault="00812493" w:rsidP="00A41887">
            <w:pPr>
              <w:pStyle w:val="Tableheading"/>
              <w:rPr>
                <w:b w:val="0"/>
                <w:sz w:val="20"/>
                <w:szCs w:val="20"/>
              </w:rPr>
            </w:pPr>
            <w:r w:rsidRPr="00B66B58">
              <w:rPr>
                <w:b w:val="0"/>
                <w:sz w:val="20"/>
                <w:szCs w:val="20"/>
              </w:rPr>
              <w:t>36.7 (35.0–38.5)</w:t>
            </w:r>
          </w:p>
        </w:tc>
      </w:tr>
      <w:tr w:rsidR="00812493" w:rsidRPr="001D0858" w14:paraId="2F15F992" w14:textId="77777777" w:rsidTr="00A41887">
        <w:trPr>
          <w:trHeight w:val="20"/>
        </w:trPr>
        <w:tc>
          <w:tcPr>
            <w:tcW w:w="1380" w:type="pct"/>
          </w:tcPr>
          <w:p w14:paraId="178C9DD4" w14:textId="77777777" w:rsidR="00812493" w:rsidRPr="00C11A25" w:rsidRDefault="00812493" w:rsidP="00A41887">
            <w:pPr>
              <w:pStyle w:val="Tableheading"/>
              <w:rPr>
                <w:sz w:val="20"/>
                <w:szCs w:val="20"/>
              </w:rPr>
            </w:pPr>
            <w:r w:rsidRPr="00C11A25">
              <w:rPr>
                <w:sz w:val="20"/>
                <w:szCs w:val="20"/>
              </w:rPr>
              <w:t>Female 60–69</w:t>
            </w:r>
          </w:p>
        </w:tc>
        <w:tc>
          <w:tcPr>
            <w:tcW w:w="970" w:type="pct"/>
          </w:tcPr>
          <w:p w14:paraId="088F89D0" w14:textId="77777777" w:rsidR="00812493" w:rsidRPr="001D0858" w:rsidRDefault="00812493" w:rsidP="00A41887">
            <w:pPr>
              <w:pStyle w:val="Tableheading"/>
              <w:rPr>
                <w:b w:val="0"/>
                <w:sz w:val="20"/>
                <w:szCs w:val="20"/>
              </w:rPr>
            </w:pPr>
            <w:r w:rsidRPr="00B66B58">
              <w:rPr>
                <w:b w:val="0"/>
                <w:sz w:val="20"/>
                <w:szCs w:val="20"/>
              </w:rPr>
              <w:t>20,195</w:t>
            </w:r>
          </w:p>
        </w:tc>
        <w:tc>
          <w:tcPr>
            <w:tcW w:w="1398" w:type="pct"/>
          </w:tcPr>
          <w:p w14:paraId="05A6A218" w14:textId="77777777" w:rsidR="00812493" w:rsidRPr="001D0858" w:rsidRDefault="00812493" w:rsidP="00A41887">
            <w:pPr>
              <w:pStyle w:val="Tableheading"/>
              <w:rPr>
                <w:b w:val="0"/>
                <w:sz w:val="20"/>
                <w:szCs w:val="20"/>
              </w:rPr>
            </w:pPr>
            <w:r w:rsidRPr="00B66B58">
              <w:rPr>
                <w:b w:val="0"/>
                <w:sz w:val="20"/>
                <w:szCs w:val="20"/>
              </w:rPr>
              <w:t>10,564</w:t>
            </w:r>
          </w:p>
        </w:tc>
        <w:tc>
          <w:tcPr>
            <w:tcW w:w="1252" w:type="pct"/>
          </w:tcPr>
          <w:p w14:paraId="64A528AA" w14:textId="77777777" w:rsidR="00812493" w:rsidRPr="001D0858" w:rsidRDefault="00812493" w:rsidP="00A41887">
            <w:pPr>
              <w:pStyle w:val="Tableheading"/>
              <w:rPr>
                <w:b w:val="0"/>
                <w:sz w:val="20"/>
                <w:szCs w:val="20"/>
              </w:rPr>
            </w:pPr>
            <w:r w:rsidRPr="00B66B58">
              <w:rPr>
                <w:b w:val="0"/>
                <w:sz w:val="20"/>
                <w:szCs w:val="20"/>
              </w:rPr>
              <w:t>52.3 (50.9–53.7)</w:t>
            </w:r>
          </w:p>
        </w:tc>
      </w:tr>
      <w:tr w:rsidR="00812493" w:rsidRPr="001D0858" w14:paraId="2AE9921E" w14:textId="77777777" w:rsidTr="00A41887">
        <w:trPr>
          <w:trHeight w:val="20"/>
        </w:trPr>
        <w:tc>
          <w:tcPr>
            <w:tcW w:w="1380" w:type="pct"/>
          </w:tcPr>
          <w:p w14:paraId="79141A85" w14:textId="77777777" w:rsidR="00812493" w:rsidRPr="00C11A25" w:rsidRDefault="00812493" w:rsidP="00A41887">
            <w:pPr>
              <w:pStyle w:val="Tableheading"/>
              <w:rPr>
                <w:sz w:val="20"/>
                <w:szCs w:val="20"/>
              </w:rPr>
            </w:pPr>
            <w:r w:rsidRPr="00C11A25">
              <w:rPr>
                <w:sz w:val="20"/>
                <w:szCs w:val="20"/>
              </w:rPr>
              <w:t>Female 70+</w:t>
            </w:r>
          </w:p>
        </w:tc>
        <w:tc>
          <w:tcPr>
            <w:tcW w:w="970" w:type="pct"/>
          </w:tcPr>
          <w:p w14:paraId="134A6145" w14:textId="77777777" w:rsidR="00812493" w:rsidRPr="001D0858" w:rsidRDefault="00812493" w:rsidP="00A41887">
            <w:pPr>
              <w:pStyle w:val="Tableheading"/>
              <w:rPr>
                <w:b w:val="0"/>
                <w:sz w:val="20"/>
                <w:szCs w:val="20"/>
              </w:rPr>
            </w:pPr>
            <w:r w:rsidRPr="00B66B58">
              <w:rPr>
                <w:b w:val="0"/>
                <w:sz w:val="20"/>
                <w:szCs w:val="20"/>
              </w:rPr>
              <w:t>68,463</w:t>
            </w:r>
          </w:p>
        </w:tc>
        <w:tc>
          <w:tcPr>
            <w:tcW w:w="1398" w:type="pct"/>
          </w:tcPr>
          <w:p w14:paraId="27825EC6" w14:textId="77777777" w:rsidR="00812493" w:rsidRPr="001D0858" w:rsidRDefault="00812493" w:rsidP="00A41887">
            <w:pPr>
              <w:pStyle w:val="Tableheading"/>
              <w:rPr>
                <w:b w:val="0"/>
                <w:sz w:val="20"/>
                <w:szCs w:val="20"/>
              </w:rPr>
            </w:pPr>
            <w:r w:rsidRPr="00B66B58">
              <w:rPr>
                <w:b w:val="0"/>
                <w:sz w:val="20"/>
                <w:szCs w:val="20"/>
              </w:rPr>
              <w:t>46,808</w:t>
            </w:r>
          </w:p>
        </w:tc>
        <w:tc>
          <w:tcPr>
            <w:tcW w:w="1252" w:type="pct"/>
          </w:tcPr>
          <w:p w14:paraId="4F7A8914" w14:textId="77777777" w:rsidR="00812493" w:rsidRPr="001D0858" w:rsidRDefault="00812493" w:rsidP="00A41887">
            <w:pPr>
              <w:pStyle w:val="Tableheading"/>
              <w:rPr>
                <w:b w:val="0"/>
                <w:sz w:val="20"/>
                <w:szCs w:val="20"/>
              </w:rPr>
            </w:pPr>
            <w:r w:rsidRPr="00B66B58">
              <w:rPr>
                <w:b w:val="0"/>
                <w:sz w:val="20"/>
                <w:szCs w:val="20"/>
              </w:rPr>
              <w:t>68.4 (67.5–69.2)</w:t>
            </w:r>
          </w:p>
        </w:tc>
      </w:tr>
      <w:tr w:rsidR="00812493" w:rsidRPr="001D0858" w14:paraId="392F56F9" w14:textId="77777777" w:rsidTr="00A41887">
        <w:trPr>
          <w:trHeight w:val="20"/>
        </w:trPr>
        <w:tc>
          <w:tcPr>
            <w:tcW w:w="1380" w:type="pct"/>
          </w:tcPr>
          <w:p w14:paraId="5D97582C" w14:textId="77777777" w:rsidR="00812493" w:rsidRPr="00C11A25" w:rsidRDefault="00812493" w:rsidP="00A41887">
            <w:pPr>
              <w:pStyle w:val="Tableheading"/>
              <w:rPr>
                <w:sz w:val="20"/>
                <w:szCs w:val="20"/>
              </w:rPr>
            </w:pPr>
            <w:r w:rsidRPr="00C11A25">
              <w:rPr>
                <w:sz w:val="20"/>
                <w:szCs w:val="20"/>
              </w:rPr>
              <w:t>Male 50–59</w:t>
            </w:r>
          </w:p>
        </w:tc>
        <w:tc>
          <w:tcPr>
            <w:tcW w:w="970" w:type="pct"/>
          </w:tcPr>
          <w:p w14:paraId="121E7092" w14:textId="77777777" w:rsidR="00812493" w:rsidRPr="001D0858" w:rsidRDefault="00812493" w:rsidP="00A41887">
            <w:pPr>
              <w:pStyle w:val="Tableheading"/>
              <w:rPr>
                <w:b w:val="0"/>
                <w:sz w:val="20"/>
                <w:szCs w:val="20"/>
              </w:rPr>
            </w:pPr>
            <w:r w:rsidRPr="00796D46">
              <w:rPr>
                <w:b w:val="0"/>
                <w:sz w:val="20"/>
                <w:szCs w:val="20"/>
              </w:rPr>
              <w:t>1,522</w:t>
            </w:r>
          </w:p>
        </w:tc>
        <w:tc>
          <w:tcPr>
            <w:tcW w:w="1398" w:type="pct"/>
          </w:tcPr>
          <w:p w14:paraId="34D149B0" w14:textId="77777777" w:rsidR="00812493" w:rsidRPr="001D0858" w:rsidRDefault="00812493" w:rsidP="00A41887">
            <w:pPr>
              <w:pStyle w:val="Tableheading"/>
              <w:rPr>
                <w:b w:val="0"/>
                <w:sz w:val="20"/>
                <w:szCs w:val="20"/>
              </w:rPr>
            </w:pPr>
            <w:r w:rsidRPr="00796D46">
              <w:rPr>
                <w:b w:val="0"/>
                <w:sz w:val="20"/>
                <w:szCs w:val="20"/>
              </w:rPr>
              <w:t>683</w:t>
            </w:r>
          </w:p>
        </w:tc>
        <w:tc>
          <w:tcPr>
            <w:tcW w:w="1252" w:type="pct"/>
          </w:tcPr>
          <w:p w14:paraId="5C04A4B3" w14:textId="77777777" w:rsidR="00812493" w:rsidRPr="001D0858" w:rsidRDefault="00812493" w:rsidP="00A41887">
            <w:pPr>
              <w:pStyle w:val="Tableheading"/>
              <w:rPr>
                <w:b w:val="0"/>
                <w:sz w:val="20"/>
                <w:szCs w:val="20"/>
              </w:rPr>
            </w:pPr>
            <w:r w:rsidRPr="00796D46">
              <w:rPr>
                <w:b w:val="0"/>
                <w:sz w:val="20"/>
                <w:szCs w:val="20"/>
              </w:rPr>
              <w:t>44.9 (42.0–47.7)</w:t>
            </w:r>
          </w:p>
        </w:tc>
      </w:tr>
      <w:tr w:rsidR="00812493" w:rsidRPr="001D0858" w14:paraId="647C03CC" w14:textId="77777777" w:rsidTr="00A41887">
        <w:trPr>
          <w:trHeight w:val="20"/>
        </w:trPr>
        <w:tc>
          <w:tcPr>
            <w:tcW w:w="1380" w:type="pct"/>
          </w:tcPr>
          <w:p w14:paraId="6828502B" w14:textId="77777777" w:rsidR="00812493" w:rsidRPr="00C11A25" w:rsidRDefault="00812493" w:rsidP="00A41887">
            <w:pPr>
              <w:pStyle w:val="Tableheading"/>
              <w:rPr>
                <w:sz w:val="20"/>
                <w:szCs w:val="20"/>
              </w:rPr>
            </w:pPr>
            <w:r w:rsidRPr="00C11A25">
              <w:rPr>
                <w:sz w:val="20"/>
                <w:szCs w:val="20"/>
              </w:rPr>
              <w:t>Male 60–69</w:t>
            </w:r>
          </w:p>
        </w:tc>
        <w:tc>
          <w:tcPr>
            <w:tcW w:w="970" w:type="pct"/>
          </w:tcPr>
          <w:p w14:paraId="6D9866EC" w14:textId="77777777" w:rsidR="00812493" w:rsidRPr="001D0858" w:rsidRDefault="00812493" w:rsidP="00A41887">
            <w:pPr>
              <w:pStyle w:val="Tableheading"/>
              <w:rPr>
                <w:b w:val="0"/>
                <w:sz w:val="20"/>
                <w:szCs w:val="20"/>
              </w:rPr>
            </w:pPr>
            <w:r w:rsidRPr="00796D46">
              <w:rPr>
                <w:b w:val="0"/>
                <w:sz w:val="20"/>
                <w:szCs w:val="20"/>
              </w:rPr>
              <w:t>3,391</w:t>
            </w:r>
          </w:p>
        </w:tc>
        <w:tc>
          <w:tcPr>
            <w:tcW w:w="1398" w:type="pct"/>
          </w:tcPr>
          <w:p w14:paraId="0AB15BC1" w14:textId="77777777" w:rsidR="00812493" w:rsidRPr="001D0858" w:rsidRDefault="00812493" w:rsidP="00A41887">
            <w:pPr>
              <w:pStyle w:val="Tableheading"/>
              <w:rPr>
                <w:b w:val="0"/>
                <w:sz w:val="20"/>
                <w:szCs w:val="20"/>
              </w:rPr>
            </w:pPr>
            <w:r w:rsidRPr="00796D46">
              <w:rPr>
                <w:b w:val="0"/>
                <w:sz w:val="20"/>
                <w:szCs w:val="20"/>
              </w:rPr>
              <w:t>1,834</w:t>
            </w:r>
          </w:p>
        </w:tc>
        <w:tc>
          <w:tcPr>
            <w:tcW w:w="1252" w:type="pct"/>
          </w:tcPr>
          <w:p w14:paraId="5119C3DE" w14:textId="77777777" w:rsidR="00812493" w:rsidRPr="001D0858" w:rsidRDefault="00812493" w:rsidP="00A41887">
            <w:pPr>
              <w:pStyle w:val="Tableheading"/>
              <w:rPr>
                <w:b w:val="0"/>
                <w:sz w:val="20"/>
                <w:szCs w:val="20"/>
              </w:rPr>
            </w:pPr>
            <w:r w:rsidRPr="00796D46">
              <w:rPr>
                <w:b w:val="0"/>
                <w:sz w:val="20"/>
                <w:szCs w:val="20"/>
              </w:rPr>
              <w:t>54.1 (52.0–56.1)</w:t>
            </w:r>
          </w:p>
        </w:tc>
      </w:tr>
      <w:tr w:rsidR="00812493" w:rsidRPr="001D0858" w14:paraId="08A7F0DC" w14:textId="77777777" w:rsidTr="00A41887">
        <w:trPr>
          <w:trHeight w:val="20"/>
        </w:trPr>
        <w:tc>
          <w:tcPr>
            <w:tcW w:w="1380" w:type="pct"/>
          </w:tcPr>
          <w:p w14:paraId="04AA9562" w14:textId="77777777" w:rsidR="00812493" w:rsidRPr="00C11A25" w:rsidRDefault="00812493" w:rsidP="00A41887">
            <w:pPr>
              <w:pStyle w:val="Tableheading"/>
              <w:rPr>
                <w:sz w:val="20"/>
                <w:szCs w:val="20"/>
              </w:rPr>
            </w:pPr>
            <w:r w:rsidRPr="00C11A25">
              <w:rPr>
                <w:sz w:val="20"/>
                <w:szCs w:val="20"/>
              </w:rPr>
              <w:t>Male 70+</w:t>
            </w:r>
          </w:p>
        </w:tc>
        <w:tc>
          <w:tcPr>
            <w:tcW w:w="970" w:type="pct"/>
          </w:tcPr>
          <w:p w14:paraId="1F319623" w14:textId="77777777" w:rsidR="00812493" w:rsidRPr="001D0858" w:rsidRDefault="00812493" w:rsidP="00A41887">
            <w:pPr>
              <w:pStyle w:val="Tableheading"/>
              <w:rPr>
                <w:b w:val="0"/>
                <w:sz w:val="20"/>
                <w:szCs w:val="20"/>
              </w:rPr>
            </w:pPr>
            <w:r w:rsidRPr="00796D46">
              <w:rPr>
                <w:b w:val="0"/>
                <w:sz w:val="20"/>
                <w:szCs w:val="20"/>
              </w:rPr>
              <w:t>20,430</w:t>
            </w:r>
          </w:p>
        </w:tc>
        <w:tc>
          <w:tcPr>
            <w:tcW w:w="1398" w:type="pct"/>
          </w:tcPr>
          <w:p w14:paraId="4C5985C5" w14:textId="77777777" w:rsidR="00812493" w:rsidRPr="001D0858" w:rsidRDefault="00812493" w:rsidP="00A41887">
            <w:pPr>
              <w:pStyle w:val="Tableheading"/>
              <w:rPr>
                <w:b w:val="0"/>
                <w:sz w:val="20"/>
                <w:szCs w:val="20"/>
              </w:rPr>
            </w:pPr>
            <w:r w:rsidRPr="00796D46">
              <w:rPr>
                <w:b w:val="0"/>
                <w:sz w:val="20"/>
                <w:szCs w:val="20"/>
              </w:rPr>
              <w:t>10,831</w:t>
            </w:r>
          </w:p>
        </w:tc>
        <w:tc>
          <w:tcPr>
            <w:tcW w:w="1252" w:type="pct"/>
          </w:tcPr>
          <w:p w14:paraId="216DB43B" w14:textId="77777777" w:rsidR="00812493" w:rsidRPr="001D0858" w:rsidRDefault="00812493" w:rsidP="00A41887">
            <w:pPr>
              <w:pStyle w:val="Tableheading"/>
              <w:rPr>
                <w:b w:val="0"/>
                <w:sz w:val="20"/>
                <w:szCs w:val="20"/>
              </w:rPr>
            </w:pPr>
            <w:r w:rsidRPr="00796D46">
              <w:rPr>
                <w:b w:val="0"/>
                <w:sz w:val="20"/>
                <w:szCs w:val="20"/>
              </w:rPr>
              <w:t>53.0 (51.4–54.6)</w:t>
            </w:r>
          </w:p>
        </w:tc>
      </w:tr>
    </w:tbl>
    <w:p w14:paraId="2DCFEEF5" w14:textId="38642D39" w:rsidR="00812493" w:rsidRDefault="00812493" w:rsidP="00812493">
      <w:r w:rsidRPr="00761110">
        <w:rPr>
          <w:sz w:val="20"/>
          <w:szCs w:val="20"/>
        </w:rPr>
        <w:t>NB: These figures should not b</w:t>
      </w:r>
      <w:r w:rsidR="00B66F68">
        <w:rPr>
          <w:sz w:val="20"/>
          <w:szCs w:val="20"/>
        </w:rPr>
        <w:t>e compared with those in Table 27. Figures in Table 26</w:t>
      </w:r>
      <w:r w:rsidRPr="00761110">
        <w:rPr>
          <w:sz w:val="20"/>
          <w:szCs w:val="20"/>
        </w:rPr>
        <w:t xml:space="preserve"> refer to ‘ever’ prescriptions whereas </w:t>
      </w:r>
      <w:r>
        <w:rPr>
          <w:sz w:val="20"/>
          <w:szCs w:val="20"/>
        </w:rPr>
        <w:t xml:space="preserve">figures </w:t>
      </w:r>
      <w:r w:rsidR="00B66F68">
        <w:rPr>
          <w:sz w:val="20"/>
          <w:szCs w:val="20"/>
        </w:rPr>
        <w:t>in Table 27</w:t>
      </w:r>
      <w:r w:rsidRPr="00761110">
        <w:rPr>
          <w:sz w:val="20"/>
          <w:szCs w:val="20"/>
        </w:rPr>
        <w:t xml:space="preserve"> refer </w:t>
      </w:r>
      <w:r>
        <w:rPr>
          <w:sz w:val="20"/>
          <w:szCs w:val="20"/>
        </w:rPr>
        <w:t xml:space="preserve">only </w:t>
      </w:r>
      <w:r w:rsidRPr="00761110">
        <w:rPr>
          <w:sz w:val="20"/>
          <w:szCs w:val="20"/>
        </w:rPr>
        <w:t>to scripts prescribed in Jan 2014–Dec 2017</w:t>
      </w:r>
    </w:p>
    <w:p w14:paraId="1D0EE7FA" w14:textId="7F7D2978" w:rsidR="00812493" w:rsidRDefault="00812493" w:rsidP="00812493">
      <w:r>
        <w:t xml:space="preserve">The proportion of patients who had no record of being prescribed an osteoporosis medicine was higher in this study (39.5%; 95% CI 38.6% to 40.5%) than that reported in the </w:t>
      </w:r>
      <w:r w:rsidRPr="00BB218C">
        <w:t xml:space="preserve">Naik-Panvelkar </w:t>
      </w:r>
      <w:r>
        <w:t xml:space="preserve">study (23.5%). This is most likely due to differences in cohort selection. This analysis included patients who had attended at least 3 times over the 2-year study period, but the Naik-Panvelkar study only included patients who had been seen at the general practice </w:t>
      </w:r>
      <w:r w:rsidRPr="005D0AB6">
        <w:t xml:space="preserve">at least </w:t>
      </w:r>
      <w:r>
        <w:t xml:space="preserve">once </w:t>
      </w:r>
      <w:r w:rsidRPr="00520112">
        <w:rPr>
          <w:u w:val="single"/>
        </w:rPr>
        <w:t>every</w:t>
      </w:r>
      <w:r w:rsidRPr="005D0AB6">
        <w:t xml:space="preserve"> year </w:t>
      </w:r>
      <w:r>
        <w:t>over an 8-year period. This highly selected group are very likely to see a single GP and because they have been attending the same practice over a long time period are likely to have very complete records. In contrast, the patients in this study may have less complete records and data from other prescribers (such as specialists or GPs from other general practices) may not be captured as well.</w:t>
      </w:r>
    </w:p>
    <w:p w14:paraId="7FACD986" w14:textId="77777777" w:rsidR="00F84F9D" w:rsidRDefault="00F84F9D" w:rsidP="00812493"/>
    <w:p w14:paraId="5FE6136C" w14:textId="77777777" w:rsidR="00812493" w:rsidRPr="00812493" w:rsidRDefault="00812493" w:rsidP="00812493">
      <w:pPr>
        <w:pStyle w:val="Heading4"/>
        <w:rPr>
          <w:sz w:val="24"/>
        </w:rPr>
      </w:pPr>
      <w:r w:rsidRPr="00812493">
        <w:rPr>
          <w:sz w:val="24"/>
        </w:rPr>
        <w:lastRenderedPageBreak/>
        <w:t>Osteoporosis medicines prescribed to the historical osteoporosis study population in Jan 2014–Dec 2017</w:t>
      </w:r>
    </w:p>
    <w:p w14:paraId="1883F984" w14:textId="77777777" w:rsidR="00812493" w:rsidRDefault="00812493" w:rsidP="00812493">
      <w:r>
        <w:t xml:space="preserve">Prescribing of osteoporosis medicines between January 2014 and December 2017 in the historical osteoporosis study population was more common in women and older patients. </w:t>
      </w:r>
    </w:p>
    <w:p w14:paraId="1A080A48" w14:textId="1105E66C" w:rsidR="00812493" w:rsidRPr="00D86C45" w:rsidRDefault="00812493" w:rsidP="00812493">
      <w:r>
        <w:t>Please note that while prescribing patterns are similar, these</w:t>
      </w:r>
      <w:r w:rsidRPr="004A1333">
        <w:t xml:space="preserve"> figures should not be </w:t>
      </w:r>
      <w:r>
        <w:t xml:space="preserve">directly </w:t>
      </w:r>
      <w:r w:rsidR="00B66F68">
        <w:t>compared with those in Table 26</w:t>
      </w:r>
      <w:r w:rsidR="00406105">
        <w:t>. Figures in Table 26</w:t>
      </w:r>
      <w:r w:rsidRPr="004A1333">
        <w:t xml:space="preserve"> refer to ‘ever’ prescript</w:t>
      </w:r>
      <w:r w:rsidR="00406105">
        <w:t>ions whereas figures in Table 27</w:t>
      </w:r>
      <w:r w:rsidRPr="004A1333">
        <w:t xml:space="preserve"> refer only to scripts prescribed in Jan 2014–Dec 2017.</w:t>
      </w:r>
    </w:p>
    <w:p w14:paraId="417F3104" w14:textId="6D816FAF" w:rsidR="00812493" w:rsidRPr="00B03D84" w:rsidRDefault="00812493" w:rsidP="00812493">
      <w:pPr>
        <w:pStyle w:val="Tabletitle"/>
      </w:pPr>
      <w:r w:rsidRPr="00B03D84">
        <w:t xml:space="preserve">Table </w:t>
      </w:r>
      <w:r w:rsidR="00B66F68">
        <w:t>27</w:t>
      </w:r>
      <w:r w:rsidRPr="00B03D84">
        <w:t>: P</w:t>
      </w:r>
      <w:r>
        <w:t>roportion of patients in the h</w:t>
      </w:r>
      <w:r w:rsidRPr="002B2308">
        <w:t xml:space="preserve">istorical osteoporosis study population </w:t>
      </w:r>
      <w:r>
        <w:t>prescribed an osteoporosis medicine at least once in Jan 2014–Dec 2017</w:t>
      </w:r>
    </w:p>
    <w:tbl>
      <w:tblPr>
        <w:tblStyle w:val="TableGrid"/>
        <w:tblW w:w="5000" w:type="pct"/>
        <w:tblLook w:val="04A0" w:firstRow="1" w:lastRow="0" w:firstColumn="1" w:lastColumn="0" w:noHBand="0" w:noVBand="1"/>
        <w:tblCaption w:val="Table 11: Proportion of patients in the historical osteoporosis study population prescribed an osteoporosis medicine at least once in Jan 2014–Dec 2017"/>
      </w:tblPr>
      <w:tblGrid>
        <w:gridCol w:w="1838"/>
        <w:gridCol w:w="2126"/>
        <w:gridCol w:w="3262"/>
        <w:gridCol w:w="1721"/>
      </w:tblGrid>
      <w:tr w:rsidR="00812493" w:rsidRPr="001D0858" w14:paraId="160E18CF" w14:textId="77777777" w:rsidTr="00A41887">
        <w:trPr>
          <w:trHeight w:val="20"/>
          <w:tblHeader/>
        </w:trPr>
        <w:tc>
          <w:tcPr>
            <w:tcW w:w="1027" w:type="pct"/>
            <w:vMerge w:val="restart"/>
            <w:shd w:val="clear" w:color="auto" w:fill="BFBFBF" w:themeFill="background1" w:themeFillShade="BF"/>
          </w:tcPr>
          <w:p w14:paraId="47883D85" w14:textId="77777777" w:rsidR="00812493" w:rsidRPr="001D0858" w:rsidRDefault="00812493" w:rsidP="00A41887">
            <w:pPr>
              <w:pStyle w:val="Tableheading"/>
              <w:rPr>
                <w:sz w:val="20"/>
                <w:szCs w:val="20"/>
              </w:rPr>
            </w:pPr>
          </w:p>
        </w:tc>
        <w:tc>
          <w:tcPr>
            <w:tcW w:w="3973" w:type="pct"/>
            <w:gridSpan w:val="3"/>
            <w:shd w:val="clear" w:color="auto" w:fill="BFBFBF" w:themeFill="background1" w:themeFillShade="BF"/>
          </w:tcPr>
          <w:p w14:paraId="50ACF3B4" w14:textId="77777777" w:rsidR="00812493" w:rsidRPr="001D0858" w:rsidRDefault="00812493" w:rsidP="00A41887">
            <w:pPr>
              <w:pStyle w:val="Tableheading"/>
              <w:rPr>
                <w:sz w:val="20"/>
                <w:szCs w:val="20"/>
              </w:rPr>
            </w:pPr>
            <w:r>
              <w:rPr>
                <w:sz w:val="20"/>
                <w:szCs w:val="20"/>
              </w:rPr>
              <w:t>Historical osteoporosis study population (3 visits between Jan 2014–Dec 2017 and osteoporosis recorded before 1 Jan 2018)</w:t>
            </w:r>
          </w:p>
        </w:tc>
      </w:tr>
      <w:tr w:rsidR="00812493" w:rsidRPr="001D0858" w14:paraId="13309A68" w14:textId="77777777" w:rsidTr="00A41887">
        <w:trPr>
          <w:trHeight w:val="20"/>
          <w:tblHeader/>
        </w:trPr>
        <w:tc>
          <w:tcPr>
            <w:tcW w:w="1027" w:type="pct"/>
            <w:vMerge/>
            <w:shd w:val="clear" w:color="auto" w:fill="BFBFBF" w:themeFill="background1" w:themeFillShade="BF"/>
          </w:tcPr>
          <w:p w14:paraId="35DA7D90" w14:textId="77777777" w:rsidR="00812493" w:rsidRDefault="00812493" w:rsidP="00A41887">
            <w:pPr>
              <w:pStyle w:val="Tableheading"/>
              <w:rPr>
                <w:sz w:val="20"/>
                <w:szCs w:val="20"/>
              </w:rPr>
            </w:pPr>
          </w:p>
        </w:tc>
        <w:tc>
          <w:tcPr>
            <w:tcW w:w="1188" w:type="pct"/>
            <w:shd w:val="clear" w:color="auto" w:fill="BFBFBF" w:themeFill="background1" w:themeFillShade="BF"/>
          </w:tcPr>
          <w:p w14:paraId="1A0FD847" w14:textId="77777777" w:rsidR="00812493" w:rsidRPr="001D0858" w:rsidRDefault="00812493" w:rsidP="00A41887">
            <w:pPr>
              <w:pStyle w:val="Tableheading"/>
              <w:rPr>
                <w:sz w:val="20"/>
                <w:szCs w:val="20"/>
              </w:rPr>
            </w:pPr>
            <w:r>
              <w:rPr>
                <w:sz w:val="20"/>
                <w:szCs w:val="20"/>
              </w:rPr>
              <w:t xml:space="preserve">No. patients </w:t>
            </w:r>
            <w:r w:rsidRPr="00B03D84">
              <w:rPr>
                <w:sz w:val="20"/>
                <w:szCs w:val="20"/>
              </w:rPr>
              <w:t xml:space="preserve">with recorded </w:t>
            </w:r>
            <w:r>
              <w:rPr>
                <w:sz w:val="20"/>
                <w:szCs w:val="20"/>
              </w:rPr>
              <w:t>osteoporosis</w:t>
            </w:r>
          </w:p>
        </w:tc>
        <w:tc>
          <w:tcPr>
            <w:tcW w:w="1823" w:type="pct"/>
            <w:shd w:val="clear" w:color="auto" w:fill="BFBFBF" w:themeFill="background1" w:themeFillShade="BF"/>
          </w:tcPr>
          <w:p w14:paraId="6CE8E2E6" w14:textId="77777777" w:rsidR="00812493" w:rsidRPr="001D0858" w:rsidRDefault="00812493" w:rsidP="00A41887">
            <w:pPr>
              <w:pStyle w:val="Tableheading"/>
              <w:rPr>
                <w:sz w:val="20"/>
                <w:szCs w:val="20"/>
              </w:rPr>
            </w:pPr>
            <w:r>
              <w:rPr>
                <w:sz w:val="20"/>
                <w:szCs w:val="20"/>
              </w:rPr>
              <w:t xml:space="preserve">No. patients </w:t>
            </w:r>
            <w:r w:rsidRPr="00B03D84">
              <w:rPr>
                <w:sz w:val="20"/>
                <w:szCs w:val="20"/>
              </w:rPr>
              <w:t xml:space="preserve">with at least one record of </w:t>
            </w:r>
            <w:r>
              <w:rPr>
                <w:sz w:val="20"/>
                <w:szCs w:val="20"/>
              </w:rPr>
              <w:t>osteoporosis medicine</w:t>
            </w:r>
            <w:r w:rsidRPr="00B03D84">
              <w:rPr>
                <w:sz w:val="20"/>
                <w:szCs w:val="20"/>
              </w:rPr>
              <w:t xml:space="preserve"> script</w:t>
            </w:r>
            <w:r>
              <w:rPr>
                <w:sz w:val="20"/>
                <w:szCs w:val="20"/>
              </w:rPr>
              <w:t xml:space="preserve"> between Jan 2014 and Dec 2017</w:t>
            </w:r>
          </w:p>
        </w:tc>
        <w:tc>
          <w:tcPr>
            <w:tcW w:w="962" w:type="pct"/>
            <w:shd w:val="clear" w:color="auto" w:fill="BFBFBF" w:themeFill="background1" w:themeFillShade="BF"/>
          </w:tcPr>
          <w:p w14:paraId="3D5579DB" w14:textId="77777777" w:rsidR="00812493" w:rsidRPr="001D0858" w:rsidRDefault="00812493" w:rsidP="00A41887">
            <w:pPr>
              <w:pStyle w:val="Tableheading"/>
              <w:rPr>
                <w:sz w:val="20"/>
                <w:szCs w:val="20"/>
              </w:rPr>
            </w:pPr>
            <w:r>
              <w:rPr>
                <w:sz w:val="20"/>
                <w:szCs w:val="20"/>
              </w:rPr>
              <w:t>% (95% CI)</w:t>
            </w:r>
          </w:p>
        </w:tc>
      </w:tr>
      <w:tr w:rsidR="00812493" w:rsidRPr="001D0858" w14:paraId="228A7E6C" w14:textId="77777777" w:rsidTr="00A41887">
        <w:trPr>
          <w:trHeight w:val="20"/>
        </w:trPr>
        <w:tc>
          <w:tcPr>
            <w:tcW w:w="1027" w:type="pct"/>
          </w:tcPr>
          <w:p w14:paraId="4AA04513" w14:textId="77777777" w:rsidR="00812493" w:rsidRPr="00C11A25" w:rsidRDefault="00812493" w:rsidP="00A41887">
            <w:pPr>
              <w:pStyle w:val="Tableheading"/>
              <w:rPr>
                <w:rFonts w:cstheme="minorHAnsi"/>
                <w:sz w:val="20"/>
                <w:szCs w:val="20"/>
              </w:rPr>
            </w:pPr>
            <w:r w:rsidRPr="00C11A25">
              <w:rPr>
                <w:rFonts w:cstheme="minorHAnsi"/>
                <w:sz w:val="20"/>
                <w:szCs w:val="20"/>
              </w:rPr>
              <w:t>Total</w:t>
            </w:r>
          </w:p>
        </w:tc>
        <w:tc>
          <w:tcPr>
            <w:tcW w:w="1188" w:type="pct"/>
          </w:tcPr>
          <w:p w14:paraId="0186B3B6" w14:textId="77777777" w:rsidR="00812493" w:rsidRPr="00B03D84" w:rsidRDefault="00812493" w:rsidP="00A41887">
            <w:pPr>
              <w:pStyle w:val="Tableheading"/>
              <w:rPr>
                <w:b w:val="0"/>
                <w:sz w:val="20"/>
                <w:szCs w:val="20"/>
              </w:rPr>
            </w:pPr>
            <w:r w:rsidRPr="009C3F06">
              <w:rPr>
                <w:b w:val="0"/>
                <w:sz w:val="20"/>
                <w:szCs w:val="20"/>
              </w:rPr>
              <w:t>120,388</w:t>
            </w:r>
          </w:p>
        </w:tc>
        <w:tc>
          <w:tcPr>
            <w:tcW w:w="1823" w:type="pct"/>
          </w:tcPr>
          <w:p w14:paraId="27A8FD5F" w14:textId="77777777" w:rsidR="00812493" w:rsidRPr="00B03D84" w:rsidRDefault="00812493" w:rsidP="00A41887">
            <w:pPr>
              <w:pStyle w:val="Tableheading"/>
              <w:rPr>
                <w:b w:val="0"/>
                <w:sz w:val="20"/>
                <w:szCs w:val="20"/>
              </w:rPr>
            </w:pPr>
            <w:r w:rsidRPr="009C3F06">
              <w:rPr>
                <w:b w:val="0"/>
                <w:sz w:val="20"/>
                <w:szCs w:val="20"/>
              </w:rPr>
              <w:t>61,603</w:t>
            </w:r>
          </w:p>
        </w:tc>
        <w:tc>
          <w:tcPr>
            <w:tcW w:w="962" w:type="pct"/>
          </w:tcPr>
          <w:p w14:paraId="190CFE75" w14:textId="77777777" w:rsidR="00812493" w:rsidRPr="00B03D84" w:rsidRDefault="00812493" w:rsidP="00A41887">
            <w:pPr>
              <w:pStyle w:val="Tableheading"/>
              <w:rPr>
                <w:b w:val="0"/>
                <w:sz w:val="20"/>
                <w:szCs w:val="20"/>
              </w:rPr>
            </w:pPr>
            <w:r w:rsidRPr="009C3F06">
              <w:rPr>
                <w:b w:val="0"/>
                <w:sz w:val="20"/>
                <w:szCs w:val="20"/>
              </w:rPr>
              <w:t>51.2 (50.1–52.3)</w:t>
            </w:r>
          </w:p>
        </w:tc>
      </w:tr>
      <w:tr w:rsidR="00812493" w:rsidRPr="001D0858" w14:paraId="21BF4425" w14:textId="77777777" w:rsidTr="00A41887">
        <w:trPr>
          <w:trHeight w:val="20"/>
        </w:trPr>
        <w:tc>
          <w:tcPr>
            <w:tcW w:w="5000" w:type="pct"/>
            <w:gridSpan w:val="4"/>
            <w:shd w:val="clear" w:color="auto" w:fill="D9D9D9" w:themeFill="background1" w:themeFillShade="D9"/>
          </w:tcPr>
          <w:p w14:paraId="3620C200" w14:textId="77777777" w:rsidR="00812493" w:rsidRPr="007478B9" w:rsidRDefault="00812493" w:rsidP="00A41887">
            <w:pPr>
              <w:pStyle w:val="Tableheading"/>
              <w:rPr>
                <w:sz w:val="20"/>
                <w:szCs w:val="20"/>
              </w:rPr>
            </w:pPr>
            <w:r w:rsidRPr="007478B9">
              <w:rPr>
                <w:sz w:val="20"/>
                <w:szCs w:val="20"/>
              </w:rPr>
              <w:t xml:space="preserve">Age groups (10 </w:t>
            </w:r>
            <w:r w:rsidRPr="007478B9">
              <w:rPr>
                <w:rFonts w:cstheme="minorHAnsi"/>
                <w:sz w:val="20"/>
                <w:szCs w:val="20"/>
              </w:rPr>
              <w:t>years</w:t>
            </w:r>
            <w:r w:rsidRPr="007478B9">
              <w:rPr>
                <w:sz w:val="20"/>
                <w:szCs w:val="20"/>
              </w:rPr>
              <w:t>)</w:t>
            </w:r>
          </w:p>
        </w:tc>
      </w:tr>
      <w:tr w:rsidR="00812493" w:rsidRPr="001D0858" w14:paraId="6D304A89" w14:textId="77777777" w:rsidTr="00A41887">
        <w:trPr>
          <w:trHeight w:val="20"/>
        </w:trPr>
        <w:tc>
          <w:tcPr>
            <w:tcW w:w="1027" w:type="pct"/>
          </w:tcPr>
          <w:p w14:paraId="41A5FBD5" w14:textId="77777777" w:rsidR="00812493" w:rsidRPr="00C11A25" w:rsidRDefault="00812493" w:rsidP="00A41887">
            <w:pPr>
              <w:pStyle w:val="Tableheading"/>
              <w:rPr>
                <w:rFonts w:cstheme="minorHAnsi"/>
                <w:sz w:val="20"/>
                <w:szCs w:val="20"/>
              </w:rPr>
            </w:pPr>
            <w:r w:rsidRPr="00C11A25">
              <w:rPr>
                <w:rFonts w:cstheme="minorHAnsi"/>
                <w:sz w:val="20"/>
                <w:szCs w:val="20"/>
              </w:rPr>
              <w:t>50–59</w:t>
            </w:r>
          </w:p>
        </w:tc>
        <w:tc>
          <w:tcPr>
            <w:tcW w:w="1188" w:type="pct"/>
          </w:tcPr>
          <w:p w14:paraId="17BB03A8" w14:textId="77777777" w:rsidR="00812493" w:rsidRPr="00B03D84" w:rsidRDefault="00812493" w:rsidP="00A41887">
            <w:pPr>
              <w:pStyle w:val="Tableheading"/>
              <w:rPr>
                <w:b w:val="0"/>
                <w:sz w:val="20"/>
                <w:szCs w:val="20"/>
              </w:rPr>
            </w:pPr>
            <w:r w:rsidRPr="009C3F06">
              <w:rPr>
                <w:b w:val="0"/>
                <w:sz w:val="20"/>
                <w:szCs w:val="20"/>
              </w:rPr>
              <w:t>9,515</w:t>
            </w:r>
          </w:p>
        </w:tc>
        <w:tc>
          <w:tcPr>
            <w:tcW w:w="1823" w:type="pct"/>
          </w:tcPr>
          <w:p w14:paraId="7C87FF5F" w14:textId="77777777" w:rsidR="00812493" w:rsidRPr="00B03D84" w:rsidRDefault="00812493" w:rsidP="00A41887">
            <w:pPr>
              <w:pStyle w:val="Tableheading"/>
              <w:rPr>
                <w:b w:val="0"/>
                <w:sz w:val="20"/>
                <w:szCs w:val="20"/>
              </w:rPr>
            </w:pPr>
            <w:r w:rsidRPr="009C3F06">
              <w:rPr>
                <w:b w:val="0"/>
                <w:sz w:val="20"/>
                <w:szCs w:val="20"/>
              </w:rPr>
              <w:t>3,177</w:t>
            </w:r>
          </w:p>
        </w:tc>
        <w:tc>
          <w:tcPr>
            <w:tcW w:w="962" w:type="pct"/>
          </w:tcPr>
          <w:p w14:paraId="085CDA53" w14:textId="77777777" w:rsidR="00812493" w:rsidRPr="00B03D84" w:rsidRDefault="00812493" w:rsidP="00A41887">
            <w:pPr>
              <w:pStyle w:val="Tableheading"/>
              <w:rPr>
                <w:b w:val="0"/>
                <w:sz w:val="20"/>
                <w:szCs w:val="20"/>
              </w:rPr>
            </w:pPr>
            <w:r w:rsidRPr="009C3F06">
              <w:rPr>
                <w:b w:val="0"/>
                <w:sz w:val="20"/>
                <w:szCs w:val="20"/>
              </w:rPr>
              <w:t>33.4 (31.7–35.1)</w:t>
            </w:r>
          </w:p>
        </w:tc>
      </w:tr>
      <w:tr w:rsidR="00812493" w:rsidRPr="001D0858" w14:paraId="202BD35A" w14:textId="77777777" w:rsidTr="00A41887">
        <w:trPr>
          <w:trHeight w:val="20"/>
        </w:trPr>
        <w:tc>
          <w:tcPr>
            <w:tcW w:w="1027" w:type="pct"/>
          </w:tcPr>
          <w:p w14:paraId="70A8664C" w14:textId="77777777" w:rsidR="00812493" w:rsidRPr="00C11A25" w:rsidRDefault="00812493" w:rsidP="00A41887">
            <w:pPr>
              <w:pStyle w:val="Tableheading"/>
              <w:rPr>
                <w:rFonts w:cstheme="minorHAnsi"/>
                <w:sz w:val="20"/>
                <w:szCs w:val="20"/>
              </w:rPr>
            </w:pPr>
            <w:r w:rsidRPr="00C11A25">
              <w:rPr>
                <w:rFonts w:cstheme="minorHAnsi"/>
                <w:sz w:val="20"/>
                <w:szCs w:val="20"/>
              </w:rPr>
              <w:t>60–69</w:t>
            </w:r>
          </w:p>
        </w:tc>
        <w:tc>
          <w:tcPr>
            <w:tcW w:w="1188" w:type="pct"/>
          </w:tcPr>
          <w:p w14:paraId="07696D9F" w14:textId="77777777" w:rsidR="00812493" w:rsidRPr="00B03D84" w:rsidRDefault="00812493" w:rsidP="00A41887">
            <w:pPr>
              <w:pStyle w:val="Tableheading"/>
              <w:rPr>
                <w:b w:val="0"/>
                <w:sz w:val="20"/>
                <w:szCs w:val="20"/>
              </w:rPr>
            </w:pPr>
            <w:r w:rsidRPr="009C3F06">
              <w:rPr>
                <w:b w:val="0"/>
                <w:sz w:val="20"/>
                <w:szCs w:val="20"/>
              </w:rPr>
              <w:t>23,692</w:t>
            </w:r>
          </w:p>
        </w:tc>
        <w:tc>
          <w:tcPr>
            <w:tcW w:w="1823" w:type="pct"/>
          </w:tcPr>
          <w:p w14:paraId="729F118C" w14:textId="77777777" w:rsidR="00812493" w:rsidRPr="00B03D84" w:rsidRDefault="00812493" w:rsidP="00A41887">
            <w:pPr>
              <w:pStyle w:val="Tableheading"/>
              <w:rPr>
                <w:b w:val="0"/>
                <w:sz w:val="20"/>
                <w:szCs w:val="20"/>
              </w:rPr>
            </w:pPr>
            <w:r w:rsidRPr="009C3F06">
              <w:rPr>
                <w:b w:val="0"/>
                <w:sz w:val="20"/>
                <w:szCs w:val="20"/>
              </w:rPr>
              <w:t>10,553</w:t>
            </w:r>
          </w:p>
        </w:tc>
        <w:tc>
          <w:tcPr>
            <w:tcW w:w="962" w:type="pct"/>
          </w:tcPr>
          <w:p w14:paraId="5B712F2E" w14:textId="77777777" w:rsidR="00812493" w:rsidRPr="00B03D84" w:rsidRDefault="00812493" w:rsidP="00A41887">
            <w:pPr>
              <w:pStyle w:val="Tableheading"/>
              <w:rPr>
                <w:b w:val="0"/>
                <w:sz w:val="20"/>
                <w:szCs w:val="20"/>
              </w:rPr>
            </w:pPr>
            <w:r w:rsidRPr="009C3F06">
              <w:rPr>
                <w:b w:val="0"/>
                <w:sz w:val="20"/>
                <w:szCs w:val="20"/>
              </w:rPr>
              <w:t>44.5 (43.2–45.9)</w:t>
            </w:r>
          </w:p>
        </w:tc>
      </w:tr>
      <w:tr w:rsidR="00812493" w:rsidRPr="001D0858" w14:paraId="583CC64B" w14:textId="77777777" w:rsidTr="00A41887">
        <w:trPr>
          <w:trHeight w:val="20"/>
        </w:trPr>
        <w:tc>
          <w:tcPr>
            <w:tcW w:w="1027" w:type="pct"/>
          </w:tcPr>
          <w:p w14:paraId="4C57DCCA" w14:textId="77777777" w:rsidR="00812493" w:rsidRPr="00C11A25" w:rsidRDefault="00812493" w:rsidP="00A41887">
            <w:pPr>
              <w:pStyle w:val="Tableheading"/>
              <w:rPr>
                <w:rFonts w:cstheme="minorHAnsi"/>
                <w:sz w:val="20"/>
                <w:szCs w:val="20"/>
              </w:rPr>
            </w:pPr>
            <w:r w:rsidRPr="00C11A25">
              <w:rPr>
                <w:rFonts w:cstheme="minorHAnsi"/>
                <w:sz w:val="20"/>
                <w:szCs w:val="20"/>
              </w:rPr>
              <w:t>70+</w:t>
            </w:r>
          </w:p>
        </w:tc>
        <w:tc>
          <w:tcPr>
            <w:tcW w:w="1188" w:type="pct"/>
          </w:tcPr>
          <w:p w14:paraId="61BE1AF4" w14:textId="77777777" w:rsidR="00812493" w:rsidRPr="00B03D84" w:rsidRDefault="00812493" w:rsidP="00A41887">
            <w:pPr>
              <w:pStyle w:val="Tableheading"/>
              <w:rPr>
                <w:b w:val="0"/>
                <w:sz w:val="20"/>
                <w:szCs w:val="20"/>
              </w:rPr>
            </w:pPr>
            <w:r w:rsidRPr="009C3F06">
              <w:rPr>
                <w:b w:val="0"/>
                <w:sz w:val="20"/>
                <w:szCs w:val="20"/>
              </w:rPr>
              <w:t>87,181</w:t>
            </w:r>
          </w:p>
        </w:tc>
        <w:tc>
          <w:tcPr>
            <w:tcW w:w="1823" w:type="pct"/>
          </w:tcPr>
          <w:p w14:paraId="551D0038" w14:textId="77777777" w:rsidR="00812493" w:rsidRPr="00B03D84" w:rsidRDefault="00812493" w:rsidP="00A41887">
            <w:pPr>
              <w:pStyle w:val="Tableheading"/>
              <w:rPr>
                <w:b w:val="0"/>
                <w:sz w:val="20"/>
                <w:szCs w:val="20"/>
              </w:rPr>
            </w:pPr>
            <w:r w:rsidRPr="009C3F06">
              <w:rPr>
                <w:b w:val="0"/>
                <w:sz w:val="20"/>
                <w:szCs w:val="20"/>
              </w:rPr>
              <w:t>47,873</w:t>
            </w:r>
          </w:p>
        </w:tc>
        <w:tc>
          <w:tcPr>
            <w:tcW w:w="962" w:type="pct"/>
          </w:tcPr>
          <w:p w14:paraId="549E4EAB" w14:textId="77777777" w:rsidR="00812493" w:rsidRPr="00B03D84" w:rsidRDefault="00812493" w:rsidP="00A41887">
            <w:pPr>
              <w:pStyle w:val="Tableheading"/>
              <w:rPr>
                <w:b w:val="0"/>
                <w:sz w:val="20"/>
                <w:szCs w:val="20"/>
              </w:rPr>
            </w:pPr>
            <w:r w:rsidRPr="009C3F06">
              <w:rPr>
                <w:b w:val="0"/>
                <w:sz w:val="20"/>
                <w:szCs w:val="20"/>
              </w:rPr>
              <w:t>54.9 (53.8–56.1)</w:t>
            </w:r>
          </w:p>
        </w:tc>
      </w:tr>
      <w:tr w:rsidR="00812493" w:rsidRPr="001D0858" w14:paraId="682B1720" w14:textId="77777777" w:rsidTr="00A41887">
        <w:trPr>
          <w:trHeight w:val="20"/>
        </w:trPr>
        <w:tc>
          <w:tcPr>
            <w:tcW w:w="5000" w:type="pct"/>
            <w:gridSpan w:val="4"/>
            <w:shd w:val="clear" w:color="auto" w:fill="D9D9D9" w:themeFill="background1" w:themeFillShade="D9"/>
          </w:tcPr>
          <w:p w14:paraId="2E9012B9" w14:textId="77777777" w:rsidR="00812493" w:rsidRPr="007478B9" w:rsidRDefault="00812493" w:rsidP="00A41887">
            <w:pPr>
              <w:pStyle w:val="Tableheading"/>
              <w:rPr>
                <w:sz w:val="20"/>
                <w:szCs w:val="20"/>
              </w:rPr>
            </w:pPr>
            <w:r w:rsidRPr="007478B9">
              <w:rPr>
                <w:sz w:val="20"/>
                <w:szCs w:val="20"/>
              </w:rPr>
              <w:t>Sex</w:t>
            </w:r>
          </w:p>
        </w:tc>
      </w:tr>
      <w:tr w:rsidR="00812493" w:rsidRPr="001D0858" w14:paraId="69340381" w14:textId="77777777" w:rsidTr="00A41887">
        <w:trPr>
          <w:trHeight w:val="20"/>
        </w:trPr>
        <w:tc>
          <w:tcPr>
            <w:tcW w:w="1027" w:type="pct"/>
          </w:tcPr>
          <w:p w14:paraId="5823113F" w14:textId="77777777" w:rsidR="00812493" w:rsidRPr="00C11A25" w:rsidRDefault="00812493" w:rsidP="00A41887">
            <w:pPr>
              <w:pStyle w:val="Tableheading"/>
              <w:rPr>
                <w:rFonts w:cstheme="minorHAnsi"/>
                <w:sz w:val="20"/>
                <w:szCs w:val="20"/>
              </w:rPr>
            </w:pPr>
            <w:r w:rsidRPr="00C11A25">
              <w:rPr>
                <w:rFonts w:cstheme="minorHAnsi"/>
                <w:sz w:val="20"/>
                <w:szCs w:val="20"/>
              </w:rPr>
              <w:t>Female</w:t>
            </w:r>
          </w:p>
        </w:tc>
        <w:tc>
          <w:tcPr>
            <w:tcW w:w="1188" w:type="pct"/>
          </w:tcPr>
          <w:p w14:paraId="545989EF" w14:textId="77777777" w:rsidR="00812493" w:rsidRPr="00B03D84" w:rsidRDefault="00812493" w:rsidP="00A41887">
            <w:pPr>
              <w:pStyle w:val="Tableheading"/>
              <w:rPr>
                <w:b w:val="0"/>
                <w:sz w:val="20"/>
                <w:szCs w:val="20"/>
              </w:rPr>
            </w:pPr>
            <w:r w:rsidRPr="009C3F06">
              <w:rPr>
                <w:b w:val="0"/>
                <w:sz w:val="20"/>
                <w:szCs w:val="20"/>
              </w:rPr>
              <w:t>96,229</w:t>
            </w:r>
          </w:p>
        </w:tc>
        <w:tc>
          <w:tcPr>
            <w:tcW w:w="1823" w:type="pct"/>
          </w:tcPr>
          <w:p w14:paraId="0A0D6CD2" w14:textId="77777777" w:rsidR="00812493" w:rsidRPr="00B03D84" w:rsidRDefault="00812493" w:rsidP="00A41887">
            <w:pPr>
              <w:pStyle w:val="Tableheading"/>
              <w:rPr>
                <w:b w:val="0"/>
                <w:sz w:val="20"/>
                <w:szCs w:val="20"/>
              </w:rPr>
            </w:pPr>
            <w:r w:rsidRPr="009C3F06">
              <w:rPr>
                <w:b w:val="0"/>
                <w:sz w:val="20"/>
                <w:szCs w:val="20"/>
              </w:rPr>
              <w:t>50,529</w:t>
            </w:r>
          </w:p>
        </w:tc>
        <w:tc>
          <w:tcPr>
            <w:tcW w:w="962" w:type="pct"/>
          </w:tcPr>
          <w:p w14:paraId="40146358" w14:textId="77777777" w:rsidR="00812493" w:rsidRPr="00B03D84" w:rsidRDefault="00812493" w:rsidP="00A41887">
            <w:pPr>
              <w:pStyle w:val="Tableheading"/>
              <w:rPr>
                <w:b w:val="0"/>
                <w:sz w:val="20"/>
                <w:szCs w:val="20"/>
              </w:rPr>
            </w:pPr>
            <w:r w:rsidRPr="009C3F06">
              <w:rPr>
                <w:b w:val="0"/>
                <w:sz w:val="20"/>
                <w:szCs w:val="20"/>
              </w:rPr>
              <w:t>52.5 (51.4–53.6)</w:t>
            </w:r>
          </w:p>
        </w:tc>
      </w:tr>
      <w:tr w:rsidR="00812493" w:rsidRPr="001D0858" w14:paraId="3D2C2146" w14:textId="77777777" w:rsidTr="00A41887">
        <w:trPr>
          <w:trHeight w:val="20"/>
        </w:trPr>
        <w:tc>
          <w:tcPr>
            <w:tcW w:w="1027" w:type="pct"/>
          </w:tcPr>
          <w:p w14:paraId="0B775238" w14:textId="77777777" w:rsidR="00812493" w:rsidRPr="00C11A25" w:rsidRDefault="00812493" w:rsidP="00A41887">
            <w:pPr>
              <w:pStyle w:val="Tableheading"/>
              <w:rPr>
                <w:rFonts w:cstheme="minorHAnsi"/>
                <w:sz w:val="20"/>
                <w:szCs w:val="20"/>
              </w:rPr>
            </w:pPr>
            <w:r w:rsidRPr="00C11A25">
              <w:rPr>
                <w:rFonts w:cstheme="minorHAnsi"/>
                <w:sz w:val="20"/>
                <w:szCs w:val="20"/>
              </w:rPr>
              <w:t>Male</w:t>
            </w:r>
          </w:p>
        </w:tc>
        <w:tc>
          <w:tcPr>
            <w:tcW w:w="1188" w:type="pct"/>
          </w:tcPr>
          <w:p w14:paraId="7B99E676" w14:textId="77777777" w:rsidR="00812493" w:rsidRPr="00B03D84" w:rsidRDefault="00812493" w:rsidP="00A41887">
            <w:pPr>
              <w:pStyle w:val="Tableheading"/>
              <w:rPr>
                <w:b w:val="0"/>
                <w:sz w:val="20"/>
                <w:szCs w:val="20"/>
              </w:rPr>
            </w:pPr>
            <w:r w:rsidRPr="009C3F06">
              <w:rPr>
                <w:b w:val="0"/>
                <w:sz w:val="20"/>
                <w:szCs w:val="20"/>
              </w:rPr>
              <w:t>24,159</w:t>
            </w:r>
          </w:p>
        </w:tc>
        <w:tc>
          <w:tcPr>
            <w:tcW w:w="1823" w:type="pct"/>
          </w:tcPr>
          <w:p w14:paraId="5A2B3EF1" w14:textId="77777777" w:rsidR="00812493" w:rsidRPr="00B03D84" w:rsidRDefault="00812493" w:rsidP="00A41887">
            <w:pPr>
              <w:pStyle w:val="Tableheading"/>
              <w:rPr>
                <w:b w:val="0"/>
                <w:sz w:val="20"/>
                <w:szCs w:val="20"/>
              </w:rPr>
            </w:pPr>
            <w:r w:rsidRPr="009C3F06">
              <w:rPr>
                <w:b w:val="0"/>
                <w:sz w:val="20"/>
                <w:szCs w:val="20"/>
              </w:rPr>
              <w:t>11,074</w:t>
            </w:r>
          </w:p>
        </w:tc>
        <w:tc>
          <w:tcPr>
            <w:tcW w:w="962" w:type="pct"/>
          </w:tcPr>
          <w:p w14:paraId="481A89FA" w14:textId="77777777" w:rsidR="00812493" w:rsidRPr="00B03D84" w:rsidRDefault="00812493" w:rsidP="00A41887">
            <w:pPr>
              <w:pStyle w:val="Tableheading"/>
              <w:rPr>
                <w:b w:val="0"/>
                <w:sz w:val="20"/>
                <w:szCs w:val="20"/>
              </w:rPr>
            </w:pPr>
            <w:r w:rsidRPr="009C3F06">
              <w:rPr>
                <w:b w:val="0"/>
                <w:sz w:val="20"/>
                <w:szCs w:val="20"/>
              </w:rPr>
              <w:t>45.8 (44.3–47.4)</w:t>
            </w:r>
          </w:p>
        </w:tc>
      </w:tr>
      <w:tr w:rsidR="00812493" w:rsidRPr="001D0858" w14:paraId="2428709F" w14:textId="77777777" w:rsidTr="00A41887">
        <w:trPr>
          <w:trHeight w:val="20"/>
        </w:trPr>
        <w:tc>
          <w:tcPr>
            <w:tcW w:w="5000" w:type="pct"/>
            <w:gridSpan w:val="4"/>
            <w:shd w:val="clear" w:color="auto" w:fill="D9D9D9" w:themeFill="background1" w:themeFillShade="D9"/>
          </w:tcPr>
          <w:p w14:paraId="61055205" w14:textId="77777777" w:rsidR="00812493" w:rsidRPr="007478B9" w:rsidRDefault="00812493" w:rsidP="00A41887">
            <w:pPr>
              <w:pStyle w:val="Tableheading"/>
              <w:rPr>
                <w:sz w:val="20"/>
                <w:szCs w:val="20"/>
              </w:rPr>
            </w:pPr>
            <w:r w:rsidRPr="007478B9">
              <w:rPr>
                <w:sz w:val="20"/>
                <w:szCs w:val="20"/>
              </w:rPr>
              <w:t>Age/Sex</w:t>
            </w:r>
          </w:p>
        </w:tc>
      </w:tr>
      <w:tr w:rsidR="00812493" w:rsidRPr="001D0858" w14:paraId="513ACE59" w14:textId="77777777" w:rsidTr="00A41887">
        <w:trPr>
          <w:trHeight w:val="20"/>
        </w:trPr>
        <w:tc>
          <w:tcPr>
            <w:tcW w:w="1027" w:type="pct"/>
          </w:tcPr>
          <w:p w14:paraId="3E753F55" w14:textId="77777777" w:rsidR="00812493" w:rsidRPr="00C11A25" w:rsidRDefault="00812493" w:rsidP="00A41887">
            <w:pPr>
              <w:pStyle w:val="Tableheading"/>
              <w:rPr>
                <w:sz w:val="20"/>
                <w:szCs w:val="20"/>
              </w:rPr>
            </w:pPr>
            <w:r w:rsidRPr="00C11A25">
              <w:rPr>
                <w:sz w:val="20"/>
                <w:szCs w:val="20"/>
              </w:rPr>
              <w:t>Female 50–59</w:t>
            </w:r>
          </w:p>
        </w:tc>
        <w:tc>
          <w:tcPr>
            <w:tcW w:w="1188" w:type="pct"/>
          </w:tcPr>
          <w:p w14:paraId="330B62DE" w14:textId="77777777" w:rsidR="00812493" w:rsidRPr="001D0858" w:rsidRDefault="00812493" w:rsidP="00A41887">
            <w:pPr>
              <w:pStyle w:val="Tableheading"/>
              <w:rPr>
                <w:b w:val="0"/>
                <w:sz w:val="20"/>
                <w:szCs w:val="20"/>
              </w:rPr>
            </w:pPr>
            <w:r w:rsidRPr="00A76ED3">
              <w:rPr>
                <w:b w:val="0"/>
                <w:sz w:val="20"/>
                <w:szCs w:val="20"/>
              </w:rPr>
              <w:t>7,910</w:t>
            </w:r>
          </w:p>
        </w:tc>
        <w:tc>
          <w:tcPr>
            <w:tcW w:w="1823" w:type="pct"/>
          </w:tcPr>
          <w:p w14:paraId="56DCA0F5" w14:textId="77777777" w:rsidR="00812493" w:rsidRPr="001D0858" w:rsidRDefault="00812493" w:rsidP="00A41887">
            <w:pPr>
              <w:pStyle w:val="Tableheading"/>
              <w:rPr>
                <w:b w:val="0"/>
                <w:sz w:val="20"/>
                <w:szCs w:val="20"/>
              </w:rPr>
            </w:pPr>
            <w:r w:rsidRPr="00A76ED3">
              <w:rPr>
                <w:b w:val="0"/>
                <w:sz w:val="20"/>
                <w:szCs w:val="20"/>
              </w:rPr>
              <w:t>2,575</w:t>
            </w:r>
          </w:p>
        </w:tc>
        <w:tc>
          <w:tcPr>
            <w:tcW w:w="962" w:type="pct"/>
          </w:tcPr>
          <w:p w14:paraId="6917CDB0" w14:textId="77777777" w:rsidR="00812493" w:rsidRPr="001D0858" w:rsidRDefault="00812493" w:rsidP="00A41887">
            <w:pPr>
              <w:pStyle w:val="Tableheading"/>
              <w:rPr>
                <w:b w:val="0"/>
                <w:sz w:val="20"/>
                <w:szCs w:val="20"/>
              </w:rPr>
            </w:pPr>
            <w:r w:rsidRPr="00A76ED3">
              <w:rPr>
                <w:b w:val="0"/>
                <w:sz w:val="20"/>
                <w:szCs w:val="20"/>
              </w:rPr>
              <w:t>32.6 (30.8–34.3)</w:t>
            </w:r>
          </w:p>
        </w:tc>
      </w:tr>
      <w:tr w:rsidR="00812493" w:rsidRPr="001D0858" w14:paraId="493FC8CE" w14:textId="77777777" w:rsidTr="00A41887">
        <w:trPr>
          <w:trHeight w:val="20"/>
        </w:trPr>
        <w:tc>
          <w:tcPr>
            <w:tcW w:w="1027" w:type="pct"/>
          </w:tcPr>
          <w:p w14:paraId="580B1E5F" w14:textId="77777777" w:rsidR="00812493" w:rsidRPr="00C11A25" w:rsidRDefault="00812493" w:rsidP="00A41887">
            <w:pPr>
              <w:pStyle w:val="Tableheading"/>
              <w:rPr>
                <w:sz w:val="20"/>
                <w:szCs w:val="20"/>
              </w:rPr>
            </w:pPr>
            <w:r w:rsidRPr="00C11A25">
              <w:rPr>
                <w:sz w:val="20"/>
                <w:szCs w:val="20"/>
              </w:rPr>
              <w:t>Female 60–69</w:t>
            </w:r>
          </w:p>
        </w:tc>
        <w:tc>
          <w:tcPr>
            <w:tcW w:w="1188" w:type="pct"/>
          </w:tcPr>
          <w:p w14:paraId="3D990DE2" w14:textId="77777777" w:rsidR="00812493" w:rsidRPr="001D0858" w:rsidRDefault="00812493" w:rsidP="00A41887">
            <w:pPr>
              <w:pStyle w:val="Tableheading"/>
              <w:rPr>
                <w:b w:val="0"/>
                <w:sz w:val="20"/>
                <w:szCs w:val="20"/>
              </w:rPr>
            </w:pPr>
            <w:r w:rsidRPr="00A76ED3">
              <w:rPr>
                <w:b w:val="0"/>
                <w:sz w:val="20"/>
                <w:szCs w:val="20"/>
              </w:rPr>
              <w:t>20,238</w:t>
            </w:r>
          </w:p>
        </w:tc>
        <w:tc>
          <w:tcPr>
            <w:tcW w:w="1823" w:type="pct"/>
          </w:tcPr>
          <w:p w14:paraId="33B67C1B" w14:textId="77777777" w:rsidR="00812493" w:rsidRPr="001D0858" w:rsidRDefault="00812493" w:rsidP="00A41887">
            <w:pPr>
              <w:pStyle w:val="Tableheading"/>
              <w:rPr>
                <w:b w:val="0"/>
                <w:sz w:val="20"/>
                <w:szCs w:val="20"/>
              </w:rPr>
            </w:pPr>
            <w:r w:rsidRPr="00A76ED3">
              <w:rPr>
                <w:b w:val="0"/>
                <w:sz w:val="20"/>
                <w:szCs w:val="20"/>
              </w:rPr>
              <w:t>8,993</w:t>
            </w:r>
          </w:p>
        </w:tc>
        <w:tc>
          <w:tcPr>
            <w:tcW w:w="962" w:type="pct"/>
          </w:tcPr>
          <w:p w14:paraId="7AC3EBF3" w14:textId="77777777" w:rsidR="00812493" w:rsidRPr="001D0858" w:rsidRDefault="00812493" w:rsidP="00A41887">
            <w:pPr>
              <w:pStyle w:val="Tableheading"/>
              <w:rPr>
                <w:b w:val="0"/>
                <w:sz w:val="20"/>
                <w:szCs w:val="20"/>
              </w:rPr>
            </w:pPr>
            <w:r w:rsidRPr="00A76ED3">
              <w:rPr>
                <w:b w:val="0"/>
                <w:sz w:val="20"/>
                <w:szCs w:val="20"/>
              </w:rPr>
              <w:t>44.4 (43.1–45.8)</w:t>
            </w:r>
          </w:p>
        </w:tc>
      </w:tr>
      <w:tr w:rsidR="00812493" w:rsidRPr="001D0858" w14:paraId="33A32475" w14:textId="77777777" w:rsidTr="00A41887">
        <w:trPr>
          <w:trHeight w:val="20"/>
        </w:trPr>
        <w:tc>
          <w:tcPr>
            <w:tcW w:w="1027" w:type="pct"/>
          </w:tcPr>
          <w:p w14:paraId="2F0766AC" w14:textId="77777777" w:rsidR="00812493" w:rsidRPr="00C11A25" w:rsidRDefault="00812493" w:rsidP="00A41887">
            <w:pPr>
              <w:pStyle w:val="Tableheading"/>
              <w:rPr>
                <w:sz w:val="20"/>
                <w:szCs w:val="20"/>
              </w:rPr>
            </w:pPr>
            <w:r w:rsidRPr="00C11A25">
              <w:rPr>
                <w:sz w:val="20"/>
                <w:szCs w:val="20"/>
              </w:rPr>
              <w:t>Female 70+</w:t>
            </w:r>
          </w:p>
        </w:tc>
        <w:tc>
          <w:tcPr>
            <w:tcW w:w="1188" w:type="pct"/>
          </w:tcPr>
          <w:p w14:paraId="49FA942C" w14:textId="77777777" w:rsidR="00812493" w:rsidRPr="001D0858" w:rsidRDefault="00812493" w:rsidP="00A41887">
            <w:pPr>
              <w:pStyle w:val="Tableheading"/>
              <w:rPr>
                <w:b w:val="0"/>
                <w:sz w:val="20"/>
                <w:szCs w:val="20"/>
              </w:rPr>
            </w:pPr>
            <w:r w:rsidRPr="00A76ED3">
              <w:rPr>
                <w:b w:val="0"/>
                <w:sz w:val="20"/>
                <w:szCs w:val="20"/>
              </w:rPr>
              <w:t>68,081</w:t>
            </w:r>
          </w:p>
        </w:tc>
        <w:tc>
          <w:tcPr>
            <w:tcW w:w="1823" w:type="pct"/>
          </w:tcPr>
          <w:p w14:paraId="2D1344F6" w14:textId="77777777" w:rsidR="00812493" w:rsidRPr="001D0858" w:rsidRDefault="00812493" w:rsidP="00A41887">
            <w:pPr>
              <w:pStyle w:val="Tableheading"/>
              <w:rPr>
                <w:b w:val="0"/>
                <w:sz w:val="20"/>
                <w:szCs w:val="20"/>
              </w:rPr>
            </w:pPr>
            <w:r w:rsidRPr="00A76ED3">
              <w:rPr>
                <w:b w:val="0"/>
                <w:sz w:val="20"/>
                <w:szCs w:val="20"/>
              </w:rPr>
              <w:t>38,961</w:t>
            </w:r>
          </w:p>
        </w:tc>
        <w:tc>
          <w:tcPr>
            <w:tcW w:w="962" w:type="pct"/>
          </w:tcPr>
          <w:p w14:paraId="57495733" w14:textId="77777777" w:rsidR="00812493" w:rsidRPr="001D0858" w:rsidRDefault="00812493" w:rsidP="00A41887">
            <w:pPr>
              <w:pStyle w:val="Tableheading"/>
              <w:rPr>
                <w:b w:val="0"/>
                <w:sz w:val="20"/>
                <w:szCs w:val="20"/>
              </w:rPr>
            </w:pPr>
            <w:r w:rsidRPr="00A76ED3">
              <w:rPr>
                <w:b w:val="0"/>
                <w:sz w:val="20"/>
                <w:szCs w:val="20"/>
              </w:rPr>
              <w:t>57.2 (56.1–58.3)</w:t>
            </w:r>
          </w:p>
        </w:tc>
      </w:tr>
      <w:tr w:rsidR="00812493" w:rsidRPr="001D0858" w14:paraId="68FE2741" w14:textId="77777777" w:rsidTr="00A41887">
        <w:trPr>
          <w:trHeight w:val="20"/>
        </w:trPr>
        <w:tc>
          <w:tcPr>
            <w:tcW w:w="1027" w:type="pct"/>
          </w:tcPr>
          <w:p w14:paraId="14BA69AF" w14:textId="77777777" w:rsidR="00812493" w:rsidRPr="00C11A25" w:rsidRDefault="00812493" w:rsidP="00A41887">
            <w:pPr>
              <w:pStyle w:val="Tableheading"/>
              <w:rPr>
                <w:sz w:val="20"/>
                <w:szCs w:val="20"/>
              </w:rPr>
            </w:pPr>
            <w:r w:rsidRPr="00C11A25">
              <w:rPr>
                <w:sz w:val="20"/>
                <w:szCs w:val="20"/>
              </w:rPr>
              <w:t>Male 50–59</w:t>
            </w:r>
          </w:p>
        </w:tc>
        <w:tc>
          <w:tcPr>
            <w:tcW w:w="1188" w:type="pct"/>
          </w:tcPr>
          <w:p w14:paraId="4E75157F" w14:textId="77777777" w:rsidR="00812493" w:rsidRPr="001D0858" w:rsidRDefault="00812493" w:rsidP="00A41887">
            <w:pPr>
              <w:pStyle w:val="Tableheading"/>
              <w:rPr>
                <w:b w:val="0"/>
                <w:sz w:val="20"/>
                <w:szCs w:val="20"/>
              </w:rPr>
            </w:pPr>
            <w:r w:rsidRPr="00FE10B9">
              <w:rPr>
                <w:b w:val="0"/>
                <w:sz w:val="20"/>
                <w:szCs w:val="20"/>
              </w:rPr>
              <w:t>1,605</w:t>
            </w:r>
          </w:p>
        </w:tc>
        <w:tc>
          <w:tcPr>
            <w:tcW w:w="1823" w:type="pct"/>
          </w:tcPr>
          <w:p w14:paraId="7CC68871" w14:textId="77777777" w:rsidR="00812493" w:rsidRPr="001D0858" w:rsidRDefault="00812493" w:rsidP="00A41887">
            <w:pPr>
              <w:pStyle w:val="Tableheading"/>
              <w:rPr>
                <w:b w:val="0"/>
                <w:sz w:val="20"/>
                <w:szCs w:val="20"/>
              </w:rPr>
            </w:pPr>
            <w:r w:rsidRPr="00FE10B9">
              <w:rPr>
                <w:b w:val="0"/>
                <w:sz w:val="20"/>
                <w:szCs w:val="20"/>
              </w:rPr>
              <w:t>602</w:t>
            </w:r>
          </w:p>
        </w:tc>
        <w:tc>
          <w:tcPr>
            <w:tcW w:w="962" w:type="pct"/>
          </w:tcPr>
          <w:p w14:paraId="676D590D" w14:textId="77777777" w:rsidR="00812493" w:rsidRPr="001D0858" w:rsidRDefault="00812493" w:rsidP="00A41887">
            <w:pPr>
              <w:pStyle w:val="Tableheading"/>
              <w:rPr>
                <w:b w:val="0"/>
                <w:sz w:val="20"/>
                <w:szCs w:val="20"/>
              </w:rPr>
            </w:pPr>
            <w:r w:rsidRPr="00FE10B9">
              <w:rPr>
                <w:b w:val="0"/>
                <w:sz w:val="20"/>
                <w:szCs w:val="20"/>
              </w:rPr>
              <w:t>37.5 (34.6–40.4)</w:t>
            </w:r>
          </w:p>
        </w:tc>
      </w:tr>
      <w:tr w:rsidR="00812493" w:rsidRPr="001D0858" w14:paraId="7DCBEDF7" w14:textId="77777777" w:rsidTr="00A41887">
        <w:trPr>
          <w:trHeight w:val="20"/>
        </w:trPr>
        <w:tc>
          <w:tcPr>
            <w:tcW w:w="1027" w:type="pct"/>
          </w:tcPr>
          <w:p w14:paraId="7934D927" w14:textId="77777777" w:rsidR="00812493" w:rsidRPr="00C11A25" w:rsidRDefault="00812493" w:rsidP="00A41887">
            <w:pPr>
              <w:pStyle w:val="Tableheading"/>
              <w:rPr>
                <w:sz w:val="20"/>
                <w:szCs w:val="20"/>
              </w:rPr>
            </w:pPr>
            <w:r w:rsidRPr="00C11A25">
              <w:rPr>
                <w:sz w:val="20"/>
                <w:szCs w:val="20"/>
              </w:rPr>
              <w:t>Male 60–69</w:t>
            </w:r>
          </w:p>
        </w:tc>
        <w:tc>
          <w:tcPr>
            <w:tcW w:w="1188" w:type="pct"/>
          </w:tcPr>
          <w:p w14:paraId="7B7BA6A0" w14:textId="77777777" w:rsidR="00812493" w:rsidRPr="001D0858" w:rsidRDefault="00812493" w:rsidP="00A41887">
            <w:pPr>
              <w:pStyle w:val="Tableheading"/>
              <w:rPr>
                <w:b w:val="0"/>
                <w:sz w:val="20"/>
                <w:szCs w:val="20"/>
              </w:rPr>
            </w:pPr>
            <w:r w:rsidRPr="00FE10B9">
              <w:rPr>
                <w:b w:val="0"/>
                <w:sz w:val="20"/>
                <w:szCs w:val="20"/>
              </w:rPr>
              <w:t>3,454</w:t>
            </w:r>
          </w:p>
        </w:tc>
        <w:tc>
          <w:tcPr>
            <w:tcW w:w="1823" w:type="pct"/>
          </w:tcPr>
          <w:p w14:paraId="51B432E6" w14:textId="77777777" w:rsidR="00812493" w:rsidRPr="001D0858" w:rsidRDefault="00812493" w:rsidP="00A41887">
            <w:pPr>
              <w:pStyle w:val="Tableheading"/>
              <w:rPr>
                <w:b w:val="0"/>
                <w:sz w:val="20"/>
                <w:szCs w:val="20"/>
              </w:rPr>
            </w:pPr>
            <w:r w:rsidRPr="00FE10B9">
              <w:rPr>
                <w:b w:val="0"/>
                <w:sz w:val="20"/>
                <w:szCs w:val="20"/>
              </w:rPr>
              <w:t>1,560</w:t>
            </w:r>
          </w:p>
        </w:tc>
        <w:tc>
          <w:tcPr>
            <w:tcW w:w="962" w:type="pct"/>
          </w:tcPr>
          <w:p w14:paraId="09117541" w14:textId="77777777" w:rsidR="00812493" w:rsidRPr="001D0858" w:rsidRDefault="00812493" w:rsidP="00A41887">
            <w:pPr>
              <w:pStyle w:val="Tableheading"/>
              <w:rPr>
                <w:b w:val="0"/>
                <w:sz w:val="20"/>
                <w:szCs w:val="20"/>
              </w:rPr>
            </w:pPr>
            <w:r w:rsidRPr="00FE10B9">
              <w:rPr>
                <w:b w:val="0"/>
                <w:sz w:val="20"/>
                <w:szCs w:val="20"/>
              </w:rPr>
              <w:t>45.2 (43.1–47.2)</w:t>
            </w:r>
          </w:p>
        </w:tc>
      </w:tr>
      <w:tr w:rsidR="00812493" w:rsidRPr="001D0858" w14:paraId="70E9E8A5" w14:textId="77777777" w:rsidTr="00A41887">
        <w:trPr>
          <w:trHeight w:val="20"/>
        </w:trPr>
        <w:tc>
          <w:tcPr>
            <w:tcW w:w="1027" w:type="pct"/>
          </w:tcPr>
          <w:p w14:paraId="13751525" w14:textId="77777777" w:rsidR="00812493" w:rsidRPr="00C11A25" w:rsidRDefault="00812493" w:rsidP="00A41887">
            <w:pPr>
              <w:pStyle w:val="Tableheading"/>
              <w:rPr>
                <w:sz w:val="20"/>
                <w:szCs w:val="20"/>
              </w:rPr>
            </w:pPr>
            <w:r w:rsidRPr="00C11A25">
              <w:rPr>
                <w:sz w:val="20"/>
                <w:szCs w:val="20"/>
              </w:rPr>
              <w:t>Male 70+</w:t>
            </w:r>
          </w:p>
        </w:tc>
        <w:tc>
          <w:tcPr>
            <w:tcW w:w="1188" w:type="pct"/>
          </w:tcPr>
          <w:p w14:paraId="0DB8DC06" w14:textId="77777777" w:rsidR="00812493" w:rsidRPr="001D0858" w:rsidRDefault="00812493" w:rsidP="00A41887">
            <w:pPr>
              <w:pStyle w:val="Tableheading"/>
              <w:rPr>
                <w:b w:val="0"/>
                <w:sz w:val="20"/>
                <w:szCs w:val="20"/>
              </w:rPr>
            </w:pPr>
            <w:r w:rsidRPr="00FE10B9">
              <w:rPr>
                <w:b w:val="0"/>
                <w:sz w:val="20"/>
                <w:szCs w:val="20"/>
              </w:rPr>
              <w:t>19,100</w:t>
            </w:r>
          </w:p>
        </w:tc>
        <w:tc>
          <w:tcPr>
            <w:tcW w:w="1823" w:type="pct"/>
          </w:tcPr>
          <w:p w14:paraId="07DD92C6" w14:textId="77777777" w:rsidR="00812493" w:rsidRPr="001D0858" w:rsidRDefault="00812493" w:rsidP="00A41887">
            <w:pPr>
              <w:pStyle w:val="Tableheading"/>
              <w:rPr>
                <w:b w:val="0"/>
                <w:sz w:val="20"/>
                <w:szCs w:val="20"/>
              </w:rPr>
            </w:pPr>
            <w:r w:rsidRPr="00FE10B9">
              <w:rPr>
                <w:b w:val="0"/>
                <w:sz w:val="20"/>
                <w:szCs w:val="20"/>
              </w:rPr>
              <w:t>8,912</w:t>
            </w:r>
          </w:p>
        </w:tc>
        <w:tc>
          <w:tcPr>
            <w:tcW w:w="962" w:type="pct"/>
          </w:tcPr>
          <w:p w14:paraId="5A545912" w14:textId="77777777" w:rsidR="00812493" w:rsidRPr="001D0858" w:rsidRDefault="00812493" w:rsidP="00A41887">
            <w:pPr>
              <w:pStyle w:val="Tableheading"/>
              <w:rPr>
                <w:b w:val="0"/>
                <w:sz w:val="20"/>
                <w:szCs w:val="20"/>
              </w:rPr>
            </w:pPr>
            <w:r w:rsidRPr="00FE10B9">
              <w:rPr>
                <w:b w:val="0"/>
                <w:sz w:val="20"/>
                <w:szCs w:val="20"/>
              </w:rPr>
              <w:t>46.7 (45.0–48.3)</w:t>
            </w:r>
          </w:p>
        </w:tc>
      </w:tr>
    </w:tbl>
    <w:p w14:paraId="588EEB5D" w14:textId="77777777" w:rsidR="00812493" w:rsidRPr="00761110" w:rsidRDefault="00812493" w:rsidP="00812493">
      <w:pPr>
        <w:rPr>
          <w:sz w:val="20"/>
          <w:szCs w:val="20"/>
        </w:rPr>
      </w:pPr>
      <w:r w:rsidRPr="00761110">
        <w:rPr>
          <w:sz w:val="20"/>
          <w:szCs w:val="20"/>
        </w:rPr>
        <w:t xml:space="preserve">NB: These figures should not be compared with those in Table 10. Figures in Table 10 refer to ‘ever’ prescriptions whereas </w:t>
      </w:r>
      <w:r>
        <w:rPr>
          <w:sz w:val="20"/>
          <w:szCs w:val="20"/>
        </w:rPr>
        <w:t xml:space="preserve">figures </w:t>
      </w:r>
      <w:r w:rsidRPr="00761110">
        <w:rPr>
          <w:sz w:val="20"/>
          <w:szCs w:val="20"/>
        </w:rPr>
        <w:t xml:space="preserve">in Table 11 refer </w:t>
      </w:r>
      <w:r>
        <w:rPr>
          <w:sz w:val="20"/>
          <w:szCs w:val="20"/>
        </w:rPr>
        <w:t xml:space="preserve">only </w:t>
      </w:r>
      <w:r w:rsidRPr="00761110">
        <w:rPr>
          <w:sz w:val="20"/>
          <w:szCs w:val="20"/>
        </w:rPr>
        <w:t>to scripts prescribed in Jan 2014–Dec 2017</w:t>
      </w:r>
      <w:r>
        <w:rPr>
          <w:sz w:val="20"/>
          <w:szCs w:val="20"/>
        </w:rPr>
        <w:t>.</w:t>
      </w:r>
    </w:p>
    <w:p w14:paraId="7DE83E80" w14:textId="77777777" w:rsidR="00812493" w:rsidRPr="00812493" w:rsidRDefault="00812493" w:rsidP="00812493">
      <w:pPr>
        <w:pStyle w:val="Heading4"/>
        <w:rPr>
          <w:sz w:val="24"/>
        </w:rPr>
      </w:pPr>
      <w:r w:rsidRPr="00812493">
        <w:rPr>
          <w:sz w:val="24"/>
        </w:rPr>
        <w:t>Denosumab treatment duration</w:t>
      </w:r>
    </w:p>
    <w:p w14:paraId="51B2AE08" w14:textId="35FD1ADA" w:rsidR="00812493" w:rsidRDefault="00812493" w:rsidP="00812493">
      <w:r>
        <w:t xml:space="preserve">Among the 22,256 patients in the historical osteoporosis study who </w:t>
      </w:r>
      <w:bookmarkStart w:id="8" w:name="_Hlk47536889"/>
      <w:r>
        <w:t xml:space="preserve">were started on denosumab between January 2014 and December 2017 (with or without trialling another osteoporosis medicine first), </w:t>
      </w:r>
      <w:bookmarkEnd w:id="8"/>
      <w:r>
        <w:t>l</w:t>
      </w:r>
      <w:r w:rsidRPr="00471DC8">
        <w:t>ess than 8% of patients had a</w:t>
      </w:r>
      <w:r>
        <w:t xml:space="preserve"> treatment duration </w:t>
      </w:r>
      <w:r w:rsidRPr="00471DC8">
        <w:t>of</w:t>
      </w:r>
      <w:r>
        <w:t xml:space="preserve"> 180 days (range 180–2,189 days; Tab</w:t>
      </w:r>
      <w:r w:rsidR="00406105">
        <w:t>le 28</w:t>
      </w:r>
      <w:r>
        <w:t xml:space="preserve">, Figure </w:t>
      </w:r>
      <w:r w:rsidR="00406105">
        <w:t>1</w:t>
      </w:r>
      <w:r>
        <w:t xml:space="preserve">3). </w:t>
      </w:r>
      <w:r w:rsidRPr="00471DC8">
        <w:t xml:space="preserve">Most </w:t>
      </w:r>
      <w:r>
        <w:t xml:space="preserve">were prescribed at </w:t>
      </w:r>
      <w:r w:rsidRPr="00471DC8">
        <w:t xml:space="preserve">least </w:t>
      </w:r>
      <w:r>
        <w:t xml:space="preserve">two </w:t>
      </w:r>
      <w:r w:rsidRPr="00471DC8">
        <w:t>denosumab prescriptions</w:t>
      </w:r>
      <w:r>
        <w:t>.</w:t>
      </w:r>
    </w:p>
    <w:p w14:paraId="4ECB5AB9" w14:textId="4FA55BE1" w:rsidR="00812493" w:rsidRPr="009117F5" w:rsidRDefault="00812493" w:rsidP="00812493">
      <w:r>
        <w:lastRenderedPageBreak/>
        <w:t xml:space="preserve">The median duration of treatment (including treatment breaks or ‘holidays’, when no relevant prescription was recorded) was 1,154 days or 3.2 years. Figure </w:t>
      </w:r>
      <w:r w:rsidR="00406105">
        <w:t>1</w:t>
      </w:r>
      <w:r>
        <w:t>3 shows the duration of treatment with denosumab (including breaks) graphically.</w:t>
      </w:r>
    </w:p>
    <w:p w14:paraId="6A6441AC" w14:textId="1E6DE01F" w:rsidR="00812493" w:rsidRDefault="00406105" w:rsidP="00812493">
      <w:pPr>
        <w:pStyle w:val="Tabletitle"/>
      </w:pPr>
      <w:r>
        <w:t>Table 28</w:t>
      </w:r>
      <w:r w:rsidR="00812493">
        <w:t xml:space="preserve">: Treatment duration including ‘treatment holidays’ in 26,444 patients initiated on denosumab between Jan 2014–Dec 2017 (with or without prior osteoporosis medicine) </w:t>
      </w:r>
    </w:p>
    <w:tbl>
      <w:tblPr>
        <w:tblStyle w:val="TableGrid"/>
        <w:tblW w:w="5000" w:type="pct"/>
        <w:tblLook w:val="04A0" w:firstRow="1" w:lastRow="0" w:firstColumn="1" w:lastColumn="0" w:noHBand="0" w:noVBand="1"/>
        <w:tblCaption w:val="Table 12: Treatment duration including ‘treatment holidays’ in 26,444 patients initiated on denosumab between Jan 2014–Dec 2017 (with or without prior osteoporosis medicine) "/>
      </w:tblPr>
      <w:tblGrid>
        <w:gridCol w:w="6264"/>
        <w:gridCol w:w="1392"/>
        <w:gridCol w:w="1291"/>
      </w:tblGrid>
      <w:tr w:rsidR="00812493" w:rsidRPr="001D0858" w14:paraId="7132A5E3" w14:textId="77777777" w:rsidTr="00A41887">
        <w:trPr>
          <w:trHeight w:val="227"/>
          <w:tblHeader/>
        </w:trPr>
        <w:tc>
          <w:tcPr>
            <w:tcW w:w="3501" w:type="pct"/>
            <w:shd w:val="clear" w:color="auto" w:fill="BFBFBF" w:themeFill="background1" w:themeFillShade="BF"/>
          </w:tcPr>
          <w:p w14:paraId="233854DA" w14:textId="77777777" w:rsidR="00812493" w:rsidRPr="001D0858" w:rsidRDefault="00812493" w:rsidP="00A41887">
            <w:pPr>
              <w:pStyle w:val="Tableheading"/>
              <w:jc w:val="left"/>
              <w:rPr>
                <w:sz w:val="20"/>
                <w:szCs w:val="20"/>
              </w:rPr>
            </w:pPr>
            <w:r>
              <w:rPr>
                <w:sz w:val="20"/>
                <w:szCs w:val="20"/>
              </w:rPr>
              <w:t>Treatment duration (including breaks) up until 31 December 2019</w:t>
            </w:r>
          </w:p>
        </w:tc>
        <w:tc>
          <w:tcPr>
            <w:tcW w:w="778" w:type="pct"/>
            <w:shd w:val="clear" w:color="auto" w:fill="BFBFBF" w:themeFill="background1" w:themeFillShade="BF"/>
          </w:tcPr>
          <w:p w14:paraId="431C0237" w14:textId="77777777" w:rsidR="00812493" w:rsidRPr="001D0858" w:rsidRDefault="00812493" w:rsidP="00A41887">
            <w:pPr>
              <w:pStyle w:val="Tableheading"/>
              <w:jc w:val="left"/>
              <w:rPr>
                <w:sz w:val="20"/>
                <w:szCs w:val="20"/>
              </w:rPr>
            </w:pPr>
            <w:r>
              <w:rPr>
                <w:sz w:val="20"/>
                <w:szCs w:val="20"/>
              </w:rPr>
              <w:t>Days</w:t>
            </w:r>
          </w:p>
        </w:tc>
        <w:tc>
          <w:tcPr>
            <w:tcW w:w="721" w:type="pct"/>
            <w:shd w:val="clear" w:color="auto" w:fill="BFBFBF" w:themeFill="background1" w:themeFillShade="BF"/>
          </w:tcPr>
          <w:p w14:paraId="248DDBB6" w14:textId="77777777" w:rsidR="00812493" w:rsidRPr="001D0858" w:rsidRDefault="00812493" w:rsidP="00A41887">
            <w:pPr>
              <w:pStyle w:val="Tableheading"/>
              <w:jc w:val="left"/>
              <w:rPr>
                <w:sz w:val="20"/>
                <w:szCs w:val="20"/>
              </w:rPr>
            </w:pPr>
            <w:r>
              <w:rPr>
                <w:sz w:val="20"/>
                <w:szCs w:val="20"/>
              </w:rPr>
              <w:t>Years</w:t>
            </w:r>
          </w:p>
        </w:tc>
      </w:tr>
      <w:tr w:rsidR="00812493" w:rsidRPr="001D0858" w14:paraId="0C7A55F7" w14:textId="77777777" w:rsidTr="00A41887">
        <w:trPr>
          <w:trHeight w:val="227"/>
        </w:trPr>
        <w:tc>
          <w:tcPr>
            <w:tcW w:w="3501" w:type="pct"/>
          </w:tcPr>
          <w:p w14:paraId="3F12EE53" w14:textId="77777777" w:rsidR="00812493" w:rsidRDefault="00812493" w:rsidP="00A41887">
            <w:pPr>
              <w:pStyle w:val="Tableheading"/>
              <w:jc w:val="left"/>
              <w:rPr>
                <w:b w:val="0"/>
                <w:sz w:val="20"/>
                <w:szCs w:val="20"/>
              </w:rPr>
            </w:pPr>
            <w:r>
              <w:rPr>
                <w:b w:val="0"/>
                <w:sz w:val="20"/>
                <w:szCs w:val="20"/>
              </w:rPr>
              <w:t>Mean</w:t>
            </w:r>
          </w:p>
        </w:tc>
        <w:tc>
          <w:tcPr>
            <w:tcW w:w="778" w:type="pct"/>
          </w:tcPr>
          <w:p w14:paraId="544DBF8A" w14:textId="77777777" w:rsidR="00812493" w:rsidRPr="001D0858" w:rsidRDefault="00812493" w:rsidP="00A41887">
            <w:pPr>
              <w:pStyle w:val="Tableheading"/>
              <w:jc w:val="left"/>
              <w:rPr>
                <w:b w:val="0"/>
                <w:sz w:val="20"/>
                <w:szCs w:val="20"/>
              </w:rPr>
            </w:pPr>
            <w:r>
              <w:rPr>
                <w:b w:val="0"/>
                <w:sz w:val="20"/>
                <w:szCs w:val="20"/>
              </w:rPr>
              <w:t>1,175</w:t>
            </w:r>
          </w:p>
        </w:tc>
        <w:tc>
          <w:tcPr>
            <w:tcW w:w="721" w:type="pct"/>
          </w:tcPr>
          <w:p w14:paraId="45BA05B9" w14:textId="77777777" w:rsidR="00812493" w:rsidRPr="001D0858" w:rsidRDefault="00812493" w:rsidP="00A41887">
            <w:pPr>
              <w:pStyle w:val="Tableheading"/>
              <w:jc w:val="left"/>
              <w:rPr>
                <w:b w:val="0"/>
                <w:sz w:val="20"/>
                <w:szCs w:val="20"/>
              </w:rPr>
            </w:pPr>
            <w:r>
              <w:rPr>
                <w:b w:val="0"/>
                <w:sz w:val="20"/>
                <w:szCs w:val="20"/>
              </w:rPr>
              <w:t>3.22</w:t>
            </w:r>
          </w:p>
        </w:tc>
      </w:tr>
      <w:tr w:rsidR="00812493" w:rsidRPr="001D0858" w14:paraId="57E2A71F" w14:textId="77777777" w:rsidTr="00A41887">
        <w:trPr>
          <w:trHeight w:val="227"/>
        </w:trPr>
        <w:tc>
          <w:tcPr>
            <w:tcW w:w="3501" w:type="pct"/>
          </w:tcPr>
          <w:p w14:paraId="4C408A58" w14:textId="77777777" w:rsidR="00812493" w:rsidRDefault="00812493" w:rsidP="00A41887">
            <w:pPr>
              <w:pStyle w:val="Tableheading"/>
              <w:jc w:val="left"/>
              <w:rPr>
                <w:b w:val="0"/>
                <w:sz w:val="20"/>
                <w:szCs w:val="20"/>
              </w:rPr>
            </w:pPr>
            <w:r>
              <w:rPr>
                <w:b w:val="0"/>
                <w:sz w:val="20"/>
                <w:szCs w:val="20"/>
              </w:rPr>
              <w:t>Mode</w:t>
            </w:r>
          </w:p>
        </w:tc>
        <w:tc>
          <w:tcPr>
            <w:tcW w:w="778" w:type="pct"/>
          </w:tcPr>
          <w:p w14:paraId="630832D9" w14:textId="77777777" w:rsidR="00812493" w:rsidRPr="001D0858" w:rsidRDefault="00812493" w:rsidP="00A41887">
            <w:pPr>
              <w:pStyle w:val="Tableheading"/>
              <w:jc w:val="left"/>
              <w:rPr>
                <w:b w:val="0"/>
                <w:sz w:val="20"/>
                <w:szCs w:val="20"/>
              </w:rPr>
            </w:pPr>
            <w:r>
              <w:rPr>
                <w:b w:val="0"/>
                <w:sz w:val="20"/>
                <w:szCs w:val="20"/>
              </w:rPr>
              <w:t>180</w:t>
            </w:r>
          </w:p>
        </w:tc>
        <w:tc>
          <w:tcPr>
            <w:tcW w:w="721" w:type="pct"/>
          </w:tcPr>
          <w:p w14:paraId="4C93A9B7" w14:textId="77777777" w:rsidR="00812493" w:rsidRPr="001D0858" w:rsidRDefault="00812493" w:rsidP="00A41887">
            <w:pPr>
              <w:pStyle w:val="Tableheading"/>
              <w:jc w:val="left"/>
              <w:rPr>
                <w:b w:val="0"/>
                <w:sz w:val="20"/>
                <w:szCs w:val="20"/>
              </w:rPr>
            </w:pPr>
            <w:r>
              <w:rPr>
                <w:b w:val="0"/>
                <w:sz w:val="20"/>
                <w:szCs w:val="20"/>
              </w:rPr>
              <w:t>0.49</w:t>
            </w:r>
          </w:p>
        </w:tc>
      </w:tr>
      <w:tr w:rsidR="00812493" w:rsidRPr="001D0858" w14:paraId="1D153009" w14:textId="77777777" w:rsidTr="00A41887">
        <w:trPr>
          <w:trHeight w:val="227"/>
        </w:trPr>
        <w:tc>
          <w:tcPr>
            <w:tcW w:w="3501" w:type="pct"/>
          </w:tcPr>
          <w:p w14:paraId="2D3241B4" w14:textId="77777777" w:rsidR="00812493" w:rsidRDefault="00812493" w:rsidP="00A41887">
            <w:pPr>
              <w:pStyle w:val="Tableheading"/>
              <w:jc w:val="left"/>
              <w:rPr>
                <w:b w:val="0"/>
                <w:sz w:val="20"/>
                <w:szCs w:val="20"/>
              </w:rPr>
            </w:pPr>
            <w:r>
              <w:rPr>
                <w:b w:val="0"/>
                <w:sz w:val="20"/>
                <w:szCs w:val="20"/>
              </w:rPr>
              <w:t>Median</w:t>
            </w:r>
          </w:p>
          <w:p w14:paraId="7C0F7060" w14:textId="77777777" w:rsidR="00812493" w:rsidRDefault="00812493" w:rsidP="00A41887">
            <w:pPr>
              <w:pStyle w:val="Tableheading"/>
              <w:jc w:val="left"/>
              <w:rPr>
                <w:b w:val="0"/>
                <w:sz w:val="20"/>
                <w:szCs w:val="20"/>
              </w:rPr>
            </w:pPr>
            <w:r>
              <w:rPr>
                <w:b w:val="0"/>
                <w:sz w:val="20"/>
                <w:szCs w:val="20"/>
              </w:rPr>
              <w:tab/>
              <w:t>First</w:t>
            </w:r>
            <w:r w:rsidRPr="008D13D6">
              <w:rPr>
                <w:b w:val="0"/>
                <w:sz w:val="20"/>
                <w:szCs w:val="20"/>
              </w:rPr>
              <w:t xml:space="preserve"> quartile</w:t>
            </w:r>
          </w:p>
          <w:p w14:paraId="775718D8" w14:textId="77777777" w:rsidR="00812493" w:rsidRDefault="00812493" w:rsidP="00A41887">
            <w:pPr>
              <w:pStyle w:val="Tableheading"/>
              <w:jc w:val="left"/>
              <w:rPr>
                <w:b w:val="0"/>
                <w:sz w:val="20"/>
                <w:szCs w:val="20"/>
              </w:rPr>
            </w:pPr>
            <w:r>
              <w:rPr>
                <w:b w:val="0"/>
                <w:sz w:val="20"/>
                <w:szCs w:val="20"/>
              </w:rPr>
              <w:tab/>
              <w:t>Third</w:t>
            </w:r>
            <w:r w:rsidRPr="008D13D6">
              <w:rPr>
                <w:b w:val="0"/>
                <w:sz w:val="20"/>
                <w:szCs w:val="20"/>
              </w:rPr>
              <w:t xml:space="preserve"> quartile</w:t>
            </w:r>
          </w:p>
        </w:tc>
        <w:tc>
          <w:tcPr>
            <w:tcW w:w="778" w:type="pct"/>
          </w:tcPr>
          <w:p w14:paraId="63610DFA" w14:textId="77777777" w:rsidR="00812493" w:rsidRDefault="00812493" w:rsidP="00A41887">
            <w:pPr>
              <w:pStyle w:val="Tableheading"/>
              <w:jc w:val="left"/>
              <w:rPr>
                <w:b w:val="0"/>
                <w:sz w:val="20"/>
                <w:szCs w:val="20"/>
              </w:rPr>
            </w:pPr>
            <w:r>
              <w:rPr>
                <w:b w:val="0"/>
                <w:sz w:val="20"/>
                <w:szCs w:val="20"/>
              </w:rPr>
              <w:t>1,154</w:t>
            </w:r>
          </w:p>
          <w:p w14:paraId="1D62253C" w14:textId="77777777" w:rsidR="00812493" w:rsidRDefault="00812493" w:rsidP="00A41887">
            <w:pPr>
              <w:pStyle w:val="Tableheading"/>
              <w:jc w:val="left"/>
              <w:rPr>
                <w:b w:val="0"/>
                <w:sz w:val="20"/>
                <w:szCs w:val="20"/>
              </w:rPr>
            </w:pPr>
            <w:r>
              <w:rPr>
                <w:b w:val="0"/>
                <w:sz w:val="20"/>
                <w:szCs w:val="20"/>
              </w:rPr>
              <w:tab/>
              <w:t>887</w:t>
            </w:r>
          </w:p>
          <w:p w14:paraId="593B3A79" w14:textId="77777777" w:rsidR="00812493" w:rsidRPr="001D0858" w:rsidRDefault="00812493" w:rsidP="00A41887">
            <w:pPr>
              <w:pStyle w:val="Tableheading"/>
              <w:jc w:val="left"/>
              <w:rPr>
                <w:b w:val="0"/>
                <w:sz w:val="20"/>
                <w:szCs w:val="20"/>
              </w:rPr>
            </w:pPr>
            <w:r>
              <w:rPr>
                <w:b w:val="0"/>
                <w:sz w:val="20"/>
                <w:szCs w:val="20"/>
              </w:rPr>
              <w:tab/>
              <w:t>1,679</w:t>
            </w:r>
          </w:p>
        </w:tc>
        <w:tc>
          <w:tcPr>
            <w:tcW w:w="721" w:type="pct"/>
          </w:tcPr>
          <w:p w14:paraId="503F1F54" w14:textId="77777777" w:rsidR="00812493" w:rsidRDefault="00812493" w:rsidP="00A41887">
            <w:pPr>
              <w:pStyle w:val="Tableheading"/>
              <w:jc w:val="left"/>
              <w:rPr>
                <w:b w:val="0"/>
                <w:sz w:val="20"/>
                <w:szCs w:val="20"/>
              </w:rPr>
            </w:pPr>
            <w:r>
              <w:rPr>
                <w:b w:val="0"/>
                <w:sz w:val="20"/>
                <w:szCs w:val="20"/>
              </w:rPr>
              <w:t>3.16</w:t>
            </w:r>
          </w:p>
          <w:p w14:paraId="20A1BE85" w14:textId="77777777" w:rsidR="00812493" w:rsidRDefault="00812493" w:rsidP="00A41887">
            <w:pPr>
              <w:pStyle w:val="Tableheading"/>
              <w:jc w:val="left"/>
              <w:rPr>
                <w:b w:val="0"/>
                <w:sz w:val="20"/>
                <w:szCs w:val="20"/>
              </w:rPr>
            </w:pPr>
            <w:r>
              <w:rPr>
                <w:b w:val="0"/>
                <w:sz w:val="20"/>
                <w:szCs w:val="20"/>
              </w:rPr>
              <w:tab/>
              <w:t>2.43</w:t>
            </w:r>
          </w:p>
          <w:p w14:paraId="7816C875" w14:textId="77777777" w:rsidR="00812493" w:rsidRPr="001D0858" w:rsidRDefault="00812493" w:rsidP="00A41887">
            <w:pPr>
              <w:pStyle w:val="Tableheading"/>
              <w:jc w:val="left"/>
              <w:rPr>
                <w:b w:val="0"/>
                <w:sz w:val="20"/>
                <w:szCs w:val="20"/>
              </w:rPr>
            </w:pPr>
            <w:r>
              <w:rPr>
                <w:b w:val="0"/>
                <w:sz w:val="20"/>
                <w:szCs w:val="20"/>
              </w:rPr>
              <w:tab/>
              <w:t>4.60</w:t>
            </w:r>
          </w:p>
        </w:tc>
      </w:tr>
    </w:tbl>
    <w:p w14:paraId="500472B6" w14:textId="77777777" w:rsidR="00812493" w:rsidRDefault="00812493" w:rsidP="00812493">
      <w:r>
        <w:rPr>
          <w:noProof/>
        </w:rPr>
        <w:drawing>
          <wp:inline distT="0" distB="0" distL="0" distR="0" wp14:anchorId="0694F07A" wp14:editId="7FFF078F">
            <wp:extent cx="5715000" cy="4026477"/>
            <wp:effectExtent l="0" t="0" r="0" b="0"/>
            <wp:docPr id="10" name="Picture 10" title="Figure 3: Treatment duration in days (including breaks) for patients initiated on denosumab between Jan 2014–De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048" cy="4037784"/>
                    </a:xfrm>
                    <a:prstGeom prst="rect">
                      <a:avLst/>
                    </a:prstGeom>
                    <a:noFill/>
                    <a:ln>
                      <a:noFill/>
                    </a:ln>
                  </pic:spPr>
                </pic:pic>
              </a:graphicData>
            </a:graphic>
          </wp:inline>
        </w:drawing>
      </w:r>
    </w:p>
    <w:p w14:paraId="55B19917" w14:textId="5796FE40" w:rsidR="00812493" w:rsidRPr="00FE645A" w:rsidRDefault="00812493" w:rsidP="00812493">
      <w:pPr>
        <w:pStyle w:val="Figuretitle"/>
      </w:pPr>
      <w:r w:rsidRPr="00FE645A">
        <w:t xml:space="preserve">Figure </w:t>
      </w:r>
      <w:r w:rsidR="00406105">
        <w:t>1</w:t>
      </w:r>
      <w:r>
        <w:t>3</w:t>
      </w:r>
      <w:r w:rsidRPr="00FE645A">
        <w:t xml:space="preserve">: </w:t>
      </w:r>
      <w:r>
        <w:t>Treatment duration in days (including breaks) for patients initiated on denosumab between Jan 2014–Dec 2017</w:t>
      </w:r>
    </w:p>
    <w:p w14:paraId="194AF38E" w14:textId="77777777" w:rsidR="00812493" w:rsidRPr="00812493" w:rsidRDefault="00812493" w:rsidP="00812493">
      <w:pPr>
        <w:pStyle w:val="Heading4"/>
        <w:rPr>
          <w:sz w:val="24"/>
        </w:rPr>
      </w:pPr>
      <w:r w:rsidRPr="00812493">
        <w:rPr>
          <w:sz w:val="24"/>
        </w:rPr>
        <w:t>Denosumab cessation</w:t>
      </w:r>
    </w:p>
    <w:p w14:paraId="6B6E4D26" w14:textId="6239332E" w:rsidR="00812493" w:rsidRPr="00C01FA5" w:rsidRDefault="00812493" w:rsidP="00812493">
      <w:r>
        <w:t>Two thirds of the 22,256 patients who were started on denosumab between January 2014 and December 2017 were still on denosumab treatme</w:t>
      </w:r>
      <w:r w:rsidR="00133A50">
        <w:t>nt on 31 December 2019 (Table 29</w:t>
      </w:r>
      <w:r>
        <w:t>). Almost a quarter of patients (24.6%; 95% CI 23.6 to 25.6) had ceased denosumab treatment.</w:t>
      </w:r>
    </w:p>
    <w:p w14:paraId="01929E59" w14:textId="09996075" w:rsidR="00812493" w:rsidRDefault="00133A50" w:rsidP="00812493">
      <w:pPr>
        <w:pStyle w:val="Tabletitle"/>
      </w:pPr>
      <w:r>
        <w:lastRenderedPageBreak/>
        <w:t>Table 29</w:t>
      </w:r>
      <w:r w:rsidR="00812493">
        <w:t xml:space="preserve">: Status of denosumab treatment on 31 December 2019 among patients initiated on denosumab between Jan 2014–Dec 2017 (with or without prior osteoporosis medicine) </w:t>
      </w:r>
    </w:p>
    <w:tbl>
      <w:tblPr>
        <w:tblStyle w:val="TableGrid"/>
        <w:tblW w:w="5000" w:type="pct"/>
        <w:tblLook w:val="04A0" w:firstRow="1" w:lastRow="0" w:firstColumn="1" w:lastColumn="0" w:noHBand="0" w:noVBand="1"/>
        <w:tblCaption w:val="Table 13: Status of denosumab treatment on 31 December 2019 among patients initiated on denosumab between Jan 2014–Dec 2017 (with or without prior osteoporosis medicine) "/>
      </w:tblPr>
      <w:tblGrid>
        <w:gridCol w:w="2982"/>
        <w:gridCol w:w="2982"/>
        <w:gridCol w:w="2983"/>
      </w:tblGrid>
      <w:tr w:rsidR="00812493" w:rsidRPr="001D0858" w14:paraId="2544D876" w14:textId="77777777" w:rsidTr="00A41887">
        <w:trPr>
          <w:trHeight w:val="227"/>
          <w:tblHeader/>
        </w:trPr>
        <w:tc>
          <w:tcPr>
            <w:tcW w:w="1666" w:type="pct"/>
            <w:shd w:val="clear" w:color="auto" w:fill="BFBFBF" w:themeFill="background1" w:themeFillShade="BF"/>
          </w:tcPr>
          <w:p w14:paraId="70D17367" w14:textId="77777777" w:rsidR="00812493" w:rsidRPr="001D0858" w:rsidRDefault="00812493" w:rsidP="00A41887">
            <w:pPr>
              <w:pStyle w:val="Tableheading"/>
              <w:jc w:val="left"/>
              <w:rPr>
                <w:sz w:val="20"/>
                <w:szCs w:val="20"/>
              </w:rPr>
            </w:pPr>
          </w:p>
        </w:tc>
        <w:tc>
          <w:tcPr>
            <w:tcW w:w="1666" w:type="pct"/>
            <w:shd w:val="clear" w:color="auto" w:fill="BFBFBF" w:themeFill="background1" w:themeFillShade="BF"/>
          </w:tcPr>
          <w:p w14:paraId="2E4523AA" w14:textId="77777777" w:rsidR="00812493" w:rsidRPr="001D0858" w:rsidRDefault="00812493" w:rsidP="00A41887">
            <w:pPr>
              <w:pStyle w:val="Tableheading"/>
              <w:jc w:val="left"/>
              <w:rPr>
                <w:sz w:val="20"/>
                <w:szCs w:val="20"/>
              </w:rPr>
            </w:pPr>
            <w:r>
              <w:rPr>
                <w:sz w:val="20"/>
                <w:szCs w:val="20"/>
              </w:rPr>
              <w:t>No. of patients</w:t>
            </w:r>
          </w:p>
        </w:tc>
        <w:tc>
          <w:tcPr>
            <w:tcW w:w="1667" w:type="pct"/>
            <w:shd w:val="clear" w:color="auto" w:fill="BFBFBF" w:themeFill="background1" w:themeFillShade="BF"/>
          </w:tcPr>
          <w:p w14:paraId="2D760FB2" w14:textId="77777777" w:rsidR="00812493" w:rsidRPr="001D0858" w:rsidRDefault="00812493" w:rsidP="00A41887">
            <w:pPr>
              <w:pStyle w:val="Tableheading"/>
              <w:jc w:val="left"/>
              <w:rPr>
                <w:sz w:val="20"/>
                <w:szCs w:val="20"/>
              </w:rPr>
            </w:pPr>
            <w:r>
              <w:rPr>
                <w:sz w:val="20"/>
                <w:szCs w:val="20"/>
              </w:rPr>
              <w:t>% (95% CI)</w:t>
            </w:r>
          </w:p>
        </w:tc>
      </w:tr>
      <w:tr w:rsidR="00812493" w:rsidRPr="001D0858" w14:paraId="6B93E649" w14:textId="77777777" w:rsidTr="00A41887">
        <w:trPr>
          <w:trHeight w:val="227"/>
        </w:trPr>
        <w:tc>
          <w:tcPr>
            <w:tcW w:w="1666" w:type="pct"/>
          </w:tcPr>
          <w:p w14:paraId="5D30F491" w14:textId="77777777" w:rsidR="00812493" w:rsidRDefault="00812493" w:rsidP="00A41887">
            <w:pPr>
              <w:pStyle w:val="Tableheading"/>
              <w:jc w:val="left"/>
              <w:rPr>
                <w:b w:val="0"/>
                <w:sz w:val="20"/>
                <w:szCs w:val="20"/>
              </w:rPr>
            </w:pPr>
            <w:r>
              <w:rPr>
                <w:b w:val="0"/>
                <w:sz w:val="20"/>
                <w:szCs w:val="20"/>
              </w:rPr>
              <w:t>Ongoing denosumab treatment</w:t>
            </w:r>
          </w:p>
        </w:tc>
        <w:tc>
          <w:tcPr>
            <w:tcW w:w="1666" w:type="pct"/>
          </w:tcPr>
          <w:p w14:paraId="3A234661" w14:textId="77777777" w:rsidR="00812493" w:rsidRPr="001D0858" w:rsidRDefault="00812493" w:rsidP="00A41887">
            <w:pPr>
              <w:pStyle w:val="Tableheading"/>
              <w:jc w:val="left"/>
              <w:rPr>
                <w:b w:val="0"/>
                <w:sz w:val="20"/>
                <w:szCs w:val="20"/>
              </w:rPr>
            </w:pPr>
            <w:r w:rsidRPr="00C01FA5">
              <w:rPr>
                <w:b w:val="0"/>
                <w:sz w:val="20"/>
                <w:szCs w:val="20"/>
              </w:rPr>
              <w:t>1</w:t>
            </w:r>
            <w:r>
              <w:rPr>
                <w:b w:val="0"/>
                <w:sz w:val="20"/>
                <w:szCs w:val="20"/>
              </w:rPr>
              <w:t>4</w:t>
            </w:r>
            <w:r w:rsidRPr="00C01FA5">
              <w:rPr>
                <w:b w:val="0"/>
                <w:sz w:val="20"/>
                <w:szCs w:val="20"/>
              </w:rPr>
              <w:t>,</w:t>
            </w:r>
            <w:r>
              <w:rPr>
                <w:b w:val="0"/>
                <w:sz w:val="20"/>
                <w:szCs w:val="20"/>
              </w:rPr>
              <w:t>680</w:t>
            </w:r>
          </w:p>
        </w:tc>
        <w:tc>
          <w:tcPr>
            <w:tcW w:w="1667" w:type="pct"/>
          </w:tcPr>
          <w:p w14:paraId="764FB9B2" w14:textId="77777777" w:rsidR="00812493" w:rsidRPr="001D0858" w:rsidRDefault="00812493" w:rsidP="00A41887">
            <w:pPr>
              <w:pStyle w:val="Tableheading"/>
              <w:jc w:val="left"/>
              <w:rPr>
                <w:b w:val="0"/>
                <w:sz w:val="20"/>
                <w:szCs w:val="20"/>
              </w:rPr>
            </w:pPr>
            <w:r w:rsidRPr="001B1D09">
              <w:rPr>
                <w:b w:val="0"/>
                <w:sz w:val="20"/>
                <w:szCs w:val="20"/>
              </w:rPr>
              <w:t>66.0 (64.8–67.1)</w:t>
            </w:r>
          </w:p>
        </w:tc>
      </w:tr>
      <w:tr w:rsidR="00812493" w:rsidRPr="001D0858" w14:paraId="6AA0B401" w14:textId="77777777" w:rsidTr="00A41887">
        <w:trPr>
          <w:trHeight w:val="227"/>
        </w:trPr>
        <w:tc>
          <w:tcPr>
            <w:tcW w:w="1666" w:type="pct"/>
          </w:tcPr>
          <w:p w14:paraId="23F66BD8" w14:textId="77777777" w:rsidR="00812493" w:rsidRDefault="00812493" w:rsidP="00A41887">
            <w:pPr>
              <w:pStyle w:val="Tableheading"/>
              <w:jc w:val="left"/>
              <w:rPr>
                <w:b w:val="0"/>
                <w:sz w:val="20"/>
                <w:szCs w:val="20"/>
              </w:rPr>
            </w:pPr>
            <w:r>
              <w:rPr>
                <w:b w:val="0"/>
                <w:sz w:val="20"/>
                <w:szCs w:val="20"/>
              </w:rPr>
              <w:t>Ceased denosumab treatment</w:t>
            </w:r>
          </w:p>
        </w:tc>
        <w:tc>
          <w:tcPr>
            <w:tcW w:w="1666" w:type="pct"/>
          </w:tcPr>
          <w:p w14:paraId="3F93F18B" w14:textId="77777777" w:rsidR="00812493" w:rsidRPr="001D0858" w:rsidRDefault="00812493" w:rsidP="00A41887">
            <w:pPr>
              <w:pStyle w:val="Tableheading"/>
              <w:jc w:val="left"/>
              <w:rPr>
                <w:b w:val="0"/>
                <w:sz w:val="20"/>
                <w:szCs w:val="20"/>
              </w:rPr>
            </w:pPr>
            <w:r>
              <w:rPr>
                <w:b w:val="0"/>
                <w:sz w:val="20"/>
                <w:szCs w:val="20"/>
              </w:rPr>
              <w:t>5,482</w:t>
            </w:r>
          </w:p>
        </w:tc>
        <w:tc>
          <w:tcPr>
            <w:tcW w:w="1667" w:type="pct"/>
          </w:tcPr>
          <w:p w14:paraId="29A6448E" w14:textId="77777777" w:rsidR="00812493" w:rsidRPr="001D0858" w:rsidRDefault="00812493" w:rsidP="00A41887">
            <w:pPr>
              <w:pStyle w:val="Tableheading"/>
              <w:jc w:val="left"/>
              <w:rPr>
                <w:b w:val="0"/>
                <w:sz w:val="20"/>
                <w:szCs w:val="20"/>
              </w:rPr>
            </w:pPr>
            <w:r w:rsidRPr="001B1D09">
              <w:rPr>
                <w:b w:val="0"/>
                <w:sz w:val="20"/>
                <w:szCs w:val="20"/>
              </w:rPr>
              <w:t>24.6 (23.6–25.6)</w:t>
            </w:r>
          </w:p>
        </w:tc>
      </w:tr>
      <w:tr w:rsidR="00812493" w:rsidRPr="001D0858" w14:paraId="736A311C" w14:textId="77777777" w:rsidTr="00A41887">
        <w:trPr>
          <w:trHeight w:val="227"/>
        </w:trPr>
        <w:tc>
          <w:tcPr>
            <w:tcW w:w="1666" w:type="pct"/>
          </w:tcPr>
          <w:p w14:paraId="322681F3" w14:textId="77777777" w:rsidR="00812493" w:rsidRDefault="00812493" w:rsidP="00A41887">
            <w:pPr>
              <w:pStyle w:val="Tableheading"/>
              <w:jc w:val="left"/>
              <w:rPr>
                <w:b w:val="0"/>
                <w:sz w:val="20"/>
                <w:szCs w:val="20"/>
              </w:rPr>
            </w:pPr>
            <w:r>
              <w:rPr>
                <w:b w:val="0"/>
                <w:sz w:val="20"/>
                <w:szCs w:val="20"/>
              </w:rPr>
              <w:t>Lost to follow-up</w:t>
            </w:r>
          </w:p>
        </w:tc>
        <w:tc>
          <w:tcPr>
            <w:tcW w:w="1666" w:type="pct"/>
          </w:tcPr>
          <w:p w14:paraId="0A541D39" w14:textId="77777777" w:rsidR="00812493" w:rsidRPr="001D0858" w:rsidRDefault="00812493" w:rsidP="00A41887">
            <w:pPr>
              <w:pStyle w:val="Tableheading"/>
              <w:jc w:val="left"/>
              <w:rPr>
                <w:b w:val="0"/>
                <w:sz w:val="20"/>
                <w:szCs w:val="20"/>
              </w:rPr>
            </w:pPr>
            <w:r>
              <w:rPr>
                <w:b w:val="0"/>
                <w:sz w:val="20"/>
                <w:szCs w:val="20"/>
              </w:rPr>
              <w:t>2,094</w:t>
            </w:r>
          </w:p>
        </w:tc>
        <w:tc>
          <w:tcPr>
            <w:tcW w:w="1667" w:type="pct"/>
          </w:tcPr>
          <w:p w14:paraId="57F1D44B" w14:textId="77777777" w:rsidR="00812493" w:rsidRPr="001D0858" w:rsidRDefault="00812493" w:rsidP="00A41887">
            <w:pPr>
              <w:pStyle w:val="Tableheading"/>
              <w:jc w:val="left"/>
              <w:rPr>
                <w:b w:val="0"/>
                <w:sz w:val="20"/>
                <w:szCs w:val="20"/>
              </w:rPr>
            </w:pPr>
            <w:r w:rsidRPr="001B1D09">
              <w:rPr>
                <w:b w:val="0"/>
                <w:sz w:val="20"/>
                <w:szCs w:val="20"/>
              </w:rPr>
              <w:t>9.4 (8.8–10.0)</w:t>
            </w:r>
          </w:p>
        </w:tc>
      </w:tr>
      <w:tr w:rsidR="00812493" w:rsidRPr="001D0858" w14:paraId="25519C25" w14:textId="77777777" w:rsidTr="00A41887">
        <w:trPr>
          <w:trHeight w:val="227"/>
        </w:trPr>
        <w:tc>
          <w:tcPr>
            <w:tcW w:w="1666" w:type="pct"/>
          </w:tcPr>
          <w:p w14:paraId="4BEB06A4" w14:textId="77777777" w:rsidR="00812493" w:rsidRPr="00C01FA5" w:rsidRDefault="00812493" w:rsidP="00A41887">
            <w:pPr>
              <w:pStyle w:val="Tableheading"/>
              <w:jc w:val="left"/>
              <w:rPr>
                <w:sz w:val="20"/>
                <w:szCs w:val="20"/>
              </w:rPr>
            </w:pPr>
            <w:r w:rsidRPr="00C01FA5">
              <w:rPr>
                <w:sz w:val="20"/>
                <w:szCs w:val="20"/>
              </w:rPr>
              <w:t>Total</w:t>
            </w:r>
          </w:p>
        </w:tc>
        <w:tc>
          <w:tcPr>
            <w:tcW w:w="1666" w:type="pct"/>
          </w:tcPr>
          <w:p w14:paraId="126AAB01" w14:textId="77777777" w:rsidR="00812493" w:rsidRPr="00C01FA5" w:rsidRDefault="00812493" w:rsidP="00A41887">
            <w:pPr>
              <w:pStyle w:val="Tableheading"/>
              <w:jc w:val="left"/>
              <w:rPr>
                <w:sz w:val="20"/>
                <w:szCs w:val="20"/>
              </w:rPr>
            </w:pPr>
            <w:r w:rsidRPr="00C01FA5">
              <w:rPr>
                <w:sz w:val="20"/>
                <w:szCs w:val="20"/>
              </w:rPr>
              <w:t>2</w:t>
            </w:r>
            <w:r>
              <w:rPr>
                <w:sz w:val="20"/>
                <w:szCs w:val="20"/>
              </w:rPr>
              <w:t>2,256</w:t>
            </w:r>
          </w:p>
        </w:tc>
        <w:tc>
          <w:tcPr>
            <w:tcW w:w="1667" w:type="pct"/>
          </w:tcPr>
          <w:p w14:paraId="212F0EA5" w14:textId="77777777" w:rsidR="00812493" w:rsidRPr="00C01FA5" w:rsidRDefault="00812493" w:rsidP="00A41887">
            <w:pPr>
              <w:pStyle w:val="Tableheading"/>
              <w:jc w:val="left"/>
              <w:rPr>
                <w:sz w:val="20"/>
                <w:szCs w:val="20"/>
              </w:rPr>
            </w:pPr>
            <w:r w:rsidRPr="00C01FA5">
              <w:rPr>
                <w:sz w:val="20"/>
                <w:szCs w:val="20"/>
              </w:rPr>
              <w:t>100</w:t>
            </w:r>
          </w:p>
        </w:tc>
      </w:tr>
    </w:tbl>
    <w:p w14:paraId="46E006DE" w14:textId="77777777" w:rsidR="00812493" w:rsidRDefault="00812493" w:rsidP="00812493"/>
    <w:p w14:paraId="1B743ACF" w14:textId="1B2B96F2" w:rsidR="00812493" w:rsidRDefault="00133A50" w:rsidP="00812493">
      <w:r>
        <w:t>As can be seen in Table 30</w:t>
      </w:r>
      <w:r w:rsidR="00812493">
        <w:t xml:space="preserve">, only 13.8% (95% CI 12.7% to 14.8%) of patients who had ceased denosumab therapy by 31 December 2019, had a record of having been prescribed another osteoporosis medicine after cessation. Therefore 86.2% had no record of osteoporosis therapy after denosumab cessation. This is higher than that reported by Naik-Panvelkar but once again may be explained by the differences in the study cohorts. </w:t>
      </w:r>
    </w:p>
    <w:p w14:paraId="5500C79A" w14:textId="77777777" w:rsidR="00812493" w:rsidRDefault="00812493" w:rsidP="00812493">
      <w:r>
        <w:t>Patients aged 70+ years were significantly less likely to have a record of being prescribed another osteoporosis medicine than patients aged 60–69 years.</w:t>
      </w:r>
    </w:p>
    <w:p w14:paraId="19F645D3" w14:textId="56D00469" w:rsidR="00812493" w:rsidRDefault="00133A50" w:rsidP="00812493">
      <w:pPr>
        <w:pStyle w:val="Tabletitle"/>
      </w:pPr>
      <w:r>
        <w:t>Table 30</w:t>
      </w:r>
      <w:r w:rsidR="00812493">
        <w:t xml:space="preserve">: Follow-on therapy for patients who had ceased denosumab treatment prior to 31 December 2019 among patients initiated on denosumab between Jan 2014–Dec 2017 (with or without prior osteoporosis medicine) </w:t>
      </w:r>
    </w:p>
    <w:tbl>
      <w:tblPr>
        <w:tblStyle w:val="TableGrid"/>
        <w:tblW w:w="5000" w:type="pct"/>
        <w:tblLook w:val="04A0" w:firstRow="1" w:lastRow="0" w:firstColumn="1" w:lastColumn="0" w:noHBand="0" w:noVBand="1"/>
        <w:tblCaption w:val="Table 14: Follow-on therapy for patients who had ceased denosumab treatment prior to 31 December 2019 among patients initiated on denosumab between Jan 2014–Dec 2017 (with or without prior osteoporosis medicine) "/>
      </w:tblPr>
      <w:tblGrid>
        <w:gridCol w:w="2236"/>
        <w:gridCol w:w="2237"/>
        <w:gridCol w:w="2237"/>
        <w:gridCol w:w="2237"/>
      </w:tblGrid>
      <w:tr w:rsidR="00812493" w:rsidRPr="001D0858" w14:paraId="0F219CD0" w14:textId="77777777" w:rsidTr="00A41887">
        <w:trPr>
          <w:trHeight w:val="227"/>
          <w:tblHeader/>
        </w:trPr>
        <w:tc>
          <w:tcPr>
            <w:tcW w:w="1250" w:type="pct"/>
            <w:shd w:val="clear" w:color="auto" w:fill="BFBFBF" w:themeFill="background1" w:themeFillShade="BF"/>
          </w:tcPr>
          <w:p w14:paraId="17E17231" w14:textId="77777777" w:rsidR="00812493" w:rsidRPr="001D0858" w:rsidRDefault="00812493" w:rsidP="00A41887">
            <w:pPr>
              <w:pStyle w:val="Tableheading"/>
              <w:jc w:val="left"/>
              <w:rPr>
                <w:sz w:val="20"/>
                <w:szCs w:val="20"/>
              </w:rPr>
            </w:pPr>
            <w:r>
              <w:rPr>
                <w:sz w:val="20"/>
                <w:szCs w:val="20"/>
              </w:rPr>
              <w:t>Age group</w:t>
            </w:r>
          </w:p>
        </w:tc>
        <w:tc>
          <w:tcPr>
            <w:tcW w:w="1250" w:type="pct"/>
            <w:shd w:val="clear" w:color="auto" w:fill="BFBFBF" w:themeFill="background1" w:themeFillShade="BF"/>
          </w:tcPr>
          <w:p w14:paraId="3EE680AA" w14:textId="77777777" w:rsidR="00812493" w:rsidRPr="001D0858" w:rsidRDefault="00812493" w:rsidP="00A41887">
            <w:pPr>
              <w:pStyle w:val="Tableheading"/>
              <w:jc w:val="left"/>
              <w:rPr>
                <w:sz w:val="20"/>
                <w:szCs w:val="20"/>
              </w:rPr>
            </w:pPr>
            <w:r>
              <w:rPr>
                <w:sz w:val="20"/>
                <w:szCs w:val="20"/>
              </w:rPr>
              <w:t>No. of patients ceased</w:t>
            </w:r>
          </w:p>
        </w:tc>
        <w:tc>
          <w:tcPr>
            <w:tcW w:w="1250" w:type="pct"/>
            <w:shd w:val="clear" w:color="auto" w:fill="BFBFBF" w:themeFill="background1" w:themeFillShade="BF"/>
          </w:tcPr>
          <w:p w14:paraId="2BE2E2CF" w14:textId="77777777" w:rsidR="00812493" w:rsidRPr="001D0858" w:rsidRDefault="00812493" w:rsidP="00A41887">
            <w:pPr>
              <w:pStyle w:val="Tableheading"/>
              <w:jc w:val="left"/>
              <w:rPr>
                <w:sz w:val="20"/>
                <w:szCs w:val="20"/>
              </w:rPr>
            </w:pPr>
            <w:r>
              <w:rPr>
                <w:sz w:val="20"/>
                <w:szCs w:val="20"/>
              </w:rPr>
              <w:t>No. prescribed another osteoporosis medicine</w:t>
            </w:r>
          </w:p>
        </w:tc>
        <w:tc>
          <w:tcPr>
            <w:tcW w:w="1250" w:type="pct"/>
            <w:shd w:val="clear" w:color="auto" w:fill="BFBFBF" w:themeFill="background1" w:themeFillShade="BF"/>
          </w:tcPr>
          <w:p w14:paraId="3A23EC00" w14:textId="77777777" w:rsidR="00812493" w:rsidRDefault="00812493" w:rsidP="00A41887">
            <w:pPr>
              <w:pStyle w:val="Tableheading"/>
              <w:jc w:val="left"/>
              <w:rPr>
                <w:sz w:val="20"/>
                <w:szCs w:val="20"/>
              </w:rPr>
            </w:pPr>
            <w:r>
              <w:rPr>
                <w:sz w:val="20"/>
                <w:szCs w:val="20"/>
              </w:rPr>
              <w:t>% (95% CI)</w:t>
            </w:r>
          </w:p>
        </w:tc>
      </w:tr>
      <w:tr w:rsidR="00812493" w:rsidRPr="001D0858" w14:paraId="45C5DF59" w14:textId="77777777" w:rsidTr="00A41887">
        <w:trPr>
          <w:trHeight w:val="227"/>
        </w:trPr>
        <w:tc>
          <w:tcPr>
            <w:tcW w:w="1250" w:type="pct"/>
          </w:tcPr>
          <w:p w14:paraId="17897EC1" w14:textId="77777777" w:rsidR="00812493" w:rsidRPr="000E2FF5" w:rsidRDefault="00812493" w:rsidP="00A41887">
            <w:pPr>
              <w:pStyle w:val="Tableheading"/>
              <w:jc w:val="left"/>
              <w:rPr>
                <w:sz w:val="20"/>
                <w:szCs w:val="20"/>
              </w:rPr>
            </w:pPr>
            <w:r w:rsidRPr="000E2FF5">
              <w:rPr>
                <w:sz w:val="20"/>
                <w:szCs w:val="20"/>
              </w:rPr>
              <w:t>50–59</w:t>
            </w:r>
          </w:p>
        </w:tc>
        <w:tc>
          <w:tcPr>
            <w:tcW w:w="1250" w:type="pct"/>
          </w:tcPr>
          <w:p w14:paraId="10D06584" w14:textId="77777777" w:rsidR="00812493" w:rsidRPr="001D0858" w:rsidRDefault="00812493" w:rsidP="00A41887">
            <w:pPr>
              <w:pStyle w:val="Tableheading"/>
              <w:jc w:val="left"/>
              <w:rPr>
                <w:b w:val="0"/>
                <w:sz w:val="20"/>
                <w:szCs w:val="20"/>
              </w:rPr>
            </w:pPr>
            <w:r w:rsidRPr="008C0FEE">
              <w:rPr>
                <w:b w:val="0"/>
                <w:sz w:val="20"/>
                <w:szCs w:val="20"/>
              </w:rPr>
              <w:t>392</w:t>
            </w:r>
          </w:p>
        </w:tc>
        <w:tc>
          <w:tcPr>
            <w:tcW w:w="1250" w:type="pct"/>
          </w:tcPr>
          <w:p w14:paraId="25D343A9" w14:textId="77777777" w:rsidR="00812493" w:rsidRPr="001D0858" w:rsidRDefault="00812493" w:rsidP="00A41887">
            <w:pPr>
              <w:pStyle w:val="Tableheading"/>
              <w:jc w:val="left"/>
              <w:rPr>
                <w:b w:val="0"/>
                <w:sz w:val="20"/>
                <w:szCs w:val="20"/>
              </w:rPr>
            </w:pPr>
            <w:r w:rsidRPr="008C0FEE">
              <w:rPr>
                <w:b w:val="0"/>
                <w:sz w:val="20"/>
                <w:szCs w:val="20"/>
              </w:rPr>
              <w:t>61</w:t>
            </w:r>
          </w:p>
        </w:tc>
        <w:tc>
          <w:tcPr>
            <w:tcW w:w="1250" w:type="pct"/>
          </w:tcPr>
          <w:p w14:paraId="34D7618B" w14:textId="77777777" w:rsidR="00812493" w:rsidRPr="00C01FA5" w:rsidRDefault="00812493" w:rsidP="00A41887">
            <w:pPr>
              <w:pStyle w:val="Tableheading"/>
              <w:jc w:val="left"/>
              <w:rPr>
                <w:b w:val="0"/>
                <w:sz w:val="20"/>
                <w:szCs w:val="20"/>
              </w:rPr>
            </w:pPr>
            <w:r w:rsidRPr="008C0FEE">
              <w:rPr>
                <w:b w:val="0"/>
                <w:sz w:val="20"/>
                <w:szCs w:val="20"/>
              </w:rPr>
              <w:t>15.6 (12.2–18.9)</w:t>
            </w:r>
          </w:p>
        </w:tc>
      </w:tr>
      <w:tr w:rsidR="00812493" w:rsidRPr="001D0858" w14:paraId="58F42A97" w14:textId="77777777" w:rsidTr="00A41887">
        <w:trPr>
          <w:trHeight w:val="227"/>
        </w:trPr>
        <w:tc>
          <w:tcPr>
            <w:tcW w:w="1250" w:type="pct"/>
          </w:tcPr>
          <w:p w14:paraId="5316289B" w14:textId="77777777" w:rsidR="00812493" w:rsidRPr="000E2FF5" w:rsidRDefault="00812493" w:rsidP="00A41887">
            <w:pPr>
              <w:pStyle w:val="Tableheading"/>
              <w:jc w:val="left"/>
              <w:rPr>
                <w:sz w:val="20"/>
                <w:szCs w:val="20"/>
              </w:rPr>
            </w:pPr>
            <w:r w:rsidRPr="000E2FF5">
              <w:rPr>
                <w:sz w:val="20"/>
                <w:szCs w:val="20"/>
              </w:rPr>
              <w:t>60–69</w:t>
            </w:r>
          </w:p>
        </w:tc>
        <w:tc>
          <w:tcPr>
            <w:tcW w:w="1250" w:type="pct"/>
          </w:tcPr>
          <w:p w14:paraId="1420A2E5" w14:textId="77777777" w:rsidR="00812493" w:rsidRPr="001D0858" w:rsidRDefault="00812493" w:rsidP="00A41887">
            <w:pPr>
              <w:pStyle w:val="Tableheading"/>
              <w:jc w:val="left"/>
              <w:rPr>
                <w:b w:val="0"/>
                <w:sz w:val="20"/>
                <w:szCs w:val="20"/>
              </w:rPr>
            </w:pPr>
            <w:r w:rsidRPr="008C0FEE">
              <w:rPr>
                <w:b w:val="0"/>
                <w:sz w:val="20"/>
                <w:szCs w:val="20"/>
              </w:rPr>
              <w:t>995</w:t>
            </w:r>
          </w:p>
        </w:tc>
        <w:tc>
          <w:tcPr>
            <w:tcW w:w="1250" w:type="pct"/>
          </w:tcPr>
          <w:p w14:paraId="4315E3D6" w14:textId="77777777" w:rsidR="00812493" w:rsidRPr="001D0858" w:rsidRDefault="00812493" w:rsidP="00A41887">
            <w:pPr>
              <w:pStyle w:val="Tableheading"/>
              <w:jc w:val="left"/>
              <w:rPr>
                <w:b w:val="0"/>
                <w:sz w:val="20"/>
                <w:szCs w:val="20"/>
              </w:rPr>
            </w:pPr>
            <w:r w:rsidRPr="008C0FEE">
              <w:rPr>
                <w:b w:val="0"/>
                <w:sz w:val="20"/>
                <w:szCs w:val="20"/>
              </w:rPr>
              <w:t>191</w:t>
            </w:r>
          </w:p>
        </w:tc>
        <w:tc>
          <w:tcPr>
            <w:tcW w:w="1250" w:type="pct"/>
          </w:tcPr>
          <w:p w14:paraId="39D26EDF" w14:textId="77777777" w:rsidR="00812493" w:rsidRPr="00C01FA5" w:rsidRDefault="00812493" w:rsidP="00A41887">
            <w:pPr>
              <w:pStyle w:val="Tableheading"/>
              <w:jc w:val="left"/>
              <w:rPr>
                <w:b w:val="0"/>
                <w:sz w:val="20"/>
                <w:szCs w:val="20"/>
              </w:rPr>
            </w:pPr>
            <w:r w:rsidRPr="008C0FEE">
              <w:rPr>
                <w:b w:val="0"/>
                <w:sz w:val="20"/>
                <w:szCs w:val="20"/>
              </w:rPr>
              <w:t>19.2 (16.7–21.7)</w:t>
            </w:r>
          </w:p>
        </w:tc>
      </w:tr>
      <w:tr w:rsidR="00812493" w:rsidRPr="001D0858" w14:paraId="0E2BD221" w14:textId="77777777" w:rsidTr="00A41887">
        <w:trPr>
          <w:trHeight w:val="227"/>
        </w:trPr>
        <w:tc>
          <w:tcPr>
            <w:tcW w:w="1250" w:type="pct"/>
          </w:tcPr>
          <w:p w14:paraId="2A12CAEF" w14:textId="77777777" w:rsidR="00812493" w:rsidRPr="000E2FF5" w:rsidRDefault="00812493" w:rsidP="00A41887">
            <w:pPr>
              <w:pStyle w:val="Tableheading"/>
              <w:jc w:val="left"/>
              <w:rPr>
                <w:sz w:val="20"/>
                <w:szCs w:val="20"/>
              </w:rPr>
            </w:pPr>
            <w:r w:rsidRPr="000E2FF5">
              <w:rPr>
                <w:sz w:val="20"/>
                <w:szCs w:val="20"/>
              </w:rPr>
              <w:t>70+</w:t>
            </w:r>
          </w:p>
        </w:tc>
        <w:tc>
          <w:tcPr>
            <w:tcW w:w="1250" w:type="pct"/>
          </w:tcPr>
          <w:p w14:paraId="2DFFF1C4" w14:textId="77777777" w:rsidR="00812493" w:rsidRPr="001D0858" w:rsidRDefault="00812493" w:rsidP="00A41887">
            <w:pPr>
              <w:pStyle w:val="Tableheading"/>
              <w:jc w:val="left"/>
              <w:rPr>
                <w:b w:val="0"/>
                <w:sz w:val="20"/>
                <w:szCs w:val="20"/>
              </w:rPr>
            </w:pPr>
            <w:r w:rsidRPr="008C0FEE">
              <w:rPr>
                <w:b w:val="0"/>
                <w:sz w:val="20"/>
                <w:szCs w:val="20"/>
              </w:rPr>
              <w:t>4,095</w:t>
            </w:r>
          </w:p>
        </w:tc>
        <w:tc>
          <w:tcPr>
            <w:tcW w:w="1250" w:type="pct"/>
          </w:tcPr>
          <w:p w14:paraId="4EEAB5DB" w14:textId="77777777" w:rsidR="00812493" w:rsidRPr="001D0858" w:rsidRDefault="00812493" w:rsidP="00A41887">
            <w:pPr>
              <w:pStyle w:val="Tableheading"/>
              <w:jc w:val="left"/>
              <w:rPr>
                <w:b w:val="0"/>
                <w:sz w:val="20"/>
                <w:szCs w:val="20"/>
              </w:rPr>
            </w:pPr>
            <w:r w:rsidRPr="008C0FEE">
              <w:rPr>
                <w:b w:val="0"/>
                <w:sz w:val="20"/>
                <w:szCs w:val="20"/>
              </w:rPr>
              <w:t>502</w:t>
            </w:r>
          </w:p>
        </w:tc>
        <w:tc>
          <w:tcPr>
            <w:tcW w:w="1250" w:type="pct"/>
          </w:tcPr>
          <w:p w14:paraId="1D4F819B" w14:textId="77777777" w:rsidR="00812493" w:rsidRPr="00C01FA5" w:rsidRDefault="00812493" w:rsidP="00A41887">
            <w:pPr>
              <w:pStyle w:val="Tableheading"/>
              <w:jc w:val="left"/>
              <w:rPr>
                <w:b w:val="0"/>
                <w:sz w:val="20"/>
                <w:szCs w:val="20"/>
              </w:rPr>
            </w:pPr>
            <w:r w:rsidRPr="008C0FEE">
              <w:rPr>
                <w:b w:val="0"/>
                <w:sz w:val="20"/>
                <w:szCs w:val="20"/>
              </w:rPr>
              <w:t>12.3 (11.1–13.4)</w:t>
            </w:r>
          </w:p>
        </w:tc>
      </w:tr>
      <w:tr w:rsidR="00812493" w:rsidRPr="001D0858" w14:paraId="3995E9EB" w14:textId="77777777" w:rsidTr="00A41887">
        <w:trPr>
          <w:trHeight w:val="227"/>
        </w:trPr>
        <w:tc>
          <w:tcPr>
            <w:tcW w:w="1250" w:type="pct"/>
          </w:tcPr>
          <w:p w14:paraId="42290605" w14:textId="77777777" w:rsidR="00812493" w:rsidRPr="00C01FA5" w:rsidRDefault="00812493" w:rsidP="00A41887">
            <w:pPr>
              <w:pStyle w:val="Tableheading"/>
              <w:jc w:val="left"/>
              <w:rPr>
                <w:sz w:val="20"/>
                <w:szCs w:val="20"/>
              </w:rPr>
            </w:pPr>
            <w:r w:rsidRPr="00C01FA5">
              <w:rPr>
                <w:sz w:val="20"/>
                <w:szCs w:val="20"/>
              </w:rPr>
              <w:t>Total</w:t>
            </w:r>
          </w:p>
        </w:tc>
        <w:tc>
          <w:tcPr>
            <w:tcW w:w="1250" w:type="pct"/>
          </w:tcPr>
          <w:p w14:paraId="3AD8B2FA" w14:textId="77777777" w:rsidR="00812493" w:rsidRPr="00C01FA5" w:rsidRDefault="00812493" w:rsidP="00A41887">
            <w:pPr>
              <w:pStyle w:val="Tableheading"/>
              <w:jc w:val="left"/>
              <w:rPr>
                <w:sz w:val="20"/>
                <w:szCs w:val="20"/>
              </w:rPr>
            </w:pPr>
            <w:r>
              <w:rPr>
                <w:sz w:val="20"/>
                <w:szCs w:val="20"/>
              </w:rPr>
              <w:t>5,482</w:t>
            </w:r>
          </w:p>
        </w:tc>
        <w:tc>
          <w:tcPr>
            <w:tcW w:w="1250" w:type="pct"/>
          </w:tcPr>
          <w:p w14:paraId="2656ED66" w14:textId="77777777" w:rsidR="00812493" w:rsidRPr="00C01FA5" w:rsidRDefault="00812493" w:rsidP="00A41887">
            <w:pPr>
              <w:pStyle w:val="Tableheading"/>
              <w:jc w:val="left"/>
              <w:rPr>
                <w:sz w:val="20"/>
                <w:szCs w:val="20"/>
              </w:rPr>
            </w:pPr>
            <w:r>
              <w:rPr>
                <w:sz w:val="20"/>
                <w:szCs w:val="20"/>
              </w:rPr>
              <w:t>754</w:t>
            </w:r>
          </w:p>
        </w:tc>
        <w:tc>
          <w:tcPr>
            <w:tcW w:w="1250" w:type="pct"/>
          </w:tcPr>
          <w:p w14:paraId="6FDE2DF4" w14:textId="77777777" w:rsidR="00812493" w:rsidRPr="00C01FA5" w:rsidRDefault="00812493" w:rsidP="00A41887">
            <w:pPr>
              <w:pStyle w:val="Tableheading"/>
              <w:jc w:val="left"/>
              <w:rPr>
                <w:sz w:val="20"/>
                <w:szCs w:val="20"/>
              </w:rPr>
            </w:pPr>
            <w:r>
              <w:rPr>
                <w:sz w:val="20"/>
                <w:szCs w:val="20"/>
              </w:rPr>
              <w:t>13.8 (12.7–14.8)</w:t>
            </w:r>
          </w:p>
        </w:tc>
      </w:tr>
    </w:tbl>
    <w:p w14:paraId="60338D88" w14:textId="77777777" w:rsidR="00133A50" w:rsidRDefault="00133A50" w:rsidP="00812493"/>
    <w:p w14:paraId="589C095B" w14:textId="498A783D" w:rsidR="00812493" w:rsidRDefault="00812493" w:rsidP="00812493">
      <w:r>
        <w:t>Qualitative interviews undertaken with Australian GPs suggested that uncertainty about what to do when stopping denosumab meant many referred their patients to specialists for advice about stopping.</w:t>
      </w:r>
      <w:r>
        <w:rPr>
          <w:rStyle w:val="FootnoteReference"/>
        </w:rPr>
        <w:footnoteReference w:id="17"/>
      </w:r>
      <w:r>
        <w:t xml:space="preserve"> As the CIS in general practice may not capture specialist prescribing this may explain the low recorded rates of ongoing osteoporosis medicine treatment seen in both studies. Other explanations could include: </w:t>
      </w:r>
    </w:p>
    <w:p w14:paraId="751FDD05" w14:textId="77777777" w:rsidR="00812493" w:rsidRDefault="00812493" w:rsidP="00812493">
      <w:pPr>
        <w:pStyle w:val="ListParagraph"/>
        <w:numPr>
          <w:ilvl w:val="0"/>
          <w:numId w:val="21"/>
        </w:numPr>
      </w:pPr>
      <w:r>
        <w:t>inadequate reminder and recall systems (particularly given denosumab only needs to be prescribed and administered every 6 months)</w:t>
      </w:r>
      <w:r w:rsidRPr="00D8449F">
        <w:rPr>
          <w:noProof/>
          <w:vertAlign w:val="superscript"/>
        </w:rPr>
        <w:t>1</w:t>
      </w:r>
      <w:r>
        <w:rPr>
          <w:noProof/>
          <w:vertAlign w:val="superscript"/>
        </w:rPr>
        <w:t>4</w:t>
      </w:r>
      <w:r>
        <w:t>;</w:t>
      </w:r>
    </w:p>
    <w:p w14:paraId="626EF769" w14:textId="77777777" w:rsidR="00812493" w:rsidRDefault="00812493" w:rsidP="00812493">
      <w:pPr>
        <w:pStyle w:val="ListParagraph"/>
        <w:numPr>
          <w:ilvl w:val="0"/>
          <w:numId w:val="21"/>
        </w:numPr>
      </w:pPr>
      <w:r>
        <w:t xml:space="preserve">patient reluctance to use bisphosphonates due to intolerance or unacceptable side effects; </w:t>
      </w:r>
    </w:p>
    <w:p w14:paraId="561654E1" w14:textId="77777777" w:rsidR="00812493" w:rsidRDefault="00812493" w:rsidP="00812493">
      <w:pPr>
        <w:pStyle w:val="ListParagraph"/>
        <w:numPr>
          <w:ilvl w:val="0"/>
          <w:numId w:val="21"/>
        </w:numPr>
      </w:pPr>
      <w:r>
        <w:lastRenderedPageBreak/>
        <w:t>short follow-up among patients who ceased denosumab in late 2019 given no data was collected after 31 December 2019; or</w:t>
      </w:r>
    </w:p>
    <w:p w14:paraId="31C31E7F" w14:textId="77777777" w:rsidR="00812493" w:rsidRDefault="00812493" w:rsidP="00812493">
      <w:pPr>
        <w:pStyle w:val="ListParagraph"/>
        <w:numPr>
          <w:ilvl w:val="0"/>
          <w:numId w:val="21"/>
        </w:numPr>
      </w:pPr>
      <w:r>
        <w:t xml:space="preserve">death: 468 (8.5%) of the patients who had no record of follow-up osteoporosis medicines after ceasing denosumab were recorded in the CIS as having died. Of these, 437 patients were aged 70+ years compared with 27 patients in the 60–69 age group and 4 patients in the 50–59 age group. </w:t>
      </w:r>
    </w:p>
    <w:p w14:paraId="2575B10D" w14:textId="77777777" w:rsidR="00812493" w:rsidRPr="00812493" w:rsidRDefault="00812493" w:rsidP="00812493">
      <w:pPr>
        <w:pStyle w:val="Heading4"/>
        <w:rPr>
          <w:sz w:val="24"/>
        </w:rPr>
      </w:pPr>
      <w:r w:rsidRPr="00812493">
        <w:rPr>
          <w:sz w:val="24"/>
        </w:rPr>
        <w:t>Patients initiated on denosumab without trialling another osteoporosis medicine</w:t>
      </w:r>
    </w:p>
    <w:p w14:paraId="2F15FB11" w14:textId="77777777" w:rsidR="00812493" w:rsidRDefault="00812493" w:rsidP="00812493">
      <w:r>
        <w:t xml:space="preserve">Among the cohort of 120,388 patients included in the historical osteoporosis study, 9.2% (95% CI 8.7 to 9.7%) were started on denosumab with no prior record of any other prescribed osteoporosis treatment. </w:t>
      </w:r>
    </w:p>
    <w:p w14:paraId="794D8F9E" w14:textId="77777777" w:rsidR="00812493" w:rsidRDefault="00812493" w:rsidP="00812493">
      <w:r>
        <w:t xml:space="preserve">Among the 22,256 patients who had been prescribed denosumab at least once, 50.0% were started on denosumab without </w:t>
      </w:r>
      <w:r w:rsidRPr="00E5569F">
        <w:t xml:space="preserve">any record of having been previously </w:t>
      </w:r>
      <w:r>
        <w:t>prescribed</w:t>
      </w:r>
      <w:r w:rsidRPr="00E5569F">
        <w:t xml:space="preserve"> any other osteoporosis medicine</w:t>
      </w:r>
      <w:r>
        <w:t xml:space="preserve">. </w:t>
      </w:r>
      <w:r w:rsidRPr="00E5569F">
        <w:t xml:space="preserve">In 2015, DUSC reported </w:t>
      </w:r>
      <w:r>
        <w:t>42.7</w:t>
      </w:r>
      <w:r w:rsidRPr="00E5569F">
        <w:t xml:space="preserve">% of patients initiating denosumab had </w:t>
      </w:r>
      <w:r>
        <w:t xml:space="preserve">not used </w:t>
      </w:r>
      <w:r w:rsidRPr="00E5569F">
        <w:t>at least one other osteoporosis drug</w:t>
      </w:r>
      <w:r>
        <w:t>.</w:t>
      </w:r>
    </w:p>
    <w:p w14:paraId="2F8B9570" w14:textId="48FE92E5" w:rsidR="00812493" w:rsidRPr="004A5752" w:rsidRDefault="00812493" w:rsidP="00812493">
      <w:r>
        <w:t>The overwhelming majority (99.1%) of patients who were directly initiated on denosumab had no record of any other osteoporosis medicines being pres</w:t>
      </w:r>
      <w:r w:rsidR="00802DF4">
        <w:t>cribed on the same day (Table 31</w:t>
      </w:r>
      <w:r>
        <w:t>). Only 88 patients were prescribed both denosumab and a bisphosphonate on the same day. Thirteen patients had a record of being prescribed both denosumab and a non-bisphosphonate osteoporosis medicine on the same day. No patients were initiated on denosumab plus a bisphosphonate plus an ‘other osteoporosis medicine’.</w:t>
      </w:r>
    </w:p>
    <w:p w14:paraId="18F0B90A" w14:textId="6DD4F0B1" w:rsidR="00812493" w:rsidRDefault="00802DF4" w:rsidP="00812493">
      <w:pPr>
        <w:pStyle w:val="Tabletitle"/>
      </w:pPr>
      <w:r>
        <w:t>Table 31</w:t>
      </w:r>
      <w:r w:rsidR="00812493">
        <w:t>: Patients initiated on denosumab with no prior osteoporosis medicine in the historical osteoporosis study population (N = 120,388) between Jan 2014–Dec 2017</w:t>
      </w:r>
    </w:p>
    <w:tbl>
      <w:tblPr>
        <w:tblStyle w:val="TableGrid"/>
        <w:tblW w:w="0" w:type="auto"/>
        <w:tblLook w:val="04A0" w:firstRow="1" w:lastRow="0" w:firstColumn="1" w:lastColumn="0" w:noHBand="0" w:noVBand="1"/>
        <w:tblCaption w:val="Table 15: Patients initiated on denosumab with no prior osteoporosis medicine in the historical osteoporosis study population (N = 120,388) between Jan 2014–Dec 2017"/>
      </w:tblPr>
      <w:tblGrid>
        <w:gridCol w:w="4248"/>
        <w:gridCol w:w="2977"/>
        <w:gridCol w:w="1722"/>
      </w:tblGrid>
      <w:tr w:rsidR="00812493" w:rsidRPr="001D0858" w14:paraId="17F97942" w14:textId="77777777" w:rsidTr="00A41887">
        <w:trPr>
          <w:trHeight w:val="227"/>
          <w:tblHeader/>
        </w:trPr>
        <w:tc>
          <w:tcPr>
            <w:tcW w:w="4248" w:type="dxa"/>
            <w:shd w:val="clear" w:color="auto" w:fill="BFBFBF" w:themeFill="background1" w:themeFillShade="BF"/>
          </w:tcPr>
          <w:p w14:paraId="65F775D2" w14:textId="77777777" w:rsidR="00812493" w:rsidRPr="001D0858" w:rsidRDefault="00812493" w:rsidP="00A41887">
            <w:pPr>
              <w:pStyle w:val="Tableheading"/>
              <w:jc w:val="left"/>
              <w:rPr>
                <w:sz w:val="20"/>
                <w:szCs w:val="20"/>
              </w:rPr>
            </w:pPr>
            <w:r>
              <w:rPr>
                <w:sz w:val="20"/>
                <w:szCs w:val="20"/>
              </w:rPr>
              <w:t>Analysis</w:t>
            </w:r>
          </w:p>
        </w:tc>
        <w:tc>
          <w:tcPr>
            <w:tcW w:w="2977" w:type="dxa"/>
            <w:shd w:val="clear" w:color="auto" w:fill="BFBFBF" w:themeFill="background1" w:themeFillShade="BF"/>
          </w:tcPr>
          <w:p w14:paraId="616FD42D" w14:textId="77777777" w:rsidR="00812493" w:rsidRPr="001D0858" w:rsidRDefault="00812493" w:rsidP="00A41887">
            <w:pPr>
              <w:pStyle w:val="Tableheading"/>
              <w:jc w:val="left"/>
              <w:rPr>
                <w:sz w:val="20"/>
                <w:szCs w:val="20"/>
              </w:rPr>
            </w:pPr>
            <w:r>
              <w:rPr>
                <w:sz w:val="20"/>
                <w:szCs w:val="20"/>
              </w:rPr>
              <w:t xml:space="preserve">No. of patients initiated on denosumab </w:t>
            </w:r>
          </w:p>
        </w:tc>
        <w:tc>
          <w:tcPr>
            <w:tcW w:w="1722" w:type="dxa"/>
            <w:shd w:val="clear" w:color="auto" w:fill="BFBFBF" w:themeFill="background1" w:themeFillShade="BF"/>
          </w:tcPr>
          <w:p w14:paraId="1A2BA8DA" w14:textId="77777777" w:rsidR="00812493" w:rsidRPr="001D0858" w:rsidRDefault="00812493" w:rsidP="00A41887">
            <w:pPr>
              <w:pStyle w:val="Tableheading"/>
              <w:jc w:val="left"/>
              <w:rPr>
                <w:sz w:val="20"/>
                <w:szCs w:val="20"/>
              </w:rPr>
            </w:pPr>
            <w:r>
              <w:rPr>
                <w:sz w:val="20"/>
                <w:szCs w:val="20"/>
              </w:rPr>
              <w:t>% (95% CI)</w:t>
            </w:r>
          </w:p>
        </w:tc>
      </w:tr>
      <w:tr w:rsidR="00812493" w:rsidRPr="001D0858" w14:paraId="4290F8A1" w14:textId="77777777" w:rsidTr="00A41887">
        <w:trPr>
          <w:trHeight w:val="227"/>
        </w:trPr>
        <w:tc>
          <w:tcPr>
            <w:tcW w:w="4248" w:type="dxa"/>
          </w:tcPr>
          <w:p w14:paraId="58AD8615" w14:textId="77777777" w:rsidR="00812493" w:rsidRDefault="00812493" w:rsidP="00A41887">
            <w:pPr>
              <w:pStyle w:val="Tableheading"/>
              <w:jc w:val="left"/>
              <w:rPr>
                <w:b w:val="0"/>
                <w:sz w:val="20"/>
                <w:szCs w:val="20"/>
              </w:rPr>
            </w:pPr>
            <w:r>
              <w:rPr>
                <w:b w:val="0"/>
                <w:sz w:val="20"/>
                <w:szCs w:val="20"/>
              </w:rPr>
              <w:t xml:space="preserve">Denosumab only </w:t>
            </w:r>
          </w:p>
        </w:tc>
        <w:tc>
          <w:tcPr>
            <w:tcW w:w="2977" w:type="dxa"/>
          </w:tcPr>
          <w:p w14:paraId="13FDBACF" w14:textId="77777777" w:rsidR="00812493" w:rsidRPr="001D0858" w:rsidRDefault="00812493" w:rsidP="00A41887">
            <w:pPr>
              <w:pStyle w:val="Tableheading"/>
              <w:jc w:val="left"/>
              <w:rPr>
                <w:b w:val="0"/>
                <w:sz w:val="20"/>
                <w:szCs w:val="20"/>
              </w:rPr>
            </w:pPr>
            <w:r w:rsidRPr="009C3F06">
              <w:rPr>
                <w:b w:val="0"/>
                <w:sz w:val="20"/>
                <w:szCs w:val="20"/>
              </w:rPr>
              <w:t>11,021</w:t>
            </w:r>
          </w:p>
        </w:tc>
        <w:tc>
          <w:tcPr>
            <w:tcW w:w="1722" w:type="dxa"/>
          </w:tcPr>
          <w:p w14:paraId="07F44F40" w14:textId="77777777" w:rsidR="00812493" w:rsidRPr="001D0858" w:rsidRDefault="00812493" w:rsidP="00A41887">
            <w:pPr>
              <w:pStyle w:val="Tableheading"/>
              <w:jc w:val="left"/>
              <w:rPr>
                <w:b w:val="0"/>
                <w:sz w:val="20"/>
                <w:szCs w:val="20"/>
              </w:rPr>
            </w:pPr>
            <w:r w:rsidRPr="009C3F06">
              <w:rPr>
                <w:b w:val="0"/>
                <w:sz w:val="20"/>
                <w:szCs w:val="20"/>
              </w:rPr>
              <w:t>99.1 (98.9–99.3)</w:t>
            </w:r>
          </w:p>
        </w:tc>
      </w:tr>
      <w:tr w:rsidR="00812493" w:rsidRPr="001D0858" w14:paraId="10501476" w14:textId="77777777" w:rsidTr="00A41887">
        <w:trPr>
          <w:trHeight w:val="227"/>
        </w:trPr>
        <w:tc>
          <w:tcPr>
            <w:tcW w:w="4248" w:type="dxa"/>
          </w:tcPr>
          <w:p w14:paraId="4E9F2309" w14:textId="77777777" w:rsidR="00812493" w:rsidRDefault="00812493" w:rsidP="00A41887">
            <w:pPr>
              <w:pStyle w:val="Tableheading"/>
              <w:jc w:val="left"/>
              <w:rPr>
                <w:b w:val="0"/>
                <w:sz w:val="20"/>
                <w:szCs w:val="20"/>
              </w:rPr>
            </w:pPr>
            <w:r w:rsidRPr="009C3F06">
              <w:rPr>
                <w:b w:val="0"/>
                <w:sz w:val="20"/>
                <w:szCs w:val="20"/>
              </w:rPr>
              <w:t>Denosumab plus bisphosphonate</w:t>
            </w:r>
          </w:p>
        </w:tc>
        <w:tc>
          <w:tcPr>
            <w:tcW w:w="2977" w:type="dxa"/>
          </w:tcPr>
          <w:p w14:paraId="4A0FF559" w14:textId="77777777" w:rsidR="00812493" w:rsidRPr="001D0858" w:rsidRDefault="00812493" w:rsidP="00A41887">
            <w:pPr>
              <w:pStyle w:val="Tableheading"/>
              <w:jc w:val="left"/>
              <w:rPr>
                <w:b w:val="0"/>
                <w:sz w:val="20"/>
                <w:szCs w:val="20"/>
              </w:rPr>
            </w:pPr>
            <w:r w:rsidRPr="009C3F06">
              <w:rPr>
                <w:b w:val="0"/>
                <w:sz w:val="20"/>
                <w:szCs w:val="20"/>
              </w:rPr>
              <w:t>88</w:t>
            </w:r>
          </w:p>
        </w:tc>
        <w:tc>
          <w:tcPr>
            <w:tcW w:w="1722" w:type="dxa"/>
          </w:tcPr>
          <w:p w14:paraId="61443271" w14:textId="77777777" w:rsidR="00812493" w:rsidRPr="001D0858" w:rsidRDefault="00812493" w:rsidP="00A41887">
            <w:pPr>
              <w:pStyle w:val="Tableheading"/>
              <w:jc w:val="left"/>
              <w:rPr>
                <w:b w:val="0"/>
                <w:sz w:val="20"/>
                <w:szCs w:val="20"/>
              </w:rPr>
            </w:pPr>
            <w:r w:rsidRPr="009C3F06">
              <w:rPr>
                <w:b w:val="0"/>
                <w:sz w:val="20"/>
                <w:szCs w:val="20"/>
              </w:rPr>
              <w:t>0.8 (0.6–1.0)</w:t>
            </w:r>
          </w:p>
        </w:tc>
      </w:tr>
      <w:tr w:rsidR="00812493" w:rsidRPr="001D0858" w14:paraId="644F1C04" w14:textId="77777777" w:rsidTr="00A41887">
        <w:trPr>
          <w:trHeight w:val="227"/>
        </w:trPr>
        <w:tc>
          <w:tcPr>
            <w:tcW w:w="4248" w:type="dxa"/>
          </w:tcPr>
          <w:p w14:paraId="6B2DAC8F" w14:textId="77777777" w:rsidR="00812493" w:rsidRDefault="00812493" w:rsidP="00A41887">
            <w:pPr>
              <w:pStyle w:val="Tableheading"/>
              <w:jc w:val="left"/>
              <w:rPr>
                <w:b w:val="0"/>
                <w:sz w:val="20"/>
                <w:szCs w:val="20"/>
              </w:rPr>
            </w:pPr>
            <w:r w:rsidRPr="009C3F06">
              <w:rPr>
                <w:b w:val="0"/>
                <w:sz w:val="20"/>
                <w:szCs w:val="20"/>
              </w:rPr>
              <w:t>Denosumab plus ‘other osteoporosis medicine’</w:t>
            </w:r>
            <w:r>
              <w:rPr>
                <w:b w:val="0"/>
                <w:sz w:val="20"/>
                <w:szCs w:val="20"/>
              </w:rPr>
              <w:t>*</w:t>
            </w:r>
          </w:p>
        </w:tc>
        <w:tc>
          <w:tcPr>
            <w:tcW w:w="2977" w:type="dxa"/>
          </w:tcPr>
          <w:p w14:paraId="5241E4E8" w14:textId="77777777" w:rsidR="00812493" w:rsidRPr="001D0858" w:rsidRDefault="00812493" w:rsidP="00A41887">
            <w:pPr>
              <w:pStyle w:val="Tableheading"/>
              <w:jc w:val="left"/>
              <w:rPr>
                <w:b w:val="0"/>
                <w:sz w:val="20"/>
                <w:szCs w:val="20"/>
              </w:rPr>
            </w:pPr>
            <w:r w:rsidRPr="009C3F06">
              <w:rPr>
                <w:b w:val="0"/>
                <w:sz w:val="20"/>
                <w:szCs w:val="20"/>
              </w:rPr>
              <w:t>13</w:t>
            </w:r>
          </w:p>
        </w:tc>
        <w:tc>
          <w:tcPr>
            <w:tcW w:w="1722" w:type="dxa"/>
          </w:tcPr>
          <w:p w14:paraId="44F774F8" w14:textId="77777777" w:rsidR="00812493" w:rsidRPr="001D0858" w:rsidRDefault="00812493" w:rsidP="00A41887">
            <w:pPr>
              <w:pStyle w:val="Tableheading"/>
              <w:jc w:val="left"/>
              <w:rPr>
                <w:b w:val="0"/>
                <w:sz w:val="20"/>
                <w:szCs w:val="20"/>
              </w:rPr>
            </w:pPr>
            <w:r w:rsidRPr="009C3F06">
              <w:rPr>
                <w:b w:val="0"/>
                <w:sz w:val="20"/>
                <w:szCs w:val="20"/>
              </w:rPr>
              <w:t>0.1 (0.1–0.2)</w:t>
            </w:r>
          </w:p>
        </w:tc>
      </w:tr>
      <w:tr w:rsidR="00812493" w:rsidRPr="001D0858" w14:paraId="1D7F4E27" w14:textId="77777777" w:rsidTr="00A41887">
        <w:trPr>
          <w:trHeight w:val="227"/>
        </w:trPr>
        <w:tc>
          <w:tcPr>
            <w:tcW w:w="4248" w:type="dxa"/>
          </w:tcPr>
          <w:p w14:paraId="49F2C20F" w14:textId="77777777" w:rsidR="00812493" w:rsidRPr="000F1FD6" w:rsidRDefault="00812493" w:rsidP="00A41887">
            <w:pPr>
              <w:pStyle w:val="Tableheading"/>
              <w:jc w:val="left"/>
              <w:rPr>
                <w:sz w:val="20"/>
                <w:szCs w:val="20"/>
              </w:rPr>
            </w:pPr>
            <w:r w:rsidRPr="000F1FD6">
              <w:rPr>
                <w:sz w:val="20"/>
                <w:szCs w:val="20"/>
              </w:rPr>
              <w:t>All patients initiated on denosumab</w:t>
            </w:r>
          </w:p>
        </w:tc>
        <w:tc>
          <w:tcPr>
            <w:tcW w:w="2977" w:type="dxa"/>
          </w:tcPr>
          <w:p w14:paraId="010B95EA" w14:textId="77777777" w:rsidR="00812493" w:rsidRPr="000F1FD6" w:rsidRDefault="00812493" w:rsidP="00A41887">
            <w:pPr>
              <w:pStyle w:val="Tableheading"/>
              <w:jc w:val="left"/>
              <w:rPr>
                <w:sz w:val="20"/>
                <w:szCs w:val="20"/>
              </w:rPr>
            </w:pPr>
            <w:r w:rsidRPr="000F1FD6">
              <w:rPr>
                <w:sz w:val="20"/>
                <w:szCs w:val="20"/>
              </w:rPr>
              <w:t>11,122</w:t>
            </w:r>
          </w:p>
        </w:tc>
        <w:tc>
          <w:tcPr>
            <w:tcW w:w="1722" w:type="dxa"/>
          </w:tcPr>
          <w:p w14:paraId="3482EB07" w14:textId="77777777" w:rsidR="00812493" w:rsidRPr="000F1FD6" w:rsidRDefault="00812493" w:rsidP="00A41887">
            <w:pPr>
              <w:pStyle w:val="Tableheading"/>
              <w:jc w:val="left"/>
              <w:rPr>
                <w:sz w:val="20"/>
                <w:szCs w:val="20"/>
              </w:rPr>
            </w:pPr>
            <w:r w:rsidRPr="000F1FD6">
              <w:rPr>
                <w:sz w:val="20"/>
                <w:szCs w:val="20"/>
              </w:rPr>
              <w:t>100</w:t>
            </w:r>
          </w:p>
        </w:tc>
      </w:tr>
    </w:tbl>
    <w:p w14:paraId="37E5EEA5" w14:textId="77777777" w:rsidR="00812493" w:rsidRDefault="00812493" w:rsidP="00812493">
      <w:pPr>
        <w:pStyle w:val="Notes"/>
        <w:spacing w:after="60"/>
      </w:pPr>
      <w:r>
        <w:t xml:space="preserve">*The ’other osteoporosis medicine’ category includes raloxifene, strontium ranelate, teriparatide and calcitriol. </w:t>
      </w:r>
    </w:p>
    <w:p w14:paraId="34D431D9" w14:textId="1BC0990E" w:rsidR="00812493" w:rsidRPr="00812493" w:rsidRDefault="00812493" w:rsidP="00015FE3">
      <w:pPr>
        <w:pStyle w:val="Notes"/>
        <w:spacing w:after="60"/>
      </w:pPr>
      <w:r>
        <w:t>CI: confidence interval</w:t>
      </w:r>
    </w:p>
    <w:p w14:paraId="0F614290" w14:textId="77777777" w:rsidR="002A36FB" w:rsidRDefault="002A36FB" w:rsidP="002A36FB">
      <w:pPr>
        <w:pStyle w:val="Heading1"/>
      </w:pPr>
      <w:r>
        <w:t>DUSC consideration</w:t>
      </w:r>
    </w:p>
    <w:p w14:paraId="5A7E618F" w14:textId="77777777" w:rsidR="002A36FB" w:rsidRPr="00015FE3" w:rsidRDefault="002A36FB" w:rsidP="002A36FB">
      <w:r w:rsidRPr="00015FE3">
        <w:t>DUSC commented that osteoporosis was a serious health concern, noting that it affected an estimated 924,000 Australians (National Health Survey 2017-18) and more than a quarter of Australian women over the age of 75 years.</w:t>
      </w:r>
    </w:p>
    <w:p w14:paraId="4AEE1DCA" w14:textId="77777777" w:rsidR="002A36FB" w:rsidRPr="00015FE3" w:rsidRDefault="002A36FB" w:rsidP="002A36FB">
      <w:pPr>
        <w:rPr>
          <w:rFonts w:cstheme="minorHAnsi"/>
        </w:rPr>
      </w:pPr>
      <w:r w:rsidRPr="00015FE3">
        <w:rPr>
          <w:rFonts w:cstheme="minorHAnsi"/>
        </w:rPr>
        <w:t>DUSC noted its previous considerations of denosumab:</w:t>
      </w:r>
    </w:p>
    <w:p w14:paraId="2BF9B736" w14:textId="77777777" w:rsidR="002A36FB" w:rsidRPr="00D5742F" w:rsidRDefault="002A36FB" w:rsidP="002A36FB">
      <w:pPr>
        <w:pStyle w:val="ListParagraph"/>
        <w:numPr>
          <w:ilvl w:val="0"/>
          <w:numId w:val="22"/>
        </w:numPr>
        <w:spacing w:line="276" w:lineRule="auto"/>
        <w:rPr>
          <w:rFonts w:cstheme="minorHAnsi"/>
        </w:rPr>
      </w:pPr>
      <w:r>
        <w:lastRenderedPageBreak/>
        <w:t xml:space="preserve">In </w:t>
      </w:r>
      <w:r w:rsidRPr="009714BA">
        <w:t>September 2016</w:t>
      </w:r>
      <w:r>
        <w:t>, DUSC noted</w:t>
      </w:r>
      <w:r w:rsidRPr="009714BA">
        <w:t xml:space="preserve"> the very high uptake of denosumab and declining use of bisphosphonates, and its concerns at that time of potential adverse events from a greater uptake of denosumab. </w:t>
      </w:r>
    </w:p>
    <w:p w14:paraId="25F64A84" w14:textId="77777777" w:rsidR="002A36FB" w:rsidRPr="00D5742F" w:rsidRDefault="002A36FB" w:rsidP="002A36FB">
      <w:pPr>
        <w:pStyle w:val="ListParagraph"/>
        <w:numPr>
          <w:ilvl w:val="0"/>
          <w:numId w:val="22"/>
        </w:numPr>
        <w:spacing w:line="276" w:lineRule="auto"/>
        <w:rPr>
          <w:rFonts w:cstheme="minorHAnsi"/>
          <w:i/>
        </w:rPr>
      </w:pPr>
      <w:r w:rsidRPr="00D5742F">
        <w:rPr>
          <w:rFonts w:cstheme="minorHAnsi"/>
        </w:rPr>
        <w:t>In February 2020, DUSC considered a report commissioned by the department to explore persistence to the various forms of osteoporosis medicines.  DUSC noted that increasing numbers of people were receiving osteoporosis therapy and persisting on that therapy; predominantly denosumab. DUSC noted that persistence to treatment appeared to be better for denosumab compared to other osteoporosis medicines. DUSC noted the difference in long-term effects of bisphosphonates and denosumab, where denosumab is associated with bone loss on discontinuation while there is some bone maintenance for bisphosphonates. DUSC considered that the longer pharmacodynamic half-life of bisphosphonates makes bisphosphonates more ‘forgiving’ if there are breaks in therapy. DUSC considered that clinicians are aware of the ongoing need to encourage adherence to treatment with denosumab due to the early onset of loss of clinical benefit when ceasing denosumab therapy and risk for fracture. DUSC recalled that following PBAC consideration of the 2016 DUSC report on osteoporosis, educational messages were circulated to alert clinicians to the need for ongoing six</w:t>
      </w:r>
      <w:r w:rsidRPr="00D5742F">
        <w:rPr>
          <w:rFonts w:cstheme="minorHAnsi"/>
        </w:rPr>
        <w:noBreakHyphen/>
        <w:t>monthly treatment with denosumab. DUSC considered the higher persistence with treatment and higher treatment cost of denosumab compared to oral bisphosphonates may affect the cost-effectiveness of denosumab achieved in practice.</w:t>
      </w:r>
    </w:p>
    <w:p w14:paraId="749570C2" w14:textId="77777777" w:rsidR="002A36FB" w:rsidRPr="00E80987" w:rsidRDefault="002A36FB" w:rsidP="002A36FB">
      <w:pPr>
        <w:pStyle w:val="ListParagraph"/>
        <w:numPr>
          <w:ilvl w:val="0"/>
          <w:numId w:val="22"/>
        </w:numPr>
        <w:spacing w:line="276" w:lineRule="auto"/>
        <w:rPr>
          <w:rFonts w:cs="Calibri"/>
        </w:rPr>
      </w:pPr>
      <w:r>
        <w:t>At its</w:t>
      </w:r>
      <w:r w:rsidRPr="00E80987">
        <w:t xml:space="preserve"> June 2020 meeting</w:t>
      </w:r>
      <w:r>
        <w:t xml:space="preserve">, DUSC noted </w:t>
      </w:r>
      <w:r w:rsidRPr="00E80987">
        <w:t>QUM issues highlighted by Naik-Panvelkar et al. (2020)</w:t>
      </w:r>
      <w:r w:rsidRPr="00E80987">
        <w:rPr>
          <w:rStyle w:val="FootnoteReference"/>
        </w:rPr>
        <w:footnoteReference w:id="18"/>
      </w:r>
      <w:r w:rsidRPr="00E80987">
        <w:t xml:space="preserve"> which used MedicineInsight data to examine osteoporosis management in general practice. DUSC noted there is evidence of lower bone mineral density (BMD) and increased risk of multiple vertebral fractures shortly after discontinuation of denosumab. </w:t>
      </w:r>
      <w:r>
        <w:t xml:space="preserve">Based on the findings of Naik-Panvelkar et al., </w:t>
      </w:r>
      <w:r w:rsidRPr="00E80987">
        <w:rPr>
          <w:rFonts w:cs="Calibri"/>
        </w:rPr>
        <w:t>DUSC requested a further review of the utilisation of denosumab for osteoporosis</w:t>
      </w:r>
      <w:r>
        <w:t xml:space="preserve"> to investigate patient management following discontinuation from denosumab</w:t>
      </w:r>
      <w:r w:rsidRPr="00E80987">
        <w:rPr>
          <w:rFonts w:cs="Calibri"/>
        </w:rPr>
        <w:t xml:space="preserve">. DUSC </w:t>
      </w:r>
      <w:r>
        <w:t>suggested</w:t>
      </w:r>
      <w:r w:rsidRPr="00E80987">
        <w:rPr>
          <w:rFonts w:cs="Calibri"/>
        </w:rPr>
        <w:t xml:space="preserve"> that NPS MedicineWise could be engaged to analyse the use of denosumab for osteoporosis using MedicineInsight data. </w:t>
      </w:r>
    </w:p>
    <w:p w14:paraId="2413B545" w14:textId="77777777" w:rsidR="002A36FB" w:rsidRPr="00015FE3" w:rsidRDefault="002A36FB" w:rsidP="002A36FB">
      <w:r w:rsidRPr="00015FE3">
        <w:t>DUSC considered the utilisation reports prepared by NPS Medicinewise for the October 2020 meeting using its MedicineInsight data and a 10% PBS sample. DUSC considered that the addition of MedicineInsight data to the reporting gave a useful perspective about patient management through primary care. The data limitation of some loss to follow-up of patients who are treated in settings outside the MedicineInsight sample and cannot be identified from probabilistic matching was acknowledged.</w:t>
      </w:r>
    </w:p>
    <w:p w14:paraId="4AA8D310" w14:textId="77777777" w:rsidR="002A36FB" w:rsidRPr="00B70163" w:rsidRDefault="002A36FB" w:rsidP="002A36FB">
      <w:r w:rsidRPr="00B70163">
        <w:lastRenderedPageBreak/>
        <w:t>DUSC noted that a lower proportion of patients were directly initiated on denosumab in the MedicineInsight study compared with the PBS 10% study. DUSC considered that this could indicate that specialists are more likely to start patients directly on denosumab than GPs.</w:t>
      </w:r>
    </w:p>
    <w:p w14:paraId="6213A9B3" w14:textId="77777777" w:rsidR="002A36FB" w:rsidRPr="00B70163" w:rsidRDefault="002A36FB" w:rsidP="002A36FB">
      <w:r w:rsidRPr="00B70163">
        <w:t xml:space="preserve">DUSC noted that only a low proportion of patients were identified as being treated with another osteoporosis drug during treatment breaks from denosumab therapy. Of the 11,533 patients from the PBS study who were started on denosumab (regardless of whether they had been dispensed a different osteoporosis medicine beforehand), 35.2% had a treatment break. During this break only 2.5% were covered by another prescription for osteoporosis therapy. </w:t>
      </w:r>
    </w:p>
    <w:p w14:paraId="7CD20F96" w14:textId="77777777" w:rsidR="002A36FB" w:rsidRPr="00702874" w:rsidRDefault="002A36FB" w:rsidP="002A36FB">
      <w:pPr>
        <w:rPr>
          <w:i/>
        </w:rPr>
      </w:pPr>
      <w:r w:rsidRPr="00290985">
        <w:t>DUSC noted that around one-third of patients in the PBS study and one-quarter of patients in the MedicineInsight study who were directly initiated on denosumab had ceased therapy by the end of the study period. DUSC noted that for both the PBS and MedicineInsight studies, only a low proportion of patients recommenced osteoporosis treatment.</w:t>
      </w:r>
      <w:r>
        <w:rPr>
          <w:i/>
        </w:rPr>
        <w:t xml:space="preserve"> </w:t>
      </w:r>
      <w:r w:rsidRPr="00702874">
        <w:t>Of the PBS patients who ceased denosumab only 5.0% had a subsequent record of osteoporosis treatment and of the MedicineInsight patients who ceased denosumab only 13.8% had a subsequent record of osteoporosis treatment</w:t>
      </w:r>
      <w:r w:rsidRPr="00702874">
        <w:rPr>
          <w:i/>
        </w:rPr>
        <w:t xml:space="preserve">. </w:t>
      </w:r>
    </w:p>
    <w:p w14:paraId="0244561F" w14:textId="77777777" w:rsidR="002A36FB" w:rsidRDefault="002A36FB" w:rsidP="002A36FB">
      <w:pPr>
        <w:rPr>
          <w:i/>
        </w:rPr>
      </w:pPr>
      <w:r w:rsidRPr="007D1350">
        <w:t xml:space="preserve">The duration of denosumab treatment </w:t>
      </w:r>
      <w:r w:rsidRPr="00A15237">
        <w:t>including</w:t>
      </w:r>
      <w:r w:rsidRPr="007D1350">
        <w:t xml:space="preserve"> treatment breaks was defined as the number of days between the date of the first prescription and the expected end of the last prescription or the 31 December 2019 (whichever came first). The expected end date of the last denosumab prescription was calculated as the date of the last prescription plus 180 days multiplied by {the number of repeats + 1</w:t>
      </w:r>
      <w:r w:rsidRPr="00290985">
        <w:t>}. DUSC considered this method may overestimate the time on longer acting therapy compared to bisphosphonates where there is the addition of 30 days compared to 180 days.</w:t>
      </w:r>
      <w:r>
        <w:rPr>
          <w:i/>
        </w:rPr>
        <w:t xml:space="preserve"> </w:t>
      </w:r>
    </w:p>
    <w:p w14:paraId="69387BFF" w14:textId="77777777" w:rsidR="002A36FB" w:rsidRDefault="002A36FB" w:rsidP="002A36FB">
      <w:pPr>
        <w:rPr>
          <w:i/>
        </w:rPr>
      </w:pPr>
      <w:r>
        <w:t>The PBS study examined the average treatment duration on a patient’s initiating therapy including breaks for patients who initiated an osteoporosis medicine between 2014 and 2017,</w:t>
      </w:r>
      <w:r w:rsidRPr="00C927CF">
        <w:t xml:space="preserve"> noting that some patients only had 18 months of follow-up available and others up to 5.5 years</w:t>
      </w:r>
      <w:r>
        <w:t xml:space="preserve">. A sensitivity analysis limited the population to only those who initiated therapy between 2014 and 2015, allowing a longer follow-up period to be assessed before the end of the study time period. </w:t>
      </w:r>
      <w:r w:rsidRPr="00617576">
        <w:t>DUSC considered that the discontinuation rate may have been overestimated by only including patient initiation up to 2017. DUSC commented that discontinuation rates may be different in more recent initiators, particularly with the trend towards a greater use of denosumab. DUSC further considered that it would be informative to separate the discontinuation analysis into different decades of life which may show differing ceasing patterns between age groups.</w:t>
      </w:r>
    </w:p>
    <w:p w14:paraId="2810A787" w14:textId="77777777" w:rsidR="002A36FB" w:rsidRPr="00617576" w:rsidRDefault="002A36FB" w:rsidP="002A36FB">
      <w:r w:rsidRPr="00617576">
        <w:t xml:space="preserve">DUSC considered that both the PBS and MedicineInsight studies confirm the prior research by Naik-Panvelkar et al. (2020) that a concerning proportion of patients discontinued denosumab without subsequent antiresorptive therapy, placing them at risk of further fractures. DUSC advised that consultation with consumers should be undertaken to better understand patient choices to cease their osteoporosis treatment. In particular whether discontinuation relates to drug interactions, if multiple medicines are taken for several comorbidities, or if there is aversion to having injections. DUSC also considered that prescriber education needed to further emphasize the importance of continuing </w:t>
      </w:r>
      <w:r w:rsidRPr="00617576">
        <w:lastRenderedPageBreak/>
        <w:t>osteoporosis treatment and to consider other treatment choices during breaks from denosumab therapy rather than having a gap in treatment.</w:t>
      </w:r>
    </w:p>
    <w:p w14:paraId="2F4AB102" w14:textId="61C44F50" w:rsidR="002A36FB" w:rsidRDefault="002A36FB" w:rsidP="002A36FB">
      <w:pPr>
        <w:pStyle w:val="Heading1"/>
      </w:pPr>
      <w:r>
        <w:t>DUSC actions</w:t>
      </w:r>
    </w:p>
    <w:p w14:paraId="660F6147" w14:textId="77777777" w:rsidR="002A36FB" w:rsidRPr="00617576" w:rsidRDefault="002A36FB" w:rsidP="002A36FB">
      <w:pPr>
        <w:pStyle w:val="ListParagraph"/>
        <w:numPr>
          <w:ilvl w:val="0"/>
          <w:numId w:val="23"/>
        </w:numPr>
        <w:spacing w:line="276" w:lineRule="auto"/>
        <w:rPr>
          <w:rFonts w:eastAsia="Calibri"/>
        </w:rPr>
      </w:pPr>
      <w:r w:rsidRPr="00617576">
        <w:rPr>
          <w:rFonts w:eastAsia="Calibri"/>
        </w:rPr>
        <w:t xml:space="preserve">DUSC requested that the report be provided to the PBAC for consideration. </w:t>
      </w:r>
    </w:p>
    <w:p w14:paraId="7713CBDD" w14:textId="096E8775" w:rsidR="002A36FB" w:rsidRPr="00617576" w:rsidRDefault="00AB1ACD" w:rsidP="002A36FB">
      <w:pPr>
        <w:pStyle w:val="ListParagraph"/>
        <w:numPr>
          <w:ilvl w:val="0"/>
          <w:numId w:val="23"/>
        </w:numPr>
        <w:spacing w:line="276" w:lineRule="auto"/>
        <w:rPr>
          <w:rFonts w:eastAsia="Calibri"/>
        </w:rPr>
      </w:pPr>
      <w:r>
        <w:rPr>
          <w:rFonts w:eastAsia="Calibri"/>
        </w:rPr>
        <w:t>DUSC requested that the</w:t>
      </w:r>
      <w:r w:rsidR="002A36FB" w:rsidRPr="00617576">
        <w:rPr>
          <w:rFonts w:eastAsia="Calibri"/>
        </w:rPr>
        <w:t xml:space="preserve"> consu</w:t>
      </w:r>
      <w:r>
        <w:rPr>
          <w:rFonts w:eastAsia="Calibri"/>
        </w:rPr>
        <w:t>mer representatives of DUSC</w:t>
      </w:r>
      <w:r w:rsidR="002A36FB" w:rsidRPr="00617576">
        <w:rPr>
          <w:rFonts w:eastAsia="Calibri"/>
        </w:rPr>
        <w:t xml:space="preserve"> engage with relevant consumer organisations about the QUM issues raised from the review.</w:t>
      </w:r>
    </w:p>
    <w:p w14:paraId="372A3B7F" w14:textId="77777777" w:rsidR="002A36FB" w:rsidRDefault="002A36FB" w:rsidP="002A36FB">
      <w:pPr>
        <w:pStyle w:val="Heading1"/>
      </w:pPr>
      <w:r w:rsidRPr="0092516A">
        <w:t>Context for analysis</w:t>
      </w:r>
    </w:p>
    <w:p w14:paraId="6A39479C" w14:textId="77777777" w:rsidR="002A36FB" w:rsidRDefault="002A36FB" w:rsidP="002A36FB">
      <w:r>
        <w:t>The DUSC is a Sub Committee of the Pharmaceutical Benefits Advisory Committee (PBAC). The DUSC assesses estimates on projected usage and financial cost of medicines.</w:t>
      </w:r>
    </w:p>
    <w:p w14:paraId="327D08A9" w14:textId="77777777" w:rsidR="002A36FB" w:rsidRDefault="002A36FB" w:rsidP="002A36F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1C1FED6" w14:textId="77777777" w:rsidR="002A36FB" w:rsidRDefault="002A36FB" w:rsidP="00152DD4">
      <w:pPr>
        <w:ind w:right="-115"/>
      </w:pPr>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A59F724" w14:textId="77777777" w:rsidR="002A36FB" w:rsidRDefault="002A36FB" w:rsidP="00152DD4">
      <w:pPr>
        <w:ind w:right="-115"/>
      </w:pPr>
      <w:r>
        <w:t>The utilisation analysis report was provided to the pharmaceutical sponsors of each drug and comments on the report were provided to DUSC prior to its consideration of the analysis.</w:t>
      </w:r>
    </w:p>
    <w:p w14:paraId="386AD7AE" w14:textId="0BB9E1D7" w:rsidR="002A36FB" w:rsidRDefault="002A36FB" w:rsidP="002A36FB">
      <w:pPr>
        <w:pStyle w:val="Heading1"/>
      </w:pPr>
      <w:r>
        <w:t>Sponsor</w:t>
      </w:r>
      <w:r w:rsidRPr="0092516A">
        <w:t>s</w:t>
      </w:r>
      <w:r>
        <w:t>’</w:t>
      </w:r>
      <w:r w:rsidRPr="0092516A">
        <w:t xml:space="preserve"> comments</w:t>
      </w:r>
    </w:p>
    <w:p w14:paraId="7519B1DF" w14:textId="66DDEB44" w:rsidR="002A36FB" w:rsidRPr="002A36FB" w:rsidRDefault="002A36FB" w:rsidP="002A36FB">
      <w:r w:rsidRPr="006F78E2">
        <w:t>Amgen Australia Pty Limited:</w:t>
      </w:r>
      <w:r w:rsidR="006947CF">
        <w:t xml:space="preserve"> </w:t>
      </w:r>
      <w:r w:rsidR="006F78E2">
        <w:t>Osteoporosis remains an underdiagnosed and undertreated condition in Australia.  The availability of denosumab has made a positive impact on osteoporosis care with improved treatment rates and persistence to therapy as noted in the DUSC analyses.  Amgen is committed to quality of care and continues to provide</w:t>
      </w:r>
      <w:r w:rsidR="006F78E2" w:rsidRPr="009B6A1E">
        <w:t xml:space="preserve"> education and</w:t>
      </w:r>
      <w:r w:rsidR="006F78E2">
        <w:t xml:space="preserve"> </w:t>
      </w:r>
      <w:r w:rsidR="006F78E2" w:rsidRPr="009B6A1E">
        <w:t>programs</w:t>
      </w:r>
      <w:r w:rsidR="006F78E2">
        <w:t xml:space="preserve"> to address the QUM finding from this review.</w:t>
      </w:r>
    </w:p>
    <w:p w14:paraId="516959A3" w14:textId="77777777" w:rsidR="002A36FB" w:rsidRDefault="002A36FB" w:rsidP="002A36FB">
      <w:pPr>
        <w:pStyle w:val="Heading1"/>
      </w:pPr>
      <w:r w:rsidRPr="00A4020E">
        <w:t>Disclaimer</w:t>
      </w:r>
    </w:p>
    <w:p w14:paraId="51A0A3D8" w14:textId="77777777" w:rsidR="002A36FB" w:rsidRDefault="002A36FB" w:rsidP="002A36F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ABA894F" w14:textId="77777777" w:rsidR="002A36FB" w:rsidRDefault="002A36FB" w:rsidP="00152DD4">
      <w:pPr>
        <w:ind w:right="-257"/>
      </w:pPr>
      <w:r>
        <w:lastRenderedPageBreak/>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01326E80" w14:textId="77777777" w:rsidR="002A36FB" w:rsidRDefault="002A36FB" w:rsidP="002A36FB">
      <w:r>
        <w:t xml:space="preserve">To the extent provided by law, DoH makes no warranties or representations as to accuracy or completeness of information contained in this report. </w:t>
      </w:r>
    </w:p>
    <w:p w14:paraId="06C5CCF7" w14:textId="77777777" w:rsidR="002A36FB" w:rsidRDefault="002A36FB" w:rsidP="00152DD4">
      <w:pPr>
        <w:ind w:right="-257"/>
      </w:pPr>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5D65B04" w14:textId="1BF738A5" w:rsidR="00FE645A" w:rsidRDefault="00FE645A">
      <w:pPr>
        <w:spacing w:line="276" w:lineRule="auto"/>
      </w:pPr>
      <w:r>
        <w:br w:type="page"/>
      </w:r>
    </w:p>
    <w:p w14:paraId="13C0EB95" w14:textId="3C34A46F" w:rsidR="0025173D" w:rsidRPr="00C54C7A" w:rsidRDefault="009A537C" w:rsidP="0025173D">
      <w:pPr>
        <w:rPr>
          <w:b/>
          <w:sz w:val="28"/>
          <w:vertAlign w:val="superscript"/>
        </w:rPr>
      </w:pPr>
      <w:r>
        <w:rPr>
          <w:b/>
          <w:sz w:val="28"/>
        </w:rPr>
        <w:lastRenderedPageBreak/>
        <w:t xml:space="preserve">Appendix A: </w:t>
      </w:r>
      <w:r w:rsidR="0025173D" w:rsidRPr="00027898">
        <w:rPr>
          <w:b/>
          <w:sz w:val="28"/>
        </w:rPr>
        <w:t>Pharmacology</w:t>
      </w:r>
      <w:r w:rsidR="0025173D">
        <w:rPr>
          <w:b/>
          <w:sz w:val="28"/>
        </w:rPr>
        <w:t xml:space="preserve"> as per Australian Product Information and the Australian Medicine Handbook</w:t>
      </w:r>
      <w:r w:rsidR="00C54C7A">
        <w:rPr>
          <w:b/>
          <w:sz w:val="28"/>
          <w:vertAlign w:val="superscript"/>
        </w:rPr>
        <w:t>2</w:t>
      </w:r>
    </w:p>
    <w:p w14:paraId="6B1A5C90" w14:textId="77777777" w:rsidR="0025173D" w:rsidRDefault="0025173D" w:rsidP="0025173D">
      <w:r>
        <w:t xml:space="preserve">Bisphosphonates slow bone loss by reducing bone resorption. In addition, they bind strongly to bone mineral, thus forming a depot from which they are released as the bisphosphonate-containing bone is remodelled. </w:t>
      </w:r>
    </w:p>
    <w:p w14:paraId="6D5DEB4F" w14:textId="77777777" w:rsidR="0025173D" w:rsidRDefault="0025173D" w:rsidP="00152DD4">
      <w:pPr>
        <w:ind w:right="-399"/>
      </w:pPr>
      <w:r>
        <w:t xml:space="preserve">Denosumab is a fully human IgG2 monoclonal antibody, which binds to </w:t>
      </w:r>
      <w:bookmarkStart w:id="9" w:name="_GoBack"/>
      <w:r>
        <w:t>the proteins responsible for bone resorption. This decreases bone resorption and increases bone mass and strength.</w:t>
      </w:r>
      <w:bookmarkEnd w:id="9"/>
    </w:p>
    <w:p w14:paraId="47191E39" w14:textId="77777777" w:rsidR="0025173D" w:rsidRDefault="0025173D" w:rsidP="0025173D">
      <w:r>
        <w:t xml:space="preserve">Raloxifene is a selective oestrogen receptor modulator that has been shown to prevent postmenopausal bone loss. It is an alternative drug for women with postmenopausal osteoporosis. </w:t>
      </w:r>
    </w:p>
    <w:p w14:paraId="29A95989" w14:textId="77777777" w:rsidR="0025173D" w:rsidRDefault="0025173D" w:rsidP="0025173D">
      <w:r>
        <w:t xml:space="preserve">Strontium ranelate acts by uncoupling bone resorption and formation. </w:t>
      </w:r>
    </w:p>
    <w:p w14:paraId="60DC94AA" w14:textId="77777777" w:rsidR="0025173D" w:rsidRDefault="0025173D" w:rsidP="0025173D">
      <w:r>
        <w:t>Teriparatide is a synthetic form of human parathyroid hormone (</w:t>
      </w:r>
      <w:r>
        <w:rPr>
          <w:rStyle w:val="abbreviation"/>
        </w:rPr>
        <w:t>PTH</w:t>
      </w:r>
      <w:r>
        <w:t xml:space="preserve">) and acts by increasing bone formation. </w:t>
      </w:r>
    </w:p>
    <w:p w14:paraId="09402AEF" w14:textId="50C58D85" w:rsidR="0025173D" w:rsidRDefault="0025173D" w:rsidP="0025173D">
      <w:r>
        <w:t>Calcium supplementation may reduce the rate of bone loss, particularly in late menopausal women with low dietary intake and without previous fragility fractures. The biologically active form of Vitamin D is responsible for endocrine functions for maintaining calcium homeostasis.</w:t>
      </w:r>
    </w:p>
    <w:p w14:paraId="059CAB7E" w14:textId="77777777" w:rsidR="00812493" w:rsidRDefault="00812493" w:rsidP="00812493">
      <w:pPr>
        <w:pStyle w:val="Figurecaption"/>
        <w:rPr>
          <w:b/>
          <w:sz w:val="28"/>
          <w:szCs w:val="28"/>
        </w:rPr>
      </w:pPr>
      <w:r>
        <w:rPr>
          <w:b/>
          <w:sz w:val="28"/>
          <w:szCs w:val="28"/>
        </w:rPr>
        <w:t xml:space="preserve">Appendix B: Osteoporosis drugs listing history </w:t>
      </w:r>
    </w:p>
    <w:p w14:paraId="666BC69B" w14:textId="77777777" w:rsidR="00812493" w:rsidRDefault="00812493" w:rsidP="00812493">
      <w:pPr>
        <w:pStyle w:val="Figurecaption"/>
        <w:rPr>
          <w:b/>
          <w:sz w:val="28"/>
          <w:szCs w:val="28"/>
        </w:rPr>
      </w:pPr>
    </w:p>
    <w:tbl>
      <w:tblPr>
        <w:tblW w:w="8987" w:type="dxa"/>
        <w:tblInd w:w="93" w:type="dxa"/>
        <w:tblLook w:val="0000" w:firstRow="0" w:lastRow="0" w:firstColumn="0" w:lastColumn="0" w:noHBand="0" w:noVBand="0"/>
      </w:tblPr>
      <w:tblGrid>
        <w:gridCol w:w="1106"/>
        <w:gridCol w:w="3912"/>
        <w:gridCol w:w="3969"/>
      </w:tblGrid>
      <w:tr w:rsidR="00812493" w:rsidRPr="00D154AF" w14:paraId="13B6545B" w14:textId="77777777" w:rsidTr="00A41887">
        <w:trPr>
          <w:trHeight w:val="255"/>
        </w:trPr>
        <w:tc>
          <w:tcPr>
            <w:tcW w:w="1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FAF0D3D" w14:textId="77777777" w:rsidR="00812493" w:rsidRPr="00D154AF" w:rsidRDefault="00812493" w:rsidP="00A41887">
            <w:pPr>
              <w:pStyle w:val="BodyText1"/>
              <w:rPr>
                <w:b/>
                <w:lang w:val="en-US" w:eastAsia="en-US"/>
              </w:rPr>
            </w:pPr>
            <w:r w:rsidRPr="00D154AF">
              <w:rPr>
                <w:b/>
                <w:lang w:val="en-US" w:eastAsia="en-US"/>
              </w:rPr>
              <w:t>Date</w:t>
            </w:r>
          </w:p>
        </w:tc>
        <w:tc>
          <w:tcPr>
            <w:tcW w:w="39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9BAA57" w14:textId="77777777" w:rsidR="00812493" w:rsidRPr="00D154AF" w:rsidRDefault="00812493" w:rsidP="00A41887">
            <w:pPr>
              <w:pStyle w:val="BodyText1"/>
              <w:rPr>
                <w:b/>
                <w:lang w:val="en-US" w:eastAsia="en-US"/>
              </w:rPr>
            </w:pPr>
            <w:r w:rsidRPr="00D154AF">
              <w:rPr>
                <w:b/>
                <w:lang w:val="en-US" w:eastAsia="en-US"/>
              </w:rPr>
              <w:t>Drug</w:t>
            </w: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3E28287" w14:textId="77777777" w:rsidR="00812493" w:rsidRPr="00D154AF" w:rsidRDefault="00812493" w:rsidP="00A41887">
            <w:pPr>
              <w:pStyle w:val="BodyText1"/>
              <w:rPr>
                <w:b/>
                <w:lang w:val="en-US" w:eastAsia="en-US"/>
              </w:rPr>
            </w:pPr>
            <w:r w:rsidRPr="00D154AF">
              <w:rPr>
                <w:b/>
                <w:lang w:val="en-US" w:eastAsia="en-US"/>
              </w:rPr>
              <w:t>Detail</w:t>
            </w:r>
          </w:p>
        </w:tc>
      </w:tr>
      <w:tr w:rsidR="00812493" w:rsidRPr="00D154AF" w14:paraId="73050D24"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4CEDC55" w14:textId="77777777" w:rsidR="00812493" w:rsidRPr="00D154AF" w:rsidRDefault="00812493" w:rsidP="00A41887">
            <w:pPr>
              <w:pStyle w:val="BodyText1"/>
              <w:rPr>
                <w:lang w:val="en-US" w:eastAsia="en-US"/>
              </w:rPr>
            </w:pPr>
            <w:r w:rsidRPr="00D154AF">
              <w:rPr>
                <w:lang w:val="en-US" w:eastAsia="en-US"/>
              </w:rPr>
              <w:t>1/12/1991</w:t>
            </w:r>
          </w:p>
        </w:tc>
        <w:tc>
          <w:tcPr>
            <w:tcW w:w="3912" w:type="dxa"/>
            <w:tcBorders>
              <w:top w:val="nil"/>
              <w:left w:val="nil"/>
              <w:bottom w:val="single" w:sz="4" w:space="0" w:color="auto"/>
              <w:right w:val="single" w:sz="4" w:space="0" w:color="auto"/>
            </w:tcBorders>
            <w:shd w:val="clear" w:color="auto" w:fill="auto"/>
            <w:vAlign w:val="center"/>
          </w:tcPr>
          <w:p w14:paraId="1EE78857" w14:textId="77777777" w:rsidR="00812493" w:rsidRPr="00D154AF" w:rsidRDefault="00812493" w:rsidP="00A41887">
            <w:pPr>
              <w:pStyle w:val="BodyText1"/>
              <w:rPr>
                <w:lang w:val="en-US" w:eastAsia="en-US"/>
              </w:rPr>
            </w:pPr>
            <w:r w:rsidRPr="00D154AF">
              <w:rPr>
                <w:lang w:val="en-US" w:eastAsia="en-US"/>
              </w:rPr>
              <w:t>CALCITRIOL</w:t>
            </w:r>
          </w:p>
        </w:tc>
        <w:tc>
          <w:tcPr>
            <w:tcW w:w="3969" w:type="dxa"/>
            <w:tcBorders>
              <w:top w:val="nil"/>
              <w:left w:val="nil"/>
              <w:bottom w:val="single" w:sz="4" w:space="0" w:color="auto"/>
              <w:right w:val="single" w:sz="4" w:space="0" w:color="auto"/>
            </w:tcBorders>
            <w:shd w:val="clear" w:color="auto" w:fill="auto"/>
            <w:vAlign w:val="center"/>
          </w:tcPr>
          <w:p w14:paraId="336634D1" w14:textId="77777777" w:rsidR="00812493" w:rsidRPr="00D154AF" w:rsidRDefault="00812493" w:rsidP="00A41887">
            <w:pPr>
              <w:pStyle w:val="BodyText1"/>
              <w:rPr>
                <w:lang w:val="en-US" w:eastAsia="en-US"/>
              </w:rPr>
            </w:pPr>
            <w:r w:rsidRPr="00D154AF">
              <w:rPr>
                <w:lang w:val="en-US" w:eastAsia="en-US"/>
              </w:rPr>
              <w:t>Listed on PBS for established osteoporosis in patients with fracture due to minimal trauma</w:t>
            </w:r>
          </w:p>
        </w:tc>
      </w:tr>
      <w:tr w:rsidR="00812493" w:rsidRPr="00D154AF" w14:paraId="519701B0"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3D60867" w14:textId="77777777" w:rsidR="00812493" w:rsidRPr="00D154AF" w:rsidRDefault="00812493" w:rsidP="00A41887">
            <w:pPr>
              <w:pStyle w:val="BodyText1"/>
              <w:rPr>
                <w:lang w:val="en-US" w:eastAsia="en-US"/>
              </w:rPr>
            </w:pPr>
            <w:r w:rsidRPr="00D154AF">
              <w:rPr>
                <w:lang w:val="en-US" w:eastAsia="en-US"/>
              </w:rPr>
              <w:t>1/08/1996</w:t>
            </w:r>
          </w:p>
        </w:tc>
        <w:tc>
          <w:tcPr>
            <w:tcW w:w="3912" w:type="dxa"/>
            <w:tcBorders>
              <w:top w:val="nil"/>
              <w:left w:val="nil"/>
              <w:bottom w:val="single" w:sz="4" w:space="0" w:color="auto"/>
              <w:right w:val="single" w:sz="4" w:space="0" w:color="auto"/>
            </w:tcBorders>
            <w:shd w:val="clear" w:color="auto" w:fill="auto"/>
            <w:vAlign w:val="center"/>
          </w:tcPr>
          <w:p w14:paraId="650D27AA" w14:textId="77777777" w:rsidR="00812493" w:rsidRPr="00D154AF" w:rsidRDefault="00812493" w:rsidP="00A41887">
            <w:pPr>
              <w:pStyle w:val="BodyText1"/>
              <w:rPr>
                <w:lang w:val="en-US" w:eastAsia="en-US"/>
              </w:rPr>
            </w:pPr>
            <w:r w:rsidRPr="00D154AF">
              <w:rPr>
                <w:lang w:val="en-US" w:eastAsia="en-US"/>
              </w:rPr>
              <w:t>DISODIUM ETIDRONATE and CALCIUM CARBONATE</w:t>
            </w:r>
          </w:p>
        </w:tc>
        <w:tc>
          <w:tcPr>
            <w:tcW w:w="3969" w:type="dxa"/>
            <w:tcBorders>
              <w:top w:val="nil"/>
              <w:left w:val="nil"/>
              <w:bottom w:val="single" w:sz="4" w:space="0" w:color="auto"/>
              <w:right w:val="single" w:sz="4" w:space="0" w:color="auto"/>
            </w:tcBorders>
            <w:shd w:val="clear" w:color="auto" w:fill="auto"/>
            <w:vAlign w:val="center"/>
          </w:tcPr>
          <w:p w14:paraId="44B79334" w14:textId="77777777" w:rsidR="00812493" w:rsidRPr="00D154AF" w:rsidRDefault="00812493" w:rsidP="00A41887">
            <w:pPr>
              <w:pStyle w:val="BodyText1"/>
              <w:rPr>
                <w:lang w:val="en-US" w:eastAsia="en-US"/>
              </w:rPr>
            </w:pPr>
            <w:r w:rsidRPr="00D154AF">
              <w:rPr>
                <w:lang w:val="en-US" w:eastAsia="en-US"/>
              </w:rPr>
              <w:t>Listed on PBS on a cost-minimisation basis with calcitriol for established osteoporosis in patients with fracture due to minimal trauma</w:t>
            </w:r>
          </w:p>
        </w:tc>
      </w:tr>
      <w:tr w:rsidR="00812493" w:rsidRPr="00D154AF" w14:paraId="670C63EB"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928A7F0" w14:textId="77777777" w:rsidR="00812493" w:rsidRPr="00D154AF" w:rsidRDefault="00812493" w:rsidP="00A41887">
            <w:pPr>
              <w:pStyle w:val="BodyText1"/>
              <w:rPr>
                <w:lang w:val="en-US" w:eastAsia="en-US"/>
              </w:rPr>
            </w:pPr>
            <w:r w:rsidRPr="00D154AF">
              <w:rPr>
                <w:lang w:val="en-US" w:eastAsia="en-US"/>
              </w:rPr>
              <w:t>1/11/1996</w:t>
            </w:r>
          </w:p>
        </w:tc>
        <w:tc>
          <w:tcPr>
            <w:tcW w:w="3912" w:type="dxa"/>
            <w:tcBorders>
              <w:top w:val="nil"/>
              <w:left w:val="nil"/>
              <w:bottom w:val="single" w:sz="4" w:space="0" w:color="auto"/>
              <w:right w:val="single" w:sz="4" w:space="0" w:color="auto"/>
            </w:tcBorders>
            <w:shd w:val="clear" w:color="auto" w:fill="auto"/>
            <w:vAlign w:val="center"/>
          </w:tcPr>
          <w:p w14:paraId="17BF645A" w14:textId="77777777" w:rsidR="00812493" w:rsidRPr="00D154AF" w:rsidRDefault="00812493" w:rsidP="00A41887">
            <w:pPr>
              <w:pStyle w:val="BodyText1"/>
              <w:rPr>
                <w:lang w:val="en-US" w:eastAsia="en-US"/>
              </w:rPr>
            </w:pPr>
            <w:r w:rsidRPr="00D154AF">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14:paraId="24799315" w14:textId="77777777" w:rsidR="00812493" w:rsidRPr="00D154AF" w:rsidRDefault="00812493" w:rsidP="00A41887">
            <w:pPr>
              <w:pStyle w:val="BodyText1"/>
              <w:rPr>
                <w:lang w:val="en-US" w:eastAsia="en-US"/>
              </w:rPr>
            </w:pPr>
            <w:r w:rsidRPr="00D154AF">
              <w:rPr>
                <w:lang w:val="en-US" w:eastAsia="en-US"/>
              </w:rPr>
              <w:t>Listed on PBS on a cost-effectiveness basis with calcitriol for established post-menopausal osteoporosis in patients with fracture due to minimal trauma</w:t>
            </w:r>
          </w:p>
        </w:tc>
      </w:tr>
      <w:tr w:rsidR="00812493" w:rsidRPr="00D154AF" w14:paraId="2851A41F"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1621FA9" w14:textId="77777777" w:rsidR="00812493" w:rsidRPr="00D154AF" w:rsidRDefault="00812493" w:rsidP="00A41887">
            <w:pPr>
              <w:pStyle w:val="BodyText1"/>
              <w:rPr>
                <w:lang w:val="en-US" w:eastAsia="en-US"/>
              </w:rPr>
            </w:pPr>
            <w:r w:rsidRPr="00D154AF">
              <w:rPr>
                <w:lang w:val="en-US" w:eastAsia="en-US"/>
              </w:rPr>
              <w:t>1/11/1999</w:t>
            </w:r>
          </w:p>
        </w:tc>
        <w:tc>
          <w:tcPr>
            <w:tcW w:w="3912" w:type="dxa"/>
            <w:tcBorders>
              <w:top w:val="nil"/>
              <w:left w:val="nil"/>
              <w:bottom w:val="single" w:sz="4" w:space="0" w:color="auto"/>
              <w:right w:val="single" w:sz="4" w:space="0" w:color="auto"/>
            </w:tcBorders>
            <w:shd w:val="clear" w:color="auto" w:fill="auto"/>
            <w:vAlign w:val="center"/>
          </w:tcPr>
          <w:p w14:paraId="0C6588D0" w14:textId="77777777" w:rsidR="00812493" w:rsidRPr="00D154AF" w:rsidRDefault="00812493" w:rsidP="00A41887">
            <w:pPr>
              <w:pStyle w:val="BodyText1"/>
              <w:rPr>
                <w:lang w:val="en-US" w:eastAsia="en-US"/>
              </w:rPr>
            </w:pPr>
            <w:r w:rsidRPr="00D154AF">
              <w:rPr>
                <w:lang w:val="en-US" w:eastAsia="en-US"/>
              </w:rPr>
              <w:t>RALOXIFENE HYDROCHLORIDE</w:t>
            </w:r>
          </w:p>
        </w:tc>
        <w:tc>
          <w:tcPr>
            <w:tcW w:w="3969" w:type="dxa"/>
            <w:tcBorders>
              <w:top w:val="nil"/>
              <w:left w:val="nil"/>
              <w:bottom w:val="single" w:sz="4" w:space="0" w:color="auto"/>
              <w:right w:val="single" w:sz="4" w:space="0" w:color="auto"/>
            </w:tcBorders>
            <w:shd w:val="clear" w:color="auto" w:fill="auto"/>
            <w:vAlign w:val="center"/>
          </w:tcPr>
          <w:p w14:paraId="2E3E550D" w14:textId="77777777" w:rsidR="00812493" w:rsidRPr="00D154AF" w:rsidRDefault="00812493" w:rsidP="00A41887">
            <w:pPr>
              <w:pStyle w:val="BodyText1"/>
              <w:rPr>
                <w:lang w:val="en-US" w:eastAsia="en-US"/>
              </w:rPr>
            </w:pPr>
            <w:r w:rsidRPr="00D154AF">
              <w:rPr>
                <w:lang w:val="en-US" w:eastAsia="en-US"/>
              </w:rPr>
              <w:t>Listed on PBS on a cost-minimisation basis with alendronate for established post-menopausal osteoporosis in patients with fracture due to minimal trauma</w:t>
            </w:r>
          </w:p>
        </w:tc>
      </w:tr>
      <w:tr w:rsidR="00812493" w:rsidRPr="00D154AF" w14:paraId="1EADF0C5"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F120F47" w14:textId="77777777" w:rsidR="00812493" w:rsidRPr="00D154AF" w:rsidRDefault="00812493" w:rsidP="00A41887">
            <w:pPr>
              <w:pStyle w:val="BodyText1"/>
              <w:rPr>
                <w:lang w:val="en-US" w:eastAsia="en-US"/>
              </w:rPr>
            </w:pPr>
            <w:r w:rsidRPr="00D154AF">
              <w:rPr>
                <w:lang w:val="en-US" w:eastAsia="en-US"/>
              </w:rPr>
              <w:t>1/02/2001</w:t>
            </w:r>
          </w:p>
        </w:tc>
        <w:tc>
          <w:tcPr>
            <w:tcW w:w="3912" w:type="dxa"/>
            <w:tcBorders>
              <w:top w:val="nil"/>
              <w:left w:val="nil"/>
              <w:bottom w:val="single" w:sz="4" w:space="0" w:color="auto"/>
              <w:right w:val="single" w:sz="4" w:space="0" w:color="auto"/>
            </w:tcBorders>
            <w:shd w:val="clear" w:color="auto" w:fill="auto"/>
            <w:vAlign w:val="center"/>
          </w:tcPr>
          <w:p w14:paraId="52E104B6" w14:textId="77777777" w:rsidR="00812493" w:rsidRPr="00D154AF" w:rsidRDefault="00812493" w:rsidP="00A41887">
            <w:pPr>
              <w:pStyle w:val="BodyText1"/>
              <w:rPr>
                <w:lang w:val="en-US" w:eastAsia="en-US"/>
              </w:rPr>
            </w:pPr>
            <w:r w:rsidRPr="00D154AF">
              <w:rPr>
                <w:lang w:val="en-US" w:eastAsia="en-US"/>
              </w:rPr>
              <w:t>RISEDRONATE</w:t>
            </w:r>
          </w:p>
        </w:tc>
        <w:tc>
          <w:tcPr>
            <w:tcW w:w="3969" w:type="dxa"/>
            <w:tcBorders>
              <w:top w:val="nil"/>
              <w:left w:val="nil"/>
              <w:bottom w:val="single" w:sz="4" w:space="0" w:color="auto"/>
              <w:right w:val="single" w:sz="4" w:space="0" w:color="auto"/>
            </w:tcBorders>
            <w:shd w:val="clear" w:color="auto" w:fill="auto"/>
            <w:vAlign w:val="center"/>
          </w:tcPr>
          <w:p w14:paraId="1D7EA5DE" w14:textId="77777777" w:rsidR="00812493" w:rsidRPr="00D154AF" w:rsidRDefault="00812493" w:rsidP="00A41887">
            <w:pPr>
              <w:pStyle w:val="BodyText1"/>
              <w:rPr>
                <w:lang w:val="en-US" w:eastAsia="en-US"/>
              </w:rPr>
            </w:pPr>
            <w:r w:rsidRPr="00D154AF">
              <w:rPr>
                <w:lang w:val="en-US" w:eastAsia="en-US"/>
              </w:rPr>
              <w:t xml:space="preserve">Listed on PBS on a cost-minimisation basis with alendronate for established </w:t>
            </w:r>
            <w:r w:rsidRPr="00D154AF">
              <w:rPr>
                <w:lang w:val="en-US" w:eastAsia="en-US"/>
              </w:rPr>
              <w:lastRenderedPageBreak/>
              <w:t>post-menopausal osteoporosis in patients with fracture due to minimal trauma</w:t>
            </w:r>
          </w:p>
        </w:tc>
      </w:tr>
      <w:tr w:rsidR="00812493" w:rsidRPr="00D154AF" w14:paraId="7D315175"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1FA751C" w14:textId="77777777" w:rsidR="00812493" w:rsidRPr="00D154AF" w:rsidRDefault="00812493" w:rsidP="00A41887">
            <w:pPr>
              <w:pStyle w:val="BodyText1"/>
              <w:rPr>
                <w:lang w:val="en-US" w:eastAsia="en-US"/>
              </w:rPr>
            </w:pPr>
            <w:r w:rsidRPr="00D154AF">
              <w:rPr>
                <w:lang w:val="en-US" w:eastAsia="en-US"/>
              </w:rPr>
              <w:lastRenderedPageBreak/>
              <w:t>1/12/2005</w:t>
            </w:r>
          </w:p>
        </w:tc>
        <w:tc>
          <w:tcPr>
            <w:tcW w:w="3912" w:type="dxa"/>
            <w:tcBorders>
              <w:top w:val="nil"/>
              <w:left w:val="nil"/>
              <w:bottom w:val="single" w:sz="4" w:space="0" w:color="auto"/>
              <w:right w:val="single" w:sz="4" w:space="0" w:color="auto"/>
            </w:tcBorders>
            <w:shd w:val="clear" w:color="auto" w:fill="auto"/>
            <w:vAlign w:val="center"/>
          </w:tcPr>
          <w:p w14:paraId="506B67D9" w14:textId="77777777" w:rsidR="00812493" w:rsidRPr="00D154AF" w:rsidRDefault="00812493" w:rsidP="00A41887">
            <w:pPr>
              <w:pStyle w:val="BodyText1"/>
              <w:rPr>
                <w:lang w:val="en-US" w:eastAsia="en-US"/>
              </w:rPr>
            </w:pPr>
            <w:r w:rsidRPr="00D154AF">
              <w:rPr>
                <w:lang w:val="en-US" w:eastAsia="en-US"/>
              </w:rPr>
              <w:t>CALCIUM</w:t>
            </w:r>
          </w:p>
        </w:tc>
        <w:tc>
          <w:tcPr>
            <w:tcW w:w="3969" w:type="dxa"/>
            <w:tcBorders>
              <w:top w:val="nil"/>
              <w:left w:val="nil"/>
              <w:bottom w:val="single" w:sz="4" w:space="0" w:color="auto"/>
              <w:right w:val="single" w:sz="4" w:space="0" w:color="auto"/>
            </w:tcBorders>
            <w:shd w:val="clear" w:color="auto" w:fill="auto"/>
            <w:vAlign w:val="center"/>
          </w:tcPr>
          <w:p w14:paraId="437BBDE8" w14:textId="77777777" w:rsidR="00812493" w:rsidRPr="00D154AF" w:rsidRDefault="00812493" w:rsidP="00A41887">
            <w:pPr>
              <w:pStyle w:val="BodyText1"/>
              <w:rPr>
                <w:lang w:val="en-US" w:eastAsia="en-US"/>
              </w:rPr>
            </w:pPr>
            <w:r w:rsidRPr="00D154AF">
              <w:rPr>
                <w:lang w:val="en-US" w:eastAsia="en-US"/>
              </w:rPr>
              <w:t xml:space="preserve">Delisting of calcium for patients other than those with chronic renal failure </w:t>
            </w:r>
          </w:p>
        </w:tc>
      </w:tr>
      <w:tr w:rsidR="00812493" w:rsidRPr="00D154AF" w14:paraId="1740F0EE"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80EF016" w14:textId="77777777" w:rsidR="00812493" w:rsidRPr="00D154AF" w:rsidRDefault="00812493" w:rsidP="00A41887">
            <w:pPr>
              <w:pStyle w:val="BodyText1"/>
              <w:rPr>
                <w:lang w:val="en-US" w:eastAsia="en-US"/>
              </w:rPr>
            </w:pPr>
            <w:r w:rsidRPr="00D154AF">
              <w:rPr>
                <w:lang w:val="en-US" w:eastAsia="en-US"/>
              </w:rPr>
              <w:t>1/04/2006</w:t>
            </w:r>
          </w:p>
        </w:tc>
        <w:tc>
          <w:tcPr>
            <w:tcW w:w="3912" w:type="dxa"/>
            <w:tcBorders>
              <w:top w:val="nil"/>
              <w:left w:val="nil"/>
              <w:bottom w:val="single" w:sz="4" w:space="0" w:color="auto"/>
              <w:right w:val="single" w:sz="4" w:space="0" w:color="auto"/>
            </w:tcBorders>
            <w:shd w:val="clear" w:color="auto" w:fill="auto"/>
            <w:vAlign w:val="center"/>
          </w:tcPr>
          <w:p w14:paraId="201D5C21" w14:textId="77777777" w:rsidR="00812493" w:rsidRPr="00D154AF" w:rsidRDefault="00812493" w:rsidP="00A41887">
            <w:pPr>
              <w:pStyle w:val="BodyText1"/>
              <w:rPr>
                <w:lang w:val="en-US" w:eastAsia="en-US"/>
              </w:rPr>
            </w:pPr>
            <w:r w:rsidRPr="00D154AF">
              <w:rPr>
                <w:lang w:val="en-US" w:eastAsia="en-US"/>
              </w:rPr>
              <w:t>ALENDRONATE (</w:t>
            </w:r>
            <w:r w:rsidRPr="00D154AF">
              <w:rPr>
                <w:lang w:eastAsia="en-US"/>
              </w:rPr>
              <w:t>70 mg tabs)</w:t>
            </w:r>
            <w:r w:rsidRPr="00D154AF">
              <w:rPr>
                <w:lang w:val="en-US" w:eastAsia="en-US"/>
              </w:rPr>
              <w:t>, RISEDRONATE (</w:t>
            </w:r>
            <w:r w:rsidRPr="00D154AF">
              <w:rPr>
                <w:lang w:eastAsia="en-US"/>
              </w:rPr>
              <w:t>5 mg and 35 mg tabs)</w:t>
            </w:r>
            <w:r w:rsidRPr="00D154AF">
              <w:rPr>
                <w:lang w:val="en-US" w:eastAsia="en-US"/>
              </w:rPr>
              <w:t>, RALOXIFENE HYDROCHLORIDE (</w:t>
            </w:r>
            <w:r w:rsidRPr="00D154AF">
              <w:rPr>
                <w:lang w:eastAsia="en-US"/>
              </w:rPr>
              <w:t>60 mg)</w:t>
            </w:r>
            <w:r w:rsidRPr="00D154AF">
              <w:rPr>
                <w:lang w:val="en-US" w:eastAsia="en-US"/>
              </w:rPr>
              <w:t>, DISODIUM ETIDRONATE, CALCITRIOL</w:t>
            </w:r>
          </w:p>
        </w:tc>
        <w:tc>
          <w:tcPr>
            <w:tcW w:w="3969" w:type="dxa"/>
            <w:tcBorders>
              <w:top w:val="nil"/>
              <w:left w:val="nil"/>
              <w:bottom w:val="single" w:sz="4" w:space="0" w:color="auto"/>
              <w:right w:val="single" w:sz="4" w:space="0" w:color="auto"/>
            </w:tcBorders>
            <w:shd w:val="clear" w:color="auto" w:fill="auto"/>
            <w:vAlign w:val="center"/>
          </w:tcPr>
          <w:p w14:paraId="21641331" w14:textId="77777777" w:rsidR="00812493" w:rsidRPr="00D154AF" w:rsidRDefault="00812493" w:rsidP="00A41887">
            <w:pPr>
              <w:pStyle w:val="BodyText1"/>
              <w:rPr>
                <w:lang w:val="en-US" w:eastAsia="en-US"/>
              </w:rPr>
            </w:pPr>
            <w:r w:rsidRPr="00D154AF">
              <w:rPr>
                <w:lang w:val="en-US" w:eastAsia="en-US"/>
              </w:rPr>
              <w:t>Restriction amended to sole therapy for established osteoporosis</w:t>
            </w:r>
          </w:p>
        </w:tc>
      </w:tr>
      <w:tr w:rsidR="00812493" w:rsidRPr="00D154AF" w14:paraId="5AE5872B"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167A1CB" w14:textId="77777777" w:rsidR="00812493" w:rsidRPr="00D154AF" w:rsidRDefault="00812493" w:rsidP="00A41887">
            <w:pPr>
              <w:pStyle w:val="BodyText1"/>
              <w:rPr>
                <w:lang w:val="en-US" w:eastAsia="en-US"/>
              </w:rPr>
            </w:pPr>
            <w:r w:rsidRPr="00D154AF">
              <w:rPr>
                <w:lang w:val="en-US" w:eastAsia="en-US"/>
              </w:rPr>
              <w:t>1/04/2006</w:t>
            </w:r>
          </w:p>
        </w:tc>
        <w:tc>
          <w:tcPr>
            <w:tcW w:w="3912" w:type="dxa"/>
            <w:tcBorders>
              <w:top w:val="nil"/>
              <w:left w:val="nil"/>
              <w:bottom w:val="single" w:sz="4" w:space="0" w:color="auto"/>
              <w:right w:val="single" w:sz="4" w:space="0" w:color="auto"/>
            </w:tcBorders>
            <w:shd w:val="clear" w:color="auto" w:fill="auto"/>
            <w:vAlign w:val="center"/>
          </w:tcPr>
          <w:p w14:paraId="6FB6BF96" w14:textId="77777777" w:rsidR="00812493" w:rsidRPr="00D154AF" w:rsidRDefault="00812493" w:rsidP="00A41887">
            <w:pPr>
              <w:pStyle w:val="BodyText1"/>
              <w:rPr>
                <w:lang w:val="en-US" w:eastAsia="en-US"/>
              </w:rPr>
            </w:pPr>
            <w:r w:rsidRPr="00D154AF">
              <w:rPr>
                <w:lang w:val="en-US" w:eastAsia="en-US"/>
              </w:rPr>
              <w:t>RISEDRONATE and CALCIUM CARBONATE</w:t>
            </w:r>
          </w:p>
        </w:tc>
        <w:tc>
          <w:tcPr>
            <w:tcW w:w="3969" w:type="dxa"/>
            <w:tcBorders>
              <w:top w:val="nil"/>
              <w:left w:val="nil"/>
              <w:bottom w:val="single" w:sz="4" w:space="0" w:color="auto"/>
              <w:right w:val="single" w:sz="4" w:space="0" w:color="auto"/>
            </w:tcBorders>
            <w:shd w:val="clear" w:color="auto" w:fill="auto"/>
            <w:vAlign w:val="center"/>
          </w:tcPr>
          <w:p w14:paraId="50E0CB56" w14:textId="77777777" w:rsidR="00812493" w:rsidRPr="00D154AF" w:rsidRDefault="00812493" w:rsidP="00A41887">
            <w:pPr>
              <w:pStyle w:val="BodyText1"/>
              <w:rPr>
                <w:lang w:val="en-US" w:eastAsia="en-US"/>
              </w:rPr>
            </w:pPr>
            <w:r w:rsidRPr="00D154AF">
              <w:rPr>
                <w:lang w:val="en-US" w:eastAsia="en-US"/>
              </w:rPr>
              <w:t>Listed on PBS for established osteoporosis in patients with fracture due to minimal trauma</w:t>
            </w:r>
          </w:p>
        </w:tc>
      </w:tr>
      <w:tr w:rsidR="00812493" w:rsidRPr="00D154AF" w14:paraId="04B79175"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27F7029" w14:textId="77777777" w:rsidR="00812493" w:rsidRPr="00D154AF" w:rsidRDefault="00812493" w:rsidP="00A41887">
            <w:pPr>
              <w:pStyle w:val="BodyText1"/>
              <w:rPr>
                <w:lang w:val="en-US" w:eastAsia="en-US"/>
              </w:rPr>
            </w:pPr>
            <w:r w:rsidRPr="00D154AF">
              <w:rPr>
                <w:lang w:val="en-US" w:eastAsia="en-US"/>
              </w:rPr>
              <w:t>1/08/2006</w:t>
            </w:r>
          </w:p>
        </w:tc>
        <w:tc>
          <w:tcPr>
            <w:tcW w:w="3912" w:type="dxa"/>
            <w:tcBorders>
              <w:top w:val="nil"/>
              <w:left w:val="nil"/>
              <w:bottom w:val="single" w:sz="4" w:space="0" w:color="auto"/>
              <w:right w:val="single" w:sz="4" w:space="0" w:color="auto"/>
            </w:tcBorders>
            <w:shd w:val="clear" w:color="auto" w:fill="auto"/>
            <w:vAlign w:val="center"/>
          </w:tcPr>
          <w:p w14:paraId="5DFEB22E" w14:textId="77777777" w:rsidR="00812493" w:rsidRPr="00D154AF" w:rsidRDefault="00812493" w:rsidP="00A41887">
            <w:pPr>
              <w:pStyle w:val="BodyText1"/>
              <w:rPr>
                <w:lang w:val="en-US" w:eastAsia="en-US"/>
              </w:rPr>
            </w:pPr>
            <w:r w:rsidRPr="00D154AF">
              <w:rPr>
                <w:lang w:val="en-US" w:eastAsia="en-US"/>
              </w:rPr>
              <w:t>ALENDRONATE with COLECALCIFEROL</w:t>
            </w:r>
          </w:p>
        </w:tc>
        <w:tc>
          <w:tcPr>
            <w:tcW w:w="3969" w:type="dxa"/>
            <w:tcBorders>
              <w:top w:val="nil"/>
              <w:left w:val="nil"/>
              <w:bottom w:val="single" w:sz="4" w:space="0" w:color="auto"/>
              <w:right w:val="single" w:sz="4" w:space="0" w:color="auto"/>
            </w:tcBorders>
            <w:shd w:val="clear" w:color="auto" w:fill="auto"/>
            <w:vAlign w:val="center"/>
          </w:tcPr>
          <w:p w14:paraId="0F066E06" w14:textId="77777777" w:rsidR="00812493" w:rsidRPr="00D154AF" w:rsidRDefault="00812493" w:rsidP="00A41887">
            <w:pPr>
              <w:pStyle w:val="BodyText1"/>
              <w:rPr>
                <w:lang w:val="en-US" w:eastAsia="en-US"/>
              </w:rPr>
            </w:pPr>
            <w:r w:rsidRPr="00D154AF">
              <w:rPr>
                <w:lang w:val="en-US" w:eastAsia="en-US"/>
              </w:rPr>
              <w:t>Listed on PBS for established osteoporosis in patients with fracture due to minimal trauma</w:t>
            </w:r>
          </w:p>
        </w:tc>
      </w:tr>
      <w:tr w:rsidR="00812493" w:rsidRPr="00D154AF" w14:paraId="7D115FB5"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153EE9A" w14:textId="77777777" w:rsidR="00812493" w:rsidRPr="00D154AF" w:rsidRDefault="00812493" w:rsidP="00A41887">
            <w:pPr>
              <w:pStyle w:val="BodyText1"/>
              <w:rPr>
                <w:lang w:val="en-US" w:eastAsia="en-US"/>
              </w:rPr>
            </w:pPr>
            <w:r w:rsidRPr="00D154AF">
              <w:rPr>
                <w:lang w:val="en-US" w:eastAsia="en-US"/>
              </w:rPr>
              <w:t>1/04/2007</w:t>
            </w:r>
          </w:p>
        </w:tc>
        <w:tc>
          <w:tcPr>
            <w:tcW w:w="3912" w:type="dxa"/>
            <w:tcBorders>
              <w:top w:val="nil"/>
              <w:left w:val="nil"/>
              <w:bottom w:val="single" w:sz="4" w:space="0" w:color="auto"/>
              <w:right w:val="single" w:sz="4" w:space="0" w:color="auto"/>
            </w:tcBorders>
            <w:shd w:val="clear" w:color="auto" w:fill="auto"/>
            <w:vAlign w:val="center"/>
          </w:tcPr>
          <w:p w14:paraId="5BF54D28" w14:textId="77777777" w:rsidR="00812493" w:rsidRPr="00D154AF" w:rsidRDefault="00812493" w:rsidP="00A41887">
            <w:pPr>
              <w:pStyle w:val="BodyText1"/>
              <w:rPr>
                <w:lang w:val="en-US" w:eastAsia="en-US"/>
              </w:rPr>
            </w:pPr>
            <w:r w:rsidRPr="00D154AF">
              <w:rPr>
                <w:lang w:val="en-US" w:eastAsia="en-US"/>
              </w:rPr>
              <w:t>STRONTIUM RANELATE</w:t>
            </w:r>
          </w:p>
        </w:tc>
        <w:tc>
          <w:tcPr>
            <w:tcW w:w="3969" w:type="dxa"/>
            <w:tcBorders>
              <w:top w:val="nil"/>
              <w:left w:val="nil"/>
              <w:bottom w:val="single" w:sz="4" w:space="0" w:color="auto"/>
              <w:right w:val="single" w:sz="4" w:space="0" w:color="auto"/>
            </w:tcBorders>
            <w:shd w:val="clear" w:color="auto" w:fill="auto"/>
            <w:vAlign w:val="center"/>
          </w:tcPr>
          <w:p w14:paraId="6C9DCEBF" w14:textId="77777777" w:rsidR="00812493" w:rsidRPr="00D154AF" w:rsidRDefault="00812493" w:rsidP="00A41887">
            <w:pPr>
              <w:pStyle w:val="BodyText1"/>
              <w:rPr>
                <w:lang w:val="en-US" w:eastAsia="en-US"/>
              </w:rPr>
            </w:pPr>
            <w:r w:rsidRPr="00D154AF">
              <w:rPr>
                <w:lang w:val="en-US" w:eastAsia="en-US"/>
              </w:rPr>
              <w:t>Listed on PBS on a cost-minimisation basis with alendronate for established post-menopausal osteoporosis in patients with fracture due to minimal trauma</w:t>
            </w:r>
          </w:p>
        </w:tc>
      </w:tr>
      <w:tr w:rsidR="00812493" w:rsidRPr="00D154AF" w14:paraId="4A622252" w14:textId="77777777" w:rsidTr="00A41887">
        <w:trPr>
          <w:trHeight w:val="744"/>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E91995E" w14:textId="77777777" w:rsidR="00812493" w:rsidRPr="00D154AF" w:rsidRDefault="00812493" w:rsidP="00A41887">
            <w:pPr>
              <w:pStyle w:val="BodyText1"/>
              <w:rPr>
                <w:lang w:val="en-US" w:eastAsia="en-US"/>
              </w:rPr>
            </w:pPr>
            <w:r w:rsidRPr="00D154AF">
              <w:rPr>
                <w:lang w:val="en-US" w:eastAsia="en-US"/>
              </w:rPr>
              <w:t>1/04/2007</w:t>
            </w:r>
          </w:p>
        </w:tc>
        <w:tc>
          <w:tcPr>
            <w:tcW w:w="3912" w:type="dxa"/>
            <w:tcBorders>
              <w:top w:val="nil"/>
              <w:left w:val="nil"/>
              <w:bottom w:val="single" w:sz="4" w:space="0" w:color="auto"/>
              <w:right w:val="single" w:sz="4" w:space="0" w:color="auto"/>
            </w:tcBorders>
            <w:shd w:val="clear" w:color="auto" w:fill="auto"/>
            <w:vAlign w:val="center"/>
          </w:tcPr>
          <w:p w14:paraId="52B5734E" w14:textId="77777777" w:rsidR="00812493" w:rsidRPr="00D154AF" w:rsidRDefault="00812493" w:rsidP="00A41887">
            <w:pPr>
              <w:pStyle w:val="BodyText1"/>
              <w:rPr>
                <w:lang w:val="en-US" w:eastAsia="en-US"/>
              </w:rPr>
            </w:pPr>
            <w:r w:rsidRPr="00D154AF">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14:paraId="16154E1B" w14:textId="77777777" w:rsidR="00812493" w:rsidRPr="00D154AF" w:rsidRDefault="00812493" w:rsidP="00A41887">
            <w:pPr>
              <w:pStyle w:val="BodyText1"/>
              <w:rPr>
                <w:lang w:val="en-US" w:eastAsia="en-US"/>
              </w:rPr>
            </w:pPr>
            <w:r w:rsidRPr="00D154AF">
              <w:rPr>
                <w:lang w:val="en-US" w:eastAsia="en-US"/>
              </w:rPr>
              <w:t>Extension to patients 70 years or more at risk of fracture based on BMD test (-3.0 or less)</w:t>
            </w:r>
          </w:p>
        </w:tc>
      </w:tr>
      <w:tr w:rsidR="00812493" w:rsidRPr="00D154AF" w14:paraId="77EA707F"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1CB8CB1" w14:textId="77777777" w:rsidR="00812493" w:rsidRPr="00D154AF" w:rsidRDefault="00812493" w:rsidP="00A41887">
            <w:pPr>
              <w:pStyle w:val="BodyText1"/>
              <w:rPr>
                <w:lang w:val="en-US" w:eastAsia="en-US"/>
              </w:rPr>
            </w:pPr>
            <w:r w:rsidRPr="00D154AF">
              <w:rPr>
                <w:lang w:val="en-US" w:eastAsia="en-US"/>
              </w:rPr>
              <w:t>1/07/2007</w:t>
            </w:r>
          </w:p>
        </w:tc>
        <w:tc>
          <w:tcPr>
            <w:tcW w:w="3912" w:type="dxa"/>
            <w:tcBorders>
              <w:top w:val="nil"/>
              <w:left w:val="nil"/>
              <w:bottom w:val="single" w:sz="4" w:space="0" w:color="auto"/>
              <w:right w:val="single" w:sz="4" w:space="0" w:color="auto"/>
            </w:tcBorders>
            <w:shd w:val="clear" w:color="auto" w:fill="auto"/>
            <w:vAlign w:val="center"/>
          </w:tcPr>
          <w:p w14:paraId="68E1212A" w14:textId="77777777" w:rsidR="00812493" w:rsidRPr="00D154AF" w:rsidRDefault="00812493" w:rsidP="00A41887">
            <w:pPr>
              <w:pStyle w:val="BodyText1"/>
              <w:rPr>
                <w:lang w:val="en-US" w:eastAsia="en-US"/>
              </w:rPr>
            </w:pPr>
            <w:r w:rsidRPr="00D154AF">
              <w:rPr>
                <w:lang w:val="en-US" w:eastAsia="en-US"/>
              </w:rPr>
              <w:t>ALENDRONATE AND COMBINATIONS, RISEDRONATE AND COMBINATIONS, DISODIUM ETIDRONATE and CALCIUM CARBONATE, CALCITROL, RALOXIFENE HYDROCHLORIDE and STRONTIUM RANELATE</w:t>
            </w:r>
          </w:p>
        </w:tc>
        <w:tc>
          <w:tcPr>
            <w:tcW w:w="3969" w:type="dxa"/>
            <w:tcBorders>
              <w:top w:val="nil"/>
              <w:left w:val="nil"/>
              <w:bottom w:val="single" w:sz="4" w:space="0" w:color="auto"/>
              <w:right w:val="single" w:sz="4" w:space="0" w:color="auto"/>
            </w:tcBorders>
            <w:shd w:val="clear" w:color="auto" w:fill="auto"/>
            <w:vAlign w:val="center"/>
          </w:tcPr>
          <w:p w14:paraId="1FC2314F" w14:textId="77777777" w:rsidR="00812493" w:rsidRPr="00D154AF" w:rsidRDefault="00812493" w:rsidP="00A41887">
            <w:pPr>
              <w:pStyle w:val="BodyText1"/>
              <w:rPr>
                <w:lang w:val="en-US" w:eastAsia="en-US"/>
              </w:rPr>
            </w:pPr>
            <w:r w:rsidRPr="00D154AF">
              <w:rPr>
                <w:lang w:val="en-US" w:eastAsia="en-US"/>
              </w:rPr>
              <w:t>STREAMLINED process was introduced</w:t>
            </w:r>
          </w:p>
        </w:tc>
      </w:tr>
      <w:tr w:rsidR="00812493" w:rsidRPr="00D154AF" w14:paraId="4437D007"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7EABF4E" w14:textId="77777777" w:rsidR="00812493" w:rsidRPr="00D154AF" w:rsidRDefault="00812493" w:rsidP="00A41887">
            <w:pPr>
              <w:pStyle w:val="BodyText1"/>
              <w:rPr>
                <w:lang w:val="en-US" w:eastAsia="en-US"/>
              </w:rPr>
            </w:pPr>
            <w:r w:rsidRPr="00D154AF">
              <w:rPr>
                <w:lang w:val="en-US" w:eastAsia="en-US"/>
              </w:rPr>
              <w:t>1/08/2007</w:t>
            </w:r>
          </w:p>
        </w:tc>
        <w:tc>
          <w:tcPr>
            <w:tcW w:w="3912" w:type="dxa"/>
            <w:tcBorders>
              <w:top w:val="nil"/>
              <w:left w:val="nil"/>
              <w:bottom w:val="single" w:sz="4" w:space="0" w:color="auto"/>
              <w:right w:val="single" w:sz="4" w:space="0" w:color="auto"/>
            </w:tcBorders>
            <w:shd w:val="clear" w:color="auto" w:fill="auto"/>
            <w:vAlign w:val="center"/>
          </w:tcPr>
          <w:p w14:paraId="03BA0741" w14:textId="77777777" w:rsidR="00812493" w:rsidRPr="00D154AF" w:rsidRDefault="00812493" w:rsidP="00A41887">
            <w:pPr>
              <w:pStyle w:val="BodyText1"/>
              <w:rPr>
                <w:lang w:val="en-US" w:eastAsia="en-US"/>
              </w:rPr>
            </w:pPr>
            <w:r w:rsidRPr="00D154AF">
              <w:rPr>
                <w:lang w:val="en-US"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14:paraId="12B4FC18" w14:textId="77777777" w:rsidR="00812493" w:rsidRPr="00D154AF" w:rsidRDefault="00812493" w:rsidP="00A41887">
            <w:pPr>
              <w:pStyle w:val="BodyText1"/>
              <w:rPr>
                <w:lang w:val="en-US" w:eastAsia="en-US"/>
              </w:rPr>
            </w:pPr>
            <w:r w:rsidRPr="00D154AF">
              <w:rPr>
                <w:lang w:val="en-US" w:eastAsia="en-US"/>
              </w:rPr>
              <w:t>Extension to patients 70 years or more at risk of fracture based on BMD test (-3.0 or less)</w:t>
            </w:r>
          </w:p>
        </w:tc>
      </w:tr>
      <w:tr w:rsidR="00812493" w:rsidRPr="00D154AF" w14:paraId="46AC3A5F"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C3475EF" w14:textId="77777777" w:rsidR="00812493" w:rsidRPr="00D154AF" w:rsidRDefault="00812493" w:rsidP="00A41887">
            <w:pPr>
              <w:pStyle w:val="BodyText1"/>
              <w:rPr>
                <w:lang w:val="en-US" w:eastAsia="en-US"/>
              </w:rPr>
            </w:pPr>
            <w:r w:rsidRPr="00D154AF">
              <w:rPr>
                <w:lang w:val="en-US" w:eastAsia="en-US"/>
              </w:rPr>
              <w:t>1/11/2007</w:t>
            </w:r>
          </w:p>
        </w:tc>
        <w:tc>
          <w:tcPr>
            <w:tcW w:w="3912" w:type="dxa"/>
            <w:tcBorders>
              <w:top w:val="nil"/>
              <w:left w:val="nil"/>
              <w:bottom w:val="single" w:sz="4" w:space="0" w:color="auto"/>
              <w:right w:val="single" w:sz="4" w:space="0" w:color="auto"/>
            </w:tcBorders>
            <w:shd w:val="clear" w:color="auto" w:fill="auto"/>
            <w:vAlign w:val="center"/>
          </w:tcPr>
          <w:p w14:paraId="739D200C" w14:textId="77777777" w:rsidR="00812493" w:rsidRPr="00D154AF" w:rsidRDefault="00812493" w:rsidP="00A41887">
            <w:pPr>
              <w:pStyle w:val="BodyText1"/>
              <w:rPr>
                <w:lang w:val="en-US" w:eastAsia="en-US"/>
              </w:rPr>
            </w:pPr>
            <w:r w:rsidRPr="00D154AF">
              <w:rPr>
                <w:lang w:val="en-US" w:eastAsia="en-US"/>
              </w:rPr>
              <w:t>STRONTIUM RANELATE</w:t>
            </w:r>
          </w:p>
        </w:tc>
        <w:tc>
          <w:tcPr>
            <w:tcW w:w="3969" w:type="dxa"/>
            <w:tcBorders>
              <w:top w:val="nil"/>
              <w:left w:val="nil"/>
              <w:bottom w:val="single" w:sz="4" w:space="0" w:color="auto"/>
              <w:right w:val="single" w:sz="4" w:space="0" w:color="auto"/>
            </w:tcBorders>
            <w:shd w:val="clear" w:color="auto" w:fill="auto"/>
            <w:vAlign w:val="center"/>
          </w:tcPr>
          <w:p w14:paraId="6DE35E79" w14:textId="77777777" w:rsidR="00812493" w:rsidRPr="00D154AF" w:rsidRDefault="00812493" w:rsidP="00A41887">
            <w:pPr>
              <w:pStyle w:val="BodyText1"/>
              <w:rPr>
                <w:lang w:val="en-US" w:eastAsia="en-US"/>
              </w:rPr>
            </w:pPr>
            <w:r w:rsidRPr="00D154AF">
              <w:rPr>
                <w:lang w:val="en-US" w:eastAsia="en-US"/>
              </w:rPr>
              <w:t>Extension to patients 70 years or more at risk of fracture based on BMD test (-3.0 or less). Based on cost-minimisation with alendronate</w:t>
            </w:r>
          </w:p>
        </w:tc>
      </w:tr>
      <w:tr w:rsidR="00812493" w:rsidRPr="00D154AF" w14:paraId="55553B7A"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8483670" w14:textId="77777777" w:rsidR="00812493" w:rsidRPr="00D154AF" w:rsidRDefault="00812493" w:rsidP="00A41887">
            <w:pPr>
              <w:pStyle w:val="BodyText1"/>
              <w:rPr>
                <w:lang w:val="en-US" w:eastAsia="en-US"/>
              </w:rPr>
            </w:pPr>
            <w:r w:rsidRPr="00D154AF">
              <w:rPr>
                <w:lang w:val="en-US" w:eastAsia="en-US"/>
              </w:rPr>
              <w:t>1/12/2007</w:t>
            </w:r>
          </w:p>
        </w:tc>
        <w:tc>
          <w:tcPr>
            <w:tcW w:w="3912" w:type="dxa"/>
            <w:tcBorders>
              <w:top w:val="nil"/>
              <w:left w:val="nil"/>
              <w:bottom w:val="single" w:sz="4" w:space="0" w:color="auto"/>
              <w:right w:val="single" w:sz="4" w:space="0" w:color="auto"/>
            </w:tcBorders>
            <w:shd w:val="clear" w:color="auto" w:fill="auto"/>
            <w:vAlign w:val="center"/>
          </w:tcPr>
          <w:p w14:paraId="655D3E0D" w14:textId="77777777" w:rsidR="00812493" w:rsidRPr="00D154AF" w:rsidRDefault="00812493" w:rsidP="00A41887">
            <w:pPr>
              <w:pStyle w:val="BodyText1"/>
              <w:rPr>
                <w:lang w:val="en-US" w:eastAsia="en-US"/>
              </w:rPr>
            </w:pPr>
            <w:r w:rsidRPr="00D154AF">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14:paraId="452270FC" w14:textId="77777777" w:rsidR="00812493" w:rsidRPr="00D154AF" w:rsidRDefault="00812493" w:rsidP="00A41887">
            <w:pPr>
              <w:pStyle w:val="BodyText1"/>
              <w:rPr>
                <w:lang w:val="en-US" w:eastAsia="en-US"/>
              </w:rPr>
            </w:pPr>
            <w:r w:rsidRPr="00D154AF">
              <w:rPr>
                <w:lang w:val="en-US" w:eastAsia="en-US"/>
              </w:rPr>
              <w:t>Statutory price reduction</w:t>
            </w:r>
          </w:p>
        </w:tc>
      </w:tr>
      <w:tr w:rsidR="00812493" w:rsidRPr="00D154AF" w14:paraId="12D24056"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1D79F8C" w14:textId="77777777" w:rsidR="00812493" w:rsidRPr="00D154AF" w:rsidRDefault="00812493" w:rsidP="00A41887">
            <w:pPr>
              <w:pStyle w:val="BodyText1"/>
              <w:rPr>
                <w:lang w:val="en-US" w:eastAsia="en-US"/>
              </w:rPr>
            </w:pPr>
            <w:r w:rsidRPr="00D154AF">
              <w:rPr>
                <w:lang w:val="en-US" w:eastAsia="en-US"/>
              </w:rPr>
              <w:t>1/12/2007</w:t>
            </w:r>
          </w:p>
        </w:tc>
        <w:tc>
          <w:tcPr>
            <w:tcW w:w="3912" w:type="dxa"/>
            <w:tcBorders>
              <w:top w:val="nil"/>
              <w:left w:val="nil"/>
              <w:bottom w:val="single" w:sz="4" w:space="0" w:color="auto"/>
              <w:right w:val="single" w:sz="4" w:space="0" w:color="auto"/>
            </w:tcBorders>
            <w:shd w:val="clear" w:color="auto" w:fill="auto"/>
            <w:vAlign w:val="center"/>
          </w:tcPr>
          <w:p w14:paraId="08108ABD" w14:textId="77777777" w:rsidR="00812493" w:rsidRPr="00D154AF" w:rsidRDefault="00812493" w:rsidP="00A41887">
            <w:pPr>
              <w:pStyle w:val="BodyText1"/>
              <w:rPr>
                <w:lang w:val="en-US" w:eastAsia="en-US"/>
              </w:rPr>
            </w:pPr>
            <w:r w:rsidRPr="00D154AF">
              <w:rPr>
                <w:lang w:val="en-US" w:eastAsia="en-US"/>
              </w:rPr>
              <w:t>ALENDRONATE with COLECALCIFEROL</w:t>
            </w:r>
          </w:p>
        </w:tc>
        <w:tc>
          <w:tcPr>
            <w:tcW w:w="3969" w:type="dxa"/>
            <w:tcBorders>
              <w:top w:val="nil"/>
              <w:left w:val="nil"/>
              <w:bottom w:val="single" w:sz="4" w:space="0" w:color="auto"/>
              <w:right w:val="single" w:sz="4" w:space="0" w:color="auto"/>
            </w:tcBorders>
            <w:shd w:val="clear" w:color="auto" w:fill="auto"/>
            <w:vAlign w:val="center"/>
          </w:tcPr>
          <w:p w14:paraId="7DA73612" w14:textId="77777777" w:rsidR="00812493" w:rsidRPr="00D154AF" w:rsidRDefault="00812493" w:rsidP="00A41887">
            <w:pPr>
              <w:pStyle w:val="BodyText1"/>
              <w:rPr>
                <w:lang w:val="en-US" w:eastAsia="en-US"/>
              </w:rPr>
            </w:pPr>
            <w:r w:rsidRPr="00D154AF">
              <w:rPr>
                <w:lang w:val="en-US" w:eastAsia="en-US"/>
              </w:rPr>
              <w:t>Partial 12.5% price reduction to alendronate component</w:t>
            </w:r>
          </w:p>
        </w:tc>
      </w:tr>
      <w:tr w:rsidR="00812493" w:rsidRPr="00D154AF" w14:paraId="37AC6E02"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6FAD705" w14:textId="77777777" w:rsidR="00812493" w:rsidRPr="00D154AF" w:rsidRDefault="00812493" w:rsidP="00A41887">
            <w:pPr>
              <w:pStyle w:val="BodyText1"/>
              <w:rPr>
                <w:lang w:val="en-US" w:eastAsia="en-US"/>
              </w:rPr>
            </w:pPr>
            <w:r w:rsidRPr="00D154AF">
              <w:rPr>
                <w:lang w:val="en-US" w:eastAsia="en-US"/>
              </w:rPr>
              <w:t>1/05/2008</w:t>
            </w:r>
          </w:p>
        </w:tc>
        <w:tc>
          <w:tcPr>
            <w:tcW w:w="3912" w:type="dxa"/>
            <w:tcBorders>
              <w:top w:val="nil"/>
              <w:left w:val="nil"/>
              <w:bottom w:val="single" w:sz="4" w:space="0" w:color="auto"/>
              <w:right w:val="single" w:sz="4" w:space="0" w:color="auto"/>
            </w:tcBorders>
            <w:shd w:val="clear" w:color="auto" w:fill="auto"/>
            <w:vAlign w:val="center"/>
          </w:tcPr>
          <w:p w14:paraId="0017A201" w14:textId="77777777" w:rsidR="00812493" w:rsidRPr="00D154AF" w:rsidRDefault="00812493" w:rsidP="00A41887">
            <w:pPr>
              <w:pStyle w:val="BodyText1"/>
              <w:rPr>
                <w:lang w:val="en-US" w:eastAsia="en-US"/>
              </w:rPr>
            </w:pPr>
            <w:r w:rsidRPr="00D154AF">
              <w:rPr>
                <w:lang w:val="en-US" w:eastAsia="en-US"/>
              </w:rPr>
              <w:t>RISEDRONATE and CALCIUM CARBONATE with COLECALCIFEROL</w:t>
            </w:r>
          </w:p>
        </w:tc>
        <w:tc>
          <w:tcPr>
            <w:tcW w:w="3969" w:type="dxa"/>
            <w:tcBorders>
              <w:top w:val="nil"/>
              <w:left w:val="nil"/>
              <w:bottom w:val="single" w:sz="4" w:space="0" w:color="auto"/>
              <w:right w:val="single" w:sz="4" w:space="0" w:color="auto"/>
            </w:tcBorders>
            <w:shd w:val="clear" w:color="auto" w:fill="auto"/>
            <w:vAlign w:val="center"/>
          </w:tcPr>
          <w:p w14:paraId="25AEA2E8" w14:textId="77777777" w:rsidR="00812493" w:rsidRPr="00D154AF" w:rsidRDefault="00812493" w:rsidP="00A41887">
            <w:pPr>
              <w:pStyle w:val="BodyText1"/>
              <w:rPr>
                <w:lang w:val="en-US" w:eastAsia="en-US"/>
              </w:rPr>
            </w:pPr>
            <w:r w:rsidRPr="00D154AF">
              <w:rPr>
                <w:lang w:val="en-US" w:eastAsia="en-US"/>
              </w:rPr>
              <w:t xml:space="preserve">Listed on PBS for established osteoporosis in patients 70 years or older </w:t>
            </w:r>
            <w:r w:rsidRPr="00D154AF">
              <w:rPr>
                <w:lang w:val="en-US" w:eastAsia="en-US"/>
              </w:rPr>
              <w:lastRenderedPageBreak/>
              <w:t>with a BMD T-score of -3.0 or less and for established osteoporosis in patients with fracture due to minimal trauma</w:t>
            </w:r>
          </w:p>
        </w:tc>
      </w:tr>
      <w:tr w:rsidR="00812493" w:rsidRPr="00D154AF" w14:paraId="4D464B2C"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D050E07" w14:textId="77777777" w:rsidR="00812493" w:rsidRPr="00D154AF" w:rsidRDefault="00812493" w:rsidP="00A41887">
            <w:pPr>
              <w:pStyle w:val="BodyText1"/>
              <w:rPr>
                <w:lang w:val="en-US" w:eastAsia="en-US"/>
              </w:rPr>
            </w:pPr>
            <w:r w:rsidRPr="00D154AF">
              <w:rPr>
                <w:lang w:val="en-US" w:eastAsia="en-US"/>
              </w:rPr>
              <w:lastRenderedPageBreak/>
              <w:t>1/12/2008</w:t>
            </w:r>
          </w:p>
        </w:tc>
        <w:tc>
          <w:tcPr>
            <w:tcW w:w="3912" w:type="dxa"/>
            <w:tcBorders>
              <w:top w:val="nil"/>
              <w:left w:val="nil"/>
              <w:bottom w:val="single" w:sz="4" w:space="0" w:color="auto"/>
              <w:right w:val="single" w:sz="4" w:space="0" w:color="auto"/>
            </w:tcBorders>
            <w:shd w:val="clear" w:color="auto" w:fill="auto"/>
            <w:vAlign w:val="center"/>
          </w:tcPr>
          <w:p w14:paraId="75F8116F" w14:textId="77777777" w:rsidR="00812493" w:rsidRPr="00D154AF" w:rsidRDefault="00812493" w:rsidP="00A41887">
            <w:pPr>
              <w:pStyle w:val="BodyText1"/>
              <w:rPr>
                <w:lang w:val="en-US" w:eastAsia="en-US"/>
              </w:rPr>
            </w:pPr>
            <w:r w:rsidRPr="00D154AF">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14:paraId="48C1C8EF" w14:textId="77777777" w:rsidR="00812493" w:rsidRPr="00D154AF" w:rsidRDefault="00812493" w:rsidP="00A41887">
            <w:pPr>
              <w:pStyle w:val="BodyText1"/>
              <w:rPr>
                <w:lang w:val="en-US" w:eastAsia="en-US"/>
              </w:rPr>
            </w:pPr>
            <w:r w:rsidRPr="00D154AF">
              <w:rPr>
                <w:lang w:val="en-US" w:eastAsia="en-US"/>
              </w:rPr>
              <w:t>Listed on PBS on a cost-minimisation basis with alendronate for established post-menopausal osteoporosis in women with fracture due to minimal trauma and for established osteoporosis in men with hip fracture due to minimal trauma</w:t>
            </w:r>
          </w:p>
        </w:tc>
      </w:tr>
      <w:tr w:rsidR="00812493" w:rsidRPr="00D154AF" w14:paraId="056C1097"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CBEA25D" w14:textId="77777777" w:rsidR="00812493" w:rsidRPr="00D154AF" w:rsidRDefault="00812493" w:rsidP="00A41887">
            <w:pPr>
              <w:pStyle w:val="BodyText1"/>
              <w:rPr>
                <w:lang w:val="en-US" w:eastAsia="en-US"/>
              </w:rPr>
            </w:pPr>
            <w:r w:rsidRPr="00D154AF">
              <w:rPr>
                <w:lang w:eastAsia="en-US"/>
              </w:rPr>
              <w:t>1/02/2009</w:t>
            </w:r>
          </w:p>
        </w:tc>
        <w:tc>
          <w:tcPr>
            <w:tcW w:w="3912" w:type="dxa"/>
            <w:tcBorders>
              <w:top w:val="nil"/>
              <w:left w:val="nil"/>
              <w:bottom w:val="single" w:sz="4" w:space="0" w:color="auto"/>
              <w:right w:val="single" w:sz="4" w:space="0" w:color="auto"/>
            </w:tcBorders>
            <w:shd w:val="clear" w:color="auto" w:fill="auto"/>
            <w:vAlign w:val="center"/>
          </w:tcPr>
          <w:p w14:paraId="58679948" w14:textId="77777777" w:rsidR="00812493" w:rsidRPr="00D154AF" w:rsidRDefault="00812493" w:rsidP="00A41887">
            <w:pPr>
              <w:pStyle w:val="BodyText1"/>
              <w:rPr>
                <w:lang w:val="en-US" w:eastAsia="en-US"/>
              </w:rPr>
            </w:pPr>
            <w:r w:rsidRPr="00D154AF">
              <w:rPr>
                <w:lang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14:paraId="197054A6" w14:textId="77777777" w:rsidR="00812493" w:rsidRPr="00D154AF" w:rsidRDefault="00812493" w:rsidP="00A41887">
            <w:pPr>
              <w:pStyle w:val="BodyText1"/>
              <w:rPr>
                <w:lang w:val="en-US" w:eastAsia="en-US"/>
              </w:rPr>
            </w:pPr>
            <w:r w:rsidRPr="00D154AF">
              <w:rPr>
                <w:lang w:eastAsia="en-US"/>
              </w:rPr>
              <w:t xml:space="preserve">Extension </w:t>
            </w:r>
            <w:r w:rsidRPr="00D154AF">
              <w:rPr>
                <w:lang w:val="en-US" w:eastAsia="en-US"/>
              </w:rPr>
              <w:t>to include treatment for corticoid-induced osteoporosis in a patient on at least three months high-dose corticosteroid therapy with a BMD (BMD) T-score of -1.5 or less</w:t>
            </w:r>
            <w:r w:rsidRPr="00D154AF">
              <w:rPr>
                <w:lang w:eastAsia="en-US"/>
              </w:rPr>
              <w:t>.</w:t>
            </w:r>
          </w:p>
        </w:tc>
      </w:tr>
      <w:tr w:rsidR="00812493" w:rsidRPr="00D154AF" w14:paraId="2BD46D8F"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DC531BF" w14:textId="77777777" w:rsidR="00812493" w:rsidRPr="00D154AF" w:rsidRDefault="00812493" w:rsidP="00A41887">
            <w:pPr>
              <w:pStyle w:val="BodyText1"/>
              <w:rPr>
                <w:lang w:val="en-US" w:eastAsia="en-US"/>
              </w:rPr>
            </w:pPr>
            <w:r w:rsidRPr="00D154AF">
              <w:rPr>
                <w:lang w:val="en-US" w:eastAsia="en-US"/>
              </w:rPr>
              <w:t>1/04/2009</w:t>
            </w:r>
          </w:p>
        </w:tc>
        <w:tc>
          <w:tcPr>
            <w:tcW w:w="3912" w:type="dxa"/>
            <w:tcBorders>
              <w:top w:val="nil"/>
              <w:left w:val="nil"/>
              <w:bottom w:val="single" w:sz="4" w:space="0" w:color="auto"/>
              <w:right w:val="single" w:sz="4" w:space="0" w:color="auto"/>
            </w:tcBorders>
            <w:shd w:val="clear" w:color="auto" w:fill="auto"/>
            <w:vAlign w:val="center"/>
          </w:tcPr>
          <w:p w14:paraId="31122B67" w14:textId="77777777" w:rsidR="00812493" w:rsidRPr="00D154AF" w:rsidRDefault="00812493" w:rsidP="00A41887">
            <w:pPr>
              <w:pStyle w:val="BodyText1"/>
              <w:rPr>
                <w:lang w:val="en-US" w:eastAsia="en-US"/>
              </w:rPr>
            </w:pPr>
            <w:r w:rsidRPr="00D154AF">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14:paraId="2117DF0B" w14:textId="77777777" w:rsidR="00812493" w:rsidRPr="00D154AF" w:rsidRDefault="00812493" w:rsidP="00A41887">
            <w:pPr>
              <w:pStyle w:val="BodyText1"/>
              <w:rPr>
                <w:lang w:val="en-US" w:eastAsia="en-US"/>
              </w:rPr>
            </w:pPr>
            <w:r w:rsidRPr="00D154AF">
              <w:rPr>
                <w:lang w:val="en-US" w:eastAsia="en-US"/>
              </w:rPr>
              <w:t>Extension to include treatment for osteoporosis in patients 70 years or older with a BMD T-score of -3.0 or less. Based on cost-minimisation with alendronate.</w:t>
            </w:r>
          </w:p>
        </w:tc>
      </w:tr>
      <w:tr w:rsidR="00812493" w:rsidRPr="00D154AF" w14:paraId="60A186D7"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F7BC225" w14:textId="77777777" w:rsidR="00812493" w:rsidRPr="00D154AF" w:rsidRDefault="00812493" w:rsidP="00A41887">
            <w:pPr>
              <w:pStyle w:val="BodyText1"/>
              <w:rPr>
                <w:lang w:val="en-US" w:eastAsia="en-US"/>
              </w:rPr>
            </w:pPr>
            <w:r w:rsidRPr="00D154AF">
              <w:rPr>
                <w:lang w:val="en-US" w:eastAsia="en-US"/>
              </w:rPr>
              <w:t>1/05/2009</w:t>
            </w:r>
          </w:p>
        </w:tc>
        <w:tc>
          <w:tcPr>
            <w:tcW w:w="3912" w:type="dxa"/>
            <w:tcBorders>
              <w:top w:val="nil"/>
              <w:left w:val="nil"/>
              <w:bottom w:val="single" w:sz="4" w:space="0" w:color="auto"/>
              <w:right w:val="single" w:sz="4" w:space="0" w:color="auto"/>
            </w:tcBorders>
            <w:shd w:val="clear" w:color="auto" w:fill="auto"/>
            <w:vAlign w:val="center"/>
          </w:tcPr>
          <w:p w14:paraId="19D3CBF4" w14:textId="77777777" w:rsidR="00812493" w:rsidRPr="00D154AF" w:rsidRDefault="00812493" w:rsidP="00A41887">
            <w:pPr>
              <w:pStyle w:val="BodyText1"/>
              <w:rPr>
                <w:lang w:val="en-US" w:eastAsia="en-US"/>
              </w:rPr>
            </w:pPr>
            <w:r w:rsidRPr="00D154AF">
              <w:rPr>
                <w:lang w:val="en-US" w:eastAsia="en-US"/>
              </w:rPr>
              <w:t>TERIPARATIDE</w:t>
            </w:r>
          </w:p>
        </w:tc>
        <w:tc>
          <w:tcPr>
            <w:tcW w:w="3969" w:type="dxa"/>
            <w:tcBorders>
              <w:top w:val="nil"/>
              <w:left w:val="nil"/>
              <w:bottom w:val="single" w:sz="4" w:space="0" w:color="auto"/>
              <w:right w:val="single" w:sz="4" w:space="0" w:color="auto"/>
            </w:tcBorders>
            <w:shd w:val="clear" w:color="auto" w:fill="auto"/>
            <w:vAlign w:val="center"/>
          </w:tcPr>
          <w:p w14:paraId="6D440031" w14:textId="77777777" w:rsidR="00812493" w:rsidRPr="00D154AF" w:rsidRDefault="00812493" w:rsidP="00A41887">
            <w:pPr>
              <w:pStyle w:val="BodyText1"/>
              <w:rPr>
                <w:lang w:val="en-US" w:eastAsia="en-US"/>
              </w:rPr>
            </w:pPr>
            <w:r w:rsidRPr="00D154AF">
              <w:rPr>
                <w:lang w:val="en-US" w:eastAsia="en-US"/>
              </w:rPr>
              <w:t>Listed on PBS on a cost-effectiveness basis over alendronate for patients as the sole PBS subsidised treatment of severe osteoporosis for patients with a very high risk of fracture who have:</w:t>
            </w:r>
          </w:p>
          <w:p w14:paraId="64C84C9D" w14:textId="77777777" w:rsidR="00812493" w:rsidRPr="00D154AF" w:rsidRDefault="00812493" w:rsidP="00A41887">
            <w:pPr>
              <w:pStyle w:val="BodyText1"/>
              <w:rPr>
                <w:lang w:val="en-US" w:eastAsia="en-US"/>
              </w:rPr>
            </w:pPr>
            <w:r w:rsidRPr="00D154AF">
              <w:rPr>
                <w:lang w:val="en-US" w:eastAsia="en-US"/>
              </w:rPr>
              <w:t xml:space="preserve">a BMD T-score of -3.0 or less; </w:t>
            </w:r>
          </w:p>
          <w:p w14:paraId="733003C4" w14:textId="77777777" w:rsidR="00812493" w:rsidRPr="00D154AF" w:rsidRDefault="00812493" w:rsidP="00A41887">
            <w:pPr>
              <w:pStyle w:val="BodyText1"/>
              <w:rPr>
                <w:lang w:val="en-US" w:eastAsia="en-US"/>
              </w:rPr>
            </w:pPr>
            <w:r w:rsidRPr="00D154AF">
              <w:rPr>
                <w:lang w:val="en-US" w:eastAsia="en-US"/>
              </w:rPr>
              <w:t xml:space="preserve">had two or more fractures due to minimal trauma; and </w:t>
            </w:r>
          </w:p>
          <w:p w14:paraId="140D6327" w14:textId="77777777" w:rsidR="00812493" w:rsidRPr="00D154AF" w:rsidRDefault="00812493" w:rsidP="00A41887">
            <w:pPr>
              <w:pStyle w:val="BodyText1"/>
              <w:rPr>
                <w:lang w:val="en-US" w:eastAsia="en-US"/>
              </w:rPr>
            </w:pPr>
            <w:r w:rsidRPr="00D154AF">
              <w:rPr>
                <w:lang w:val="en-US" w:eastAsia="en-US"/>
              </w:rPr>
              <w:t>experienced at least one symptomatic new fracture after at least 12 months continuous therapy with an anti-resorptive agent at an adequate dose.</w:t>
            </w:r>
          </w:p>
        </w:tc>
      </w:tr>
      <w:tr w:rsidR="00812493" w:rsidRPr="00D154AF" w14:paraId="120F7712" w14:textId="77777777" w:rsidTr="00A41887">
        <w:trPr>
          <w:trHeight w:val="1327"/>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FBEBE5F" w14:textId="77777777" w:rsidR="00812493" w:rsidRPr="00D154AF" w:rsidRDefault="00812493" w:rsidP="00A41887">
            <w:pPr>
              <w:pStyle w:val="BodyText1"/>
              <w:rPr>
                <w:lang w:val="en-US" w:eastAsia="en-US"/>
              </w:rPr>
            </w:pPr>
            <w:r w:rsidRPr="00D154AF">
              <w:rPr>
                <w:lang w:val="en-US" w:eastAsia="en-US"/>
              </w:rPr>
              <w:t>1/04/2010</w:t>
            </w:r>
          </w:p>
        </w:tc>
        <w:tc>
          <w:tcPr>
            <w:tcW w:w="3912" w:type="dxa"/>
            <w:tcBorders>
              <w:top w:val="nil"/>
              <w:left w:val="nil"/>
              <w:bottom w:val="single" w:sz="4" w:space="0" w:color="auto"/>
              <w:right w:val="single" w:sz="4" w:space="0" w:color="auto"/>
            </w:tcBorders>
            <w:shd w:val="clear" w:color="auto" w:fill="auto"/>
            <w:vAlign w:val="center"/>
          </w:tcPr>
          <w:p w14:paraId="439A1B4D" w14:textId="77777777" w:rsidR="00812493" w:rsidRPr="00D154AF" w:rsidRDefault="00812493" w:rsidP="00A41887">
            <w:pPr>
              <w:pStyle w:val="BodyText1"/>
              <w:rPr>
                <w:lang w:val="en-US" w:eastAsia="en-US"/>
              </w:rPr>
            </w:pPr>
            <w:r w:rsidRPr="00D154AF">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14:paraId="0A163C2E" w14:textId="77777777" w:rsidR="00812493" w:rsidRPr="00D154AF" w:rsidRDefault="00812493" w:rsidP="00A41887">
            <w:pPr>
              <w:pStyle w:val="BodyText1"/>
              <w:rPr>
                <w:lang w:val="en-US" w:eastAsia="en-US"/>
              </w:rPr>
            </w:pPr>
            <w:r w:rsidRPr="00D154AF">
              <w:rPr>
                <w:lang w:val="en-US" w:eastAsia="en-US"/>
              </w:rPr>
              <w:t>Extension to include treatment for corticoid-induced osteoporosis in a patient on long-term, high-dose corticosteroid therapy with a BMD (BMD) T-score of -1.5 or less</w:t>
            </w:r>
          </w:p>
        </w:tc>
      </w:tr>
      <w:tr w:rsidR="00812493" w:rsidRPr="00D154AF" w14:paraId="348B4ABE" w14:textId="77777777" w:rsidTr="00A41887">
        <w:trPr>
          <w:trHeight w:val="1589"/>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657B684" w14:textId="77777777" w:rsidR="00812493" w:rsidRPr="00D154AF" w:rsidRDefault="00812493" w:rsidP="00A41887">
            <w:pPr>
              <w:pStyle w:val="BodyText1"/>
              <w:rPr>
                <w:lang w:val="en-US" w:eastAsia="en-US"/>
              </w:rPr>
            </w:pPr>
            <w:r w:rsidRPr="00D154AF">
              <w:rPr>
                <w:lang w:val="en-US" w:eastAsia="en-US"/>
              </w:rPr>
              <w:t>1/04/2010</w:t>
            </w:r>
          </w:p>
        </w:tc>
        <w:tc>
          <w:tcPr>
            <w:tcW w:w="3912" w:type="dxa"/>
            <w:tcBorders>
              <w:top w:val="nil"/>
              <w:left w:val="nil"/>
              <w:bottom w:val="single" w:sz="4" w:space="0" w:color="auto"/>
              <w:right w:val="single" w:sz="4" w:space="0" w:color="auto"/>
            </w:tcBorders>
            <w:shd w:val="clear" w:color="auto" w:fill="auto"/>
            <w:vAlign w:val="center"/>
          </w:tcPr>
          <w:p w14:paraId="1E01E303" w14:textId="77777777" w:rsidR="00812493" w:rsidRPr="00D154AF" w:rsidRDefault="00812493" w:rsidP="00A41887">
            <w:pPr>
              <w:pStyle w:val="BodyText1"/>
              <w:rPr>
                <w:lang w:val="en-US" w:eastAsia="en-US"/>
              </w:rPr>
            </w:pPr>
            <w:r w:rsidRPr="00D154AF">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14:paraId="496EA3B6" w14:textId="77777777" w:rsidR="00812493" w:rsidRPr="00D154AF" w:rsidRDefault="00812493" w:rsidP="00A41887">
            <w:pPr>
              <w:pStyle w:val="BodyText1"/>
              <w:rPr>
                <w:lang w:val="en-US" w:eastAsia="en-US"/>
              </w:rPr>
            </w:pPr>
            <w:r w:rsidRPr="00D154AF">
              <w:rPr>
                <w:lang w:val="en-US" w:eastAsia="en-US"/>
              </w:rPr>
              <w:t>Amending the listing to include men with established osteoporosis with fractures other than hip fracture due to minimal trauma, and men aged 70 years or older with a BMD (BMD) T-score of -3.0 or less. Based on cost-minimisation with zoledronic acid.</w:t>
            </w:r>
          </w:p>
        </w:tc>
      </w:tr>
      <w:tr w:rsidR="00812493" w:rsidRPr="00D154AF" w14:paraId="2EC9BE93"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EBF3BC1" w14:textId="77777777" w:rsidR="00812493" w:rsidRPr="00D154AF" w:rsidRDefault="00812493" w:rsidP="00A41887">
            <w:pPr>
              <w:pStyle w:val="BodyText1"/>
              <w:rPr>
                <w:lang w:val="en-US" w:eastAsia="en-US"/>
              </w:rPr>
            </w:pPr>
            <w:r w:rsidRPr="00D154AF">
              <w:rPr>
                <w:lang w:val="en-US" w:eastAsia="en-US"/>
              </w:rPr>
              <w:lastRenderedPageBreak/>
              <w:t>1/06/2010</w:t>
            </w:r>
          </w:p>
        </w:tc>
        <w:tc>
          <w:tcPr>
            <w:tcW w:w="3912" w:type="dxa"/>
            <w:tcBorders>
              <w:top w:val="nil"/>
              <w:left w:val="nil"/>
              <w:bottom w:val="single" w:sz="4" w:space="0" w:color="auto"/>
              <w:right w:val="single" w:sz="4" w:space="0" w:color="auto"/>
            </w:tcBorders>
            <w:shd w:val="clear" w:color="auto" w:fill="auto"/>
            <w:vAlign w:val="center"/>
          </w:tcPr>
          <w:p w14:paraId="6964480F" w14:textId="77777777" w:rsidR="00812493" w:rsidRPr="00D154AF" w:rsidRDefault="00812493" w:rsidP="00A41887">
            <w:pPr>
              <w:pStyle w:val="BodyText1"/>
              <w:rPr>
                <w:lang w:val="en-US" w:eastAsia="en-US"/>
              </w:rPr>
            </w:pPr>
            <w:r w:rsidRPr="00D154AF">
              <w:rPr>
                <w:lang w:val="en-US" w:eastAsia="en-US"/>
              </w:rPr>
              <w:t>ALENDRONATE with COLECALCIFEROL and CALCIUM CARBONATE</w:t>
            </w:r>
          </w:p>
        </w:tc>
        <w:tc>
          <w:tcPr>
            <w:tcW w:w="3969" w:type="dxa"/>
            <w:tcBorders>
              <w:top w:val="nil"/>
              <w:left w:val="nil"/>
              <w:bottom w:val="single" w:sz="4" w:space="0" w:color="auto"/>
              <w:right w:val="single" w:sz="4" w:space="0" w:color="auto"/>
            </w:tcBorders>
            <w:shd w:val="clear" w:color="auto" w:fill="auto"/>
            <w:vAlign w:val="center"/>
          </w:tcPr>
          <w:p w14:paraId="472D4556" w14:textId="77777777" w:rsidR="00812493" w:rsidRPr="00D154AF" w:rsidRDefault="00812493" w:rsidP="00A41887">
            <w:pPr>
              <w:pStyle w:val="BodyText1"/>
              <w:rPr>
                <w:lang w:val="en-US" w:eastAsia="en-US"/>
              </w:rPr>
            </w:pPr>
            <w:r w:rsidRPr="00D154AF">
              <w:rPr>
                <w:lang w:val="en-US" w:eastAsia="en-US"/>
              </w:rPr>
              <w:t>Listed on PBS for osteoporosis in patients 70 years or older with a BMD T-score of -3.0 or less and for established osteoporosis in patients with fracture due to minimal trauma</w:t>
            </w:r>
          </w:p>
        </w:tc>
      </w:tr>
      <w:tr w:rsidR="00812493" w:rsidRPr="00D154AF" w14:paraId="6E11DB75" w14:textId="77777777" w:rsidTr="00A41887">
        <w:trPr>
          <w:trHeight w:val="76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CA0C813" w14:textId="77777777" w:rsidR="00812493" w:rsidRPr="00D154AF" w:rsidRDefault="00812493" w:rsidP="00A41887">
            <w:pPr>
              <w:pStyle w:val="BodyText1"/>
              <w:rPr>
                <w:lang w:val="en-US" w:eastAsia="en-US"/>
              </w:rPr>
            </w:pPr>
            <w:r w:rsidRPr="00D154AF">
              <w:rPr>
                <w:lang w:val="en-US" w:eastAsia="en-US"/>
              </w:rPr>
              <w:t>1/11/2010</w:t>
            </w:r>
          </w:p>
        </w:tc>
        <w:tc>
          <w:tcPr>
            <w:tcW w:w="3912" w:type="dxa"/>
            <w:tcBorders>
              <w:top w:val="nil"/>
              <w:left w:val="nil"/>
              <w:bottom w:val="single" w:sz="4" w:space="0" w:color="auto"/>
              <w:right w:val="single" w:sz="4" w:space="0" w:color="auto"/>
            </w:tcBorders>
            <w:shd w:val="clear" w:color="auto" w:fill="auto"/>
            <w:vAlign w:val="center"/>
          </w:tcPr>
          <w:p w14:paraId="0F283D00" w14:textId="77777777" w:rsidR="00812493" w:rsidRPr="00D154AF" w:rsidRDefault="00812493" w:rsidP="00A41887">
            <w:pPr>
              <w:pStyle w:val="BodyText1"/>
              <w:rPr>
                <w:lang w:val="en-US" w:eastAsia="en-US"/>
              </w:rPr>
            </w:pPr>
            <w:r w:rsidRPr="00D154AF">
              <w:rPr>
                <w:lang w:val="en-US" w:eastAsia="en-US"/>
              </w:rPr>
              <w:t>ALENDRONATE AND COMBINATIONS</w:t>
            </w:r>
          </w:p>
        </w:tc>
        <w:tc>
          <w:tcPr>
            <w:tcW w:w="3969" w:type="dxa"/>
            <w:tcBorders>
              <w:top w:val="nil"/>
              <w:left w:val="nil"/>
              <w:bottom w:val="single" w:sz="4" w:space="0" w:color="auto"/>
              <w:right w:val="single" w:sz="4" w:space="0" w:color="auto"/>
            </w:tcBorders>
            <w:shd w:val="clear" w:color="auto" w:fill="auto"/>
            <w:vAlign w:val="center"/>
          </w:tcPr>
          <w:p w14:paraId="15B8D00A" w14:textId="77777777" w:rsidR="00812493" w:rsidRPr="00D154AF" w:rsidRDefault="00812493" w:rsidP="00A41887">
            <w:pPr>
              <w:pStyle w:val="BodyText1"/>
              <w:rPr>
                <w:lang w:val="en-US" w:eastAsia="en-US"/>
              </w:rPr>
            </w:pPr>
            <w:r w:rsidRPr="00D154AF">
              <w:rPr>
                <w:lang w:val="en-US" w:eastAsia="en-US"/>
              </w:rPr>
              <w:t>Extension for people with corticosteroid-induced osteoporosis in a patient on long-term, high-dose corticosteroid therapy with a BMD (BMD) T-score of -1.5 or less</w:t>
            </w:r>
          </w:p>
        </w:tc>
      </w:tr>
      <w:tr w:rsidR="00812493" w:rsidRPr="00D154AF" w14:paraId="0C4CB186"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E1D10D0" w14:textId="77777777" w:rsidR="00812493" w:rsidRPr="00D154AF" w:rsidRDefault="00812493" w:rsidP="00A41887">
            <w:pPr>
              <w:pStyle w:val="BodyText1"/>
              <w:rPr>
                <w:lang w:val="en-US" w:eastAsia="en-US"/>
              </w:rPr>
            </w:pPr>
            <w:r w:rsidRPr="00D154AF">
              <w:rPr>
                <w:lang w:val="en-US" w:eastAsia="en-US"/>
              </w:rPr>
              <w:t>1/12/2010</w:t>
            </w:r>
          </w:p>
        </w:tc>
        <w:tc>
          <w:tcPr>
            <w:tcW w:w="3912" w:type="dxa"/>
            <w:tcBorders>
              <w:top w:val="nil"/>
              <w:left w:val="nil"/>
              <w:bottom w:val="single" w:sz="4" w:space="0" w:color="auto"/>
              <w:right w:val="single" w:sz="4" w:space="0" w:color="auto"/>
            </w:tcBorders>
            <w:shd w:val="clear" w:color="auto" w:fill="auto"/>
            <w:vAlign w:val="center"/>
          </w:tcPr>
          <w:p w14:paraId="7C1AD865" w14:textId="77777777" w:rsidR="00812493" w:rsidRPr="00D154AF" w:rsidRDefault="00812493" w:rsidP="00A41887">
            <w:pPr>
              <w:pStyle w:val="BodyText1"/>
              <w:rPr>
                <w:lang w:val="en-US" w:eastAsia="en-US"/>
              </w:rPr>
            </w:pPr>
            <w:r w:rsidRPr="00D154AF">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14:paraId="2CEC9CEB" w14:textId="77777777" w:rsidR="00812493" w:rsidRPr="00D154AF" w:rsidRDefault="00812493" w:rsidP="00A41887">
            <w:pPr>
              <w:pStyle w:val="BodyText1"/>
              <w:rPr>
                <w:lang w:val="en-US" w:eastAsia="en-US"/>
              </w:rPr>
            </w:pPr>
            <w:r w:rsidRPr="00D154AF">
              <w:rPr>
                <w:lang w:val="en-US" w:eastAsia="en-US"/>
              </w:rPr>
              <w:t>Listed on PBS on cost-minimisation basis with zoledronic acid (with an adjustment to the price to account for the different requirements for administration) for women aged 70 or older with a BMD T-score of -3.0 or less and for established post-menopausal osteoporosis in patients with fracture due to minimal trauma. Listed as Authority Required and changed to STREAMLINED in March 2012.</w:t>
            </w:r>
          </w:p>
        </w:tc>
      </w:tr>
      <w:tr w:rsidR="00812493" w:rsidRPr="00D154AF" w14:paraId="52DB2417"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5432676" w14:textId="77777777" w:rsidR="00812493" w:rsidRPr="00D154AF" w:rsidRDefault="00812493" w:rsidP="00A41887">
            <w:pPr>
              <w:pStyle w:val="BodyText1"/>
              <w:rPr>
                <w:lang w:val="en-US" w:eastAsia="en-US"/>
              </w:rPr>
            </w:pPr>
            <w:r w:rsidRPr="00D154AF">
              <w:rPr>
                <w:lang w:val="en-US" w:eastAsia="en-US"/>
              </w:rPr>
              <w:t>1/04/2011</w:t>
            </w:r>
          </w:p>
        </w:tc>
        <w:tc>
          <w:tcPr>
            <w:tcW w:w="3912" w:type="dxa"/>
            <w:tcBorders>
              <w:top w:val="nil"/>
              <w:left w:val="nil"/>
              <w:bottom w:val="single" w:sz="4" w:space="0" w:color="auto"/>
              <w:right w:val="single" w:sz="4" w:space="0" w:color="auto"/>
            </w:tcBorders>
            <w:shd w:val="clear" w:color="auto" w:fill="auto"/>
            <w:noWrap/>
            <w:vAlign w:val="center"/>
          </w:tcPr>
          <w:p w14:paraId="2C277355" w14:textId="77777777" w:rsidR="00812493" w:rsidRPr="00D154AF" w:rsidRDefault="00812493" w:rsidP="00A41887">
            <w:pPr>
              <w:pStyle w:val="BodyText1"/>
              <w:rPr>
                <w:lang w:val="en-US" w:eastAsia="en-US"/>
              </w:rPr>
            </w:pPr>
            <w:r w:rsidRPr="00D154AF">
              <w:rPr>
                <w:lang w:val="en-US"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14:paraId="00803E1A" w14:textId="77777777" w:rsidR="00812493" w:rsidRPr="00D154AF" w:rsidRDefault="00812493" w:rsidP="00A41887">
            <w:pPr>
              <w:pStyle w:val="BodyText1"/>
              <w:rPr>
                <w:lang w:val="en-US" w:eastAsia="en-US"/>
              </w:rPr>
            </w:pPr>
            <w:r w:rsidRPr="00D154AF">
              <w:rPr>
                <w:lang w:val="en-US" w:eastAsia="en-US"/>
              </w:rPr>
              <w:t>Statutory price reduction</w:t>
            </w:r>
          </w:p>
        </w:tc>
      </w:tr>
      <w:tr w:rsidR="00812493" w:rsidRPr="00D154AF" w14:paraId="1398D71B" w14:textId="77777777" w:rsidTr="00A41887">
        <w:trPr>
          <w:trHeight w:val="1411"/>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C046C7C" w14:textId="77777777" w:rsidR="00812493" w:rsidRPr="00D154AF" w:rsidRDefault="00812493" w:rsidP="00A41887">
            <w:pPr>
              <w:pStyle w:val="BodyText1"/>
              <w:rPr>
                <w:lang w:val="en-US" w:eastAsia="en-US"/>
              </w:rPr>
            </w:pPr>
            <w:r w:rsidRPr="00D154AF">
              <w:rPr>
                <w:lang w:val="en-US" w:eastAsia="en-US"/>
              </w:rPr>
              <w:t>1/12/2011</w:t>
            </w:r>
          </w:p>
        </w:tc>
        <w:tc>
          <w:tcPr>
            <w:tcW w:w="3912" w:type="dxa"/>
            <w:tcBorders>
              <w:top w:val="nil"/>
              <w:left w:val="nil"/>
              <w:bottom w:val="single" w:sz="4" w:space="0" w:color="auto"/>
              <w:right w:val="single" w:sz="4" w:space="0" w:color="auto"/>
            </w:tcBorders>
            <w:shd w:val="clear" w:color="auto" w:fill="auto"/>
            <w:vAlign w:val="center"/>
          </w:tcPr>
          <w:p w14:paraId="10C2A618" w14:textId="77777777" w:rsidR="00812493" w:rsidRPr="00D154AF" w:rsidRDefault="00812493" w:rsidP="00A41887">
            <w:pPr>
              <w:pStyle w:val="BodyText1"/>
              <w:rPr>
                <w:lang w:val="en-US" w:eastAsia="en-US"/>
              </w:rPr>
            </w:pPr>
            <w:r w:rsidRPr="00D154AF">
              <w:rPr>
                <w:lang w:val="en-US" w:eastAsia="en-US"/>
              </w:rPr>
              <w:t>ALENDRONATE AND COMBINATIONS</w:t>
            </w:r>
          </w:p>
        </w:tc>
        <w:tc>
          <w:tcPr>
            <w:tcW w:w="3969" w:type="dxa"/>
            <w:tcBorders>
              <w:top w:val="nil"/>
              <w:left w:val="nil"/>
              <w:bottom w:val="single" w:sz="4" w:space="0" w:color="auto"/>
              <w:right w:val="single" w:sz="4" w:space="0" w:color="auto"/>
            </w:tcBorders>
            <w:shd w:val="clear" w:color="auto" w:fill="auto"/>
            <w:vAlign w:val="center"/>
          </w:tcPr>
          <w:p w14:paraId="166AA06B" w14:textId="77777777" w:rsidR="00812493" w:rsidRPr="00D154AF" w:rsidRDefault="00812493" w:rsidP="00A41887">
            <w:pPr>
              <w:pStyle w:val="BodyText1"/>
              <w:rPr>
                <w:lang w:val="en-US" w:eastAsia="en-US"/>
              </w:rPr>
            </w:pPr>
            <w:r w:rsidRPr="00D154AF">
              <w:rPr>
                <w:lang w:val="en-US" w:eastAsia="en-US"/>
              </w:rPr>
              <w:t>Amend the listing of alendronate for the treatment of osteoporosis for patients aged 70 years and above be changed to include patients with a BMD T score of -2.5 or less</w:t>
            </w:r>
          </w:p>
        </w:tc>
      </w:tr>
      <w:tr w:rsidR="00812493" w:rsidRPr="00D154AF" w14:paraId="606D1E87"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980DD0E" w14:textId="77777777" w:rsidR="00812493" w:rsidRPr="00D154AF" w:rsidRDefault="00812493" w:rsidP="00A41887">
            <w:pPr>
              <w:pStyle w:val="BodyText1"/>
              <w:rPr>
                <w:lang w:val="en-US" w:eastAsia="en-US"/>
              </w:rPr>
            </w:pPr>
            <w:r w:rsidRPr="00D154AF">
              <w:rPr>
                <w:lang w:val="en-US" w:eastAsia="en-US"/>
              </w:rPr>
              <w:t>1/3/2012</w:t>
            </w:r>
          </w:p>
        </w:tc>
        <w:tc>
          <w:tcPr>
            <w:tcW w:w="3912" w:type="dxa"/>
            <w:tcBorders>
              <w:top w:val="nil"/>
              <w:left w:val="nil"/>
              <w:bottom w:val="single" w:sz="4" w:space="0" w:color="auto"/>
              <w:right w:val="single" w:sz="4" w:space="0" w:color="auto"/>
            </w:tcBorders>
            <w:shd w:val="clear" w:color="auto" w:fill="auto"/>
            <w:vAlign w:val="center"/>
          </w:tcPr>
          <w:p w14:paraId="0FAD4F69" w14:textId="77777777" w:rsidR="00812493" w:rsidRPr="00D154AF" w:rsidRDefault="00812493" w:rsidP="00A41887">
            <w:pPr>
              <w:pStyle w:val="BodyText1"/>
              <w:rPr>
                <w:lang w:val="en-US" w:eastAsia="en-US"/>
              </w:rPr>
            </w:pPr>
            <w:r w:rsidRPr="00D154AF">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14:paraId="06CC2326" w14:textId="77777777" w:rsidR="00812493" w:rsidRPr="00D154AF" w:rsidRDefault="00812493" w:rsidP="00A41887">
            <w:pPr>
              <w:pStyle w:val="BodyText1"/>
              <w:rPr>
                <w:lang w:val="en-US" w:eastAsia="en-US"/>
              </w:rPr>
            </w:pPr>
            <w:r w:rsidRPr="00D154AF">
              <w:rPr>
                <w:lang w:val="en-US" w:eastAsia="en-US"/>
              </w:rPr>
              <w:t>Changed to Authority Required (Streamlined)</w:t>
            </w:r>
          </w:p>
        </w:tc>
      </w:tr>
      <w:tr w:rsidR="00812493" w:rsidRPr="00D154AF" w14:paraId="73A29A8C"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53903F3" w14:textId="77777777" w:rsidR="00812493" w:rsidRPr="00D154AF" w:rsidRDefault="00812493" w:rsidP="00A41887">
            <w:pPr>
              <w:pStyle w:val="BodyText1"/>
              <w:rPr>
                <w:lang w:val="en-US" w:eastAsia="en-US"/>
              </w:rPr>
            </w:pPr>
            <w:r w:rsidRPr="00D154AF">
              <w:rPr>
                <w:lang w:val="en-US" w:eastAsia="en-US"/>
              </w:rPr>
              <w:t>1/04/2012</w:t>
            </w:r>
          </w:p>
        </w:tc>
        <w:tc>
          <w:tcPr>
            <w:tcW w:w="3912" w:type="dxa"/>
            <w:tcBorders>
              <w:top w:val="nil"/>
              <w:left w:val="nil"/>
              <w:bottom w:val="single" w:sz="4" w:space="0" w:color="auto"/>
              <w:right w:val="single" w:sz="4" w:space="0" w:color="auto"/>
            </w:tcBorders>
            <w:shd w:val="clear" w:color="auto" w:fill="auto"/>
            <w:vAlign w:val="center"/>
          </w:tcPr>
          <w:p w14:paraId="07595221" w14:textId="77777777" w:rsidR="00812493" w:rsidRPr="00D154AF" w:rsidRDefault="00812493" w:rsidP="00A41887">
            <w:pPr>
              <w:pStyle w:val="BodyText1"/>
              <w:rPr>
                <w:lang w:val="en-US" w:eastAsia="en-US"/>
              </w:rPr>
            </w:pPr>
            <w:r w:rsidRPr="00D154AF">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14:paraId="08B06F18" w14:textId="77777777" w:rsidR="00812493" w:rsidRPr="00D154AF" w:rsidRDefault="00812493" w:rsidP="00A41887">
            <w:pPr>
              <w:pStyle w:val="BodyText1"/>
              <w:rPr>
                <w:lang w:val="en-US" w:eastAsia="en-US"/>
              </w:rPr>
            </w:pPr>
            <w:r w:rsidRPr="00D154AF">
              <w:rPr>
                <w:lang w:val="en-US" w:eastAsia="en-US"/>
              </w:rPr>
              <w:t>Price disclosure reduction of 31.84%</w:t>
            </w:r>
          </w:p>
        </w:tc>
      </w:tr>
      <w:tr w:rsidR="00812493" w:rsidRPr="00D154AF" w14:paraId="0A713BA5" w14:textId="77777777" w:rsidTr="00A41887">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00FDADB" w14:textId="77777777" w:rsidR="00812493" w:rsidRPr="00D154AF" w:rsidRDefault="00812493" w:rsidP="00A41887">
            <w:pPr>
              <w:pStyle w:val="BodyText1"/>
              <w:rPr>
                <w:lang w:val="en-US" w:eastAsia="en-US"/>
              </w:rPr>
            </w:pPr>
            <w:r w:rsidRPr="00D154AF">
              <w:rPr>
                <w:lang w:val="en-US" w:eastAsia="en-US"/>
              </w:rPr>
              <w:t>1/07/2012</w:t>
            </w:r>
          </w:p>
        </w:tc>
        <w:tc>
          <w:tcPr>
            <w:tcW w:w="3912" w:type="dxa"/>
            <w:tcBorders>
              <w:top w:val="nil"/>
              <w:left w:val="nil"/>
              <w:bottom w:val="single" w:sz="4" w:space="0" w:color="auto"/>
              <w:right w:val="single" w:sz="4" w:space="0" w:color="auto"/>
            </w:tcBorders>
            <w:shd w:val="clear" w:color="auto" w:fill="auto"/>
            <w:vAlign w:val="center"/>
          </w:tcPr>
          <w:p w14:paraId="3B4BCFE9" w14:textId="77777777" w:rsidR="00812493" w:rsidRPr="00D154AF" w:rsidRDefault="00812493" w:rsidP="00A41887">
            <w:pPr>
              <w:pStyle w:val="BodyText1"/>
              <w:rPr>
                <w:lang w:val="en-US" w:eastAsia="en-US"/>
              </w:rPr>
            </w:pPr>
            <w:r w:rsidRPr="00D154AF">
              <w:rPr>
                <w:lang w:val="en-US" w:eastAsia="en-US"/>
              </w:rPr>
              <w:t>TERIPARATIDE</w:t>
            </w:r>
          </w:p>
        </w:tc>
        <w:tc>
          <w:tcPr>
            <w:tcW w:w="3969" w:type="dxa"/>
            <w:tcBorders>
              <w:top w:val="nil"/>
              <w:left w:val="nil"/>
              <w:bottom w:val="single" w:sz="4" w:space="0" w:color="auto"/>
              <w:right w:val="single" w:sz="4" w:space="0" w:color="auto"/>
            </w:tcBorders>
            <w:shd w:val="clear" w:color="auto" w:fill="auto"/>
            <w:vAlign w:val="center"/>
          </w:tcPr>
          <w:p w14:paraId="6673FB01" w14:textId="77777777" w:rsidR="00812493" w:rsidRPr="00D154AF" w:rsidRDefault="00812493" w:rsidP="00A41887">
            <w:pPr>
              <w:pStyle w:val="BodyText1"/>
              <w:rPr>
                <w:lang w:val="en-US" w:eastAsia="en-US"/>
              </w:rPr>
            </w:pPr>
            <w:r w:rsidRPr="00D154AF">
              <w:rPr>
                <w:lang w:val="en-US" w:eastAsia="en-US"/>
              </w:rPr>
              <w:t>Changed from written authority (Complex Authority Required to telephone authority (Authority Required)</w:t>
            </w:r>
          </w:p>
        </w:tc>
      </w:tr>
      <w:tr w:rsidR="00812493" w:rsidRPr="00D154AF" w14:paraId="5D856B67"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509DA18" w14:textId="77777777" w:rsidR="00812493" w:rsidRPr="00D154AF" w:rsidRDefault="00812493" w:rsidP="00A41887">
            <w:pPr>
              <w:pStyle w:val="BodyText1"/>
              <w:rPr>
                <w:lang w:val="en-US" w:eastAsia="en-US"/>
              </w:rPr>
            </w:pPr>
            <w:r w:rsidRPr="00D154AF">
              <w:rPr>
                <w:lang w:val="en-US" w:eastAsia="en-US"/>
              </w:rPr>
              <w:t>1/08/2012</w:t>
            </w:r>
          </w:p>
        </w:tc>
        <w:tc>
          <w:tcPr>
            <w:tcW w:w="3912" w:type="dxa"/>
            <w:tcBorders>
              <w:top w:val="nil"/>
              <w:left w:val="nil"/>
              <w:bottom w:val="single" w:sz="4" w:space="0" w:color="auto"/>
              <w:right w:val="single" w:sz="4" w:space="0" w:color="auto"/>
            </w:tcBorders>
            <w:shd w:val="clear" w:color="auto" w:fill="auto"/>
            <w:vAlign w:val="center"/>
          </w:tcPr>
          <w:p w14:paraId="5600AA8D" w14:textId="77777777" w:rsidR="00812493" w:rsidRPr="00D154AF" w:rsidRDefault="00812493" w:rsidP="00A41887">
            <w:pPr>
              <w:pStyle w:val="BodyText1"/>
              <w:rPr>
                <w:lang w:val="en-US" w:eastAsia="en-US"/>
              </w:rPr>
            </w:pPr>
            <w:r w:rsidRPr="00D154AF">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14:paraId="729BC946" w14:textId="77777777" w:rsidR="00812493" w:rsidRPr="00D154AF" w:rsidRDefault="00812493" w:rsidP="00A41887">
            <w:pPr>
              <w:pStyle w:val="BodyText1"/>
              <w:rPr>
                <w:lang w:val="en-US" w:eastAsia="en-US"/>
              </w:rPr>
            </w:pPr>
            <w:r w:rsidRPr="00D154AF">
              <w:rPr>
                <w:lang w:val="en-US" w:eastAsia="en-US"/>
              </w:rPr>
              <w:t>Amend the listing of denosumab for the treatment of osteoporosis for women aged 70 years and above be changed to include patients with a BMD T score of -2.5 or less</w:t>
            </w:r>
          </w:p>
        </w:tc>
      </w:tr>
      <w:tr w:rsidR="00812493" w:rsidRPr="00D154AF" w14:paraId="03AAA6D9"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2763AB0" w14:textId="77777777" w:rsidR="00812493" w:rsidRPr="00D154AF" w:rsidRDefault="00812493" w:rsidP="00A41887">
            <w:pPr>
              <w:pStyle w:val="BodyText1"/>
              <w:rPr>
                <w:lang w:val="en-US" w:eastAsia="en-US"/>
              </w:rPr>
            </w:pPr>
            <w:r w:rsidRPr="00D154AF">
              <w:rPr>
                <w:lang w:val="en-US" w:eastAsia="en-US"/>
              </w:rPr>
              <w:t>1/09/2012</w:t>
            </w:r>
          </w:p>
        </w:tc>
        <w:tc>
          <w:tcPr>
            <w:tcW w:w="3912" w:type="dxa"/>
            <w:tcBorders>
              <w:top w:val="nil"/>
              <w:left w:val="nil"/>
              <w:bottom w:val="single" w:sz="4" w:space="0" w:color="auto"/>
              <w:right w:val="single" w:sz="4" w:space="0" w:color="auto"/>
            </w:tcBorders>
            <w:shd w:val="clear" w:color="auto" w:fill="auto"/>
            <w:vAlign w:val="center"/>
          </w:tcPr>
          <w:p w14:paraId="6CB65DD5" w14:textId="77777777" w:rsidR="00812493" w:rsidRPr="00D154AF" w:rsidRDefault="00812493" w:rsidP="00A41887">
            <w:pPr>
              <w:pStyle w:val="BodyText1"/>
              <w:rPr>
                <w:lang w:val="en-US" w:eastAsia="en-US"/>
              </w:rPr>
            </w:pPr>
            <w:r w:rsidRPr="00D154AF">
              <w:rPr>
                <w:lang w:val="en-US" w:eastAsia="en-US"/>
              </w:rPr>
              <w:t>DISODIUM ETIDRONATE AND COMBINATIONS</w:t>
            </w:r>
          </w:p>
        </w:tc>
        <w:tc>
          <w:tcPr>
            <w:tcW w:w="3969" w:type="dxa"/>
            <w:tcBorders>
              <w:top w:val="nil"/>
              <w:left w:val="nil"/>
              <w:bottom w:val="single" w:sz="4" w:space="0" w:color="auto"/>
              <w:right w:val="single" w:sz="4" w:space="0" w:color="auto"/>
            </w:tcBorders>
            <w:shd w:val="clear" w:color="auto" w:fill="auto"/>
            <w:vAlign w:val="center"/>
          </w:tcPr>
          <w:p w14:paraId="2B3AA3CD" w14:textId="77777777" w:rsidR="00812493" w:rsidRPr="00D154AF" w:rsidRDefault="00812493" w:rsidP="00A41887">
            <w:pPr>
              <w:pStyle w:val="BodyText1"/>
              <w:rPr>
                <w:lang w:val="en-US" w:eastAsia="en-US"/>
              </w:rPr>
            </w:pPr>
            <w:r w:rsidRPr="00D154AF">
              <w:rPr>
                <w:lang w:val="en-US" w:eastAsia="en-US"/>
              </w:rPr>
              <w:t>Delisted at request of Sponsor</w:t>
            </w:r>
          </w:p>
        </w:tc>
      </w:tr>
      <w:tr w:rsidR="00812493" w:rsidRPr="00D154AF" w14:paraId="3EBEDB46"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4CF8F39" w14:textId="77777777" w:rsidR="00812493" w:rsidRPr="00D154AF" w:rsidRDefault="00812493" w:rsidP="00A41887">
            <w:pPr>
              <w:pStyle w:val="BodyText1"/>
              <w:rPr>
                <w:lang w:val="en-US" w:eastAsia="en-US"/>
              </w:rPr>
            </w:pPr>
            <w:r w:rsidRPr="00D154AF">
              <w:rPr>
                <w:lang w:val="en-US" w:eastAsia="en-US"/>
              </w:rPr>
              <w:t>1/12/2012</w:t>
            </w:r>
          </w:p>
        </w:tc>
        <w:tc>
          <w:tcPr>
            <w:tcW w:w="3912" w:type="dxa"/>
            <w:tcBorders>
              <w:top w:val="nil"/>
              <w:left w:val="nil"/>
              <w:bottom w:val="single" w:sz="4" w:space="0" w:color="auto"/>
              <w:right w:val="single" w:sz="4" w:space="0" w:color="auto"/>
            </w:tcBorders>
            <w:shd w:val="clear" w:color="auto" w:fill="auto"/>
            <w:vAlign w:val="center"/>
          </w:tcPr>
          <w:p w14:paraId="69B666FB" w14:textId="77777777" w:rsidR="00812493" w:rsidRPr="00D154AF" w:rsidRDefault="00812493" w:rsidP="00A41887">
            <w:pPr>
              <w:pStyle w:val="BodyText1"/>
              <w:rPr>
                <w:lang w:val="en-US" w:eastAsia="en-US"/>
              </w:rPr>
            </w:pPr>
            <w:r w:rsidRPr="00D154AF">
              <w:rPr>
                <w:lang w:val="en-US"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14:paraId="15998CE5" w14:textId="77777777" w:rsidR="00812493" w:rsidRPr="00D154AF" w:rsidRDefault="00812493" w:rsidP="00A41887">
            <w:pPr>
              <w:pStyle w:val="BodyText1"/>
              <w:rPr>
                <w:lang w:val="en-US" w:eastAsia="en-US"/>
              </w:rPr>
            </w:pPr>
            <w:r w:rsidRPr="00D154AF">
              <w:rPr>
                <w:lang w:val="en-US" w:eastAsia="en-US"/>
              </w:rPr>
              <w:t xml:space="preserve">The price was decreased on 1 December 2012, however following a court order on </w:t>
            </w:r>
            <w:r w:rsidRPr="00D154AF">
              <w:rPr>
                <w:lang w:val="en-US" w:eastAsia="en-US"/>
              </w:rPr>
              <w:lastRenderedPageBreak/>
              <w:t>6 December 2012 the prices were corrected to the 1 November 2012 prices</w:t>
            </w:r>
          </w:p>
        </w:tc>
      </w:tr>
      <w:tr w:rsidR="00812493" w:rsidRPr="00D154AF" w14:paraId="3C31F4BC" w14:textId="77777777" w:rsidTr="00A41887">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AEEDB1B" w14:textId="77777777" w:rsidR="00812493" w:rsidRPr="00D154AF" w:rsidRDefault="00812493" w:rsidP="00A41887">
            <w:pPr>
              <w:pStyle w:val="BodyText1"/>
              <w:rPr>
                <w:lang w:val="en-US" w:eastAsia="en-US"/>
              </w:rPr>
            </w:pPr>
            <w:r w:rsidRPr="00D154AF">
              <w:rPr>
                <w:lang w:val="en-US" w:eastAsia="en-US"/>
              </w:rPr>
              <w:lastRenderedPageBreak/>
              <w:t>1/04/2013</w:t>
            </w:r>
          </w:p>
        </w:tc>
        <w:tc>
          <w:tcPr>
            <w:tcW w:w="3912" w:type="dxa"/>
            <w:tcBorders>
              <w:top w:val="nil"/>
              <w:left w:val="nil"/>
              <w:bottom w:val="single" w:sz="4" w:space="0" w:color="auto"/>
              <w:right w:val="single" w:sz="4" w:space="0" w:color="auto"/>
            </w:tcBorders>
            <w:shd w:val="clear" w:color="auto" w:fill="auto"/>
            <w:vAlign w:val="center"/>
          </w:tcPr>
          <w:p w14:paraId="78586A01" w14:textId="77777777" w:rsidR="00812493" w:rsidRPr="00D154AF" w:rsidRDefault="00812493" w:rsidP="00A41887">
            <w:pPr>
              <w:pStyle w:val="BodyText1"/>
              <w:rPr>
                <w:lang w:val="en-US" w:eastAsia="en-US"/>
              </w:rPr>
            </w:pPr>
            <w:r w:rsidRPr="00D154AF">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14:paraId="72E7A857" w14:textId="77777777" w:rsidR="00812493" w:rsidRPr="00D154AF" w:rsidRDefault="00812493" w:rsidP="00A41887">
            <w:pPr>
              <w:pStyle w:val="BodyText1"/>
              <w:rPr>
                <w:lang w:val="en-US" w:eastAsia="en-US"/>
              </w:rPr>
            </w:pPr>
            <w:r w:rsidRPr="00D154AF">
              <w:rPr>
                <w:lang w:val="en-US" w:eastAsia="en-US"/>
              </w:rPr>
              <w:t>Price disclosure reduction of 31.84%</w:t>
            </w:r>
          </w:p>
        </w:tc>
      </w:tr>
      <w:tr w:rsidR="00812493" w:rsidRPr="00D154AF" w14:paraId="6B4506B9" w14:textId="77777777" w:rsidTr="00A41887">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6B61F" w14:textId="77777777" w:rsidR="00812493" w:rsidRPr="00D154AF" w:rsidRDefault="00812493" w:rsidP="00A41887">
            <w:pPr>
              <w:pStyle w:val="BodyText1"/>
              <w:rPr>
                <w:lang w:val="en-US" w:eastAsia="en-US"/>
              </w:rPr>
            </w:pPr>
            <w:r w:rsidRPr="00D154AF">
              <w:rPr>
                <w:lang w:val="en-US" w:eastAsia="en-US"/>
              </w:rPr>
              <w:t>1/08/2013</w:t>
            </w:r>
          </w:p>
        </w:tc>
        <w:tc>
          <w:tcPr>
            <w:tcW w:w="3912" w:type="dxa"/>
            <w:tcBorders>
              <w:top w:val="single" w:sz="4" w:space="0" w:color="auto"/>
              <w:left w:val="nil"/>
              <w:bottom w:val="single" w:sz="4" w:space="0" w:color="auto"/>
              <w:right w:val="single" w:sz="4" w:space="0" w:color="auto"/>
            </w:tcBorders>
            <w:shd w:val="clear" w:color="auto" w:fill="auto"/>
            <w:vAlign w:val="center"/>
          </w:tcPr>
          <w:p w14:paraId="4205BDB2" w14:textId="77777777" w:rsidR="00812493" w:rsidRPr="00D154AF" w:rsidRDefault="00812493" w:rsidP="00A41887">
            <w:pPr>
              <w:pStyle w:val="BodyText1"/>
              <w:rPr>
                <w:lang w:val="en-US" w:eastAsia="en-US"/>
              </w:rPr>
            </w:pPr>
            <w:r w:rsidRPr="00D154AF">
              <w:rPr>
                <w:lang w:val="en-US" w:eastAsia="en-US"/>
              </w:rPr>
              <w:t>RISEDRONATE AND COMBINATIONS</w:t>
            </w:r>
          </w:p>
        </w:tc>
        <w:tc>
          <w:tcPr>
            <w:tcW w:w="3969" w:type="dxa"/>
            <w:tcBorders>
              <w:top w:val="single" w:sz="4" w:space="0" w:color="auto"/>
              <w:left w:val="nil"/>
              <w:bottom w:val="single" w:sz="4" w:space="0" w:color="auto"/>
              <w:right w:val="single" w:sz="4" w:space="0" w:color="auto"/>
            </w:tcBorders>
            <w:shd w:val="clear" w:color="auto" w:fill="auto"/>
            <w:vAlign w:val="center"/>
          </w:tcPr>
          <w:p w14:paraId="714B27DC" w14:textId="77777777" w:rsidR="00812493" w:rsidRPr="00D154AF" w:rsidRDefault="00812493" w:rsidP="00A41887">
            <w:pPr>
              <w:pStyle w:val="BodyText1"/>
              <w:rPr>
                <w:lang w:val="en-US" w:eastAsia="en-US"/>
              </w:rPr>
            </w:pPr>
            <w:r w:rsidRPr="00D154AF">
              <w:rPr>
                <w:lang w:val="en-US" w:eastAsia="en-US"/>
              </w:rPr>
              <w:t xml:space="preserve">Amend the listing of risedronate for the treatment of osteoporosis for patients aged 70 years and above be changed to include patients with a BMD T score of </w:t>
            </w:r>
            <w:r w:rsidRPr="00D154AF">
              <w:rPr>
                <w:lang w:val="en-US" w:eastAsia="en-US"/>
              </w:rPr>
              <w:noBreakHyphen/>
              <w:t>2.5 or less</w:t>
            </w:r>
          </w:p>
        </w:tc>
      </w:tr>
      <w:tr w:rsidR="00812493" w:rsidRPr="00D154AF" w14:paraId="170F6CDE" w14:textId="77777777" w:rsidTr="00A41887">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FE550" w14:textId="77777777" w:rsidR="00812493" w:rsidRPr="00D154AF" w:rsidRDefault="00812493" w:rsidP="00A41887">
            <w:pPr>
              <w:pStyle w:val="BodyText1"/>
              <w:rPr>
                <w:lang w:val="en-US" w:eastAsia="en-US"/>
              </w:rPr>
            </w:pPr>
            <w:r w:rsidRPr="00D154AF">
              <w:rPr>
                <w:lang w:val="en-US" w:eastAsia="en-US"/>
              </w:rPr>
              <w:t>1/12/2013</w:t>
            </w:r>
          </w:p>
        </w:tc>
        <w:tc>
          <w:tcPr>
            <w:tcW w:w="3912" w:type="dxa"/>
            <w:tcBorders>
              <w:top w:val="single" w:sz="4" w:space="0" w:color="auto"/>
              <w:left w:val="nil"/>
              <w:bottom w:val="single" w:sz="4" w:space="0" w:color="auto"/>
              <w:right w:val="single" w:sz="4" w:space="0" w:color="auto"/>
            </w:tcBorders>
            <w:shd w:val="clear" w:color="auto" w:fill="auto"/>
            <w:vAlign w:val="center"/>
          </w:tcPr>
          <w:p w14:paraId="2CACFC84" w14:textId="77777777" w:rsidR="00812493" w:rsidRPr="00D154AF" w:rsidRDefault="00812493" w:rsidP="00A41887">
            <w:pPr>
              <w:pStyle w:val="BodyText1"/>
              <w:rPr>
                <w:lang w:val="en-US" w:eastAsia="en-US"/>
              </w:rPr>
            </w:pPr>
            <w:r w:rsidRPr="00D154AF">
              <w:rPr>
                <w:lang w:val="en-US" w:eastAsia="en-US"/>
              </w:rPr>
              <w:t>DENOSUMAB</w:t>
            </w:r>
          </w:p>
        </w:tc>
        <w:tc>
          <w:tcPr>
            <w:tcW w:w="3969" w:type="dxa"/>
            <w:tcBorders>
              <w:top w:val="single" w:sz="4" w:space="0" w:color="auto"/>
              <w:left w:val="nil"/>
              <w:bottom w:val="single" w:sz="4" w:space="0" w:color="auto"/>
              <w:right w:val="single" w:sz="4" w:space="0" w:color="auto"/>
            </w:tcBorders>
            <w:shd w:val="clear" w:color="auto" w:fill="auto"/>
            <w:vAlign w:val="center"/>
          </w:tcPr>
          <w:p w14:paraId="03600E40" w14:textId="77777777" w:rsidR="00812493" w:rsidRPr="00D154AF" w:rsidRDefault="00812493" w:rsidP="00A41887">
            <w:pPr>
              <w:pStyle w:val="BodyText1"/>
              <w:rPr>
                <w:lang w:val="en-US" w:eastAsia="en-US"/>
              </w:rPr>
            </w:pPr>
            <w:r w:rsidRPr="00D154AF">
              <w:rPr>
                <w:lang w:val="en-US" w:eastAsia="en-US"/>
              </w:rPr>
              <w:t>Restriction expanded to include males</w:t>
            </w:r>
          </w:p>
        </w:tc>
      </w:tr>
      <w:tr w:rsidR="00812493" w:rsidRPr="00D154AF" w14:paraId="79C6F4A5" w14:textId="77777777" w:rsidTr="00A41887">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03C4B" w14:textId="77777777" w:rsidR="00812493" w:rsidRPr="00D154AF" w:rsidRDefault="00812493" w:rsidP="00A41887">
            <w:pPr>
              <w:pStyle w:val="BodyText1"/>
              <w:rPr>
                <w:lang w:val="en-US" w:eastAsia="en-US"/>
              </w:rPr>
            </w:pPr>
            <w:r w:rsidRPr="00D154AF">
              <w:rPr>
                <w:lang w:val="en-US" w:eastAsia="en-US"/>
              </w:rPr>
              <w:t>1/10/2014</w:t>
            </w:r>
          </w:p>
        </w:tc>
        <w:tc>
          <w:tcPr>
            <w:tcW w:w="3912" w:type="dxa"/>
            <w:tcBorders>
              <w:top w:val="single" w:sz="4" w:space="0" w:color="auto"/>
              <w:left w:val="nil"/>
              <w:bottom w:val="single" w:sz="4" w:space="0" w:color="auto"/>
              <w:right w:val="single" w:sz="4" w:space="0" w:color="auto"/>
            </w:tcBorders>
            <w:shd w:val="clear" w:color="auto" w:fill="auto"/>
            <w:vAlign w:val="center"/>
          </w:tcPr>
          <w:p w14:paraId="60A5D333" w14:textId="77777777" w:rsidR="00812493" w:rsidRPr="00D154AF" w:rsidRDefault="00812493" w:rsidP="00A41887">
            <w:pPr>
              <w:pStyle w:val="BodyText1"/>
              <w:rPr>
                <w:lang w:val="en-US" w:eastAsia="en-US"/>
              </w:rPr>
            </w:pPr>
            <w:r w:rsidRPr="00D154AF">
              <w:rPr>
                <w:lang w:val="en-US" w:eastAsia="en-US"/>
              </w:rPr>
              <w:t>STRONTIUM</w:t>
            </w:r>
          </w:p>
        </w:tc>
        <w:tc>
          <w:tcPr>
            <w:tcW w:w="3969" w:type="dxa"/>
            <w:tcBorders>
              <w:top w:val="single" w:sz="4" w:space="0" w:color="auto"/>
              <w:left w:val="nil"/>
              <w:bottom w:val="single" w:sz="4" w:space="0" w:color="auto"/>
              <w:right w:val="single" w:sz="4" w:space="0" w:color="auto"/>
            </w:tcBorders>
            <w:shd w:val="clear" w:color="auto" w:fill="auto"/>
            <w:vAlign w:val="center"/>
          </w:tcPr>
          <w:p w14:paraId="54A43015" w14:textId="77777777" w:rsidR="00812493" w:rsidRPr="00D154AF" w:rsidRDefault="00812493" w:rsidP="00A41887">
            <w:pPr>
              <w:pStyle w:val="BodyText1"/>
              <w:rPr>
                <w:lang w:val="en-US" w:eastAsia="en-US"/>
              </w:rPr>
            </w:pPr>
            <w:r w:rsidRPr="00D154AF">
              <w:rPr>
                <w:lang w:val="en-US" w:eastAsia="en-US"/>
              </w:rPr>
              <w:t xml:space="preserve">Restriction narrowed. </w:t>
            </w:r>
            <w:r w:rsidRPr="00D154AF">
              <w:rPr>
                <w:lang w:val="en-US" w:eastAsia="en-US"/>
              </w:rPr>
              <w:br/>
              <w:t>• The approval type was change from Authority required (STREAMLINED) to Authority Required.</w:t>
            </w:r>
          </w:p>
          <w:p w14:paraId="39D56654" w14:textId="77777777" w:rsidR="00812493" w:rsidRPr="00D154AF" w:rsidRDefault="00812493" w:rsidP="00A41887">
            <w:pPr>
              <w:pStyle w:val="BodyText1"/>
              <w:rPr>
                <w:lang w:val="en-US" w:eastAsia="en-US"/>
              </w:rPr>
            </w:pPr>
            <w:r w:rsidRPr="00D154AF">
              <w:rPr>
                <w:lang w:val="en-US" w:eastAsia="en-US"/>
              </w:rPr>
              <w:t>• The indication was changed from “Established osteoporosis” to “Severe established osteoporosis”</w:t>
            </w:r>
          </w:p>
          <w:p w14:paraId="4AC3700B" w14:textId="77777777" w:rsidR="00812493" w:rsidRPr="00D154AF" w:rsidRDefault="00812493" w:rsidP="00A41887">
            <w:pPr>
              <w:pStyle w:val="BodyText1"/>
              <w:rPr>
                <w:lang w:val="en-US" w:eastAsia="en-US"/>
              </w:rPr>
            </w:pPr>
            <w:r w:rsidRPr="00D154AF">
              <w:rPr>
                <w:lang w:val="en-US" w:eastAsia="en-US"/>
              </w:rPr>
              <w:t>• The following clinical criteria were added;</w:t>
            </w:r>
          </w:p>
          <w:p w14:paraId="46AE336E" w14:textId="77777777" w:rsidR="00812493" w:rsidRPr="00D154AF" w:rsidRDefault="00812493" w:rsidP="00A41887">
            <w:pPr>
              <w:pStyle w:val="BodyText1"/>
              <w:rPr>
                <w:lang w:val="en-US" w:eastAsia="en-US"/>
              </w:rPr>
            </w:pPr>
            <w:r w:rsidRPr="00D154AF">
              <w:rPr>
                <w:lang w:val="en-US" w:eastAsia="en-US"/>
              </w:rPr>
              <w:t>- Patient must be at high risk of fracture; and</w:t>
            </w:r>
          </w:p>
          <w:p w14:paraId="23F7F035" w14:textId="77777777" w:rsidR="00812493" w:rsidRPr="00D154AF" w:rsidRDefault="00812493" w:rsidP="00A41887">
            <w:pPr>
              <w:pStyle w:val="BodyText1"/>
              <w:rPr>
                <w:lang w:val="en-US" w:eastAsia="en-US"/>
              </w:rPr>
            </w:pPr>
            <w:r w:rsidRPr="00D154AF">
              <w:rPr>
                <w:lang w:val="en-US" w:eastAsia="en-US"/>
              </w:rPr>
              <w:t>- Patient must be unable to use other medications for the treatment of osteoporosis due to contraindications or intolerance.</w:t>
            </w:r>
          </w:p>
        </w:tc>
      </w:tr>
      <w:tr w:rsidR="00812493" w:rsidRPr="00D154AF" w14:paraId="0FC59B90" w14:textId="77777777" w:rsidTr="00A41887">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46483" w14:textId="77777777" w:rsidR="00812493" w:rsidRPr="00D154AF" w:rsidRDefault="00812493" w:rsidP="00A41887">
            <w:pPr>
              <w:pStyle w:val="BodyText1"/>
              <w:rPr>
                <w:lang w:val="en-US" w:eastAsia="en-US"/>
              </w:rPr>
            </w:pPr>
            <w:r w:rsidRPr="00D154AF">
              <w:rPr>
                <w:lang w:val="en-US" w:eastAsia="en-US"/>
              </w:rPr>
              <w:t>1/5/2015</w:t>
            </w:r>
          </w:p>
        </w:tc>
        <w:tc>
          <w:tcPr>
            <w:tcW w:w="3912" w:type="dxa"/>
            <w:tcBorders>
              <w:top w:val="single" w:sz="4" w:space="0" w:color="auto"/>
              <w:left w:val="nil"/>
              <w:bottom w:val="single" w:sz="4" w:space="0" w:color="auto"/>
              <w:right w:val="single" w:sz="4" w:space="0" w:color="auto"/>
            </w:tcBorders>
            <w:shd w:val="clear" w:color="auto" w:fill="auto"/>
            <w:vAlign w:val="center"/>
          </w:tcPr>
          <w:p w14:paraId="1DB0D81F" w14:textId="77777777" w:rsidR="00812493" w:rsidRPr="00D154AF" w:rsidRDefault="00812493" w:rsidP="00A41887">
            <w:pPr>
              <w:pStyle w:val="BodyText1"/>
              <w:rPr>
                <w:lang w:val="en-US" w:eastAsia="en-US"/>
              </w:rPr>
            </w:pPr>
            <w:r w:rsidRPr="00D154AF">
              <w:rPr>
                <w:lang w:val="en-US" w:eastAsia="en-US"/>
              </w:rPr>
              <w:t>ALENDRONATE and RISEDRONATE</w:t>
            </w:r>
          </w:p>
        </w:tc>
        <w:tc>
          <w:tcPr>
            <w:tcW w:w="3969" w:type="dxa"/>
            <w:tcBorders>
              <w:top w:val="single" w:sz="4" w:space="0" w:color="auto"/>
              <w:left w:val="nil"/>
              <w:bottom w:val="single" w:sz="4" w:space="0" w:color="auto"/>
              <w:right w:val="single" w:sz="4" w:space="0" w:color="auto"/>
            </w:tcBorders>
            <w:shd w:val="clear" w:color="auto" w:fill="auto"/>
            <w:vAlign w:val="center"/>
          </w:tcPr>
          <w:p w14:paraId="245FF1A2" w14:textId="77777777" w:rsidR="00812493" w:rsidRPr="00D154AF" w:rsidRDefault="00812493" w:rsidP="00A41887">
            <w:pPr>
              <w:pStyle w:val="BodyText1"/>
              <w:rPr>
                <w:lang w:val="en-US" w:eastAsia="en-US"/>
              </w:rPr>
            </w:pPr>
            <w:r w:rsidRPr="00D154AF">
              <w:rPr>
                <w:lang w:val="en-US" w:eastAsia="en-US"/>
              </w:rPr>
              <w:t>Changed from Authority Required (STREAMLINED) to Restricted Benefit. Combination items including these drugs remained Authority Required (STREAMLINED)</w:t>
            </w:r>
          </w:p>
        </w:tc>
      </w:tr>
      <w:tr w:rsidR="00812493" w:rsidRPr="00D154AF" w14:paraId="6C2DBC0D" w14:textId="77777777" w:rsidTr="00A41887">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D9045" w14:textId="77777777" w:rsidR="00812493" w:rsidRPr="00D154AF" w:rsidRDefault="00812493" w:rsidP="00A41887">
            <w:pPr>
              <w:pStyle w:val="BodyText1"/>
              <w:rPr>
                <w:lang w:val="en-US" w:eastAsia="en-US"/>
              </w:rPr>
            </w:pPr>
            <w:r w:rsidRPr="00D154AF">
              <w:rPr>
                <w:lang w:val="en-US" w:eastAsia="en-US"/>
              </w:rPr>
              <w:t>1/08/2016</w:t>
            </w:r>
          </w:p>
        </w:tc>
        <w:tc>
          <w:tcPr>
            <w:tcW w:w="3912" w:type="dxa"/>
            <w:tcBorders>
              <w:top w:val="single" w:sz="4" w:space="0" w:color="auto"/>
              <w:left w:val="nil"/>
              <w:bottom w:val="single" w:sz="4" w:space="0" w:color="auto"/>
              <w:right w:val="single" w:sz="4" w:space="0" w:color="auto"/>
            </w:tcBorders>
            <w:shd w:val="clear" w:color="auto" w:fill="auto"/>
            <w:vAlign w:val="center"/>
          </w:tcPr>
          <w:p w14:paraId="76C4804E" w14:textId="77777777" w:rsidR="00812493" w:rsidRPr="00D154AF" w:rsidRDefault="00812493" w:rsidP="00A41887">
            <w:pPr>
              <w:pStyle w:val="BodyText1"/>
              <w:rPr>
                <w:lang w:val="en-US" w:eastAsia="en-US"/>
              </w:rPr>
            </w:pPr>
            <w:r w:rsidRPr="00D154AF">
              <w:rPr>
                <w:lang w:val="en-US" w:eastAsia="en-US"/>
              </w:rPr>
              <w:t>STRONTIUM</w:t>
            </w:r>
            <w:r>
              <w:rPr>
                <w:lang w:val="en-US" w:eastAsia="en-US"/>
              </w:rPr>
              <w:t xml:space="preserve"> RANELATE</w:t>
            </w:r>
          </w:p>
        </w:tc>
        <w:tc>
          <w:tcPr>
            <w:tcW w:w="3969" w:type="dxa"/>
            <w:tcBorders>
              <w:top w:val="single" w:sz="4" w:space="0" w:color="auto"/>
              <w:left w:val="nil"/>
              <w:bottom w:val="single" w:sz="4" w:space="0" w:color="auto"/>
              <w:right w:val="single" w:sz="4" w:space="0" w:color="auto"/>
            </w:tcBorders>
            <w:shd w:val="clear" w:color="auto" w:fill="auto"/>
            <w:vAlign w:val="center"/>
          </w:tcPr>
          <w:p w14:paraId="6B7B16FC" w14:textId="77777777" w:rsidR="00812493" w:rsidRPr="00D154AF" w:rsidRDefault="00812493" w:rsidP="00A41887">
            <w:pPr>
              <w:pStyle w:val="BodyText1"/>
              <w:rPr>
                <w:lang w:val="en-US" w:eastAsia="en-US"/>
              </w:rPr>
            </w:pPr>
            <w:r w:rsidRPr="00D154AF">
              <w:rPr>
                <w:lang w:val="en-US" w:eastAsia="en-US"/>
              </w:rPr>
              <w:t>Delisted because the medicine was not cost-effective at the price proposed by the sponsor.</w:t>
            </w:r>
          </w:p>
        </w:tc>
      </w:tr>
    </w:tbl>
    <w:p w14:paraId="5E5EF1E4" w14:textId="48F05CCA" w:rsidR="00D6570D" w:rsidRDefault="00D6570D" w:rsidP="009A70C0">
      <w:pPr>
        <w:spacing w:after="0"/>
      </w:pPr>
    </w:p>
    <w:sectPr w:rsidR="00D6570D" w:rsidSect="00DD188C">
      <w:headerReference w:type="even" r:id="rId33"/>
      <w:headerReference w:type="default" r:id="rId34"/>
      <w:footerReference w:type="even" r:id="rId35"/>
      <w:footerReference w:type="default" r:id="rId36"/>
      <w:headerReference w:type="first" r:id="rId37"/>
      <w:footerReference w:type="first" r:id="rId38"/>
      <w:pgSz w:w="11906" w:h="16838"/>
      <w:pgMar w:top="1644" w:right="1361" w:bottom="1644" w:left="158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B60B4A" w16cid:durableId="22F2B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1096" w14:textId="77777777" w:rsidR="002C76E5" w:rsidRDefault="002C76E5" w:rsidP="00A35800">
      <w:r>
        <w:separator/>
      </w:r>
    </w:p>
  </w:endnote>
  <w:endnote w:type="continuationSeparator" w:id="0">
    <w:p w14:paraId="5925B34B" w14:textId="77777777" w:rsidR="002C76E5" w:rsidRDefault="002C76E5" w:rsidP="00A35800">
      <w:r>
        <w:continuationSeparator/>
      </w:r>
    </w:p>
  </w:endnote>
  <w:endnote w:type="continuationNotice" w:id="1">
    <w:p w14:paraId="66236D5D" w14:textId="77777777" w:rsidR="002C76E5" w:rsidRDefault="002C7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2C76E5" w:rsidRDefault="002C76E5"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C76E5" w:rsidRDefault="002C76E5"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302F591E" w:rsidR="002C76E5" w:rsidRPr="000E72C6" w:rsidRDefault="002A36FB" w:rsidP="000E72C6">
            <w:pPr>
              <w:pStyle w:val="Footer"/>
              <w:jc w:val="center"/>
              <w:rPr>
                <w:i/>
                <w:sz w:val="20"/>
              </w:rPr>
            </w:pPr>
            <w:r>
              <w:rPr>
                <w:i/>
                <w:sz w:val="20"/>
              </w:rPr>
              <w:t>Public Release Document, October 2020 DUSC Meeting</w:t>
            </w:r>
          </w:p>
          <w:p w14:paraId="10292A9A" w14:textId="2097E9F5" w:rsidR="002C76E5" w:rsidRDefault="002C76E5"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52DD4">
              <w:rPr>
                <w:bCs/>
                <w:i/>
                <w:noProof/>
                <w:sz w:val="20"/>
              </w:rPr>
              <w:t>58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52DD4">
              <w:rPr>
                <w:bCs/>
                <w:i/>
                <w:noProof/>
                <w:sz w:val="20"/>
              </w:rPr>
              <w:t>58</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2C76E5" w:rsidRDefault="002C76E5" w:rsidP="007A5733">
    <w:pPr>
      <w:pStyle w:val="Footer"/>
      <w:jc w:val="center"/>
      <w:rPr>
        <w:rStyle w:val="PageNumber"/>
      </w:rPr>
    </w:pPr>
    <w:r>
      <w:rPr>
        <w:rStyle w:val="PageNumber"/>
      </w:rPr>
      <w:t>Committee-in-Confidence</w:t>
    </w:r>
  </w:p>
  <w:p w14:paraId="3CE6880B" w14:textId="77777777" w:rsidR="002C76E5" w:rsidRDefault="002C76E5"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1298" w14:textId="77777777" w:rsidR="002C76E5" w:rsidRDefault="002C76E5" w:rsidP="00A35800">
      <w:r>
        <w:separator/>
      </w:r>
    </w:p>
  </w:footnote>
  <w:footnote w:type="continuationSeparator" w:id="0">
    <w:p w14:paraId="3FBA7509" w14:textId="77777777" w:rsidR="002C76E5" w:rsidRDefault="002C76E5" w:rsidP="00A35800">
      <w:r>
        <w:continuationSeparator/>
      </w:r>
    </w:p>
  </w:footnote>
  <w:footnote w:type="continuationNotice" w:id="1">
    <w:p w14:paraId="07F9EEA8" w14:textId="77777777" w:rsidR="002C76E5" w:rsidRDefault="002C76E5">
      <w:pPr>
        <w:spacing w:after="0"/>
      </w:pPr>
    </w:p>
  </w:footnote>
  <w:footnote w:id="2">
    <w:p w14:paraId="5ED39032" w14:textId="53003DD7" w:rsidR="002C76E5" w:rsidRPr="0003077B" w:rsidRDefault="002C76E5">
      <w:pPr>
        <w:pStyle w:val="FootnoteText"/>
        <w:rPr>
          <w:lang w:val="en-US"/>
        </w:rPr>
      </w:pPr>
      <w:r>
        <w:rPr>
          <w:rStyle w:val="FootnoteReference"/>
        </w:rPr>
        <w:footnoteRef/>
      </w:r>
      <w:r>
        <w:t xml:space="preserve"> </w:t>
      </w:r>
      <w:r w:rsidRPr="0003077B">
        <w:t xml:space="preserve">Naik-Panvelkar P, Norman, S, Elgebaly, Z, et al. Osteoporosis management in Australian general practice: an analysis of current osteoporosis treatment patterns and gaps in practice. </w:t>
      </w:r>
      <w:r w:rsidRPr="00265A3E">
        <w:rPr>
          <w:i/>
        </w:rPr>
        <w:t>BMC Fam Pract</w:t>
      </w:r>
      <w:r w:rsidRPr="0003077B">
        <w:t xml:space="preserve"> 2020; 21(1): 32.</w:t>
      </w:r>
    </w:p>
  </w:footnote>
  <w:footnote w:id="3">
    <w:p w14:paraId="340E181E" w14:textId="34F4FD4B" w:rsidR="002C76E5" w:rsidRPr="0003077B" w:rsidRDefault="002C76E5">
      <w:pPr>
        <w:pStyle w:val="FootnoteText"/>
        <w:rPr>
          <w:lang w:val="en-US"/>
        </w:rPr>
      </w:pPr>
      <w:r>
        <w:rPr>
          <w:rStyle w:val="FootnoteReference"/>
        </w:rPr>
        <w:footnoteRef/>
      </w:r>
      <w:r>
        <w:t xml:space="preserve"> </w:t>
      </w:r>
      <w:r w:rsidRPr="0003077B">
        <w:t>AMH. Australian Medicines Handbook. Adelaide: Australian Medicines Handbook Pty Ltd; 2020.</w:t>
      </w:r>
    </w:p>
  </w:footnote>
  <w:footnote w:id="4">
    <w:p w14:paraId="71B1B417" w14:textId="77777777" w:rsidR="002C76E5" w:rsidRPr="009C3F82" w:rsidRDefault="002C76E5" w:rsidP="00633707">
      <w:pPr>
        <w:pStyle w:val="FootnoteText"/>
      </w:pPr>
      <w:r>
        <w:rPr>
          <w:rStyle w:val="FootnoteReference"/>
        </w:rPr>
        <w:footnoteRef/>
      </w:r>
      <w:r>
        <w:t xml:space="preserve"> A fourth bisphosphonate, etidronate, has not been included as it was removed from the PBS in 2012 (prior to the study period) and is no longer available in Australia.</w:t>
      </w:r>
    </w:p>
  </w:footnote>
  <w:footnote w:id="5">
    <w:p w14:paraId="667CBA37" w14:textId="0469381F" w:rsidR="002C76E5" w:rsidRPr="0003077B" w:rsidRDefault="002C76E5">
      <w:pPr>
        <w:pStyle w:val="FootnoteText"/>
        <w:rPr>
          <w:lang w:val="en-US"/>
        </w:rPr>
      </w:pPr>
      <w:r>
        <w:rPr>
          <w:rStyle w:val="FootnoteReference"/>
        </w:rPr>
        <w:footnoteRef/>
      </w:r>
      <w:r>
        <w:t xml:space="preserve"> </w:t>
      </w:r>
      <w:r w:rsidRPr="0003077B">
        <w:t>Australian Institute of Health and Welfare. Osteoporosis. Canberra: AIHW; 2019.</w:t>
      </w:r>
    </w:p>
  </w:footnote>
  <w:footnote w:id="6">
    <w:p w14:paraId="62869F6B" w14:textId="7B72E2F5" w:rsidR="002C76E5" w:rsidRPr="0003077B" w:rsidRDefault="002C76E5">
      <w:pPr>
        <w:pStyle w:val="FootnoteText"/>
        <w:rPr>
          <w:lang w:val="en-US"/>
        </w:rPr>
      </w:pPr>
      <w:r>
        <w:rPr>
          <w:rStyle w:val="FootnoteReference"/>
        </w:rPr>
        <w:footnoteRef/>
      </w:r>
      <w:r>
        <w:t xml:space="preserve"> </w:t>
      </w:r>
      <w:r w:rsidRPr="0003077B">
        <w:t>The Royal Australian College of General Practitioners, Osteoporosis Australia. Osteoporosis prevention, diagnosis and management in postmenopausal women and men over 50 years of age. East Melbourne: RACGP; 2017.</w:t>
      </w:r>
    </w:p>
  </w:footnote>
  <w:footnote w:id="7">
    <w:p w14:paraId="27D7FB28" w14:textId="608B23A2" w:rsidR="002C76E5" w:rsidRPr="0003077B" w:rsidRDefault="002C76E5">
      <w:pPr>
        <w:pStyle w:val="FootnoteText"/>
        <w:rPr>
          <w:lang w:val="en-US"/>
        </w:rPr>
      </w:pPr>
      <w:r>
        <w:rPr>
          <w:rStyle w:val="FootnoteReference"/>
        </w:rPr>
        <w:footnoteRef/>
      </w:r>
      <w:r>
        <w:t xml:space="preserve"> </w:t>
      </w:r>
      <w:r w:rsidRPr="0003077B">
        <w:t>Expert Group for Bone and Metabolism. Osteoporosis and minimal-trauma fracture [published June 2019]. Melbourne: Therapeutic Guidelines Limited; 2020.</w:t>
      </w:r>
    </w:p>
  </w:footnote>
  <w:footnote w:id="8">
    <w:p w14:paraId="7E017E51" w14:textId="22E24B1B" w:rsidR="002C76E5" w:rsidRPr="00FA2558" w:rsidRDefault="002C76E5">
      <w:pPr>
        <w:pStyle w:val="FootnoteText"/>
        <w:rPr>
          <w:lang w:val="en-US"/>
        </w:rPr>
      </w:pPr>
      <w:r>
        <w:rPr>
          <w:rStyle w:val="FootnoteReference"/>
        </w:rPr>
        <w:footnoteRef/>
      </w:r>
      <w:r>
        <w:t xml:space="preserve"> </w:t>
      </w:r>
      <w:r w:rsidRPr="00FA2558">
        <w:t xml:space="preserve">Tsourdi E, Langdahl, B, Cohen-Solal, M, et al. Discontinuation of Denosumab therapy for osteoporosis: A systematic review and position statement by ECTS. </w:t>
      </w:r>
      <w:r w:rsidRPr="002F0CDA">
        <w:rPr>
          <w:i/>
        </w:rPr>
        <w:t>Bone</w:t>
      </w:r>
      <w:r w:rsidRPr="00FA2558">
        <w:t xml:space="preserve"> 2017; 105: 11-17.</w:t>
      </w:r>
    </w:p>
  </w:footnote>
  <w:footnote w:id="9">
    <w:p w14:paraId="31F7C8D7" w14:textId="2CA45896" w:rsidR="002C76E5" w:rsidRPr="00FA2558" w:rsidRDefault="002C76E5">
      <w:pPr>
        <w:pStyle w:val="FootnoteText"/>
        <w:rPr>
          <w:lang w:val="en-US"/>
        </w:rPr>
      </w:pPr>
      <w:r>
        <w:rPr>
          <w:rStyle w:val="FootnoteReference"/>
        </w:rPr>
        <w:footnoteRef/>
      </w:r>
      <w:r>
        <w:t xml:space="preserve"> </w:t>
      </w:r>
      <w:r w:rsidRPr="00FA2558">
        <w:t>Anastasilakis AD, Polyzos</w:t>
      </w:r>
      <w:r>
        <w:t>,</w:t>
      </w:r>
      <w:r w:rsidRPr="00FA2558">
        <w:t xml:space="preserve"> SA, Makras</w:t>
      </w:r>
      <w:r>
        <w:t>,</w:t>
      </w:r>
      <w:r w:rsidRPr="00FA2558">
        <w:t xml:space="preserve"> P, et al. Clinical Features of 24 Patients With Rebound-Associated Vertebral Fractures After Denosumab Discontinuation: Systematic Review and Additional Cases. </w:t>
      </w:r>
      <w:r w:rsidRPr="002F0CDA">
        <w:rPr>
          <w:i/>
        </w:rPr>
        <w:t>J Bone Miner Res</w:t>
      </w:r>
      <w:r w:rsidRPr="00FA2558">
        <w:t xml:space="preserve"> 2017; 32(6): 1291-1296.</w:t>
      </w:r>
    </w:p>
  </w:footnote>
  <w:footnote w:id="10">
    <w:p w14:paraId="4EEBFDFE" w14:textId="3C884BA9" w:rsidR="002C76E5" w:rsidRPr="00FA2558" w:rsidRDefault="002C76E5">
      <w:pPr>
        <w:pStyle w:val="FootnoteText"/>
        <w:rPr>
          <w:lang w:val="en-US"/>
        </w:rPr>
      </w:pPr>
      <w:r>
        <w:rPr>
          <w:rStyle w:val="FootnoteReference"/>
        </w:rPr>
        <w:footnoteRef/>
      </w:r>
      <w:r>
        <w:t xml:space="preserve"> </w:t>
      </w:r>
      <w:r w:rsidRPr="00FA2558">
        <w:t>Cummings SR, Ferrari</w:t>
      </w:r>
      <w:r>
        <w:t>,</w:t>
      </w:r>
      <w:r w:rsidRPr="00FA2558">
        <w:t xml:space="preserve"> S, Eastell</w:t>
      </w:r>
      <w:r>
        <w:t>,</w:t>
      </w:r>
      <w:r w:rsidRPr="00FA2558">
        <w:t xml:space="preserve"> R, et al. Vertebral Fractures After Discontinuation of Denosumab: A Post Hoc Analysis of the Randomized Placebo-Controlled FREEDOM Trial and Its Extension. </w:t>
      </w:r>
      <w:r w:rsidRPr="002F0CDA">
        <w:rPr>
          <w:i/>
        </w:rPr>
        <w:t>J Bone Miner Res</w:t>
      </w:r>
      <w:r w:rsidRPr="00FA2558">
        <w:t xml:space="preserve"> 2018; 33(2): 190-198.</w:t>
      </w:r>
    </w:p>
  </w:footnote>
  <w:footnote w:id="11">
    <w:p w14:paraId="5A4FA757" w14:textId="2832B452" w:rsidR="002C76E5" w:rsidRPr="00BB5238" w:rsidRDefault="002C76E5">
      <w:pPr>
        <w:pStyle w:val="FootnoteText"/>
        <w:rPr>
          <w:lang w:val="en-US"/>
        </w:rPr>
      </w:pPr>
      <w:r>
        <w:rPr>
          <w:rStyle w:val="FootnoteReference"/>
        </w:rPr>
        <w:footnoteRef/>
      </w:r>
      <w:r>
        <w:t xml:space="preserve"> </w:t>
      </w:r>
      <w:r w:rsidRPr="00440AB9">
        <w:t>Australian Bureau of Statistics, 2020</w:t>
      </w:r>
      <w:r>
        <w:t xml:space="preserve">. </w:t>
      </w:r>
      <w:hyperlink r:id="rId1" w:history="1">
        <w:r w:rsidRPr="00440AB9">
          <w:rPr>
            <w:rStyle w:val="Hyperlink"/>
          </w:rPr>
          <w:t>http://stat.data.abs.gov.au/Index.aspx?DataSetCode=ERP_QUARTERLY#</w:t>
        </w:r>
      </w:hyperlink>
    </w:p>
  </w:footnote>
  <w:footnote w:id="12">
    <w:p w14:paraId="51597D53" w14:textId="7377E373" w:rsidR="002C76E5" w:rsidRPr="00251616" w:rsidRDefault="002C76E5">
      <w:pPr>
        <w:pStyle w:val="FootnoteText"/>
        <w:rPr>
          <w:lang w:val="en-US"/>
        </w:rPr>
      </w:pPr>
      <w:r>
        <w:rPr>
          <w:rStyle w:val="FootnoteReference"/>
        </w:rPr>
        <w:footnoteRef/>
      </w:r>
      <w:r>
        <w:t xml:space="preserve"> </w:t>
      </w:r>
      <w:r w:rsidRPr="00BA405D">
        <w:t>Principles on the use of direct age-standardisation in administrative data collections, September 2011, AIHW</w:t>
      </w:r>
    </w:p>
  </w:footnote>
  <w:footnote w:id="13">
    <w:p w14:paraId="30CCF23E" w14:textId="5B94737A" w:rsidR="002C76E5" w:rsidRPr="003D67E4" w:rsidRDefault="002C76E5">
      <w:pPr>
        <w:pStyle w:val="FootnoteText"/>
        <w:rPr>
          <w:lang w:val="en-US"/>
        </w:rPr>
      </w:pPr>
      <w:r>
        <w:rPr>
          <w:rStyle w:val="FootnoteReference"/>
        </w:rPr>
        <w:footnoteRef/>
      </w:r>
      <w:r>
        <w:t xml:space="preserve"> </w:t>
      </w:r>
      <w:r>
        <w:rPr>
          <w:lang w:val="en-US"/>
        </w:rPr>
        <w:t xml:space="preserve">Brookhart MA, Avorn, J, Katz, JN, </w:t>
      </w:r>
      <w:r w:rsidRPr="005A4042">
        <w:rPr>
          <w:iCs/>
          <w:lang w:val="en-US"/>
        </w:rPr>
        <w:t>et al</w:t>
      </w:r>
      <w:r>
        <w:rPr>
          <w:lang w:val="en-US"/>
        </w:rPr>
        <w:t xml:space="preserve">. </w:t>
      </w:r>
      <w:r w:rsidRPr="003D67E4">
        <w:rPr>
          <w:lang w:val="en-US"/>
        </w:rPr>
        <w:t>Gaps in treatment among users of osteoporosis medications: the dynamics of noncompliance</w:t>
      </w:r>
      <w:r>
        <w:rPr>
          <w:lang w:val="en-US"/>
        </w:rPr>
        <w:t xml:space="preserve">. </w:t>
      </w:r>
      <w:r w:rsidRPr="003D67E4">
        <w:rPr>
          <w:i/>
          <w:iCs/>
          <w:lang w:val="en-US"/>
        </w:rPr>
        <w:t>Am J Med</w:t>
      </w:r>
      <w:r>
        <w:rPr>
          <w:lang w:val="en-US"/>
        </w:rPr>
        <w:t xml:space="preserve"> 2007;120(3): 251-256.</w:t>
      </w:r>
    </w:p>
  </w:footnote>
  <w:footnote w:id="14">
    <w:p w14:paraId="736F4D16" w14:textId="77777777" w:rsidR="002C76E5" w:rsidRPr="00D43391" w:rsidRDefault="002C76E5" w:rsidP="002C76E5">
      <w:pPr>
        <w:pStyle w:val="FootnoteText"/>
      </w:pPr>
      <w:r>
        <w:rPr>
          <w:rStyle w:val="FootnoteReference"/>
        </w:rPr>
        <w:footnoteRef/>
      </w:r>
      <w:r>
        <w:t xml:space="preserve"> </w:t>
      </w:r>
      <w:r w:rsidRPr="00D43391">
        <w:t>During a recent in-practice validation study, the MedicineInsight osteoporosis flag had excellent sensitivity, specificity, PPV and NPV (all 0.94 and above) making it a reliable measure of the prevalence o</w:t>
      </w:r>
      <w:r>
        <w:t>f</w:t>
      </w:r>
      <w:r w:rsidRPr="00D43391">
        <w:t xml:space="preserve"> osteoporosis according to general practice records.</w:t>
      </w:r>
      <w:r>
        <w:t xml:space="preserve"> The MedicineInsight was compared with electronic records at the practice including medical history</w:t>
      </w:r>
      <w:r w:rsidRPr="007607E1">
        <w:t>, reason for visit, reason for prescription, correspondence</w:t>
      </w:r>
      <w:r>
        <w:t>,</w:t>
      </w:r>
      <w:r w:rsidRPr="007607E1">
        <w:t xml:space="preserve"> </w:t>
      </w:r>
      <w:r>
        <w:t xml:space="preserve">bone </w:t>
      </w:r>
      <w:r w:rsidRPr="007607E1">
        <w:t>mineral density test results</w:t>
      </w:r>
      <w:r>
        <w:t xml:space="preserve"> </w:t>
      </w:r>
      <w:r w:rsidRPr="007607E1">
        <w:t xml:space="preserve">and progress notes. </w:t>
      </w:r>
      <w:r>
        <w:t xml:space="preserve"> These findings are being submitted for publication.</w:t>
      </w:r>
    </w:p>
  </w:footnote>
  <w:footnote w:id="15">
    <w:p w14:paraId="4E2D00BF" w14:textId="4F0D6C9C" w:rsidR="002C76E5" w:rsidRPr="00014D20" w:rsidRDefault="002C76E5">
      <w:pPr>
        <w:pStyle w:val="FootnoteText"/>
        <w:rPr>
          <w:lang w:val="en-US"/>
        </w:rPr>
      </w:pPr>
      <w:r>
        <w:rPr>
          <w:rStyle w:val="FootnoteReference"/>
        </w:rPr>
        <w:footnoteRef/>
      </w:r>
      <w:r>
        <w:t xml:space="preserve"> </w:t>
      </w:r>
      <w:r>
        <w:rPr>
          <w:lang w:val="en-US"/>
        </w:rPr>
        <w:t>Note that this group of patients includes all patients started on denosumab regardless of whether they had been dispensed another osteoporosis medicine prior to starting denosumab or not. This differs from t</w:t>
      </w:r>
      <w:r w:rsidR="0041121F">
        <w:rPr>
          <w:lang w:val="en-US"/>
        </w:rPr>
        <w:t>he analyses provided in Table 19</w:t>
      </w:r>
      <w:r>
        <w:rPr>
          <w:lang w:val="en-US"/>
        </w:rPr>
        <w:t xml:space="preserve"> and</w:t>
      </w:r>
      <w:r w:rsidR="0041121F">
        <w:rPr>
          <w:lang w:val="en-US"/>
        </w:rPr>
        <w:t xml:space="preserve"> 20</w:t>
      </w:r>
      <w:r>
        <w:rPr>
          <w:lang w:val="en-US"/>
        </w:rPr>
        <w:t>, in which the data on denosumab only applies to patients who were directly started on denosumab without being dispensed another osteoporosis medicine beforehand.</w:t>
      </w:r>
    </w:p>
  </w:footnote>
  <w:footnote w:id="16">
    <w:p w14:paraId="3EC95A09" w14:textId="77777777" w:rsidR="00812493" w:rsidRPr="00F00232" w:rsidRDefault="00812493" w:rsidP="00812493">
      <w:pPr>
        <w:pStyle w:val="FootnoteText"/>
        <w:rPr>
          <w:lang w:val="en-US"/>
        </w:rPr>
      </w:pPr>
      <w:r>
        <w:rPr>
          <w:rStyle w:val="FootnoteReference"/>
        </w:rPr>
        <w:footnoteRef/>
      </w:r>
      <w:r>
        <w:t xml:space="preserve"> The term practice site is used to describe one or more practices that share the same installation of the clinical information system (CIS). For example, one organisation may consist of a number of geographically diverse general practices who all share the same CIS, or a site may be a single GP practice.</w:t>
      </w:r>
    </w:p>
  </w:footnote>
  <w:footnote w:id="17">
    <w:p w14:paraId="4D8FD496" w14:textId="77777777" w:rsidR="00812493" w:rsidRPr="00782F44" w:rsidRDefault="00812493" w:rsidP="00812493">
      <w:pPr>
        <w:pStyle w:val="FootnoteText"/>
        <w:rPr>
          <w:lang w:val="en-US"/>
        </w:rPr>
      </w:pPr>
      <w:r>
        <w:rPr>
          <w:rStyle w:val="FootnoteReference"/>
        </w:rPr>
        <w:footnoteRef/>
      </w:r>
      <w:r>
        <w:t xml:space="preserve"> </w:t>
      </w:r>
      <w:r w:rsidRPr="000B443B">
        <w:t xml:space="preserve">Naik-Panvelkar P, Norman, S, Elgebaly, Z, et al. Osteoporosis management in Australian general practice: an analysis of current osteoporosis treatment patterns and gaps in practice. </w:t>
      </w:r>
      <w:r w:rsidRPr="000B443B">
        <w:rPr>
          <w:i/>
        </w:rPr>
        <w:t>BMC Fam Pract</w:t>
      </w:r>
      <w:r w:rsidRPr="000B443B">
        <w:t xml:space="preserve"> 2020; 21(1): 32.</w:t>
      </w:r>
    </w:p>
  </w:footnote>
  <w:footnote w:id="18">
    <w:p w14:paraId="66CF5E8D" w14:textId="77777777" w:rsidR="002A36FB" w:rsidRDefault="002A36FB" w:rsidP="002A36FB">
      <w:pPr>
        <w:pStyle w:val="FootnoteText"/>
      </w:pPr>
      <w:r>
        <w:rPr>
          <w:rStyle w:val="FootnoteReference"/>
        </w:rPr>
        <w:footnoteRef/>
      </w:r>
      <w:r>
        <w:t xml:space="preserve"> </w:t>
      </w:r>
      <w:r w:rsidRPr="00E93AA0">
        <w:t xml:space="preserve">Naik-Panvelkar P, Norman, S, Elgebaly, Z, et al. Osteoporosis management in Australian general practice: an analysis of current osteoporosis treatment patterns and gaps in practice. </w:t>
      </w:r>
      <w:r w:rsidRPr="006F5855">
        <w:rPr>
          <w:i/>
        </w:rPr>
        <w:t>BMC Fam Pract</w:t>
      </w:r>
      <w:r w:rsidRPr="00E93AA0">
        <w:t xml:space="preserve"> 2020; 21(1): 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88EF" w14:textId="77777777" w:rsidR="002A36FB" w:rsidRDefault="002A3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7B84" w14:textId="3CF06EE1" w:rsidR="002C76E5" w:rsidRDefault="002C76E5" w:rsidP="00FB77FA">
    <w:pPr>
      <w:pStyle w:val="Header"/>
    </w:pPr>
    <w:r>
      <w:t>Item 7.3 DUSC October 2020</w:t>
    </w:r>
  </w:p>
  <w:p w14:paraId="3A96F15D" w14:textId="77777777" w:rsidR="002C76E5" w:rsidRDefault="002C7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6DDA" w14:textId="77777777" w:rsidR="002A36FB" w:rsidRDefault="002A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BD9"/>
    <w:multiLevelType w:val="hybridMultilevel"/>
    <w:tmpl w:val="E40EA31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 w15:restartNumberingAfterBreak="0">
    <w:nsid w:val="09F24699"/>
    <w:multiLevelType w:val="hybridMultilevel"/>
    <w:tmpl w:val="24B0B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2CE1421"/>
    <w:multiLevelType w:val="hybridMultilevel"/>
    <w:tmpl w:val="D4FC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A92F13"/>
    <w:multiLevelType w:val="hybridMultilevel"/>
    <w:tmpl w:val="3EDCC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D9694F"/>
    <w:multiLevelType w:val="hybridMultilevel"/>
    <w:tmpl w:val="AC2E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43DF6"/>
    <w:multiLevelType w:val="hybridMultilevel"/>
    <w:tmpl w:val="7980A3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41300B12"/>
    <w:multiLevelType w:val="multilevel"/>
    <w:tmpl w:val="04A0B8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numFmt w:val="bullet"/>
      <w:lvlText w:val="•"/>
      <w:lvlJc w:val="left"/>
      <w:pPr>
        <w:ind w:left="2520" w:hanging="720"/>
      </w:pPr>
      <w:rPr>
        <w:rFonts w:ascii="Calibri" w:eastAsiaTheme="minorEastAsia" w:hAnsi="Calibri" w:cs="Calibri" w:hint="default"/>
      </w:rPr>
    </w:lvl>
    <w:lvl w:ilvl="3">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277F3A"/>
    <w:multiLevelType w:val="hybridMultilevel"/>
    <w:tmpl w:val="6E5EA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10182"/>
    <w:multiLevelType w:val="hybridMultilevel"/>
    <w:tmpl w:val="FD8A5ED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4" w15:restartNumberingAfterBreak="0">
    <w:nsid w:val="564677AA"/>
    <w:multiLevelType w:val="hybridMultilevel"/>
    <w:tmpl w:val="1690E3CA"/>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507BE5"/>
    <w:multiLevelType w:val="hybridMultilevel"/>
    <w:tmpl w:val="96CA4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7"/>
  </w:num>
  <w:num w:numId="4">
    <w:abstractNumId w:val="5"/>
  </w:num>
  <w:num w:numId="5">
    <w:abstractNumId w:val="8"/>
  </w:num>
  <w:num w:numId="6">
    <w:abstractNumId w:val="20"/>
  </w:num>
  <w:num w:numId="7">
    <w:abstractNumId w:val="22"/>
  </w:num>
  <w:num w:numId="8">
    <w:abstractNumId w:val="17"/>
  </w:num>
  <w:num w:numId="9">
    <w:abstractNumId w:val="15"/>
  </w:num>
  <w:num w:numId="10">
    <w:abstractNumId w:val="18"/>
  </w:num>
  <w:num w:numId="11">
    <w:abstractNumId w:val="3"/>
  </w:num>
  <w:num w:numId="12">
    <w:abstractNumId w:val="2"/>
  </w:num>
  <w:num w:numId="13">
    <w:abstractNumId w:val="14"/>
  </w:num>
  <w:num w:numId="14">
    <w:abstractNumId w:val="11"/>
  </w:num>
  <w:num w:numId="15">
    <w:abstractNumId w:val="4"/>
  </w:num>
  <w:num w:numId="16">
    <w:abstractNumId w:val="12"/>
  </w:num>
  <w:num w:numId="17">
    <w:abstractNumId w:val="9"/>
  </w:num>
  <w:num w:numId="18">
    <w:abstractNumId w:val="6"/>
  </w:num>
  <w:num w:numId="19">
    <w:abstractNumId w:val="13"/>
  </w:num>
  <w:num w:numId="20">
    <w:abstractNumId w:val="10"/>
  </w:num>
  <w:num w:numId="21">
    <w:abstractNumId w:val="0"/>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NPS full style mo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ta2ep5hwtdrneevt1xprxm9sa2wvvrzpf5&quot;&gt;DUSC denosumab&lt;record-ids&gt;&lt;item&gt;1&lt;/item&gt;&lt;item&gt;2&lt;/item&gt;&lt;item&gt;3&lt;/item&gt;&lt;item&gt;4&lt;/item&gt;&lt;item&gt;5&lt;/item&gt;&lt;item&gt;6&lt;/item&gt;&lt;item&gt;7&lt;/item&gt;&lt;item&gt;8&lt;/item&gt;&lt;item&gt;9&lt;/item&gt;&lt;item&gt;10&lt;/item&gt;&lt;/record-ids&gt;&lt;/item&gt;&lt;/Libraries&gt;"/>
  </w:docVars>
  <w:rsids>
    <w:rsidRoot w:val="00736041"/>
    <w:rsid w:val="000016FC"/>
    <w:rsid w:val="0000479E"/>
    <w:rsid w:val="00004854"/>
    <w:rsid w:val="000051F6"/>
    <w:rsid w:val="00007CF5"/>
    <w:rsid w:val="00007E85"/>
    <w:rsid w:val="00010173"/>
    <w:rsid w:val="000102A0"/>
    <w:rsid w:val="00013465"/>
    <w:rsid w:val="000134C3"/>
    <w:rsid w:val="000135C0"/>
    <w:rsid w:val="000146C6"/>
    <w:rsid w:val="00014959"/>
    <w:rsid w:val="00014D20"/>
    <w:rsid w:val="00015444"/>
    <w:rsid w:val="00015FE3"/>
    <w:rsid w:val="000170DF"/>
    <w:rsid w:val="000175ED"/>
    <w:rsid w:val="000178BF"/>
    <w:rsid w:val="00017B32"/>
    <w:rsid w:val="000208A8"/>
    <w:rsid w:val="00020E47"/>
    <w:rsid w:val="00020F8F"/>
    <w:rsid w:val="000226B3"/>
    <w:rsid w:val="00023486"/>
    <w:rsid w:val="00024549"/>
    <w:rsid w:val="0002615E"/>
    <w:rsid w:val="0002652B"/>
    <w:rsid w:val="0002704B"/>
    <w:rsid w:val="00027ED8"/>
    <w:rsid w:val="0003077B"/>
    <w:rsid w:val="00031ECA"/>
    <w:rsid w:val="0003451C"/>
    <w:rsid w:val="00034709"/>
    <w:rsid w:val="00034BC0"/>
    <w:rsid w:val="00035907"/>
    <w:rsid w:val="0003668D"/>
    <w:rsid w:val="000366B0"/>
    <w:rsid w:val="0003718B"/>
    <w:rsid w:val="00041803"/>
    <w:rsid w:val="0004271F"/>
    <w:rsid w:val="000444D6"/>
    <w:rsid w:val="00044B67"/>
    <w:rsid w:val="00046475"/>
    <w:rsid w:val="00046F65"/>
    <w:rsid w:val="00046F85"/>
    <w:rsid w:val="0005052E"/>
    <w:rsid w:val="00051AC0"/>
    <w:rsid w:val="00051C19"/>
    <w:rsid w:val="00051D09"/>
    <w:rsid w:val="00051F8F"/>
    <w:rsid w:val="0005256D"/>
    <w:rsid w:val="000538A0"/>
    <w:rsid w:val="00053C8F"/>
    <w:rsid w:val="0005410E"/>
    <w:rsid w:val="000544B6"/>
    <w:rsid w:val="00054A22"/>
    <w:rsid w:val="00055285"/>
    <w:rsid w:val="00055A87"/>
    <w:rsid w:val="000604AF"/>
    <w:rsid w:val="00060590"/>
    <w:rsid w:val="00061C11"/>
    <w:rsid w:val="00062CFF"/>
    <w:rsid w:val="00063ADF"/>
    <w:rsid w:val="00064AD9"/>
    <w:rsid w:val="000662B1"/>
    <w:rsid w:val="00066EDF"/>
    <w:rsid w:val="00070E7A"/>
    <w:rsid w:val="00071B2B"/>
    <w:rsid w:val="00072DCB"/>
    <w:rsid w:val="00073FF7"/>
    <w:rsid w:val="000740E2"/>
    <w:rsid w:val="00074C13"/>
    <w:rsid w:val="000751ED"/>
    <w:rsid w:val="00075DBD"/>
    <w:rsid w:val="00077B3B"/>
    <w:rsid w:val="00077D0B"/>
    <w:rsid w:val="00081A77"/>
    <w:rsid w:val="00083702"/>
    <w:rsid w:val="000854FB"/>
    <w:rsid w:val="0008679C"/>
    <w:rsid w:val="00086C11"/>
    <w:rsid w:val="00090613"/>
    <w:rsid w:val="0009122B"/>
    <w:rsid w:val="00091330"/>
    <w:rsid w:val="00091415"/>
    <w:rsid w:val="00093AA6"/>
    <w:rsid w:val="00094999"/>
    <w:rsid w:val="00094D7A"/>
    <w:rsid w:val="00094DCF"/>
    <w:rsid w:val="00095113"/>
    <w:rsid w:val="000960AD"/>
    <w:rsid w:val="00096B9F"/>
    <w:rsid w:val="00097829"/>
    <w:rsid w:val="00097832"/>
    <w:rsid w:val="000A0375"/>
    <w:rsid w:val="000A06E8"/>
    <w:rsid w:val="000A24CE"/>
    <w:rsid w:val="000A2FEE"/>
    <w:rsid w:val="000A41E7"/>
    <w:rsid w:val="000A6CFD"/>
    <w:rsid w:val="000A791F"/>
    <w:rsid w:val="000A7B1B"/>
    <w:rsid w:val="000A7E3B"/>
    <w:rsid w:val="000B0982"/>
    <w:rsid w:val="000B41F6"/>
    <w:rsid w:val="000B7693"/>
    <w:rsid w:val="000B796C"/>
    <w:rsid w:val="000C06D4"/>
    <w:rsid w:val="000C0D5F"/>
    <w:rsid w:val="000C21B3"/>
    <w:rsid w:val="000C2D82"/>
    <w:rsid w:val="000C3298"/>
    <w:rsid w:val="000C3A98"/>
    <w:rsid w:val="000C46BB"/>
    <w:rsid w:val="000C4D9D"/>
    <w:rsid w:val="000C75EB"/>
    <w:rsid w:val="000C7ADF"/>
    <w:rsid w:val="000C7C4B"/>
    <w:rsid w:val="000C7D8B"/>
    <w:rsid w:val="000D1B42"/>
    <w:rsid w:val="000D2690"/>
    <w:rsid w:val="000D2A49"/>
    <w:rsid w:val="000D30EA"/>
    <w:rsid w:val="000D31EA"/>
    <w:rsid w:val="000D35EF"/>
    <w:rsid w:val="000D4C39"/>
    <w:rsid w:val="000D5F7C"/>
    <w:rsid w:val="000E0403"/>
    <w:rsid w:val="000E0D33"/>
    <w:rsid w:val="000E177A"/>
    <w:rsid w:val="000E1F32"/>
    <w:rsid w:val="000E3379"/>
    <w:rsid w:val="000E3FD2"/>
    <w:rsid w:val="000E4646"/>
    <w:rsid w:val="000E485D"/>
    <w:rsid w:val="000E72C6"/>
    <w:rsid w:val="000E7FFD"/>
    <w:rsid w:val="000F0007"/>
    <w:rsid w:val="000F0B2A"/>
    <w:rsid w:val="000F1893"/>
    <w:rsid w:val="000F25AC"/>
    <w:rsid w:val="000F2F51"/>
    <w:rsid w:val="000F35D9"/>
    <w:rsid w:val="000F3A9B"/>
    <w:rsid w:val="000F4C2A"/>
    <w:rsid w:val="0010222F"/>
    <w:rsid w:val="0010246D"/>
    <w:rsid w:val="001027EB"/>
    <w:rsid w:val="0010285E"/>
    <w:rsid w:val="0010290E"/>
    <w:rsid w:val="00102B5D"/>
    <w:rsid w:val="001031E4"/>
    <w:rsid w:val="00103A7C"/>
    <w:rsid w:val="0010420A"/>
    <w:rsid w:val="001052F4"/>
    <w:rsid w:val="00110939"/>
    <w:rsid w:val="00112A30"/>
    <w:rsid w:val="00113CF8"/>
    <w:rsid w:val="00113D74"/>
    <w:rsid w:val="001150D7"/>
    <w:rsid w:val="00115843"/>
    <w:rsid w:val="00116DAB"/>
    <w:rsid w:val="00116F25"/>
    <w:rsid w:val="00116FA1"/>
    <w:rsid w:val="00117C5C"/>
    <w:rsid w:val="00120EF5"/>
    <w:rsid w:val="00121F7A"/>
    <w:rsid w:val="001221FF"/>
    <w:rsid w:val="001222B4"/>
    <w:rsid w:val="001244A3"/>
    <w:rsid w:val="00124896"/>
    <w:rsid w:val="001276E9"/>
    <w:rsid w:val="00127DF5"/>
    <w:rsid w:val="00130D4A"/>
    <w:rsid w:val="00130E32"/>
    <w:rsid w:val="001310AE"/>
    <w:rsid w:val="001334D6"/>
    <w:rsid w:val="00133A50"/>
    <w:rsid w:val="00134587"/>
    <w:rsid w:val="00135204"/>
    <w:rsid w:val="001364B1"/>
    <w:rsid w:val="001366C1"/>
    <w:rsid w:val="0013679A"/>
    <w:rsid w:val="00140D94"/>
    <w:rsid w:val="00140DF7"/>
    <w:rsid w:val="00141433"/>
    <w:rsid w:val="001420B3"/>
    <w:rsid w:val="00145999"/>
    <w:rsid w:val="001460C4"/>
    <w:rsid w:val="00146922"/>
    <w:rsid w:val="00146AB0"/>
    <w:rsid w:val="0014726B"/>
    <w:rsid w:val="0014745D"/>
    <w:rsid w:val="00150150"/>
    <w:rsid w:val="00150384"/>
    <w:rsid w:val="001516FA"/>
    <w:rsid w:val="00151AA3"/>
    <w:rsid w:val="00152DD4"/>
    <w:rsid w:val="00153800"/>
    <w:rsid w:val="0015691C"/>
    <w:rsid w:val="00156FD6"/>
    <w:rsid w:val="00160586"/>
    <w:rsid w:val="00160764"/>
    <w:rsid w:val="001621F7"/>
    <w:rsid w:val="001624D7"/>
    <w:rsid w:val="00162532"/>
    <w:rsid w:val="00162EE7"/>
    <w:rsid w:val="00164D8A"/>
    <w:rsid w:val="00165094"/>
    <w:rsid w:val="001651CB"/>
    <w:rsid w:val="00166664"/>
    <w:rsid w:val="00167921"/>
    <w:rsid w:val="00170A32"/>
    <w:rsid w:val="00171283"/>
    <w:rsid w:val="001719A9"/>
    <w:rsid w:val="00171DFE"/>
    <w:rsid w:val="00174384"/>
    <w:rsid w:val="00176332"/>
    <w:rsid w:val="00176750"/>
    <w:rsid w:val="00177524"/>
    <w:rsid w:val="00177B86"/>
    <w:rsid w:val="001804AB"/>
    <w:rsid w:val="00180D12"/>
    <w:rsid w:val="0018153E"/>
    <w:rsid w:val="00181AC9"/>
    <w:rsid w:val="00182585"/>
    <w:rsid w:val="00185A31"/>
    <w:rsid w:val="00186A2E"/>
    <w:rsid w:val="00187F16"/>
    <w:rsid w:val="00191182"/>
    <w:rsid w:val="001911D9"/>
    <w:rsid w:val="00191D1F"/>
    <w:rsid w:val="001926EE"/>
    <w:rsid w:val="00192851"/>
    <w:rsid w:val="00192C88"/>
    <w:rsid w:val="00194E9A"/>
    <w:rsid w:val="00195110"/>
    <w:rsid w:val="00195E8F"/>
    <w:rsid w:val="0019664D"/>
    <w:rsid w:val="001A1A46"/>
    <w:rsid w:val="001A3317"/>
    <w:rsid w:val="001A3DDD"/>
    <w:rsid w:val="001A6103"/>
    <w:rsid w:val="001A770A"/>
    <w:rsid w:val="001B13B2"/>
    <w:rsid w:val="001B239F"/>
    <w:rsid w:val="001B4CC0"/>
    <w:rsid w:val="001B5D37"/>
    <w:rsid w:val="001B6609"/>
    <w:rsid w:val="001B66B7"/>
    <w:rsid w:val="001C07C3"/>
    <w:rsid w:val="001C2940"/>
    <w:rsid w:val="001C2D52"/>
    <w:rsid w:val="001C2DE4"/>
    <w:rsid w:val="001C34D3"/>
    <w:rsid w:val="001C3691"/>
    <w:rsid w:val="001C4016"/>
    <w:rsid w:val="001C431C"/>
    <w:rsid w:val="001C44B1"/>
    <w:rsid w:val="001C548D"/>
    <w:rsid w:val="001C6A5D"/>
    <w:rsid w:val="001C6B2C"/>
    <w:rsid w:val="001C74EC"/>
    <w:rsid w:val="001C7ECF"/>
    <w:rsid w:val="001D1B37"/>
    <w:rsid w:val="001D50EA"/>
    <w:rsid w:val="001D54B3"/>
    <w:rsid w:val="001D6A72"/>
    <w:rsid w:val="001E02B9"/>
    <w:rsid w:val="001E16B3"/>
    <w:rsid w:val="001E1B6E"/>
    <w:rsid w:val="001E2878"/>
    <w:rsid w:val="001E31A6"/>
    <w:rsid w:val="001E42C7"/>
    <w:rsid w:val="001E4CAB"/>
    <w:rsid w:val="001E4DAC"/>
    <w:rsid w:val="001E628E"/>
    <w:rsid w:val="001E6999"/>
    <w:rsid w:val="001E759C"/>
    <w:rsid w:val="001E7AF1"/>
    <w:rsid w:val="001F0A4E"/>
    <w:rsid w:val="001F13F8"/>
    <w:rsid w:val="001F1948"/>
    <w:rsid w:val="001F2F3E"/>
    <w:rsid w:val="001F3ED0"/>
    <w:rsid w:val="001F4906"/>
    <w:rsid w:val="001F5177"/>
    <w:rsid w:val="001F7197"/>
    <w:rsid w:val="001F7C4A"/>
    <w:rsid w:val="002007CD"/>
    <w:rsid w:val="00202AC7"/>
    <w:rsid w:val="00202DDE"/>
    <w:rsid w:val="00204329"/>
    <w:rsid w:val="0020578A"/>
    <w:rsid w:val="0020640B"/>
    <w:rsid w:val="00206FEA"/>
    <w:rsid w:val="00207558"/>
    <w:rsid w:val="00207631"/>
    <w:rsid w:val="00211A5C"/>
    <w:rsid w:val="0021259C"/>
    <w:rsid w:val="002127F0"/>
    <w:rsid w:val="00212807"/>
    <w:rsid w:val="00214013"/>
    <w:rsid w:val="00214050"/>
    <w:rsid w:val="00214A41"/>
    <w:rsid w:val="002160A5"/>
    <w:rsid w:val="00216EAC"/>
    <w:rsid w:val="002170CC"/>
    <w:rsid w:val="002172A5"/>
    <w:rsid w:val="00217D5C"/>
    <w:rsid w:val="00220FC1"/>
    <w:rsid w:val="0022158E"/>
    <w:rsid w:val="0022196A"/>
    <w:rsid w:val="002220D7"/>
    <w:rsid w:val="00222527"/>
    <w:rsid w:val="00222E9A"/>
    <w:rsid w:val="00223CC9"/>
    <w:rsid w:val="00224184"/>
    <w:rsid w:val="00226663"/>
    <w:rsid w:val="00226E37"/>
    <w:rsid w:val="0022739A"/>
    <w:rsid w:val="00230DE0"/>
    <w:rsid w:val="0023179D"/>
    <w:rsid w:val="00232509"/>
    <w:rsid w:val="002327AF"/>
    <w:rsid w:val="002329A9"/>
    <w:rsid w:val="00232DEA"/>
    <w:rsid w:val="0023434F"/>
    <w:rsid w:val="00237CFD"/>
    <w:rsid w:val="00240096"/>
    <w:rsid w:val="002402A8"/>
    <w:rsid w:val="00241730"/>
    <w:rsid w:val="00241770"/>
    <w:rsid w:val="00241EF1"/>
    <w:rsid w:val="00242069"/>
    <w:rsid w:val="002426BA"/>
    <w:rsid w:val="00243A13"/>
    <w:rsid w:val="00243E7D"/>
    <w:rsid w:val="002446B1"/>
    <w:rsid w:val="0024576C"/>
    <w:rsid w:val="0024678E"/>
    <w:rsid w:val="00251394"/>
    <w:rsid w:val="00251616"/>
    <w:rsid w:val="0025173D"/>
    <w:rsid w:val="00252521"/>
    <w:rsid w:val="00252E8D"/>
    <w:rsid w:val="0025389D"/>
    <w:rsid w:val="00253AAE"/>
    <w:rsid w:val="00254214"/>
    <w:rsid w:val="002544A3"/>
    <w:rsid w:val="00254E02"/>
    <w:rsid w:val="00254F97"/>
    <w:rsid w:val="00255E8B"/>
    <w:rsid w:val="002575A0"/>
    <w:rsid w:val="0026265F"/>
    <w:rsid w:val="00263F4C"/>
    <w:rsid w:val="00263FDE"/>
    <w:rsid w:val="00265A3E"/>
    <w:rsid w:val="00265EC5"/>
    <w:rsid w:val="002707B9"/>
    <w:rsid w:val="00271C1D"/>
    <w:rsid w:val="00272DEE"/>
    <w:rsid w:val="00273696"/>
    <w:rsid w:val="0027422E"/>
    <w:rsid w:val="00276AA5"/>
    <w:rsid w:val="00277498"/>
    <w:rsid w:val="002776F9"/>
    <w:rsid w:val="002803CC"/>
    <w:rsid w:val="00280B8C"/>
    <w:rsid w:val="002816E5"/>
    <w:rsid w:val="00281E15"/>
    <w:rsid w:val="002822FF"/>
    <w:rsid w:val="00282E78"/>
    <w:rsid w:val="002831CE"/>
    <w:rsid w:val="00283305"/>
    <w:rsid w:val="002837FC"/>
    <w:rsid w:val="0028615C"/>
    <w:rsid w:val="00286C3A"/>
    <w:rsid w:val="00287D24"/>
    <w:rsid w:val="002903D2"/>
    <w:rsid w:val="00290985"/>
    <w:rsid w:val="002916D3"/>
    <w:rsid w:val="00291DC9"/>
    <w:rsid w:val="00291E6C"/>
    <w:rsid w:val="002930F5"/>
    <w:rsid w:val="002933B1"/>
    <w:rsid w:val="00293ACA"/>
    <w:rsid w:val="002942CC"/>
    <w:rsid w:val="0029512A"/>
    <w:rsid w:val="00295506"/>
    <w:rsid w:val="00295CF0"/>
    <w:rsid w:val="002977F0"/>
    <w:rsid w:val="002A06B7"/>
    <w:rsid w:val="002A1124"/>
    <w:rsid w:val="002A2314"/>
    <w:rsid w:val="002A2477"/>
    <w:rsid w:val="002A360A"/>
    <w:rsid w:val="002A36FB"/>
    <w:rsid w:val="002A545E"/>
    <w:rsid w:val="002A5A86"/>
    <w:rsid w:val="002A5F41"/>
    <w:rsid w:val="002A6E55"/>
    <w:rsid w:val="002A6E62"/>
    <w:rsid w:val="002B0D9D"/>
    <w:rsid w:val="002B2C50"/>
    <w:rsid w:val="002B4654"/>
    <w:rsid w:val="002B557D"/>
    <w:rsid w:val="002B7001"/>
    <w:rsid w:val="002C0B5D"/>
    <w:rsid w:val="002C1713"/>
    <w:rsid w:val="002C2E58"/>
    <w:rsid w:val="002C3284"/>
    <w:rsid w:val="002C35CA"/>
    <w:rsid w:val="002C365A"/>
    <w:rsid w:val="002C4906"/>
    <w:rsid w:val="002C58FE"/>
    <w:rsid w:val="002C6A6B"/>
    <w:rsid w:val="002C6E0C"/>
    <w:rsid w:val="002C76E5"/>
    <w:rsid w:val="002D144A"/>
    <w:rsid w:val="002D20F0"/>
    <w:rsid w:val="002D6842"/>
    <w:rsid w:val="002D6CDC"/>
    <w:rsid w:val="002D705D"/>
    <w:rsid w:val="002E15FC"/>
    <w:rsid w:val="002E19A3"/>
    <w:rsid w:val="002E212B"/>
    <w:rsid w:val="002E28A2"/>
    <w:rsid w:val="002E3337"/>
    <w:rsid w:val="002E371F"/>
    <w:rsid w:val="002E373A"/>
    <w:rsid w:val="002E3E3D"/>
    <w:rsid w:val="002E431E"/>
    <w:rsid w:val="002E4527"/>
    <w:rsid w:val="002E66A1"/>
    <w:rsid w:val="002E6D03"/>
    <w:rsid w:val="002E74F4"/>
    <w:rsid w:val="002F0256"/>
    <w:rsid w:val="002F0CDA"/>
    <w:rsid w:val="002F145C"/>
    <w:rsid w:val="002F151E"/>
    <w:rsid w:val="002F2702"/>
    <w:rsid w:val="002F2707"/>
    <w:rsid w:val="002F3BC3"/>
    <w:rsid w:val="002F40E3"/>
    <w:rsid w:val="002F49A8"/>
    <w:rsid w:val="002F558E"/>
    <w:rsid w:val="002F5CCF"/>
    <w:rsid w:val="002F5E3F"/>
    <w:rsid w:val="002F5E66"/>
    <w:rsid w:val="002F61CA"/>
    <w:rsid w:val="002F61FB"/>
    <w:rsid w:val="002F62E8"/>
    <w:rsid w:val="00300077"/>
    <w:rsid w:val="0030010D"/>
    <w:rsid w:val="00300165"/>
    <w:rsid w:val="00300AD0"/>
    <w:rsid w:val="00301431"/>
    <w:rsid w:val="00302ED1"/>
    <w:rsid w:val="00302F2E"/>
    <w:rsid w:val="00303C67"/>
    <w:rsid w:val="003041FC"/>
    <w:rsid w:val="00304D91"/>
    <w:rsid w:val="00311313"/>
    <w:rsid w:val="003113D8"/>
    <w:rsid w:val="00311C9D"/>
    <w:rsid w:val="003122FD"/>
    <w:rsid w:val="00312876"/>
    <w:rsid w:val="00314FDD"/>
    <w:rsid w:val="003152F1"/>
    <w:rsid w:val="00316A82"/>
    <w:rsid w:val="00317D67"/>
    <w:rsid w:val="003205C7"/>
    <w:rsid w:val="00322070"/>
    <w:rsid w:val="00322C51"/>
    <w:rsid w:val="003234A5"/>
    <w:rsid w:val="00323F1A"/>
    <w:rsid w:val="0032453D"/>
    <w:rsid w:val="00327812"/>
    <w:rsid w:val="00331E97"/>
    <w:rsid w:val="0033292D"/>
    <w:rsid w:val="00332BBC"/>
    <w:rsid w:val="00333967"/>
    <w:rsid w:val="003340A2"/>
    <w:rsid w:val="0033456C"/>
    <w:rsid w:val="0033504C"/>
    <w:rsid w:val="003353D3"/>
    <w:rsid w:val="00336816"/>
    <w:rsid w:val="003370D0"/>
    <w:rsid w:val="00337355"/>
    <w:rsid w:val="0033778D"/>
    <w:rsid w:val="00337E96"/>
    <w:rsid w:val="00337F47"/>
    <w:rsid w:val="003402E4"/>
    <w:rsid w:val="00340F95"/>
    <w:rsid w:val="00342264"/>
    <w:rsid w:val="003423B1"/>
    <w:rsid w:val="003435F9"/>
    <w:rsid w:val="003436B5"/>
    <w:rsid w:val="00345B1D"/>
    <w:rsid w:val="0034697A"/>
    <w:rsid w:val="003511F8"/>
    <w:rsid w:val="00352802"/>
    <w:rsid w:val="00352D28"/>
    <w:rsid w:val="003531ED"/>
    <w:rsid w:val="00354C33"/>
    <w:rsid w:val="00354F6C"/>
    <w:rsid w:val="003604EB"/>
    <w:rsid w:val="00360B9A"/>
    <w:rsid w:val="00360E1F"/>
    <w:rsid w:val="0036224A"/>
    <w:rsid w:val="003628D1"/>
    <w:rsid w:val="00363F98"/>
    <w:rsid w:val="003643B6"/>
    <w:rsid w:val="003643EA"/>
    <w:rsid w:val="00365657"/>
    <w:rsid w:val="00366BF1"/>
    <w:rsid w:val="00370020"/>
    <w:rsid w:val="003705B9"/>
    <w:rsid w:val="00371045"/>
    <w:rsid w:val="0037177A"/>
    <w:rsid w:val="00372140"/>
    <w:rsid w:val="00372F76"/>
    <w:rsid w:val="0037379F"/>
    <w:rsid w:val="00373CF3"/>
    <w:rsid w:val="00376DF2"/>
    <w:rsid w:val="00381097"/>
    <w:rsid w:val="00381ED7"/>
    <w:rsid w:val="003836A7"/>
    <w:rsid w:val="00383CEF"/>
    <w:rsid w:val="003842AA"/>
    <w:rsid w:val="00384C6C"/>
    <w:rsid w:val="00386392"/>
    <w:rsid w:val="00387294"/>
    <w:rsid w:val="00387735"/>
    <w:rsid w:val="0039017F"/>
    <w:rsid w:val="00390B23"/>
    <w:rsid w:val="00391027"/>
    <w:rsid w:val="003922BC"/>
    <w:rsid w:val="00392711"/>
    <w:rsid w:val="00393482"/>
    <w:rsid w:val="00394AEE"/>
    <w:rsid w:val="003953B2"/>
    <w:rsid w:val="00395D79"/>
    <w:rsid w:val="003A1F22"/>
    <w:rsid w:val="003A308A"/>
    <w:rsid w:val="003A3D7E"/>
    <w:rsid w:val="003A5596"/>
    <w:rsid w:val="003A5F1E"/>
    <w:rsid w:val="003A6B73"/>
    <w:rsid w:val="003A758A"/>
    <w:rsid w:val="003B1127"/>
    <w:rsid w:val="003B148D"/>
    <w:rsid w:val="003B1F48"/>
    <w:rsid w:val="003B2139"/>
    <w:rsid w:val="003B4494"/>
    <w:rsid w:val="003B4BE1"/>
    <w:rsid w:val="003B5CD3"/>
    <w:rsid w:val="003B6081"/>
    <w:rsid w:val="003B6C1C"/>
    <w:rsid w:val="003B7309"/>
    <w:rsid w:val="003B798B"/>
    <w:rsid w:val="003C2BFF"/>
    <w:rsid w:val="003C2D98"/>
    <w:rsid w:val="003C2EB1"/>
    <w:rsid w:val="003C3154"/>
    <w:rsid w:val="003C52B4"/>
    <w:rsid w:val="003C70DE"/>
    <w:rsid w:val="003C7332"/>
    <w:rsid w:val="003C73BA"/>
    <w:rsid w:val="003D1A48"/>
    <w:rsid w:val="003D3A96"/>
    <w:rsid w:val="003D3B9C"/>
    <w:rsid w:val="003D4FA2"/>
    <w:rsid w:val="003D61E4"/>
    <w:rsid w:val="003D67E4"/>
    <w:rsid w:val="003D7546"/>
    <w:rsid w:val="003D7B61"/>
    <w:rsid w:val="003D7D53"/>
    <w:rsid w:val="003E091E"/>
    <w:rsid w:val="003E13AF"/>
    <w:rsid w:val="003E1EC6"/>
    <w:rsid w:val="003E488E"/>
    <w:rsid w:val="003E5D05"/>
    <w:rsid w:val="003E6D36"/>
    <w:rsid w:val="003E7DDC"/>
    <w:rsid w:val="003F07C8"/>
    <w:rsid w:val="003F1A25"/>
    <w:rsid w:val="003F2FFE"/>
    <w:rsid w:val="003F3897"/>
    <w:rsid w:val="003F3906"/>
    <w:rsid w:val="003F5017"/>
    <w:rsid w:val="003F565F"/>
    <w:rsid w:val="003F604D"/>
    <w:rsid w:val="003F6261"/>
    <w:rsid w:val="00400A80"/>
    <w:rsid w:val="00400C3E"/>
    <w:rsid w:val="00400CC0"/>
    <w:rsid w:val="0040145E"/>
    <w:rsid w:val="00402682"/>
    <w:rsid w:val="00404896"/>
    <w:rsid w:val="00404F03"/>
    <w:rsid w:val="00405281"/>
    <w:rsid w:val="00406105"/>
    <w:rsid w:val="004075C8"/>
    <w:rsid w:val="00407DEB"/>
    <w:rsid w:val="00410080"/>
    <w:rsid w:val="00410D3D"/>
    <w:rsid w:val="0041121F"/>
    <w:rsid w:val="00412051"/>
    <w:rsid w:val="004125A7"/>
    <w:rsid w:val="004140CA"/>
    <w:rsid w:val="00414A87"/>
    <w:rsid w:val="00414C6C"/>
    <w:rsid w:val="00421497"/>
    <w:rsid w:val="004231D3"/>
    <w:rsid w:val="00423B94"/>
    <w:rsid w:val="00423E43"/>
    <w:rsid w:val="0042583D"/>
    <w:rsid w:val="00425CE0"/>
    <w:rsid w:val="004277B4"/>
    <w:rsid w:val="004307BF"/>
    <w:rsid w:val="004320B5"/>
    <w:rsid w:val="00433EF3"/>
    <w:rsid w:val="00437185"/>
    <w:rsid w:val="0043748B"/>
    <w:rsid w:val="00440AB9"/>
    <w:rsid w:val="00441314"/>
    <w:rsid w:val="00442A17"/>
    <w:rsid w:val="00443636"/>
    <w:rsid w:val="0044364C"/>
    <w:rsid w:val="00444207"/>
    <w:rsid w:val="00444EAC"/>
    <w:rsid w:val="00444EE6"/>
    <w:rsid w:val="00445480"/>
    <w:rsid w:val="0044638A"/>
    <w:rsid w:val="00446FD0"/>
    <w:rsid w:val="004474E4"/>
    <w:rsid w:val="004475D9"/>
    <w:rsid w:val="00450294"/>
    <w:rsid w:val="00450A61"/>
    <w:rsid w:val="00450E15"/>
    <w:rsid w:val="004514BC"/>
    <w:rsid w:val="00452512"/>
    <w:rsid w:val="00453056"/>
    <w:rsid w:val="004538AC"/>
    <w:rsid w:val="00454B75"/>
    <w:rsid w:val="00454B8E"/>
    <w:rsid w:val="00455DBE"/>
    <w:rsid w:val="00455E00"/>
    <w:rsid w:val="004563B6"/>
    <w:rsid w:val="00456F7B"/>
    <w:rsid w:val="00457C74"/>
    <w:rsid w:val="00461CC4"/>
    <w:rsid w:val="00461D28"/>
    <w:rsid w:val="00462732"/>
    <w:rsid w:val="00463731"/>
    <w:rsid w:val="0046400A"/>
    <w:rsid w:val="004647A9"/>
    <w:rsid w:val="00464B10"/>
    <w:rsid w:val="00467B25"/>
    <w:rsid w:val="0047263E"/>
    <w:rsid w:val="00473DF0"/>
    <w:rsid w:val="00475E77"/>
    <w:rsid w:val="004767B5"/>
    <w:rsid w:val="00480146"/>
    <w:rsid w:val="0048053F"/>
    <w:rsid w:val="004806F6"/>
    <w:rsid w:val="00481108"/>
    <w:rsid w:val="00481A5B"/>
    <w:rsid w:val="00482141"/>
    <w:rsid w:val="0048379F"/>
    <w:rsid w:val="0048456E"/>
    <w:rsid w:val="004851C7"/>
    <w:rsid w:val="0048785E"/>
    <w:rsid w:val="0049042B"/>
    <w:rsid w:val="00490782"/>
    <w:rsid w:val="0049134E"/>
    <w:rsid w:val="0049177F"/>
    <w:rsid w:val="00491A48"/>
    <w:rsid w:val="004938CB"/>
    <w:rsid w:val="00493E63"/>
    <w:rsid w:val="00495473"/>
    <w:rsid w:val="00495698"/>
    <w:rsid w:val="00495AF9"/>
    <w:rsid w:val="00495C30"/>
    <w:rsid w:val="00496B90"/>
    <w:rsid w:val="004973B9"/>
    <w:rsid w:val="00497C90"/>
    <w:rsid w:val="00497E43"/>
    <w:rsid w:val="004A09EA"/>
    <w:rsid w:val="004A1813"/>
    <w:rsid w:val="004A206C"/>
    <w:rsid w:val="004A3702"/>
    <w:rsid w:val="004A3C0E"/>
    <w:rsid w:val="004A3E35"/>
    <w:rsid w:val="004A458E"/>
    <w:rsid w:val="004A55DA"/>
    <w:rsid w:val="004A5607"/>
    <w:rsid w:val="004A5F7C"/>
    <w:rsid w:val="004A701E"/>
    <w:rsid w:val="004A7889"/>
    <w:rsid w:val="004B0C91"/>
    <w:rsid w:val="004B101B"/>
    <w:rsid w:val="004B23E7"/>
    <w:rsid w:val="004B296D"/>
    <w:rsid w:val="004B306F"/>
    <w:rsid w:val="004B3450"/>
    <w:rsid w:val="004B4004"/>
    <w:rsid w:val="004B54BB"/>
    <w:rsid w:val="004B5A59"/>
    <w:rsid w:val="004B6A69"/>
    <w:rsid w:val="004C0D90"/>
    <w:rsid w:val="004C21AA"/>
    <w:rsid w:val="004C3186"/>
    <w:rsid w:val="004C3401"/>
    <w:rsid w:val="004C3552"/>
    <w:rsid w:val="004C5042"/>
    <w:rsid w:val="004C62C5"/>
    <w:rsid w:val="004D02BF"/>
    <w:rsid w:val="004D054F"/>
    <w:rsid w:val="004D0D5C"/>
    <w:rsid w:val="004D0DEA"/>
    <w:rsid w:val="004D3296"/>
    <w:rsid w:val="004D4384"/>
    <w:rsid w:val="004D59B6"/>
    <w:rsid w:val="004D5DB1"/>
    <w:rsid w:val="004D74FB"/>
    <w:rsid w:val="004D7594"/>
    <w:rsid w:val="004D79E2"/>
    <w:rsid w:val="004D7A3D"/>
    <w:rsid w:val="004E1A84"/>
    <w:rsid w:val="004E1DD6"/>
    <w:rsid w:val="004E3DEA"/>
    <w:rsid w:val="004E3E47"/>
    <w:rsid w:val="004E4422"/>
    <w:rsid w:val="004E4B5E"/>
    <w:rsid w:val="004E5711"/>
    <w:rsid w:val="004E750D"/>
    <w:rsid w:val="004F009C"/>
    <w:rsid w:val="004F06A5"/>
    <w:rsid w:val="004F10C4"/>
    <w:rsid w:val="004F1B29"/>
    <w:rsid w:val="004F23B4"/>
    <w:rsid w:val="004F3E7B"/>
    <w:rsid w:val="004F4A06"/>
    <w:rsid w:val="004F6E55"/>
    <w:rsid w:val="00500103"/>
    <w:rsid w:val="00502680"/>
    <w:rsid w:val="00502D31"/>
    <w:rsid w:val="00503998"/>
    <w:rsid w:val="00504370"/>
    <w:rsid w:val="00504665"/>
    <w:rsid w:val="00504FEA"/>
    <w:rsid w:val="005052F8"/>
    <w:rsid w:val="00505B24"/>
    <w:rsid w:val="0050623B"/>
    <w:rsid w:val="00506556"/>
    <w:rsid w:val="00507137"/>
    <w:rsid w:val="005079CE"/>
    <w:rsid w:val="00512600"/>
    <w:rsid w:val="0051268B"/>
    <w:rsid w:val="00513726"/>
    <w:rsid w:val="00514D23"/>
    <w:rsid w:val="00520113"/>
    <w:rsid w:val="00523181"/>
    <w:rsid w:val="00524D13"/>
    <w:rsid w:val="00525CB8"/>
    <w:rsid w:val="005277EE"/>
    <w:rsid w:val="00533022"/>
    <w:rsid w:val="005339F6"/>
    <w:rsid w:val="00536A3A"/>
    <w:rsid w:val="00537AAE"/>
    <w:rsid w:val="005400C6"/>
    <w:rsid w:val="005414D6"/>
    <w:rsid w:val="00541ACF"/>
    <w:rsid w:val="00544386"/>
    <w:rsid w:val="005445A9"/>
    <w:rsid w:val="005447D7"/>
    <w:rsid w:val="00544CBA"/>
    <w:rsid w:val="00545AFA"/>
    <w:rsid w:val="00545C37"/>
    <w:rsid w:val="00546246"/>
    <w:rsid w:val="00546445"/>
    <w:rsid w:val="00547B85"/>
    <w:rsid w:val="00547F15"/>
    <w:rsid w:val="00550DCD"/>
    <w:rsid w:val="005517C0"/>
    <w:rsid w:val="00551B3A"/>
    <w:rsid w:val="00552B60"/>
    <w:rsid w:val="0055303E"/>
    <w:rsid w:val="0055409D"/>
    <w:rsid w:val="0055455D"/>
    <w:rsid w:val="005558CD"/>
    <w:rsid w:val="00555B04"/>
    <w:rsid w:val="005574F1"/>
    <w:rsid w:val="0056027C"/>
    <w:rsid w:val="00560EE2"/>
    <w:rsid w:val="005622EA"/>
    <w:rsid w:val="0056291E"/>
    <w:rsid w:val="00562EC5"/>
    <w:rsid w:val="00563081"/>
    <w:rsid w:val="005648BB"/>
    <w:rsid w:val="0056559E"/>
    <w:rsid w:val="00565909"/>
    <w:rsid w:val="0056689D"/>
    <w:rsid w:val="00567D8D"/>
    <w:rsid w:val="00567E1A"/>
    <w:rsid w:val="00570097"/>
    <w:rsid w:val="00570431"/>
    <w:rsid w:val="00572C25"/>
    <w:rsid w:val="00573E1D"/>
    <w:rsid w:val="005740D1"/>
    <w:rsid w:val="005744BE"/>
    <w:rsid w:val="0057679C"/>
    <w:rsid w:val="00576B18"/>
    <w:rsid w:val="005801A6"/>
    <w:rsid w:val="0058036D"/>
    <w:rsid w:val="00580D30"/>
    <w:rsid w:val="0058252F"/>
    <w:rsid w:val="00582C0B"/>
    <w:rsid w:val="00583041"/>
    <w:rsid w:val="005834E6"/>
    <w:rsid w:val="00586641"/>
    <w:rsid w:val="00586C9F"/>
    <w:rsid w:val="00587724"/>
    <w:rsid w:val="00587C05"/>
    <w:rsid w:val="00591512"/>
    <w:rsid w:val="00592153"/>
    <w:rsid w:val="00593D4F"/>
    <w:rsid w:val="005942D2"/>
    <w:rsid w:val="00595DBD"/>
    <w:rsid w:val="00596574"/>
    <w:rsid w:val="005A0744"/>
    <w:rsid w:val="005A0BEA"/>
    <w:rsid w:val="005A3779"/>
    <w:rsid w:val="005A3A7E"/>
    <w:rsid w:val="005A4042"/>
    <w:rsid w:val="005A46C1"/>
    <w:rsid w:val="005A5527"/>
    <w:rsid w:val="005B1A31"/>
    <w:rsid w:val="005B26BC"/>
    <w:rsid w:val="005B2D91"/>
    <w:rsid w:val="005B4741"/>
    <w:rsid w:val="005B48B4"/>
    <w:rsid w:val="005B5E15"/>
    <w:rsid w:val="005B6249"/>
    <w:rsid w:val="005B69D7"/>
    <w:rsid w:val="005C1371"/>
    <w:rsid w:val="005C2E60"/>
    <w:rsid w:val="005C4805"/>
    <w:rsid w:val="005C5D22"/>
    <w:rsid w:val="005C6661"/>
    <w:rsid w:val="005C6E3B"/>
    <w:rsid w:val="005C7975"/>
    <w:rsid w:val="005C7C7E"/>
    <w:rsid w:val="005D0337"/>
    <w:rsid w:val="005D15AB"/>
    <w:rsid w:val="005D2487"/>
    <w:rsid w:val="005D25DF"/>
    <w:rsid w:val="005D2C8F"/>
    <w:rsid w:val="005D3046"/>
    <w:rsid w:val="005D37B9"/>
    <w:rsid w:val="005D37EE"/>
    <w:rsid w:val="005D474B"/>
    <w:rsid w:val="005D792D"/>
    <w:rsid w:val="005E085C"/>
    <w:rsid w:val="005E0C57"/>
    <w:rsid w:val="005E13DF"/>
    <w:rsid w:val="005E1455"/>
    <w:rsid w:val="005E147D"/>
    <w:rsid w:val="005E172F"/>
    <w:rsid w:val="005E22C2"/>
    <w:rsid w:val="005E24B2"/>
    <w:rsid w:val="005E35E4"/>
    <w:rsid w:val="005E57BB"/>
    <w:rsid w:val="005E58E3"/>
    <w:rsid w:val="005E73E4"/>
    <w:rsid w:val="005E767B"/>
    <w:rsid w:val="005F0017"/>
    <w:rsid w:val="005F0B30"/>
    <w:rsid w:val="005F1EC8"/>
    <w:rsid w:val="005F238F"/>
    <w:rsid w:val="005F3C78"/>
    <w:rsid w:val="005F6F4C"/>
    <w:rsid w:val="005F7D60"/>
    <w:rsid w:val="006014F1"/>
    <w:rsid w:val="006014F8"/>
    <w:rsid w:val="00602F4F"/>
    <w:rsid w:val="0060370D"/>
    <w:rsid w:val="006062DC"/>
    <w:rsid w:val="006067C7"/>
    <w:rsid w:val="0060733D"/>
    <w:rsid w:val="0061044E"/>
    <w:rsid w:val="006134CA"/>
    <w:rsid w:val="0061357B"/>
    <w:rsid w:val="00613D65"/>
    <w:rsid w:val="00613FA6"/>
    <w:rsid w:val="00614A7D"/>
    <w:rsid w:val="00615A71"/>
    <w:rsid w:val="00615EF8"/>
    <w:rsid w:val="00616F75"/>
    <w:rsid w:val="00617576"/>
    <w:rsid w:val="006218F4"/>
    <w:rsid w:val="00624E73"/>
    <w:rsid w:val="00630DD1"/>
    <w:rsid w:val="0063166C"/>
    <w:rsid w:val="00632B3F"/>
    <w:rsid w:val="00633500"/>
    <w:rsid w:val="00633707"/>
    <w:rsid w:val="0063429A"/>
    <w:rsid w:val="00634C89"/>
    <w:rsid w:val="0063631C"/>
    <w:rsid w:val="006364EE"/>
    <w:rsid w:val="0063757B"/>
    <w:rsid w:val="006377CE"/>
    <w:rsid w:val="00637FC0"/>
    <w:rsid w:val="00641AB1"/>
    <w:rsid w:val="00641C30"/>
    <w:rsid w:val="006426B6"/>
    <w:rsid w:val="00642A5D"/>
    <w:rsid w:val="00642B16"/>
    <w:rsid w:val="00642DED"/>
    <w:rsid w:val="0064356B"/>
    <w:rsid w:val="00643C6A"/>
    <w:rsid w:val="00643F71"/>
    <w:rsid w:val="0064468D"/>
    <w:rsid w:val="006461CC"/>
    <w:rsid w:val="00650F90"/>
    <w:rsid w:val="00651174"/>
    <w:rsid w:val="00651B10"/>
    <w:rsid w:val="006526A7"/>
    <w:rsid w:val="0065310A"/>
    <w:rsid w:val="006537D9"/>
    <w:rsid w:val="00654337"/>
    <w:rsid w:val="00654DDC"/>
    <w:rsid w:val="006555CD"/>
    <w:rsid w:val="0065570A"/>
    <w:rsid w:val="0065587C"/>
    <w:rsid w:val="00656098"/>
    <w:rsid w:val="006575F2"/>
    <w:rsid w:val="0065770C"/>
    <w:rsid w:val="00657DF4"/>
    <w:rsid w:val="00660E10"/>
    <w:rsid w:val="00660E22"/>
    <w:rsid w:val="00661999"/>
    <w:rsid w:val="006628D6"/>
    <w:rsid w:val="00662A9F"/>
    <w:rsid w:val="00664A48"/>
    <w:rsid w:val="00664CAB"/>
    <w:rsid w:val="0066502A"/>
    <w:rsid w:val="00665DEF"/>
    <w:rsid w:val="00666F39"/>
    <w:rsid w:val="0067138C"/>
    <w:rsid w:val="00672D46"/>
    <w:rsid w:val="00673762"/>
    <w:rsid w:val="0067390B"/>
    <w:rsid w:val="00675BB1"/>
    <w:rsid w:val="006768C3"/>
    <w:rsid w:val="006775F1"/>
    <w:rsid w:val="00677912"/>
    <w:rsid w:val="00677F3C"/>
    <w:rsid w:val="006800C0"/>
    <w:rsid w:val="0068079D"/>
    <w:rsid w:val="00680AB6"/>
    <w:rsid w:val="006847F5"/>
    <w:rsid w:val="00684A84"/>
    <w:rsid w:val="00685010"/>
    <w:rsid w:val="006902EA"/>
    <w:rsid w:val="0069066F"/>
    <w:rsid w:val="006907A9"/>
    <w:rsid w:val="006907DE"/>
    <w:rsid w:val="006914B5"/>
    <w:rsid w:val="00691BD3"/>
    <w:rsid w:val="006924B0"/>
    <w:rsid w:val="00692AA7"/>
    <w:rsid w:val="006947CF"/>
    <w:rsid w:val="00694BC1"/>
    <w:rsid w:val="0069506D"/>
    <w:rsid w:val="006951CB"/>
    <w:rsid w:val="00695E6C"/>
    <w:rsid w:val="006970C3"/>
    <w:rsid w:val="00697FEC"/>
    <w:rsid w:val="006A175F"/>
    <w:rsid w:val="006A17DD"/>
    <w:rsid w:val="006A194D"/>
    <w:rsid w:val="006A44F5"/>
    <w:rsid w:val="006A5C35"/>
    <w:rsid w:val="006A5C87"/>
    <w:rsid w:val="006A6C09"/>
    <w:rsid w:val="006A78B6"/>
    <w:rsid w:val="006B1D23"/>
    <w:rsid w:val="006B2FC4"/>
    <w:rsid w:val="006B3D21"/>
    <w:rsid w:val="006B4537"/>
    <w:rsid w:val="006B4553"/>
    <w:rsid w:val="006B541F"/>
    <w:rsid w:val="006B5F85"/>
    <w:rsid w:val="006B6929"/>
    <w:rsid w:val="006B709B"/>
    <w:rsid w:val="006C0760"/>
    <w:rsid w:val="006C1154"/>
    <w:rsid w:val="006C13A2"/>
    <w:rsid w:val="006C1A83"/>
    <w:rsid w:val="006C1EFB"/>
    <w:rsid w:val="006C2F29"/>
    <w:rsid w:val="006C358A"/>
    <w:rsid w:val="006C54AF"/>
    <w:rsid w:val="006C5D33"/>
    <w:rsid w:val="006C5D5E"/>
    <w:rsid w:val="006C7D09"/>
    <w:rsid w:val="006D0392"/>
    <w:rsid w:val="006D24D6"/>
    <w:rsid w:val="006D5A7C"/>
    <w:rsid w:val="006D6406"/>
    <w:rsid w:val="006D7E57"/>
    <w:rsid w:val="006E0181"/>
    <w:rsid w:val="006E0305"/>
    <w:rsid w:val="006E12A0"/>
    <w:rsid w:val="006E366B"/>
    <w:rsid w:val="006E3ABC"/>
    <w:rsid w:val="006E3B8E"/>
    <w:rsid w:val="006E3D40"/>
    <w:rsid w:val="006E47EB"/>
    <w:rsid w:val="006E588B"/>
    <w:rsid w:val="006E66CD"/>
    <w:rsid w:val="006E6A97"/>
    <w:rsid w:val="006F04A3"/>
    <w:rsid w:val="006F0976"/>
    <w:rsid w:val="006F1773"/>
    <w:rsid w:val="006F2816"/>
    <w:rsid w:val="006F38F0"/>
    <w:rsid w:val="006F4D85"/>
    <w:rsid w:val="006F78E2"/>
    <w:rsid w:val="006F7F85"/>
    <w:rsid w:val="007007DA"/>
    <w:rsid w:val="00700C0E"/>
    <w:rsid w:val="00703278"/>
    <w:rsid w:val="007032C4"/>
    <w:rsid w:val="00703646"/>
    <w:rsid w:val="0070555D"/>
    <w:rsid w:val="00705A63"/>
    <w:rsid w:val="00705DAD"/>
    <w:rsid w:val="00706F30"/>
    <w:rsid w:val="00707698"/>
    <w:rsid w:val="00707CAE"/>
    <w:rsid w:val="007101F7"/>
    <w:rsid w:val="00715B32"/>
    <w:rsid w:val="007167EC"/>
    <w:rsid w:val="00716EAE"/>
    <w:rsid w:val="0072244A"/>
    <w:rsid w:val="00724611"/>
    <w:rsid w:val="007247B9"/>
    <w:rsid w:val="0072616E"/>
    <w:rsid w:val="00727D85"/>
    <w:rsid w:val="00730723"/>
    <w:rsid w:val="00730997"/>
    <w:rsid w:val="00732625"/>
    <w:rsid w:val="00733136"/>
    <w:rsid w:val="00734390"/>
    <w:rsid w:val="007346C7"/>
    <w:rsid w:val="007348BD"/>
    <w:rsid w:val="00735752"/>
    <w:rsid w:val="00735A3E"/>
    <w:rsid w:val="00735F21"/>
    <w:rsid w:val="00735F91"/>
    <w:rsid w:val="00736041"/>
    <w:rsid w:val="00736681"/>
    <w:rsid w:val="007376E1"/>
    <w:rsid w:val="007408C7"/>
    <w:rsid w:val="0074168A"/>
    <w:rsid w:val="007420C0"/>
    <w:rsid w:val="007425B9"/>
    <w:rsid w:val="007430E4"/>
    <w:rsid w:val="007465DA"/>
    <w:rsid w:val="00750706"/>
    <w:rsid w:val="00750CB0"/>
    <w:rsid w:val="00752C7F"/>
    <w:rsid w:val="00753496"/>
    <w:rsid w:val="0075659D"/>
    <w:rsid w:val="00756691"/>
    <w:rsid w:val="007573D1"/>
    <w:rsid w:val="007612DE"/>
    <w:rsid w:val="0076388C"/>
    <w:rsid w:val="00767E22"/>
    <w:rsid w:val="00767EF2"/>
    <w:rsid w:val="00772E77"/>
    <w:rsid w:val="0077341B"/>
    <w:rsid w:val="00773A23"/>
    <w:rsid w:val="0077464D"/>
    <w:rsid w:val="00775027"/>
    <w:rsid w:val="00775DFE"/>
    <w:rsid w:val="00776598"/>
    <w:rsid w:val="0077703C"/>
    <w:rsid w:val="00782EAB"/>
    <w:rsid w:val="00783242"/>
    <w:rsid w:val="00783AD7"/>
    <w:rsid w:val="00785F5D"/>
    <w:rsid w:val="00786E4B"/>
    <w:rsid w:val="007872F5"/>
    <w:rsid w:val="00790283"/>
    <w:rsid w:val="00792948"/>
    <w:rsid w:val="00793013"/>
    <w:rsid w:val="0079480C"/>
    <w:rsid w:val="00794A83"/>
    <w:rsid w:val="00795B5D"/>
    <w:rsid w:val="007960F3"/>
    <w:rsid w:val="00796E84"/>
    <w:rsid w:val="00797BEE"/>
    <w:rsid w:val="007A0606"/>
    <w:rsid w:val="007A10A0"/>
    <w:rsid w:val="007A1BDD"/>
    <w:rsid w:val="007A1DFF"/>
    <w:rsid w:val="007A320C"/>
    <w:rsid w:val="007A3ADE"/>
    <w:rsid w:val="007A3DE3"/>
    <w:rsid w:val="007A5201"/>
    <w:rsid w:val="007A5733"/>
    <w:rsid w:val="007A5774"/>
    <w:rsid w:val="007A639B"/>
    <w:rsid w:val="007A73CF"/>
    <w:rsid w:val="007B0203"/>
    <w:rsid w:val="007B0340"/>
    <w:rsid w:val="007B1150"/>
    <w:rsid w:val="007B196E"/>
    <w:rsid w:val="007B19D7"/>
    <w:rsid w:val="007B1C21"/>
    <w:rsid w:val="007B24B8"/>
    <w:rsid w:val="007B2F29"/>
    <w:rsid w:val="007B3286"/>
    <w:rsid w:val="007B4A03"/>
    <w:rsid w:val="007B57E5"/>
    <w:rsid w:val="007B7390"/>
    <w:rsid w:val="007B7FC9"/>
    <w:rsid w:val="007C34FD"/>
    <w:rsid w:val="007C4B2D"/>
    <w:rsid w:val="007C5C55"/>
    <w:rsid w:val="007C5E6A"/>
    <w:rsid w:val="007C7C8C"/>
    <w:rsid w:val="007D17FF"/>
    <w:rsid w:val="007D3B74"/>
    <w:rsid w:val="007D708A"/>
    <w:rsid w:val="007D793B"/>
    <w:rsid w:val="007D7B06"/>
    <w:rsid w:val="007E01E9"/>
    <w:rsid w:val="007E035B"/>
    <w:rsid w:val="007E1864"/>
    <w:rsid w:val="007E2850"/>
    <w:rsid w:val="007E3706"/>
    <w:rsid w:val="007E4927"/>
    <w:rsid w:val="007E4AA4"/>
    <w:rsid w:val="007E4C4E"/>
    <w:rsid w:val="007E6D65"/>
    <w:rsid w:val="007E7700"/>
    <w:rsid w:val="007F03C9"/>
    <w:rsid w:val="007F19F6"/>
    <w:rsid w:val="007F2E53"/>
    <w:rsid w:val="007F2FD9"/>
    <w:rsid w:val="007F614D"/>
    <w:rsid w:val="00800CDB"/>
    <w:rsid w:val="00801E74"/>
    <w:rsid w:val="00802D7A"/>
    <w:rsid w:val="00802DF4"/>
    <w:rsid w:val="008034DB"/>
    <w:rsid w:val="0080485E"/>
    <w:rsid w:val="00804CE1"/>
    <w:rsid w:val="008060C9"/>
    <w:rsid w:val="00806B83"/>
    <w:rsid w:val="008117BB"/>
    <w:rsid w:val="0081198E"/>
    <w:rsid w:val="00811EF5"/>
    <w:rsid w:val="00811F94"/>
    <w:rsid w:val="00812493"/>
    <w:rsid w:val="0081407B"/>
    <w:rsid w:val="008142B4"/>
    <w:rsid w:val="008147C2"/>
    <w:rsid w:val="00814DBB"/>
    <w:rsid w:val="00816FBF"/>
    <w:rsid w:val="008170F0"/>
    <w:rsid w:val="008173B2"/>
    <w:rsid w:val="00817947"/>
    <w:rsid w:val="0082168C"/>
    <w:rsid w:val="00822141"/>
    <w:rsid w:val="00822E47"/>
    <w:rsid w:val="00823F8E"/>
    <w:rsid w:val="008252C0"/>
    <w:rsid w:val="0082533F"/>
    <w:rsid w:val="008306C2"/>
    <w:rsid w:val="00831638"/>
    <w:rsid w:val="00831BFA"/>
    <w:rsid w:val="00831CDB"/>
    <w:rsid w:val="00832324"/>
    <w:rsid w:val="00834897"/>
    <w:rsid w:val="00834A56"/>
    <w:rsid w:val="00834DD4"/>
    <w:rsid w:val="008350B7"/>
    <w:rsid w:val="0083511B"/>
    <w:rsid w:val="00835337"/>
    <w:rsid w:val="00835D0B"/>
    <w:rsid w:val="00835EAB"/>
    <w:rsid w:val="008367A9"/>
    <w:rsid w:val="008410AA"/>
    <w:rsid w:val="008420CE"/>
    <w:rsid w:val="00842BDB"/>
    <w:rsid w:val="008440EB"/>
    <w:rsid w:val="00846771"/>
    <w:rsid w:val="00846DCD"/>
    <w:rsid w:val="008473B0"/>
    <w:rsid w:val="00850F31"/>
    <w:rsid w:val="00851D85"/>
    <w:rsid w:val="00853540"/>
    <w:rsid w:val="00853732"/>
    <w:rsid w:val="00853AA9"/>
    <w:rsid w:val="008549A7"/>
    <w:rsid w:val="00855317"/>
    <w:rsid w:val="00856B75"/>
    <w:rsid w:val="008576A2"/>
    <w:rsid w:val="00857F24"/>
    <w:rsid w:val="00860CCB"/>
    <w:rsid w:val="008618FE"/>
    <w:rsid w:val="00861DEE"/>
    <w:rsid w:val="008622E3"/>
    <w:rsid w:val="00862743"/>
    <w:rsid w:val="00863362"/>
    <w:rsid w:val="008636BC"/>
    <w:rsid w:val="0086385B"/>
    <w:rsid w:val="00863D64"/>
    <w:rsid w:val="00864A78"/>
    <w:rsid w:val="00864C41"/>
    <w:rsid w:val="008659A3"/>
    <w:rsid w:val="0086664D"/>
    <w:rsid w:val="00866F3A"/>
    <w:rsid w:val="008706E9"/>
    <w:rsid w:val="008717B7"/>
    <w:rsid w:val="00871A5F"/>
    <w:rsid w:val="0087327A"/>
    <w:rsid w:val="00873DC3"/>
    <w:rsid w:val="008740A3"/>
    <w:rsid w:val="00874508"/>
    <w:rsid w:val="00875E0E"/>
    <w:rsid w:val="008773DC"/>
    <w:rsid w:val="00881CF6"/>
    <w:rsid w:val="0088200E"/>
    <w:rsid w:val="00883626"/>
    <w:rsid w:val="008841F0"/>
    <w:rsid w:val="00884318"/>
    <w:rsid w:val="008845D8"/>
    <w:rsid w:val="0088486E"/>
    <w:rsid w:val="0088492C"/>
    <w:rsid w:val="00887887"/>
    <w:rsid w:val="008905AB"/>
    <w:rsid w:val="00890961"/>
    <w:rsid w:val="008910C5"/>
    <w:rsid w:val="008914C8"/>
    <w:rsid w:val="0089297B"/>
    <w:rsid w:val="008930C1"/>
    <w:rsid w:val="00893147"/>
    <w:rsid w:val="008934DC"/>
    <w:rsid w:val="00895FA4"/>
    <w:rsid w:val="00897F5B"/>
    <w:rsid w:val="008A0F47"/>
    <w:rsid w:val="008A2180"/>
    <w:rsid w:val="008A2AB5"/>
    <w:rsid w:val="008A3356"/>
    <w:rsid w:val="008A3E0B"/>
    <w:rsid w:val="008A52B0"/>
    <w:rsid w:val="008A7707"/>
    <w:rsid w:val="008A78AB"/>
    <w:rsid w:val="008B057E"/>
    <w:rsid w:val="008B08EB"/>
    <w:rsid w:val="008B10FB"/>
    <w:rsid w:val="008B242F"/>
    <w:rsid w:val="008B2716"/>
    <w:rsid w:val="008B29DB"/>
    <w:rsid w:val="008B2DB4"/>
    <w:rsid w:val="008B339F"/>
    <w:rsid w:val="008B446E"/>
    <w:rsid w:val="008B5DC9"/>
    <w:rsid w:val="008C017F"/>
    <w:rsid w:val="008C322C"/>
    <w:rsid w:val="008C36CA"/>
    <w:rsid w:val="008C40A7"/>
    <w:rsid w:val="008C4707"/>
    <w:rsid w:val="008C4B42"/>
    <w:rsid w:val="008C638E"/>
    <w:rsid w:val="008C69AF"/>
    <w:rsid w:val="008D0BEF"/>
    <w:rsid w:val="008D172F"/>
    <w:rsid w:val="008D2B1D"/>
    <w:rsid w:val="008D41D7"/>
    <w:rsid w:val="008D4756"/>
    <w:rsid w:val="008D6E01"/>
    <w:rsid w:val="008D7245"/>
    <w:rsid w:val="008D796F"/>
    <w:rsid w:val="008E0B86"/>
    <w:rsid w:val="008E105E"/>
    <w:rsid w:val="008E20A5"/>
    <w:rsid w:val="008E3F8C"/>
    <w:rsid w:val="008E3FAD"/>
    <w:rsid w:val="008E4FEE"/>
    <w:rsid w:val="008E5A27"/>
    <w:rsid w:val="008F1922"/>
    <w:rsid w:val="008F2F20"/>
    <w:rsid w:val="008F405F"/>
    <w:rsid w:val="008F47FB"/>
    <w:rsid w:val="008F48FF"/>
    <w:rsid w:val="008F5CEC"/>
    <w:rsid w:val="008F719E"/>
    <w:rsid w:val="008F7DCD"/>
    <w:rsid w:val="00900EE1"/>
    <w:rsid w:val="009028B6"/>
    <w:rsid w:val="00902FD0"/>
    <w:rsid w:val="00903DF8"/>
    <w:rsid w:val="00904AFA"/>
    <w:rsid w:val="00904CC4"/>
    <w:rsid w:val="009050E9"/>
    <w:rsid w:val="009053D3"/>
    <w:rsid w:val="009054A1"/>
    <w:rsid w:val="00905AC8"/>
    <w:rsid w:val="009061C0"/>
    <w:rsid w:val="009063CA"/>
    <w:rsid w:val="0090691F"/>
    <w:rsid w:val="009111C3"/>
    <w:rsid w:val="00911A39"/>
    <w:rsid w:val="0091279F"/>
    <w:rsid w:val="00913DF6"/>
    <w:rsid w:val="00916644"/>
    <w:rsid w:val="00921C1E"/>
    <w:rsid w:val="00922AB8"/>
    <w:rsid w:val="009232FF"/>
    <w:rsid w:val="00923672"/>
    <w:rsid w:val="0092373B"/>
    <w:rsid w:val="00925388"/>
    <w:rsid w:val="00926631"/>
    <w:rsid w:val="00926BF0"/>
    <w:rsid w:val="0092704D"/>
    <w:rsid w:val="009279AB"/>
    <w:rsid w:val="00927BF4"/>
    <w:rsid w:val="00927FF8"/>
    <w:rsid w:val="0093111F"/>
    <w:rsid w:val="00932633"/>
    <w:rsid w:val="00933BDD"/>
    <w:rsid w:val="00933D01"/>
    <w:rsid w:val="00935689"/>
    <w:rsid w:val="009366F5"/>
    <w:rsid w:val="009375D3"/>
    <w:rsid w:val="00937BB9"/>
    <w:rsid w:val="009416DA"/>
    <w:rsid w:val="00941ED5"/>
    <w:rsid w:val="0094337F"/>
    <w:rsid w:val="00944133"/>
    <w:rsid w:val="00944156"/>
    <w:rsid w:val="00944A2A"/>
    <w:rsid w:val="0094564E"/>
    <w:rsid w:val="009459FB"/>
    <w:rsid w:val="00946D24"/>
    <w:rsid w:val="00947779"/>
    <w:rsid w:val="00951630"/>
    <w:rsid w:val="0095176C"/>
    <w:rsid w:val="0095303B"/>
    <w:rsid w:val="00953082"/>
    <w:rsid w:val="00953500"/>
    <w:rsid w:val="009540B2"/>
    <w:rsid w:val="00954E9F"/>
    <w:rsid w:val="00956859"/>
    <w:rsid w:val="00956A24"/>
    <w:rsid w:val="00957014"/>
    <w:rsid w:val="00957354"/>
    <w:rsid w:val="00961BAC"/>
    <w:rsid w:val="00963910"/>
    <w:rsid w:val="009641EB"/>
    <w:rsid w:val="009645B4"/>
    <w:rsid w:val="00965D20"/>
    <w:rsid w:val="009663B6"/>
    <w:rsid w:val="009663C7"/>
    <w:rsid w:val="009721EE"/>
    <w:rsid w:val="009737C7"/>
    <w:rsid w:val="00974A47"/>
    <w:rsid w:val="009754F6"/>
    <w:rsid w:val="00975763"/>
    <w:rsid w:val="00976945"/>
    <w:rsid w:val="00980286"/>
    <w:rsid w:val="00980AC9"/>
    <w:rsid w:val="00980F0C"/>
    <w:rsid w:val="009812D5"/>
    <w:rsid w:val="00983842"/>
    <w:rsid w:val="00985AB6"/>
    <w:rsid w:val="00985EE4"/>
    <w:rsid w:val="00986EFC"/>
    <w:rsid w:val="00986F55"/>
    <w:rsid w:val="00990578"/>
    <w:rsid w:val="00990DCF"/>
    <w:rsid w:val="0099172A"/>
    <w:rsid w:val="009918DE"/>
    <w:rsid w:val="00993213"/>
    <w:rsid w:val="00993A54"/>
    <w:rsid w:val="009940AC"/>
    <w:rsid w:val="00995139"/>
    <w:rsid w:val="009951A9"/>
    <w:rsid w:val="009951C6"/>
    <w:rsid w:val="0099552E"/>
    <w:rsid w:val="00995AC7"/>
    <w:rsid w:val="00995BFC"/>
    <w:rsid w:val="009962BE"/>
    <w:rsid w:val="0099780A"/>
    <w:rsid w:val="009A201E"/>
    <w:rsid w:val="009A2905"/>
    <w:rsid w:val="009A4CD6"/>
    <w:rsid w:val="009A4D72"/>
    <w:rsid w:val="009A4FFC"/>
    <w:rsid w:val="009A537C"/>
    <w:rsid w:val="009A589A"/>
    <w:rsid w:val="009A5AFC"/>
    <w:rsid w:val="009A6361"/>
    <w:rsid w:val="009A6E09"/>
    <w:rsid w:val="009A70C0"/>
    <w:rsid w:val="009A78E1"/>
    <w:rsid w:val="009B17B7"/>
    <w:rsid w:val="009B264E"/>
    <w:rsid w:val="009B3FD2"/>
    <w:rsid w:val="009B573D"/>
    <w:rsid w:val="009B6103"/>
    <w:rsid w:val="009B73FC"/>
    <w:rsid w:val="009C0886"/>
    <w:rsid w:val="009C19EE"/>
    <w:rsid w:val="009C1B53"/>
    <w:rsid w:val="009C28D0"/>
    <w:rsid w:val="009C2C3E"/>
    <w:rsid w:val="009C2E2B"/>
    <w:rsid w:val="009C35F2"/>
    <w:rsid w:val="009C39E3"/>
    <w:rsid w:val="009C3FB0"/>
    <w:rsid w:val="009C58BE"/>
    <w:rsid w:val="009C7301"/>
    <w:rsid w:val="009C7782"/>
    <w:rsid w:val="009C7A99"/>
    <w:rsid w:val="009C7C2C"/>
    <w:rsid w:val="009D07DA"/>
    <w:rsid w:val="009D16A4"/>
    <w:rsid w:val="009D1ED5"/>
    <w:rsid w:val="009D26C6"/>
    <w:rsid w:val="009D3DCA"/>
    <w:rsid w:val="009D4479"/>
    <w:rsid w:val="009D4848"/>
    <w:rsid w:val="009D4C13"/>
    <w:rsid w:val="009D5EE0"/>
    <w:rsid w:val="009D6C64"/>
    <w:rsid w:val="009E1AF2"/>
    <w:rsid w:val="009E21A7"/>
    <w:rsid w:val="009E2E2B"/>
    <w:rsid w:val="009E3CB9"/>
    <w:rsid w:val="009E3EDB"/>
    <w:rsid w:val="009E4511"/>
    <w:rsid w:val="009E4F87"/>
    <w:rsid w:val="009E5699"/>
    <w:rsid w:val="009E5F7C"/>
    <w:rsid w:val="009E69A4"/>
    <w:rsid w:val="009E793C"/>
    <w:rsid w:val="009E7D7E"/>
    <w:rsid w:val="009F1CFF"/>
    <w:rsid w:val="009F216E"/>
    <w:rsid w:val="009F28AB"/>
    <w:rsid w:val="009F2CDE"/>
    <w:rsid w:val="009F41E0"/>
    <w:rsid w:val="009F4F9B"/>
    <w:rsid w:val="009F5420"/>
    <w:rsid w:val="009F6D27"/>
    <w:rsid w:val="009F73A0"/>
    <w:rsid w:val="009F7A89"/>
    <w:rsid w:val="009F7AE7"/>
    <w:rsid w:val="00A01304"/>
    <w:rsid w:val="00A01D1A"/>
    <w:rsid w:val="00A01F14"/>
    <w:rsid w:val="00A031A9"/>
    <w:rsid w:val="00A041B8"/>
    <w:rsid w:val="00A06060"/>
    <w:rsid w:val="00A07E73"/>
    <w:rsid w:val="00A103ED"/>
    <w:rsid w:val="00A10F18"/>
    <w:rsid w:val="00A116A9"/>
    <w:rsid w:val="00A13C60"/>
    <w:rsid w:val="00A14643"/>
    <w:rsid w:val="00A15134"/>
    <w:rsid w:val="00A16D52"/>
    <w:rsid w:val="00A16D75"/>
    <w:rsid w:val="00A20430"/>
    <w:rsid w:val="00A20BC9"/>
    <w:rsid w:val="00A21BD6"/>
    <w:rsid w:val="00A24156"/>
    <w:rsid w:val="00A2558F"/>
    <w:rsid w:val="00A25619"/>
    <w:rsid w:val="00A258C9"/>
    <w:rsid w:val="00A25F3F"/>
    <w:rsid w:val="00A27F23"/>
    <w:rsid w:val="00A3122B"/>
    <w:rsid w:val="00A32783"/>
    <w:rsid w:val="00A33F9A"/>
    <w:rsid w:val="00A341A3"/>
    <w:rsid w:val="00A347CF"/>
    <w:rsid w:val="00A34FCF"/>
    <w:rsid w:val="00A355DA"/>
    <w:rsid w:val="00A35800"/>
    <w:rsid w:val="00A37949"/>
    <w:rsid w:val="00A37ACA"/>
    <w:rsid w:val="00A40143"/>
    <w:rsid w:val="00A410CA"/>
    <w:rsid w:val="00A4307F"/>
    <w:rsid w:val="00A451D5"/>
    <w:rsid w:val="00A45325"/>
    <w:rsid w:val="00A47B84"/>
    <w:rsid w:val="00A513AB"/>
    <w:rsid w:val="00A51E46"/>
    <w:rsid w:val="00A52612"/>
    <w:rsid w:val="00A52918"/>
    <w:rsid w:val="00A54796"/>
    <w:rsid w:val="00A547B3"/>
    <w:rsid w:val="00A561B7"/>
    <w:rsid w:val="00A56797"/>
    <w:rsid w:val="00A5761D"/>
    <w:rsid w:val="00A57AEE"/>
    <w:rsid w:val="00A61207"/>
    <w:rsid w:val="00A61905"/>
    <w:rsid w:val="00A61F73"/>
    <w:rsid w:val="00A63DC0"/>
    <w:rsid w:val="00A6494C"/>
    <w:rsid w:val="00A6549C"/>
    <w:rsid w:val="00A662E0"/>
    <w:rsid w:val="00A6670B"/>
    <w:rsid w:val="00A678C2"/>
    <w:rsid w:val="00A707C0"/>
    <w:rsid w:val="00A70E82"/>
    <w:rsid w:val="00A719BA"/>
    <w:rsid w:val="00A7243D"/>
    <w:rsid w:val="00A7359B"/>
    <w:rsid w:val="00A74D53"/>
    <w:rsid w:val="00A8126F"/>
    <w:rsid w:val="00A8227E"/>
    <w:rsid w:val="00A82EF5"/>
    <w:rsid w:val="00A84978"/>
    <w:rsid w:val="00A84CAD"/>
    <w:rsid w:val="00A8616A"/>
    <w:rsid w:val="00A8791F"/>
    <w:rsid w:val="00A90E50"/>
    <w:rsid w:val="00A91AF3"/>
    <w:rsid w:val="00A93730"/>
    <w:rsid w:val="00A93F42"/>
    <w:rsid w:val="00A940F3"/>
    <w:rsid w:val="00A9423B"/>
    <w:rsid w:val="00A9477F"/>
    <w:rsid w:val="00A957DA"/>
    <w:rsid w:val="00A95FA5"/>
    <w:rsid w:val="00A96D92"/>
    <w:rsid w:val="00A96F2C"/>
    <w:rsid w:val="00A97CED"/>
    <w:rsid w:val="00AA00C0"/>
    <w:rsid w:val="00AA0569"/>
    <w:rsid w:val="00AA13BD"/>
    <w:rsid w:val="00AA2626"/>
    <w:rsid w:val="00AA2648"/>
    <w:rsid w:val="00AA26B0"/>
    <w:rsid w:val="00AA2901"/>
    <w:rsid w:val="00AA3B22"/>
    <w:rsid w:val="00AA5061"/>
    <w:rsid w:val="00AA66AD"/>
    <w:rsid w:val="00AA6ACF"/>
    <w:rsid w:val="00AA7770"/>
    <w:rsid w:val="00AB199C"/>
    <w:rsid w:val="00AB1ACD"/>
    <w:rsid w:val="00AB247A"/>
    <w:rsid w:val="00AB3733"/>
    <w:rsid w:val="00AB4E5D"/>
    <w:rsid w:val="00AB5063"/>
    <w:rsid w:val="00AB5625"/>
    <w:rsid w:val="00AB588C"/>
    <w:rsid w:val="00AB5A20"/>
    <w:rsid w:val="00AB5AD9"/>
    <w:rsid w:val="00AB5C1E"/>
    <w:rsid w:val="00AB5E03"/>
    <w:rsid w:val="00AB6F61"/>
    <w:rsid w:val="00AB727C"/>
    <w:rsid w:val="00AB7897"/>
    <w:rsid w:val="00AC4DA2"/>
    <w:rsid w:val="00AC5054"/>
    <w:rsid w:val="00AC635D"/>
    <w:rsid w:val="00AC644A"/>
    <w:rsid w:val="00AD1587"/>
    <w:rsid w:val="00AD1B83"/>
    <w:rsid w:val="00AD2CD9"/>
    <w:rsid w:val="00AD2CDC"/>
    <w:rsid w:val="00AD3261"/>
    <w:rsid w:val="00AD3C0C"/>
    <w:rsid w:val="00AD3CA9"/>
    <w:rsid w:val="00AD5D9D"/>
    <w:rsid w:val="00AD670B"/>
    <w:rsid w:val="00AD691B"/>
    <w:rsid w:val="00AD6B46"/>
    <w:rsid w:val="00AD73AA"/>
    <w:rsid w:val="00AD73DD"/>
    <w:rsid w:val="00AD7E8C"/>
    <w:rsid w:val="00AE2737"/>
    <w:rsid w:val="00AE4BAC"/>
    <w:rsid w:val="00AE50C9"/>
    <w:rsid w:val="00AE53E9"/>
    <w:rsid w:val="00AE6CEE"/>
    <w:rsid w:val="00AE731F"/>
    <w:rsid w:val="00AE7DB8"/>
    <w:rsid w:val="00AF03AF"/>
    <w:rsid w:val="00AF057F"/>
    <w:rsid w:val="00AF1F36"/>
    <w:rsid w:val="00AF2504"/>
    <w:rsid w:val="00AF2BC8"/>
    <w:rsid w:val="00AF601C"/>
    <w:rsid w:val="00AF61A6"/>
    <w:rsid w:val="00AF6ACE"/>
    <w:rsid w:val="00B024A6"/>
    <w:rsid w:val="00B02C95"/>
    <w:rsid w:val="00B034FC"/>
    <w:rsid w:val="00B03BF7"/>
    <w:rsid w:val="00B04123"/>
    <w:rsid w:val="00B04169"/>
    <w:rsid w:val="00B04812"/>
    <w:rsid w:val="00B05310"/>
    <w:rsid w:val="00B0578C"/>
    <w:rsid w:val="00B069BD"/>
    <w:rsid w:val="00B1056B"/>
    <w:rsid w:val="00B10961"/>
    <w:rsid w:val="00B10A0B"/>
    <w:rsid w:val="00B12107"/>
    <w:rsid w:val="00B1286A"/>
    <w:rsid w:val="00B132BF"/>
    <w:rsid w:val="00B15377"/>
    <w:rsid w:val="00B153AF"/>
    <w:rsid w:val="00B15545"/>
    <w:rsid w:val="00B158F2"/>
    <w:rsid w:val="00B160AD"/>
    <w:rsid w:val="00B16994"/>
    <w:rsid w:val="00B21E42"/>
    <w:rsid w:val="00B22170"/>
    <w:rsid w:val="00B22863"/>
    <w:rsid w:val="00B23469"/>
    <w:rsid w:val="00B23D1A"/>
    <w:rsid w:val="00B23EF7"/>
    <w:rsid w:val="00B2564A"/>
    <w:rsid w:val="00B25DE0"/>
    <w:rsid w:val="00B26729"/>
    <w:rsid w:val="00B26800"/>
    <w:rsid w:val="00B27725"/>
    <w:rsid w:val="00B27C99"/>
    <w:rsid w:val="00B27D74"/>
    <w:rsid w:val="00B30D85"/>
    <w:rsid w:val="00B31E42"/>
    <w:rsid w:val="00B32B27"/>
    <w:rsid w:val="00B32E27"/>
    <w:rsid w:val="00B33B75"/>
    <w:rsid w:val="00B33FAC"/>
    <w:rsid w:val="00B3565C"/>
    <w:rsid w:val="00B3589C"/>
    <w:rsid w:val="00B35A4A"/>
    <w:rsid w:val="00B3780A"/>
    <w:rsid w:val="00B4132E"/>
    <w:rsid w:val="00B44558"/>
    <w:rsid w:val="00B453CF"/>
    <w:rsid w:val="00B46072"/>
    <w:rsid w:val="00B46FEB"/>
    <w:rsid w:val="00B506C1"/>
    <w:rsid w:val="00B5121C"/>
    <w:rsid w:val="00B52328"/>
    <w:rsid w:val="00B527D8"/>
    <w:rsid w:val="00B53662"/>
    <w:rsid w:val="00B5432A"/>
    <w:rsid w:val="00B5560F"/>
    <w:rsid w:val="00B55791"/>
    <w:rsid w:val="00B5597F"/>
    <w:rsid w:val="00B55DD8"/>
    <w:rsid w:val="00B5648F"/>
    <w:rsid w:val="00B56B5B"/>
    <w:rsid w:val="00B56C52"/>
    <w:rsid w:val="00B60CB6"/>
    <w:rsid w:val="00B61CF8"/>
    <w:rsid w:val="00B63A9D"/>
    <w:rsid w:val="00B63FD7"/>
    <w:rsid w:val="00B6544A"/>
    <w:rsid w:val="00B66F68"/>
    <w:rsid w:val="00B67EE8"/>
    <w:rsid w:val="00B70163"/>
    <w:rsid w:val="00B702C6"/>
    <w:rsid w:val="00B7133C"/>
    <w:rsid w:val="00B72AA3"/>
    <w:rsid w:val="00B743F8"/>
    <w:rsid w:val="00B76DDF"/>
    <w:rsid w:val="00B77B2F"/>
    <w:rsid w:val="00B77F1C"/>
    <w:rsid w:val="00B816D9"/>
    <w:rsid w:val="00B81770"/>
    <w:rsid w:val="00B83504"/>
    <w:rsid w:val="00B85ACB"/>
    <w:rsid w:val="00B86818"/>
    <w:rsid w:val="00B86C4E"/>
    <w:rsid w:val="00B871A2"/>
    <w:rsid w:val="00B87B4C"/>
    <w:rsid w:val="00B90B99"/>
    <w:rsid w:val="00B9120F"/>
    <w:rsid w:val="00B916E2"/>
    <w:rsid w:val="00B9216C"/>
    <w:rsid w:val="00B924A4"/>
    <w:rsid w:val="00B9255B"/>
    <w:rsid w:val="00B9369B"/>
    <w:rsid w:val="00B96588"/>
    <w:rsid w:val="00B96599"/>
    <w:rsid w:val="00B9712E"/>
    <w:rsid w:val="00BA0382"/>
    <w:rsid w:val="00BA0FFB"/>
    <w:rsid w:val="00BA15D5"/>
    <w:rsid w:val="00BA1954"/>
    <w:rsid w:val="00BA217F"/>
    <w:rsid w:val="00BA28EA"/>
    <w:rsid w:val="00BA3096"/>
    <w:rsid w:val="00BA3C73"/>
    <w:rsid w:val="00BA405D"/>
    <w:rsid w:val="00BA7B02"/>
    <w:rsid w:val="00BB07E9"/>
    <w:rsid w:val="00BB0D1A"/>
    <w:rsid w:val="00BB1908"/>
    <w:rsid w:val="00BB1D3B"/>
    <w:rsid w:val="00BB1E6C"/>
    <w:rsid w:val="00BB1ECD"/>
    <w:rsid w:val="00BB36E5"/>
    <w:rsid w:val="00BB4741"/>
    <w:rsid w:val="00BB5238"/>
    <w:rsid w:val="00BB53F1"/>
    <w:rsid w:val="00BB6D0D"/>
    <w:rsid w:val="00BB7182"/>
    <w:rsid w:val="00BB7F31"/>
    <w:rsid w:val="00BC0202"/>
    <w:rsid w:val="00BC02CE"/>
    <w:rsid w:val="00BC35ED"/>
    <w:rsid w:val="00BC42C7"/>
    <w:rsid w:val="00BC4417"/>
    <w:rsid w:val="00BC4883"/>
    <w:rsid w:val="00BD0780"/>
    <w:rsid w:val="00BD14E1"/>
    <w:rsid w:val="00BD2695"/>
    <w:rsid w:val="00BD50D0"/>
    <w:rsid w:val="00BD5AB8"/>
    <w:rsid w:val="00BD6398"/>
    <w:rsid w:val="00BD643C"/>
    <w:rsid w:val="00BD6FEA"/>
    <w:rsid w:val="00BE0DCA"/>
    <w:rsid w:val="00BE205A"/>
    <w:rsid w:val="00BE2F74"/>
    <w:rsid w:val="00BE3802"/>
    <w:rsid w:val="00BE563E"/>
    <w:rsid w:val="00BE677F"/>
    <w:rsid w:val="00BE7733"/>
    <w:rsid w:val="00BF174F"/>
    <w:rsid w:val="00BF1CEE"/>
    <w:rsid w:val="00BF238E"/>
    <w:rsid w:val="00BF2A5E"/>
    <w:rsid w:val="00BF2F4A"/>
    <w:rsid w:val="00BF44F1"/>
    <w:rsid w:val="00BF544D"/>
    <w:rsid w:val="00BF568D"/>
    <w:rsid w:val="00BF6D79"/>
    <w:rsid w:val="00BF6FFD"/>
    <w:rsid w:val="00BF7157"/>
    <w:rsid w:val="00C0076F"/>
    <w:rsid w:val="00C02394"/>
    <w:rsid w:val="00C02CED"/>
    <w:rsid w:val="00C0301C"/>
    <w:rsid w:val="00C050B6"/>
    <w:rsid w:val="00C07F40"/>
    <w:rsid w:val="00C10F12"/>
    <w:rsid w:val="00C14199"/>
    <w:rsid w:val="00C15617"/>
    <w:rsid w:val="00C159F2"/>
    <w:rsid w:val="00C15FEA"/>
    <w:rsid w:val="00C16FAE"/>
    <w:rsid w:val="00C20213"/>
    <w:rsid w:val="00C20464"/>
    <w:rsid w:val="00C20622"/>
    <w:rsid w:val="00C20CDA"/>
    <w:rsid w:val="00C22D2D"/>
    <w:rsid w:val="00C23564"/>
    <w:rsid w:val="00C23B08"/>
    <w:rsid w:val="00C245EA"/>
    <w:rsid w:val="00C256F6"/>
    <w:rsid w:val="00C25BD0"/>
    <w:rsid w:val="00C25F07"/>
    <w:rsid w:val="00C264A7"/>
    <w:rsid w:val="00C2716F"/>
    <w:rsid w:val="00C305DF"/>
    <w:rsid w:val="00C307BD"/>
    <w:rsid w:val="00C3097E"/>
    <w:rsid w:val="00C316DB"/>
    <w:rsid w:val="00C33245"/>
    <w:rsid w:val="00C33C78"/>
    <w:rsid w:val="00C3460C"/>
    <w:rsid w:val="00C3543A"/>
    <w:rsid w:val="00C3549A"/>
    <w:rsid w:val="00C35ECC"/>
    <w:rsid w:val="00C361A8"/>
    <w:rsid w:val="00C41246"/>
    <w:rsid w:val="00C41A59"/>
    <w:rsid w:val="00C44F5C"/>
    <w:rsid w:val="00C45226"/>
    <w:rsid w:val="00C45E5F"/>
    <w:rsid w:val="00C46291"/>
    <w:rsid w:val="00C464AB"/>
    <w:rsid w:val="00C46B6D"/>
    <w:rsid w:val="00C50639"/>
    <w:rsid w:val="00C51C57"/>
    <w:rsid w:val="00C52B2A"/>
    <w:rsid w:val="00C5353E"/>
    <w:rsid w:val="00C547C6"/>
    <w:rsid w:val="00C54953"/>
    <w:rsid w:val="00C54C7A"/>
    <w:rsid w:val="00C56B06"/>
    <w:rsid w:val="00C56C0A"/>
    <w:rsid w:val="00C56DCE"/>
    <w:rsid w:val="00C57575"/>
    <w:rsid w:val="00C57EAB"/>
    <w:rsid w:val="00C611F4"/>
    <w:rsid w:val="00C6141A"/>
    <w:rsid w:val="00C62E5C"/>
    <w:rsid w:val="00C63412"/>
    <w:rsid w:val="00C64211"/>
    <w:rsid w:val="00C66436"/>
    <w:rsid w:val="00C66C09"/>
    <w:rsid w:val="00C6758F"/>
    <w:rsid w:val="00C7038D"/>
    <w:rsid w:val="00C70BB9"/>
    <w:rsid w:val="00C714D0"/>
    <w:rsid w:val="00C717EE"/>
    <w:rsid w:val="00C72283"/>
    <w:rsid w:val="00C7259E"/>
    <w:rsid w:val="00C72EE9"/>
    <w:rsid w:val="00C73451"/>
    <w:rsid w:val="00C73F67"/>
    <w:rsid w:val="00C741B8"/>
    <w:rsid w:val="00C7465F"/>
    <w:rsid w:val="00C748CD"/>
    <w:rsid w:val="00C74B26"/>
    <w:rsid w:val="00C74CF9"/>
    <w:rsid w:val="00C7553A"/>
    <w:rsid w:val="00C76645"/>
    <w:rsid w:val="00C76FE1"/>
    <w:rsid w:val="00C77A65"/>
    <w:rsid w:val="00C81A54"/>
    <w:rsid w:val="00C81CE8"/>
    <w:rsid w:val="00C82DDB"/>
    <w:rsid w:val="00C87F69"/>
    <w:rsid w:val="00C90D80"/>
    <w:rsid w:val="00C90EF4"/>
    <w:rsid w:val="00C91BBE"/>
    <w:rsid w:val="00C927CF"/>
    <w:rsid w:val="00C92B75"/>
    <w:rsid w:val="00C93071"/>
    <w:rsid w:val="00C93482"/>
    <w:rsid w:val="00C93B7D"/>
    <w:rsid w:val="00C93D0D"/>
    <w:rsid w:val="00C965BC"/>
    <w:rsid w:val="00C97DA4"/>
    <w:rsid w:val="00CA015A"/>
    <w:rsid w:val="00CA01B0"/>
    <w:rsid w:val="00CA0F1A"/>
    <w:rsid w:val="00CA102E"/>
    <w:rsid w:val="00CA45E6"/>
    <w:rsid w:val="00CA4A86"/>
    <w:rsid w:val="00CA4CC7"/>
    <w:rsid w:val="00CA5850"/>
    <w:rsid w:val="00CA5B8E"/>
    <w:rsid w:val="00CA7935"/>
    <w:rsid w:val="00CB1CB7"/>
    <w:rsid w:val="00CB3692"/>
    <w:rsid w:val="00CC1AA3"/>
    <w:rsid w:val="00CC25EA"/>
    <w:rsid w:val="00CC3558"/>
    <w:rsid w:val="00CC3A47"/>
    <w:rsid w:val="00CC42AB"/>
    <w:rsid w:val="00CC4655"/>
    <w:rsid w:val="00CC583B"/>
    <w:rsid w:val="00CC73CE"/>
    <w:rsid w:val="00CC7676"/>
    <w:rsid w:val="00CD0111"/>
    <w:rsid w:val="00CD21CA"/>
    <w:rsid w:val="00CD27EE"/>
    <w:rsid w:val="00CD334A"/>
    <w:rsid w:val="00CD3608"/>
    <w:rsid w:val="00CD4389"/>
    <w:rsid w:val="00CD4486"/>
    <w:rsid w:val="00CD55B8"/>
    <w:rsid w:val="00CD5BC3"/>
    <w:rsid w:val="00CD6E29"/>
    <w:rsid w:val="00CE1BDD"/>
    <w:rsid w:val="00CE356F"/>
    <w:rsid w:val="00CE3E5B"/>
    <w:rsid w:val="00CE4010"/>
    <w:rsid w:val="00CE6165"/>
    <w:rsid w:val="00CF1B7C"/>
    <w:rsid w:val="00CF2321"/>
    <w:rsid w:val="00CF2E0D"/>
    <w:rsid w:val="00CF387D"/>
    <w:rsid w:val="00CF4ADD"/>
    <w:rsid w:val="00CF5E22"/>
    <w:rsid w:val="00CF6D17"/>
    <w:rsid w:val="00CF7A80"/>
    <w:rsid w:val="00D00211"/>
    <w:rsid w:val="00D018C2"/>
    <w:rsid w:val="00D01AB7"/>
    <w:rsid w:val="00D024EB"/>
    <w:rsid w:val="00D037A5"/>
    <w:rsid w:val="00D04DC3"/>
    <w:rsid w:val="00D04F24"/>
    <w:rsid w:val="00D069E4"/>
    <w:rsid w:val="00D06A44"/>
    <w:rsid w:val="00D075AF"/>
    <w:rsid w:val="00D076AA"/>
    <w:rsid w:val="00D0770D"/>
    <w:rsid w:val="00D10069"/>
    <w:rsid w:val="00D1089F"/>
    <w:rsid w:val="00D13FAA"/>
    <w:rsid w:val="00D146A7"/>
    <w:rsid w:val="00D151EB"/>
    <w:rsid w:val="00D1565C"/>
    <w:rsid w:val="00D15F0D"/>
    <w:rsid w:val="00D16FE2"/>
    <w:rsid w:val="00D20748"/>
    <w:rsid w:val="00D2093D"/>
    <w:rsid w:val="00D20D16"/>
    <w:rsid w:val="00D217A7"/>
    <w:rsid w:val="00D2254F"/>
    <w:rsid w:val="00D238A7"/>
    <w:rsid w:val="00D2393E"/>
    <w:rsid w:val="00D24F2E"/>
    <w:rsid w:val="00D25849"/>
    <w:rsid w:val="00D27089"/>
    <w:rsid w:val="00D276E1"/>
    <w:rsid w:val="00D27B66"/>
    <w:rsid w:val="00D300E0"/>
    <w:rsid w:val="00D30333"/>
    <w:rsid w:val="00D30CA5"/>
    <w:rsid w:val="00D31392"/>
    <w:rsid w:val="00D36A8E"/>
    <w:rsid w:val="00D374CD"/>
    <w:rsid w:val="00D377A7"/>
    <w:rsid w:val="00D379EC"/>
    <w:rsid w:val="00D40685"/>
    <w:rsid w:val="00D409EF"/>
    <w:rsid w:val="00D41A31"/>
    <w:rsid w:val="00D42C9B"/>
    <w:rsid w:val="00D43A98"/>
    <w:rsid w:val="00D464A6"/>
    <w:rsid w:val="00D5175F"/>
    <w:rsid w:val="00D51FC5"/>
    <w:rsid w:val="00D52FFE"/>
    <w:rsid w:val="00D57A79"/>
    <w:rsid w:val="00D57C02"/>
    <w:rsid w:val="00D57FD1"/>
    <w:rsid w:val="00D60D4E"/>
    <w:rsid w:val="00D6244C"/>
    <w:rsid w:val="00D62918"/>
    <w:rsid w:val="00D6398D"/>
    <w:rsid w:val="00D64120"/>
    <w:rsid w:val="00D650CE"/>
    <w:rsid w:val="00D6570D"/>
    <w:rsid w:val="00D65ACD"/>
    <w:rsid w:val="00D662D8"/>
    <w:rsid w:val="00D66B5E"/>
    <w:rsid w:val="00D67B53"/>
    <w:rsid w:val="00D71719"/>
    <w:rsid w:val="00D73D46"/>
    <w:rsid w:val="00D744B0"/>
    <w:rsid w:val="00D74894"/>
    <w:rsid w:val="00D75F72"/>
    <w:rsid w:val="00D776DA"/>
    <w:rsid w:val="00D77F4E"/>
    <w:rsid w:val="00D804FA"/>
    <w:rsid w:val="00D830D2"/>
    <w:rsid w:val="00D8346C"/>
    <w:rsid w:val="00D84380"/>
    <w:rsid w:val="00D84622"/>
    <w:rsid w:val="00D8580F"/>
    <w:rsid w:val="00D85D79"/>
    <w:rsid w:val="00D86F56"/>
    <w:rsid w:val="00D87009"/>
    <w:rsid w:val="00D8758B"/>
    <w:rsid w:val="00D9025B"/>
    <w:rsid w:val="00D91C0E"/>
    <w:rsid w:val="00D9346D"/>
    <w:rsid w:val="00D942B3"/>
    <w:rsid w:val="00D94850"/>
    <w:rsid w:val="00D94863"/>
    <w:rsid w:val="00D94CA4"/>
    <w:rsid w:val="00D96C46"/>
    <w:rsid w:val="00D97DAE"/>
    <w:rsid w:val="00DA020F"/>
    <w:rsid w:val="00DA0E4E"/>
    <w:rsid w:val="00DA2627"/>
    <w:rsid w:val="00DA27C9"/>
    <w:rsid w:val="00DA29A1"/>
    <w:rsid w:val="00DA2A4A"/>
    <w:rsid w:val="00DA3473"/>
    <w:rsid w:val="00DA399D"/>
    <w:rsid w:val="00DA4276"/>
    <w:rsid w:val="00DA45F9"/>
    <w:rsid w:val="00DA5509"/>
    <w:rsid w:val="00DA55BB"/>
    <w:rsid w:val="00DA5954"/>
    <w:rsid w:val="00DA5959"/>
    <w:rsid w:val="00DA66AC"/>
    <w:rsid w:val="00DA7D09"/>
    <w:rsid w:val="00DB0E81"/>
    <w:rsid w:val="00DB1B71"/>
    <w:rsid w:val="00DB2B7C"/>
    <w:rsid w:val="00DB2ED8"/>
    <w:rsid w:val="00DB45D3"/>
    <w:rsid w:val="00DB53E1"/>
    <w:rsid w:val="00DB5C62"/>
    <w:rsid w:val="00DB629F"/>
    <w:rsid w:val="00DB7922"/>
    <w:rsid w:val="00DB7F2B"/>
    <w:rsid w:val="00DC0BD2"/>
    <w:rsid w:val="00DC0D18"/>
    <w:rsid w:val="00DC2630"/>
    <w:rsid w:val="00DC316B"/>
    <w:rsid w:val="00DC3936"/>
    <w:rsid w:val="00DC3ECE"/>
    <w:rsid w:val="00DC48A7"/>
    <w:rsid w:val="00DC49E9"/>
    <w:rsid w:val="00DC55E4"/>
    <w:rsid w:val="00DC6D7D"/>
    <w:rsid w:val="00DC6E35"/>
    <w:rsid w:val="00DC79E7"/>
    <w:rsid w:val="00DC7D71"/>
    <w:rsid w:val="00DD188C"/>
    <w:rsid w:val="00DD1B82"/>
    <w:rsid w:val="00DD29A3"/>
    <w:rsid w:val="00DD3488"/>
    <w:rsid w:val="00DD43F0"/>
    <w:rsid w:val="00DD48EE"/>
    <w:rsid w:val="00DD54C2"/>
    <w:rsid w:val="00DD6318"/>
    <w:rsid w:val="00DD7254"/>
    <w:rsid w:val="00DD7626"/>
    <w:rsid w:val="00DD7A7C"/>
    <w:rsid w:val="00DD7BD2"/>
    <w:rsid w:val="00DE0B96"/>
    <w:rsid w:val="00DE10B9"/>
    <w:rsid w:val="00DE1987"/>
    <w:rsid w:val="00DE28E7"/>
    <w:rsid w:val="00DE2B8A"/>
    <w:rsid w:val="00DE3311"/>
    <w:rsid w:val="00DE557B"/>
    <w:rsid w:val="00DF0B13"/>
    <w:rsid w:val="00DF0C1E"/>
    <w:rsid w:val="00DF18A7"/>
    <w:rsid w:val="00DF2E04"/>
    <w:rsid w:val="00DF2EB8"/>
    <w:rsid w:val="00DF3714"/>
    <w:rsid w:val="00DF4A94"/>
    <w:rsid w:val="00DF5B89"/>
    <w:rsid w:val="00DF6003"/>
    <w:rsid w:val="00DF72BD"/>
    <w:rsid w:val="00DF7502"/>
    <w:rsid w:val="00E00095"/>
    <w:rsid w:val="00E00701"/>
    <w:rsid w:val="00E0070E"/>
    <w:rsid w:val="00E01500"/>
    <w:rsid w:val="00E0587A"/>
    <w:rsid w:val="00E066C3"/>
    <w:rsid w:val="00E06C52"/>
    <w:rsid w:val="00E07463"/>
    <w:rsid w:val="00E07C26"/>
    <w:rsid w:val="00E10235"/>
    <w:rsid w:val="00E10D8C"/>
    <w:rsid w:val="00E11072"/>
    <w:rsid w:val="00E11B17"/>
    <w:rsid w:val="00E12865"/>
    <w:rsid w:val="00E12BE3"/>
    <w:rsid w:val="00E1353A"/>
    <w:rsid w:val="00E15243"/>
    <w:rsid w:val="00E1564B"/>
    <w:rsid w:val="00E15B11"/>
    <w:rsid w:val="00E17FCE"/>
    <w:rsid w:val="00E208A0"/>
    <w:rsid w:val="00E25B49"/>
    <w:rsid w:val="00E26DFD"/>
    <w:rsid w:val="00E2737A"/>
    <w:rsid w:val="00E30F55"/>
    <w:rsid w:val="00E30F8E"/>
    <w:rsid w:val="00E31DBC"/>
    <w:rsid w:val="00E3211E"/>
    <w:rsid w:val="00E33A90"/>
    <w:rsid w:val="00E33E79"/>
    <w:rsid w:val="00E35BDB"/>
    <w:rsid w:val="00E35CDF"/>
    <w:rsid w:val="00E371EA"/>
    <w:rsid w:val="00E421B4"/>
    <w:rsid w:val="00E42252"/>
    <w:rsid w:val="00E42C87"/>
    <w:rsid w:val="00E446FB"/>
    <w:rsid w:val="00E44DCA"/>
    <w:rsid w:val="00E5050A"/>
    <w:rsid w:val="00E50E2F"/>
    <w:rsid w:val="00E52A41"/>
    <w:rsid w:val="00E535A5"/>
    <w:rsid w:val="00E53FAF"/>
    <w:rsid w:val="00E54490"/>
    <w:rsid w:val="00E550C7"/>
    <w:rsid w:val="00E5542A"/>
    <w:rsid w:val="00E5667A"/>
    <w:rsid w:val="00E6016C"/>
    <w:rsid w:val="00E63C13"/>
    <w:rsid w:val="00E64429"/>
    <w:rsid w:val="00E6454F"/>
    <w:rsid w:val="00E64C1F"/>
    <w:rsid w:val="00E650C6"/>
    <w:rsid w:val="00E65771"/>
    <w:rsid w:val="00E65EA0"/>
    <w:rsid w:val="00E677DD"/>
    <w:rsid w:val="00E67CC6"/>
    <w:rsid w:val="00E70DFD"/>
    <w:rsid w:val="00E72082"/>
    <w:rsid w:val="00E7271A"/>
    <w:rsid w:val="00E73766"/>
    <w:rsid w:val="00E7594B"/>
    <w:rsid w:val="00E75DE0"/>
    <w:rsid w:val="00E75E40"/>
    <w:rsid w:val="00E75F26"/>
    <w:rsid w:val="00E7758B"/>
    <w:rsid w:val="00E80DD1"/>
    <w:rsid w:val="00E83AC6"/>
    <w:rsid w:val="00E85262"/>
    <w:rsid w:val="00E863B8"/>
    <w:rsid w:val="00E86FFC"/>
    <w:rsid w:val="00E8793D"/>
    <w:rsid w:val="00E906B1"/>
    <w:rsid w:val="00E92A2E"/>
    <w:rsid w:val="00E942F8"/>
    <w:rsid w:val="00E95250"/>
    <w:rsid w:val="00E959A9"/>
    <w:rsid w:val="00E95F27"/>
    <w:rsid w:val="00E96054"/>
    <w:rsid w:val="00E97823"/>
    <w:rsid w:val="00EA021B"/>
    <w:rsid w:val="00EA1B0B"/>
    <w:rsid w:val="00EA57EB"/>
    <w:rsid w:val="00EA5B49"/>
    <w:rsid w:val="00EA6A16"/>
    <w:rsid w:val="00EB1D6D"/>
    <w:rsid w:val="00EB45B8"/>
    <w:rsid w:val="00EB4688"/>
    <w:rsid w:val="00EB531F"/>
    <w:rsid w:val="00EB66EC"/>
    <w:rsid w:val="00EB6C07"/>
    <w:rsid w:val="00EB7745"/>
    <w:rsid w:val="00EC028D"/>
    <w:rsid w:val="00EC1272"/>
    <w:rsid w:val="00EC1652"/>
    <w:rsid w:val="00EC185A"/>
    <w:rsid w:val="00EC1F5B"/>
    <w:rsid w:val="00EC2635"/>
    <w:rsid w:val="00EC29A7"/>
    <w:rsid w:val="00EC2DCC"/>
    <w:rsid w:val="00EC36CA"/>
    <w:rsid w:val="00EC511A"/>
    <w:rsid w:val="00EC5534"/>
    <w:rsid w:val="00EC6422"/>
    <w:rsid w:val="00EC64AA"/>
    <w:rsid w:val="00EC67FC"/>
    <w:rsid w:val="00EC75CA"/>
    <w:rsid w:val="00EC7AD1"/>
    <w:rsid w:val="00ED0C7A"/>
    <w:rsid w:val="00ED0FAA"/>
    <w:rsid w:val="00ED1B93"/>
    <w:rsid w:val="00ED48AD"/>
    <w:rsid w:val="00ED5CDE"/>
    <w:rsid w:val="00ED633B"/>
    <w:rsid w:val="00ED74AF"/>
    <w:rsid w:val="00ED7CE0"/>
    <w:rsid w:val="00ED7EEB"/>
    <w:rsid w:val="00EE1196"/>
    <w:rsid w:val="00EE14AD"/>
    <w:rsid w:val="00EE27A3"/>
    <w:rsid w:val="00EE2BBB"/>
    <w:rsid w:val="00EE478C"/>
    <w:rsid w:val="00EE7D0F"/>
    <w:rsid w:val="00EF26F0"/>
    <w:rsid w:val="00EF2C3E"/>
    <w:rsid w:val="00EF350D"/>
    <w:rsid w:val="00EF39C2"/>
    <w:rsid w:val="00EF6AA3"/>
    <w:rsid w:val="00EF6E49"/>
    <w:rsid w:val="00EF7B02"/>
    <w:rsid w:val="00F01016"/>
    <w:rsid w:val="00F01098"/>
    <w:rsid w:val="00F01D0A"/>
    <w:rsid w:val="00F02946"/>
    <w:rsid w:val="00F045C5"/>
    <w:rsid w:val="00F04928"/>
    <w:rsid w:val="00F05035"/>
    <w:rsid w:val="00F07167"/>
    <w:rsid w:val="00F07A5E"/>
    <w:rsid w:val="00F107AF"/>
    <w:rsid w:val="00F107E1"/>
    <w:rsid w:val="00F1132C"/>
    <w:rsid w:val="00F13485"/>
    <w:rsid w:val="00F15B90"/>
    <w:rsid w:val="00F15DD5"/>
    <w:rsid w:val="00F17D4B"/>
    <w:rsid w:val="00F17F2A"/>
    <w:rsid w:val="00F21FBD"/>
    <w:rsid w:val="00F22CE2"/>
    <w:rsid w:val="00F23139"/>
    <w:rsid w:val="00F2569D"/>
    <w:rsid w:val="00F25FA5"/>
    <w:rsid w:val="00F26E3C"/>
    <w:rsid w:val="00F26F30"/>
    <w:rsid w:val="00F26FF1"/>
    <w:rsid w:val="00F3000F"/>
    <w:rsid w:val="00F30802"/>
    <w:rsid w:val="00F32A5F"/>
    <w:rsid w:val="00F32B64"/>
    <w:rsid w:val="00F34001"/>
    <w:rsid w:val="00F341EF"/>
    <w:rsid w:val="00F37293"/>
    <w:rsid w:val="00F40856"/>
    <w:rsid w:val="00F40C44"/>
    <w:rsid w:val="00F41055"/>
    <w:rsid w:val="00F427B6"/>
    <w:rsid w:val="00F447CD"/>
    <w:rsid w:val="00F44876"/>
    <w:rsid w:val="00F44E91"/>
    <w:rsid w:val="00F44F67"/>
    <w:rsid w:val="00F462A3"/>
    <w:rsid w:val="00F47B0E"/>
    <w:rsid w:val="00F51655"/>
    <w:rsid w:val="00F51E84"/>
    <w:rsid w:val="00F53E53"/>
    <w:rsid w:val="00F542FD"/>
    <w:rsid w:val="00F60BCB"/>
    <w:rsid w:val="00F6140D"/>
    <w:rsid w:val="00F61F90"/>
    <w:rsid w:val="00F62865"/>
    <w:rsid w:val="00F63CB0"/>
    <w:rsid w:val="00F66CD5"/>
    <w:rsid w:val="00F66CEB"/>
    <w:rsid w:val="00F67A9A"/>
    <w:rsid w:val="00F700C0"/>
    <w:rsid w:val="00F70A8A"/>
    <w:rsid w:val="00F70B08"/>
    <w:rsid w:val="00F70F4E"/>
    <w:rsid w:val="00F71675"/>
    <w:rsid w:val="00F721FA"/>
    <w:rsid w:val="00F73113"/>
    <w:rsid w:val="00F73669"/>
    <w:rsid w:val="00F74053"/>
    <w:rsid w:val="00F754F0"/>
    <w:rsid w:val="00F7553D"/>
    <w:rsid w:val="00F75FC4"/>
    <w:rsid w:val="00F77543"/>
    <w:rsid w:val="00F776DC"/>
    <w:rsid w:val="00F803FA"/>
    <w:rsid w:val="00F80960"/>
    <w:rsid w:val="00F8126A"/>
    <w:rsid w:val="00F82C72"/>
    <w:rsid w:val="00F83483"/>
    <w:rsid w:val="00F83C34"/>
    <w:rsid w:val="00F83C43"/>
    <w:rsid w:val="00F83FB9"/>
    <w:rsid w:val="00F8471D"/>
    <w:rsid w:val="00F84F9D"/>
    <w:rsid w:val="00F85981"/>
    <w:rsid w:val="00F87263"/>
    <w:rsid w:val="00F8775F"/>
    <w:rsid w:val="00F87CA6"/>
    <w:rsid w:val="00F87EC5"/>
    <w:rsid w:val="00F9046B"/>
    <w:rsid w:val="00F90AB3"/>
    <w:rsid w:val="00F90E38"/>
    <w:rsid w:val="00F93725"/>
    <w:rsid w:val="00F9513C"/>
    <w:rsid w:val="00F955D9"/>
    <w:rsid w:val="00F970EB"/>
    <w:rsid w:val="00FA00C7"/>
    <w:rsid w:val="00FA0A1B"/>
    <w:rsid w:val="00FA0C7D"/>
    <w:rsid w:val="00FA0DC8"/>
    <w:rsid w:val="00FA0F2E"/>
    <w:rsid w:val="00FA1FE4"/>
    <w:rsid w:val="00FA2558"/>
    <w:rsid w:val="00FA3C3F"/>
    <w:rsid w:val="00FA4742"/>
    <w:rsid w:val="00FA4890"/>
    <w:rsid w:val="00FA4A01"/>
    <w:rsid w:val="00FA6299"/>
    <w:rsid w:val="00FA7740"/>
    <w:rsid w:val="00FB026D"/>
    <w:rsid w:val="00FB1A99"/>
    <w:rsid w:val="00FB23AA"/>
    <w:rsid w:val="00FB3A10"/>
    <w:rsid w:val="00FB3E2E"/>
    <w:rsid w:val="00FB77FA"/>
    <w:rsid w:val="00FC1429"/>
    <w:rsid w:val="00FC1C08"/>
    <w:rsid w:val="00FC1DC4"/>
    <w:rsid w:val="00FC22E6"/>
    <w:rsid w:val="00FC2414"/>
    <w:rsid w:val="00FC2BE9"/>
    <w:rsid w:val="00FC3917"/>
    <w:rsid w:val="00FC3A35"/>
    <w:rsid w:val="00FC3C70"/>
    <w:rsid w:val="00FC4A73"/>
    <w:rsid w:val="00FC559C"/>
    <w:rsid w:val="00FC6608"/>
    <w:rsid w:val="00FC6628"/>
    <w:rsid w:val="00FC73C8"/>
    <w:rsid w:val="00FC7F0D"/>
    <w:rsid w:val="00FD0EE6"/>
    <w:rsid w:val="00FD445E"/>
    <w:rsid w:val="00FD4AAD"/>
    <w:rsid w:val="00FD7EC7"/>
    <w:rsid w:val="00FE2CB5"/>
    <w:rsid w:val="00FE49B5"/>
    <w:rsid w:val="00FE5512"/>
    <w:rsid w:val="00FE5F36"/>
    <w:rsid w:val="00FE645A"/>
    <w:rsid w:val="00FE6A2A"/>
    <w:rsid w:val="00FE7E27"/>
    <w:rsid w:val="00FF02AC"/>
    <w:rsid w:val="00FF03C6"/>
    <w:rsid w:val="00FF133D"/>
    <w:rsid w:val="00FF17F5"/>
    <w:rsid w:val="00FF2ECE"/>
    <w:rsid w:val="00FF32BC"/>
    <w:rsid w:val="00FF340F"/>
    <w:rsid w:val="00FF47BA"/>
    <w:rsid w:val="00FF4D23"/>
    <w:rsid w:val="00FF5228"/>
    <w:rsid w:val="00FF55C4"/>
    <w:rsid w:val="00FF5BD8"/>
    <w:rsid w:val="00FF6102"/>
    <w:rsid w:val="00FF673A"/>
    <w:rsid w:val="00FF7C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Numbered para,#List Paragraph,Recommendation,List Paragraph1,List Paragraph11,L,Bullet Level 1,Bullet Point,Bullet point,Bulletr List Paragraph,Content descriptions,FooterText,List Bullet 1,List Paragraph2,List Paragraph21,Listeafsnit1,列"/>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
    <w:name w:val="Unresolved Mention"/>
    <w:basedOn w:val="DefaultParagraphFont"/>
    <w:uiPriority w:val="99"/>
    <w:semiHidden/>
    <w:unhideWhenUsed/>
    <w:rsid w:val="00BB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hyperlink" Target="https://www.pbs.gov.au/pbs/industry/listing/elements/pbac-meetings/psd/2012-03/denosumab" TargetMode="Externa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bs.gov.au/pbs/industry/listing/elements/pbac-meetings/psd/2010-07/pbac-psd-Denosumab-july10" TargetMode="External"/><Relationship Id="rId17" Type="http://schemas.openxmlformats.org/officeDocument/2006/relationships/hyperlink" Target="https://www.nps.org.au/medicine-insight" TargetMode="External"/><Relationship Id="rId25" Type="http://schemas.openxmlformats.org/officeDocument/2006/relationships/chart" Target="charts/chart8.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bs.gov.au/info/industry/listing/participants/public-release-docs/2016-09/medicines-osteoporosis-2016-09" TargetMode="Externa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chart" Target="charts/chart7.xml"/><Relationship Id="rId32" Type="http://schemas.openxmlformats.org/officeDocument/2006/relationships/image" Target="media/image3.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gov.au/pbs/industry/listing/elements/pbac-meetings/psd/2016-07/denosumab-psd-july-2016"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oter" Target="footer2.xml"/><Relationship Id="rId10" Type="http://schemas.openxmlformats.org/officeDocument/2006/relationships/hyperlink" Target="http://www.tga.gov.au/consumers/information-medicines-cmi.htm" TargetMode="External"/><Relationship Id="rId19" Type="http://schemas.openxmlformats.org/officeDocument/2006/relationships/chart" Target="charts/chart2.xml"/><Relationship Id="rId31" Type="http://schemas.openxmlformats.org/officeDocument/2006/relationships/image" Target="media/image2.png"/><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s://www.pbs.gov.au/pbs/industry/listing/elements/pbac-meetings/psd/2013-07/denosumab"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image" Target="media/image1.png"/><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t.data.abs.gov.au/Index.aspx?DataSetCode=ERP_QUARTERL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0%20meeting/PBS%20study/Results/DUSC_TABLE6_RESUL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0%20meeting/PBS%20study/Results/DUSC_TABLE6_RESULT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0%20meeting/PBS%20study/Results/DUSC_TABLE2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0%20meeting/PBS%20study/Results/DUSC_TABLE3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Sheet1!$C$3</c:f>
              <c:strCache>
                <c:ptCount val="1"/>
                <c:pt idx="0">
                  <c:v>Female &lt;50</c:v>
                </c:pt>
              </c:strCache>
            </c:strRef>
          </c:tx>
          <c:spPr>
            <a:solidFill>
              <a:schemeClr val="accent1"/>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Sheet1!$D$3:$I$3</c:f>
              <c:numCache>
                <c:formatCode>General</c:formatCode>
                <c:ptCount val="6"/>
                <c:pt idx="0">
                  <c:v>101</c:v>
                </c:pt>
                <c:pt idx="1">
                  <c:v>137</c:v>
                </c:pt>
                <c:pt idx="2">
                  <c:v>180</c:v>
                </c:pt>
                <c:pt idx="3">
                  <c:v>203</c:v>
                </c:pt>
                <c:pt idx="4">
                  <c:v>246</c:v>
                </c:pt>
                <c:pt idx="5">
                  <c:v>178</c:v>
                </c:pt>
              </c:numCache>
            </c:numRef>
          </c:val>
          <c:extLst>
            <c:ext xmlns:c16="http://schemas.microsoft.com/office/drawing/2014/chart" uri="{C3380CC4-5D6E-409C-BE32-E72D297353CC}">
              <c16:uniqueId val="{00000000-D98E-463B-88BB-7D74A113F359}"/>
            </c:ext>
          </c:extLst>
        </c:ser>
        <c:ser>
          <c:idx val="1"/>
          <c:order val="1"/>
          <c:tx>
            <c:strRef>
              <c:f>Sheet1!$C$4</c:f>
              <c:strCache>
                <c:ptCount val="1"/>
                <c:pt idx="0">
                  <c:v>Female 50–59</c:v>
                </c:pt>
              </c:strCache>
            </c:strRef>
          </c:tx>
          <c:spPr>
            <a:solidFill>
              <a:schemeClr val="accent2"/>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Sheet1!$D$4:$I$4</c:f>
              <c:numCache>
                <c:formatCode>General</c:formatCode>
                <c:ptCount val="6"/>
                <c:pt idx="0">
                  <c:v>616</c:v>
                </c:pt>
                <c:pt idx="1">
                  <c:v>858</c:v>
                </c:pt>
                <c:pt idx="2" formatCode="#,##0">
                  <c:v>1129</c:v>
                </c:pt>
                <c:pt idx="3" formatCode="#,##0">
                  <c:v>1320</c:v>
                </c:pt>
                <c:pt idx="4" formatCode="#,##0">
                  <c:v>1385</c:v>
                </c:pt>
                <c:pt idx="5" formatCode="#,##0">
                  <c:v>1056</c:v>
                </c:pt>
              </c:numCache>
            </c:numRef>
          </c:val>
          <c:extLst>
            <c:ext xmlns:c16="http://schemas.microsoft.com/office/drawing/2014/chart" uri="{C3380CC4-5D6E-409C-BE32-E72D297353CC}">
              <c16:uniqueId val="{00000001-D98E-463B-88BB-7D74A113F359}"/>
            </c:ext>
          </c:extLst>
        </c:ser>
        <c:ser>
          <c:idx val="2"/>
          <c:order val="2"/>
          <c:tx>
            <c:strRef>
              <c:f>Sheet1!$C$5</c:f>
              <c:strCache>
                <c:ptCount val="1"/>
                <c:pt idx="0">
                  <c:v>Female 60–69</c:v>
                </c:pt>
              </c:strCache>
            </c:strRef>
          </c:tx>
          <c:spPr>
            <a:solidFill>
              <a:schemeClr val="accent3"/>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Sheet1!$D$5:$I$5</c:f>
              <c:numCache>
                <c:formatCode>#,##0</c:formatCode>
                <c:ptCount val="6"/>
                <c:pt idx="0">
                  <c:v>1999</c:v>
                </c:pt>
                <c:pt idx="1">
                  <c:v>3021</c:v>
                </c:pt>
                <c:pt idx="2">
                  <c:v>3966</c:v>
                </c:pt>
                <c:pt idx="3">
                  <c:v>4810</c:v>
                </c:pt>
                <c:pt idx="4">
                  <c:v>5564</c:v>
                </c:pt>
                <c:pt idx="5">
                  <c:v>4851</c:v>
                </c:pt>
              </c:numCache>
            </c:numRef>
          </c:val>
          <c:extLst>
            <c:ext xmlns:c16="http://schemas.microsoft.com/office/drawing/2014/chart" uri="{C3380CC4-5D6E-409C-BE32-E72D297353CC}">
              <c16:uniqueId val="{00000002-D98E-463B-88BB-7D74A113F359}"/>
            </c:ext>
          </c:extLst>
        </c:ser>
        <c:ser>
          <c:idx val="3"/>
          <c:order val="3"/>
          <c:tx>
            <c:strRef>
              <c:f>Sheet1!$C$6</c:f>
              <c:strCache>
                <c:ptCount val="1"/>
                <c:pt idx="0">
                  <c:v>Female 70+</c:v>
                </c:pt>
              </c:strCache>
            </c:strRef>
          </c:tx>
          <c:spPr>
            <a:solidFill>
              <a:schemeClr val="accent4"/>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Sheet1!$D$6:$I$6</c:f>
              <c:numCache>
                <c:formatCode>#,##0</c:formatCode>
                <c:ptCount val="6"/>
                <c:pt idx="0">
                  <c:v>7661</c:v>
                </c:pt>
                <c:pt idx="1">
                  <c:v>11565</c:v>
                </c:pt>
                <c:pt idx="2">
                  <c:v>15603</c:v>
                </c:pt>
                <c:pt idx="3">
                  <c:v>19964</c:v>
                </c:pt>
                <c:pt idx="4">
                  <c:v>23895</c:v>
                </c:pt>
                <c:pt idx="5">
                  <c:v>22348</c:v>
                </c:pt>
              </c:numCache>
            </c:numRef>
          </c:val>
          <c:extLst>
            <c:ext xmlns:c16="http://schemas.microsoft.com/office/drawing/2014/chart" uri="{C3380CC4-5D6E-409C-BE32-E72D297353CC}">
              <c16:uniqueId val="{00000003-D98E-463B-88BB-7D74A113F359}"/>
            </c:ext>
          </c:extLst>
        </c:ser>
        <c:ser>
          <c:idx val="4"/>
          <c:order val="4"/>
          <c:tx>
            <c:strRef>
              <c:f>Sheet1!$C$7</c:f>
              <c:strCache>
                <c:ptCount val="1"/>
                <c:pt idx="0">
                  <c:v>Male &lt;50</c:v>
                </c:pt>
              </c:strCache>
            </c:strRef>
          </c:tx>
          <c:spPr>
            <a:solidFill>
              <a:schemeClr val="accent5"/>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Sheet1!$D$7:$I$7</c:f>
              <c:numCache>
                <c:formatCode>General</c:formatCode>
                <c:ptCount val="6"/>
                <c:pt idx="0">
                  <c:v>43</c:v>
                </c:pt>
                <c:pt idx="1">
                  <c:v>71</c:v>
                </c:pt>
                <c:pt idx="2">
                  <c:v>93</c:v>
                </c:pt>
                <c:pt idx="3">
                  <c:v>128</c:v>
                </c:pt>
                <c:pt idx="4">
                  <c:v>145</c:v>
                </c:pt>
                <c:pt idx="5">
                  <c:v>100</c:v>
                </c:pt>
              </c:numCache>
            </c:numRef>
          </c:val>
          <c:extLst>
            <c:ext xmlns:c16="http://schemas.microsoft.com/office/drawing/2014/chart" uri="{C3380CC4-5D6E-409C-BE32-E72D297353CC}">
              <c16:uniqueId val="{00000004-D98E-463B-88BB-7D74A113F359}"/>
            </c:ext>
          </c:extLst>
        </c:ser>
        <c:ser>
          <c:idx val="5"/>
          <c:order val="5"/>
          <c:tx>
            <c:strRef>
              <c:f>Sheet1!$C$8</c:f>
              <c:strCache>
                <c:ptCount val="1"/>
                <c:pt idx="0">
                  <c:v>Male 50–59</c:v>
                </c:pt>
              </c:strCache>
            </c:strRef>
          </c:tx>
          <c:spPr>
            <a:solidFill>
              <a:schemeClr val="accent6"/>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Sheet1!$D$8:$I$8</c:f>
              <c:numCache>
                <c:formatCode>General</c:formatCode>
                <c:ptCount val="6"/>
                <c:pt idx="0">
                  <c:v>104</c:v>
                </c:pt>
                <c:pt idx="1">
                  <c:v>175</c:v>
                </c:pt>
                <c:pt idx="2">
                  <c:v>250</c:v>
                </c:pt>
                <c:pt idx="3">
                  <c:v>281</c:v>
                </c:pt>
                <c:pt idx="4">
                  <c:v>316</c:v>
                </c:pt>
                <c:pt idx="5">
                  <c:v>234</c:v>
                </c:pt>
              </c:numCache>
            </c:numRef>
          </c:val>
          <c:extLst>
            <c:ext xmlns:c16="http://schemas.microsoft.com/office/drawing/2014/chart" uri="{C3380CC4-5D6E-409C-BE32-E72D297353CC}">
              <c16:uniqueId val="{00000005-D98E-463B-88BB-7D74A113F359}"/>
            </c:ext>
          </c:extLst>
        </c:ser>
        <c:ser>
          <c:idx val="6"/>
          <c:order val="6"/>
          <c:tx>
            <c:strRef>
              <c:f>Sheet1!$C$9</c:f>
              <c:strCache>
                <c:ptCount val="1"/>
                <c:pt idx="0">
                  <c:v>Male 60–69</c:v>
                </c:pt>
              </c:strCache>
            </c:strRef>
          </c:tx>
          <c:spPr>
            <a:solidFill>
              <a:schemeClr val="accent1">
                <a:lumMod val="60000"/>
              </a:schemeClr>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Sheet1!$D$9:$I$9</c:f>
              <c:numCache>
                <c:formatCode>General</c:formatCode>
                <c:ptCount val="6"/>
                <c:pt idx="0">
                  <c:v>197</c:v>
                </c:pt>
                <c:pt idx="1">
                  <c:v>373</c:v>
                </c:pt>
                <c:pt idx="2">
                  <c:v>520</c:v>
                </c:pt>
                <c:pt idx="3">
                  <c:v>699</c:v>
                </c:pt>
                <c:pt idx="4">
                  <c:v>848</c:v>
                </c:pt>
                <c:pt idx="5">
                  <c:v>682</c:v>
                </c:pt>
              </c:numCache>
            </c:numRef>
          </c:val>
          <c:extLst>
            <c:ext xmlns:c16="http://schemas.microsoft.com/office/drawing/2014/chart" uri="{C3380CC4-5D6E-409C-BE32-E72D297353CC}">
              <c16:uniqueId val="{00000006-D98E-463B-88BB-7D74A113F359}"/>
            </c:ext>
          </c:extLst>
        </c:ser>
        <c:ser>
          <c:idx val="7"/>
          <c:order val="7"/>
          <c:tx>
            <c:strRef>
              <c:f>Sheet1!$C$10</c:f>
              <c:strCache>
                <c:ptCount val="1"/>
                <c:pt idx="0">
                  <c:v>Male 70+</c:v>
                </c:pt>
              </c:strCache>
            </c:strRef>
          </c:tx>
          <c:spPr>
            <a:solidFill>
              <a:schemeClr val="accent2">
                <a:lumMod val="60000"/>
              </a:schemeClr>
            </a:solidFill>
            <a:ln>
              <a:noFill/>
            </a:ln>
            <a:effectLst/>
          </c:spPr>
          <c:invertIfNegative val="0"/>
          <c:cat>
            <c:strRef>
              <c:f>Sheet1!$D$2:$I$2</c:f>
              <c:strCache>
                <c:ptCount val="6"/>
                <c:pt idx="0">
                  <c:v>2014</c:v>
                </c:pt>
                <c:pt idx="1">
                  <c:v>2015</c:v>
                </c:pt>
                <c:pt idx="2">
                  <c:v>2016</c:v>
                </c:pt>
                <c:pt idx="3">
                  <c:v>2017</c:v>
                </c:pt>
                <c:pt idx="4">
                  <c:v>2018</c:v>
                </c:pt>
                <c:pt idx="5">
                  <c:v>To June 2019*</c:v>
                </c:pt>
              </c:strCache>
            </c:strRef>
          </c:cat>
          <c:val>
            <c:numRef>
              <c:f>Sheet1!$D$10:$I$10</c:f>
              <c:numCache>
                <c:formatCode>#,##0</c:formatCode>
                <c:ptCount val="6"/>
                <c:pt idx="0">
                  <c:v>1069</c:v>
                </c:pt>
                <c:pt idx="1">
                  <c:v>2073</c:v>
                </c:pt>
                <c:pt idx="2">
                  <c:v>3037</c:v>
                </c:pt>
                <c:pt idx="3">
                  <c:v>4169</c:v>
                </c:pt>
                <c:pt idx="4">
                  <c:v>5218</c:v>
                </c:pt>
                <c:pt idx="5">
                  <c:v>4674</c:v>
                </c:pt>
              </c:numCache>
            </c:numRef>
          </c:val>
          <c:extLst>
            <c:ext xmlns:c16="http://schemas.microsoft.com/office/drawing/2014/chart" uri="{C3380CC4-5D6E-409C-BE32-E72D297353CC}">
              <c16:uniqueId val="{00000007-D98E-463B-88BB-7D74A113F359}"/>
            </c:ext>
          </c:extLst>
        </c:ser>
        <c:dLbls>
          <c:showLegendKey val="0"/>
          <c:showVal val="0"/>
          <c:showCatName val="0"/>
          <c:showSerName val="0"/>
          <c:showPercent val="0"/>
          <c:showBubbleSize val="0"/>
        </c:dLbls>
        <c:gapWidth val="219"/>
        <c:overlap val="100"/>
        <c:axId val="493256752"/>
        <c:axId val="493261016"/>
      </c:barChart>
      <c:catAx>
        <c:axId val="49325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261016"/>
        <c:crosses val="autoZero"/>
        <c:auto val="1"/>
        <c:lblAlgn val="ctr"/>
        <c:lblOffset val="100"/>
        <c:noMultiLvlLbl val="0"/>
      </c:catAx>
      <c:valAx>
        <c:axId val="493261016"/>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256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70+ years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DUSC_TABLE7_RESULTS!$E$71</c:f>
              <c:strCache>
                <c:ptCount val="1"/>
                <c:pt idx="0">
                  <c:v>Alendronate (incl combination products)</c:v>
                </c:pt>
              </c:strCache>
            </c:strRef>
          </c:tx>
          <c:spPr>
            <a:solidFill>
              <a:schemeClr val="accent1"/>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DUSC_TABLE7_RESULTS!$F$71:$K$71</c:f>
              <c:numCache>
                <c:formatCode>#,##0</c:formatCode>
                <c:ptCount val="5"/>
                <c:pt idx="0">
                  <c:v>6218</c:v>
                </c:pt>
                <c:pt idx="1">
                  <c:v>5357</c:v>
                </c:pt>
                <c:pt idx="2">
                  <c:v>4561</c:v>
                </c:pt>
                <c:pt idx="3">
                  <c:v>3855</c:v>
                </c:pt>
                <c:pt idx="4">
                  <c:v>3327</c:v>
                </c:pt>
              </c:numCache>
              <c:extLst/>
            </c:numRef>
          </c:val>
          <c:extLst>
            <c:ext xmlns:c16="http://schemas.microsoft.com/office/drawing/2014/chart" uri="{C3380CC4-5D6E-409C-BE32-E72D297353CC}">
              <c16:uniqueId val="{00000000-69A8-4354-A98D-12E610EE753B}"/>
            </c:ext>
          </c:extLst>
        </c:ser>
        <c:ser>
          <c:idx val="1"/>
          <c:order val="1"/>
          <c:tx>
            <c:strRef>
              <c:f>DUSC_TABLE7_RESULTS!$E$72</c:f>
              <c:strCache>
                <c:ptCount val="1"/>
                <c:pt idx="0">
                  <c:v>Calcitriol</c:v>
                </c:pt>
              </c:strCache>
            </c:strRef>
          </c:tx>
          <c:spPr>
            <a:solidFill>
              <a:schemeClr val="accent2"/>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DUSC_TABLE7_RESULTS!$F$72:$K$72</c:f>
              <c:numCache>
                <c:formatCode>#,##0</c:formatCode>
                <c:ptCount val="5"/>
                <c:pt idx="0">
                  <c:v>1543</c:v>
                </c:pt>
                <c:pt idx="1">
                  <c:v>1469</c:v>
                </c:pt>
                <c:pt idx="2">
                  <c:v>1462</c:v>
                </c:pt>
                <c:pt idx="3">
                  <c:v>1488</c:v>
                </c:pt>
                <c:pt idx="4">
                  <c:v>1475</c:v>
                </c:pt>
              </c:numCache>
              <c:extLst/>
            </c:numRef>
          </c:val>
          <c:extLst>
            <c:ext xmlns:c16="http://schemas.microsoft.com/office/drawing/2014/chart" uri="{C3380CC4-5D6E-409C-BE32-E72D297353CC}">
              <c16:uniqueId val="{00000001-69A8-4354-A98D-12E610EE753B}"/>
            </c:ext>
          </c:extLst>
        </c:ser>
        <c:ser>
          <c:idx val="2"/>
          <c:order val="2"/>
          <c:tx>
            <c:strRef>
              <c:f>DUSC_TABLE7_RESULTS!$E$73</c:f>
              <c:strCache>
                <c:ptCount val="1"/>
                <c:pt idx="0">
                  <c:v>Denosumab</c:v>
                </c:pt>
              </c:strCache>
            </c:strRef>
          </c:tx>
          <c:spPr>
            <a:solidFill>
              <a:schemeClr val="accent3"/>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DUSC_TABLE7_RESULTS!$F$73:$K$73</c:f>
              <c:numCache>
                <c:formatCode>#,##0</c:formatCode>
                <c:ptCount val="5"/>
                <c:pt idx="0">
                  <c:v>8730</c:v>
                </c:pt>
                <c:pt idx="1">
                  <c:v>13638</c:v>
                </c:pt>
                <c:pt idx="2">
                  <c:v>18640</c:v>
                </c:pt>
                <c:pt idx="3">
                  <c:v>24133</c:v>
                </c:pt>
                <c:pt idx="4">
                  <c:v>29113</c:v>
                </c:pt>
              </c:numCache>
              <c:extLst/>
            </c:numRef>
          </c:val>
          <c:extLst>
            <c:ext xmlns:c16="http://schemas.microsoft.com/office/drawing/2014/chart" uri="{C3380CC4-5D6E-409C-BE32-E72D297353CC}">
              <c16:uniqueId val="{00000002-69A8-4354-A98D-12E610EE753B}"/>
            </c:ext>
          </c:extLst>
        </c:ser>
        <c:ser>
          <c:idx val="3"/>
          <c:order val="3"/>
          <c:tx>
            <c:strRef>
              <c:f>DUSC_TABLE7_RESULTS!$E$74</c:f>
              <c:strCache>
                <c:ptCount val="1"/>
                <c:pt idx="0">
                  <c:v>Raloxifene</c:v>
                </c:pt>
              </c:strCache>
            </c:strRef>
          </c:tx>
          <c:spPr>
            <a:solidFill>
              <a:schemeClr val="accent4"/>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DUSC_TABLE7_RESULTS!$F$74:$K$74</c:f>
              <c:numCache>
                <c:formatCode>General</c:formatCode>
                <c:ptCount val="5"/>
                <c:pt idx="0">
                  <c:v>961</c:v>
                </c:pt>
                <c:pt idx="1">
                  <c:v>836</c:v>
                </c:pt>
                <c:pt idx="2">
                  <c:v>715</c:v>
                </c:pt>
                <c:pt idx="3">
                  <c:v>607</c:v>
                </c:pt>
                <c:pt idx="4">
                  <c:v>515</c:v>
                </c:pt>
              </c:numCache>
              <c:extLst/>
            </c:numRef>
          </c:val>
          <c:extLst>
            <c:ext xmlns:c16="http://schemas.microsoft.com/office/drawing/2014/chart" uri="{C3380CC4-5D6E-409C-BE32-E72D297353CC}">
              <c16:uniqueId val="{00000003-69A8-4354-A98D-12E610EE753B}"/>
            </c:ext>
          </c:extLst>
        </c:ser>
        <c:ser>
          <c:idx val="4"/>
          <c:order val="4"/>
          <c:tx>
            <c:strRef>
              <c:f>DUSC_TABLE7_RESULTS!$E$75</c:f>
              <c:strCache>
                <c:ptCount val="1"/>
                <c:pt idx="0">
                  <c:v>Risedronate (incl combination products)</c:v>
                </c:pt>
              </c:strCache>
            </c:strRef>
          </c:tx>
          <c:spPr>
            <a:solidFill>
              <a:schemeClr val="accent5"/>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DUSC_TABLE7_RESULTS!$F$75:$K$75</c:f>
              <c:numCache>
                <c:formatCode>#,##0</c:formatCode>
                <c:ptCount val="5"/>
                <c:pt idx="0">
                  <c:v>3013</c:v>
                </c:pt>
                <c:pt idx="1">
                  <c:v>2822</c:v>
                </c:pt>
                <c:pt idx="2">
                  <c:v>2517</c:v>
                </c:pt>
                <c:pt idx="3">
                  <c:v>2219</c:v>
                </c:pt>
                <c:pt idx="4">
                  <c:v>2188</c:v>
                </c:pt>
              </c:numCache>
              <c:extLst/>
            </c:numRef>
          </c:val>
          <c:extLst>
            <c:ext xmlns:c16="http://schemas.microsoft.com/office/drawing/2014/chart" uri="{C3380CC4-5D6E-409C-BE32-E72D297353CC}">
              <c16:uniqueId val="{00000004-69A8-4354-A98D-12E610EE753B}"/>
            </c:ext>
          </c:extLst>
        </c:ser>
        <c:ser>
          <c:idx val="5"/>
          <c:order val="5"/>
          <c:tx>
            <c:strRef>
              <c:f>DUSC_TABLE7_RESULTS!$E$76</c:f>
              <c:strCache>
                <c:ptCount val="1"/>
                <c:pt idx="0">
                  <c:v>Strontium ranelate (delisted August 2016)</c:v>
                </c:pt>
              </c:strCache>
            </c:strRef>
          </c:tx>
          <c:spPr>
            <a:solidFill>
              <a:schemeClr val="accent6"/>
            </a:solidFill>
            <a:ln>
              <a:noFill/>
            </a:ln>
            <a:effectLst/>
          </c:spPr>
          <c:cat>
            <c:strRef>
              <c:f>DUSC_TABLE7_RESULTS!$F$70:$K$70</c:f>
              <c:strCache>
                <c:ptCount val="5"/>
                <c:pt idx="0">
                  <c:v>2014</c:v>
                </c:pt>
                <c:pt idx="1">
                  <c:v>2015</c:v>
                </c:pt>
                <c:pt idx="2">
                  <c:v>2016</c:v>
                </c:pt>
                <c:pt idx="3">
                  <c:v>2017</c:v>
                </c:pt>
                <c:pt idx="4">
                  <c:v>2018</c:v>
                </c:pt>
              </c:strCache>
              <c:extLst/>
            </c:strRef>
          </c:cat>
          <c:val>
            <c:numRef>
              <c:f>DUSC_TABLE7_RESULTS!$F$76:$K$76</c:f>
              <c:numCache>
                <c:formatCode>General</c:formatCode>
                <c:ptCount val="5"/>
                <c:pt idx="0" formatCode="#,##0">
                  <c:v>2043</c:v>
                </c:pt>
                <c:pt idx="1">
                  <c:v>848</c:v>
                </c:pt>
                <c:pt idx="2">
                  <c:v>389</c:v>
                </c:pt>
                <c:pt idx="3">
                  <c:v>0</c:v>
                </c:pt>
                <c:pt idx="4">
                  <c:v>0</c:v>
                </c:pt>
              </c:numCache>
              <c:extLst/>
            </c:numRef>
          </c:val>
          <c:extLst>
            <c:ext xmlns:c16="http://schemas.microsoft.com/office/drawing/2014/chart" uri="{C3380CC4-5D6E-409C-BE32-E72D297353CC}">
              <c16:uniqueId val="{00000005-69A8-4354-A98D-12E610EE753B}"/>
            </c:ext>
          </c:extLst>
        </c:ser>
        <c:ser>
          <c:idx val="6"/>
          <c:order val="6"/>
          <c:tx>
            <c:strRef>
              <c:f>DUSC_TABLE7_RESULTS!$E$77</c:f>
              <c:strCache>
                <c:ptCount val="1"/>
                <c:pt idx="0">
                  <c:v>Teriparatide</c:v>
                </c:pt>
              </c:strCache>
            </c:strRef>
          </c:tx>
          <c:spPr>
            <a:solidFill>
              <a:schemeClr val="accent1">
                <a:lumMod val="60000"/>
              </a:schemeClr>
            </a:solidFill>
            <a:ln w="25400">
              <a:noFill/>
            </a:ln>
            <a:effectLst/>
          </c:spPr>
          <c:cat>
            <c:strRef>
              <c:f>DUSC_TABLE7_RESULTS!$F$70:$K$70</c:f>
              <c:strCache>
                <c:ptCount val="5"/>
                <c:pt idx="0">
                  <c:v>2014</c:v>
                </c:pt>
                <c:pt idx="1">
                  <c:v>2015</c:v>
                </c:pt>
                <c:pt idx="2">
                  <c:v>2016</c:v>
                </c:pt>
                <c:pt idx="3">
                  <c:v>2017</c:v>
                </c:pt>
                <c:pt idx="4">
                  <c:v>2018</c:v>
                </c:pt>
              </c:strCache>
              <c:extLst/>
            </c:strRef>
          </c:cat>
          <c:val>
            <c:numRef>
              <c:f>DUSC_TABLE7_RESULTS!$F$77:$K$77</c:f>
              <c:numCache>
                <c:formatCode>General</c:formatCode>
                <c:ptCount val="5"/>
                <c:pt idx="0">
                  <c:v>109</c:v>
                </c:pt>
                <c:pt idx="1">
                  <c:v>106</c:v>
                </c:pt>
                <c:pt idx="2">
                  <c:v>89</c:v>
                </c:pt>
                <c:pt idx="3">
                  <c:v>80</c:v>
                </c:pt>
                <c:pt idx="4">
                  <c:v>109</c:v>
                </c:pt>
              </c:numCache>
              <c:extLst/>
            </c:numRef>
          </c:val>
          <c:extLst>
            <c:ext xmlns:c16="http://schemas.microsoft.com/office/drawing/2014/chart" uri="{C3380CC4-5D6E-409C-BE32-E72D297353CC}">
              <c16:uniqueId val="{00000006-69A8-4354-A98D-12E610EE753B}"/>
            </c:ext>
          </c:extLst>
        </c:ser>
        <c:ser>
          <c:idx val="7"/>
          <c:order val="7"/>
          <c:tx>
            <c:strRef>
              <c:f>DUSC_TABLE7_RESULTS!$E$78</c:f>
              <c:strCache>
                <c:ptCount val="1"/>
                <c:pt idx="0">
                  <c:v>Zoledronic acid</c:v>
                </c:pt>
              </c:strCache>
            </c:strRef>
          </c:tx>
          <c:spPr>
            <a:solidFill>
              <a:schemeClr val="accent2">
                <a:lumMod val="60000"/>
              </a:schemeClr>
            </a:solidFill>
            <a:ln w="25400">
              <a:noFill/>
            </a:ln>
            <a:effectLst/>
          </c:spPr>
          <c:cat>
            <c:strRef>
              <c:f>DUSC_TABLE7_RESULTS!$F$70:$K$70</c:f>
              <c:strCache>
                <c:ptCount val="5"/>
                <c:pt idx="0">
                  <c:v>2014</c:v>
                </c:pt>
                <c:pt idx="1">
                  <c:v>2015</c:v>
                </c:pt>
                <c:pt idx="2">
                  <c:v>2016</c:v>
                </c:pt>
                <c:pt idx="3">
                  <c:v>2017</c:v>
                </c:pt>
                <c:pt idx="4">
                  <c:v>2018</c:v>
                </c:pt>
              </c:strCache>
              <c:extLst/>
            </c:strRef>
          </c:cat>
          <c:val>
            <c:numRef>
              <c:f>DUSC_TABLE7_RESULTS!$F$78:$K$78</c:f>
              <c:numCache>
                <c:formatCode>#,##0</c:formatCode>
                <c:ptCount val="5"/>
                <c:pt idx="0">
                  <c:v>1487</c:v>
                </c:pt>
                <c:pt idx="1">
                  <c:v>1176</c:v>
                </c:pt>
                <c:pt idx="2" formatCode="General">
                  <c:v>891</c:v>
                </c:pt>
                <c:pt idx="3" formatCode="General">
                  <c:v>782</c:v>
                </c:pt>
                <c:pt idx="4" formatCode="General">
                  <c:v>675</c:v>
                </c:pt>
              </c:numCache>
              <c:extLst/>
            </c:numRef>
          </c:val>
          <c:extLst>
            <c:ext xmlns:c16="http://schemas.microsoft.com/office/drawing/2014/chart" uri="{C3380CC4-5D6E-409C-BE32-E72D297353CC}">
              <c16:uniqueId val="{00000007-69A8-4354-A98D-12E610EE753B}"/>
            </c:ext>
          </c:extLst>
        </c:ser>
        <c:dLbls>
          <c:showLegendKey val="0"/>
          <c:showVal val="0"/>
          <c:showCatName val="0"/>
          <c:showSerName val="0"/>
          <c:showPercent val="0"/>
          <c:showBubbleSize val="0"/>
        </c:dLbls>
        <c:axId val="902985560"/>
        <c:axId val="902985888"/>
      </c:areaChart>
      <c:catAx>
        <c:axId val="902985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85888"/>
        <c:crosses val="autoZero"/>
        <c:auto val="1"/>
        <c:lblAlgn val="ctr"/>
        <c:lblOffset val="100"/>
        <c:noMultiLvlLbl val="0"/>
      </c:catAx>
      <c:valAx>
        <c:axId val="902985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8556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DUSC_TABLE6_RESULTS!$E$37</c:f>
              <c:strCache>
                <c:ptCount val="1"/>
                <c:pt idx="0">
                  <c:v>Bisphosphonates</c:v>
                </c:pt>
              </c:strCache>
            </c:strRef>
          </c:tx>
          <c:spPr>
            <a:solidFill>
              <a:schemeClr val="accent1"/>
            </a:solidFill>
            <a:ln>
              <a:noFill/>
            </a:ln>
            <a:effectLst/>
          </c:spPr>
          <c:cat>
            <c:numRef>
              <c:f>DUSC_TABLE6_RESULTS!$F$36:$J$36</c:f>
              <c:numCache>
                <c:formatCode>General</c:formatCode>
                <c:ptCount val="5"/>
                <c:pt idx="0">
                  <c:v>2014</c:v>
                </c:pt>
                <c:pt idx="1">
                  <c:v>2015</c:v>
                </c:pt>
                <c:pt idx="2">
                  <c:v>2016</c:v>
                </c:pt>
                <c:pt idx="3">
                  <c:v>2017</c:v>
                </c:pt>
                <c:pt idx="4">
                  <c:v>2018</c:v>
                </c:pt>
              </c:numCache>
            </c:numRef>
          </c:cat>
          <c:val>
            <c:numRef>
              <c:f>DUSC_TABLE6_RESULTS!$F$37:$J$37</c:f>
              <c:numCache>
                <c:formatCode>#,##0</c:formatCode>
                <c:ptCount val="5"/>
                <c:pt idx="0">
                  <c:v>2632</c:v>
                </c:pt>
                <c:pt idx="1">
                  <c:v>2485</c:v>
                </c:pt>
                <c:pt idx="2">
                  <c:v>1973</c:v>
                </c:pt>
                <c:pt idx="3">
                  <c:v>1722</c:v>
                </c:pt>
                <c:pt idx="4">
                  <c:v>1737</c:v>
                </c:pt>
              </c:numCache>
            </c:numRef>
          </c:val>
          <c:extLst>
            <c:ext xmlns:c16="http://schemas.microsoft.com/office/drawing/2014/chart" uri="{C3380CC4-5D6E-409C-BE32-E72D297353CC}">
              <c16:uniqueId val="{00000000-6A9C-44C9-B8B9-C9A2B6919481}"/>
            </c:ext>
          </c:extLst>
        </c:ser>
        <c:ser>
          <c:idx val="1"/>
          <c:order val="1"/>
          <c:tx>
            <c:strRef>
              <c:f>DUSC_TABLE6_RESULTS!$E$38</c:f>
              <c:strCache>
                <c:ptCount val="1"/>
                <c:pt idx="0">
                  <c:v>Calcitriol</c:v>
                </c:pt>
              </c:strCache>
            </c:strRef>
          </c:tx>
          <c:spPr>
            <a:solidFill>
              <a:schemeClr val="accent2"/>
            </a:solidFill>
            <a:ln>
              <a:noFill/>
            </a:ln>
            <a:effectLst/>
          </c:spPr>
          <c:cat>
            <c:numRef>
              <c:f>DUSC_TABLE6_RESULTS!$F$36:$J$36</c:f>
              <c:numCache>
                <c:formatCode>General</c:formatCode>
                <c:ptCount val="5"/>
                <c:pt idx="0">
                  <c:v>2014</c:v>
                </c:pt>
                <c:pt idx="1">
                  <c:v>2015</c:v>
                </c:pt>
                <c:pt idx="2">
                  <c:v>2016</c:v>
                </c:pt>
                <c:pt idx="3">
                  <c:v>2017</c:v>
                </c:pt>
                <c:pt idx="4">
                  <c:v>2018</c:v>
                </c:pt>
              </c:numCache>
            </c:numRef>
          </c:cat>
          <c:val>
            <c:numRef>
              <c:f>DUSC_TABLE6_RESULTS!$F$38:$J$38</c:f>
              <c:numCache>
                <c:formatCode>#,##0</c:formatCode>
                <c:ptCount val="5"/>
                <c:pt idx="0">
                  <c:v>591</c:v>
                </c:pt>
                <c:pt idx="1">
                  <c:v>568</c:v>
                </c:pt>
                <c:pt idx="2">
                  <c:v>545</c:v>
                </c:pt>
                <c:pt idx="3">
                  <c:v>553</c:v>
                </c:pt>
                <c:pt idx="4">
                  <c:v>543</c:v>
                </c:pt>
              </c:numCache>
            </c:numRef>
          </c:val>
          <c:extLst>
            <c:ext xmlns:c16="http://schemas.microsoft.com/office/drawing/2014/chart" uri="{C3380CC4-5D6E-409C-BE32-E72D297353CC}">
              <c16:uniqueId val="{00000001-6A9C-44C9-B8B9-C9A2B6919481}"/>
            </c:ext>
          </c:extLst>
        </c:ser>
        <c:ser>
          <c:idx val="2"/>
          <c:order val="2"/>
          <c:tx>
            <c:strRef>
              <c:f>DUSC_TABLE6_RESULTS!$E$39</c:f>
              <c:strCache>
                <c:ptCount val="1"/>
                <c:pt idx="0">
                  <c:v>Denosumab</c:v>
                </c:pt>
              </c:strCache>
            </c:strRef>
          </c:tx>
          <c:spPr>
            <a:solidFill>
              <a:schemeClr val="accent3"/>
            </a:solidFill>
            <a:ln>
              <a:noFill/>
            </a:ln>
            <a:effectLst/>
          </c:spPr>
          <c:cat>
            <c:numRef>
              <c:f>DUSC_TABLE6_RESULTS!$F$36:$J$36</c:f>
              <c:numCache>
                <c:formatCode>General</c:formatCode>
                <c:ptCount val="5"/>
                <c:pt idx="0">
                  <c:v>2014</c:v>
                </c:pt>
                <c:pt idx="1">
                  <c:v>2015</c:v>
                </c:pt>
                <c:pt idx="2">
                  <c:v>2016</c:v>
                </c:pt>
                <c:pt idx="3">
                  <c:v>2017</c:v>
                </c:pt>
                <c:pt idx="4">
                  <c:v>2018</c:v>
                </c:pt>
              </c:numCache>
            </c:numRef>
          </c:cat>
          <c:val>
            <c:numRef>
              <c:f>DUSC_TABLE6_RESULTS!$F$39:$J$39</c:f>
              <c:numCache>
                <c:formatCode>#,##0</c:formatCode>
                <c:ptCount val="5"/>
                <c:pt idx="0">
                  <c:v>3641</c:v>
                </c:pt>
                <c:pt idx="1">
                  <c:v>4932</c:v>
                </c:pt>
                <c:pt idx="2">
                  <c:v>5797</c:v>
                </c:pt>
                <c:pt idx="3">
                  <c:v>6827</c:v>
                </c:pt>
                <c:pt idx="4">
                  <c:v>7187</c:v>
                </c:pt>
              </c:numCache>
            </c:numRef>
          </c:val>
          <c:extLst>
            <c:ext xmlns:c16="http://schemas.microsoft.com/office/drawing/2014/chart" uri="{C3380CC4-5D6E-409C-BE32-E72D297353CC}">
              <c16:uniqueId val="{00000002-6A9C-44C9-B8B9-C9A2B6919481}"/>
            </c:ext>
          </c:extLst>
        </c:ser>
        <c:ser>
          <c:idx val="3"/>
          <c:order val="3"/>
          <c:tx>
            <c:strRef>
              <c:f>DUSC_TABLE6_RESULTS!$E$40</c:f>
              <c:strCache>
                <c:ptCount val="1"/>
                <c:pt idx="0">
                  <c:v>Other</c:v>
                </c:pt>
              </c:strCache>
            </c:strRef>
          </c:tx>
          <c:spPr>
            <a:solidFill>
              <a:schemeClr val="accent4"/>
            </a:solidFill>
            <a:ln>
              <a:noFill/>
            </a:ln>
            <a:effectLst/>
          </c:spPr>
          <c:cat>
            <c:numRef>
              <c:f>DUSC_TABLE6_RESULTS!$F$36:$J$36</c:f>
              <c:numCache>
                <c:formatCode>General</c:formatCode>
                <c:ptCount val="5"/>
                <c:pt idx="0">
                  <c:v>2014</c:v>
                </c:pt>
                <c:pt idx="1">
                  <c:v>2015</c:v>
                </c:pt>
                <c:pt idx="2">
                  <c:v>2016</c:v>
                </c:pt>
                <c:pt idx="3">
                  <c:v>2017</c:v>
                </c:pt>
                <c:pt idx="4">
                  <c:v>2018</c:v>
                </c:pt>
              </c:numCache>
            </c:numRef>
          </c:cat>
          <c:val>
            <c:numRef>
              <c:f>DUSC_TABLE6_RESULTS!$F$40:$J$40</c:f>
              <c:numCache>
                <c:formatCode>#,##0</c:formatCode>
                <c:ptCount val="5"/>
                <c:pt idx="0">
                  <c:v>341</c:v>
                </c:pt>
                <c:pt idx="1">
                  <c:v>133</c:v>
                </c:pt>
                <c:pt idx="2">
                  <c:v>74</c:v>
                </c:pt>
                <c:pt idx="3">
                  <c:v>44</c:v>
                </c:pt>
                <c:pt idx="4">
                  <c:v>49</c:v>
                </c:pt>
              </c:numCache>
            </c:numRef>
          </c:val>
          <c:extLst>
            <c:ext xmlns:c16="http://schemas.microsoft.com/office/drawing/2014/chart" uri="{C3380CC4-5D6E-409C-BE32-E72D297353CC}">
              <c16:uniqueId val="{00000003-6A9C-44C9-B8B9-C9A2B6919481}"/>
            </c:ext>
          </c:extLst>
        </c:ser>
        <c:dLbls>
          <c:showLegendKey val="0"/>
          <c:showVal val="0"/>
          <c:showCatName val="0"/>
          <c:showSerName val="0"/>
          <c:showPercent val="0"/>
          <c:showBubbleSize val="0"/>
        </c:dLbls>
        <c:axId val="673367712"/>
        <c:axId val="673368368"/>
      </c:areaChart>
      <c:catAx>
        <c:axId val="67336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368368"/>
        <c:crosses val="autoZero"/>
        <c:auto val="1"/>
        <c:lblAlgn val="ctr"/>
        <c:lblOffset val="100"/>
        <c:noMultiLvlLbl val="0"/>
      </c:catAx>
      <c:valAx>
        <c:axId val="673368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36771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DUSC_TABLE6_RESULTS!$E$20</c:f>
              <c:strCache>
                <c:ptCount val="1"/>
                <c:pt idx="0">
                  <c:v>Alendronate (Incl Combination Products)</c:v>
                </c:pt>
              </c:strCache>
            </c:strRef>
          </c:tx>
          <c:spPr>
            <a:solidFill>
              <a:schemeClr val="accent1"/>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DUSC_TABLE6_RESULTS!$F$20:$J$20</c:f>
              <c:numCache>
                <c:formatCode>#,##0</c:formatCode>
                <c:ptCount val="5"/>
                <c:pt idx="0">
                  <c:v>1267</c:v>
                </c:pt>
                <c:pt idx="1">
                  <c:v>1248</c:v>
                </c:pt>
                <c:pt idx="2">
                  <c:v>984</c:v>
                </c:pt>
                <c:pt idx="3">
                  <c:v>876</c:v>
                </c:pt>
                <c:pt idx="4">
                  <c:v>735</c:v>
                </c:pt>
              </c:numCache>
            </c:numRef>
          </c:val>
          <c:extLst>
            <c:ext xmlns:c16="http://schemas.microsoft.com/office/drawing/2014/chart" uri="{C3380CC4-5D6E-409C-BE32-E72D297353CC}">
              <c16:uniqueId val="{00000000-2C3B-4A8A-9755-6478DF0F3320}"/>
            </c:ext>
          </c:extLst>
        </c:ser>
        <c:ser>
          <c:idx val="1"/>
          <c:order val="1"/>
          <c:tx>
            <c:strRef>
              <c:f>DUSC_TABLE6_RESULTS!$E$21</c:f>
              <c:strCache>
                <c:ptCount val="1"/>
                <c:pt idx="0">
                  <c:v>Calcitriol</c:v>
                </c:pt>
              </c:strCache>
            </c:strRef>
          </c:tx>
          <c:spPr>
            <a:solidFill>
              <a:schemeClr val="accent2"/>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DUSC_TABLE6_RESULTS!$F$21:$J$21</c:f>
              <c:numCache>
                <c:formatCode>#,##0</c:formatCode>
                <c:ptCount val="5"/>
                <c:pt idx="0">
                  <c:v>591</c:v>
                </c:pt>
                <c:pt idx="1">
                  <c:v>568</c:v>
                </c:pt>
                <c:pt idx="2">
                  <c:v>545</c:v>
                </c:pt>
                <c:pt idx="3">
                  <c:v>553</c:v>
                </c:pt>
                <c:pt idx="4">
                  <c:v>543</c:v>
                </c:pt>
              </c:numCache>
            </c:numRef>
          </c:val>
          <c:extLst>
            <c:ext xmlns:c16="http://schemas.microsoft.com/office/drawing/2014/chart" uri="{C3380CC4-5D6E-409C-BE32-E72D297353CC}">
              <c16:uniqueId val="{00000001-2C3B-4A8A-9755-6478DF0F3320}"/>
            </c:ext>
          </c:extLst>
        </c:ser>
        <c:ser>
          <c:idx val="2"/>
          <c:order val="2"/>
          <c:tx>
            <c:strRef>
              <c:f>DUSC_TABLE6_RESULTS!$E$22</c:f>
              <c:strCache>
                <c:ptCount val="1"/>
                <c:pt idx="0">
                  <c:v>Denosumab</c:v>
                </c:pt>
              </c:strCache>
            </c:strRef>
          </c:tx>
          <c:spPr>
            <a:solidFill>
              <a:schemeClr val="accent3"/>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DUSC_TABLE6_RESULTS!$F$22:$J$22</c:f>
              <c:numCache>
                <c:formatCode>#,##0</c:formatCode>
                <c:ptCount val="5"/>
                <c:pt idx="0">
                  <c:v>3641</c:v>
                </c:pt>
                <c:pt idx="1">
                  <c:v>4932</c:v>
                </c:pt>
                <c:pt idx="2">
                  <c:v>5797</c:v>
                </c:pt>
                <c:pt idx="3">
                  <c:v>6827</c:v>
                </c:pt>
                <c:pt idx="4">
                  <c:v>7187</c:v>
                </c:pt>
              </c:numCache>
            </c:numRef>
          </c:val>
          <c:extLst>
            <c:ext xmlns:c16="http://schemas.microsoft.com/office/drawing/2014/chart" uri="{C3380CC4-5D6E-409C-BE32-E72D297353CC}">
              <c16:uniqueId val="{00000002-2C3B-4A8A-9755-6478DF0F3320}"/>
            </c:ext>
          </c:extLst>
        </c:ser>
        <c:ser>
          <c:idx val="3"/>
          <c:order val="3"/>
          <c:tx>
            <c:strRef>
              <c:f>DUSC_TABLE6_RESULTS!$E$23</c:f>
              <c:strCache>
                <c:ptCount val="1"/>
                <c:pt idx="0">
                  <c:v>Raloxifene</c:v>
                </c:pt>
              </c:strCache>
            </c:strRef>
          </c:tx>
          <c:spPr>
            <a:solidFill>
              <a:schemeClr val="accent4"/>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DUSC_TABLE6_RESULTS!$F$23:$J$23</c:f>
              <c:numCache>
                <c:formatCode>#,##0</c:formatCode>
                <c:ptCount val="5"/>
                <c:pt idx="0">
                  <c:v>79</c:v>
                </c:pt>
                <c:pt idx="1">
                  <c:v>73</c:v>
                </c:pt>
                <c:pt idx="2">
                  <c:v>53</c:v>
                </c:pt>
                <c:pt idx="3">
                  <c:v>36</c:v>
                </c:pt>
                <c:pt idx="4">
                  <c:v>40</c:v>
                </c:pt>
              </c:numCache>
            </c:numRef>
          </c:val>
          <c:extLst>
            <c:ext xmlns:c16="http://schemas.microsoft.com/office/drawing/2014/chart" uri="{C3380CC4-5D6E-409C-BE32-E72D297353CC}">
              <c16:uniqueId val="{00000003-2C3B-4A8A-9755-6478DF0F3320}"/>
            </c:ext>
          </c:extLst>
        </c:ser>
        <c:ser>
          <c:idx val="4"/>
          <c:order val="4"/>
          <c:tx>
            <c:strRef>
              <c:f>DUSC_TABLE6_RESULTS!$E$24</c:f>
              <c:strCache>
                <c:ptCount val="1"/>
                <c:pt idx="0">
                  <c:v>Risendronate</c:v>
                </c:pt>
              </c:strCache>
            </c:strRef>
          </c:tx>
          <c:spPr>
            <a:solidFill>
              <a:schemeClr val="accent5"/>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DUSC_TABLE6_RESULTS!$F$24:$J$24</c:f>
              <c:numCache>
                <c:formatCode>#,##0</c:formatCode>
                <c:ptCount val="5"/>
                <c:pt idx="0">
                  <c:v>735</c:v>
                </c:pt>
                <c:pt idx="1">
                  <c:v>763</c:v>
                </c:pt>
                <c:pt idx="2">
                  <c:v>651</c:v>
                </c:pt>
                <c:pt idx="3">
                  <c:v>564</c:v>
                </c:pt>
                <c:pt idx="4">
                  <c:v>698</c:v>
                </c:pt>
              </c:numCache>
            </c:numRef>
          </c:val>
          <c:extLst>
            <c:ext xmlns:c16="http://schemas.microsoft.com/office/drawing/2014/chart" uri="{C3380CC4-5D6E-409C-BE32-E72D297353CC}">
              <c16:uniqueId val="{00000004-2C3B-4A8A-9755-6478DF0F3320}"/>
            </c:ext>
          </c:extLst>
        </c:ser>
        <c:ser>
          <c:idx val="5"/>
          <c:order val="5"/>
          <c:tx>
            <c:strRef>
              <c:f>DUSC_TABLE6_RESULTS!$E$25</c:f>
              <c:strCache>
                <c:ptCount val="1"/>
                <c:pt idx="0">
                  <c:v>Strontium</c:v>
                </c:pt>
              </c:strCache>
            </c:strRef>
          </c:tx>
          <c:spPr>
            <a:solidFill>
              <a:schemeClr val="accent6"/>
            </a:solidFill>
            <a:ln>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DUSC_TABLE6_RESULTS!$F$25:$J$25</c:f>
              <c:numCache>
                <c:formatCode>#,##0</c:formatCode>
                <c:ptCount val="5"/>
                <c:pt idx="0">
                  <c:v>251</c:v>
                </c:pt>
                <c:pt idx="1">
                  <c:v>44</c:v>
                </c:pt>
                <c:pt idx="2">
                  <c:v>14</c:v>
                </c:pt>
                <c:pt idx="3">
                  <c:v>0</c:v>
                </c:pt>
                <c:pt idx="4">
                  <c:v>0</c:v>
                </c:pt>
              </c:numCache>
            </c:numRef>
          </c:val>
          <c:extLst>
            <c:ext xmlns:c16="http://schemas.microsoft.com/office/drawing/2014/chart" uri="{C3380CC4-5D6E-409C-BE32-E72D297353CC}">
              <c16:uniqueId val="{00000005-2C3B-4A8A-9755-6478DF0F3320}"/>
            </c:ext>
          </c:extLst>
        </c:ser>
        <c:ser>
          <c:idx val="6"/>
          <c:order val="6"/>
          <c:tx>
            <c:strRef>
              <c:f>DUSC_TABLE6_RESULTS!$E$26</c:f>
              <c:strCache>
                <c:ptCount val="1"/>
                <c:pt idx="0">
                  <c:v>Teriparatide</c:v>
                </c:pt>
              </c:strCache>
            </c:strRef>
          </c:tx>
          <c:spPr>
            <a:solidFill>
              <a:schemeClr val="accent1">
                <a:lumMod val="60000"/>
              </a:schemeClr>
            </a:solidFill>
            <a:ln w="25400">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DUSC_TABLE6_RESULTS!$F$26:$J$26</c:f>
              <c:numCache>
                <c:formatCode>#,##0</c:formatCode>
                <c:ptCount val="5"/>
                <c:pt idx="0">
                  <c:v>11</c:v>
                </c:pt>
                <c:pt idx="1">
                  <c:v>16</c:v>
                </c:pt>
                <c:pt idx="2">
                  <c:v>7</c:v>
                </c:pt>
                <c:pt idx="3">
                  <c:v>8</c:v>
                </c:pt>
                <c:pt idx="4">
                  <c:v>9</c:v>
                </c:pt>
              </c:numCache>
            </c:numRef>
          </c:val>
          <c:extLst>
            <c:ext xmlns:c16="http://schemas.microsoft.com/office/drawing/2014/chart" uri="{C3380CC4-5D6E-409C-BE32-E72D297353CC}">
              <c16:uniqueId val="{00000006-2C3B-4A8A-9755-6478DF0F3320}"/>
            </c:ext>
          </c:extLst>
        </c:ser>
        <c:ser>
          <c:idx val="7"/>
          <c:order val="7"/>
          <c:tx>
            <c:strRef>
              <c:f>DUSC_TABLE6_RESULTS!$E$27</c:f>
              <c:strCache>
                <c:ptCount val="1"/>
                <c:pt idx="0">
                  <c:v>Zoledronic Acid</c:v>
                </c:pt>
              </c:strCache>
            </c:strRef>
          </c:tx>
          <c:spPr>
            <a:solidFill>
              <a:schemeClr val="accent2">
                <a:lumMod val="60000"/>
              </a:schemeClr>
            </a:solidFill>
            <a:ln w="25400">
              <a:noFill/>
            </a:ln>
            <a:effectLst/>
          </c:spPr>
          <c:cat>
            <c:numRef>
              <c:f>DUSC_TABLE6_RESULTS!$F$19:$J$19</c:f>
              <c:numCache>
                <c:formatCode>General</c:formatCode>
                <c:ptCount val="5"/>
                <c:pt idx="0">
                  <c:v>2014</c:v>
                </c:pt>
                <c:pt idx="1">
                  <c:v>2015</c:v>
                </c:pt>
                <c:pt idx="2">
                  <c:v>2016</c:v>
                </c:pt>
                <c:pt idx="3">
                  <c:v>2017</c:v>
                </c:pt>
                <c:pt idx="4">
                  <c:v>2018</c:v>
                </c:pt>
              </c:numCache>
            </c:numRef>
          </c:cat>
          <c:val>
            <c:numRef>
              <c:f>DUSC_TABLE6_RESULTS!$F$27:$J$27</c:f>
              <c:numCache>
                <c:formatCode>#,##0</c:formatCode>
                <c:ptCount val="5"/>
                <c:pt idx="0">
                  <c:v>630</c:v>
                </c:pt>
                <c:pt idx="1">
                  <c:v>474</c:v>
                </c:pt>
                <c:pt idx="2">
                  <c:v>338</c:v>
                </c:pt>
                <c:pt idx="3">
                  <c:v>282</c:v>
                </c:pt>
                <c:pt idx="4">
                  <c:v>304</c:v>
                </c:pt>
              </c:numCache>
            </c:numRef>
          </c:val>
          <c:extLst>
            <c:ext xmlns:c16="http://schemas.microsoft.com/office/drawing/2014/chart" uri="{C3380CC4-5D6E-409C-BE32-E72D297353CC}">
              <c16:uniqueId val="{00000007-2C3B-4A8A-9755-6478DF0F3320}"/>
            </c:ext>
          </c:extLst>
        </c:ser>
        <c:dLbls>
          <c:showLegendKey val="0"/>
          <c:showVal val="0"/>
          <c:showCatName val="0"/>
          <c:showSerName val="0"/>
          <c:showPercent val="0"/>
          <c:showBubbleSize val="0"/>
        </c:dLbls>
        <c:axId val="648205952"/>
        <c:axId val="648207264"/>
      </c:areaChart>
      <c:catAx>
        <c:axId val="64820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207264"/>
        <c:crosses val="autoZero"/>
        <c:auto val="1"/>
        <c:lblAlgn val="ctr"/>
        <c:lblOffset val="100"/>
        <c:noMultiLvlLbl val="0"/>
      </c:catAx>
      <c:valAx>
        <c:axId val="64820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205952"/>
        <c:crosses val="autoZero"/>
        <c:crossBetween val="midCat"/>
      </c:valAx>
      <c:spPr>
        <a:noFill/>
        <a:ln>
          <a:noFill/>
        </a:ln>
        <a:effectLst/>
      </c:spPr>
    </c:plotArea>
    <c:legend>
      <c:legendPos val="b"/>
      <c:layout>
        <c:manualLayout>
          <c:xMode val="edge"/>
          <c:yMode val="edge"/>
          <c:x val="0.1427625664439004"/>
          <c:y val="0.74123819428231852"/>
          <c:w val="0.80411054500540369"/>
          <c:h val="0.23719846339962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DUSC_TABLE2_RESULTS!$E$21</c:f>
              <c:strCache>
                <c:ptCount val="1"/>
                <c:pt idx="0">
                  <c:v>Female &lt;50</c:v>
                </c:pt>
              </c:strCache>
            </c:strRef>
          </c:tx>
          <c:spPr>
            <a:solidFill>
              <a:schemeClr val="accent1"/>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DUSC_TABLE2_RESULTS!$F$21:$K$21</c:f>
              <c:numCache>
                <c:formatCode>General</c:formatCode>
                <c:ptCount val="6"/>
                <c:pt idx="0">
                  <c:v>64</c:v>
                </c:pt>
                <c:pt idx="1">
                  <c:v>73</c:v>
                </c:pt>
                <c:pt idx="2">
                  <c:v>86</c:v>
                </c:pt>
                <c:pt idx="3">
                  <c:v>82</c:v>
                </c:pt>
                <c:pt idx="4">
                  <c:v>109</c:v>
                </c:pt>
                <c:pt idx="5">
                  <c:v>40</c:v>
                </c:pt>
              </c:numCache>
            </c:numRef>
          </c:val>
          <c:extLst>
            <c:ext xmlns:c16="http://schemas.microsoft.com/office/drawing/2014/chart" uri="{C3380CC4-5D6E-409C-BE32-E72D297353CC}">
              <c16:uniqueId val="{00000000-C45B-4C8F-9EC9-532244C62743}"/>
            </c:ext>
          </c:extLst>
        </c:ser>
        <c:ser>
          <c:idx val="1"/>
          <c:order val="1"/>
          <c:tx>
            <c:strRef>
              <c:f>DUSC_TABLE2_RESULTS!$E$22</c:f>
              <c:strCache>
                <c:ptCount val="1"/>
                <c:pt idx="0">
                  <c:v>Female 50–59</c:v>
                </c:pt>
              </c:strCache>
            </c:strRef>
          </c:tx>
          <c:spPr>
            <a:solidFill>
              <a:schemeClr val="accent2"/>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DUSC_TABLE2_RESULTS!$F$22:$K$22</c:f>
              <c:numCache>
                <c:formatCode>General</c:formatCode>
                <c:ptCount val="6"/>
                <c:pt idx="0">
                  <c:v>355</c:v>
                </c:pt>
                <c:pt idx="1">
                  <c:v>404</c:v>
                </c:pt>
                <c:pt idx="2">
                  <c:v>473</c:v>
                </c:pt>
                <c:pt idx="3">
                  <c:v>493</c:v>
                </c:pt>
                <c:pt idx="4">
                  <c:v>445</c:v>
                </c:pt>
                <c:pt idx="5">
                  <c:v>186</c:v>
                </c:pt>
              </c:numCache>
            </c:numRef>
          </c:val>
          <c:extLst>
            <c:ext xmlns:c16="http://schemas.microsoft.com/office/drawing/2014/chart" uri="{C3380CC4-5D6E-409C-BE32-E72D297353CC}">
              <c16:uniqueId val="{00000001-C45B-4C8F-9EC9-532244C62743}"/>
            </c:ext>
          </c:extLst>
        </c:ser>
        <c:ser>
          <c:idx val="2"/>
          <c:order val="2"/>
          <c:tx>
            <c:strRef>
              <c:f>DUSC_TABLE2_RESULTS!$E$23</c:f>
              <c:strCache>
                <c:ptCount val="1"/>
                <c:pt idx="0">
                  <c:v>Female 60–69</c:v>
                </c:pt>
              </c:strCache>
            </c:strRef>
          </c:tx>
          <c:spPr>
            <a:solidFill>
              <a:schemeClr val="accent3"/>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DUSC_TABLE2_RESULTS!$F$23:$K$23</c:f>
              <c:numCache>
                <c:formatCode>General</c:formatCode>
                <c:ptCount val="6"/>
                <c:pt idx="0">
                  <c:v>1035</c:v>
                </c:pt>
                <c:pt idx="1">
                  <c:v>1327</c:v>
                </c:pt>
                <c:pt idx="2">
                  <c:v>1439</c:v>
                </c:pt>
                <c:pt idx="3">
                  <c:v>1447</c:v>
                </c:pt>
                <c:pt idx="4">
                  <c:v>1462</c:v>
                </c:pt>
                <c:pt idx="5">
                  <c:v>648</c:v>
                </c:pt>
              </c:numCache>
            </c:numRef>
          </c:val>
          <c:extLst>
            <c:ext xmlns:c16="http://schemas.microsoft.com/office/drawing/2014/chart" uri="{C3380CC4-5D6E-409C-BE32-E72D297353CC}">
              <c16:uniqueId val="{00000002-C45B-4C8F-9EC9-532244C62743}"/>
            </c:ext>
          </c:extLst>
        </c:ser>
        <c:ser>
          <c:idx val="3"/>
          <c:order val="3"/>
          <c:tx>
            <c:strRef>
              <c:f>DUSC_TABLE2_RESULTS!$E$24</c:f>
              <c:strCache>
                <c:ptCount val="1"/>
                <c:pt idx="0">
                  <c:v>Female 70+</c:v>
                </c:pt>
              </c:strCache>
            </c:strRef>
          </c:tx>
          <c:spPr>
            <a:solidFill>
              <a:schemeClr val="accent4"/>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DUSC_TABLE2_RESULTS!$F$24:$K$24</c:f>
              <c:numCache>
                <c:formatCode>General</c:formatCode>
                <c:ptCount val="6"/>
                <c:pt idx="0">
                  <c:v>3850</c:v>
                </c:pt>
                <c:pt idx="1">
                  <c:v>4591</c:v>
                </c:pt>
                <c:pt idx="2">
                  <c:v>4971</c:v>
                </c:pt>
                <c:pt idx="3">
                  <c:v>5429</c:v>
                </c:pt>
                <c:pt idx="4">
                  <c:v>5299</c:v>
                </c:pt>
                <c:pt idx="5">
                  <c:v>2526</c:v>
                </c:pt>
              </c:numCache>
            </c:numRef>
          </c:val>
          <c:extLst>
            <c:ext xmlns:c16="http://schemas.microsoft.com/office/drawing/2014/chart" uri="{C3380CC4-5D6E-409C-BE32-E72D297353CC}">
              <c16:uniqueId val="{00000003-C45B-4C8F-9EC9-532244C62743}"/>
            </c:ext>
          </c:extLst>
        </c:ser>
        <c:ser>
          <c:idx val="4"/>
          <c:order val="4"/>
          <c:tx>
            <c:strRef>
              <c:f>DUSC_TABLE2_RESULTS!$E$25</c:f>
              <c:strCache>
                <c:ptCount val="1"/>
                <c:pt idx="0">
                  <c:v>Male &lt;50</c:v>
                </c:pt>
              </c:strCache>
            </c:strRef>
          </c:tx>
          <c:spPr>
            <a:solidFill>
              <a:schemeClr val="accent5"/>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DUSC_TABLE2_RESULTS!$F$25:$K$25</c:f>
              <c:numCache>
                <c:formatCode>General</c:formatCode>
                <c:ptCount val="6"/>
                <c:pt idx="0">
                  <c:v>39</c:v>
                </c:pt>
                <c:pt idx="1">
                  <c:v>43</c:v>
                </c:pt>
                <c:pt idx="2">
                  <c:v>44</c:v>
                </c:pt>
                <c:pt idx="3">
                  <c:v>61</c:v>
                </c:pt>
                <c:pt idx="4">
                  <c:v>46</c:v>
                </c:pt>
                <c:pt idx="5">
                  <c:v>14</c:v>
                </c:pt>
              </c:numCache>
            </c:numRef>
          </c:val>
          <c:extLst>
            <c:ext xmlns:c16="http://schemas.microsoft.com/office/drawing/2014/chart" uri="{C3380CC4-5D6E-409C-BE32-E72D297353CC}">
              <c16:uniqueId val="{00000004-C45B-4C8F-9EC9-532244C62743}"/>
            </c:ext>
          </c:extLst>
        </c:ser>
        <c:ser>
          <c:idx val="5"/>
          <c:order val="5"/>
          <c:tx>
            <c:strRef>
              <c:f>DUSC_TABLE2_RESULTS!$E$26</c:f>
              <c:strCache>
                <c:ptCount val="1"/>
                <c:pt idx="0">
                  <c:v>Male 50–59</c:v>
                </c:pt>
              </c:strCache>
            </c:strRef>
          </c:tx>
          <c:spPr>
            <a:solidFill>
              <a:schemeClr val="accent6"/>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DUSC_TABLE2_RESULTS!$F$26:$K$26</c:f>
              <c:numCache>
                <c:formatCode>General</c:formatCode>
                <c:ptCount val="6"/>
                <c:pt idx="0">
                  <c:v>93</c:v>
                </c:pt>
                <c:pt idx="1">
                  <c:v>92</c:v>
                </c:pt>
                <c:pt idx="2">
                  <c:v>113</c:v>
                </c:pt>
                <c:pt idx="3">
                  <c:v>101</c:v>
                </c:pt>
                <c:pt idx="4">
                  <c:v>99</c:v>
                </c:pt>
                <c:pt idx="5">
                  <c:v>28</c:v>
                </c:pt>
              </c:numCache>
            </c:numRef>
          </c:val>
          <c:extLst>
            <c:ext xmlns:c16="http://schemas.microsoft.com/office/drawing/2014/chart" uri="{C3380CC4-5D6E-409C-BE32-E72D297353CC}">
              <c16:uniqueId val="{00000005-C45B-4C8F-9EC9-532244C62743}"/>
            </c:ext>
          </c:extLst>
        </c:ser>
        <c:ser>
          <c:idx val="6"/>
          <c:order val="6"/>
          <c:tx>
            <c:strRef>
              <c:f>DUSC_TABLE2_RESULTS!$E$27</c:f>
              <c:strCache>
                <c:ptCount val="1"/>
                <c:pt idx="0">
                  <c:v>Male 60–69</c:v>
                </c:pt>
              </c:strCache>
            </c:strRef>
          </c:tx>
          <c:spPr>
            <a:solidFill>
              <a:schemeClr val="accent1">
                <a:lumMod val="60000"/>
              </a:schemeClr>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DUSC_TABLE2_RESULTS!$F$27:$K$27</c:f>
              <c:numCache>
                <c:formatCode>General</c:formatCode>
                <c:ptCount val="6"/>
                <c:pt idx="0">
                  <c:v>183</c:v>
                </c:pt>
                <c:pt idx="1">
                  <c:v>229</c:v>
                </c:pt>
                <c:pt idx="2">
                  <c:v>247</c:v>
                </c:pt>
                <c:pt idx="3">
                  <c:v>270</c:v>
                </c:pt>
                <c:pt idx="4">
                  <c:v>291</c:v>
                </c:pt>
                <c:pt idx="5">
                  <c:v>103</c:v>
                </c:pt>
              </c:numCache>
            </c:numRef>
          </c:val>
          <c:extLst>
            <c:ext xmlns:c16="http://schemas.microsoft.com/office/drawing/2014/chart" uri="{C3380CC4-5D6E-409C-BE32-E72D297353CC}">
              <c16:uniqueId val="{00000006-C45B-4C8F-9EC9-532244C62743}"/>
            </c:ext>
          </c:extLst>
        </c:ser>
        <c:ser>
          <c:idx val="7"/>
          <c:order val="7"/>
          <c:tx>
            <c:strRef>
              <c:f>DUSC_TABLE2_RESULTS!$E$28</c:f>
              <c:strCache>
                <c:ptCount val="1"/>
                <c:pt idx="0">
                  <c:v>Male 70+</c:v>
                </c:pt>
              </c:strCache>
            </c:strRef>
          </c:tx>
          <c:spPr>
            <a:solidFill>
              <a:schemeClr val="accent2">
                <a:lumMod val="60000"/>
              </a:schemeClr>
            </a:solidFill>
            <a:ln>
              <a:noFill/>
            </a:ln>
            <a:effectLst/>
          </c:spPr>
          <c:invertIfNegative val="0"/>
          <c:cat>
            <c:strRef>
              <c:f>DUSC_TABLE2_RESULTS!$F$20:$K$20</c:f>
              <c:strCache>
                <c:ptCount val="6"/>
                <c:pt idx="0">
                  <c:v>2014</c:v>
                </c:pt>
                <c:pt idx="1">
                  <c:v>2015</c:v>
                </c:pt>
                <c:pt idx="2">
                  <c:v>2016</c:v>
                </c:pt>
                <c:pt idx="3">
                  <c:v>2017</c:v>
                </c:pt>
                <c:pt idx="4">
                  <c:v>2018</c:v>
                </c:pt>
                <c:pt idx="5">
                  <c:v>To June 2019*</c:v>
                </c:pt>
              </c:strCache>
            </c:strRef>
          </c:cat>
          <c:val>
            <c:numRef>
              <c:f>DUSC_TABLE2_RESULTS!$F$28:$K$28</c:f>
              <c:numCache>
                <c:formatCode>General</c:formatCode>
                <c:ptCount val="6"/>
                <c:pt idx="0">
                  <c:v>956</c:v>
                </c:pt>
                <c:pt idx="1">
                  <c:v>1235</c:v>
                </c:pt>
                <c:pt idx="2">
                  <c:v>1360</c:v>
                </c:pt>
                <c:pt idx="3">
                  <c:v>1546</c:v>
                </c:pt>
                <c:pt idx="4">
                  <c:v>1640</c:v>
                </c:pt>
                <c:pt idx="5">
                  <c:v>770</c:v>
                </c:pt>
              </c:numCache>
            </c:numRef>
          </c:val>
          <c:extLst>
            <c:ext xmlns:c16="http://schemas.microsoft.com/office/drawing/2014/chart" uri="{C3380CC4-5D6E-409C-BE32-E72D297353CC}">
              <c16:uniqueId val="{00000007-C45B-4C8F-9EC9-532244C62743}"/>
            </c:ext>
          </c:extLst>
        </c:ser>
        <c:dLbls>
          <c:showLegendKey val="0"/>
          <c:showVal val="0"/>
          <c:showCatName val="0"/>
          <c:showSerName val="0"/>
          <c:showPercent val="0"/>
          <c:showBubbleSize val="0"/>
        </c:dLbls>
        <c:gapWidth val="150"/>
        <c:overlap val="100"/>
        <c:axId val="637257096"/>
        <c:axId val="637257424"/>
      </c:barChart>
      <c:catAx>
        <c:axId val="637257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257424"/>
        <c:crosses val="autoZero"/>
        <c:auto val="1"/>
        <c:lblAlgn val="ctr"/>
        <c:lblOffset val="100"/>
        <c:noMultiLvlLbl val="0"/>
      </c:catAx>
      <c:valAx>
        <c:axId val="63725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257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DUSC_TABLE3_RESULTS!$E$20</c:f>
              <c:strCache>
                <c:ptCount val="1"/>
                <c:pt idx="0">
                  <c:v>Female &lt;50</c:v>
                </c:pt>
              </c:strCache>
            </c:strRef>
          </c:tx>
          <c:spPr>
            <a:solidFill>
              <a:schemeClr val="accent1"/>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DUSC_TABLE3_RESULTS!$F$20:$K$20</c:f>
              <c:numCache>
                <c:formatCode>#,##0</c:formatCode>
                <c:ptCount val="6"/>
                <c:pt idx="0">
                  <c:v>46</c:v>
                </c:pt>
                <c:pt idx="1">
                  <c:v>57</c:v>
                </c:pt>
                <c:pt idx="2">
                  <c:v>67</c:v>
                </c:pt>
                <c:pt idx="3">
                  <c:v>72</c:v>
                </c:pt>
                <c:pt idx="4">
                  <c:v>96</c:v>
                </c:pt>
                <c:pt idx="5">
                  <c:v>34</c:v>
                </c:pt>
              </c:numCache>
            </c:numRef>
          </c:val>
          <c:extLst>
            <c:ext xmlns:c16="http://schemas.microsoft.com/office/drawing/2014/chart" uri="{C3380CC4-5D6E-409C-BE32-E72D297353CC}">
              <c16:uniqueId val="{00000000-1FB1-4ADC-B715-C37E8B41B8C3}"/>
            </c:ext>
          </c:extLst>
        </c:ser>
        <c:ser>
          <c:idx val="1"/>
          <c:order val="1"/>
          <c:tx>
            <c:strRef>
              <c:f>DUSC_TABLE3_RESULTS!$E$21</c:f>
              <c:strCache>
                <c:ptCount val="1"/>
                <c:pt idx="0">
                  <c:v>Female 50–59</c:v>
                </c:pt>
              </c:strCache>
            </c:strRef>
          </c:tx>
          <c:spPr>
            <a:solidFill>
              <a:schemeClr val="accent2"/>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DUSC_TABLE3_RESULTS!$F$21:$K$21</c:f>
              <c:numCache>
                <c:formatCode>#,##0</c:formatCode>
                <c:ptCount val="6"/>
                <c:pt idx="0">
                  <c:v>236</c:v>
                </c:pt>
                <c:pt idx="1">
                  <c:v>303</c:v>
                </c:pt>
                <c:pt idx="2">
                  <c:v>372</c:v>
                </c:pt>
                <c:pt idx="3">
                  <c:v>390</c:v>
                </c:pt>
                <c:pt idx="4">
                  <c:v>372</c:v>
                </c:pt>
                <c:pt idx="5">
                  <c:v>165</c:v>
                </c:pt>
              </c:numCache>
            </c:numRef>
          </c:val>
          <c:extLst>
            <c:ext xmlns:c16="http://schemas.microsoft.com/office/drawing/2014/chart" uri="{C3380CC4-5D6E-409C-BE32-E72D297353CC}">
              <c16:uniqueId val="{00000001-1FB1-4ADC-B715-C37E8B41B8C3}"/>
            </c:ext>
          </c:extLst>
        </c:ser>
        <c:ser>
          <c:idx val="2"/>
          <c:order val="2"/>
          <c:tx>
            <c:strRef>
              <c:f>DUSC_TABLE3_RESULTS!$E$22</c:f>
              <c:strCache>
                <c:ptCount val="1"/>
                <c:pt idx="0">
                  <c:v>Female 60–69</c:v>
                </c:pt>
              </c:strCache>
            </c:strRef>
          </c:tx>
          <c:spPr>
            <a:solidFill>
              <a:schemeClr val="accent3"/>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DUSC_TABLE3_RESULTS!$F$22:$K$22</c:f>
              <c:numCache>
                <c:formatCode>#,##0</c:formatCode>
                <c:ptCount val="6"/>
                <c:pt idx="0">
                  <c:v>603</c:v>
                </c:pt>
                <c:pt idx="1">
                  <c:v>819</c:v>
                </c:pt>
                <c:pt idx="2">
                  <c:v>966</c:v>
                </c:pt>
                <c:pt idx="3">
                  <c:v>1032</c:v>
                </c:pt>
                <c:pt idx="4">
                  <c:v>1128</c:v>
                </c:pt>
                <c:pt idx="5">
                  <c:v>514</c:v>
                </c:pt>
              </c:numCache>
            </c:numRef>
          </c:val>
          <c:extLst>
            <c:ext xmlns:c16="http://schemas.microsoft.com/office/drawing/2014/chart" uri="{C3380CC4-5D6E-409C-BE32-E72D297353CC}">
              <c16:uniqueId val="{00000002-1FB1-4ADC-B715-C37E8B41B8C3}"/>
            </c:ext>
          </c:extLst>
        </c:ser>
        <c:ser>
          <c:idx val="3"/>
          <c:order val="3"/>
          <c:tx>
            <c:strRef>
              <c:f>DUSC_TABLE3_RESULTS!$E$23</c:f>
              <c:strCache>
                <c:ptCount val="1"/>
                <c:pt idx="0">
                  <c:v>Female 70+</c:v>
                </c:pt>
              </c:strCache>
            </c:strRef>
          </c:tx>
          <c:spPr>
            <a:solidFill>
              <a:schemeClr val="accent4"/>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DUSC_TABLE3_RESULTS!$F$23:$K$23</c:f>
              <c:numCache>
                <c:formatCode>#,##0</c:formatCode>
                <c:ptCount val="6"/>
                <c:pt idx="0">
                  <c:v>1957</c:v>
                </c:pt>
                <c:pt idx="1">
                  <c:v>2629</c:v>
                </c:pt>
                <c:pt idx="2">
                  <c:v>3092</c:v>
                </c:pt>
                <c:pt idx="3">
                  <c:v>3772</c:v>
                </c:pt>
                <c:pt idx="4">
                  <c:v>3888</c:v>
                </c:pt>
                <c:pt idx="5">
                  <c:v>1895</c:v>
                </c:pt>
              </c:numCache>
            </c:numRef>
          </c:val>
          <c:extLst>
            <c:ext xmlns:c16="http://schemas.microsoft.com/office/drawing/2014/chart" uri="{C3380CC4-5D6E-409C-BE32-E72D297353CC}">
              <c16:uniqueId val="{00000003-1FB1-4ADC-B715-C37E8B41B8C3}"/>
            </c:ext>
          </c:extLst>
        </c:ser>
        <c:ser>
          <c:idx val="4"/>
          <c:order val="4"/>
          <c:tx>
            <c:strRef>
              <c:f>DUSC_TABLE3_RESULTS!$E$24</c:f>
              <c:strCache>
                <c:ptCount val="1"/>
                <c:pt idx="0">
                  <c:v>Male &lt;50</c:v>
                </c:pt>
              </c:strCache>
            </c:strRef>
          </c:tx>
          <c:spPr>
            <a:solidFill>
              <a:schemeClr val="accent5"/>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DUSC_TABLE3_RESULTS!$F$24:$K$24</c:f>
              <c:numCache>
                <c:formatCode>#,##0</c:formatCode>
                <c:ptCount val="6"/>
                <c:pt idx="0">
                  <c:v>21</c:v>
                </c:pt>
                <c:pt idx="1">
                  <c:v>30</c:v>
                </c:pt>
                <c:pt idx="2">
                  <c:v>32</c:v>
                </c:pt>
                <c:pt idx="3">
                  <c:v>48</c:v>
                </c:pt>
                <c:pt idx="4">
                  <c:v>37</c:v>
                </c:pt>
                <c:pt idx="5">
                  <c:v>12</c:v>
                </c:pt>
              </c:numCache>
            </c:numRef>
          </c:val>
          <c:extLst>
            <c:ext xmlns:c16="http://schemas.microsoft.com/office/drawing/2014/chart" uri="{C3380CC4-5D6E-409C-BE32-E72D297353CC}">
              <c16:uniqueId val="{00000004-1FB1-4ADC-B715-C37E8B41B8C3}"/>
            </c:ext>
          </c:extLst>
        </c:ser>
        <c:ser>
          <c:idx val="5"/>
          <c:order val="5"/>
          <c:tx>
            <c:strRef>
              <c:f>DUSC_TABLE3_RESULTS!$E$25</c:f>
              <c:strCache>
                <c:ptCount val="1"/>
                <c:pt idx="0">
                  <c:v>Male 50–59</c:v>
                </c:pt>
              </c:strCache>
            </c:strRef>
          </c:tx>
          <c:spPr>
            <a:solidFill>
              <a:schemeClr val="accent6"/>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DUSC_TABLE3_RESULTS!$F$25:$K$25</c:f>
              <c:numCache>
                <c:formatCode>#,##0</c:formatCode>
                <c:ptCount val="6"/>
                <c:pt idx="0">
                  <c:v>62</c:v>
                </c:pt>
                <c:pt idx="1">
                  <c:v>70</c:v>
                </c:pt>
                <c:pt idx="2">
                  <c:v>75</c:v>
                </c:pt>
                <c:pt idx="3">
                  <c:v>73</c:v>
                </c:pt>
                <c:pt idx="4">
                  <c:v>79</c:v>
                </c:pt>
                <c:pt idx="5">
                  <c:v>22</c:v>
                </c:pt>
              </c:numCache>
            </c:numRef>
          </c:val>
          <c:extLst>
            <c:ext xmlns:c16="http://schemas.microsoft.com/office/drawing/2014/chart" uri="{C3380CC4-5D6E-409C-BE32-E72D297353CC}">
              <c16:uniqueId val="{00000005-1FB1-4ADC-B715-C37E8B41B8C3}"/>
            </c:ext>
          </c:extLst>
        </c:ser>
        <c:ser>
          <c:idx val="6"/>
          <c:order val="6"/>
          <c:tx>
            <c:strRef>
              <c:f>DUSC_TABLE3_RESULTS!$E$26</c:f>
              <c:strCache>
                <c:ptCount val="1"/>
                <c:pt idx="0">
                  <c:v>Male 60–69</c:v>
                </c:pt>
              </c:strCache>
            </c:strRef>
          </c:tx>
          <c:spPr>
            <a:solidFill>
              <a:schemeClr val="accent1">
                <a:lumMod val="60000"/>
              </a:schemeClr>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DUSC_TABLE3_RESULTS!$F$26:$K$26</c:f>
              <c:numCache>
                <c:formatCode>#,##0</c:formatCode>
                <c:ptCount val="6"/>
                <c:pt idx="0">
                  <c:v>108</c:v>
                </c:pt>
                <c:pt idx="1">
                  <c:v>160</c:v>
                </c:pt>
                <c:pt idx="2">
                  <c:v>170</c:v>
                </c:pt>
                <c:pt idx="3">
                  <c:v>207</c:v>
                </c:pt>
                <c:pt idx="4">
                  <c:v>223</c:v>
                </c:pt>
                <c:pt idx="5">
                  <c:v>84</c:v>
                </c:pt>
              </c:numCache>
            </c:numRef>
          </c:val>
          <c:extLst>
            <c:ext xmlns:c16="http://schemas.microsoft.com/office/drawing/2014/chart" uri="{C3380CC4-5D6E-409C-BE32-E72D297353CC}">
              <c16:uniqueId val="{00000006-1FB1-4ADC-B715-C37E8B41B8C3}"/>
            </c:ext>
          </c:extLst>
        </c:ser>
        <c:ser>
          <c:idx val="7"/>
          <c:order val="7"/>
          <c:tx>
            <c:strRef>
              <c:f>DUSC_TABLE3_RESULTS!$E$27</c:f>
              <c:strCache>
                <c:ptCount val="1"/>
                <c:pt idx="0">
                  <c:v>Male 70+</c:v>
                </c:pt>
              </c:strCache>
            </c:strRef>
          </c:tx>
          <c:spPr>
            <a:solidFill>
              <a:schemeClr val="accent2">
                <a:lumMod val="60000"/>
              </a:schemeClr>
            </a:solidFill>
            <a:ln>
              <a:noFill/>
            </a:ln>
            <a:effectLst/>
          </c:spPr>
          <c:invertIfNegative val="0"/>
          <c:cat>
            <c:strRef>
              <c:f>DUSC_TABLE3_RESULTS!$F$19:$K$19</c:f>
              <c:strCache>
                <c:ptCount val="6"/>
                <c:pt idx="0">
                  <c:v>2014</c:v>
                </c:pt>
                <c:pt idx="1">
                  <c:v>2015</c:v>
                </c:pt>
                <c:pt idx="2">
                  <c:v>2016</c:v>
                </c:pt>
                <c:pt idx="3">
                  <c:v>2017</c:v>
                </c:pt>
                <c:pt idx="4">
                  <c:v>2018</c:v>
                </c:pt>
                <c:pt idx="5">
                  <c:v>To June 2019*</c:v>
                </c:pt>
              </c:strCache>
            </c:strRef>
          </c:cat>
          <c:val>
            <c:numRef>
              <c:f>DUSC_TABLE3_RESULTS!$F$27:$K$27</c:f>
              <c:numCache>
                <c:formatCode>#,##0</c:formatCode>
                <c:ptCount val="6"/>
                <c:pt idx="0">
                  <c:v>608</c:v>
                </c:pt>
                <c:pt idx="1">
                  <c:v>864</c:v>
                </c:pt>
                <c:pt idx="2">
                  <c:v>1023</c:v>
                </c:pt>
                <c:pt idx="3">
                  <c:v>1233</c:v>
                </c:pt>
                <c:pt idx="4">
                  <c:v>1364</c:v>
                </c:pt>
                <c:pt idx="5">
                  <c:v>655</c:v>
                </c:pt>
              </c:numCache>
            </c:numRef>
          </c:val>
          <c:extLst>
            <c:ext xmlns:c16="http://schemas.microsoft.com/office/drawing/2014/chart" uri="{C3380CC4-5D6E-409C-BE32-E72D297353CC}">
              <c16:uniqueId val="{00000007-1FB1-4ADC-B715-C37E8B41B8C3}"/>
            </c:ext>
          </c:extLst>
        </c:ser>
        <c:dLbls>
          <c:showLegendKey val="0"/>
          <c:showVal val="0"/>
          <c:showCatName val="0"/>
          <c:showSerName val="0"/>
          <c:showPercent val="0"/>
          <c:showBubbleSize val="0"/>
        </c:dLbls>
        <c:gapWidth val="150"/>
        <c:overlap val="100"/>
        <c:axId val="560605112"/>
        <c:axId val="559179976"/>
      </c:barChart>
      <c:catAx>
        <c:axId val="560605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179976"/>
        <c:crosses val="autoZero"/>
        <c:auto val="1"/>
        <c:lblAlgn val="ctr"/>
        <c:lblOffset val="100"/>
        <c:noMultiLvlLbl val="0"/>
      </c:catAx>
      <c:valAx>
        <c:axId val="559179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605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DUSC_TABLE3_RESULTS!$E$38</c:f>
              <c:strCache>
                <c:ptCount val="1"/>
                <c:pt idx="0">
                  <c:v>Prevalent to denosumab</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cat>
            <c:strRef>
              <c:f>DUSC_TABLE3_RESULTS!$F$37:$K$37</c:f>
              <c:strCache>
                <c:ptCount val="6"/>
                <c:pt idx="0">
                  <c:v>2014</c:v>
                </c:pt>
                <c:pt idx="1">
                  <c:v>2015</c:v>
                </c:pt>
                <c:pt idx="2">
                  <c:v>2016</c:v>
                </c:pt>
                <c:pt idx="3">
                  <c:v>2017</c:v>
                </c:pt>
                <c:pt idx="4">
                  <c:v>2018</c:v>
                </c:pt>
                <c:pt idx="5">
                  <c:v>To June 2019*</c:v>
                </c:pt>
              </c:strCache>
            </c:strRef>
          </c:cat>
          <c:val>
            <c:numRef>
              <c:f>DUSC_TABLE3_RESULTS!$F$38:$K$38</c:f>
              <c:numCache>
                <c:formatCode>#,##0</c:formatCode>
                <c:ptCount val="6"/>
                <c:pt idx="0">
                  <c:v>11790</c:v>
                </c:pt>
                <c:pt idx="1">
                  <c:v>18273</c:v>
                </c:pt>
                <c:pt idx="2">
                  <c:v>24778</c:v>
                </c:pt>
                <c:pt idx="3">
                  <c:v>31574</c:v>
                </c:pt>
                <c:pt idx="4">
                  <c:v>37617</c:v>
                </c:pt>
                <c:pt idx="5">
                  <c:v>34123</c:v>
                </c:pt>
              </c:numCache>
            </c:numRef>
          </c:val>
          <c:smooth val="0"/>
          <c:extLst>
            <c:ext xmlns:c16="http://schemas.microsoft.com/office/drawing/2014/chart" uri="{C3380CC4-5D6E-409C-BE32-E72D297353CC}">
              <c16:uniqueId val="{00000000-8C1B-4BD2-A251-E3B7F2788ABE}"/>
            </c:ext>
          </c:extLst>
        </c:ser>
        <c:ser>
          <c:idx val="1"/>
          <c:order val="1"/>
          <c:tx>
            <c:strRef>
              <c:f>DUSC_TABLE3_RESULTS!$E$39</c:f>
              <c:strCache>
                <c:ptCount val="1"/>
                <c:pt idx="0">
                  <c:v>Denosumab initiators </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DUSC_TABLE3_RESULTS!$F$37:$K$37</c:f>
              <c:strCache>
                <c:ptCount val="6"/>
                <c:pt idx="0">
                  <c:v>2014</c:v>
                </c:pt>
                <c:pt idx="1">
                  <c:v>2015</c:v>
                </c:pt>
                <c:pt idx="2">
                  <c:v>2016</c:v>
                </c:pt>
                <c:pt idx="3">
                  <c:v>2017</c:v>
                </c:pt>
                <c:pt idx="4">
                  <c:v>2018</c:v>
                </c:pt>
                <c:pt idx="5">
                  <c:v>To June 2019*</c:v>
                </c:pt>
              </c:strCache>
            </c:strRef>
          </c:cat>
          <c:val>
            <c:numRef>
              <c:f>DUSC_TABLE3_RESULTS!$F$39:$K$39</c:f>
              <c:numCache>
                <c:formatCode>#,##0</c:formatCode>
                <c:ptCount val="6"/>
                <c:pt idx="0">
                  <c:v>6575</c:v>
                </c:pt>
                <c:pt idx="1">
                  <c:v>7994</c:v>
                </c:pt>
                <c:pt idx="2">
                  <c:v>8733</c:v>
                </c:pt>
                <c:pt idx="3">
                  <c:v>9429</c:v>
                </c:pt>
                <c:pt idx="4">
                  <c:v>9391</c:v>
                </c:pt>
                <c:pt idx="5">
                  <c:v>4315</c:v>
                </c:pt>
              </c:numCache>
            </c:numRef>
          </c:val>
          <c:smooth val="0"/>
          <c:extLst>
            <c:ext xmlns:c16="http://schemas.microsoft.com/office/drawing/2014/chart" uri="{C3380CC4-5D6E-409C-BE32-E72D297353CC}">
              <c16:uniqueId val="{00000001-8C1B-4BD2-A251-E3B7F2788ABE}"/>
            </c:ext>
          </c:extLst>
        </c:ser>
        <c:ser>
          <c:idx val="2"/>
          <c:order val="2"/>
          <c:tx>
            <c:strRef>
              <c:f>DUSC_TABLE3_RESULTS!$E$40</c:f>
              <c:strCache>
                <c:ptCount val="1"/>
                <c:pt idx="0">
                  <c:v>Directly initiated on denosumab (no prior osteoporosis medicine)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DUSC_TABLE3_RESULTS!$F$37:$K$37</c:f>
              <c:strCache>
                <c:ptCount val="6"/>
                <c:pt idx="0">
                  <c:v>2014</c:v>
                </c:pt>
                <c:pt idx="1">
                  <c:v>2015</c:v>
                </c:pt>
                <c:pt idx="2">
                  <c:v>2016</c:v>
                </c:pt>
                <c:pt idx="3">
                  <c:v>2017</c:v>
                </c:pt>
                <c:pt idx="4">
                  <c:v>2018</c:v>
                </c:pt>
                <c:pt idx="5">
                  <c:v>To June 2019*</c:v>
                </c:pt>
              </c:strCache>
            </c:strRef>
          </c:cat>
          <c:val>
            <c:numRef>
              <c:f>DUSC_TABLE3_RESULTS!$F$40:$K$40</c:f>
              <c:numCache>
                <c:formatCode>#,##0</c:formatCode>
                <c:ptCount val="6"/>
                <c:pt idx="0">
                  <c:v>3641</c:v>
                </c:pt>
                <c:pt idx="1">
                  <c:v>4932</c:v>
                </c:pt>
                <c:pt idx="2">
                  <c:v>5797</c:v>
                </c:pt>
                <c:pt idx="3">
                  <c:v>6827</c:v>
                </c:pt>
                <c:pt idx="4">
                  <c:v>7187</c:v>
                </c:pt>
                <c:pt idx="5">
                  <c:v>3381</c:v>
                </c:pt>
              </c:numCache>
            </c:numRef>
          </c:val>
          <c:smooth val="0"/>
          <c:extLst>
            <c:ext xmlns:c16="http://schemas.microsoft.com/office/drawing/2014/chart" uri="{C3380CC4-5D6E-409C-BE32-E72D297353CC}">
              <c16:uniqueId val="{00000002-8C1B-4BD2-A251-E3B7F2788ABE}"/>
            </c:ext>
          </c:extLst>
        </c:ser>
        <c:dLbls>
          <c:showLegendKey val="0"/>
          <c:showVal val="0"/>
          <c:showCatName val="0"/>
          <c:showSerName val="0"/>
          <c:showPercent val="0"/>
          <c:showBubbleSize val="0"/>
        </c:dLbls>
        <c:marker val="1"/>
        <c:smooth val="0"/>
        <c:axId val="560603800"/>
        <c:axId val="560595272"/>
      </c:lineChart>
      <c:catAx>
        <c:axId val="560603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95272"/>
        <c:crosses val="autoZero"/>
        <c:auto val="1"/>
        <c:lblAlgn val="ctr"/>
        <c:lblOffset val="100"/>
        <c:noMultiLvlLbl val="0"/>
      </c:catAx>
      <c:valAx>
        <c:axId val="560595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603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6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DUSC_TABLE4_RESULTS!$C$6</c:f>
              <c:strCache>
                <c:ptCount val="1"/>
                <c:pt idx="0">
                  <c:v>Denosumab initiators - raw</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DUSC_TABLE4_RESULTS!$D$5:$I$5</c:f>
              <c:strCache>
                <c:ptCount val="6"/>
                <c:pt idx="0">
                  <c:v>2014</c:v>
                </c:pt>
                <c:pt idx="1">
                  <c:v>2015</c:v>
                </c:pt>
                <c:pt idx="2">
                  <c:v>2016</c:v>
                </c:pt>
                <c:pt idx="3">
                  <c:v>2017</c:v>
                </c:pt>
                <c:pt idx="4">
                  <c:v>2018</c:v>
                </c:pt>
                <c:pt idx="5">
                  <c:v>To June 2019*</c:v>
                </c:pt>
              </c:strCache>
            </c:strRef>
          </c:cat>
          <c:val>
            <c:numRef>
              <c:f>DUSC_TABLE4_RESULTS!$D$6:$I$6</c:f>
              <c:numCache>
                <c:formatCode>General</c:formatCode>
                <c:ptCount val="6"/>
                <c:pt idx="0">
                  <c:v>2.8008000000000002</c:v>
                </c:pt>
                <c:pt idx="1">
                  <c:v>3.3565999999999998</c:v>
                </c:pt>
                <c:pt idx="2">
                  <c:v>3.61</c:v>
                </c:pt>
                <c:pt idx="3">
                  <c:v>3.8325999999999998</c:v>
                </c:pt>
                <c:pt idx="4">
                  <c:v>3.7589999999999999</c:v>
                </c:pt>
                <c:pt idx="5">
                  <c:v>3.4033000000000002</c:v>
                </c:pt>
              </c:numCache>
            </c:numRef>
          </c:val>
          <c:smooth val="0"/>
          <c:extLst>
            <c:ext xmlns:c16="http://schemas.microsoft.com/office/drawing/2014/chart" uri="{C3380CC4-5D6E-409C-BE32-E72D297353CC}">
              <c16:uniqueId val="{00000000-1D0C-43E7-B4F5-6D86D99F1C75}"/>
            </c:ext>
          </c:extLst>
        </c:ser>
        <c:ser>
          <c:idx val="1"/>
          <c:order val="1"/>
          <c:tx>
            <c:strRef>
              <c:f>DUSC_TABLE4_RESULTS!$C$7</c:f>
              <c:strCache>
                <c:ptCount val="1"/>
                <c:pt idx="0">
                  <c:v>Prevalent to denosumab - raw</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cat>
            <c:strRef>
              <c:f>DUSC_TABLE4_RESULTS!$D$5:$I$5</c:f>
              <c:strCache>
                <c:ptCount val="6"/>
                <c:pt idx="0">
                  <c:v>2014</c:v>
                </c:pt>
                <c:pt idx="1">
                  <c:v>2015</c:v>
                </c:pt>
                <c:pt idx="2">
                  <c:v>2016</c:v>
                </c:pt>
                <c:pt idx="3">
                  <c:v>2017</c:v>
                </c:pt>
                <c:pt idx="4">
                  <c:v>2018</c:v>
                </c:pt>
                <c:pt idx="5">
                  <c:v>To June 2019*</c:v>
                </c:pt>
              </c:strCache>
            </c:strRef>
          </c:cat>
          <c:val>
            <c:numRef>
              <c:f>DUSC_TABLE4_RESULTS!$D$7:$I$7</c:f>
              <c:numCache>
                <c:formatCode>General</c:formatCode>
                <c:ptCount val="6"/>
                <c:pt idx="0">
                  <c:v>5.0221999999999998</c:v>
                </c:pt>
                <c:pt idx="1">
                  <c:v>7.6726000000000001</c:v>
                </c:pt>
                <c:pt idx="2">
                  <c:v>10.242699999999999</c:v>
                </c:pt>
                <c:pt idx="3">
                  <c:v>12.834</c:v>
                </c:pt>
                <c:pt idx="4">
                  <c:v>15.0572</c:v>
                </c:pt>
                <c:pt idx="5">
                  <c:v>13.4567</c:v>
                </c:pt>
              </c:numCache>
            </c:numRef>
          </c:val>
          <c:smooth val="0"/>
          <c:extLst>
            <c:ext xmlns:c16="http://schemas.microsoft.com/office/drawing/2014/chart" uri="{C3380CC4-5D6E-409C-BE32-E72D297353CC}">
              <c16:uniqueId val="{00000001-1D0C-43E7-B4F5-6D86D99F1C75}"/>
            </c:ext>
          </c:extLst>
        </c:ser>
        <c:ser>
          <c:idx val="2"/>
          <c:order val="2"/>
          <c:tx>
            <c:strRef>
              <c:f>DUSC_TABLE4_RESULTS!$C$8</c:f>
              <c:strCache>
                <c:ptCount val="1"/>
                <c:pt idx="0">
                  <c:v>Denosumab initiators - age adjusted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DUSC_TABLE4_RESULTS!$D$5:$I$5</c:f>
              <c:strCache>
                <c:ptCount val="6"/>
                <c:pt idx="0">
                  <c:v>2014</c:v>
                </c:pt>
                <c:pt idx="1">
                  <c:v>2015</c:v>
                </c:pt>
                <c:pt idx="2">
                  <c:v>2016</c:v>
                </c:pt>
                <c:pt idx="3">
                  <c:v>2017</c:v>
                </c:pt>
                <c:pt idx="4">
                  <c:v>2018</c:v>
                </c:pt>
                <c:pt idx="5">
                  <c:v>To June 2019*</c:v>
                </c:pt>
              </c:strCache>
            </c:strRef>
          </c:cat>
          <c:val>
            <c:numRef>
              <c:f>DUSC_TABLE4_RESULTS!$D$8:$I$8</c:f>
              <c:numCache>
                <c:formatCode>General</c:formatCode>
                <c:ptCount val="6"/>
                <c:pt idx="0">
                  <c:v>2.4892077721571</c:v>
                </c:pt>
                <c:pt idx="1">
                  <c:v>2.9365813620588099</c:v>
                </c:pt>
                <c:pt idx="2">
                  <c:v>3.1168443111634199</c:v>
                </c:pt>
                <c:pt idx="3">
                  <c:v>3.2461760055950801</c:v>
                </c:pt>
                <c:pt idx="4">
                  <c:v>3.1229871755502798</c:v>
                </c:pt>
                <c:pt idx="5">
                  <c:v>2.77248508348963</c:v>
                </c:pt>
              </c:numCache>
            </c:numRef>
          </c:val>
          <c:smooth val="0"/>
          <c:extLst>
            <c:ext xmlns:c16="http://schemas.microsoft.com/office/drawing/2014/chart" uri="{C3380CC4-5D6E-409C-BE32-E72D297353CC}">
              <c16:uniqueId val="{00000002-1D0C-43E7-B4F5-6D86D99F1C75}"/>
            </c:ext>
          </c:extLst>
        </c:ser>
        <c:ser>
          <c:idx val="3"/>
          <c:order val="3"/>
          <c:tx>
            <c:strRef>
              <c:f>DUSC_TABLE4_RESULTS!$C$9</c:f>
              <c:strCache>
                <c:ptCount val="1"/>
                <c:pt idx="0">
                  <c:v>Prevalent to denosumab - age adjusted</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DUSC_TABLE4_RESULTS!$D$5:$I$5</c:f>
              <c:strCache>
                <c:ptCount val="6"/>
                <c:pt idx="0">
                  <c:v>2014</c:v>
                </c:pt>
                <c:pt idx="1">
                  <c:v>2015</c:v>
                </c:pt>
                <c:pt idx="2">
                  <c:v>2016</c:v>
                </c:pt>
                <c:pt idx="3">
                  <c:v>2017</c:v>
                </c:pt>
                <c:pt idx="4">
                  <c:v>2018</c:v>
                </c:pt>
                <c:pt idx="5">
                  <c:v>To June 2019*</c:v>
                </c:pt>
              </c:strCache>
            </c:strRef>
          </c:cat>
          <c:val>
            <c:numRef>
              <c:f>DUSC_TABLE4_RESULTS!$D$9:$I$9</c:f>
              <c:numCache>
                <c:formatCode>General</c:formatCode>
                <c:ptCount val="6"/>
                <c:pt idx="0">
                  <c:v>4.4593161132768797</c:v>
                </c:pt>
                <c:pt idx="1">
                  <c:v>6.7161810991582103</c:v>
                </c:pt>
                <c:pt idx="2">
                  <c:v>8.8438618485463998</c:v>
                </c:pt>
                <c:pt idx="3">
                  <c:v>10.8503747328527</c:v>
                </c:pt>
                <c:pt idx="4">
                  <c:v>12.480698972036301</c:v>
                </c:pt>
                <c:pt idx="5">
                  <c:v>10.9309201359357</c:v>
                </c:pt>
              </c:numCache>
            </c:numRef>
          </c:val>
          <c:smooth val="0"/>
          <c:extLst>
            <c:ext xmlns:c16="http://schemas.microsoft.com/office/drawing/2014/chart" uri="{C3380CC4-5D6E-409C-BE32-E72D297353CC}">
              <c16:uniqueId val="{00000003-1D0C-43E7-B4F5-6D86D99F1C75}"/>
            </c:ext>
          </c:extLst>
        </c:ser>
        <c:dLbls>
          <c:showLegendKey val="0"/>
          <c:showVal val="0"/>
          <c:showCatName val="0"/>
          <c:showSerName val="0"/>
          <c:showPercent val="0"/>
          <c:showBubbleSize val="0"/>
        </c:dLbls>
        <c:marker val="1"/>
        <c:smooth val="0"/>
        <c:axId val="378576928"/>
        <c:axId val="378574632"/>
      </c:lineChart>
      <c:catAx>
        <c:axId val="37857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74632"/>
        <c:crosses val="autoZero"/>
        <c:auto val="1"/>
        <c:lblAlgn val="ctr"/>
        <c:lblOffset val="100"/>
        <c:noMultiLvlLbl val="0"/>
      </c:catAx>
      <c:valAx>
        <c:axId val="378574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per 1,000</a:t>
                </a:r>
                <a:r>
                  <a:rPr lang="en-AU" baseline="0"/>
                  <a:t> population</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76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cked"/>
        <c:varyColors val="0"/>
        <c:ser>
          <c:idx val="0"/>
          <c:order val="0"/>
          <c:tx>
            <c:strRef>
              <c:f>'Table 7 figures'!$A$9</c:f>
              <c:strCache>
                <c:ptCount val="1"/>
                <c:pt idx="0">
                  <c:v>Bisphosphonates</c:v>
                </c:pt>
              </c:strCache>
            </c:strRef>
          </c:tx>
          <c:spPr>
            <a:solidFill>
              <a:schemeClr val="accent1"/>
            </a:solidFill>
            <a:ln>
              <a:noFill/>
            </a:ln>
            <a:effectLst/>
          </c:spPr>
          <c:cat>
            <c:numRef>
              <c:f>'Table 7 figures'!$B$8:$F$8</c:f>
              <c:numCache>
                <c:formatCode>General</c:formatCode>
                <c:ptCount val="5"/>
                <c:pt idx="0">
                  <c:v>2014</c:v>
                </c:pt>
                <c:pt idx="1">
                  <c:v>2015</c:v>
                </c:pt>
                <c:pt idx="2">
                  <c:v>2016</c:v>
                </c:pt>
                <c:pt idx="3">
                  <c:v>2017</c:v>
                </c:pt>
                <c:pt idx="4">
                  <c:v>2018</c:v>
                </c:pt>
              </c:numCache>
            </c:numRef>
          </c:cat>
          <c:val>
            <c:numRef>
              <c:f>'Table 7 figures'!$B$9:$F$9</c:f>
              <c:numCache>
                <c:formatCode>#,##0</c:formatCode>
                <c:ptCount val="5"/>
                <c:pt idx="0">
                  <c:v>15031</c:v>
                </c:pt>
                <c:pt idx="1">
                  <c:v>13360</c:v>
                </c:pt>
                <c:pt idx="2">
                  <c:v>11510</c:v>
                </c:pt>
                <c:pt idx="3">
                  <c:v>10088</c:v>
                </c:pt>
                <c:pt idx="4">
                  <c:v>9200</c:v>
                </c:pt>
              </c:numCache>
            </c:numRef>
          </c:val>
          <c:extLst>
            <c:ext xmlns:c16="http://schemas.microsoft.com/office/drawing/2014/chart" uri="{C3380CC4-5D6E-409C-BE32-E72D297353CC}">
              <c16:uniqueId val="{00000000-1632-4FE4-A387-2DD470669515}"/>
            </c:ext>
          </c:extLst>
        </c:ser>
        <c:ser>
          <c:idx val="1"/>
          <c:order val="1"/>
          <c:tx>
            <c:strRef>
              <c:f>'Table 7 figures'!$A$10</c:f>
              <c:strCache>
                <c:ptCount val="1"/>
                <c:pt idx="0">
                  <c:v>Calcitriol</c:v>
                </c:pt>
              </c:strCache>
            </c:strRef>
          </c:tx>
          <c:spPr>
            <a:solidFill>
              <a:schemeClr val="accent2"/>
            </a:solidFill>
            <a:ln>
              <a:noFill/>
            </a:ln>
            <a:effectLst/>
          </c:spPr>
          <c:cat>
            <c:numRef>
              <c:f>'Table 7 figures'!$B$8:$F$8</c:f>
              <c:numCache>
                <c:formatCode>General</c:formatCode>
                <c:ptCount val="5"/>
                <c:pt idx="0">
                  <c:v>2014</c:v>
                </c:pt>
                <c:pt idx="1">
                  <c:v>2015</c:v>
                </c:pt>
                <c:pt idx="2">
                  <c:v>2016</c:v>
                </c:pt>
                <c:pt idx="3">
                  <c:v>2017</c:v>
                </c:pt>
                <c:pt idx="4">
                  <c:v>2018</c:v>
                </c:pt>
              </c:numCache>
            </c:numRef>
          </c:cat>
          <c:val>
            <c:numRef>
              <c:f>'Table 7 figures'!$B$10:$F$10</c:f>
              <c:numCache>
                <c:formatCode>#,##0</c:formatCode>
                <c:ptCount val="5"/>
                <c:pt idx="0">
                  <c:v>3285</c:v>
                </c:pt>
                <c:pt idx="1">
                  <c:v>3157</c:v>
                </c:pt>
                <c:pt idx="2">
                  <c:v>3171</c:v>
                </c:pt>
                <c:pt idx="3">
                  <c:v>3186</c:v>
                </c:pt>
                <c:pt idx="4">
                  <c:v>3168</c:v>
                </c:pt>
              </c:numCache>
            </c:numRef>
          </c:val>
          <c:extLst>
            <c:ext xmlns:c16="http://schemas.microsoft.com/office/drawing/2014/chart" uri="{C3380CC4-5D6E-409C-BE32-E72D297353CC}">
              <c16:uniqueId val="{00000001-1632-4FE4-A387-2DD470669515}"/>
            </c:ext>
          </c:extLst>
        </c:ser>
        <c:ser>
          <c:idx val="2"/>
          <c:order val="2"/>
          <c:tx>
            <c:strRef>
              <c:f>'Table 7 figures'!$A$11</c:f>
              <c:strCache>
                <c:ptCount val="1"/>
                <c:pt idx="0">
                  <c:v>Denosumab</c:v>
                </c:pt>
              </c:strCache>
            </c:strRef>
          </c:tx>
          <c:spPr>
            <a:solidFill>
              <a:schemeClr val="accent3"/>
            </a:solidFill>
            <a:ln>
              <a:noFill/>
            </a:ln>
            <a:effectLst/>
          </c:spPr>
          <c:cat>
            <c:numRef>
              <c:f>'Table 7 figures'!$B$8:$F$8</c:f>
              <c:numCache>
                <c:formatCode>General</c:formatCode>
                <c:ptCount val="5"/>
                <c:pt idx="0">
                  <c:v>2014</c:v>
                </c:pt>
                <c:pt idx="1">
                  <c:v>2015</c:v>
                </c:pt>
                <c:pt idx="2">
                  <c:v>2016</c:v>
                </c:pt>
                <c:pt idx="3">
                  <c:v>2017</c:v>
                </c:pt>
                <c:pt idx="4">
                  <c:v>2018</c:v>
                </c:pt>
              </c:numCache>
            </c:numRef>
          </c:cat>
          <c:val>
            <c:numRef>
              <c:f>'Table 7 figures'!$B$11:$F$11</c:f>
              <c:numCache>
                <c:formatCode>#,##0</c:formatCode>
                <c:ptCount val="5"/>
                <c:pt idx="0">
                  <c:v>11790</c:v>
                </c:pt>
                <c:pt idx="1">
                  <c:v>18273</c:v>
                </c:pt>
                <c:pt idx="2">
                  <c:v>24778</c:v>
                </c:pt>
                <c:pt idx="3">
                  <c:v>31574</c:v>
                </c:pt>
                <c:pt idx="4">
                  <c:v>37617</c:v>
                </c:pt>
              </c:numCache>
            </c:numRef>
          </c:val>
          <c:extLst>
            <c:ext xmlns:c16="http://schemas.microsoft.com/office/drawing/2014/chart" uri="{C3380CC4-5D6E-409C-BE32-E72D297353CC}">
              <c16:uniqueId val="{00000002-1632-4FE4-A387-2DD470669515}"/>
            </c:ext>
          </c:extLst>
        </c:ser>
        <c:ser>
          <c:idx val="3"/>
          <c:order val="3"/>
          <c:tx>
            <c:strRef>
              <c:f>'Table 7 figures'!$A$12</c:f>
              <c:strCache>
                <c:ptCount val="1"/>
                <c:pt idx="0">
                  <c:v>Other osteoporosis medicines†</c:v>
                </c:pt>
              </c:strCache>
            </c:strRef>
          </c:tx>
          <c:spPr>
            <a:solidFill>
              <a:schemeClr val="accent4"/>
            </a:solidFill>
            <a:ln>
              <a:noFill/>
            </a:ln>
            <a:effectLst/>
          </c:spPr>
          <c:cat>
            <c:numRef>
              <c:f>'Table 7 figures'!$B$8:$F$8</c:f>
              <c:numCache>
                <c:formatCode>General</c:formatCode>
                <c:ptCount val="5"/>
                <c:pt idx="0">
                  <c:v>2014</c:v>
                </c:pt>
                <c:pt idx="1">
                  <c:v>2015</c:v>
                </c:pt>
                <c:pt idx="2">
                  <c:v>2016</c:v>
                </c:pt>
                <c:pt idx="3">
                  <c:v>2017</c:v>
                </c:pt>
                <c:pt idx="4">
                  <c:v>2018</c:v>
                </c:pt>
              </c:numCache>
            </c:numRef>
          </c:cat>
          <c:val>
            <c:numRef>
              <c:f>'Table 7 figures'!$B$12:$F$12</c:f>
              <c:numCache>
                <c:formatCode>#,##0</c:formatCode>
                <c:ptCount val="5"/>
                <c:pt idx="0">
                  <c:v>4411</c:v>
                </c:pt>
                <c:pt idx="1">
                  <c:v>2556</c:v>
                </c:pt>
                <c:pt idx="2">
                  <c:v>1690</c:v>
                </c:pt>
                <c:pt idx="3">
                  <c:v>969</c:v>
                </c:pt>
                <c:pt idx="4">
                  <c:v>874</c:v>
                </c:pt>
              </c:numCache>
            </c:numRef>
          </c:val>
          <c:extLst>
            <c:ext xmlns:c16="http://schemas.microsoft.com/office/drawing/2014/chart" uri="{C3380CC4-5D6E-409C-BE32-E72D297353CC}">
              <c16:uniqueId val="{00000003-1632-4FE4-A387-2DD470669515}"/>
            </c:ext>
          </c:extLst>
        </c:ser>
        <c:dLbls>
          <c:showLegendKey val="0"/>
          <c:showVal val="0"/>
          <c:showCatName val="0"/>
          <c:showSerName val="0"/>
          <c:showPercent val="0"/>
          <c:showBubbleSize val="0"/>
        </c:dLbls>
        <c:axId val="961050792"/>
        <c:axId val="961051120"/>
      </c:areaChart>
      <c:catAx>
        <c:axId val="961050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051120"/>
        <c:crosses val="autoZero"/>
        <c:auto val="1"/>
        <c:lblAlgn val="ctr"/>
        <c:lblOffset val="100"/>
        <c:noMultiLvlLbl val="0"/>
      </c:catAx>
      <c:valAx>
        <c:axId val="96105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05079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cked"/>
        <c:varyColors val="0"/>
        <c:ser>
          <c:idx val="0"/>
          <c:order val="0"/>
          <c:tx>
            <c:strRef>
              <c:f>'Table 7 figures'!$A$2</c:f>
              <c:strCache>
                <c:ptCount val="1"/>
                <c:pt idx="0">
                  <c:v>&lt;50</c:v>
                </c:pt>
              </c:strCache>
            </c:strRef>
          </c:tx>
          <c:spPr>
            <a:solidFill>
              <a:schemeClr val="accent1"/>
            </a:solidFill>
            <a:ln>
              <a:noFill/>
            </a:ln>
            <a:effectLst/>
          </c:spPr>
          <c:cat>
            <c:numRef>
              <c:f>'Table 7 figures'!$B$1:$F$1</c:f>
              <c:numCache>
                <c:formatCode>General</c:formatCode>
                <c:ptCount val="5"/>
                <c:pt idx="0">
                  <c:v>2014</c:v>
                </c:pt>
                <c:pt idx="1">
                  <c:v>2015</c:v>
                </c:pt>
                <c:pt idx="2">
                  <c:v>2016</c:v>
                </c:pt>
                <c:pt idx="3">
                  <c:v>2017</c:v>
                </c:pt>
                <c:pt idx="4">
                  <c:v>2018</c:v>
                </c:pt>
              </c:numCache>
            </c:numRef>
          </c:cat>
          <c:val>
            <c:numRef>
              <c:f>'Table 7 figures'!$B$2:$F$2</c:f>
              <c:numCache>
                <c:formatCode>#,##0</c:formatCode>
                <c:ptCount val="5"/>
                <c:pt idx="0">
                  <c:v>1062</c:v>
                </c:pt>
                <c:pt idx="1">
                  <c:v>1104</c:v>
                </c:pt>
                <c:pt idx="2">
                  <c:v>1127</c:v>
                </c:pt>
                <c:pt idx="3">
                  <c:v>1183</c:v>
                </c:pt>
                <c:pt idx="4">
                  <c:v>1194</c:v>
                </c:pt>
              </c:numCache>
            </c:numRef>
          </c:val>
          <c:extLst>
            <c:ext xmlns:c16="http://schemas.microsoft.com/office/drawing/2014/chart" uri="{C3380CC4-5D6E-409C-BE32-E72D297353CC}">
              <c16:uniqueId val="{00000000-A72E-4938-933E-3948070CC64F}"/>
            </c:ext>
          </c:extLst>
        </c:ser>
        <c:ser>
          <c:idx val="1"/>
          <c:order val="1"/>
          <c:tx>
            <c:strRef>
              <c:f>'Table 7 figures'!$A$3</c:f>
              <c:strCache>
                <c:ptCount val="1"/>
                <c:pt idx="0">
                  <c:v>50–59</c:v>
                </c:pt>
              </c:strCache>
            </c:strRef>
          </c:tx>
          <c:spPr>
            <a:solidFill>
              <a:schemeClr val="accent2"/>
            </a:solidFill>
            <a:ln>
              <a:solidFill>
                <a:schemeClr val="accent2"/>
              </a:solidFill>
            </a:ln>
            <a:effectLst/>
          </c:spPr>
          <c:cat>
            <c:numRef>
              <c:f>'Table 7 figures'!$B$1:$F$1</c:f>
              <c:numCache>
                <c:formatCode>General</c:formatCode>
                <c:ptCount val="5"/>
                <c:pt idx="0">
                  <c:v>2014</c:v>
                </c:pt>
                <c:pt idx="1">
                  <c:v>2015</c:v>
                </c:pt>
                <c:pt idx="2">
                  <c:v>2016</c:v>
                </c:pt>
                <c:pt idx="3">
                  <c:v>2017</c:v>
                </c:pt>
                <c:pt idx="4">
                  <c:v>2018</c:v>
                </c:pt>
              </c:numCache>
            </c:numRef>
          </c:cat>
          <c:val>
            <c:numRef>
              <c:f>'Table 7 figures'!$B$3:$F$3</c:f>
              <c:numCache>
                <c:formatCode>#,##0</c:formatCode>
                <c:ptCount val="5"/>
                <c:pt idx="0">
                  <c:v>2497</c:v>
                </c:pt>
                <c:pt idx="1">
                  <c:v>2567</c:v>
                </c:pt>
                <c:pt idx="2">
                  <c:v>2776</c:v>
                </c:pt>
                <c:pt idx="3">
                  <c:v>2852</c:v>
                </c:pt>
                <c:pt idx="4">
                  <c:v>2959</c:v>
                </c:pt>
              </c:numCache>
            </c:numRef>
          </c:val>
          <c:extLst>
            <c:ext xmlns:c16="http://schemas.microsoft.com/office/drawing/2014/chart" uri="{C3380CC4-5D6E-409C-BE32-E72D297353CC}">
              <c16:uniqueId val="{00000001-A72E-4938-933E-3948070CC64F}"/>
            </c:ext>
          </c:extLst>
        </c:ser>
        <c:ser>
          <c:idx val="2"/>
          <c:order val="2"/>
          <c:tx>
            <c:strRef>
              <c:f>'Table 7 figures'!$A$4</c:f>
              <c:strCache>
                <c:ptCount val="1"/>
                <c:pt idx="0">
                  <c:v>60–69</c:v>
                </c:pt>
              </c:strCache>
            </c:strRef>
          </c:tx>
          <c:spPr>
            <a:solidFill>
              <a:schemeClr val="accent4"/>
            </a:solidFill>
            <a:ln>
              <a:solidFill>
                <a:schemeClr val="accent4"/>
              </a:solidFill>
            </a:ln>
            <a:effectLst/>
          </c:spPr>
          <c:cat>
            <c:numRef>
              <c:f>'Table 7 figures'!$B$1:$F$1</c:f>
              <c:numCache>
                <c:formatCode>General</c:formatCode>
                <c:ptCount val="5"/>
                <c:pt idx="0">
                  <c:v>2014</c:v>
                </c:pt>
                <c:pt idx="1">
                  <c:v>2015</c:v>
                </c:pt>
                <c:pt idx="2">
                  <c:v>2016</c:v>
                </c:pt>
                <c:pt idx="3">
                  <c:v>2017</c:v>
                </c:pt>
                <c:pt idx="4">
                  <c:v>2018</c:v>
                </c:pt>
              </c:numCache>
            </c:numRef>
          </c:cat>
          <c:val>
            <c:numRef>
              <c:f>'Table 7 figures'!$B$4:$F$4</c:f>
              <c:numCache>
                <c:formatCode>#,##0</c:formatCode>
                <c:ptCount val="5"/>
                <c:pt idx="0">
                  <c:v>6854</c:v>
                </c:pt>
                <c:pt idx="1">
                  <c:v>7423</c:v>
                </c:pt>
                <c:pt idx="2">
                  <c:v>7982</c:v>
                </c:pt>
                <c:pt idx="3">
                  <c:v>8618</c:v>
                </c:pt>
                <c:pt idx="4">
                  <c:v>9304</c:v>
                </c:pt>
              </c:numCache>
            </c:numRef>
          </c:val>
          <c:extLst>
            <c:ext xmlns:c16="http://schemas.microsoft.com/office/drawing/2014/chart" uri="{C3380CC4-5D6E-409C-BE32-E72D297353CC}">
              <c16:uniqueId val="{00000002-A72E-4938-933E-3948070CC64F}"/>
            </c:ext>
          </c:extLst>
        </c:ser>
        <c:ser>
          <c:idx val="3"/>
          <c:order val="3"/>
          <c:tx>
            <c:strRef>
              <c:f>'Table 7 figures'!$A$5</c:f>
              <c:strCache>
                <c:ptCount val="1"/>
                <c:pt idx="0">
                  <c:v>70+</c:v>
                </c:pt>
              </c:strCache>
            </c:strRef>
          </c:tx>
          <c:spPr>
            <a:solidFill>
              <a:schemeClr val="accent6"/>
            </a:solidFill>
            <a:ln>
              <a:noFill/>
            </a:ln>
            <a:effectLst/>
          </c:spPr>
          <c:cat>
            <c:numRef>
              <c:f>'Table 7 figures'!$B$1:$F$1</c:f>
              <c:numCache>
                <c:formatCode>General</c:formatCode>
                <c:ptCount val="5"/>
                <c:pt idx="0">
                  <c:v>2014</c:v>
                </c:pt>
                <c:pt idx="1">
                  <c:v>2015</c:v>
                </c:pt>
                <c:pt idx="2">
                  <c:v>2016</c:v>
                </c:pt>
                <c:pt idx="3">
                  <c:v>2017</c:v>
                </c:pt>
                <c:pt idx="4">
                  <c:v>2018</c:v>
                </c:pt>
              </c:numCache>
            </c:numRef>
          </c:cat>
          <c:val>
            <c:numRef>
              <c:f>'Table 7 figures'!$B$5:$F$5</c:f>
              <c:numCache>
                <c:formatCode>#,##0</c:formatCode>
                <c:ptCount val="5"/>
                <c:pt idx="0">
                  <c:v>24104</c:v>
                </c:pt>
                <c:pt idx="1">
                  <c:v>26252</c:v>
                </c:pt>
                <c:pt idx="2">
                  <c:v>29264</c:v>
                </c:pt>
                <c:pt idx="3">
                  <c:v>33164</c:v>
                </c:pt>
                <c:pt idx="4">
                  <c:v>37402</c:v>
                </c:pt>
              </c:numCache>
            </c:numRef>
          </c:val>
          <c:extLst>
            <c:ext xmlns:c16="http://schemas.microsoft.com/office/drawing/2014/chart" uri="{C3380CC4-5D6E-409C-BE32-E72D297353CC}">
              <c16:uniqueId val="{00000003-A72E-4938-933E-3948070CC64F}"/>
            </c:ext>
          </c:extLst>
        </c:ser>
        <c:dLbls>
          <c:showLegendKey val="0"/>
          <c:showVal val="0"/>
          <c:showCatName val="0"/>
          <c:showSerName val="0"/>
          <c:showPercent val="0"/>
          <c:showBubbleSize val="0"/>
        </c:dLbls>
        <c:axId val="969203920"/>
        <c:axId val="969207200"/>
      </c:areaChart>
      <c:catAx>
        <c:axId val="969203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207200"/>
        <c:crosses val="autoZero"/>
        <c:auto val="1"/>
        <c:lblAlgn val="ctr"/>
        <c:lblOffset val="100"/>
        <c:noMultiLvlLbl val="0"/>
      </c:catAx>
      <c:valAx>
        <c:axId val="969207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20392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50 to 59 years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DUSC_TABLE7_RESULTS!$E$53</c:f>
              <c:strCache>
                <c:ptCount val="1"/>
                <c:pt idx="0">
                  <c:v>Alendronate (incl combination products)</c:v>
                </c:pt>
              </c:strCache>
            </c:strRef>
          </c:tx>
          <c:spPr>
            <a:solidFill>
              <a:schemeClr val="accent1"/>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DUSC_TABLE7_RESULTS!$F$53:$K$53</c:f>
              <c:numCache>
                <c:formatCode>#,##0</c:formatCode>
                <c:ptCount val="5"/>
                <c:pt idx="0">
                  <c:v>479</c:v>
                </c:pt>
                <c:pt idx="1">
                  <c:v>455</c:v>
                </c:pt>
                <c:pt idx="2">
                  <c:v>428</c:v>
                </c:pt>
                <c:pt idx="3">
                  <c:v>387</c:v>
                </c:pt>
                <c:pt idx="4" formatCode="General">
                  <c:v>331</c:v>
                </c:pt>
              </c:numCache>
              <c:extLst/>
            </c:numRef>
          </c:val>
          <c:extLst>
            <c:ext xmlns:c16="http://schemas.microsoft.com/office/drawing/2014/chart" uri="{C3380CC4-5D6E-409C-BE32-E72D297353CC}">
              <c16:uniqueId val="{00000000-6863-413D-AFC4-6873CFD4A956}"/>
            </c:ext>
          </c:extLst>
        </c:ser>
        <c:ser>
          <c:idx val="1"/>
          <c:order val="1"/>
          <c:tx>
            <c:strRef>
              <c:f>DUSC_TABLE7_RESULTS!$E$54</c:f>
              <c:strCache>
                <c:ptCount val="1"/>
                <c:pt idx="0">
                  <c:v>Calcitriol</c:v>
                </c:pt>
              </c:strCache>
            </c:strRef>
          </c:tx>
          <c:spPr>
            <a:solidFill>
              <a:schemeClr val="accent2"/>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DUSC_TABLE7_RESULTS!$F$54:$K$54</c:f>
              <c:numCache>
                <c:formatCode>General</c:formatCode>
                <c:ptCount val="5"/>
                <c:pt idx="0">
                  <c:v>459</c:v>
                </c:pt>
                <c:pt idx="1">
                  <c:v>455</c:v>
                </c:pt>
                <c:pt idx="2">
                  <c:v>465</c:v>
                </c:pt>
                <c:pt idx="3">
                  <c:v>438</c:v>
                </c:pt>
                <c:pt idx="4">
                  <c:v>474</c:v>
                </c:pt>
              </c:numCache>
              <c:extLst/>
            </c:numRef>
          </c:val>
          <c:extLst>
            <c:ext xmlns:c16="http://schemas.microsoft.com/office/drawing/2014/chart" uri="{C3380CC4-5D6E-409C-BE32-E72D297353CC}">
              <c16:uniqueId val="{00000001-6863-413D-AFC4-6873CFD4A956}"/>
            </c:ext>
          </c:extLst>
        </c:ser>
        <c:ser>
          <c:idx val="2"/>
          <c:order val="2"/>
          <c:tx>
            <c:strRef>
              <c:f>DUSC_TABLE7_RESULTS!$E$55</c:f>
              <c:strCache>
                <c:ptCount val="1"/>
                <c:pt idx="0">
                  <c:v>Denosumab</c:v>
                </c:pt>
              </c:strCache>
            </c:strRef>
          </c:tx>
          <c:spPr>
            <a:solidFill>
              <a:schemeClr val="accent3"/>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DUSC_TABLE7_RESULTS!$F$55:$K$55</c:f>
              <c:numCache>
                <c:formatCode>#,##0</c:formatCode>
                <c:ptCount val="5"/>
                <c:pt idx="0">
                  <c:v>720</c:v>
                </c:pt>
                <c:pt idx="1">
                  <c:v>1033</c:v>
                </c:pt>
                <c:pt idx="2">
                  <c:v>1379</c:v>
                </c:pt>
                <c:pt idx="3">
                  <c:v>1601</c:v>
                </c:pt>
                <c:pt idx="4">
                  <c:v>1701</c:v>
                </c:pt>
              </c:numCache>
              <c:extLst/>
            </c:numRef>
          </c:val>
          <c:extLst>
            <c:ext xmlns:c16="http://schemas.microsoft.com/office/drawing/2014/chart" uri="{C3380CC4-5D6E-409C-BE32-E72D297353CC}">
              <c16:uniqueId val="{00000002-6863-413D-AFC4-6873CFD4A956}"/>
            </c:ext>
          </c:extLst>
        </c:ser>
        <c:ser>
          <c:idx val="3"/>
          <c:order val="3"/>
          <c:tx>
            <c:strRef>
              <c:f>DUSC_TABLE7_RESULTS!$E$56</c:f>
              <c:strCache>
                <c:ptCount val="1"/>
                <c:pt idx="0">
                  <c:v>Raloxifene</c:v>
                </c:pt>
              </c:strCache>
            </c:strRef>
          </c:tx>
          <c:spPr>
            <a:solidFill>
              <a:schemeClr val="accent4"/>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DUSC_TABLE7_RESULTS!$F$56:$K$56</c:f>
              <c:numCache>
                <c:formatCode>General</c:formatCode>
                <c:ptCount val="5"/>
                <c:pt idx="0">
                  <c:v>80</c:v>
                </c:pt>
                <c:pt idx="1">
                  <c:v>63</c:v>
                </c:pt>
                <c:pt idx="2">
                  <c:v>59</c:v>
                </c:pt>
                <c:pt idx="3">
                  <c:v>47</c:v>
                </c:pt>
                <c:pt idx="4">
                  <c:v>48</c:v>
                </c:pt>
              </c:numCache>
              <c:extLst/>
            </c:numRef>
          </c:val>
          <c:extLst>
            <c:ext xmlns:c16="http://schemas.microsoft.com/office/drawing/2014/chart" uri="{C3380CC4-5D6E-409C-BE32-E72D297353CC}">
              <c16:uniqueId val="{00000003-6863-413D-AFC4-6873CFD4A956}"/>
            </c:ext>
          </c:extLst>
        </c:ser>
        <c:ser>
          <c:idx val="4"/>
          <c:order val="4"/>
          <c:tx>
            <c:strRef>
              <c:f>DUSC_TABLE7_RESULTS!$E$57</c:f>
              <c:strCache>
                <c:ptCount val="1"/>
                <c:pt idx="0">
                  <c:v>Risedronate (incl combination products)</c:v>
                </c:pt>
              </c:strCache>
            </c:strRef>
          </c:tx>
          <c:spPr>
            <a:solidFill>
              <a:schemeClr val="accent5"/>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DUSC_TABLE7_RESULTS!$F$57:$K$57</c:f>
              <c:numCache>
                <c:formatCode>General</c:formatCode>
                <c:ptCount val="5"/>
                <c:pt idx="0">
                  <c:v>300</c:v>
                </c:pt>
                <c:pt idx="1">
                  <c:v>265</c:v>
                </c:pt>
                <c:pt idx="2">
                  <c:v>248</c:v>
                </c:pt>
                <c:pt idx="3">
                  <c:v>240</c:v>
                </c:pt>
                <c:pt idx="4">
                  <c:v>257</c:v>
                </c:pt>
              </c:numCache>
              <c:extLst/>
            </c:numRef>
          </c:val>
          <c:extLst>
            <c:ext xmlns:c16="http://schemas.microsoft.com/office/drawing/2014/chart" uri="{C3380CC4-5D6E-409C-BE32-E72D297353CC}">
              <c16:uniqueId val="{00000004-6863-413D-AFC4-6873CFD4A956}"/>
            </c:ext>
          </c:extLst>
        </c:ser>
        <c:ser>
          <c:idx val="5"/>
          <c:order val="5"/>
          <c:tx>
            <c:strRef>
              <c:f>DUSC_TABLE7_RESULTS!$E$58</c:f>
              <c:strCache>
                <c:ptCount val="1"/>
                <c:pt idx="0">
                  <c:v>Strontium ranelate (delisted August 2016)</c:v>
                </c:pt>
              </c:strCache>
            </c:strRef>
          </c:tx>
          <c:spPr>
            <a:solidFill>
              <a:schemeClr val="accent6"/>
            </a:solidFill>
            <a:ln>
              <a:noFill/>
            </a:ln>
            <a:effectLst/>
          </c:spPr>
          <c:cat>
            <c:strRef>
              <c:f>DUSC_TABLE7_RESULTS!$F$52:$K$52</c:f>
              <c:strCache>
                <c:ptCount val="5"/>
                <c:pt idx="0">
                  <c:v>2014</c:v>
                </c:pt>
                <c:pt idx="1">
                  <c:v>2015</c:v>
                </c:pt>
                <c:pt idx="2">
                  <c:v>2016</c:v>
                </c:pt>
                <c:pt idx="3">
                  <c:v>2017</c:v>
                </c:pt>
                <c:pt idx="4">
                  <c:v>2018</c:v>
                </c:pt>
              </c:strCache>
              <c:extLst/>
            </c:strRef>
          </c:cat>
          <c:val>
            <c:numRef>
              <c:f>DUSC_TABLE7_RESULTS!$F$58:$K$58</c:f>
              <c:numCache>
                <c:formatCode>General</c:formatCode>
                <c:ptCount val="5"/>
                <c:pt idx="0">
                  <c:v>190</c:v>
                </c:pt>
                <c:pt idx="1">
                  <c:v>80</c:v>
                </c:pt>
                <c:pt idx="2">
                  <c:v>26</c:v>
                </c:pt>
                <c:pt idx="3">
                  <c:v>0</c:v>
                </c:pt>
                <c:pt idx="4">
                  <c:v>0</c:v>
                </c:pt>
              </c:numCache>
              <c:extLst/>
            </c:numRef>
          </c:val>
          <c:extLst>
            <c:ext xmlns:c16="http://schemas.microsoft.com/office/drawing/2014/chart" uri="{C3380CC4-5D6E-409C-BE32-E72D297353CC}">
              <c16:uniqueId val="{00000005-6863-413D-AFC4-6873CFD4A956}"/>
            </c:ext>
          </c:extLst>
        </c:ser>
        <c:ser>
          <c:idx val="6"/>
          <c:order val="6"/>
          <c:tx>
            <c:strRef>
              <c:f>DUSC_TABLE7_RESULTS!$E$59</c:f>
              <c:strCache>
                <c:ptCount val="1"/>
                <c:pt idx="0">
                  <c:v>Teriparatide</c:v>
                </c:pt>
              </c:strCache>
            </c:strRef>
          </c:tx>
          <c:spPr>
            <a:solidFill>
              <a:schemeClr val="accent1">
                <a:lumMod val="60000"/>
              </a:schemeClr>
            </a:solidFill>
            <a:ln w="25400">
              <a:noFill/>
            </a:ln>
            <a:effectLst/>
          </c:spPr>
          <c:cat>
            <c:strRef>
              <c:f>DUSC_TABLE7_RESULTS!$F$52:$K$52</c:f>
              <c:strCache>
                <c:ptCount val="5"/>
                <c:pt idx="0">
                  <c:v>2014</c:v>
                </c:pt>
                <c:pt idx="1">
                  <c:v>2015</c:v>
                </c:pt>
                <c:pt idx="2">
                  <c:v>2016</c:v>
                </c:pt>
                <c:pt idx="3">
                  <c:v>2017</c:v>
                </c:pt>
                <c:pt idx="4">
                  <c:v>2018</c:v>
                </c:pt>
              </c:strCache>
              <c:extLst/>
            </c:strRef>
          </c:cat>
          <c:val>
            <c:numRef>
              <c:f>DUSC_TABLE7_RESULTS!$F$59:$K$59</c:f>
              <c:numCache>
                <c:formatCode>General</c:formatCode>
                <c:ptCount val="5"/>
                <c:pt idx="0">
                  <c:v>6</c:v>
                </c:pt>
                <c:pt idx="1">
                  <c:v>8</c:v>
                </c:pt>
                <c:pt idx="2">
                  <c:v>10</c:v>
                </c:pt>
                <c:pt idx="3">
                  <c:v>9</c:v>
                </c:pt>
                <c:pt idx="4">
                  <c:v>7</c:v>
                </c:pt>
              </c:numCache>
              <c:extLst/>
            </c:numRef>
          </c:val>
          <c:extLst>
            <c:ext xmlns:c16="http://schemas.microsoft.com/office/drawing/2014/chart" uri="{C3380CC4-5D6E-409C-BE32-E72D297353CC}">
              <c16:uniqueId val="{00000006-6863-413D-AFC4-6873CFD4A956}"/>
            </c:ext>
          </c:extLst>
        </c:ser>
        <c:ser>
          <c:idx val="7"/>
          <c:order val="7"/>
          <c:tx>
            <c:strRef>
              <c:f>DUSC_TABLE7_RESULTS!$E$60</c:f>
              <c:strCache>
                <c:ptCount val="1"/>
                <c:pt idx="0">
                  <c:v>Zoledronic acid</c:v>
                </c:pt>
              </c:strCache>
            </c:strRef>
          </c:tx>
          <c:spPr>
            <a:solidFill>
              <a:schemeClr val="accent2">
                <a:lumMod val="60000"/>
              </a:schemeClr>
            </a:solidFill>
            <a:ln w="25400">
              <a:noFill/>
            </a:ln>
            <a:effectLst/>
          </c:spPr>
          <c:cat>
            <c:strRef>
              <c:f>DUSC_TABLE7_RESULTS!$F$52:$K$52</c:f>
              <c:strCache>
                <c:ptCount val="5"/>
                <c:pt idx="0">
                  <c:v>2014</c:v>
                </c:pt>
                <c:pt idx="1">
                  <c:v>2015</c:v>
                </c:pt>
                <c:pt idx="2">
                  <c:v>2016</c:v>
                </c:pt>
                <c:pt idx="3">
                  <c:v>2017</c:v>
                </c:pt>
                <c:pt idx="4">
                  <c:v>2018</c:v>
                </c:pt>
              </c:strCache>
              <c:extLst/>
            </c:strRef>
          </c:cat>
          <c:val>
            <c:numRef>
              <c:f>DUSC_TABLE7_RESULTS!$F$60:$K$60</c:f>
              <c:numCache>
                <c:formatCode>General</c:formatCode>
                <c:ptCount val="5"/>
                <c:pt idx="0">
                  <c:v>263</c:v>
                </c:pt>
                <c:pt idx="1">
                  <c:v>208</c:v>
                </c:pt>
                <c:pt idx="2">
                  <c:v>161</c:v>
                </c:pt>
                <c:pt idx="3">
                  <c:v>130</c:v>
                </c:pt>
                <c:pt idx="4">
                  <c:v>141</c:v>
                </c:pt>
              </c:numCache>
              <c:extLst/>
            </c:numRef>
          </c:val>
          <c:extLst>
            <c:ext xmlns:c16="http://schemas.microsoft.com/office/drawing/2014/chart" uri="{C3380CC4-5D6E-409C-BE32-E72D297353CC}">
              <c16:uniqueId val="{00000007-6863-413D-AFC4-6873CFD4A956}"/>
            </c:ext>
          </c:extLst>
        </c:ser>
        <c:dLbls>
          <c:showLegendKey val="0"/>
          <c:showVal val="0"/>
          <c:showCatName val="0"/>
          <c:showSerName val="0"/>
          <c:showPercent val="0"/>
          <c:showBubbleSize val="0"/>
        </c:dLbls>
        <c:axId val="892447936"/>
        <c:axId val="892451544"/>
      </c:areaChart>
      <c:catAx>
        <c:axId val="892447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451544"/>
        <c:crosses val="autoZero"/>
        <c:auto val="1"/>
        <c:lblAlgn val="ctr"/>
        <c:lblOffset val="100"/>
        <c:noMultiLvlLbl val="0"/>
      </c:catAx>
      <c:valAx>
        <c:axId val="892451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44793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60 to 69 years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DUSC_TABLE7_RESULTS!$E$62</c:f>
              <c:strCache>
                <c:ptCount val="1"/>
                <c:pt idx="0">
                  <c:v>Alendronate (incl combination products)</c:v>
                </c:pt>
              </c:strCache>
            </c:strRef>
          </c:tx>
          <c:spPr>
            <a:solidFill>
              <a:schemeClr val="accent1"/>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DUSC_TABLE7_RESULTS!$F$62:$K$62</c:f>
              <c:numCache>
                <c:formatCode>#,##0</c:formatCode>
                <c:ptCount val="5"/>
                <c:pt idx="0">
                  <c:v>1503</c:v>
                </c:pt>
                <c:pt idx="1">
                  <c:v>1411</c:v>
                </c:pt>
                <c:pt idx="2">
                  <c:v>1237</c:v>
                </c:pt>
                <c:pt idx="3">
                  <c:v>1108</c:v>
                </c:pt>
                <c:pt idx="4" formatCode="General">
                  <c:v>953</c:v>
                </c:pt>
              </c:numCache>
              <c:extLst/>
            </c:numRef>
          </c:val>
          <c:extLst>
            <c:ext xmlns:c16="http://schemas.microsoft.com/office/drawing/2014/chart" uri="{C3380CC4-5D6E-409C-BE32-E72D297353CC}">
              <c16:uniqueId val="{00000000-0A67-4D3C-A19F-F1D73AFE3D7C}"/>
            </c:ext>
          </c:extLst>
        </c:ser>
        <c:ser>
          <c:idx val="1"/>
          <c:order val="1"/>
          <c:tx>
            <c:strRef>
              <c:f>DUSC_TABLE7_RESULTS!$E$63</c:f>
              <c:strCache>
                <c:ptCount val="1"/>
                <c:pt idx="0">
                  <c:v>Calcitriol</c:v>
                </c:pt>
              </c:strCache>
            </c:strRef>
          </c:tx>
          <c:spPr>
            <a:solidFill>
              <a:schemeClr val="accent2"/>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DUSC_TABLE7_RESULTS!$F$63:$K$63</c:f>
              <c:numCache>
                <c:formatCode>General</c:formatCode>
                <c:ptCount val="5"/>
                <c:pt idx="0">
                  <c:v>715</c:v>
                </c:pt>
                <c:pt idx="1">
                  <c:v>679</c:v>
                </c:pt>
                <c:pt idx="2">
                  <c:v>679</c:v>
                </c:pt>
                <c:pt idx="3">
                  <c:v>689</c:v>
                </c:pt>
                <c:pt idx="4">
                  <c:v>662</c:v>
                </c:pt>
              </c:numCache>
              <c:extLst/>
            </c:numRef>
          </c:val>
          <c:extLst>
            <c:ext xmlns:c16="http://schemas.microsoft.com/office/drawing/2014/chart" uri="{C3380CC4-5D6E-409C-BE32-E72D297353CC}">
              <c16:uniqueId val="{00000001-0A67-4D3C-A19F-F1D73AFE3D7C}"/>
            </c:ext>
          </c:extLst>
        </c:ser>
        <c:ser>
          <c:idx val="2"/>
          <c:order val="2"/>
          <c:tx>
            <c:strRef>
              <c:f>DUSC_TABLE7_RESULTS!$E$64</c:f>
              <c:strCache>
                <c:ptCount val="1"/>
                <c:pt idx="0">
                  <c:v>Denosumab</c:v>
                </c:pt>
              </c:strCache>
            </c:strRef>
          </c:tx>
          <c:spPr>
            <a:solidFill>
              <a:schemeClr val="accent3"/>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DUSC_TABLE7_RESULTS!$F$64:$K$64</c:f>
              <c:numCache>
                <c:formatCode>#,##0</c:formatCode>
                <c:ptCount val="5"/>
                <c:pt idx="0">
                  <c:v>2196</c:v>
                </c:pt>
                <c:pt idx="1">
                  <c:v>3394</c:v>
                </c:pt>
                <c:pt idx="2">
                  <c:v>4486</c:v>
                </c:pt>
                <c:pt idx="3">
                  <c:v>5509</c:v>
                </c:pt>
                <c:pt idx="4">
                  <c:v>6412</c:v>
                </c:pt>
              </c:numCache>
              <c:extLst/>
            </c:numRef>
          </c:val>
          <c:extLst>
            <c:ext xmlns:c16="http://schemas.microsoft.com/office/drawing/2014/chart" uri="{C3380CC4-5D6E-409C-BE32-E72D297353CC}">
              <c16:uniqueId val="{00000002-0A67-4D3C-A19F-F1D73AFE3D7C}"/>
            </c:ext>
          </c:extLst>
        </c:ser>
        <c:ser>
          <c:idx val="3"/>
          <c:order val="3"/>
          <c:tx>
            <c:strRef>
              <c:f>DUSC_TABLE7_RESULTS!$E$65</c:f>
              <c:strCache>
                <c:ptCount val="1"/>
                <c:pt idx="0">
                  <c:v>Raloxifene</c:v>
                </c:pt>
              </c:strCache>
            </c:strRef>
          </c:tx>
          <c:spPr>
            <a:solidFill>
              <a:schemeClr val="accent4"/>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DUSC_TABLE7_RESULTS!$F$65:$K$65</c:f>
              <c:numCache>
                <c:formatCode>General</c:formatCode>
                <c:ptCount val="5"/>
                <c:pt idx="0">
                  <c:v>296</c:v>
                </c:pt>
                <c:pt idx="1">
                  <c:v>265</c:v>
                </c:pt>
                <c:pt idx="2">
                  <c:v>219</c:v>
                </c:pt>
                <c:pt idx="3">
                  <c:v>178</c:v>
                </c:pt>
                <c:pt idx="4">
                  <c:v>147</c:v>
                </c:pt>
              </c:numCache>
              <c:extLst/>
            </c:numRef>
          </c:val>
          <c:extLst>
            <c:ext xmlns:c16="http://schemas.microsoft.com/office/drawing/2014/chart" uri="{C3380CC4-5D6E-409C-BE32-E72D297353CC}">
              <c16:uniqueId val="{00000003-0A67-4D3C-A19F-F1D73AFE3D7C}"/>
            </c:ext>
          </c:extLst>
        </c:ser>
        <c:ser>
          <c:idx val="4"/>
          <c:order val="4"/>
          <c:tx>
            <c:strRef>
              <c:f>DUSC_TABLE7_RESULTS!$E$66</c:f>
              <c:strCache>
                <c:ptCount val="1"/>
                <c:pt idx="0">
                  <c:v>Risedronate (incl combination products)</c:v>
                </c:pt>
              </c:strCache>
            </c:strRef>
          </c:tx>
          <c:spPr>
            <a:solidFill>
              <a:schemeClr val="accent5"/>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DUSC_TABLE7_RESULTS!$F$66:$K$66</c:f>
              <c:numCache>
                <c:formatCode>General</c:formatCode>
                <c:ptCount val="5"/>
                <c:pt idx="0">
                  <c:v>901</c:v>
                </c:pt>
                <c:pt idx="1">
                  <c:v>870</c:v>
                </c:pt>
                <c:pt idx="2">
                  <c:v>837</c:v>
                </c:pt>
                <c:pt idx="3">
                  <c:v>734</c:v>
                </c:pt>
                <c:pt idx="4">
                  <c:v>739</c:v>
                </c:pt>
              </c:numCache>
              <c:extLst/>
            </c:numRef>
          </c:val>
          <c:extLst>
            <c:ext xmlns:c16="http://schemas.microsoft.com/office/drawing/2014/chart" uri="{C3380CC4-5D6E-409C-BE32-E72D297353CC}">
              <c16:uniqueId val="{00000004-0A67-4D3C-A19F-F1D73AFE3D7C}"/>
            </c:ext>
          </c:extLst>
        </c:ser>
        <c:ser>
          <c:idx val="5"/>
          <c:order val="5"/>
          <c:tx>
            <c:strRef>
              <c:f>DUSC_TABLE7_RESULTS!$E$67</c:f>
              <c:strCache>
                <c:ptCount val="1"/>
                <c:pt idx="0">
                  <c:v>Strontium ranelate (delisted August 2016)</c:v>
                </c:pt>
              </c:strCache>
            </c:strRef>
          </c:tx>
          <c:spPr>
            <a:solidFill>
              <a:schemeClr val="accent6"/>
            </a:solidFill>
            <a:ln>
              <a:noFill/>
            </a:ln>
            <a:effectLst/>
          </c:spPr>
          <c:cat>
            <c:strRef>
              <c:f>DUSC_TABLE7_RESULTS!$F$61:$K$61</c:f>
              <c:strCache>
                <c:ptCount val="5"/>
                <c:pt idx="0">
                  <c:v>2014</c:v>
                </c:pt>
                <c:pt idx="1">
                  <c:v>2015</c:v>
                </c:pt>
                <c:pt idx="2">
                  <c:v>2016</c:v>
                </c:pt>
                <c:pt idx="3">
                  <c:v>2017</c:v>
                </c:pt>
                <c:pt idx="4">
                  <c:v>2018</c:v>
                </c:pt>
              </c:strCache>
              <c:extLst/>
            </c:strRef>
          </c:cat>
          <c:val>
            <c:numRef>
              <c:f>DUSC_TABLE7_RESULTS!$F$67:$K$67</c:f>
              <c:numCache>
                <c:formatCode>General</c:formatCode>
                <c:ptCount val="5"/>
                <c:pt idx="0">
                  <c:v>654</c:v>
                </c:pt>
                <c:pt idx="1">
                  <c:v>289</c:v>
                </c:pt>
                <c:pt idx="2">
                  <c:v>137</c:v>
                </c:pt>
                <c:pt idx="3">
                  <c:v>0</c:v>
                </c:pt>
                <c:pt idx="4">
                  <c:v>0</c:v>
                </c:pt>
              </c:numCache>
              <c:extLst/>
            </c:numRef>
          </c:val>
          <c:extLst>
            <c:ext xmlns:c16="http://schemas.microsoft.com/office/drawing/2014/chart" uri="{C3380CC4-5D6E-409C-BE32-E72D297353CC}">
              <c16:uniqueId val="{00000005-0A67-4D3C-A19F-F1D73AFE3D7C}"/>
            </c:ext>
          </c:extLst>
        </c:ser>
        <c:ser>
          <c:idx val="6"/>
          <c:order val="6"/>
          <c:tx>
            <c:strRef>
              <c:f>DUSC_TABLE7_RESULTS!$E$68</c:f>
              <c:strCache>
                <c:ptCount val="1"/>
                <c:pt idx="0">
                  <c:v>Teriparatide</c:v>
                </c:pt>
              </c:strCache>
            </c:strRef>
          </c:tx>
          <c:spPr>
            <a:solidFill>
              <a:schemeClr val="accent1">
                <a:lumMod val="60000"/>
              </a:schemeClr>
            </a:solidFill>
            <a:ln w="25400">
              <a:noFill/>
            </a:ln>
            <a:effectLst/>
          </c:spPr>
          <c:cat>
            <c:strRef>
              <c:f>DUSC_TABLE7_RESULTS!$F$61:$K$61</c:f>
              <c:strCache>
                <c:ptCount val="5"/>
                <c:pt idx="0">
                  <c:v>2014</c:v>
                </c:pt>
                <c:pt idx="1">
                  <c:v>2015</c:v>
                </c:pt>
                <c:pt idx="2">
                  <c:v>2016</c:v>
                </c:pt>
                <c:pt idx="3">
                  <c:v>2017</c:v>
                </c:pt>
                <c:pt idx="4">
                  <c:v>2018</c:v>
                </c:pt>
              </c:strCache>
              <c:extLst/>
            </c:strRef>
          </c:cat>
          <c:val>
            <c:numRef>
              <c:f>DUSC_TABLE7_RESULTS!$F$68:$K$68</c:f>
              <c:numCache>
                <c:formatCode>General</c:formatCode>
                <c:ptCount val="5"/>
                <c:pt idx="0">
                  <c:v>24</c:v>
                </c:pt>
                <c:pt idx="1">
                  <c:v>32</c:v>
                </c:pt>
                <c:pt idx="2">
                  <c:v>33</c:v>
                </c:pt>
                <c:pt idx="3">
                  <c:v>43</c:v>
                </c:pt>
                <c:pt idx="4">
                  <c:v>39</c:v>
                </c:pt>
              </c:numCache>
              <c:extLst/>
            </c:numRef>
          </c:val>
          <c:extLst>
            <c:ext xmlns:c16="http://schemas.microsoft.com/office/drawing/2014/chart" uri="{C3380CC4-5D6E-409C-BE32-E72D297353CC}">
              <c16:uniqueId val="{00000006-0A67-4D3C-A19F-F1D73AFE3D7C}"/>
            </c:ext>
          </c:extLst>
        </c:ser>
        <c:ser>
          <c:idx val="7"/>
          <c:order val="7"/>
          <c:tx>
            <c:strRef>
              <c:f>DUSC_TABLE7_RESULTS!$E$69</c:f>
              <c:strCache>
                <c:ptCount val="1"/>
                <c:pt idx="0">
                  <c:v>Zoledronic acid</c:v>
                </c:pt>
              </c:strCache>
            </c:strRef>
          </c:tx>
          <c:spPr>
            <a:solidFill>
              <a:schemeClr val="accent2">
                <a:lumMod val="60000"/>
              </a:schemeClr>
            </a:solidFill>
            <a:ln w="25400">
              <a:noFill/>
            </a:ln>
            <a:effectLst/>
          </c:spPr>
          <c:cat>
            <c:strRef>
              <c:f>DUSC_TABLE7_RESULTS!$F$61:$K$61</c:f>
              <c:strCache>
                <c:ptCount val="5"/>
                <c:pt idx="0">
                  <c:v>2014</c:v>
                </c:pt>
                <c:pt idx="1">
                  <c:v>2015</c:v>
                </c:pt>
                <c:pt idx="2">
                  <c:v>2016</c:v>
                </c:pt>
                <c:pt idx="3">
                  <c:v>2017</c:v>
                </c:pt>
                <c:pt idx="4">
                  <c:v>2018</c:v>
                </c:pt>
              </c:strCache>
              <c:extLst/>
            </c:strRef>
          </c:cat>
          <c:val>
            <c:numRef>
              <c:f>DUSC_TABLE7_RESULTS!$F$69:$K$69</c:f>
              <c:numCache>
                <c:formatCode>General</c:formatCode>
                <c:ptCount val="5"/>
                <c:pt idx="0">
                  <c:v>565</c:v>
                </c:pt>
                <c:pt idx="1">
                  <c:v>483</c:v>
                </c:pt>
                <c:pt idx="2">
                  <c:v>354</c:v>
                </c:pt>
                <c:pt idx="3">
                  <c:v>357</c:v>
                </c:pt>
                <c:pt idx="4">
                  <c:v>352</c:v>
                </c:pt>
              </c:numCache>
              <c:extLst/>
            </c:numRef>
          </c:val>
          <c:extLst>
            <c:ext xmlns:c16="http://schemas.microsoft.com/office/drawing/2014/chart" uri="{C3380CC4-5D6E-409C-BE32-E72D297353CC}">
              <c16:uniqueId val="{00000007-0A67-4D3C-A19F-F1D73AFE3D7C}"/>
            </c:ext>
          </c:extLst>
        </c:ser>
        <c:dLbls>
          <c:showLegendKey val="0"/>
          <c:showVal val="0"/>
          <c:showCatName val="0"/>
          <c:showSerName val="0"/>
          <c:showPercent val="0"/>
          <c:showBubbleSize val="0"/>
        </c:dLbls>
        <c:axId val="893923008"/>
        <c:axId val="893923992"/>
      </c:areaChart>
      <c:catAx>
        <c:axId val="8939230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923992"/>
        <c:crosses val="autoZero"/>
        <c:auto val="1"/>
        <c:lblAlgn val="ctr"/>
        <c:lblOffset val="100"/>
        <c:noMultiLvlLbl val="0"/>
      </c:catAx>
      <c:valAx>
        <c:axId val="893923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92300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C061C-6CDB-4F72-BD5F-F4504591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16404</Words>
  <Characters>93506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2021-01-18T06:16:00Z</dcterms:created>
  <dcterms:modified xsi:type="dcterms:W3CDTF">2021-03-09T01:04:00Z</dcterms:modified>
</cp:coreProperties>
</file>