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4" w:rsidRDefault="00827146" w:rsidP="00F73113">
      <w:pPr>
        <w:pStyle w:val="Title"/>
      </w:pPr>
      <w:proofErr w:type="spellStart"/>
      <w:r>
        <w:t>Nivolumab</w:t>
      </w:r>
      <w:proofErr w:type="spellEnd"/>
      <w:r>
        <w:t xml:space="preserve"> for </w:t>
      </w:r>
      <w:r w:rsidR="00E81D99">
        <w:t xml:space="preserve">the treatment of </w:t>
      </w:r>
      <w:r>
        <w:t>non-small cell lung cancer</w:t>
      </w:r>
      <w:r w:rsidR="00E81D99" w:rsidRPr="00E81D99">
        <w:t>: 24 month predicted versus actual analysis</w:t>
      </w:r>
    </w:p>
    <w:p w:rsidR="00736041" w:rsidRDefault="009053D3" w:rsidP="00F73113">
      <w:pPr>
        <w:pStyle w:val="Title2"/>
      </w:pPr>
      <w:r>
        <w:t>D</w:t>
      </w:r>
      <w:r w:rsidR="00832324" w:rsidRPr="0063631C">
        <w:t xml:space="preserve">rug utilisation sub-committee </w:t>
      </w:r>
      <w:r w:rsidR="00832324">
        <w:t>(DUSC)</w:t>
      </w:r>
    </w:p>
    <w:p w:rsidR="009053D3" w:rsidRPr="00F73113" w:rsidRDefault="00303710" w:rsidP="00F73113">
      <w:pPr>
        <w:pStyle w:val="Meetingdate"/>
      </w:pPr>
      <w:r>
        <w:t>June 2020</w:t>
      </w:r>
    </w:p>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5C6661" w:rsidRDefault="00E81D99" w:rsidP="00AA7770">
      <w:r w:rsidRPr="00E81D99">
        <w:t xml:space="preserve">To compare the predicted and actual utilisation of </w:t>
      </w:r>
      <w:proofErr w:type="spellStart"/>
      <w:r w:rsidRPr="00E81D99">
        <w:t>nivolumab</w:t>
      </w:r>
      <w:proofErr w:type="spellEnd"/>
      <w:r w:rsidRPr="00E81D99">
        <w:t xml:space="preserve"> for the </w:t>
      </w:r>
      <w:r>
        <w:t>second</w:t>
      </w:r>
      <w:r w:rsidRPr="00E81D99">
        <w:t xml:space="preserve"> line treatment of</w:t>
      </w:r>
      <w:r>
        <w:t xml:space="preserve"> non-small cell lung cancer (NSCLC)</w:t>
      </w:r>
      <w:r w:rsidRPr="00E81D99">
        <w:t xml:space="preserve"> in the first 24 months of Pharmaceutical Benefits Scheme (PBS) listing.</w:t>
      </w:r>
    </w:p>
    <w:p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rsidR="00E81D99" w:rsidRDefault="00E81D99" w:rsidP="00E81D99">
      <w:pPr>
        <w:rPr>
          <w:rFonts w:cstheme="minorHAnsi"/>
          <w:szCs w:val="20"/>
        </w:rPr>
      </w:pPr>
      <w:proofErr w:type="spellStart"/>
      <w:r>
        <w:t>Nivolumab</w:t>
      </w:r>
      <w:proofErr w:type="spellEnd"/>
      <w:r>
        <w:t xml:space="preserve"> </w:t>
      </w:r>
      <w:r w:rsidRPr="00C513C0">
        <w:rPr>
          <w:rFonts w:cstheme="minorHAnsi"/>
          <w:szCs w:val="20"/>
        </w:rPr>
        <w:t xml:space="preserve">was PBS listed </w:t>
      </w:r>
      <w:r>
        <w:rPr>
          <w:rFonts w:cstheme="minorHAnsi"/>
          <w:szCs w:val="20"/>
        </w:rPr>
        <w:t xml:space="preserve">on 1 August 2017 </w:t>
      </w:r>
      <w:r w:rsidRPr="00C513C0">
        <w:rPr>
          <w:rFonts w:cstheme="minorHAnsi"/>
          <w:szCs w:val="20"/>
        </w:rPr>
        <w:t>for</w:t>
      </w:r>
      <w:r>
        <w:rPr>
          <w:rFonts w:cstheme="minorHAnsi"/>
          <w:szCs w:val="20"/>
        </w:rPr>
        <w:t xml:space="preserve"> the second line treatment of NSCLC. </w:t>
      </w:r>
    </w:p>
    <w:p w:rsidR="005C6661" w:rsidRDefault="005C6661" w:rsidP="00CF5E22">
      <w:pPr>
        <w:pStyle w:val="Heading3"/>
      </w:pPr>
      <w:r>
        <w:t>Data Source / methodology</w:t>
      </w:r>
    </w:p>
    <w:p w:rsidR="00E81D99" w:rsidRDefault="00E81D99" w:rsidP="00CF5E22">
      <w:pPr>
        <w:pStyle w:val="Heading3"/>
        <w:rPr>
          <w:b w:val="0"/>
          <w:i w:val="0"/>
          <w:szCs w:val="24"/>
        </w:rPr>
      </w:pPr>
      <w:r w:rsidRPr="00E81D99">
        <w:rPr>
          <w:b w:val="0"/>
          <w:i w:val="0"/>
          <w:szCs w:val="24"/>
        </w:rPr>
        <w:t xml:space="preserve">Data were extracted from the Services Australia Supplied Prescription database for </w:t>
      </w:r>
      <w:r>
        <w:rPr>
          <w:b w:val="0"/>
          <w:i w:val="0"/>
          <w:szCs w:val="24"/>
        </w:rPr>
        <w:t xml:space="preserve">the </w:t>
      </w:r>
      <w:proofErr w:type="spellStart"/>
      <w:proofErr w:type="gramStart"/>
      <w:r>
        <w:rPr>
          <w:b w:val="0"/>
          <w:i w:val="0"/>
          <w:szCs w:val="24"/>
        </w:rPr>
        <w:t>nivolumab</w:t>
      </w:r>
      <w:proofErr w:type="spellEnd"/>
      <w:proofErr w:type="gramEnd"/>
      <w:r>
        <w:rPr>
          <w:b w:val="0"/>
          <w:i w:val="0"/>
          <w:szCs w:val="24"/>
        </w:rPr>
        <w:t xml:space="preserve"> items for NSCLC</w:t>
      </w:r>
      <w:r w:rsidRPr="00E81D99">
        <w:rPr>
          <w:b w:val="0"/>
          <w:i w:val="0"/>
          <w:szCs w:val="24"/>
        </w:rPr>
        <w:t>.</w:t>
      </w:r>
    </w:p>
    <w:p w:rsidR="005C6661" w:rsidRDefault="005C6661" w:rsidP="00CF5E22">
      <w:pPr>
        <w:pStyle w:val="Heading3"/>
      </w:pPr>
      <w:r>
        <w:t>Key Findings</w:t>
      </w:r>
    </w:p>
    <w:p w:rsidR="005C6661" w:rsidRDefault="00AD658D" w:rsidP="005C6661">
      <w:pPr>
        <w:pStyle w:val="NoSpacing"/>
        <w:numPr>
          <w:ilvl w:val="0"/>
          <w:numId w:val="1"/>
        </w:numPr>
      </w:pPr>
      <w:r>
        <w:t xml:space="preserve">Since PBS listing, 5,331 patients have been supplied </w:t>
      </w:r>
      <w:proofErr w:type="spellStart"/>
      <w:r>
        <w:t>nivolumab</w:t>
      </w:r>
      <w:proofErr w:type="spellEnd"/>
      <w:r>
        <w:t xml:space="preserve"> for NSCLC</w:t>
      </w:r>
      <w:r w:rsidR="00E3500A">
        <w:t>, and 59% of these initiating patients are male.</w:t>
      </w:r>
    </w:p>
    <w:p w:rsidR="00AD658D" w:rsidRDefault="00AD658D" w:rsidP="00AD658D">
      <w:pPr>
        <w:pStyle w:val="NoSpacing"/>
        <w:numPr>
          <w:ilvl w:val="0"/>
          <w:numId w:val="1"/>
        </w:numPr>
      </w:pPr>
      <w:r>
        <w:t xml:space="preserve">In 2019, </w:t>
      </w:r>
      <w:r w:rsidRPr="00AD658D">
        <w:t>25</w:t>
      </w:r>
      <w:r>
        <w:t xml:space="preserve">,816 prescriptions of </w:t>
      </w:r>
      <w:proofErr w:type="spellStart"/>
      <w:r>
        <w:t>nivolumab</w:t>
      </w:r>
      <w:proofErr w:type="spellEnd"/>
      <w:r>
        <w:t xml:space="preserve"> were supplied to </w:t>
      </w:r>
      <w:r w:rsidRPr="00AD658D">
        <w:t>2</w:t>
      </w:r>
      <w:r>
        <w:t>,</w:t>
      </w:r>
      <w:r w:rsidRPr="00AD658D">
        <w:t>327</w:t>
      </w:r>
      <w:r>
        <w:t xml:space="preserve"> patients.</w:t>
      </w:r>
    </w:p>
    <w:p w:rsidR="00E3500A" w:rsidRDefault="00E3500A" w:rsidP="00AD658D">
      <w:pPr>
        <w:pStyle w:val="NoSpacing"/>
        <w:numPr>
          <w:ilvl w:val="0"/>
          <w:numId w:val="1"/>
        </w:numPr>
      </w:pPr>
      <w:r>
        <w:t>Flat dosing may be changing prescribing, as it appears more people are being supplied higher doses less often in recent months.</w:t>
      </w:r>
    </w:p>
    <w:p w:rsidR="00E3500A" w:rsidRDefault="00E3500A" w:rsidP="00E3500A">
      <w:pPr>
        <w:pStyle w:val="NoSpacing"/>
        <w:numPr>
          <w:ilvl w:val="0"/>
          <w:numId w:val="1"/>
        </w:numPr>
      </w:pPr>
      <w:r>
        <w:t>Other immunotherapies (</w:t>
      </w:r>
      <w:proofErr w:type="spellStart"/>
      <w:r>
        <w:t>atezolizumab</w:t>
      </w:r>
      <w:proofErr w:type="spellEnd"/>
      <w:r>
        <w:t xml:space="preserve">, </w:t>
      </w:r>
      <w:proofErr w:type="spellStart"/>
      <w:r>
        <w:t>pembrolizumab</w:t>
      </w:r>
      <w:proofErr w:type="spellEnd"/>
      <w:r>
        <w:t xml:space="preserve"> and </w:t>
      </w:r>
      <w:proofErr w:type="spellStart"/>
      <w:r>
        <w:t>durvalumab</w:t>
      </w:r>
      <w:proofErr w:type="spellEnd"/>
      <w:r>
        <w:t>) are gaining market share, however 99.6% of patients treated with an immunotherapy for NSCLC have not switched to a second immunotherapy.</w:t>
      </w:r>
    </w:p>
    <w:p w:rsidR="00E3500A" w:rsidRDefault="00E3500A" w:rsidP="00E3500A">
      <w:pPr>
        <w:pStyle w:val="NoSpacing"/>
        <w:numPr>
          <w:ilvl w:val="0"/>
          <w:numId w:val="1"/>
        </w:numPr>
      </w:pPr>
      <w:r>
        <w:t xml:space="preserve">Over 90% of patients treated with </w:t>
      </w:r>
      <w:proofErr w:type="spellStart"/>
      <w:r>
        <w:t>nivolumab</w:t>
      </w:r>
      <w:proofErr w:type="spellEnd"/>
      <w:r>
        <w:t xml:space="preserve"> for NSCLC had at least one prior platinum based chemotherapy supply.</w:t>
      </w:r>
    </w:p>
    <w:p w:rsidR="00AD658D" w:rsidRPr="00AD658D" w:rsidRDefault="00AD658D" w:rsidP="00AD658D">
      <w:pPr>
        <w:pStyle w:val="NoSpacing"/>
      </w:pPr>
    </w:p>
    <w:p w:rsidR="00BB0D1A" w:rsidRDefault="00BB0D1A">
      <w:pPr>
        <w:spacing w:line="276" w:lineRule="auto"/>
        <w:rPr>
          <w:rFonts w:eastAsiaTheme="majorEastAsia" w:cstheme="majorBidi"/>
          <w:b/>
          <w:bCs/>
          <w:sz w:val="32"/>
          <w:szCs w:val="26"/>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E81D99" w:rsidRDefault="00E81D99" w:rsidP="00E81D99">
      <w:r w:rsidRPr="00E81D99">
        <w:t xml:space="preserve">To compare the predicted and actual utilisation of </w:t>
      </w:r>
      <w:proofErr w:type="spellStart"/>
      <w:r w:rsidRPr="00E81D99">
        <w:t>nivolumab</w:t>
      </w:r>
      <w:proofErr w:type="spellEnd"/>
      <w:r w:rsidRPr="00E81D99">
        <w:t xml:space="preserve"> for the </w:t>
      </w:r>
      <w:r>
        <w:t>second</w:t>
      </w:r>
      <w:r w:rsidRPr="00E81D99">
        <w:t xml:space="preserve"> line treatment of</w:t>
      </w:r>
      <w:r>
        <w:t xml:space="preserve"> non</w:t>
      </w:r>
      <w:r w:rsidR="00352D88">
        <w:t>-</w:t>
      </w:r>
      <w:r>
        <w:t>small cell lung cancer (NSCLC)</w:t>
      </w:r>
      <w:r w:rsidRPr="00E81D99">
        <w:t xml:space="preserve"> in the first 24 months of Pharmaceutical Benefits Scheme (PBS) listing.</w:t>
      </w:r>
    </w:p>
    <w:p w:rsidR="006537D9" w:rsidRPr="005E22C2" w:rsidRDefault="00736041" w:rsidP="00CF5E22">
      <w:pPr>
        <w:pStyle w:val="Heading1"/>
      </w:pPr>
      <w:r w:rsidRPr="005E22C2">
        <w:t>Background</w:t>
      </w:r>
    </w:p>
    <w:p w:rsidR="00EE2BBB" w:rsidRPr="007247B9" w:rsidRDefault="00EE2BBB" w:rsidP="00EE2BBB">
      <w:pPr>
        <w:pStyle w:val="Heading2"/>
      </w:pPr>
      <w:r w:rsidRPr="007247B9">
        <w:t>Clinical situation</w:t>
      </w:r>
    </w:p>
    <w:p w:rsidR="006E3AEA" w:rsidRPr="006E3AEA" w:rsidRDefault="006E3AEA" w:rsidP="006E3AEA">
      <w:pPr>
        <w:rPr>
          <w:sz w:val="22"/>
          <w:szCs w:val="22"/>
          <w:lang w:eastAsia="zh-CN"/>
        </w:rPr>
      </w:pPr>
      <w:r>
        <w:rPr>
          <w:lang w:eastAsia="zh-CN"/>
        </w:rPr>
        <w:t xml:space="preserve">There are many sub-types of lung cancer. Within non-small cell lung cancer (NSCLC), which accounts for over 80% of lung cancers, there are subtypes based on histology (squamous or non-squamous) and various genetic biomarkers that can direct the treatment course. The relevant genetic biomarkers indicate the presence or absence of driver mutations, including epidermal growth factor receptor (EGFR), anaplastic lymphoma kinase (ALK) and c-ROS oncogene 1 (ROS1), for which specific inhibitor treatments are available. The presence of a high level of programmed cell death ligand 1 (PD-L1) expression, defined as greater than or equal to 50% of cells, is another molecular characteristic that guides treatment options. Despite this definition, PD-L1 expression is a continuum. There is evidence that PD-L1 or PD-1 protein inhibitors are effective agnostic of PD-L1 expression in various cancer settings. </w:t>
      </w:r>
    </w:p>
    <w:p w:rsidR="006E3AEA" w:rsidRDefault="006E3AEA" w:rsidP="006E3AEA">
      <w:pPr>
        <w:rPr>
          <w:lang w:eastAsia="zh-CN"/>
        </w:rPr>
      </w:pPr>
      <w:r>
        <w:rPr>
          <w:lang w:eastAsia="zh-CN"/>
        </w:rPr>
        <w:t xml:space="preserve">The immunotherapies </w:t>
      </w:r>
      <w:proofErr w:type="spellStart"/>
      <w:r>
        <w:rPr>
          <w:lang w:eastAsia="zh-CN"/>
        </w:rPr>
        <w:t>nivolumab</w:t>
      </w:r>
      <w:proofErr w:type="spellEnd"/>
      <w:r>
        <w:rPr>
          <w:lang w:eastAsia="zh-CN"/>
        </w:rPr>
        <w:t xml:space="preserve">, </w:t>
      </w:r>
      <w:proofErr w:type="spellStart"/>
      <w:r>
        <w:rPr>
          <w:lang w:eastAsia="zh-CN"/>
        </w:rPr>
        <w:t>pembrolizumab</w:t>
      </w:r>
      <w:proofErr w:type="spellEnd"/>
      <w:r>
        <w:rPr>
          <w:lang w:eastAsia="zh-CN"/>
        </w:rPr>
        <w:t xml:space="preserve">, </w:t>
      </w:r>
      <w:proofErr w:type="spellStart"/>
      <w:r>
        <w:rPr>
          <w:lang w:eastAsia="zh-CN"/>
        </w:rPr>
        <w:t>atezolizumab</w:t>
      </w:r>
      <w:proofErr w:type="spellEnd"/>
      <w:r>
        <w:rPr>
          <w:lang w:eastAsia="zh-CN"/>
        </w:rPr>
        <w:t xml:space="preserve"> and </w:t>
      </w:r>
      <w:proofErr w:type="spellStart"/>
      <w:r>
        <w:rPr>
          <w:lang w:eastAsia="zh-CN"/>
        </w:rPr>
        <w:t>durvalumab</w:t>
      </w:r>
      <w:proofErr w:type="spellEnd"/>
      <w:r>
        <w:rPr>
          <w:lang w:eastAsia="zh-CN"/>
        </w:rPr>
        <w:t xml:space="preserve"> are PBS-subsidised PD-L1/PD-1 inhibitors for the treatment of advanced lung cancer. For initial treatment of advanced NSCLC without a driver mutation, most guidelines recommend </w:t>
      </w:r>
      <w:proofErr w:type="spellStart"/>
      <w:r>
        <w:rPr>
          <w:lang w:eastAsia="zh-CN"/>
        </w:rPr>
        <w:t>pembrolizumab</w:t>
      </w:r>
      <w:proofErr w:type="spellEnd"/>
      <w:r>
        <w:rPr>
          <w:lang w:eastAsia="zh-CN"/>
        </w:rPr>
        <w:t xml:space="preserve">, with or without chemotherapy depending on the tumour histology, extent of PD-L1 expression, tumour burden and speed of disease progression. Some guidelines suggest </w:t>
      </w:r>
      <w:proofErr w:type="spellStart"/>
      <w:r>
        <w:rPr>
          <w:lang w:eastAsia="zh-CN"/>
        </w:rPr>
        <w:t>nivolumab</w:t>
      </w:r>
      <w:proofErr w:type="spellEnd"/>
      <w:r>
        <w:rPr>
          <w:lang w:eastAsia="zh-CN"/>
        </w:rPr>
        <w:t xml:space="preserve"> is an alternative to </w:t>
      </w:r>
      <w:proofErr w:type="spellStart"/>
      <w:r>
        <w:rPr>
          <w:lang w:eastAsia="zh-CN"/>
        </w:rPr>
        <w:t>pembrolizumab</w:t>
      </w:r>
      <w:proofErr w:type="spellEnd"/>
      <w:r>
        <w:rPr>
          <w:lang w:eastAsia="zh-CN"/>
        </w:rPr>
        <w:t xml:space="preserve"> in this setting, although this </w:t>
      </w:r>
      <w:r w:rsidR="00352D88">
        <w:rPr>
          <w:lang w:eastAsia="zh-CN"/>
        </w:rPr>
        <w:t xml:space="preserve">use </w:t>
      </w:r>
      <w:r>
        <w:rPr>
          <w:lang w:eastAsia="zh-CN"/>
        </w:rPr>
        <w:t>is not PBS</w:t>
      </w:r>
      <w:r>
        <w:rPr>
          <w:lang w:eastAsia="zh-CN"/>
        </w:rPr>
        <w:noBreakHyphen/>
        <w:t xml:space="preserve">subsidised. </w:t>
      </w:r>
    </w:p>
    <w:p w:rsidR="006E3AEA" w:rsidRDefault="006E3AEA" w:rsidP="006E3AEA">
      <w:pPr>
        <w:rPr>
          <w:lang w:eastAsia="zh-CN"/>
        </w:rPr>
      </w:pPr>
      <w:proofErr w:type="spellStart"/>
      <w:r>
        <w:rPr>
          <w:lang w:eastAsia="zh-CN"/>
        </w:rPr>
        <w:t>Nivolumab</w:t>
      </w:r>
      <w:proofErr w:type="spellEnd"/>
      <w:r>
        <w:rPr>
          <w:lang w:eastAsia="zh-CN"/>
        </w:rPr>
        <w:t xml:space="preserve"> and </w:t>
      </w:r>
      <w:proofErr w:type="spellStart"/>
      <w:r>
        <w:rPr>
          <w:lang w:eastAsia="zh-CN"/>
        </w:rPr>
        <w:t>atezolizumab</w:t>
      </w:r>
      <w:proofErr w:type="spellEnd"/>
      <w:r>
        <w:rPr>
          <w:lang w:eastAsia="zh-CN"/>
        </w:rPr>
        <w:t xml:space="preserve"> are treatment options for patients who have failed platinum-based chemotherapy with cisplatin or carboplatin. Patients who receive </w:t>
      </w:r>
      <w:proofErr w:type="spellStart"/>
      <w:r>
        <w:rPr>
          <w:lang w:eastAsia="zh-CN"/>
        </w:rPr>
        <w:t>pembrolizumab</w:t>
      </w:r>
      <w:proofErr w:type="spellEnd"/>
      <w:r>
        <w:rPr>
          <w:lang w:eastAsia="zh-CN"/>
        </w:rPr>
        <w:t xml:space="preserve"> as initial therapy for advanced NSCLC are not eligible to receive another PD</w:t>
      </w:r>
      <w:r>
        <w:rPr>
          <w:lang w:eastAsia="zh-CN"/>
        </w:rPr>
        <w:noBreakHyphen/>
        <w:t xml:space="preserve">L1 inhibitor in a later line of therapy. </w:t>
      </w:r>
    </w:p>
    <w:p w:rsidR="006E3AEA" w:rsidRPr="006E3AEA" w:rsidRDefault="006E3AEA" w:rsidP="006E3AEA">
      <w:pPr>
        <w:rPr>
          <w:rFonts w:ascii="Times New Roman" w:hAnsi="Times New Roman" w:cs="Times New Roman"/>
          <w:lang w:eastAsia="en-US"/>
        </w:rPr>
      </w:pPr>
      <w:r>
        <w:rPr>
          <w:lang w:eastAsia="zh-CN"/>
        </w:rPr>
        <w:t xml:space="preserve">Guidelines </w:t>
      </w:r>
      <w:r w:rsidR="004C6BD9">
        <w:rPr>
          <w:lang w:eastAsia="zh-CN"/>
        </w:rPr>
        <w:t>(ESMO</w:t>
      </w:r>
      <w:r w:rsidR="004C6BD9">
        <w:rPr>
          <w:rStyle w:val="FootnoteReference"/>
          <w:lang w:eastAsia="zh-CN"/>
        </w:rPr>
        <w:footnoteReference w:id="1"/>
      </w:r>
      <w:r w:rsidR="004C6BD9">
        <w:rPr>
          <w:lang w:eastAsia="zh-CN"/>
        </w:rPr>
        <w:t>, NICE</w:t>
      </w:r>
      <w:r w:rsidR="00060FCA">
        <w:rPr>
          <w:rStyle w:val="FootnoteReference"/>
          <w:lang w:eastAsia="zh-CN"/>
        </w:rPr>
        <w:footnoteReference w:id="2"/>
      </w:r>
      <w:r w:rsidR="004C6BD9">
        <w:rPr>
          <w:lang w:eastAsia="zh-CN"/>
        </w:rPr>
        <w:t xml:space="preserve">, </w:t>
      </w:r>
      <w:proofErr w:type="spellStart"/>
      <w:r w:rsidR="004C6BD9">
        <w:rPr>
          <w:lang w:eastAsia="zh-CN"/>
        </w:rPr>
        <w:t>UpToDate</w:t>
      </w:r>
      <w:proofErr w:type="spellEnd"/>
      <w:r w:rsidR="00060FCA">
        <w:rPr>
          <w:rStyle w:val="FootnoteReference"/>
          <w:lang w:eastAsia="zh-CN"/>
        </w:rPr>
        <w:footnoteReference w:id="3"/>
      </w:r>
      <w:r w:rsidR="00060FCA" w:rsidRPr="006F58D2">
        <w:rPr>
          <w:vertAlign w:val="superscript"/>
          <w:lang w:eastAsia="zh-CN"/>
        </w:rPr>
        <w:t>,</w:t>
      </w:r>
      <w:r w:rsidR="00060FCA">
        <w:rPr>
          <w:rStyle w:val="FootnoteReference"/>
          <w:lang w:eastAsia="zh-CN"/>
        </w:rPr>
        <w:footnoteReference w:id="4"/>
      </w:r>
      <w:r w:rsidR="004C6BD9">
        <w:rPr>
          <w:lang w:eastAsia="zh-CN"/>
        </w:rPr>
        <w:t>)</w:t>
      </w:r>
      <w:r w:rsidR="00AA539B">
        <w:rPr>
          <w:lang w:eastAsia="zh-CN"/>
        </w:rPr>
        <w:t xml:space="preserve"> </w:t>
      </w:r>
      <w:r>
        <w:rPr>
          <w:lang w:eastAsia="zh-CN"/>
        </w:rPr>
        <w:t xml:space="preserve">suggest that patients with a driver mutation should first be treated with an inhibitor therapy that targets their specific mutation; e.g. </w:t>
      </w:r>
      <w:proofErr w:type="spellStart"/>
      <w:r>
        <w:rPr>
          <w:lang w:eastAsia="zh-CN"/>
        </w:rPr>
        <w:t>afatinib</w:t>
      </w:r>
      <w:proofErr w:type="spellEnd"/>
      <w:r>
        <w:rPr>
          <w:lang w:eastAsia="zh-CN"/>
        </w:rPr>
        <w:t xml:space="preserve">, </w:t>
      </w:r>
      <w:proofErr w:type="spellStart"/>
      <w:r>
        <w:rPr>
          <w:lang w:eastAsia="zh-CN"/>
        </w:rPr>
        <w:lastRenderedPageBreak/>
        <w:t>erlotinib</w:t>
      </w:r>
      <w:proofErr w:type="spellEnd"/>
      <w:r>
        <w:rPr>
          <w:lang w:eastAsia="zh-CN"/>
        </w:rPr>
        <w:t xml:space="preserve"> or </w:t>
      </w:r>
      <w:proofErr w:type="spellStart"/>
      <w:r>
        <w:rPr>
          <w:lang w:eastAsia="zh-CN"/>
        </w:rPr>
        <w:t>gefitinib</w:t>
      </w:r>
      <w:proofErr w:type="spellEnd"/>
      <w:r>
        <w:rPr>
          <w:lang w:eastAsia="zh-CN"/>
        </w:rPr>
        <w:t xml:space="preserve">, possibly followed by </w:t>
      </w:r>
      <w:proofErr w:type="spellStart"/>
      <w:r>
        <w:rPr>
          <w:lang w:eastAsia="zh-CN"/>
        </w:rPr>
        <w:t>osimertinib</w:t>
      </w:r>
      <w:proofErr w:type="spellEnd"/>
      <w:r>
        <w:rPr>
          <w:lang w:eastAsia="zh-CN"/>
        </w:rPr>
        <w:t xml:space="preserve">, for EGFR, </w:t>
      </w:r>
      <w:proofErr w:type="spellStart"/>
      <w:r>
        <w:rPr>
          <w:lang w:eastAsia="zh-CN"/>
        </w:rPr>
        <w:t>ceritinib</w:t>
      </w:r>
      <w:proofErr w:type="spellEnd"/>
      <w:r>
        <w:rPr>
          <w:lang w:eastAsia="zh-CN"/>
        </w:rPr>
        <w:t xml:space="preserve">, </w:t>
      </w:r>
      <w:proofErr w:type="spellStart"/>
      <w:r>
        <w:rPr>
          <w:lang w:eastAsia="zh-CN"/>
        </w:rPr>
        <w:t>alectinib</w:t>
      </w:r>
      <w:proofErr w:type="spellEnd"/>
      <w:r>
        <w:rPr>
          <w:lang w:eastAsia="zh-CN"/>
        </w:rPr>
        <w:t xml:space="preserve"> or </w:t>
      </w:r>
      <w:proofErr w:type="spellStart"/>
      <w:r>
        <w:rPr>
          <w:lang w:eastAsia="zh-CN"/>
        </w:rPr>
        <w:t>crizotnib</w:t>
      </w:r>
      <w:proofErr w:type="spellEnd"/>
      <w:r>
        <w:rPr>
          <w:lang w:eastAsia="zh-CN"/>
        </w:rPr>
        <w:t xml:space="preserve"> for ALK, and </w:t>
      </w:r>
      <w:proofErr w:type="spellStart"/>
      <w:r>
        <w:rPr>
          <w:lang w:eastAsia="zh-CN"/>
        </w:rPr>
        <w:t>crizotinib</w:t>
      </w:r>
      <w:proofErr w:type="spellEnd"/>
      <w:r>
        <w:rPr>
          <w:lang w:eastAsia="zh-CN"/>
        </w:rPr>
        <w:t xml:space="preserve"> followed by </w:t>
      </w:r>
      <w:proofErr w:type="spellStart"/>
      <w:r>
        <w:rPr>
          <w:lang w:eastAsia="zh-CN"/>
        </w:rPr>
        <w:t>ceritinib</w:t>
      </w:r>
      <w:proofErr w:type="spellEnd"/>
      <w:r>
        <w:rPr>
          <w:lang w:eastAsia="zh-CN"/>
        </w:rPr>
        <w:t xml:space="preserve"> or </w:t>
      </w:r>
      <w:proofErr w:type="spellStart"/>
      <w:r>
        <w:rPr>
          <w:lang w:eastAsia="zh-CN"/>
        </w:rPr>
        <w:t>brigatinib</w:t>
      </w:r>
      <w:proofErr w:type="spellEnd"/>
      <w:r>
        <w:rPr>
          <w:lang w:eastAsia="zh-CN"/>
        </w:rPr>
        <w:t xml:space="preserve"> for ROS1. Following these targeted therapies, patients may be treated with platinum-based chemotherapy. Immunotherapies would only feature in the treatment of these patients after chemotherapy. </w:t>
      </w:r>
    </w:p>
    <w:p w:rsidR="00EE2BBB" w:rsidRPr="00C256F6" w:rsidRDefault="006E3AEA" w:rsidP="006E3AEA">
      <w:pPr>
        <w:rPr>
          <w:vertAlign w:val="superscript"/>
        </w:rPr>
      </w:pPr>
      <w:r>
        <w:rPr>
          <w:lang w:eastAsia="zh-CN"/>
        </w:rPr>
        <w:t xml:space="preserve">Use of immunotherapy earlier in the treatment course (adjuvant and </w:t>
      </w:r>
      <w:proofErr w:type="spellStart"/>
      <w:r>
        <w:rPr>
          <w:lang w:eastAsia="zh-CN"/>
        </w:rPr>
        <w:t>neoadjuvant</w:t>
      </w:r>
      <w:proofErr w:type="spellEnd"/>
      <w:r>
        <w:rPr>
          <w:lang w:eastAsia="zh-CN"/>
        </w:rPr>
        <w:t xml:space="preserve">) is the subject of clinical trials. In time, immunotherapy use in the </w:t>
      </w:r>
      <w:proofErr w:type="spellStart"/>
      <w:r>
        <w:rPr>
          <w:lang w:eastAsia="zh-CN"/>
        </w:rPr>
        <w:t>neoadjuvant</w:t>
      </w:r>
      <w:proofErr w:type="spellEnd"/>
      <w:r>
        <w:rPr>
          <w:lang w:eastAsia="zh-CN"/>
        </w:rPr>
        <w:t xml:space="preserve"> and adjuvant settings may reduce use in the advanced setting, although the majority of NSCLC is diagnosed in the advanced stage.  </w:t>
      </w:r>
    </w:p>
    <w:p w:rsidR="007247B9" w:rsidRDefault="007247B9" w:rsidP="00CF5E22">
      <w:pPr>
        <w:pStyle w:val="Heading2"/>
      </w:pPr>
      <w:r>
        <w:t>Pharmacology</w:t>
      </w:r>
    </w:p>
    <w:p w:rsidR="00554AD6" w:rsidRPr="00554AD6" w:rsidRDefault="001B4A35" w:rsidP="00CF5E22">
      <w:pPr>
        <w:pStyle w:val="Heading2"/>
        <w:rPr>
          <w:b w:val="0"/>
          <w:sz w:val="24"/>
        </w:rPr>
      </w:pPr>
      <w:proofErr w:type="spellStart"/>
      <w:r w:rsidRPr="00554AD6">
        <w:rPr>
          <w:b w:val="0"/>
          <w:sz w:val="24"/>
        </w:rPr>
        <w:t>Nivolumab</w:t>
      </w:r>
      <w:proofErr w:type="spellEnd"/>
      <w:r w:rsidRPr="00554AD6">
        <w:rPr>
          <w:b w:val="0"/>
          <w:sz w:val="24"/>
        </w:rPr>
        <w:t xml:space="preserve"> is a fully human immunoglobulin G4 (IgG4) monoclonal antibody (</w:t>
      </w:r>
      <w:proofErr w:type="spellStart"/>
      <w:r w:rsidRPr="00554AD6">
        <w:rPr>
          <w:b w:val="0"/>
          <w:sz w:val="24"/>
        </w:rPr>
        <w:t>HuMAb</w:t>
      </w:r>
      <w:proofErr w:type="spellEnd"/>
      <w:r w:rsidRPr="00554AD6">
        <w:rPr>
          <w:b w:val="0"/>
          <w:sz w:val="24"/>
        </w:rPr>
        <w:t xml:space="preserve">) which binds to </w:t>
      </w:r>
      <w:r w:rsidR="00C5000A">
        <w:rPr>
          <w:b w:val="0"/>
          <w:sz w:val="24"/>
        </w:rPr>
        <w:t xml:space="preserve">the </w:t>
      </w:r>
      <w:r w:rsidRPr="00554AD6">
        <w:rPr>
          <w:b w:val="0"/>
          <w:sz w:val="24"/>
        </w:rPr>
        <w:t>programmed death-1 (PD-1) receptor and blocks its interaction with the ligands PD-L1 and PD-L2. The PD-1 receptor is a negative regulator of T-cell activity. Engagement of PD-1 with PD-L1 and PD</w:t>
      </w:r>
      <w:r w:rsidR="00554AD6">
        <w:rPr>
          <w:b w:val="0"/>
          <w:sz w:val="24"/>
        </w:rPr>
        <w:t>-</w:t>
      </w:r>
      <w:r w:rsidRPr="00554AD6">
        <w:rPr>
          <w:b w:val="0"/>
          <w:sz w:val="24"/>
        </w:rPr>
        <w:t xml:space="preserve">L2, which are expressed in antigen presenting cells and may be expressed by tumours or other cells in the tumour microenvironment, results in inhibition of T-cell proliferation and cytokine secretion. </w:t>
      </w:r>
      <w:proofErr w:type="spellStart"/>
      <w:r w:rsidRPr="00554AD6">
        <w:rPr>
          <w:b w:val="0"/>
          <w:sz w:val="24"/>
        </w:rPr>
        <w:t>Nivolumab</w:t>
      </w:r>
      <w:proofErr w:type="spellEnd"/>
      <w:r w:rsidRPr="00554AD6">
        <w:rPr>
          <w:b w:val="0"/>
          <w:sz w:val="24"/>
        </w:rPr>
        <w:t xml:space="preserve"> potentiates T-cell responses, including anti-tumour responses, through blockade of PD1 binding to PD-L1 and PD-L2 ligands. In syngeneic mouse models, blocking PD-1 activity resulted in decreased tumour growth.</w:t>
      </w:r>
      <w:r w:rsidR="00BD77DB" w:rsidRPr="00554AD6">
        <w:rPr>
          <w:rStyle w:val="FootnoteReference"/>
          <w:b w:val="0"/>
          <w:sz w:val="24"/>
        </w:rPr>
        <w:footnoteReference w:id="5"/>
      </w:r>
      <w:r w:rsidR="00BD77DB" w:rsidRPr="00554AD6">
        <w:rPr>
          <w:b w:val="0"/>
          <w:sz w:val="24"/>
        </w:rPr>
        <w:t xml:space="preserve"> </w:t>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B9126B" w:rsidRDefault="00B9126B" w:rsidP="00B9126B">
      <w:proofErr w:type="spellStart"/>
      <w:r>
        <w:t>Nivolumab</w:t>
      </w:r>
      <w:proofErr w:type="spellEnd"/>
      <w:r>
        <w:t xml:space="preserve"> is TGA approved for:</w:t>
      </w:r>
    </w:p>
    <w:p w:rsidR="006B1DBB" w:rsidRDefault="005F68AD" w:rsidP="006B1DBB">
      <w:pPr>
        <w:pStyle w:val="ListParagraph"/>
        <w:numPr>
          <w:ilvl w:val="0"/>
          <w:numId w:val="1"/>
        </w:numPr>
        <w:autoSpaceDE w:val="0"/>
        <w:autoSpaceDN w:val="0"/>
        <w:adjustRightInd w:val="0"/>
        <w:spacing w:after="0"/>
        <w:ind w:left="709"/>
      </w:pPr>
      <w:r>
        <w:t>M</w:t>
      </w:r>
      <w:r w:rsidR="006B1DBB">
        <w:t xml:space="preserve">onotherapy for the treatment of locally advanced or metastatic squamous or non-squamous </w:t>
      </w:r>
      <w:r w:rsidR="00B9126B">
        <w:t>NSCLC</w:t>
      </w:r>
      <w:r w:rsidR="006B1DBB">
        <w:t xml:space="preserve"> with progression on or after prior chemotherapy. </w:t>
      </w:r>
    </w:p>
    <w:p w:rsidR="00AC3206" w:rsidRDefault="00AC3206" w:rsidP="006B1DBB">
      <w:pPr>
        <w:pStyle w:val="ListParagraph"/>
        <w:numPr>
          <w:ilvl w:val="0"/>
          <w:numId w:val="1"/>
        </w:numPr>
        <w:autoSpaceDE w:val="0"/>
        <w:autoSpaceDN w:val="0"/>
        <w:adjustRightInd w:val="0"/>
        <w:spacing w:after="0"/>
        <w:ind w:left="709"/>
      </w:pPr>
      <w:r>
        <w:t xml:space="preserve">In combination with </w:t>
      </w:r>
      <w:proofErr w:type="spellStart"/>
      <w:r>
        <w:t>ipilimumab</w:t>
      </w:r>
      <w:proofErr w:type="spellEnd"/>
      <w:r>
        <w:t xml:space="preserve"> and two cycles of platinum-based chemotherapy for first-line treatment of patients with metastatic or recurrent NSCLC with no EGFR or ALK genomic tumour aberrations. </w:t>
      </w:r>
    </w:p>
    <w:p w:rsidR="00D103F5" w:rsidRPr="006B1DBB" w:rsidRDefault="00D103F5" w:rsidP="006B1DBB">
      <w:pPr>
        <w:pStyle w:val="ListParagraph"/>
        <w:numPr>
          <w:ilvl w:val="0"/>
          <w:numId w:val="1"/>
        </w:numPr>
        <w:autoSpaceDE w:val="0"/>
        <w:autoSpaceDN w:val="0"/>
        <w:adjustRightInd w:val="0"/>
        <w:spacing w:after="0"/>
        <w:ind w:left="709"/>
      </w:pPr>
      <w:proofErr w:type="spellStart"/>
      <w:r>
        <w:t>Unresectable</w:t>
      </w:r>
      <w:proofErr w:type="spellEnd"/>
      <w:r>
        <w:t xml:space="preserve"> or metastatic melanoma. </w:t>
      </w:r>
    </w:p>
    <w:p w:rsidR="00B9126B" w:rsidRDefault="00B9126B" w:rsidP="00B9126B">
      <w:pPr>
        <w:pStyle w:val="ListParagraph"/>
        <w:numPr>
          <w:ilvl w:val="0"/>
          <w:numId w:val="12"/>
        </w:numPr>
      </w:pPr>
      <w:r>
        <w:t>Renal Cell Carcinoma (RCC)</w:t>
      </w:r>
      <w:r w:rsidR="00D103F5">
        <w:t>.</w:t>
      </w:r>
    </w:p>
    <w:p w:rsidR="00B9126B" w:rsidRDefault="00B9126B" w:rsidP="00B9126B">
      <w:pPr>
        <w:pStyle w:val="ListParagraph"/>
        <w:numPr>
          <w:ilvl w:val="0"/>
          <w:numId w:val="12"/>
        </w:numPr>
      </w:pPr>
      <w:r>
        <w:t>Classical Hodgkin Lymphoma (</w:t>
      </w:r>
      <w:proofErr w:type="spellStart"/>
      <w:r>
        <w:t>cHL</w:t>
      </w:r>
      <w:proofErr w:type="spellEnd"/>
      <w:r>
        <w:t>)</w:t>
      </w:r>
      <w:r w:rsidR="00D103F5">
        <w:t>.</w:t>
      </w:r>
    </w:p>
    <w:p w:rsidR="00B9126B" w:rsidRDefault="00B9126B" w:rsidP="00B9126B">
      <w:pPr>
        <w:pStyle w:val="ListParagraph"/>
        <w:numPr>
          <w:ilvl w:val="0"/>
          <w:numId w:val="12"/>
        </w:numPr>
      </w:pPr>
      <w:r>
        <w:t>Squamous Cell Carcinoma of the Head and Neck (SCCHN)</w:t>
      </w:r>
      <w:r w:rsidR="00D103F5">
        <w:t>.</w:t>
      </w:r>
    </w:p>
    <w:p w:rsidR="00B9126B" w:rsidRDefault="00B9126B" w:rsidP="00B9126B">
      <w:pPr>
        <w:pStyle w:val="ListParagraph"/>
        <w:numPr>
          <w:ilvl w:val="0"/>
          <w:numId w:val="12"/>
        </w:numPr>
      </w:pPr>
      <w:r>
        <w:t>Urothelial Carcinoma (UC)</w:t>
      </w:r>
      <w:r w:rsidR="00D103F5">
        <w:t>.</w:t>
      </w:r>
    </w:p>
    <w:p w:rsidR="00B9126B" w:rsidRDefault="00B9126B" w:rsidP="00B9126B">
      <w:pPr>
        <w:pStyle w:val="ListParagraph"/>
        <w:numPr>
          <w:ilvl w:val="0"/>
          <w:numId w:val="12"/>
        </w:numPr>
      </w:pPr>
      <w:r>
        <w:t>Hepatocellular Carcinoma (HCC)</w:t>
      </w:r>
      <w:r w:rsidR="00D103F5">
        <w:t>.</w:t>
      </w:r>
    </w:p>
    <w:p w:rsidR="006B709B" w:rsidRDefault="006B709B" w:rsidP="00210EA9">
      <w:pPr>
        <w:pStyle w:val="Heading2"/>
        <w:keepNext/>
      </w:pPr>
      <w:r>
        <w:lastRenderedPageBreak/>
        <w:t>Dosage and administration</w:t>
      </w:r>
    </w:p>
    <w:p w:rsidR="00E81D99" w:rsidRDefault="00E81D99" w:rsidP="00E81D99">
      <w:r>
        <w:t xml:space="preserve">The recommended dose of </w:t>
      </w:r>
      <w:proofErr w:type="spellStart"/>
      <w:r>
        <w:t>nivolumab</w:t>
      </w:r>
      <w:proofErr w:type="spellEnd"/>
      <w:r>
        <w:t xml:space="preserve"> for NSCLC as a monotherapy administered intravenously over 30 minutes is 3 mg/kg every 2 weeks or 240 mg every 2 weeks or 480 mg every 4 weeks. </w:t>
      </w:r>
    </w:p>
    <w:p w:rsidR="00E81D99" w:rsidRDefault="00E81D99" w:rsidP="00E81D99">
      <w:pPr>
        <w:rPr>
          <w:highlight w:val="yellow"/>
        </w:rPr>
      </w:pPr>
      <w:r>
        <w:t>Treatment should be continued as long as clinical benefit is observed or until treatment is no longer tolerated by the patient.</w:t>
      </w:r>
    </w:p>
    <w:p w:rsidR="00F17D4B" w:rsidRPr="002F61CA" w:rsidRDefault="00F17D4B" w:rsidP="00F17D4B">
      <w:r w:rsidRPr="002F61CA">
        <w:t xml:space="preserve">The current Product Information (PI) and Consumer Medicine Information (CMI) are available from </w:t>
      </w:r>
      <w:r w:rsidRPr="006C1491">
        <w:t>the TGA (Product Information)</w:t>
      </w:r>
      <w:r>
        <w:t xml:space="preserve"> and </w:t>
      </w:r>
      <w:r w:rsidRPr="006C1491">
        <w:t>the TGA (Consumer Medicines Information)</w:t>
      </w:r>
      <w:r>
        <w:t>.</w:t>
      </w:r>
    </w:p>
    <w:p w:rsidR="00DF0B13" w:rsidRPr="007247B9" w:rsidDel="00EE2BBB" w:rsidRDefault="00DF0B13" w:rsidP="00CF5E22">
      <w:pPr>
        <w:pStyle w:val="Heading2"/>
      </w:pPr>
      <w:r w:rsidRPr="007247B9" w:rsidDel="00EE2BBB">
        <w:t>PBS listing details</w:t>
      </w:r>
      <w:r w:rsidR="00D151EB" w:rsidDel="00EE2BBB">
        <w:t xml:space="preserve"> (as at </w:t>
      </w:r>
      <w:r w:rsidR="00B9126B">
        <w:t>1 March 2020)</w:t>
      </w:r>
    </w:p>
    <w:p w:rsidR="00DF0B13" w:rsidDel="00EE2BBB" w:rsidRDefault="009D2525" w:rsidP="00A35800">
      <w:r>
        <w:t>Up to eight repeats are allowed for i</w:t>
      </w:r>
      <w:r w:rsidR="00707F8D">
        <w:t xml:space="preserve">nitial prescriptions, </w:t>
      </w:r>
      <w:r>
        <w:t xml:space="preserve">and up to 11 repeats for </w:t>
      </w:r>
      <w:r w:rsidR="00707F8D">
        <w:t>continuing prescriptions.</w:t>
      </w:r>
    </w:p>
    <w:p w:rsidR="001420B3" w:rsidRPr="001420B3" w:rsidDel="00EE2BBB" w:rsidRDefault="001420B3" w:rsidP="00B9126B">
      <w:pPr>
        <w:pStyle w:val="Tabletitle"/>
        <w:keepNext/>
      </w:pPr>
      <w:r w:rsidRPr="001420B3" w:rsidDel="00EE2BBB">
        <w:t xml:space="preserve">Table </w:t>
      </w:r>
      <w:r w:rsidR="00A47920">
        <w:t>1</w:t>
      </w:r>
      <w:r w:rsidRPr="001420B3" w:rsidDel="00EE2BBB">
        <w:t xml:space="preserve">: </w:t>
      </w:r>
      <w:r w:rsidR="009663B6" w:rsidDel="00EE2BBB">
        <w:t>PB</w:t>
      </w:r>
      <w:r w:rsidR="00D151EB" w:rsidDel="00EE2BBB">
        <w:t xml:space="preserve">S listing of </w:t>
      </w:r>
      <w:proofErr w:type="spellStart"/>
      <w:r w:rsidR="00B9126B">
        <w:t>nivolumab</w:t>
      </w:r>
      <w:proofErr w:type="spellEnd"/>
      <w:r w:rsidR="00D151EB" w:rsidDel="00EE2BBB">
        <w:t xml:space="preserve"> </w:t>
      </w:r>
    </w:p>
    <w:tbl>
      <w:tblPr>
        <w:tblStyle w:val="TableGrid"/>
        <w:tblW w:w="9064" w:type="dxa"/>
        <w:tblLayout w:type="fixed"/>
        <w:tblLook w:val="04A0" w:firstRow="1" w:lastRow="0" w:firstColumn="1" w:lastColumn="0" w:noHBand="0" w:noVBand="1"/>
      </w:tblPr>
      <w:tblGrid>
        <w:gridCol w:w="969"/>
        <w:gridCol w:w="2400"/>
        <w:gridCol w:w="1701"/>
        <w:gridCol w:w="737"/>
        <w:gridCol w:w="1153"/>
        <w:gridCol w:w="2104"/>
      </w:tblGrid>
      <w:tr w:rsidR="0093111F" w:rsidRPr="00A35800" w:rsidDel="00EE2BBB" w:rsidTr="00553931">
        <w:trPr>
          <w:trHeight w:val="694"/>
          <w:tblHeader/>
        </w:trPr>
        <w:tc>
          <w:tcPr>
            <w:tcW w:w="969" w:type="dxa"/>
            <w:shd w:val="clear" w:color="auto" w:fill="BFBFBF" w:themeFill="background1" w:themeFillShade="BF"/>
          </w:tcPr>
          <w:p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rsidR="0093111F" w:rsidRPr="00A35800" w:rsidDel="00EE2BBB" w:rsidRDefault="0093111F" w:rsidP="00553931">
            <w:pPr>
              <w:pStyle w:val="Tableheading"/>
              <w:rPr>
                <w:sz w:val="20"/>
                <w:szCs w:val="20"/>
              </w:rPr>
            </w:pPr>
            <w:r w:rsidRPr="00A35800" w:rsidDel="00EE2BBB">
              <w:rPr>
                <w:sz w:val="20"/>
                <w:szCs w:val="20"/>
              </w:rPr>
              <w:t>Max</w:t>
            </w:r>
            <w:r w:rsidR="00A13C60" w:rsidRPr="00A35800" w:rsidDel="00EE2BBB">
              <w:rPr>
                <w:sz w:val="20"/>
                <w:szCs w:val="20"/>
              </w:rPr>
              <w:t xml:space="preserve">. </w:t>
            </w:r>
            <w:r w:rsidR="00553931">
              <w:rPr>
                <w:sz w:val="20"/>
                <w:szCs w:val="20"/>
              </w:rPr>
              <w:t>amount</w:t>
            </w:r>
            <w:r w:rsidRPr="00A35800" w:rsidDel="00EE2BBB">
              <w:rPr>
                <w:sz w:val="20"/>
                <w:szCs w:val="20"/>
              </w:rPr>
              <w:t xml:space="preserve"> </w:t>
            </w:r>
          </w:p>
        </w:tc>
        <w:tc>
          <w:tcPr>
            <w:tcW w:w="737" w:type="dxa"/>
            <w:shd w:val="clear" w:color="auto" w:fill="BFBFBF" w:themeFill="background1" w:themeFillShade="BF"/>
          </w:tcPr>
          <w:p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153" w:type="dxa"/>
            <w:shd w:val="clear" w:color="auto" w:fill="BFBFBF" w:themeFill="background1" w:themeFillShade="BF"/>
          </w:tcPr>
          <w:p w:rsidR="0093111F" w:rsidRPr="00A35800" w:rsidDel="00EE2BBB" w:rsidRDefault="00553931" w:rsidP="00A35800">
            <w:pPr>
              <w:pStyle w:val="Tableheading"/>
              <w:rPr>
                <w:sz w:val="20"/>
                <w:szCs w:val="20"/>
              </w:rPr>
            </w:pPr>
            <w:r>
              <w:rPr>
                <w:sz w:val="20"/>
                <w:szCs w:val="20"/>
              </w:rPr>
              <w:t>DPMA</w:t>
            </w:r>
          </w:p>
        </w:tc>
        <w:tc>
          <w:tcPr>
            <w:tcW w:w="2104" w:type="dxa"/>
            <w:shd w:val="clear" w:color="auto" w:fill="BFBFBF" w:themeFill="background1" w:themeFillShade="BF"/>
          </w:tcPr>
          <w:p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707F8D" w:rsidRPr="00A35800" w:rsidDel="00EE2BBB" w:rsidTr="00553931">
        <w:trPr>
          <w:trHeight w:val="552"/>
          <w:tblHeader/>
        </w:trPr>
        <w:tc>
          <w:tcPr>
            <w:tcW w:w="969" w:type="dxa"/>
            <w:shd w:val="clear" w:color="auto" w:fill="auto"/>
          </w:tcPr>
          <w:p w:rsidR="00707F8D" w:rsidRDefault="00707F8D" w:rsidP="00A35800">
            <w:pPr>
              <w:pStyle w:val="Tablewriting"/>
            </w:pPr>
            <w:r w:rsidRPr="00553931">
              <w:t>11143L</w:t>
            </w:r>
          </w:p>
          <w:p w:rsidR="00707F8D" w:rsidRPr="00A35800" w:rsidDel="00EE2BBB" w:rsidRDefault="00707F8D" w:rsidP="00A35800">
            <w:pPr>
              <w:pStyle w:val="Tablewriting"/>
            </w:pPr>
            <w:r>
              <w:t>Private</w:t>
            </w:r>
          </w:p>
        </w:tc>
        <w:tc>
          <w:tcPr>
            <w:tcW w:w="2400" w:type="dxa"/>
            <w:shd w:val="clear" w:color="auto" w:fill="auto"/>
          </w:tcPr>
          <w:p w:rsidR="00707F8D" w:rsidRDefault="00707F8D" w:rsidP="00A35800">
            <w:pPr>
              <w:pStyle w:val="Tablewriting"/>
            </w:pPr>
            <w:proofErr w:type="spellStart"/>
            <w:r w:rsidRPr="00553931">
              <w:t>nivolumab</w:t>
            </w:r>
            <w:proofErr w:type="spellEnd"/>
            <w:r w:rsidRPr="00553931">
              <w:t xml:space="preserve"> 100 mg/10 mL injection, 10 mL vial</w:t>
            </w:r>
          </w:p>
          <w:p w:rsidR="00707F8D" w:rsidRPr="00A35800" w:rsidDel="00EE2BBB" w:rsidRDefault="00707F8D" w:rsidP="00A35800">
            <w:pPr>
              <w:pStyle w:val="Tablewriting"/>
            </w:pPr>
            <w:proofErr w:type="spellStart"/>
            <w:r w:rsidRPr="00553931">
              <w:t>nivolumab</w:t>
            </w:r>
            <w:proofErr w:type="spellEnd"/>
            <w:r w:rsidRPr="00553931">
              <w:t xml:space="preserve"> 40 mg/4 mL injection, 4 mL vial</w:t>
            </w:r>
          </w:p>
        </w:tc>
        <w:tc>
          <w:tcPr>
            <w:tcW w:w="1701" w:type="dxa"/>
            <w:shd w:val="clear" w:color="auto" w:fill="auto"/>
          </w:tcPr>
          <w:p w:rsidR="00707F8D" w:rsidRPr="00A35800" w:rsidDel="00EE2BBB" w:rsidRDefault="00707F8D" w:rsidP="00A35800">
            <w:pPr>
              <w:pStyle w:val="Tablewriting"/>
            </w:pPr>
            <w:r>
              <w:t>480 mg</w:t>
            </w:r>
          </w:p>
        </w:tc>
        <w:tc>
          <w:tcPr>
            <w:tcW w:w="737" w:type="dxa"/>
            <w:shd w:val="clear" w:color="auto" w:fill="auto"/>
          </w:tcPr>
          <w:p w:rsidR="00707F8D" w:rsidRPr="00A35800" w:rsidDel="00EE2BBB" w:rsidRDefault="00707F8D" w:rsidP="00A35800">
            <w:pPr>
              <w:pStyle w:val="Tablewriting"/>
            </w:pPr>
            <w:r>
              <w:t>8</w:t>
            </w:r>
          </w:p>
        </w:tc>
        <w:tc>
          <w:tcPr>
            <w:tcW w:w="1153" w:type="dxa"/>
            <w:shd w:val="clear" w:color="auto" w:fill="auto"/>
          </w:tcPr>
          <w:p w:rsidR="00707F8D" w:rsidRPr="00A35800" w:rsidDel="00EE2BBB" w:rsidRDefault="00707F8D" w:rsidP="00A35800">
            <w:pPr>
              <w:pStyle w:val="Tablewriting"/>
            </w:pPr>
            <w:r>
              <w:t>$10232.76</w:t>
            </w:r>
          </w:p>
        </w:tc>
        <w:tc>
          <w:tcPr>
            <w:tcW w:w="2104" w:type="dxa"/>
            <w:vMerge w:val="restart"/>
            <w:shd w:val="clear" w:color="auto" w:fill="auto"/>
          </w:tcPr>
          <w:p w:rsidR="00707F8D" w:rsidRDefault="00707F8D" w:rsidP="00A35800">
            <w:pPr>
              <w:pStyle w:val="Tablewriting"/>
            </w:pPr>
            <w:proofErr w:type="spellStart"/>
            <w:r>
              <w:t>Opdivo</w:t>
            </w:r>
            <w:proofErr w:type="spellEnd"/>
          </w:p>
          <w:p w:rsidR="00707F8D" w:rsidRPr="00A35800" w:rsidDel="00EE2BBB" w:rsidRDefault="00707F8D" w:rsidP="00A35800">
            <w:pPr>
              <w:pStyle w:val="Tablewriting"/>
            </w:pPr>
            <w:r w:rsidRPr="00553931">
              <w:t>Bristol-Myers Squibb Australia Pty Ltd</w:t>
            </w:r>
          </w:p>
          <w:p w:rsidR="00707F8D" w:rsidRPr="00A35800" w:rsidDel="00EE2BBB" w:rsidRDefault="00707F8D" w:rsidP="00553931">
            <w:pPr>
              <w:pStyle w:val="Tablewriting"/>
            </w:pPr>
          </w:p>
        </w:tc>
      </w:tr>
      <w:tr w:rsidR="00707F8D" w:rsidRPr="00A35800" w:rsidDel="00EE2BBB" w:rsidTr="00553931">
        <w:trPr>
          <w:trHeight w:val="552"/>
          <w:tblHeader/>
        </w:trPr>
        <w:tc>
          <w:tcPr>
            <w:tcW w:w="969" w:type="dxa"/>
            <w:shd w:val="clear" w:color="auto" w:fill="auto"/>
          </w:tcPr>
          <w:p w:rsidR="00707F8D" w:rsidRDefault="00707F8D" w:rsidP="00553931">
            <w:pPr>
              <w:pStyle w:val="Tablewriting"/>
            </w:pPr>
            <w:r w:rsidRPr="00553931">
              <w:t>11152Y</w:t>
            </w:r>
          </w:p>
          <w:p w:rsidR="00707F8D" w:rsidRPr="00A35800" w:rsidDel="00EE2BBB" w:rsidRDefault="00707F8D" w:rsidP="00553931">
            <w:pPr>
              <w:pStyle w:val="Tablewriting"/>
            </w:pPr>
            <w:r>
              <w:t>Private</w:t>
            </w:r>
          </w:p>
        </w:tc>
        <w:tc>
          <w:tcPr>
            <w:tcW w:w="2400" w:type="dxa"/>
            <w:shd w:val="clear" w:color="auto" w:fill="auto"/>
          </w:tcPr>
          <w:p w:rsidR="00707F8D" w:rsidRDefault="00707F8D" w:rsidP="00553931">
            <w:pPr>
              <w:pStyle w:val="Tablewriting"/>
            </w:pPr>
            <w:proofErr w:type="spellStart"/>
            <w:r w:rsidRPr="00553931">
              <w:t>nivolumab</w:t>
            </w:r>
            <w:proofErr w:type="spellEnd"/>
            <w:r w:rsidRPr="00553931">
              <w:t xml:space="preserve"> 100 mg/10 mL injection, 10 mL vial</w:t>
            </w:r>
          </w:p>
          <w:p w:rsidR="00707F8D" w:rsidRPr="00A35800" w:rsidDel="00EE2BBB" w:rsidRDefault="00707F8D" w:rsidP="00553931">
            <w:pPr>
              <w:pStyle w:val="Tablewriting"/>
            </w:pPr>
            <w:proofErr w:type="spellStart"/>
            <w:r w:rsidRPr="00553931">
              <w:t>nivolumab</w:t>
            </w:r>
            <w:proofErr w:type="spellEnd"/>
            <w:r w:rsidRPr="00553931">
              <w:t xml:space="preserve"> 40 mg/4 mL injection, 4 mL vial</w:t>
            </w:r>
          </w:p>
        </w:tc>
        <w:tc>
          <w:tcPr>
            <w:tcW w:w="1701" w:type="dxa"/>
            <w:shd w:val="clear" w:color="auto" w:fill="auto"/>
          </w:tcPr>
          <w:p w:rsidR="00707F8D" w:rsidRPr="00A35800" w:rsidDel="00EE2BBB" w:rsidRDefault="00707F8D" w:rsidP="00553931">
            <w:pPr>
              <w:pStyle w:val="Tablewriting"/>
            </w:pPr>
            <w:r>
              <w:t>480 mg</w:t>
            </w:r>
          </w:p>
        </w:tc>
        <w:tc>
          <w:tcPr>
            <w:tcW w:w="737" w:type="dxa"/>
            <w:shd w:val="clear" w:color="auto" w:fill="auto"/>
          </w:tcPr>
          <w:p w:rsidR="00707F8D" w:rsidRPr="00A35800" w:rsidDel="00EE2BBB" w:rsidRDefault="00707F8D" w:rsidP="00553931">
            <w:pPr>
              <w:pStyle w:val="Tablewriting"/>
            </w:pPr>
            <w:r>
              <w:t>11</w:t>
            </w:r>
          </w:p>
        </w:tc>
        <w:tc>
          <w:tcPr>
            <w:tcW w:w="1153" w:type="dxa"/>
            <w:shd w:val="clear" w:color="auto" w:fill="auto"/>
          </w:tcPr>
          <w:p w:rsidR="00707F8D" w:rsidRPr="00A35800" w:rsidDel="00EE2BBB" w:rsidRDefault="00707F8D" w:rsidP="00553931">
            <w:pPr>
              <w:pStyle w:val="Tablewriting"/>
            </w:pPr>
            <w:r>
              <w:t>$10232.76</w:t>
            </w:r>
          </w:p>
        </w:tc>
        <w:tc>
          <w:tcPr>
            <w:tcW w:w="2104" w:type="dxa"/>
            <w:vMerge/>
            <w:shd w:val="clear" w:color="auto" w:fill="auto"/>
          </w:tcPr>
          <w:p w:rsidR="00707F8D" w:rsidRPr="00A35800" w:rsidDel="00EE2BBB" w:rsidRDefault="00707F8D" w:rsidP="00553931">
            <w:pPr>
              <w:pStyle w:val="Tablewriting"/>
            </w:pPr>
          </w:p>
        </w:tc>
      </w:tr>
      <w:tr w:rsidR="00707F8D" w:rsidRPr="00A35800" w:rsidDel="00EE2BBB" w:rsidTr="00553931">
        <w:trPr>
          <w:trHeight w:val="552"/>
          <w:tblHeader/>
        </w:trPr>
        <w:tc>
          <w:tcPr>
            <w:tcW w:w="969" w:type="dxa"/>
            <w:shd w:val="clear" w:color="auto" w:fill="auto"/>
          </w:tcPr>
          <w:p w:rsidR="00707F8D" w:rsidRDefault="00707F8D" w:rsidP="00553931">
            <w:pPr>
              <w:pStyle w:val="Tablewriting"/>
            </w:pPr>
            <w:r w:rsidRPr="00553931">
              <w:t>11153B</w:t>
            </w:r>
          </w:p>
          <w:p w:rsidR="00707F8D" w:rsidRPr="00A35800" w:rsidDel="00EE2BBB" w:rsidRDefault="00707F8D" w:rsidP="00553931">
            <w:pPr>
              <w:pStyle w:val="Tablewriting"/>
            </w:pPr>
            <w:r>
              <w:t>Public</w:t>
            </w:r>
          </w:p>
        </w:tc>
        <w:tc>
          <w:tcPr>
            <w:tcW w:w="2400" w:type="dxa"/>
            <w:shd w:val="clear" w:color="auto" w:fill="auto"/>
          </w:tcPr>
          <w:p w:rsidR="00707F8D" w:rsidRDefault="00707F8D" w:rsidP="00553931">
            <w:pPr>
              <w:pStyle w:val="Tablewriting"/>
            </w:pPr>
            <w:proofErr w:type="spellStart"/>
            <w:r w:rsidRPr="00553931">
              <w:t>nivolumab</w:t>
            </w:r>
            <w:proofErr w:type="spellEnd"/>
            <w:r w:rsidRPr="00553931">
              <w:t xml:space="preserve"> 100 mg/10 mL injection, 10 mL vial</w:t>
            </w:r>
          </w:p>
          <w:p w:rsidR="00707F8D" w:rsidRPr="00A35800" w:rsidDel="00EE2BBB" w:rsidRDefault="00707F8D" w:rsidP="00553931">
            <w:pPr>
              <w:pStyle w:val="Tablewriting"/>
            </w:pPr>
            <w:proofErr w:type="spellStart"/>
            <w:r w:rsidRPr="00553931">
              <w:t>nivolumab</w:t>
            </w:r>
            <w:proofErr w:type="spellEnd"/>
            <w:r w:rsidRPr="00553931">
              <w:t xml:space="preserve"> 40 mg/4 mL injection, 4 mL vial</w:t>
            </w:r>
          </w:p>
        </w:tc>
        <w:tc>
          <w:tcPr>
            <w:tcW w:w="1701" w:type="dxa"/>
            <w:shd w:val="clear" w:color="auto" w:fill="auto"/>
          </w:tcPr>
          <w:p w:rsidR="00707F8D" w:rsidRPr="00A35800" w:rsidDel="00EE2BBB" w:rsidRDefault="00707F8D" w:rsidP="00553931">
            <w:pPr>
              <w:pStyle w:val="Tablewriting"/>
            </w:pPr>
            <w:r>
              <w:t>480 mg</w:t>
            </w:r>
          </w:p>
        </w:tc>
        <w:tc>
          <w:tcPr>
            <w:tcW w:w="737" w:type="dxa"/>
            <w:shd w:val="clear" w:color="auto" w:fill="auto"/>
          </w:tcPr>
          <w:p w:rsidR="00707F8D" w:rsidRPr="00A35800" w:rsidDel="00EE2BBB" w:rsidRDefault="00707F8D" w:rsidP="00553931">
            <w:pPr>
              <w:pStyle w:val="Tablewriting"/>
            </w:pPr>
            <w:r>
              <w:t>11</w:t>
            </w:r>
          </w:p>
        </w:tc>
        <w:tc>
          <w:tcPr>
            <w:tcW w:w="1153" w:type="dxa"/>
            <w:shd w:val="clear" w:color="auto" w:fill="auto"/>
          </w:tcPr>
          <w:p w:rsidR="00707F8D" w:rsidRPr="00A35800" w:rsidDel="00EE2BBB" w:rsidRDefault="00707F8D" w:rsidP="00553931">
            <w:pPr>
              <w:pStyle w:val="Tablewriting"/>
            </w:pPr>
            <w:r w:rsidRPr="00553931">
              <w:t>$10053.46</w:t>
            </w:r>
          </w:p>
        </w:tc>
        <w:tc>
          <w:tcPr>
            <w:tcW w:w="2104" w:type="dxa"/>
            <w:vMerge/>
            <w:shd w:val="clear" w:color="auto" w:fill="auto"/>
          </w:tcPr>
          <w:p w:rsidR="00707F8D" w:rsidRPr="00A35800" w:rsidDel="00EE2BBB" w:rsidRDefault="00707F8D" w:rsidP="00553931">
            <w:pPr>
              <w:pStyle w:val="Tablewriting"/>
            </w:pPr>
          </w:p>
        </w:tc>
      </w:tr>
      <w:tr w:rsidR="00707F8D" w:rsidRPr="00A35800" w:rsidDel="00EE2BBB" w:rsidTr="00553931">
        <w:trPr>
          <w:trHeight w:val="552"/>
          <w:tblHeader/>
        </w:trPr>
        <w:tc>
          <w:tcPr>
            <w:tcW w:w="969" w:type="dxa"/>
            <w:shd w:val="clear" w:color="auto" w:fill="auto"/>
          </w:tcPr>
          <w:p w:rsidR="00707F8D" w:rsidRDefault="00707F8D" w:rsidP="00553931">
            <w:pPr>
              <w:pStyle w:val="Tablewriting"/>
            </w:pPr>
            <w:r w:rsidRPr="00553931">
              <w:t>11158G</w:t>
            </w:r>
          </w:p>
          <w:p w:rsidR="00707F8D" w:rsidRPr="00A35800" w:rsidDel="00EE2BBB" w:rsidRDefault="00707F8D" w:rsidP="00553931">
            <w:pPr>
              <w:pStyle w:val="Tablewriting"/>
            </w:pPr>
            <w:r>
              <w:t>Public</w:t>
            </w:r>
          </w:p>
        </w:tc>
        <w:tc>
          <w:tcPr>
            <w:tcW w:w="2400" w:type="dxa"/>
            <w:shd w:val="clear" w:color="auto" w:fill="auto"/>
          </w:tcPr>
          <w:p w:rsidR="00707F8D" w:rsidRDefault="00707F8D" w:rsidP="00553931">
            <w:pPr>
              <w:pStyle w:val="Tablewriting"/>
            </w:pPr>
            <w:proofErr w:type="spellStart"/>
            <w:r w:rsidRPr="00553931">
              <w:t>nivolumab</w:t>
            </w:r>
            <w:proofErr w:type="spellEnd"/>
            <w:r w:rsidRPr="00553931">
              <w:t xml:space="preserve"> 100 mg/10 mL injection, 10 mL vial</w:t>
            </w:r>
          </w:p>
          <w:p w:rsidR="00707F8D" w:rsidRPr="00A35800" w:rsidDel="00EE2BBB" w:rsidRDefault="00707F8D" w:rsidP="00553931">
            <w:pPr>
              <w:pStyle w:val="Tablewriting"/>
            </w:pPr>
            <w:proofErr w:type="spellStart"/>
            <w:r w:rsidRPr="00553931">
              <w:t>nivolumab</w:t>
            </w:r>
            <w:proofErr w:type="spellEnd"/>
            <w:r w:rsidRPr="00553931">
              <w:t xml:space="preserve"> 40 mg/4 mL injection, 4 mL vial</w:t>
            </w:r>
          </w:p>
        </w:tc>
        <w:tc>
          <w:tcPr>
            <w:tcW w:w="1701" w:type="dxa"/>
            <w:shd w:val="clear" w:color="auto" w:fill="auto"/>
          </w:tcPr>
          <w:p w:rsidR="00707F8D" w:rsidRPr="00A35800" w:rsidDel="00EE2BBB" w:rsidRDefault="00707F8D" w:rsidP="00553931">
            <w:pPr>
              <w:pStyle w:val="Tablewriting"/>
            </w:pPr>
            <w:r>
              <w:t>480 mg</w:t>
            </w:r>
          </w:p>
        </w:tc>
        <w:tc>
          <w:tcPr>
            <w:tcW w:w="737" w:type="dxa"/>
            <w:shd w:val="clear" w:color="auto" w:fill="auto"/>
          </w:tcPr>
          <w:p w:rsidR="00707F8D" w:rsidRPr="00A35800" w:rsidDel="00EE2BBB" w:rsidRDefault="00707F8D" w:rsidP="00553931">
            <w:pPr>
              <w:pStyle w:val="Tablewriting"/>
            </w:pPr>
            <w:r>
              <w:t>8</w:t>
            </w:r>
          </w:p>
        </w:tc>
        <w:tc>
          <w:tcPr>
            <w:tcW w:w="1153" w:type="dxa"/>
            <w:shd w:val="clear" w:color="auto" w:fill="auto"/>
          </w:tcPr>
          <w:p w:rsidR="00707F8D" w:rsidRPr="00A35800" w:rsidDel="00EE2BBB" w:rsidRDefault="00707F8D" w:rsidP="00553931">
            <w:pPr>
              <w:pStyle w:val="Tablewriting"/>
            </w:pPr>
            <w:r w:rsidRPr="00553931">
              <w:t>$10053.46</w:t>
            </w:r>
          </w:p>
        </w:tc>
        <w:tc>
          <w:tcPr>
            <w:tcW w:w="2104" w:type="dxa"/>
            <w:vMerge/>
            <w:shd w:val="clear" w:color="auto" w:fill="auto"/>
          </w:tcPr>
          <w:p w:rsidR="00707F8D" w:rsidRPr="00A35800" w:rsidDel="00EE2BBB" w:rsidRDefault="00707F8D" w:rsidP="00553931">
            <w:pPr>
              <w:pStyle w:val="Tablewriting"/>
            </w:pPr>
          </w:p>
        </w:tc>
      </w:tr>
    </w:tbl>
    <w:p w:rsidR="007247B9" w:rsidRPr="00A35800" w:rsidDel="00EE2BBB" w:rsidRDefault="007408C7" w:rsidP="00707F8D">
      <w:pPr>
        <w:pStyle w:val="Notes"/>
      </w:pPr>
      <w:r w:rsidRPr="00A35800" w:rsidDel="00EE2BBB">
        <w:t xml:space="preserve">Source: </w:t>
      </w:r>
      <w:r w:rsidR="001624D7" w:rsidDel="00EE2BBB">
        <w:t xml:space="preserve">the </w:t>
      </w:r>
      <w:r w:rsidR="001624D7" w:rsidRPr="006C1491" w:rsidDel="00EE2BBB">
        <w:t>PBS website</w:t>
      </w:r>
      <w:r w:rsidR="001624D7" w:rsidDel="00EE2BBB">
        <w:t>.</w:t>
      </w:r>
      <w:r w:rsidR="0080485E" w:rsidDel="00EE2BBB">
        <w:t xml:space="preserve">  </w:t>
      </w:r>
      <w:r w:rsidR="00707F8D">
        <w:t>Note: Special Pricing Arrangements apply.</w:t>
      </w:r>
    </w:p>
    <w:p w:rsidR="004C3186" w:rsidDel="00EE2BBB" w:rsidRDefault="004C3186" w:rsidP="00CF5E22">
      <w:pPr>
        <w:pStyle w:val="Heading3"/>
      </w:pPr>
      <w:r w:rsidDel="00EE2BBB">
        <w:t>Restriction</w:t>
      </w:r>
      <w:r w:rsidR="00CD0D7E">
        <w:t xml:space="preserve"> (Abridged)</w:t>
      </w:r>
    </w:p>
    <w:p w:rsidR="00707F8D" w:rsidRDefault="00707F8D" w:rsidP="00A35800">
      <w:proofErr w:type="spellStart"/>
      <w:r w:rsidRPr="00707F8D">
        <w:t>Nivolumab</w:t>
      </w:r>
      <w:proofErr w:type="spellEnd"/>
      <w:r w:rsidRPr="00707F8D">
        <w:t xml:space="preserve"> is PBS listed for locally advanced or metastatic non-small cell lung cancer</w:t>
      </w:r>
      <w:r>
        <w:t xml:space="preserve"> in in</w:t>
      </w:r>
      <w:r w:rsidR="00C25533">
        <w:t>i</w:t>
      </w:r>
      <w:r>
        <w:t xml:space="preserve">tiating patients where </w:t>
      </w:r>
    </w:p>
    <w:p w:rsidR="00707F8D" w:rsidRDefault="00707F8D" w:rsidP="00707F8D">
      <w:pPr>
        <w:pStyle w:val="ListParagraph"/>
        <w:numPr>
          <w:ilvl w:val="0"/>
          <w:numId w:val="4"/>
        </w:numPr>
      </w:pPr>
      <w:r>
        <w:t xml:space="preserve">the patient has not </w:t>
      </w:r>
      <w:r w:rsidRPr="00707F8D">
        <w:t xml:space="preserve">received prior treatment with a programmed cell death-1 (PD-1) inhibitor or a programmed cell death ligand-1 (PD-L1) inhibitor for this condition, </w:t>
      </w:r>
    </w:p>
    <w:p w:rsidR="00707F8D" w:rsidRDefault="00707F8D" w:rsidP="00707F8D">
      <w:pPr>
        <w:pStyle w:val="ListParagraph"/>
        <w:numPr>
          <w:ilvl w:val="0"/>
          <w:numId w:val="4"/>
        </w:numPr>
      </w:pPr>
      <w:r w:rsidRPr="00707F8D">
        <w:t xml:space="preserve">has a WHO performance status of 0 or 1, </w:t>
      </w:r>
    </w:p>
    <w:p w:rsidR="00707F8D" w:rsidRDefault="00707F8D" w:rsidP="00707F8D">
      <w:pPr>
        <w:pStyle w:val="ListParagraph"/>
        <w:numPr>
          <w:ilvl w:val="0"/>
          <w:numId w:val="4"/>
        </w:numPr>
      </w:pPr>
      <w:r w:rsidRPr="00707F8D">
        <w:lastRenderedPageBreak/>
        <w:t xml:space="preserve">the treatment must be the sole PBS subsidised treatment for this condition, and </w:t>
      </w:r>
    </w:p>
    <w:p w:rsidR="004C3186" w:rsidRPr="00707F8D" w:rsidDel="00EE2BBB" w:rsidRDefault="00707F8D" w:rsidP="00707F8D">
      <w:pPr>
        <w:pStyle w:val="ListParagraph"/>
        <w:numPr>
          <w:ilvl w:val="0"/>
          <w:numId w:val="4"/>
        </w:numPr>
      </w:pPr>
      <w:proofErr w:type="gramStart"/>
      <w:r w:rsidRPr="00707F8D">
        <w:t>the</w:t>
      </w:r>
      <w:proofErr w:type="gramEnd"/>
      <w:r w:rsidRPr="00707F8D">
        <w:t xml:space="preserve"> condition must have progressed on or after prior platinum based chemotherapy.</w:t>
      </w:r>
    </w:p>
    <w:p w:rsidR="00707F8D" w:rsidRDefault="00707F8D" w:rsidP="00A35800">
      <w:r>
        <w:t>The PBS restriction states that p</w:t>
      </w:r>
      <w:r w:rsidRPr="00707F8D">
        <w:t>atients must only receive a maximum of 240 mg every two weeks or 480 mg every four weeks under a weight based or flat dosing regimen.</w:t>
      </w:r>
    </w:p>
    <w:p w:rsidR="006775F1" w:rsidRPr="006775F1" w:rsidDel="00EE2BBB" w:rsidRDefault="006775F1" w:rsidP="00A35800">
      <w:r w:rsidRPr="006775F1" w:rsidDel="00EE2BBB">
        <w:t xml:space="preserve">For </w:t>
      </w:r>
      <w:r w:rsidR="00835337" w:rsidDel="00EE2BBB">
        <w:t xml:space="preserve">details of the current PBS listing refer to the </w:t>
      </w:r>
      <w:hyperlink r:id="rId8" w:history="1">
        <w:r w:rsidR="008E157A" w:rsidRPr="008E157A">
          <w:rPr>
            <w:rStyle w:val="Hyperlink"/>
          </w:rPr>
          <w:t>PBS website</w:t>
        </w:r>
      </w:hyperlink>
      <w:r w:rsidR="008E157A">
        <w:t>.</w:t>
      </w:r>
    </w:p>
    <w:p w:rsidR="009C35F2" w:rsidRDefault="009C35F2" w:rsidP="00CF5E22">
      <w:pPr>
        <w:pStyle w:val="Heading3"/>
      </w:pPr>
      <w:r w:rsidRPr="00675BB1" w:rsidDel="00EE2BBB">
        <w:t>Date of listing on PBS</w:t>
      </w:r>
    </w:p>
    <w:p w:rsidR="00AB199C" w:rsidRPr="00AB199C" w:rsidDel="00EE2BBB" w:rsidRDefault="00274628" w:rsidP="00C02CED">
      <w:proofErr w:type="spellStart"/>
      <w:r w:rsidRPr="00E22FAE">
        <w:t>Nivolumab</w:t>
      </w:r>
      <w:proofErr w:type="spellEnd"/>
      <w:r w:rsidRPr="00E22FAE">
        <w:t xml:space="preserve"> was PBS listed for NSCLC on 1 August 2017</w:t>
      </w:r>
      <w:r w:rsidR="00AB199C" w:rsidRPr="00E22FAE">
        <w:t>.</w:t>
      </w:r>
    </w:p>
    <w:p w:rsidR="00675BB1" w:rsidRPr="00675BB1" w:rsidDel="00EE2BBB" w:rsidRDefault="00675BB1" w:rsidP="00CF5E22">
      <w:pPr>
        <w:pStyle w:val="Heading3"/>
      </w:pPr>
      <w:r w:rsidRPr="00675BB1" w:rsidDel="00EE2BBB">
        <w:t>Changes to listing</w:t>
      </w:r>
    </w:p>
    <w:p w:rsidR="00BE087A" w:rsidRDefault="00E55CD6" w:rsidP="00BF544D">
      <w:r>
        <w:t>The advice that “</w:t>
      </w:r>
      <w:r w:rsidRPr="00E55CD6">
        <w:t>Patients must only receive a maximum of 240 mg every two weeks or 480 mg every four weeks under a weig</w:t>
      </w:r>
      <w:r>
        <w:t>ht based or flat dosing regimen” was added to the PBS restriction</w:t>
      </w:r>
      <w:r w:rsidR="00405CDE">
        <w:t>, and the maximum amount was changed from 360 mg to 480 mg,</w:t>
      </w:r>
      <w:r>
        <w:t xml:space="preserve"> on 1 September 2019.</w:t>
      </w:r>
    </w:p>
    <w:p w:rsidR="00BF544D" w:rsidRPr="002F61CA" w:rsidDel="00EE2BBB" w:rsidRDefault="00BF544D" w:rsidP="00BF544D">
      <w:r w:rsidRPr="002F61CA" w:rsidDel="00EE2BBB">
        <w:t xml:space="preserve">Current PBS listing details are available from </w:t>
      </w:r>
      <w:r w:rsidDel="00EE2BBB">
        <w:t xml:space="preserve">the </w:t>
      </w:r>
      <w:hyperlink r:id="rId9" w:history="1">
        <w:r w:rsidRPr="008E157A" w:rsidDel="00EE2BBB">
          <w:rPr>
            <w:rStyle w:val="Hyperlink"/>
          </w:rPr>
          <w:t>PBS website</w:t>
        </w:r>
      </w:hyperlink>
      <w:r w:rsidDel="00EE2BBB">
        <w:t>.</w:t>
      </w:r>
    </w:p>
    <w:p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rsidR="002759C2" w:rsidRDefault="002759C2" w:rsidP="002759C2">
      <w:r>
        <w:t xml:space="preserve">Separate major submissions for </w:t>
      </w:r>
      <w:proofErr w:type="spellStart"/>
      <w:r>
        <w:t>nivolumab</w:t>
      </w:r>
      <w:proofErr w:type="spellEnd"/>
      <w:r>
        <w:t xml:space="preserve"> for squamous and non-squamous NSCLC were considered by the PBAC in March 2016 and November 2016. A minor re-submission for non-squamous and squamous NSCLC </w:t>
      </w:r>
      <w:r w:rsidR="00CD0D7E">
        <w:t>was</w:t>
      </w:r>
      <w:r>
        <w:t xml:space="preserve"> considered and recommended by the PBAC at its March 2017 meeting.</w:t>
      </w:r>
    </w:p>
    <w:p w:rsidR="00CB7163" w:rsidRDefault="00E810EC" w:rsidP="003E6701">
      <w:pPr>
        <w:pStyle w:val="Heading3"/>
      </w:pPr>
      <w:r>
        <w:t>No</w:t>
      </w:r>
      <w:r w:rsidR="00CB7163">
        <w:t xml:space="preserve">n squamous </w:t>
      </w:r>
    </w:p>
    <w:p w:rsidR="00233D6B" w:rsidRPr="005D2D62" w:rsidRDefault="00233D6B" w:rsidP="00A35800">
      <w:pPr>
        <w:rPr>
          <w:b/>
        </w:rPr>
      </w:pPr>
      <w:r w:rsidRPr="005D2D62">
        <w:rPr>
          <w:b/>
        </w:rPr>
        <w:t>March 2016</w:t>
      </w:r>
    </w:p>
    <w:p w:rsidR="00464DA7" w:rsidRDefault="00464DA7" w:rsidP="00A35800">
      <w:r>
        <w:t xml:space="preserve">The submission requested a Section 100 (Efficient Funding of Chemotherapy) Authority </w:t>
      </w:r>
      <w:proofErr w:type="gramStart"/>
      <w:r>
        <w:t>Required</w:t>
      </w:r>
      <w:proofErr w:type="gramEnd"/>
      <w:r>
        <w:t xml:space="preserve"> listing for the treatment of locally advanced or metastatic non</w:t>
      </w:r>
      <w:r w:rsidR="009145CD">
        <w:t>-</w:t>
      </w:r>
      <w:r>
        <w:t xml:space="preserve">squamous non-small cell lung cancer (NSCLC). The PBAC also considered a concurrent submission to list </w:t>
      </w:r>
      <w:proofErr w:type="spellStart"/>
      <w:r>
        <w:t>nivolumab</w:t>
      </w:r>
      <w:proofErr w:type="spellEnd"/>
      <w:r>
        <w:t xml:space="preserve"> for squamous NSCLC. </w:t>
      </w:r>
    </w:p>
    <w:p w:rsidR="00233D6B" w:rsidRDefault="00233D6B" w:rsidP="00A35800">
      <w:r>
        <w:t>The submission was considered by DUSC. The submission took an epidemiological approach to estimate the number of patients with non-squamous NSCLC each year and the proportion of patients eligible for EGFR</w:t>
      </w:r>
      <w:r w:rsidR="005F68AD">
        <w:t>,</w:t>
      </w:r>
      <w:r>
        <w:t xml:space="preserve"> TKIs or ALK inhibitors based on the literature. The submission further estimated the proportion of patients treated with each second- or later-line therapies based on expert opinion. </w:t>
      </w:r>
    </w:p>
    <w:p w:rsidR="00233D6B" w:rsidRDefault="00233D6B" w:rsidP="00A35800">
      <w:r>
        <w:t xml:space="preserve">There was considerable uncertainty in the proportions of patients assumed to receive each treatment option, given that they were based on advice from the eight expert members of the sponsor’s advisory board. The level of agreement among these advisors was not </w:t>
      </w:r>
      <w:r>
        <w:lastRenderedPageBreak/>
        <w:t xml:space="preserve">reported, nor was any justification provided for the proportions proposed. Consequently, there was substantial uncertainty in the estimated number of patients likely to be treated. </w:t>
      </w:r>
    </w:p>
    <w:p w:rsidR="00CB7163" w:rsidRDefault="00233D6B" w:rsidP="00A35800">
      <w:r>
        <w:t xml:space="preserve">The total cost of </w:t>
      </w:r>
      <w:proofErr w:type="spellStart"/>
      <w:r>
        <w:t>nivolumab</w:t>
      </w:r>
      <w:proofErr w:type="spellEnd"/>
      <w:r>
        <w:t xml:space="preserve"> was likely to be an underestimate since the treatment duration was assumed to be as that observed in </w:t>
      </w:r>
      <w:r w:rsidR="00554AD6">
        <w:t xml:space="preserve">the </w:t>
      </w:r>
      <w:r>
        <w:t>CA209-057</w:t>
      </w:r>
      <w:r w:rsidR="00554AD6">
        <w:t xml:space="preserve"> trial</w:t>
      </w:r>
      <w:r>
        <w:t xml:space="preserve">. The trial duration was unlikely to be sufficient to capture the full treatment duration. The estimated use and financial implications of </w:t>
      </w:r>
      <w:proofErr w:type="spellStart"/>
      <w:r>
        <w:t>nivolumab</w:t>
      </w:r>
      <w:proofErr w:type="spellEnd"/>
      <w:r>
        <w:t xml:space="preserve"> in the treatment of non-squamous NSCLC are summarised below. The net cost to the PBS/RPBS over five years was estimated to be more than $100 million.</w:t>
      </w:r>
    </w:p>
    <w:p w:rsidR="00233D6B" w:rsidRDefault="00233D6B" w:rsidP="00A35800">
      <w:r>
        <w:t xml:space="preserve">DUSC considered the estimates presented in the submission </w:t>
      </w:r>
      <w:r w:rsidR="00CD0D7E">
        <w:t>were</w:t>
      </w:r>
      <w:r>
        <w:t xml:space="preserve"> overestimated. The main issues were: </w:t>
      </w:r>
    </w:p>
    <w:p w:rsidR="00233D6B" w:rsidRDefault="00233D6B" w:rsidP="00233D6B">
      <w:pPr>
        <w:pStyle w:val="ListParagraph"/>
        <w:numPr>
          <w:ilvl w:val="0"/>
          <w:numId w:val="4"/>
        </w:numPr>
      </w:pPr>
      <w:r>
        <w:t xml:space="preserve">The financial implications to government </w:t>
      </w:r>
      <w:r w:rsidR="00CD0D7E">
        <w:t>were</w:t>
      </w:r>
      <w:r>
        <w:t xml:space="preserve"> overestimated by applying a ‘wider’ versus ‘narrower’ definition of NSCLC to estimate the non-squamous NSCLC eligible population (81.7% vs. 74.2%, respectively). The Pre-PBAC Response (p.3) acknowledged that there is uncertainty regarding the true split between squamous and non-squamous NSCLC patients in Australia, noting that “if a narrower definition of NSCLC is used (excluding less common NSCLC subtypes), then the estimate of the proportion of squamous NSCLC patients reduces to 74.2% and net cost to the PBS decreases.” </w:t>
      </w:r>
    </w:p>
    <w:p w:rsidR="00233D6B" w:rsidRDefault="00233D6B" w:rsidP="00233D6B">
      <w:pPr>
        <w:pStyle w:val="ListParagraph"/>
        <w:numPr>
          <w:ilvl w:val="0"/>
          <w:numId w:val="4"/>
        </w:numPr>
      </w:pPr>
      <w:r>
        <w:t xml:space="preserve">The duration of </w:t>
      </w:r>
      <w:proofErr w:type="spellStart"/>
      <w:r>
        <w:t>nivolumab</w:t>
      </w:r>
      <w:proofErr w:type="spellEnd"/>
      <w:r>
        <w:t xml:space="preserve"> treatment in practice would likely be longer than the estimate based on Trial 057 due to the early cessation of this trial. </w:t>
      </w:r>
    </w:p>
    <w:p w:rsidR="00233D6B" w:rsidRDefault="00233D6B" w:rsidP="00233D6B">
      <w:pPr>
        <w:pStyle w:val="ListParagraph"/>
        <w:numPr>
          <w:ilvl w:val="0"/>
          <w:numId w:val="4"/>
        </w:numPr>
      </w:pPr>
      <w:r>
        <w:t>There was potential for use beyond the restriction: (</w:t>
      </w:r>
      <w:proofErr w:type="spellStart"/>
      <w:r>
        <w:t>i</w:t>
      </w:r>
      <w:proofErr w:type="spellEnd"/>
      <w:r>
        <w:t>) use in earlier lines of therapy; (ii) use in patients with a performance status that is worse than those participating in the key trial (i.e. ECOG &gt;1); and (iii) use beyond disease progression.</w:t>
      </w:r>
    </w:p>
    <w:p w:rsidR="00464DA7" w:rsidRDefault="00464DA7" w:rsidP="00E03913">
      <w:r>
        <w:t xml:space="preserve">The PBAC decided not to recommend that </w:t>
      </w:r>
      <w:proofErr w:type="spellStart"/>
      <w:r>
        <w:t>nivolumab</w:t>
      </w:r>
      <w:proofErr w:type="spellEnd"/>
      <w:r>
        <w:t xml:space="preserve"> be listed in the PBS for the treatment of non-squamous NSCLC on the PBS</w:t>
      </w:r>
      <w:r w:rsidR="005A6E0F">
        <w:t>.</w:t>
      </w:r>
    </w:p>
    <w:p w:rsidR="00E03913" w:rsidRPr="00F65F0D" w:rsidRDefault="00E03913" w:rsidP="00E03913">
      <w:r>
        <w:t xml:space="preserve">For further details refer to </w:t>
      </w:r>
      <w:r w:rsidRPr="00F65F0D">
        <w:t xml:space="preserve">the </w:t>
      </w:r>
      <w:hyperlink r:id="rId10" w:history="1">
        <w:r w:rsidRPr="008E157A">
          <w:rPr>
            <w:rStyle w:val="Hyperlink"/>
          </w:rPr>
          <w:t>Public Summary Document</w:t>
        </w:r>
      </w:hyperlink>
      <w:r w:rsidRPr="00485975">
        <w:t xml:space="preserve"> from the </w:t>
      </w:r>
      <w:r w:rsidR="00233D6B" w:rsidRPr="00485975">
        <w:t xml:space="preserve">March 2016 </w:t>
      </w:r>
      <w:r w:rsidRPr="00485975">
        <w:t>PBAC</w:t>
      </w:r>
      <w:r>
        <w:t xml:space="preserve"> meeting.</w:t>
      </w:r>
    </w:p>
    <w:p w:rsidR="00E03913" w:rsidRPr="005D2D62" w:rsidRDefault="00CB7163" w:rsidP="00A35800">
      <w:pPr>
        <w:rPr>
          <w:b/>
        </w:rPr>
      </w:pPr>
      <w:r w:rsidRPr="005D2D62">
        <w:rPr>
          <w:b/>
        </w:rPr>
        <w:t>November 2016</w:t>
      </w:r>
    </w:p>
    <w:p w:rsidR="00464DA7" w:rsidRDefault="00464DA7" w:rsidP="00A35800">
      <w:r>
        <w:t xml:space="preserve">The re-submission requested a Section 100 (Efficient Funding of Chemotherapy) Authority </w:t>
      </w:r>
      <w:proofErr w:type="gramStart"/>
      <w:r>
        <w:t>Required</w:t>
      </w:r>
      <w:proofErr w:type="gramEnd"/>
      <w:r>
        <w:t xml:space="preserve"> listing for the treatment of locally advanced or metastatic non</w:t>
      </w:r>
      <w:r w:rsidR="00CD0D7E">
        <w:t>-</w:t>
      </w:r>
      <w:r>
        <w:t xml:space="preserve">squamous non-small cell lung cancer (NSCLC). </w:t>
      </w:r>
    </w:p>
    <w:p w:rsidR="00CB7163" w:rsidRDefault="00CB7163" w:rsidP="00A35800">
      <w:r>
        <w:t xml:space="preserve">As for the original submission, the re-submission used an incidence-based approach to estimate the eligible population. This was appropriate. </w:t>
      </w:r>
    </w:p>
    <w:p w:rsidR="00CB7163" w:rsidRDefault="00CB7163" w:rsidP="00A35800">
      <w:r>
        <w:t xml:space="preserve">The main differences between the re-submission and the original submission were: </w:t>
      </w:r>
    </w:p>
    <w:p w:rsidR="00CB7163" w:rsidRDefault="00CB7163" w:rsidP="00CB7163">
      <w:pPr>
        <w:pStyle w:val="ListParagraph"/>
        <w:numPr>
          <w:ilvl w:val="0"/>
          <w:numId w:val="6"/>
        </w:numPr>
      </w:pPr>
      <w:r>
        <w:t xml:space="preserve">The proportion of patients diagnosed with NSCLC who were assumed to have non-squamous histology was reduced from 81.7% to 74.2%, as recommended by DUSC; </w:t>
      </w:r>
    </w:p>
    <w:p w:rsidR="00CB7163" w:rsidRDefault="00CB7163" w:rsidP="00CB7163">
      <w:pPr>
        <w:pStyle w:val="ListParagraph"/>
        <w:numPr>
          <w:ilvl w:val="0"/>
          <w:numId w:val="6"/>
        </w:numPr>
      </w:pPr>
      <w:r>
        <w:t xml:space="preserve">The proposed effective price for </w:t>
      </w:r>
      <w:proofErr w:type="spellStart"/>
      <w:r>
        <w:t>nivolumab</w:t>
      </w:r>
      <w:proofErr w:type="spellEnd"/>
      <w:r>
        <w:t xml:space="preserve"> was reduced; </w:t>
      </w:r>
    </w:p>
    <w:p w:rsidR="00CB7163" w:rsidRDefault="00CB7163" w:rsidP="00CB7163">
      <w:pPr>
        <w:pStyle w:val="ListParagraph"/>
        <w:numPr>
          <w:ilvl w:val="0"/>
          <w:numId w:val="6"/>
        </w:numPr>
      </w:pPr>
      <w:r>
        <w:t xml:space="preserve">The mean number of </w:t>
      </w:r>
      <w:proofErr w:type="spellStart"/>
      <w:r>
        <w:t>nivolumab</w:t>
      </w:r>
      <w:proofErr w:type="spellEnd"/>
      <w:r>
        <w:t xml:space="preserve"> infusions per patient was increased, in line with updated data from trial CA209-057; and </w:t>
      </w:r>
    </w:p>
    <w:p w:rsidR="00CB7163" w:rsidRDefault="00CB7163" w:rsidP="00CB7163">
      <w:pPr>
        <w:pStyle w:val="ListParagraph"/>
        <w:numPr>
          <w:ilvl w:val="0"/>
          <w:numId w:val="6"/>
        </w:numPr>
      </w:pPr>
      <w:r>
        <w:lastRenderedPageBreak/>
        <w:t xml:space="preserve">Drug wastage was included.  </w:t>
      </w:r>
    </w:p>
    <w:p w:rsidR="00CB7163" w:rsidRDefault="00CB7163" w:rsidP="00A35800">
      <w:r>
        <w:t xml:space="preserve">The re-submission’s estimates for the proportion of patients receiving each treatment option were the same as those in the original submission. The assumptions in the treatment algorithms were based on clinical expert opinion, but there was no detail provided on how the information was elicited or the level of consensus among participants. These assumptions were a major source of uncertainty in the financial estimates and may have underestimated the uptake of </w:t>
      </w:r>
      <w:proofErr w:type="spellStart"/>
      <w:r>
        <w:t>nivolumab</w:t>
      </w:r>
      <w:proofErr w:type="spellEnd"/>
      <w:r>
        <w:t xml:space="preserve">. </w:t>
      </w:r>
    </w:p>
    <w:p w:rsidR="00CB7163" w:rsidRDefault="00CB7163" w:rsidP="00A35800">
      <w:r>
        <w:t xml:space="preserve">The estimated average cost of </w:t>
      </w:r>
      <w:proofErr w:type="spellStart"/>
      <w:r>
        <w:t>nivolumab</w:t>
      </w:r>
      <w:proofErr w:type="spellEnd"/>
      <w:r>
        <w:t xml:space="preserve"> per patient was uncertain, given: </w:t>
      </w:r>
    </w:p>
    <w:p w:rsidR="00CB7163" w:rsidRDefault="00CB7163" w:rsidP="00CB7163">
      <w:pPr>
        <w:pStyle w:val="ListParagraph"/>
        <w:numPr>
          <w:ilvl w:val="0"/>
          <w:numId w:val="4"/>
        </w:numPr>
      </w:pPr>
      <w:r>
        <w:t xml:space="preserve">The duration of </w:t>
      </w:r>
      <w:proofErr w:type="spellStart"/>
      <w:r>
        <w:t>nivolumab</w:t>
      </w:r>
      <w:proofErr w:type="spellEnd"/>
      <w:r>
        <w:t xml:space="preserve"> treatment in practice may be longer than the estimate based on the 2-year minimum follow-up data from CA209-057, as 9.4% of patients in the trial were still receiving </w:t>
      </w:r>
      <w:proofErr w:type="spellStart"/>
      <w:r>
        <w:t>nivolumab</w:t>
      </w:r>
      <w:proofErr w:type="spellEnd"/>
      <w:r>
        <w:t xml:space="preserve">; </w:t>
      </w:r>
    </w:p>
    <w:p w:rsidR="00CB7163" w:rsidRDefault="00CB7163" w:rsidP="00CB7163">
      <w:pPr>
        <w:pStyle w:val="ListParagraph"/>
        <w:numPr>
          <w:ilvl w:val="0"/>
          <w:numId w:val="4"/>
        </w:numPr>
      </w:pPr>
      <w:r>
        <w:t xml:space="preserve">The allowance for wastage of </w:t>
      </w:r>
      <w:proofErr w:type="spellStart"/>
      <w:r>
        <w:t>nivolumab</w:t>
      </w:r>
      <w:proofErr w:type="spellEnd"/>
      <w:r>
        <w:t xml:space="preserve"> may have been excessive. </w:t>
      </w:r>
    </w:p>
    <w:p w:rsidR="00CB7163" w:rsidRDefault="00CB7163" w:rsidP="00A35800">
      <w:r>
        <w:t xml:space="preserve">The PBAC previously noted the DUSC’s concerns about the potential for use of </w:t>
      </w:r>
      <w:proofErr w:type="spellStart"/>
      <w:r>
        <w:t>nivolumab</w:t>
      </w:r>
      <w:proofErr w:type="spellEnd"/>
      <w:r>
        <w:t xml:space="preserve"> beyond the restriction (paragraph 7.12, 5.07 </w:t>
      </w:r>
      <w:proofErr w:type="spellStart"/>
      <w:r>
        <w:t>nivolumab</w:t>
      </w:r>
      <w:proofErr w:type="spellEnd"/>
      <w:r>
        <w:t xml:space="preserve"> PSD, March 2016 PBAC Meeting). These concerns included the potential for use in earlier lines of therapy, use in patients with a performance status that is worse than those participating in the key trial (i.e. ECOG&gt;1), and use beyond disease progression. The proposed restriction was amended in the re-submission to limit eligibility to patients with a performance score of 0 or 1.</w:t>
      </w:r>
    </w:p>
    <w:p w:rsidR="006F430E" w:rsidRDefault="006F430E" w:rsidP="00A35800">
      <w:r>
        <w:t xml:space="preserve">The financial estimates presented in the re-submission may be underestimated, given: </w:t>
      </w:r>
    </w:p>
    <w:p w:rsidR="006F430E" w:rsidRDefault="006F430E" w:rsidP="006F430E">
      <w:pPr>
        <w:pStyle w:val="ListParagraph"/>
        <w:numPr>
          <w:ilvl w:val="0"/>
          <w:numId w:val="7"/>
        </w:numPr>
      </w:pPr>
      <w:r>
        <w:t xml:space="preserve">The uptake of </w:t>
      </w:r>
      <w:proofErr w:type="spellStart"/>
      <w:r>
        <w:t>nivolumab</w:t>
      </w:r>
      <w:proofErr w:type="spellEnd"/>
      <w:r>
        <w:t xml:space="preserve"> is likely be higher than assumed in the re-submission; </w:t>
      </w:r>
    </w:p>
    <w:p w:rsidR="006F430E" w:rsidRDefault="006F430E" w:rsidP="006F430E">
      <w:pPr>
        <w:pStyle w:val="ListParagraph"/>
        <w:numPr>
          <w:ilvl w:val="0"/>
          <w:numId w:val="7"/>
        </w:numPr>
      </w:pPr>
      <w:r>
        <w:t xml:space="preserve">The duration of </w:t>
      </w:r>
      <w:proofErr w:type="spellStart"/>
      <w:r>
        <w:t>nivolumab</w:t>
      </w:r>
      <w:proofErr w:type="spellEnd"/>
      <w:r>
        <w:t xml:space="preserve"> treatment in practice may be longer than the estimate based on trial CA209-057; and </w:t>
      </w:r>
    </w:p>
    <w:p w:rsidR="006F430E" w:rsidRDefault="006F430E" w:rsidP="006F430E">
      <w:pPr>
        <w:pStyle w:val="ListParagraph"/>
        <w:numPr>
          <w:ilvl w:val="0"/>
          <w:numId w:val="7"/>
        </w:numPr>
      </w:pPr>
      <w:r>
        <w:t xml:space="preserve">There is potential for use of </w:t>
      </w:r>
      <w:proofErr w:type="spellStart"/>
      <w:r>
        <w:t>nivolumab</w:t>
      </w:r>
      <w:proofErr w:type="spellEnd"/>
      <w:r>
        <w:t xml:space="preserve"> beyond the restriction. These factors may be offset to some extent by the potentially excessive allowance for wastage of </w:t>
      </w:r>
      <w:proofErr w:type="spellStart"/>
      <w:r>
        <w:t>nivolumab</w:t>
      </w:r>
      <w:proofErr w:type="spellEnd"/>
      <w:r>
        <w:t>.</w:t>
      </w:r>
    </w:p>
    <w:p w:rsidR="00464DA7" w:rsidRDefault="00464DA7" w:rsidP="00E03913">
      <w:r>
        <w:t xml:space="preserve">The PBAC deferred its decision on the listing of </w:t>
      </w:r>
      <w:proofErr w:type="spellStart"/>
      <w:r>
        <w:t>nivolumab</w:t>
      </w:r>
      <w:proofErr w:type="spellEnd"/>
      <w:r>
        <w:t xml:space="preserve"> for the treatment of non-squamous NSCLC as there were concerns regarding the variation in the extent of effectiveness in patients over 75 years, especially given the high ICERs presented in the resubmission and doubts about the ability of the proposed RSA to achieve the sponsor’s intended effect on these ICERs. </w:t>
      </w:r>
    </w:p>
    <w:p w:rsidR="00ED58C9" w:rsidRDefault="00ED58C9" w:rsidP="00E03913">
      <w:r>
        <w:t>The PBAC considered that the financial implications presented in the resubmission may be underestimated due to potential leakage beyond the restriction and uncertainty around treatment duration, however considered that an RSA providing an overall cap based on patient numbers as well as the numbers of doses per patient would offer some certainty of the overall costs to the PBS.</w:t>
      </w:r>
    </w:p>
    <w:p w:rsidR="00E03913" w:rsidRDefault="00E03913" w:rsidP="00A35800">
      <w:r>
        <w:t xml:space="preserve">For further details refer to </w:t>
      </w:r>
      <w:r w:rsidRPr="00F65F0D">
        <w:t xml:space="preserve">the </w:t>
      </w:r>
      <w:hyperlink r:id="rId11" w:history="1">
        <w:r w:rsidRPr="008E157A">
          <w:rPr>
            <w:rStyle w:val="Hyperlink"/>
          </w:rPr>
          <w:t>Public Summary Document</w:t>
        </w:r>
      </w:hyperlink>
      <w:r w:rsidRPr="00485975">
        <w:t xml:space="preserve"> from the </w:t>
      </w:r>
      <w:r w:rsidR="00CB7163" w:rsidRPr="00485975">
        <w:t xml:space="preserve">November 2016 </w:t>
      </w:r>
      <w:r w:rsidRPr="00485975">
        <w:t>PBAC</w:t>
      </w:r>
      <w:r>
        <w:t xml:space="preserve"> meeting.</w:t>
      </w:r>
    </w:p>
    <w:p w:rsidR="00233D6B" w:rsidRDefault="00233D6B" w:rsidP="00A47920">
      <w:pPr>
        <w:pStyle w:val="Heading3"/>
        <w:keepNext/>
      </w:pPr>
      <w:r>
        <w:lastRenderedPageBreak/>
        <w:t>Squamous</w:t>
      </w:r>
    </w:p>
    <w:p w:rsidR="00233D6B" w:rsidRPr="009F693B" w:rsidRDefault="00233D6B" w:rsidP="00A35800">
      <w:pPr>
        <w:rPr>
          <w:b/>
        </w:rPr>
      </w:pPr>
      <w:r w:rsidRPr="009F693B">
        <w:rPr>
          <w:b/>
        </w:rPr>
        <w:t>March 2016</w:t>
      </w:r>
    </w:p>
    <w:p w:rsidR="00ED58C9" w:rsidRDefault="00ED58C9" w:rsidP="00A35800">
      <w:r>
        <w:t xml:space="preserve">The submission requested a Section 100 (Efficient Funding of Chemotherapy) Authority </w:t>
      </w:r>
      <w:proofErr w:type="gramStart"/>
      <w:r>
        <w:t>Required</w:t>
      </w:r>
      <w:proofErr w:type="gramEnd"/>
      <w:r>
        <w:t xml:space="preserve"> listing for the treatment of locally advanced or metastatic squamous non-small cell lung cancer (NSCLC). The PBAC also considered a concurrent submission to list </w:t>
      </w:r>
      <w:proofErr w:type="spellStart"/>
      <w:r>
        <w:t>nivolumab</w:t>
      </w:r>
      <w:proofErr w:type="spellEnd"/>
      <w:r>
        <w:t xml:space="preserve"> for non-squamous NSCLC.</w:t>
      </w:r>
    </w:p>
    <w:p w:rsidR="00233D6B" w:rsidRDefault="00233D6B" w:rsidP="00A35800">
      <w:r>
        <w:t xml:space="preserve">The submission was considered by DUSC. The submission took an epidemiological approach to estimate the number of patients with squamous NSCLC each year. The submission further estimated the proportion of patients treated with second- and third-line therapies based on expert opinion. </w:t>
      </w:r>
    </w:p>
    <w:p w:rsidR="00233D6B" w:rsidRDefault="00233D6B" w:rsidP="00A35800">
      <w:r>
        <w:t xml:space="preserve">There was considerable uncertainty in the proportions of patients assumed to receive each treatment option, given that they were based on advice from the eight expert members of the sponsor’s advisory board. The level of agreement among these advisors was not reported, nor was any justification provided for the proportions proposed. Consequently, there was substantial uncertainty in the estimated number of patients likely to be treated. </w:t>
      </w:r>
    </w:p>
    <w:p w:rsidR="00233D6B" w:rsidRDefault="00233D6B" w:rsidP="00A35800">
      <w:r>
        <w:t xml:space="preserve">The total cost of </w:t>
      </w:r>
      <w:proofErr w:type="spellStart"/>
      <w:r>
        <w:t>nivolumab</w:t>
      </w:r>
      <w:proofErr w:type="spellEnd"/>
      <w:r>
        <w:t xml:space="preserve"> was likely to be an underestimate since the treatment duration was assumed to be that observed in </w:t>
      </w:r>
      <w:r w:rsidR="00924C97">
        <w:t xml:space="preserve">trial </w:t>
      </w:r>
      <w:r>
        <w:t xml:space="preserve">CA209-017. The trial duration was unlikely to be sufficient to capture the full treatment duration. The estimated use and financial implications of </w:t>
      </w:r>
      <w:proofErr w:type="spellStart"/>
      <w:r>
        <w:t>nivolumab</w:t>
      </w:r>
      <w:proofErr w:type="spellEnd"/>
      <w:r>
        <w:t xml:space="preserve"> in the treatment of squamous NSCLC are summarised below. The net cost to the PBS/RPBS over five years was estimated to be more than $100 million.</w:t>
      </w:r>
    </w:p>
    <w:p w:rsidR="00233D6B" w:rsidRDefault="00233D6B" w:rsidP="00A35800">
      <w:r>
        <w:t xml:space="preserve">DUSC considered the estimates presented in the submission to be underestimated. The main issues were: </w:t>
      </w:r>
    </w:p>
    <w:p w:rsidR="00924C97" w:rsidRDefault="00233D6B" w:rsidP="00233D6B">
      <w:pPr>
        <w:pStyle w:val="ListParagraph"/>
        <w:numPr>
          <w:ilvl w:val="0"/>
          <w:numId w:val="9"/>
        </w:numPr>
      </w:pPr>
      <w:r>
        <w:t xml:space="preserve">The financial implications to government may be significantly underestimated by applying a ‘wider’ versus ‘narrower’ definition of NSCLC to estimate the squamous NSCLC eligible population (18.3% vs. 25.8%, respectively). The </w:t>
      </w:r>
      <w:proofErr w:type="spellStart"/>
      <w:r>
        <w:t>PrePBAC</w:t>
      </w:r>
      <w:proofErr w:type="spellEnd"/>
      <w:r>
        <w:t xml:space="preserve"> Response (p.3) acknowledged that there is uncertainty regarding the true split between squamous and non-squamous NSCLC patients in Australia, noting that an “increase in cost to the PBS for the squamous NSCLC indication is offset by a reduction in PBS cost for the non-squamous indication.” </w:t>
      </w:r>
    </w:p>
    <w:p w:rsidR="00233D6B" w:rsidRDefault="00233D6B" w:rsidP="00233D6B">
      <w:pPr>
        <w:pStyle w:val="ListParagraph"/>
        <w:numPr>
          <w:ilvl w:val="0"/>
          <w:numId w:val="9"/>
        </w:numPr>
      </w:pPr>
      <w:r>
        <w:t xml:space="preserve">The number of eligible patients receiving prior platinum-based chemotherapy was likely to be underestimated by assuming a relatively large proportion (25%) receive single agent chemotherapy instead. There would be an incentive to use doublet chemotherapy over single agents in order to access </w:t>
      </w:r>
      <w:proofErr w:type="spellStart"/>
      <w:r>
        <w:t>nivolumab</w:t>
      </w:r>
      <w:proofErr w:type="spellEnd"/>
      <w:r>
        <w:t xml:space="preserve">. </w:t>
      </w:r>
    </w:p>
    <w:p w:rsidR="00233D6B" w:rsidRDefault="00233D6B" w:rsidP="00233D6B">
      <w:pPr>
        <w:pStyle w:val="ListParagraph"/>
        <w:numPr>
          <w:ilvl w:val="0"/>
          <w:numId w:val="9"/>
        </w:numPr>
      </w:pPr>
      <w:r>
        <w:t xml:space="preserve">The duration of </w:t>
      </w:r>
      <w:proofErr w:type="spellStart"/>
      <w:r>
        <w:t>nivolumab</w:t>
      </w:r>
      <w:proofErr w:type="spellEnd"/>
      <w:r>
        <w:t xml:space="preserve"> treatment in practice would likely be longer than the estimate based on Trial 017 due to the early cessation of this trial. </w:t>
      </w:r>
    </w:p>
    <w:p w:rsidR="00233D6B" w:rsidRDefault="00233D6B" w:rsidP="00ED58C9">
      <w:pPr>
        <w:pStyle w:val="ListParagraph"/>
        <w:numPr>
          <w:ilvl w:val="0"/>
          <w:numId w:val="9"/>
        </w:numPr>
      </w:pPr>
      <w:r>
        <w:t>There was potential for use beyond the restriction: (</w:t>
      </w:r>
      <w:proofErr w:type="spellStart"/>
      <w:r>
        <w:t>i</w:t>
      </w:r>
      <w:proofErr w:type="spellEnd"/>
      <w:r>
        <w:t>) use in earlier lines of therapy; (ii) use in patients with a performance status that is worse than those participating in the key trial (i.e. ECOG &gt;1); and (iii) use beyond disease progression.</w:t>
      </w:r>
    </w:p>
    <w:p w:rsidR="00ED58C9" w:rsidRDefault="00ED58C9" w:rsidP="00E03913">
      <w:r>
        <w:lastRenderedPageBreak/>
        <w:t xml:space="preserve">The PBAC decided not to recommend that </w:t>
      </w:r>
      <w:proofErr w:type="spellStart"/>
      <w:r>
        <w:t>nivolumab</w:t>
      </w:r>
      <w:proofErr w:type="spellEnd"/>
      <w:r>
        <w:t xml:space="preserve"> be listed in the PBS for the treatment of squamous NSCLC on the basis that acceptable cost-effectiveness had not been adequately demonstrated. </w:t>
      </w:r>
    </w:p>
    <w:p w:rsidR="00ED58C9" w:rsidRDefault="00ED58C9" w:rsidP="00E03913">
      <w:r>
        <w:t>The PBAC noted the DUSC’s concerns regarding the eligible patient numbers, duration of treatment in practice, and potential risk of use beyond the restriction, and advised that a financial cap would be required to manage these uncertainties.</w:t>
      </w:r>
    </w:p>
    <w:p w:rsidR="00E03913" w:rsidRPr="00F65F0D" w:rsidRDefault="00E03913" w:rsidP="00E03913">
      <w:r>
        <w:t xml:space="preserve">For further details refer to </w:t>
      </w:r>
      <w:r w:rsidRPr="00F65F0D">
        <w:t xml:space="preserve">the </w:t>
      </w:r>
      <w:hyperlink r:id="rId12" w:history="1">
        <w:r w:rsidRPr="008E157A">
          <w:rPr>
            <w:rStyle w:val="Hyperlink"/>
          </w:rPr>
          <w:t>Public Summary Document</w:t>
        </w:r>
      </w:hyperlink>
      <w:r w:rsidRPr="00485975">
        <w:t xml:space="preserve"> from the </w:t>
      </w:r>
      <w:r w:rsidR="00233D6B" w:rsidRPr="00485975">
        <w:t xml:space="preserve">March 2016 </w:t>
      </w:r>
      <w:r w:rsidRPr="00485975">
        <w:t>PBAC</w:t>
      </w:r>
      <w:r>
        <w:t xml:space="preserve"> meeting.</w:t>
      </w:r>
    </w:p>
    <w:p w:rsidR="00E03913" w:rsidRPr="006B6E9A" w:rsidRDefault="00233D6B" w:rsidP="00A35800">
      <w:pPr>
        <w:rPr>
          <w:b/>
        </w:rPr>
      </w:pPr>
      <w:r w:rsidRPr="006B6E9A">
        <w:rPr>
          <w:b/>
        </w:rPr>
        <w:t>November 2016</w:t>
      </w:r>
    </w:p>
    <w:p w:rsidR="00664307" w:rsidRDefault="00ED58C9" w:rsidP="00A35800">
      <w:r>
        <w:t xml:space="preserve">The re-submission requested a Section 100 (Efficient Funding of Chemotherapy) Authority </w:t>
      </w:r>
      <w:proofErr w:type="gramStart"/>
      <w:r>
        <w:t>Required</w:t>
      </w:r>
      <w:proofErr w:type="gramEnd"/>
      <w:r>
        <w:t xml:space="preserve"> listing for the treatment of locally advanced or metastatic squamous non-small cell lung cancer (NSCLC). </w:t>
      </w:r>
    </w:p>
    <w:p w:rsidR="00233D6B" w:rsidRDefault="00233D6B" w:rsidP="00A35800">
      <w:r>
        <w:t xml:space="preserve">This re-submission was not considered by DUSC. </w:t>
      </w:r>
    </w:p>
    <w:p w:rsidR="00233D6B" w:rsidRDefault="00233D6B" w:rsidP="00A35800">
      <w:r>
        <w:t xml:space="preserve">As for the original submission, the re-submission used an incidence-based approach to estimate the eligible population. This was appropriate. </w:t>
      </w:r>
    </w:p>
    <w:p w:rsidR="00233D6B" w:rsidRDefault="00233D6B" w:rsidP="00A35800">
      <w:r>
        <w:t xml:space="preserve">The main differences between the re-submission and the original submission were: </w:t>
      </w:r>
    </w:p>
    <w:p w:rsidR="00233D6B" w:rsidRDefault="00233D6B" w:rsidP="00233D6B">
      <w:pPr>
        <w:pStyle w:val="ListParagraph"/>
        <w:numPr>
          <w:ilvl w:val="0"/>
          <w:numId w:val="10"/>
        </w:numPr>
      </w:pPr>
      <w:r>
        <w:t xml:space="preserve">The proportion of patients diagnosed with NSCLC who were assumed to have squamous histology was increased from 18.3% to 25.8%, as recommended by DUSC; </w:t>
      </w:r>
    </w:p>
    <w:p w:rsidR="00233D6B" w:rsidRDefault="00233D6B" w:rsidP="00233D6B">
      <w:pPr>
        <w:pStyle w:val="ListParagraph"/>
        <w:numPr>
          <w:ilvl w:val="0"/>
          <w:numId w:val="10"/>
        </w:numPr>
      </w:pPr>
      <w:r>
        <w:t xml:space="preserve">The proposed effective price for </w:t>
      </w:r>
      <w:proofErr w:type="spellStart"/>
      <w:r>
        <w:t>nivolumab</w:t>
      </w:r>
      <w:proofErr w:type="spellEnd"/>
      <w:r>
        <w:t xml:space="preserve"> was reduced; </w:t>
      </w:r>
    </w:p>
    <w:p w:rsidR="00233D6B" w:rsidRDefault="00233D6B" w:rsidP="00233D6B">
      <w:pPr>
        <w:pStyle w:val="ListParagraph"/>
        <w:numPr>
          <w:ilvl w:val="0"/>
          <w:numId w:val="10"/>
        </w:numPr>
      </w:pPr>
      <w:r>
        <w:t xml:space="preserve">The mean number of </w:t>
      </w:r>
      <w:proofErr w:type="spellStart"/>
      <w:r>
        <w:t>nivolumab</w:t>
      </w:r>
      <w:proofErr w:type="spellEnd"/>
      <w:r>
        <w:t xml:space="preserve"> infusions per patient was increased, in line with updated data from trial CA209-017; and </w:t>
      </w:r>
    </w:p>
    <w:p w:rsidR="00233D6B" w:rsidRDefault="00233D6B" w:rsidP="00233D6B">
      <w:pPr>
        <w:pStyle w:val="ListParagraph"/>
        <w:numPr>
          <w:ilvl w:val="0"/>
          <w:numId w:val="10"/>
        </w:numPr>
      </w:pPr>
      <w:r>
        <w:t xml:space="preserve">Drug wastage was included. </w:t>
      </w:r>
    </w:p>
    <w:p w:rsidR="00233D6B" w:rsidRDefault="00233D6B" w:rsidP="00A35800">
      <w:r>
        <w:t xml:space="preserve">The re-submission’s estimates for the proportion of patients receiving each treatment option were the same as those in the original submission. The assumptions in the treatment algorithms were based on advice from the eight expert members of the sponsor’s advisory board. The level of agreement among these advisors was not reported, nor was any justification provided for the proportions proposed. Consequently, there was substantial uncertainty in the estimated number of patients likely to be treated. </w:t>
      </w:r>
    </w:p>
    <w:p w:rsidR="00233D6B" w:rsidRDefault="00233D6B" w:rsidP="00A35800">
      <w:r>
        <w:t>The DUSC considered that the number of eligible patients receiving prior platinum</w:t>
      </w:r>
      <w:r w:rsidR="006B6E9A">
        <w:t xml:space="preserve"> </w:t>
      </w:r>
      <w:r>
        <w:t xml:space="preserve">based chemotherapy was likely to be underestimated by assuming a relatively large proportion (25%) receive single agent chemotherapy instead. There would be an incentive to use doublet chemotherapy over single agents in order to access </w:t>
      </w:r>
      <w:proofErr w:type="spellStart"/>
      <w:r>
        <w:t>nivolumab</w:t>
      </w:r>
      <w:proofErr w:type="spellEnd"/>
      <w:r>
        <w:t xml:space="preserve"> (paragraph 6.42, 5.06 </w:t>
      </w:r>
      <w:proofErr w:type="spellStart"/>
      <w:r>
        <w:t>nivolumab</w:t>
      </w:r>
      <w:proofErr w:type="spellEnd"/>
      <w:r>
        <w:t xml:space="preserve"> PSD, March 2016 PBAC Meeting). </w:t>
      </w:r>
    </w:p>
    <w:p w:rsidR="00233D6B" w:rsidRDefault="00233D6B" w:rsidP="00A35800">
      <w:r>
        <w:t xml:space="preserve">The average cost of </w:t>
      </w:r>
      <w:proofErr w:type="spellStart"/>
      <w:r>
        <w:t>nivolumab</w:t>
      </w:r>
      <w:proofErr w:type="spellEnd"/>
      <w:r>
        <w:t xml:space="preserve"> per patient was likely to be underestimated, as the duration of </w:t>
      </w:r>
      <w:proofErr w:type="spellStart"/>
      <w:r>
        <w:t>nivolumab</w:t>
      </w:r>
      <w:proofErr w:type="spellEnd"/>
      <w:r>
        <w:t xml:space="preserve"> treatment in practice may be longer than the mean treatment duration observed from the 2-year minimum follow-up data in CA209-017, given that 8% of patients in the trial were still receiving </w:t>
      </w:r>
      <w:proofErr w:type="spellStart"/>
      <w:r>
        <w:t>nivolumab</w:t>
      </w:r>
      <w:proofErr w:type="spellEnd"/>
      <w:r>
        <w:t xml:space="preserve">. </w:t>
      </w:r>
    </w:p>
    <w:p w:rsidR="00233D6B" w:rsidRDefault="00233D6B" w:rsidP="00A35800">
      <w:r>
        <w:lastRenderedPageBreak/>
        <w:t xml:space="preserve">The PBAC previously noted the DUSC’s concerns about the potential for use of </w:t>
      </w:r>
      <w:proofErr w:type="spellStart"/>
      <w:r>
        <w:t>nivolumab</w:t>
      </w:r>
      <w:proofErr w:type="spellEnd"/>
      <w:r>
        <w:t xml:space="preserve"> beyond the restriction (paragraph 7.10, 5.06 </w:t>
      </w:r>
      <w:proofErr w:type="spellStart"/>
      <w:r>
        <w:t>nivolumab</w:t>
      </w:r>
      <w:proofErr w:type="spellEnd"/>
      <w:r>
        <w:t xml:space="preserve"> PSD, March 2016 PBAC Meeting). These concerns included potential use in earlier lines of therapy, use in patients with a performance status that is worse than those participating in the key trial (i.e. ECOG5 &gt;1), and use beyond disease progression (paragraph 6.42, 5.06 </w:t>
      </w:r>
      <w:proofErr w:type="spellStart"/>
      <w:r>
        <w:t>nivolumab</w:t>
      </w:r>
      <w:proofErr w:type="spellEnd"/>
      <w:r>
        <w:t xml:space="preserve"> PSD, March 2016 PBAC Meeting). The proposed restriction was amended in the re-submission to limit eligibility to patients with a performance score of 0 or 1.</w:t>
      </w:r>
    </w:p>
    <w:p w:rsidR="00A65543" w:rsidRPr="00A65543" w:rsidRDefault="00233D6B" w:rsidP="00A65543">
      <w:pPr>
        <w:pStyle w:val="ListParagraph"/>
        <w:numPr>
          <w:ilvl w:val="0"/>
          <w:numId w:val="11"/>
        </w:numPr>
        <w:rPr>
          <w:b/>
        </w:rPr>
      </w:pPr>
      <w:r>
        <w:t xml:space="preserve">The financial estimates presented in the re-submission may be underestimated, given the following: In the scenario in which </w:t>
      </w:r>
      <w:proofErr w:type="spellStart"/>
      <w:r>
        <w:t>nivolumab</w:t>
      </w:r>
      <w:proofErr w:type="spellEnd"/>
      <w:r>
        <w:t xml:space="preserve"> was available on the PBS, the number of patients receiving prior platinum-based chemotherapy was likely to be underestimated, as there would be an incentive to use doublet chemotherapy over single agents in order to access </w:t>
      </w:r>
      <w:proofErr w:type="spellStart"/>
      <w:r>
        <w:t>nivolumab</w:t>
      </w:r>
      <w:proofErr w:type="spellEnd"/>
      <w:r>
        <w:t xml:space="preserve">. </w:t>
      </w:r>
    </w:p>
    <w:p w:rsidR="00A65543" w:rsidRPr="00A65543" w:rsidRDefault="00233D6B" w:rsidP="00A65543">
      <w:pPr>
        <w:pStyle w:val="ListParagraph"/>
        <w:numPr>
          <w:ilvl w:val="0"/>
          <w:numId w:val="11"/>
        </w:numPr>
        <w:rPr>
          <w:b/>
        </w:rPr>
      </w:pPr>
      <w:r>
        <w:t xml:space="preserve">The average cost per patient for </w:t>
      </w:r>
      <w:proofErr w:type="spellStart"/>
      <w:r>
        <w:t>nivolumab</w:t>
      </w:r>
      <w:proofErr w:type="spellEnd"/>
      <w:r>
        <w:t xml:space="preserve"> may be underestimated as the mean duration of </w:t>
      </w:r>
      <w:proofErr w:type="spellStart"/>
      <w:r>
        <w:t>nivolumab</w:t>
      </w:r>
      <w:proofErr w:type="spellEnd"/>
      <w:r>
        <w:t xml:space="preserve"> treatment in practice may be longer than that observed in trial CA209-017. </w:t>
      </w:r>
    </w:p>
    <w:p w:rsidR="00233D6B" w:rsidRPr="00A65543" w:rsidRDefault="00233D6B" w:rsidP="00A65543">
      <w:pPr>
        <w:pStyle w:val="ListParagraph"/>
        <w:numPr>
          <w:ilvl w:val="0"/>
          <w:numId w:val="11"/>
        </w:numPr>
        <w:rPr>
          <w:b/>
        </w:rPr>
      </w:pPr>
      <w:r>
        <w:t xml:space="preserve">There is potential for use of </w:t>
      </w:r>
      <w:proofErr w:type="spellStart"/>
      <w:r>
        <w:t>nivolumab</w:t>
      </w:r>
      <w:proofErr w:type="spellEnd"/>
      <w:r>
        <w:t xml:space="preserve"> beyond the restriction.</w:t>
      </w:r>
    </w:p>
    <w:p w:rsidR="00A65543" w:rsidRDefault="00A65543" w:rsidP="00A65543">
      <w:r>
        <w:t xml:space="preserve">The PBAC deferred its decision on the listing of </w:t>
      </w:r>
      <w:proofErr w:type="spellStart"/>
      <w:r>
        <w:t>nivolumab</w:t>
      </w:r>
      <w:proofErr w:type="spellEnd"/>
      <w:r>
        <w:t xml:space="preserve"> for the treatment of squamous NSCLC as there were concerns regarding the variation in the extent of effectiveness in patients over 75 years, especially given the high ICER presented in the resubmission and doubts about the ability of the proposed RSA to achieve the sponsor’s intended effect on this ICER. The PBAC requested that the Department hold discussions with the sponsor in order to develop a proposal for a Managed Entry Scheme (MES) to address these concerns.</w:t>
      </w:r>
    </w:p>
    <w:p w:rsidR="00A65543" w:rsidRPr="00A65543" w:rsidRDefault="00A65543" w:rsidP="00A65543">
      <w:pPr>
        <w:rPr>
          <w:b/>
        </w:rPr>
      </w:pPr>
      <w:r>
        <w:t>The PBAC considered that the financial implications presented in the resubmission may be underestimated due to potential leakage beyond the restriction and uncertainty around treatment duration, however considered that an RSA providing an overall cap based on patient numbers as well as the numbers of doses per patient would offer some certainty of the overall costs to the PBS.</w:t>
      </w:r>
    </w:p>
    <w:p w:rsidR="00E03913" w:rsidRPr="00F65F0D" w:rsidRDefault="00E03913" w:rsidP="00E03913">
      <w:r>
        <w:t xml:space="preserve">For further details refer to </w:t>
      </w:r>
      <w:r w:rsidRPr="00F65F0D">
        <w:t xml:space="preserve">the </w:t>
      </w:r>
      <w:hyperlink r:id="rId13" w:history="1">
        <w:r w:rsidRPr="008E157A">
          <w:rPr>
            <w:rStyle w:val="Hyperlink"/>
          </w:rPr>
          <w:t>Public Summary Document</w:t>
        </w:r>
      </w:hyperlink>
      <w:r w:rsidRPr="00485975">
        <w:t xml:space="preserve"> from the </w:t>
      </w:r>
      <w:r w:rsidR="00233D6B" w:rsidRPr="00485975">
        <w:t xml:space="preserve">November 2016 </w:t>
      </w:r>
      <w:r w:rsidRPr="00485975">
        <w:t>PBAC</w:t>
      </w:r>
      <w:r>
        <w:t xml:space="preserve"> meeting.</w:t>
      </w:r>
    </w:p>
    <w:p w:rsidR="00D94863" w:rsidRDefault="002759C2" w:rsidP="002759C2">
      <w:pPr>
        <w:pStyle w:val="Heading3"/>
      </w:pPr>
      <w:r>
        <w:t xml:space="preserve">Squamous and non-squamous </w:t>
      </w:r>
    </w:p>
    <w:p w:rsidR="002759C2" w:rsidRPr="002759C2" w:rsidRDefault="002759C2" w:rsidP="00D94863">
      <w:pPr>
        <w:rPr>
          <w:b/>
        </w:rPr>
      </w:pPr>
      <w:r w:rsidRPr="002759C2">
        <w:rPr>
          <w:b/>
        </w:rPr>
        <w:t>March 2017</w:t>
      </w:r>
    </w:p>
    <w:p w:rsidR="002759C2" w:rsidRDefault="00C260B3" w:rsidP="00D94863">
      <w:r>
        <w:t xml:space="preserve">The PBAC recommended the Authority Required (STREAMLINED) listing of </w:t>
      </w:r>
      <w:proofErr w:type="spellStart"/>
      <w:r>
        <w:t>nivolumab</w:t>
      </w:r>
      <w:proofErr w:type="spellEnd"/>
      <w:r>
        <w:t xml:space="preserve"> for the treatment of locally advanced or metastatic, squamous or non-squamous, NSCLC. The PBAC considered that, with its suggested modifications, the risk sharing arrangements proposed by the sponsor adequately addressed concerns regarding the possible variation in the extent of effectiveness in patients 75 years or older, and uncertainties regarding the ICERs presented in the November 2016 submissions, the overall numbers using </w:t>
      </w:r>
      <w:proofErr w:type="spellStart"/>
      <w:r>
        <w:t>nivolumab</w:t>
      </w:r>
      <w:proofErr w:type="spellEnd"/>
      <w:r>
        <w:t xml:space="preserve"> in NSCLC, the risk of leakage of </w:t>
      </w:r>
      <w:proofErr w:type="spellStart"/>
      <w:r>
        <w:t>nivolumab</w:t>
      </w:r>
      <w:proofErr w:type="spellEnd"/>
      <w:r>
        <w:t xml:space="preserve"> outside of the intended restriction, and the duration of </w:t>
      </w:r>
      <w:proofErr w:type="spellStart"/>
      <w:r>
        <w:t>nivolumab</w:t>
      </w:r>
      <w:proofErr w:type="spellEnd"/>
      <w:r>
        <w:t xml:space="preserve"> treatment.</w:t>
      </w:r>
    </w:p>
    <w:p w:rsidR="000F6611" w:rsidRPr="008E157A" w:rsidRDefault="000F6611" w:rsidP="00D94863">
      <w:r>
        <w:lastRenderedPageBreak/>
        <w:t xml:space="preserve">For further details refer to </w:t>
      </w:r>
      <w:r w:rsidRPr="00F65F0D">
        <w:t xml:space="preserve">the </w:t>
      </w:r>
      <w:hyperlink r:id="rId14" w:history="1">
        <w:r w:rsidRPr="004B731A">
          <w:rPr>
            <w:rStyle w:val="Hyperlink"/>
          </w:rPr>
          <w:t>Public Summary Document</w:t>
        </w:r>
      </w:hyperlink>
      <w:r w:rsidRPr="00485975">
        <w:t xml:space="preserve"> from the March 2017 PBAC</w:t>
      </w:r>
      <w:r>
        <w:t xml:space="preserve"> meeting.</w:t>
      </w:r>
    </w:p>
    <w:p w:rsidR="00C0399F" w:rsidRDefault="00C0399F" w:rsidP="00C0399F">
      <w:pPr>
        <w:pStyle w:val="Heading3"/>
      </w:pPr>
      <w:r>
        <w:t>Flat dosing</w:t>
      </w:r>
    </w:p>
    <w:p w:rsidR="00C0399F" w:rsidRPr="00C0399F" w:rsidRDefault="00C0399F" w:rsidP="00C0399F">
      <w:pPr>
        <w:rPr>
          <w:b/>
        </w:rPr>
      </w:pPr>
      <w:r w:rsidRPr="00C0399F">
        <w:rPr>
          <w:b/>
        </w:rPr>
        <w:t>March 2019</w:t>
      </w:r>
    </w:p>
    <w:p w:rsidR="00C0399F" w:rsidRDefault="00C0399F" w:rsidP="00C0399F">
      <w:r>
        <w:t xml:space="preserve">At the March 2019 meeting a minor submission was recommended by the PBAC which requested the addition of two flat dosing regimens to the current 3 mg/kg every two weeks (Q2W) weight based dosing regimen to allow clinicians choice of either: </w:t>
      </w:r>
    </w:p>
    <w:p w:rsidR="00C0399F" w:rsidRDefault="00C0399F" w:rsidP="00C0399F">
      <w:pPr>
        <w:pStyle w:val="ListParagraph"/>
        <w:numPr>
          <w:ilvl w:val="0"/>
          <w:numId w:val="16"/>
        </w:numPr>
      </w:pPr>
      <w:r>
        <w:t xml:space="preserve">weight-based 3 mg/kg Q2W dosing, or </w:t>
      </w:r>
    </w:p>
    <w:p w:rsidR="00C0399F" w:rsidRDefault="00C0399F" w:rsidP="00C0399F">
      <w:pPr>
        <w:pStyle w:val="ListParagraph"/>
        <w:numPr>
          <w:ilvl w:val="0"/>
          <w:numId w:val="16"/>
        </w:numPr>
      </w:pPr>
      <w:r>
        <w:t xml:space="preserve">flat 240 mg Q2W dosing, or </w:t>
      </w:r>
    </w:p>
    <w:p w:rsidR="00C0399F" w:rsidRDefault="00C0399F" w:rsidP="00C0399F">
      <w:pPr>
        <w:pStyle w:val="ListParagraph"/>
        <w:numPr>
          <w:ilvl w:val="0"/>
          <w:numId w:val="16"/>
        </w:numPr>
      </w:pPr>
      <w:r>
        <w:t>flat 480 mg Q4W dosing</w:t>
      </w:r>
    </w:p>
    <w:p w:rsidR="00C0399F" w:rsidRDefault="00C0399F" w:rsidP="00C0399F">
      <w:r>
        <w:t xml:space="preserve">The minor submission requested that all three dosing regimens be made available for all existing </w:t>
      </w:r>
      <w:proofErr w:type="spellStart"/>
      <w:r>
        <w:t>nivolumab</w:t>
      </w:r>
      <w:proofErr w:type="spellEnd"/>
      <w:r>
        <w:t xml:space="preserve"> PBS listed indications.</w:t>
      </w:r>
    </w:p>
    <w:p w:rsidR="00BB6EB7" w:rsidRPr="005A1B6D" w:rsidRDefault="00BB6EB7" w:rsidP="00C0399F">
      <w:r w:rsidRPr="00BB6EB7">
        <w:t xml:space="preserve">For further details refer to the </w:t>
      </w:r>
      <w:hyperlink r:id="rId15" w:history="1">
        <w:r w:rsidRPr="004B731A">
          <w:rPr>
            <w:rStyle w:val="Hyperlink"/>
          </w:rPr>
          <w:t>Public Summary Document</w:t>
        </w:r>
      </w:hyperlink>
      <w:r w:rsidRPr="00485975">
        <w:t xml:space="preserve"> from the March 2019 PBAC</w:t>
      </w:r>
      <w:r w:rsidRPr="00BB6EB7">
        <w:t xml:space="preserve"> meeting.</w:t>
      </w:r>
    </w:p>
    <w:p w:rsidR="000F2F51" w:rsidRDefault="00ED633B" w:rsidP="00C0399F">
      <w:pPr>
        <w:pStyle w:val="Heading2"/>
        <w:keepNext/>
      </w:pPr>
      <w:r>
        <w:t>A</w:t>
      </w:r>
      <w:r w:rsidR="000F2F51">
        <w:t xml:space="preserve">pproach </w:t>
      </w:r>
      <w:r>
        <w:t xml:space="preserve">taken to </w:t>
      </w:r>
      <w:r w:rsidR="000F2F51">
        <w:t>estimat</w:t>
      </w:r>
      <w:r>
        <w:t>e</w:t>
      </w:r>
      <w:r w:rsidR="000F2F51">
        <w:t xml:space="preserve"> utilisation</w:t>
      </w:r>
    </w:p>
    <w:p w:rsidR="000B0AB9" w:rsidRDefault="000B0AB9" w:rsidP="00A35800">
      <w:r w:rsidRPr="000B0AB9">
        <w:t xml:space="preserve">The </w:t>
      </w:r>
      <w:r>
        <w:t>March 2017 submission included separate estimates of squamous and non-squamous NSCLC, which were updated from the previous submissions.</w:t>
      </w:r>
    </w:p>
    <w:p w:rsidR="009E44CB" w:rsidRDefault="00A811DA" w:rsidP="00A35800">
      <w:r>
        <w:t xml:space="preserve">The estimates of squamous and non-squamous both </w:t>
      </w:r>
      <w:r w:rsidR="00AD07F1">
        <w:t>took</w:t>
      </w:r>
      <w:r>
        <w:t xml:space="preserve"> </w:t>
      </w:r>
      <w:r w:rsidR="00AD07F1">
        <w:t>an</w:t>
      </w:r>
      <w:r w:rsidR="00514EC3">
        <w:t xml:space="preserve"> epidemiological approach</w:t>
      </w:r>
      <w:r w:rsidR="00AD07F1">
        <w:t xml:space="preserve">. The submissions used </w:t>
      </w:r>
      <w:r w:rsidR="00514EC3">
        <w:t xml:space="preserve">incidence data from the AIHW and </w:t>
      </w:r>
      <w:r w:rsidR="00BD77DB">
        <w:t xml:space="preserve">made assumptions based on </w:t>
      </w:r>
      <w:r w:rsidR="008E0629">
        <w:t>a publication from the AIHW.</w:t>
      </w:r>
      <w:r w:rsidR="008E0629">
        <w:rPr>
          <w:rStyle w:val="FootnoteReference"/>
        </w:rPr>
        <w:footnoteReference w:id="6"/>
      </w:r>
      <w:r w:rsidR="008E0629">
        <w:t xml:space="preserve"> The submissions </w:t>
      </w:r>
      <w:r w:rsidR="00514EC3">
        <w:t>assumed</w:t>
      </w:r>
      <w:r w:rsidR="00AD07F1">
        <w:t xml:space="preserve"> 87% of newly diagnosed lung cancer </w:t>
      </w:r>
      <w:r w:rsidR="008E0629">
        <w:t>is</w:t>
      </w:r>
      <w:r w:rsidR="00AD07F1">
        <w:t xml:space="preserve"> NSCLC, 26% of newly diagnosed NSCLC </w:t>
      </w:r>
      <w:r w:rsidR="008E0629">
        <w:t>is</w:t>
      </w:r>
      <w:r w:rsidR="00AD07F1">
        <w:t xml:space="preserve"> squamous NSCLC and 74% </w:t>
      </w:r>
      <w:r w:rsidR="008E0629">
        <w:t xml:space="preserve">is </w:t>
      </w:r>
      <w:r w:rsidR="00AD07F1">
        <w:t xml:space="preserve">non-squamous NSCLC. The estimates for squamous NSCLC </w:t>
      </w:r>
      <w:r w:rsidR="00FB0DFF">
        <w:t xml:space="preserve">assumed 49.9% of </w:t>
      </w:r>
      <w:r w:rsidR="008E0629">
        <w:t xml:space="preserve">eligible </w:t>
      </w:r>
      <w:r w:rsidR="00FB0DFF">
        <w:t xml:space="preserve">patients would receive </w:t>
      </w:r>
      <w:r w:rsidR="00FB0DFF" w:rsidRPr="00FB0DFF">
        <w:t>platinum doublet chemotherapy</w:t>
      </w:r>
      <w:r w:rsidR="00AD07F1">
        <w:t>, and</w:t>
      </w:r>
      <w:r w:rsidR="00FB0DFF">
        <w:t xml:space="preserve"> the estimates for non-squamous NSCLC assumed 53% of </w:t>
      </w:r>
      <w:r w:rsidR="008E0629">
        <w:t xml:space="preserve">eligible </w:t>
      </w:r>
      <w:r w:rsidR="00FB0DFF">
        <w:t xml:space="preserve">patients would receive </w:t>
      </w:r>
      <w:r w:rsidR="00FB0DFF" w:rsidRPr="00FB0DFF">
        <w:t>platinum doublet chemotherapy</w:t>
      </w:r>
      <w:r w:rsidR="00FB0DFF">
        <w:t>.</w:t>
      </w:r>
    </w:p>
    <w:p w:rsidR="009E44CB" w:rsidRPr="00100AFF" w:rsidRDefault="009E44CB" w:rsidP="00A35800">
      <w:r w:rsidRPr="00100AFF">
        <w:t>The estimated mean dose per patient was 226 mg for squamous patients and 220 mg for non-squamous patients</w:t>
      </w:r>
      <w:r w:rsidR="008E0629" w:rsidRPr="00100AFF">
        <w:t>, calculated from the dosage in the PI and trial using patient weights from the early access program</w:t>
      </w:r>
      <w:r w:rsidRPr="00100AFF">
        <w:t xml:space="preserve">. Both sets of estimates assumed the mean number of </w:t>
      </w:r>
      <w:proofErr w:type="spellStart"/>
      <w:r w:rsidRPr="00100AFF">
        <w:t>nivolumab</w:t>
      </w:r>
      <w:proofErr w:type="spellEnd"/>
      <w:r w:rsidRPr="00100AFF">
        <w:t xml:space="preserve"> treatments per patient would be </w:t>
      </w:r>
      <w:r w:rsidR="00485975">
        <w:rPr>
          <w:noProof/>
          <w:color w:val="000000"/>
          <w:highlight w:val="black"/>
        </w:rPr>
        <w:t>'''''</w:t>
      </w:r>
      <w:r w:rsidR="008E0629" w:rsidRPr="00100AFF">
        <w:t>, which was the mean number of treatments in the trial</w:t>
      </w:r>
      <w:r w:rsidRPr="00100AFF">
        <w:t>.</w:t>
      </w:r>
    </w:p>
    <w:p w:rsidR="008E157A" w:rsidRDefault="008E157A">
      <w:pPr>
        <w:spacing w:line="276" w:lineRule="auto"/>
        <w:rPr>
          <w:rFonts w:eastAsiaTheme="majorEastAsia" w:cstheme="majorBidi"/>
          <w:b/>
          <w:bCs/>
          <w:sz w:val="32"/>
          <w:szCs w:val="32"/>
        </w:rPr>
      </w:pPr>
      <w:r>
        <w:br w:type="page"/>
      </w:r>
    </w:p>
    <w:p w:rsidR="00E677DD" w:rsidRPr="005E22C2" w:rsidRDefault="00E677DD" w:rsidP="00CF5E22">
      <w:pPr>
        <w:pStyle w:val="Heading1"/>
      </w:pPr>
      <w:r w:rsidRPr="005E22C2">
        <w:lastRenderedPageBreak/>
        <w:t>Method</w:t>
      </w:r>
      <w:r w:rsidR="001B5D37" w:rsidRPr="005E22C2">
        <w:t>s</w:t>
      </w:r>
    </w:p>
    <w:p w:rsidR="00E81D99" w:rsidRDefault="00E81D99" w:rsidP="00E81D99">
      <w:r>
        <w:t xml:space="preserve">The report examines the use of </w:t>
      </w:r>
      <w:proofErr w:type="spellStart"/>
      <w:r>
        <w:t>nivolumab</w:t>
      </w:r>
      <w:proofErr w:type="spellEnd"/>
      <w:r>
        <w:t xml:space="preserve"> for the treatment of NSCLC. </w:t>
      </w:r>
      <w:r w:rsidRPr="006358B6">
        <w:t>Prescription</w:t>
      </w:r>
      <w:r>
        <w:t xml:space="preserve">s were extracted from the Services Australia prescription database from 1 August 2017. </w:t>
      </w:r>
    </w:p>
    <w:p w:rsidR="00E81D99" w:rsidRDefault="00495DAA" w:rsidP="00E81D99">
      <w:r>
        <w:t>C</w:t>
      </w:r>
      <w:r w:rsidR="00E81D99">
        <w:t xml:space="preserve">onsistency of assignment of indication was investigated. </w:t>
      </w:r>
      <w:r>
        <w:t>A</w:t>
      </w:r>
      <w:r w:rsidR="00E81D99">
        <w:t xml:space="preserve">ll </w:t>
      </w:r>
      <w:proofErr w:type="spellStart"/>
      <w:r w:rsidR="00E81D99">
        <w:t>nivolumab</w:t>
      </w:r>
      <w:proofErr w:type="spellEnd"/>
      <w:r w:rsidR="00E81D99">
        <w:t xml:space="preserve"> items (i.e. for all indications) </w:t>
      </w:r>
      <w:r>
        <w:t xml:space="preserve">were extracted </w:t>
      </w:r>
      <w:r w:rsidR="00E81D99">
        <w:t>from the</w:t>
      </w:r>
      <w:r w:rsidR="00E81D99" w:rsidRPr="009B3030">
        <w:t xml:space="preserve"> </w:t>
      </w:r>
      <w:r w:rsidR="00E81D99">
        <w:t xml:space="preserve">Services Australia prescription database </w:t>
      </w:r>
      <w:r w:rsidR="004A3EB5">
        <w:t>from</w:t>
      </w:r>
      <w:r w:rsidR="00E81D99">
        <w:t xml:space="preserve"> </w:t>
      </w:r>
      <w:r>
        <w:t>1 </w:t>
      </w:r>
      <w:r w:rsidR="00E81D99">
        <w:t xml:space="preserve">May 2016 when </w:t>
      </w:r>
      <w:proofErr w:type="spellStart"/>
      <w:r w:rsidR="00E81D99">
        <w:t>nivolumab</w:t>
      </w:r>
      <w:proofErr w:type="spellEnd"/>
      <w:r w:rsidR="00E81D99">
        <w:t xml:space="preserve"> was first</w:t>
      </w:r>
      <w:r w:rsidR="004A3EB5">
        <w:t xml:space="preserve"> listed for malignant melanoma</w:t>
      </w:r>
      <w:r w:rsidR="00E81D99">
        <w:t xml:space="preserve">. An analysis of indication sequence (see </w:t>
      </w:r>
      <w:r w:rsidR="006E3AEA">
        <w:t>Appendix A</w:t>
      </w:r>
      <w:r w:rsidR="00E81D99">
        <w:t xml:space="preserve"> for details) was then performed to determine the reliability of assigning indication via PBS item code.</w:t>
      </w:r>
      <w:r>
        <w:t xml:space="preserve"> This analysis showed that 95.8% of patients were treated for one indication. Therefore </w:t>
      </w:r>
      <w:r w:rsidR="004A3EB5">
        <w:t xml:space="preserve">for this analysis prescriptions were extracted for the item codes for </w:t>
      </w:r>
      <w:proofErr w:type="spellStart"/>
      <w:r w:rsidR="004A3EB5">
        <w:t>nivolumab</w:t>
      </w:r>
      <w:proofErr w:type="spellEnd"/>
      <w:r w:rsidR="004A3EB5">
        <w:t xml:space="preserve"> for NSCLC only.</w:t>
      </w:r>
    </w:p>
    <w:p w:rsidR="004A3EB5" w:rsidRDefault="004A3EB5" w:rsidP="00E81D99">
      <w:r>
        <w:t xml:space="preserve">These prescriptions were used to analyse overall use, the age and sex of patients, the supplied dose and time to resupply of </w:t>
      </w:r>
      <w:proofErr w:type="spellStart"/>
      <w:r>
        <w:t>nivolumab</w:t>
      </w:r>
      <w:proofErr w:type="spellEnd"/>
      <w:r>
        <w:t xml:space="preserve"> for NSCLC.</w:t>
      </w:r>
    </w:p>
    <w:p w:rsidR="002B75CD" w:rsidRDefault="004A3EB5" w:rsidP="00E81D99">
      <w:r>
        <w:t xml:space="preserve">Further data was obtained from Services Australia, which </w:t>
      </w:r>
      <w:r w:rsidR="002B75CD">
        <w:t xml:space="preserve">listed whether patients had died, and included the date of death if the patient had died. These data were used to analyse the length of treatment and time between last </w:t>
      </w:r>
      <w:proofErr w:type="spellStart"/>
      <w:r w:rsidR="002B75CD">
        <w:t>nivolumab</w:t>
      </w:r>
      <w:proofErr w:type="spellEnd"/>
      <w:r w:rsidR="002B75CD">
        <w:t xml:space="preserve"> prescription and death. </w:t>
      </w:r>
      <w:r w:rsidR="00940EF7">
        <w:t>As the prescription data were</w:t>
      </w:r>
      <w:r w:rsidR="002B75CD">
        <w:t xml:space="preserve"> extracted more recently, a smaller number of patients were analysed in this section</w:t>
      </w:r>
      <w:r w:rsidR="00940EF7">
        <w:t xml:space="preserve"> than in the overall use section</w:t>
      </w:r>
      <w:r w:rsidR="002B75CD">
        <w:t xml:space="preserve">. </w:t>
      </w:r>
      <w:r w:rsidR="00217AC5">
        <w:t xml:space="preserve">Thirty eight </w:t>
      </w:r>
      <w:r w:rsidR="00940EF7">
        <w:t xml:space="preserve">patients included in the date of death data were excluded from analyses because their last </w:t>
      </w:r>
      <w:proofErr w:type="spellStart"/>
      <w:r w:rsidR="00940EF7">
        <w:t>nivolumab</w:t>
      </w:r>
      <w:proofErr w:type="spellEnd"/>
      <w:r w:rsidR="00940EF7">
        <w:t xml:space="preserve"> supply was more than </w:t>
      </w:r>
      <w:r w:rsidR="00AD4C9C">
        <w:t xml:space="preserve">the median time to resupply (14 </w:t>
      </w:r>
      <w:r w:rsidR="00940EF7">
        <w:t>days</w:t>
      </w:r>
      <w:r w:rsidR="00AD4C9C">
        <w:t>)</w:t>
      </w:r>
      <w:r w:rsidR="00940EF7">
        <w:t xml:space="preserve"> after their recorded date of death</w:t>
      </w:r>
      <w:r w:rsidR="00217AC5">
        <w:t xml:space="preserve"> or</w:t>
      </w:r>
      <w:r w:rsidR="00940EF7">
        <w:t xml:space="preserve"> their recorded initiation of </w:t>
      </w:r>
      <w:proofErr w:type="spellStart"/>
      <w:r w:rsidR="00940EF7">
        <w:t>nivolumab</w:t>
      </w:r>
      <w:proofErr w:type="spellEnd"/>
      <w:r w:rsidR="00940EF7">
        <w:t xml:space="preserve"> was after their recorded date of death. </w:t>
      </w:r>
    </w:p>
    <w:p w:rsidR="008479E3" w:rsidRDefault="008479E3" w:rsidP="00E81D99">
      <w:r>
        <w:t>As this analysis uses date of supply prescription data, there may be small differences compared with publicly available Medicare date of processing data.</w:t>
      </w:r>
      <w:r>
        <w:rPr>
          <w:rStyle w:val="FootnoteReference"/>
        </w:rPr>
        <w:footnoteReference w:id="7"/>
      </w:r>
      <w:r>
        <w:t xml:space="preserve">  </w:t>
      </w:r>
    </w:p>
    <w:p w:rsidR="003E68E9" w:rsidRDefault="003E68E9" w:rsidP="00F42188">
      <w:pPr>
        <w:pStyle w:val="Heading2"/>
      </w:pPr>
      <w:r>
        <w:t>Number of doses</w:t>
      </w:r>
    </w:p>
    <w:p w:rsidR="003E68E9" w:rsidRDefault="003E68E9" w:rsidP="00E81D99">
      <w:r>
        <w:t xml:space="preserve">The number of doses patients were supplied was calculated for patients who initiated treatment with </w:t>
      </w:r>
      <w:proofErr w:type="spellStart"/>
      <w:r>
        <w:t>nivolumab</w:t>
      </w:r>
      <w:proofErr w:type="spellEnd"/>
      <w:r>
        <w:t xml:space="preserve"> between 1 August 2017 and 31 July 2018, i.e. in the first year of PBS listing.</w:t>
      </w:r>
    </w:p>
    <w:p w:rsidR="00543169" w:rsidRDefault="00543169" w:rsidP="0093080F">
      <w:pPr>
        <w:pStyle w:val="Heading2"/>
      </w:pPr>
      <w:r>
        <w:t>Length of treatment</w:t>
      </w:r>
    </w:p>
    <w:p w:rsidR="00543169" w:rsidRDefault="00543169" w:rsidP="00E81D99">
      <w:r>
        <w:t>The length of treatment was estimated using the Kaplan Meier method</w:t>
      </w:r>
      <w:r w:rsidR="0003504B">
        <w:t xml:space="preserve"> for the 5,117 patients included in the Services Australia date of death data</w:t>
      </w:r>
      <w:r>
        <w:t xml:space="preserve">. Two ways of measuring length of treatment were undertaken to account for patients stopping </w:t>
      </w:r>
      <w:proofErr w:type="spellStart"/>
      <w:r w:rsidR="00A1057A">
        <w:t>nivolumab</w:t>
      </w:r>
      <w:proofErr w:type="spellEnd"/>
      <w:r w:rsidR="00A1057A">
        <w:t xml:space="preserve"> </w:t>
      </w:r>
      <w:r>
        <w:t xml:space="preserve">for periods of time (called a ‘break’ in therapy). One analysis excluded the time of any breaks in treatment (i.e. reports the total time a patient is actually receiving regular supplies of </w:t>
      </w:r>
      <w:proofErr w:type="spellStart"/>
      <w:r w:rsidR="00A1057A">
        <w:t>nivolumab</w:t>
      </w:r>
      <w:proofErr w:type="spellEnd"/>
      <w:r>
        <w:t xml:space="preserve">) and the other did not. </w:t>
      </w:r>
    </w:p>
    <w:p w:rsidR="003B2640" w:rsidRDefault="00543169" w:rsidP="00E81D99">
      <w:r>
        <w:lastRenderedPageBreak/>
        <w:t xml:space="preserve">A patient was deemed to have a break in treatment if the time between two of their supplied prescriptions was more than </w:t>
      </w:r>
      <w:r w:rsidR="003B2640">
        <w:t>two</w:t>
      </w:r>
      <w:r>
        <w:t xml:space="preserve"> times the</w:t>
      </w:r>
      <w:r w:rsidR="003B2640">
        <w:t xml:space="preserve"> median time to resupply (i.e. 2 x 14</w:t>
      </w:r>
      <w:r>
        <w:t xml:space="preserve"> days), which is an estimated break in treatment of at least </w:t>
      </w:r>
      <w:r w:rsidR="003B2640">
        <w:t xml:space="preserve">one </w:t>
      </w:r>
      <w:r w:rsidR="00EB28DB">
        <w:t xml:space="preserve"> median</w:t>
      </w:r>
      <w:r w:rsidR="00F05445">
        <w:t xml:space="preserve"> time to</w:t>
      </w:r>
      <w:r w:rsidR="00EB28DB">
        <w:t xml:space="preserve"> </w:t>
      </w:r>
      <w:r w:rsidR="00F05445">
        <w:t>re</w:t>
      </w:r>
      <w:r w:rsidR="00EB28DB">
        <w:t>supply (i.e. 14 days)</w:t>
      </w:r>
      <w:r>
        <w:t xml:space="preserve">. </w:t>
      </w:r>
    </w:p>
    <w:p w:rsidR="003B2640" w:rsidRDefault="00543169" w:rsidP="00E81D99">
      <w:r>
        <w:t xml:space="preserve">A censoring definition was applied in the length of treatment analysis, to account for the end of the data observation period where patients who might be continuing supply appear to stop treatment (because there is no further data for supplies). </w:t>
      </w:r>
      <w:r w:rsidR="003B2640">
        <w:t>For patients noted by Services Australia to be alive, a</w:t>
      </w:r>
      <w:r>
        <w:t xml:space="preserve"> patient was deemed to be continuing treatment at the end of the data period if their last prescription was supplied within </w:t>
      </w:r>
      <w:r w:rsidR="003B2640">
        <w:t>two</w:t>
      </w:r>
      <w:r>
        <w:t xml:space="preserve"> times the median time to resupply of this end date. Otherwise, the patient was deemed to have ceased treatment with the treatment coverage end date being the supply date of their last prescription plus a median </w:t>
      </w:r>
      <w:r w:rsidR="003B2640">
        <w:t>time (14</w:t>
      </w:r>
      <w:r>
        <w:t xml:space="preserve"> days) to resupply.</w:t>
      </w:r>
      <w:r w:rsidR="003B2640">
        <w:t xml:space="preserve"> </w:t>
      </w:r>
    </w:p>
    <w:p w:rsidR="00543169" w:rsidRPr="00C0399F" w:rsidRDefault="003B2640" w:rsidP="00E81D99">
      <w:pPr>
        <w:rPr>
          <w:rFonts w:eastAsia="Calibri" w:cs="Times New Roman"/>
        </w:rPr>
      </w:pPr>
      <w:r>
        <w:t>For patients noted by Services Australia to have died, the patient was deemed to have died on treatment if their recorded date of death was earlier than their last prescription plus a median time (14 days) to resupply. The treatment coverage end date was determined to be the date of death, and the patient was censored. Otherwise, the patient was deemed to have ceased treatment with the treatment coverage end date being the supply date of their last prescription plus a median time (14 days) to resupply.</w:t>
      </w:r>
    </w:p>
    <w:p w:rsidR="006E3AEA" w:rsidRPr="00E77ED1" w:rsidRDefault="006E3AEA" w:rsidP="006E3AEA">
      <w:pPr>
        <w:pStyle w:val="Heading2"/>
      </w:pPr>
      <w:r>
        <w:t>Use of other immunotherapies for NSCLC</w:t>
      </w:r>
    </w:p>
    <w:p w:rsidR="006E3AEA" w:rsidRDefault="006E3AEA" w:rsidP="006E3AEA">
      <w:r>
        <w:t xml:space="preserve">To investigate the NSCLC immunotherapy market and to check for switching within the NSCLC immunotherapy market, prescriptions of </w:t>
      </w:r>
      <w:proofErr w:type="spellStart"/>
      <w:r>
        <w:t>atezolizumab</w:t>
      </w:r>
      <w:proofErr w:type="spellEnd"/>
      <w:r>
        <w:t xml:space="preserve">, </w:t>
      </w:r>
      <w:proofErr w:type="spellStart"/>
      <w:r>
        <w:t>pembrolizumab</w:t>
      </w:r>
      <w:proofErr w:type="spellEnd"/>
      <w:r>
        <w:t xml:space="preserve"> and </w:t>
      </w:r>
      <w:proofErr w:type="spellStart"/>
      <w:r>
        <w:t>durvalumab</w:t>
      </w:r>
      <w:proofErr w:type="spellEnd"/>
      <w:r>
        <w:t xml:space="preserve"> for NSCLC were extracted </w:t>
      </w:r>
      <w:r w:rsidR="00940EF7">
        <w:t>from their earliest listing for NSCLC to 31 March 2020</w:t>
      </w:r>
      <w:r>
        <w:t>.</w:t>
      </w:r>
    </w:p>
    <w:p w:rsidR="00E81D99" w:rsidRDefault="00DE03EF" w:rsidP="00DE03EF">
      <w:pPr>
        <w:pStyle w:val="Heading2"/>
      </w:pPr>
      <w:r>
        <w:t>Prior use of chemotherapy</w:t>
      </w:r>
    </w:p>
    <w:p w:rsidR="00DE03EF" w:rsidRDefault="00DE03EF" w:rsidP="00DE03EF">
      <w:r>
        <w:t xml:space="preserve">To </w:t>
      </w:r>
      <w:r w:rsidR="008479E3">
        <w:t>investigate the extent of</w:t>
      </w:r>
      <w:r>
        <w:t xml:space="preserve"> prior use of chemotherapy, prescriptions of </w:t>
      </w:r>
      <w:r w:rsidR="008479E3">
        <w:t>cisplatin and carboplatin were extracted from January 2010</w:t>
      </w:r>
      <w:r w:rsidR="00466753">
        <w:t xml:space="preserve">, to ensure </w:t>
      </w:r>
      <w:r w:rsidR="00E124CA">
        <w:t>that</w:t>
      </w:r>
      <w:r w:rsidR="00466753">
        <w:t xml:space="preserve"> patients were not classified as being naïve to treatment if they were treated with chemotherapy several years ago</w:t>
      </w:r>
      <w:r w:rsidR="008479E3">
        <w:t>.</w:t>
      </w:r>
      <w:r w:rsidR="006E3AEA">
        <w:t xml:space="preserve"> </w:t>
      </w:r>
      <w:proofErr w:type="spellStart"/>
      <w:r w:rsidR="008F7C7B">
        <w:t>Oxaliplatin</w:t>
      </w:r>
      <w:proofErr w:type="spellEnd"/>
      <w:r w:rsidR="008F7C7B">
        <w:t xml:space="preserve"> was not included as it is not </w:t>
      </w:r>
      <w:r w:rsidR="00B161E6">
        <w:t xml:space="preserve">generally </w:t>
      </w:r>
      <w:r w:rsidR="0003504B">
        <w:t>listed</w:t>
      </w:r>
      <w:r w:rsidR="008F7C7B">
        <w:t xml:space="preserve"> </w:t>
      </w:r>
      <w:r w:rsidR="00C123FC">
        <w:t xml:space="preserve">in clinical guidelines (e.g. in </w:t>
      </w:r>
      <w:proofErr w:type="spellStart"/>
      <w:r w:rsidR="00C123FC">
        <w:t>eviQ</w:t>
      </w:r>
      <w:proofErr w:type="spellEnd"/>
      <w:r w:rsidR="00C123FC">
        <w:t xml:space="preserve">) </w:t>
      </w:r>
      <w:r w:rsidR="008F7C7B">
        <w:t xml:space="preserve">as a treatment for NSCLC. </w:t>
      </w:r>
      <w:r w:rsidR="006E3AEA">
        <w:t xml:space="preserve">The use of cisplatin and carboplatin in patients who were not supplied </w:t>
      </w:r>
      <w:proofErr w:type="spellStart"/>
      <w:r w:rsidR="006E3AEA">
        <w:t>nivolumab</w:t>
      </w:r>
      <w:proofErr w:type="spellEnd"/>
      <w:r w:rsidR="006E3AEA">
        <w:t xml:space="preserve"> for NSCLC is not presented in the report.</w:t>
      </w:r>
    </w:p>
    <w:p w:rsidR="00940EF7" w:rsidRPr="00DE03EF" w:rsidRDefault="00940EF7" w:rsidP="00DE03EF"/>
    <w:p w:rsidR="00C714D0" w:rsidRPr="005E22C2" w:rsidRDefault="00C714D0" w:rsidP="008479E3">
      <w:pPr>
        <w:pStyle w:val="Heading1"/>
      </w:pPr>
      <w:r w:rsidRPr="005E22C2">
        <w:lastRenderedPageBreak/>
        <w:t>Results</w:t>
      </w:r>
    </w:p>
    <w:p w:rsidR="00736041" w:rsidRPr="005E22C2" w:rsidRDefault="001B5D37" w:rsidP="008479E3">
      <w:pPr>
        <w:pStyle w:val="Heading2"/>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8479E3">
      <w:pPr>
        <w:pStyle w:val="Heading3"/>
        <w:keepNext/>
      </w:pPr>
      <w:r w:rsidRPr="005E22C2">
        <w:t>Overall utilisation</w:t>
      </w:r>
    </w:p>
    <w:p w:rsidR="001A2553" w:rsidRDefault="0066360D" w:rsidP="00A35800">
      <w:pPr>
        <w:rPr>
          <w:highlight w:val="yellow"/>
        </w:rPr>
      </w:pPr>
      <w:r>
        <w:rPr>
          <w:noProof/>
        </w:rPr>
        <w:drawing>
          <wp:inline distT="0" distB="0" distL="0" distR="0" wp14:anchorId="0D88B5DA" wp14:editId="50B52597">
            <wp:extent cx="5687695" cy="3481705"/>
            <wp:effectExtent l="0" t="0" r="825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2553" w:rsidRPr="00C74082" w:rsidRDefault="00A47920" w:rsidP="00C74082">
      <w:pPr>
        <w:pStyle w:val="Figuretitle"/>
      </w:pPr>
      <w:r>
        <w:t>Figure 1</w:t>
      </w:r>
      <w:r w:rsidR="00C74082" w:rsidRPr="00C74082">
        <w:t xml:space="preserve">: Patients and prescriptions of </w:t>
      </w:r>
      <w:proofErr w:type="spellStart"/>
      <w:r w:rsidR="00C74082" w:rsidRPr="00C74082">
        <w:t>nivolumab</w:t>
      </w:r>
      <w:proofErr w:type="spellEnd"/>
      <w:r w:rsidR="00C74082" w:rsidRPr="00C74082">
        <w:t xml:space="preserve"> for NSCLC</w:t>
      </w:r>
    </w:p>
    <w:p w:rsidR="00EA34E0" w:rsidRDefault="00EA34E0" w:rsidP="00A35800">
      <w:pPr>
        <w:rPr>
          <w:highlight w:val="yellow"/>
        </w:rPr>
      </w:pPr>
    </w:p>
    <w:p w:rsidR="00E77ED1" w:rsidRDefault="00A47920" w:rsidP="00A35800">
      <w:r>
        <w:t>Figure 1</w:t>
      </w:r>
      <w:r w:rsidR="00E77ED1" w:rsidRPr="00E77ED1">
        <w:t xml:space="preserve"> shows that after an initial increase in use following PBS listing, the number of treated patients, initiating patients and supplied prescriptions have been decreasing since the third quarter of 2018. </w:t>
      </w:r>
    </w:p>
    <w:p w:rsidR="009E5D51" w:rsidRDefault="00F06E03" w:rsidP="00A35800">
      <w:r>
        <w:t>Of the 79,537 prescriptions dispensed in the dataset, 98.6% had a correct streamlined code recorded. The remaining</w:t>
      </w:r>
      <w:r w:rsidR="009F3C34">
        <w:t xml:space="preserve"> 1.4% of prescriptions had a </w:t>
      </w:r>
      <w:r w:rsidR="007A3F9A">
        <w:t>missing</w:t>
      </w:r>
      <w:r w:rsidR="009F3C34">
        <w:t xml:space="preserve"> streamlined code, likely due to an application through the </w:t>
      </w:r>
      <w:r w:rsidR="00E9201A">
        <w:t>Authority Approvals</w:t>
      </w:r>
      <w:r w:rsidR="009F3C34">
        <w:t xml:space="preserve"> database for an increase</w:t>
      </w:r>
      <w:r w:rsidR="007A3F9A">
        <w:t>d</w:t>
      </w:r>
      <w:r w:rsidR="009F3C34">
        <w:t xml:space="preserve"> amount. </w:t>
      </w:r>
    </w:p>
    <w:p w:rsidR="009E5D51" w:rsidRDefault="00230928" w:rsidP="00A35800">
      <w:r>
        <w:rPr>
          <w:noProof/>
        </w:rPr>
        <w:lastRenderedPageBreak/>
        <w:drawing>
          <wp:inline distT="0" distB="0" distL="0" distR="0" wp14:anchorId="506FF0F0" wp14:editId="717B1448">
            <wp:extent cx="5466522" cy="3687417"/>
            <wp:effectExtent l="0" t="0" r="127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5D51" w:rsidRDefault="00A47920" w:rsidP="002E4A92">
      <w:pPr>
        <w:pStyle w:val="Figuretitle"/>
      </w:pPr>
      <w:r>
        <w:t>Figure 2</w:t>
      </w:r>
      <w:r w:rsidR="002E4A92">
        <w:t xml:space="preserve">: Age and sex of patients at initiation to </w:t>
      </w:r>
      <w:proofErr w:type="spellStart"/>
      <w:r w:rsidR="002E4A92">
        <w:t>nivolumab</w:t>
      </w:r>
      <w:proofErr w:type="spellEnd"/>
      <w:r w:rsidR="002E4A92">
        <w:t xml:space="preserve"> for NSCLC </w:t>
      </w:r>
    </w:p>
    <w:p w:rsidR="009E5D51" w:rsidRDefault="009E5D51" w:rsidP="00A35800"/>
    <w:p w:rsidR="002E4A92" w:rsidRDefault="00A47920" w:rsidP="00A35800">
      <w:r>
        <w:t>Figure 2</w:t>
      </w:r>
      <w:r w:rsidR="002E4A92">
        <w:t xml:space="preserve"> shows the age and sex </w:t>
      </w:r>
      <w:r w:rsidR="002E4A92" w:rsidRPr="002E4A92">
        <w:t xml:space="preserve">of patients at initiation to </w:t>
      </w:r>
      <w:proofErr w:type="spellStart"/>
      <w:r w:rsidR="002E4A92" w:rsidRPr="002E4A92">
        <w:t>nivolumab</w:t>
      </w:r>
      <w:proofErr w:type="spellEnd"/>
      <w:r w:rsidR="002E4A92" w:rsidRPr="002E4A92">
        <w:t xml:space="preserve"> for NSCLC</w:t>
      </w:r>
      <w:r w:rsidR="002E4A92">
        <w:t xml:space="preserve">. Patients aged 15 to 44 years old and 90 to 99 years old are grouped because of small patient numbers. More males (3,146) than females (2,181) have initiated treatment since August 2017. In females, the </w:t>
      </w:r>
      <w:r w:rsidR="00B23B6F">
        <w:t>number</w:t>
      </w:r>
      <w:r w:rsidR="002E4A92">
        <w:t xml:space="preserve"> of patients aged 65 to 69 and 70 to 74 years old are similar, however in males the group with the highest number of </w:t>
      </w:r>
      <w:r w:rsidR="00F51676">
        <w:t xml:space="preserve">patients is the 70 to 74 year old group. </w:t>
      </w:r>
      <w:r w:rsidR="002E4A92">
        <w:t>Of the patients treated in 2019, 30% were aged 75 or older at their first prescription supplied in 2019.</w:t>
      </w:r>
    </w:p>
    <w:p w:rsidR="007F5587" w:rsidRDefault="007F5587" w:rsidP="00A35800"/>
    <w:p w:rsidR="00816E98" w:rsidRDefault="00816E98" w:rsidP="00A35800"/>
    <w:p w:rsidR="00816E98" w:rsidRPr="00495DAA" w:rsidRDefault="00816E98" w:rsidP="00421F2A">
      <w:pPr>
        <w:keepNext/>
        <w:rPr>
          <w:b/>
        </w:rPr>
      </w:pPr>
      <w:r w:rsidRPr="00495DAA">
        <w:rPr>
          <w:b/>
        </w:rPr>
        <w:lastRenderedPageBreak/>
        <w:t xml:space="preserve">Dosing of </w:t>
      </w:r>
      <w:proofErr w:type="spellStart"/>
      <w:r w:rsidRPr="00495DAA">
        <w:rPr>
          <w:b/>
        </w:rPr>
        <w:t>nivolumab</w:t>
      </w:r>
      <w:proofErr w:type="spellEnd"/>
    </w:p>
    <w:p w:rsidR="001C02C2" w:rsidRDefault="001C02C2" w:rsidP="000403FD">
      <w:r>
        <w:rPr>
          <w:noProof/>
        </w:rPr>
        <w:drawing>
          <wp:inline distT="0" distB="0" distL="0" distR="0" wp14:anchorId="19C5F9FB" wp14:editId="5B13D458">
            <wp:extent cx="5687695" cy="3460750"/>
            <wp:effectExtent l="0" t="0" r="8255"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C02C2" w:rsidRPr="008C3EB9" w:rsidRDefault="00A47920" w:rsidP="001C02C2">
      <w:pPr>
        <w:pStyle w:val="Figuretitle"/>
      </w:pPr>
      <w:r>
        <w:t>Figure 3</w:t>
      </w:r>
      <w:r w:rsidR="001C02C2" w:rsidRPr="008C3EB9">
        <w:t xml:space="preserve">: Dispensed dose of </w:t>
      </w:r>
      <w:proofErr w:type="spellStart"/>
      <w:r w:rsidR="001C02C2" w:rsidRPr="008C3EB9">
        <w:t>nivolumab</w:t>
      </w:r>
      <w:proofErr w:type="spellEnd"/>
      <w:r w:rsidR="001C02C2" w:rsidRPr="008C3EB9">
        <w:t xml:space="preserve"> for NSCLC over time</w:t>
      </w:r>
    </w:p>
    <w:p w:rsidR="001C02C2" w:rsidRDefault="001C02C2" w:rsidP="00960182">
      <w:pPr>
        <w:pStyle w:val="Notes"/>
      </w:pPr>
      <w:r>
        <w:t xml:space="preserve">Note: Top eight results shown. 140 – 160 represents doses </w:t>
      </w:r>
      <w:r>
        <w:rPr>
          <w:rFonts w:cstheme="minorHAnsi"/>
        </w:rPr>
        <w:t>≥</w:t>
      </w:r>
      <w:r>
        <w:t xml:space="preserve"> 140 and &lt; 160.</w:t>
      </w:r>
    </w:p>
    <w:p w:rsidR="00421F2A" w:rsidRDefault="00421F2A" w:rsidP="00A35800"/>
    <w:p w:rsidR="00420F18" w:rsidRDefault="000403FD" w:rsidP="00A35800">
      <w:r>
        <w:t>The submission estimated patients would be treated with a mean dose of 222 mg, however the restrictions were amended to allow flat dosing in September 2019.</w:t>
      </w:r>
      <w:r w:rsidR="00420F18">
        <w:t xml:space="preserve"> The introduction of flat dosing has increased the use of 240 mg and 480 mg, and decreased doses below and between these amounts. It appears the use of 480 mg began to increase prior to the ch</w:t>
      </w:r>
      <w:r w:rsidR="00A47920">
        <w:t>ange in September 2019. Figure 4</w:t>
      </w:r>
      <w:r w:rsidR="00420F18">
        <w:t xml:space="preserve"> below also shows that the mean and median doses per month have increased since the introduction of flat dosing, but the time to resupply has also increased. Note that the time to resupply in the last month of data is probably not reliable.</w:t>
      </w:r>
    </w:p>
    <w:p w:rsidR="00420F18" w:rsidRDefault="00420F18" w:rsidP="00420F18">
      <w:pPr>
        <w:rPr>
          <w:highlight w:val="yellow"/>
        </w:rPr>
      </w:pPr>
      <w:r>
        <w:rPr>
          <w:noProof/>
        </w:rPr>
        <w:lastRenderedPageBreak/>
        <w:drawing>
          <wp:inline distT="0" distB="0" distL="0" distR="0" wp14:anchorId="22C61CB8" wp14:editId="25489623">
            <wp:extent cx="5472113" cy="3586162"/>
            <wp:effectExtent l="0" t="0" r="1460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0F18" w:rsidRDefault="00420F18" w:rsidP="00420F18">
      <w:pPr>
        <w:pStyle w:val="Figuretitle"/>
      </w:pPr>
      <w:r w:rsidRPr="008C3EB9">
        <w:t xml:space="preserve">Figure </w:t>
      </w:r>
      <w:r w:rsidR="00A47920">
        <w:t>4</w:t>
      </w:r>
      <w:r w:rsidRPr="008C3EB9">
        <w:t xml:space="preserve">: </w:t>
      </w:r>
      <w:r>
        <w:t xml:space="preserve">Mean and median dose and time to resupply over time </w:t>
      </w:r>
    </w:p>
    <w:p w:rsidR="00590B5B" w:rsidRDefault="00590B5B" w:rsidP="00A35800">
      <w:pPr>
        <w:rPr>
          <w:highlight w:val="yellow"/>
        </w:rPr>
      </w:pPr>
    </w:p>
    <w:p w:rsidR="000651D2" w:rsidRDefault="004A559D" w:rsidP="00590B5B">
      <w:pPr>
        <w:rPr>
          <w:highlight w:val="yellow"/>
        </w:rPr>
      </w:pPr>
      <w:r>
        <w:rPr>
          <w:noProof/>
        </w:rPr>
        <w:drawing>
          <wp:inline distT="0" distB="0" distL="0" distR="0" wp14:anchorId="18EDB7FC" wp14:editId="0FB888D7">
            <wp:extent cx="5177641" cy="3206338"/>
            <wp:effectExtent l="0" t="0" r="444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55265" w:rsidRDefault="00555265" w:rsidP="00555265">
      <w:pPr>
        <w:pStyle w:val="Figuretitle"/>
      </w:pPr>
      <w:r w:rsidRPr="008C3EB9">
        <w:t xml:space="preserve">Figure </w:t>
      </w:r>
      <w:r>
        <w:t>5</w:t>
      </w:r>
      <w:r w:rsidRPr="008C3EB9">
        <w:t xml:space="preserve">: </w:t>
      </w:r>
      <w:r>
        <w:t xml:space="preserve">Mean doses per patient six months prior to and following the introduction of flat dosing in September 2019 </w:t>
      </w:r>
    </w:p>
    <w:p w:rsidR="004A559D" w:rsidRDefault="004A559D" w:rsidP="00A35800"/>
    <w:p w:rsidR="00590B5B" w:rsidRDefault="00552CD3" w:rsidP="00A35800">
      <w:r>
        <w:lastRenderedPageBreak/>
        <w:t>Figure 5</w:t>
      </w:r>
      <w:r w:rsidR="004A559D">
        <w:t xml:space="preserve"> shows that the total dose of </w:t>
      </w:r>
      <w:proofErr w:type="spellStart"/>
      <w:r w:rsidR="004A559D">
        <w:t>nivolumab</w:t>
      </w:r>
      <w:proofErr w:type="spellEnd"/>
      <w:r w:rsidR="004A559D">
        <w:t xml:space="preserve"> supplied to patients per month</w:t>
      </w:r>
      <w:r w:rsidRPr="00552CD3">
        <w:t xml:space="preserve"> </w:t>
      </w:r>
      <w:r w:rsidR="004A559D">
        <w:t>has</w:t>
      </w:r>
      <w:r w:rsidRPr="00552CD3">
        <w:t xml:space="preserve"> remained relatively stable</w:t>
      </w:r>
      <w:r w:rsidR="004A559D">
        <w:t xml:space="preserve">. In the six months prior to the introduction of flat dosing (March to August 2019) the mean dose per patient per month was 445 mg, and the mean dose per patient per month in the six months after the change (September 2019 to February 2020) was 481. </w:t>
      </w:r>
      <w:r w:rsidRPr="00552CD3">
        <w:t xml:space="preserve"> </w:t>
      </w:r>
      <w:r>
        <w:t xml:space="preserve">The introduction of flat dosing </w:t>
      </w:r>
      <w:r w:rsidR="008C5D8E">
        <w:t>does not appear</w:t>
      </w:r>
      <w:r w:rsidR="00F40BC0">
        <w:t xml:space="preserve"> to </w:t>
      </w:r>
      <w:r w:rsidR="008C5D8E">
        <w:t xml:space="preserve">have </w:t>
      </w:r>
      <w:r w:rsidR="00F40BC0">
        <w:t>affect</w:t>
      </w:r>
      <w:r w:rsidR="008C5D8E">
        <w:t>ed</w:t>
      </w:r>
      <w:r>
        <w:t xml:space="preserve"> </w:t>
      </w:r>
      <w:r w:rsidR="004A559D">
        <w:t xml:space="preserve">the amount of </w:t>
      </w:r>
      <w:proofErr w:type="spellStart"/>
      <w:r w:rsidR="004A559D">
        <w:t>nivolumab</w:t>
      </w:r>
      <w:proofErr w:type="spellEnd"/>
      <w:r w:rsidR="004A559D">
        <w:t xml:space="preserve"> supplied to patients per mont</w:t>
      </w:r>
      <w:r w:rsidR="008C5D8E">
        <w:t>h.</w:t>
      </w:r>
      <w:r w:rsidR="00F40BC0">
        <w:t xml:space="preserve"> </w:t>
      </w:r>
    </w:p>
    <w:p w:rsidR="004A559D" w:rsidRPr="00552CD3" w:rsidRDefault="004A559D" w:rsidP="00A35800"/>
    <w:p w:rsidR="00BB6EB7" w:rsidRDefault="005018C0" w:rsidP="00A35800">
      <w:pPr>
        <w:rPr>
          <w:highlight w:val="yellow"/>
        </w:rPr>
      </w:pPr>
      <w:r>
        <w:rPr>
          <w:noProof/>
        </w:rPr>
        <w:drawing>
          <wp:inline distT="0" distB="0" distL="0" distR="0" wp14:anchorId="6CB487A4" wp14:editId="64C490FE">
            <wp:extent cx="5687695" cy="3303270"/>
            <wp:effectExtent l="0" t="0" r="8255"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31290" w:rsidRDefault="00A47920" w:rsidP="00531290">
      <w:pPr>
        <w:pStyle w:val="Figuretitle"/>
      </w:pPr>
      <w:r>
        <w:t xml:space="preserve">Figure </w:t>
      </w:r>
      <w:r w:rsidR="00590B5B">
        <w:t>6</w:t>
      </w:r>
      <w:r w:rsidR="00531290" w:rsidRPr="008C3EB9">
        <w:t xml:space="preserve">: </w:t>
      </w:r>
      <w:r w:rsidR="00531290">
        <w:t>Time between supplies</w:t>
      </w:r>
      <w:r w:rsidR="00531290" w:rsidRPr="008C3EB9">
        <w:t xml:space="preserve"> of </w:t>
      </w:r>
      <w:proofErr w:type="spellStart"/>
      <w:r w:rsidR="00531290" w:rsidRPr="008C3EB9">
        <w:t>nivolumab</w:t>
      </w:r>
      <w:proofErr w:type="spellEnd"/>
      <w:r w:rsidR="00531290" w:rsidRPr="008C3EB9">
        <w:t xml:space="preserve"> for NSCLC </w:t>
      </w:r>
    </w:p>
    <w:p w:rsidR="00531290" w:rsidRDefault="00531290" w:rsidP="00BA4E41"/>
    <w:p w:rsidR="00420F18" w:rsidRDefault="00495DAA" w:rsidP="00466753">
      <w:r>
        <w:t>When all prescriptions for</w:t>
      </w:r>
      <w:r w:rsidR="00420F18">
        <w:t xml:space="preserve"> </w:t>
      </w:r>
      <w:proofErr w:type="spellStart"/>
      <w:r w:rsidR="00420F18">
        <w:t>nivolumab</w:t>
      </w:r>
      <w:proofErr w:type="spellEnd"/>
      <w:r w:rsidR="00420F18">
        <w:t xml:space="preserve"> </w:t>
      </w:r>
      <w:r>
        <w:t>for NSCLC were considered,</w:t>
      </w:r>
      <w:r w:rsidR="00420F18">
        <w:t xml:space="preserve"> the time to resupply was frequently 14 days. In the most recent quarter of data,</w:t>
      </w:r>
      <w:r w:rsidR="005457E7">
        <w:t xml:space="preserve"> the most frequent time to resupply is </w:t>
      </w:r>
      <w:r w:rsidR="00466753">
        <w:t>also</w:t>
      </w:r>
      <w:r w:rsidR="005457E7">
        <w:t xml:space="preserve"> 14 days, but the proportion of prescriptions resupplied at 28 days is higher. </w:t>
      </w:r>
    </w:p>
    <w:p w:rsidR="003E68E9" w:rsidRDefault="003E68E9" w:rsidP="003E68E9">
      <w:pPr>
        <w:rPr>
          <w:highlight w:val="yellow"/>
        </w:rPr>
      </w:pPr>
    </w:p>
    <w:p w:rsidR="003E68E9" w:rsidRPr="00BA4E41" w:rsidRDefault="003E68E9" w:rsidP="003E68E9">
      <w:pPr>
        <w:rPr>
          <w:b/>
        </w:rPr>
      </w:pPr>
      <w:r w:rsidRPr="00BA4E41">
        <w:rPr>
          <w:b/>
        </w:rPr>
        <w:t>Number of doses</w:t>
      </w:r>
    </w:p>
    <w:p w:rsidR="003E68E9" w:rsidRDefault="003E68E9" w:rsidP="00495DAA">
      <w:r>
        <w:t xml:space="preserve">For patients who initiated in the first year of PBS listing, the </w:t>
      </w:r>
      <w:r w:rsidR="00D91093">
        <w:t xml:space="preserve">mean </w:t>
      </w:r>
      <w:r>
        <w:t xml:space="preserve">number of doses supplied </w:t>
      </w:r>
      <w:r w:rsidR="00D91093">
        <w:t>was 18, and the median was 10</w:t>
      </w:r>
      <w:r>
        <w:t>.</w:t>
      </w:r>
      <w:r w:rsidR="00D91093">
        <w:t xml:space="preserve"> </w:t>
      </w:r>
      <w:r w:rsidR="0011643B">
        <w:t>There are 3,520</w:t>
      </w:r>
      <w:r w:rsidR="00D91093">
        <w:t xml:space="preserve"> patients included in this analysis, </w:t>
      </w:r>
      <w:r w:rsidR="00A47920">
        <w:t>1,162 (</w:t>
      </w:r>
      <w:r w:rsidR="00D91093">
        <w:t>33%</w:t>
      </w:r>
      <w:r w:rsidR="00A47920">
        <w:t>)</w:t>
      </w:r>
      <w:r w:rsidR="00D91093">
        <w:t xml:space="preserve"> </w:t>
      </w:r>
      <w:r w:rsidR="00A63825">
        <w:t xml:space="preserve">of these patients </w:t>
      </w:r>
      <w:r w:rsidR="00D91093">
        <w:t>have died</w:t>
      </w:r>
      <w:r w:rsidR="00563E61">
        <w:t xml:space="preserve">.  </w:t>
      </w:r>
    </w:p>
    <w:p w:rsidR="003235F8" w:rsidRDefault="003235F8" w:rsidP="00495DAA"/>
    <w:p w:rsidR="00495DAA" w:rsidRPr="00495DAA" w:rsidRDefault="00495DAA" w:rsidP="00495DAA">
      <w:pPr>
        <w:keepNext/>
        <w:rPr>
          <w:b/>
        </w:rPr>
      </w:pPr>
      <w:r w:rsidRPr="00495DAA">
        <w:rPr>
          <w:b/>
        </w:rPr>
        <w:lastRenderedPageBreak/>
        <w:t>Length of treatment</w:t>
      </w:r>
    </w:p>
    <w:p w:rsidR="00495DAA" w:rsidRDefault="0011643B" w:rsidP="00495DAA">
      <w:r>
        <w:rPr>
          <w:rFonts w:ascii="Arial" w:hAnsi="Arial" w:cs="Arial"/>
          <w:noProof/>
          <w:color w:val="000000"/>
          <w:sz w:val="20"/>
          <w:szCs w:val="20"/>
        </w:rPr>
        <w:drawing>
          <wp:inline distT="0" distB="0" distL="0" distR="0" wp14:anchorId="63FB4832" wp14:editId="3A0DA3E5">
            <wp:extent cx="5687695" cy="4267994"/>
            <wp:effectExtent l="0" t="0" r="8255" b="0"/>
            <wp:docPr id="7" name="Picture 7"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7695" cy="4267994"/>
                    </a:xfrm>
                    <a:prstGeom prst="rect">
                      <a:avLst/>
                    </a:prstGeom>
                    <a:noFill/>
                    <a:ln>
                      <a:noFill/>
                    </a:ln>
                  </pic:spPr>
                </pic:pic>
              </a:graphicData>
            </a:graphic>
          </wp:inline>
        </w:drawing>
      </w:r>
    </w:p>
    <w:p w:rsidR="00495DAA" w:rsidRDefault="00A47920" w:rsidP="00495DAA">
      <w:pPr>
        <w:pStyle w:val="Figuretitle"/>
      </w:pPr>
      <w:r>
        <w:t xml:space="preserve">Figure </w:t>
      </w:r>
      <w:r w:rsidR="00590B5B">
        <w:t>7</w:t>
      </w:r>
      <w:r w:rsidR="00495DAA">
        <w:t xml:space="preserve">: Length of treatment for patients treated with </w:t>
      </w:r>
      <w:proofErr w:type="spellStart"/>
      <w:r w:rsidR="00495DAA">
        <w:t>nivolumab</w:t>
      </w:r>
      <w:proofErr w:type="spellEnd"/>
      <w:r w:rsidR="00495DAA">
        <w:t xml:space="preserve"> for NSCLC </w:t>
      </w:r>
    </w:p>
    <w:p w:rsidR="00495DAA" w:rsidRDefault="00495DAA" w:rsidP="00495DAA"/>
    <w:p w:rsidR="00A63825" w:rsidRDefault="00A63825">
      <w:pPr>
        <w:spacing w:line="276" w:lineRule="auto"/>
        <w:rPr>
          <w:b/>
        </w:rPr>
      </w:pPr>
      <w:r>
        <w:br w:type="page"/>
      </w:r>
    </w:p>
    <w:p w:rsidR="002503A0" w:rsidRDefault="004437ED" w:rsidP="002503A0">
      <w:pPr>
        <w:pStyle w:val="Tabletitle"/>
      </w:pPr>
      <w:r>
        <w:lastRenderedPageBreak/>
        <w:t>Table 2</w:t>
      </w:r>
      <w:r w:rsidR="002503A0">
        <w:t>: Estimate length of treatment from Kaplan Meier analysis</w:t>
      </w:r>
    </w:p>
    <w:tbl>
      <w:tblPr>
        <w:tblW w:w="8505" w:type="dxa"/>
        <w:tblInd w:w="-5" w:type="dxa"/>
        <w:tblLayout w:type="fixed"/>
        <w:tblLook w:val="04A0" w:firstRow="1" w:lastRow="0" w:firstColumn="1" w:lastColumn="0" w:noHBand="0" w:noVBand="1"/>
      </w:tblPr>
      <w:tblGrid>
        <w:gridCol w:w="2126"/>
        <w:gridCol w:w="2126"/>
        <w:gridCol w:w="2126"/>
        <w:gridCol w:w="2127"/>
      </w:tblGrid>
      <w:tr w:rsidR="00A63825" w:rsidRPr="00A63825" w:rsidTr="00A63825">
        <w:trPr>
          <w:trHeight w:val="300"/>
        </w:trPr>
        <w:tc>
          <w:tcPr>
            <w:tcW w:w="212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63825" w:rsidRPr="00A63825" w:rsidRDefault="00A63825" w:rsidP="00A63825">
            <w:pPr>
              <w:spacing w:after="0"/>
              <w:rPr>
                <w:rFonts w:ascii="Calibri" w:eastAsia="Times New Roman" w:hAnsi="Calibri" w:cs="Calibri"/>
                <w:b/>
                <w:bCs/>
                <w:color w:val="000000"/>
                <w:sz w:val="20"/>
                <w:szCs w:val="20"/>
              </w:rPr>
            </w:pPr>
            <w:r w:rsidRPr="00A63825">
              <w:rPr>
                <w:rFonts w:ascii="Calibri" w:eastAsia="Times New Roman" w:hAnsi="Calibri" w:cs="Calibri"/>
                <w:b/>
                <w:bCs/>
                <w:color w:val="000000"/>
                <w:sz w:val="20"/>
                <w:szCs w:val="20"/>
              </w:rPr>
              <w:t> </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A63825" w:rsidRPr="00A63825" w:rsidRDefault="00A63825" w:rsidP="00B23B6F">
            <w:pPr>
              <w:spacing w:after="0"/>
              <w:jc w:val="center"/>
              <w:rPr>
                <w:rFonts w:ascii="Calibri" w:eastAsia="Times New Roman" w:hAnsi="Calibri" w:cs="Calibri"/>
                <w:b/>
                <w:bCs/>
                <w:color w:val="000000"/>
                <w:sz w:val="20"/>
                <w:szCs w:val="20"/>
              </w:rPr>
            </w:pPr>
            <w:r w:rsidRPr="00A63825">
              <w:rPr>
                <w:rFonts w:ascii="Calibri" w:eastAsia="Times New Roman" w:hAnsi="Calibri" w:cs="Calibri"/>
                <w:b/>
                <w:bCs/>
                <w:color w:val="000000"/>
                <w:sz w:val="20"/>
                <w:szCs w:val="20"/>
              </w:rPr>
              <w:t xml:space="preserve">0-74 </w:t>
            </w:r>
            <w:r w:rsidR="00B23B6F">
              <w:rPr>
                <w:rFonts w:ascii="Calibri" w:eastAsia="Times New Roman" w:hAnsi="Calibri" w:cs="Calibri"/>
                <w:b/>
                <w:bCs/>
                <w:color w:val="000000"/>
                <w:sz w:val="20"/>
                <w:szCs w:val="20"/>
              </w:rPr>
              <w:t>years</w:t>
            </w:r>
          </w:p>
        </w:tc>
        <w:tc>
          <w:tcPr>
            <w:tcW w:w="2126" w:type="dxa"/>
            <w:tcBorders>
              <w:top w:val="single" w:sz="4" w:space="0" w:color="auto"/>
              <w:left w:val="nil"/>
              <w:bottom w:val="single" w:sz="4" w:space="0" w:color="auto"/>
              <w:right w:val="single" w:sz="4" w:space="0" w:color="auto"/>
            </w:tcBorders>
            <w:shd w:val="clear" w:color="000000" w:fill="BFBFBF"/>
            <w:noWrap/>
            <w:vAlign w:val="center"/>
            <w:hideMark/>
          </w:tcPr>
          <w:p w:rsidR="00A63825" w:rsidRPr="00A63825" w:rsidRDefault="00A63825" w:rsidP="00B23B6F">
            <w:pPr>
              <w:spacing w:after="0"/>
              <w:jc w:val="center"/>
              <w:rPr>
                <w:rFonts w:ascii="Calibri" w:eastAsia="Times New Roman" w:hAnsi="Calibri" w:cs="Calibri"/>
                <w:b/>
                <w:bCs/>
                <w:color w:val="000000"/>
                <w:sz w:val="20"/>
                <w:szCs w:val="20"/>
              </w:rPr>
            </w:pPr>
            <w:r w:rsidRPr="00A63825">
              <w:rPr>
                <w:rFonts w:ascii="Calibri" w:eastAsia="Times New Roman" w:hAnsi="Calibri" w:cs="Calibri"/>
                <w:b/>
                <w:bCs/>
                <w:color w:val="000000"/>
                <w:sz w:val="20"/>
                <w:szCs w:val="20"/>
              </w:rPr>
              <w:t xml:space="preserve">75+ </w:t>
            </w:r>
            <w:r w:rsidR="00B23B6F">
              <w:rPr>
                <w:rFonts w:ascii="Calibri" w:eastAsia="Times New Roman" w:hAnsi="Calibri" w:cs="Calibri"/>
                <w:b/>
                <w:bCs/>
                <w:color w:val="000000"/>
                <w:sz w:val="20"/>
                <w:szCs w:val="20"/>
              </w:rPr>
              <w:t>years</w:t>
            </w:r>
          </w:p>
        </w:tc>
        <w:tc>
          <w:tcPr>
            <w:tcW w:w="2127" w:type="dxa"/>
            <w:tcBorders>
              <w:top w:val="single" w:sz="4" w:space="0" w:color="auto"/>
              <w:left w:val="nil"/>
              <w:bottom w:val="single" w:sz="4" w:space="0" w:color="auto"/>
              <w:right w:val="single" w:sz="4" w:space="0" w:color="auto"/>
            </w:tcBorders>
            <w:shd w:val="clear" w:color="000000" w:fill="BFBFBF"/>
            <w:noWrap/>
            <w:vAlign w:val="center"/>
            <w:hideMark/>
          </w:tcPr>
          <w:p w:rsidR="00A63825" w:rsidRPr="00A63825" w:rsidRDefault="00A63825" w:rsidP="00A63825">
            <w:pPr>
              <w:spacing w:after="0"/>
              <w:jc w:val="center"/>
              <w:rPr>
                <w:rFonts w:ascii="Calibri" w:eastAsia="Times New Roman" w:hAnsi="Calibri" w:cs="Calibri"/>
                <w:b/>
                <w:bCs/>
                <w:color w:val="000000"/>
                <w:sz w:val="20"/>
                <w:szCs w:val="20"/>
              </w:rPr>
            </w:pPr>
            <w:r w:rsidRPr="00A63825">
              <w:rPr>
                <w:rFonts w:ascii="Calibri" w:eastAsia="Times New Roman" w:hAnsi="Calibri" w:cs="Calibri"/>
                <w:b/>
                <w:bCs/>
                <w:color w:val="000000"/>
                <w:sz w:val="20"/>
                <w:szCs w:val="20"/>
              </w:rPr>
              <w:t>Overall</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Number of patients</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A63825">
              <w:rPr>
                <w:rFonts w:ascii="Calibri" w:eastAsia="Times New Roman" w:hAnsi="Calibri" w:cs="Calibri"/>
                <w:color w:val="000000"/>
                <w:sz w:val="20"/>
                <w:szCs w:val="20"/>
              </w:rPr>
              <w:t>751</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A63825">
              <w:rPr>
                <w:rFonts w:ascii="Calibri" w:eastAsia="Times New Roman" w:hAnsi="Calibri" w:cs="Calibri"/>
                <w:color w:val="000000"/>
                <w:sz w:val="20"/>
                <w:szCs w:val="20"/>
              </w:rPr>
              <w:t>364</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A63825">
              <w:rPr>
                <w:rFonts w:ascii="Calibri" w:eastAsia="Times New Roman" w:hAnsi="Calibri" w:cs="Calibri"/>
                <w:color w:val="000000"/>
                <w:sz w:val="20"/>
                <w:szCs w:val="20"/>
              </w:rPr>
              <w:t>115</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Censored</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974</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341</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1,315</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Mean</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314</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306</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312</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Standard error</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5.65</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9.00</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4.80</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 xml:space="preserve">Median </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166.00</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168.00</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167.00</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Median lower limit</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154.00</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154.00</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155.00</w:t>
            </w:r>
          </w:p>
        </w:tc>
      </w:tr>
      <w:tr w:rsidR="00A63825" w:rsidRPr="00A63825" w:rsidTr="00A6382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63825" w:rsidRPr="00A63825" w:rsidRDefault="00A63825" w:rsidP="00A63825">
            <w:pPr>
              <w:spacing w:after="0"/>
              <w:rPr>
                <w:rFonts w:ascii="Calibri" w:eastAsia="Times New Roman" w:hAnsi="Calibri" w:cs="Calibri"/>
                <w:color w:val="000000"/>
                <w:sz w:val="20"/>
                <w:szCs w:val="20"/>
              </w:rPr>
            </w:pPr>
            <w:r w:rsidRPr="00A63825">
              <w:rPr>
                <w:rFonts w:ascii="Calibri" w:eastAsia="Times New Roman" w:hAnsi="Calibri" w:cs="Calibri"/>
                <w:color w:val="000000"/>
                <w:sz w:val="20"/>
                <w:szCs w:val="20"/>
              </w:rPr>
              <w:t>Median upper limit</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174.00</w:t>
            </w:r>
          </w:p>
        </w:tc>
        <w:tc>
          <w:tcPr>
            <w:tcW w:w="2126"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183.00</w:t>
            </w:r>
          </w:p>
        </w:tc>
        <w:tc>
          <w:tcPr>
            <w:tcW w:w="2127" w:type="dxa"/>
            <w:tcBorders>
              <w:top w:val="nil"/>
              <w:left w:val="nil"/>
              <w:bottom w:val="single" w:sz="4" w:space="0" w:color="auto"/>
              <w:right w:val="single" w:sz="4" w:space="0" w:color="auto"/>
            </w:tcBorders>
            <w:shd w:val="clear" w:color="auto" w:fill="auto"/>
            <w:noWrap/>
            <w:vAlign w:val="center"/>
            <w:hideMark/>
          </w:tcPr>
          <w:p w:rsidR="00A63825" w:rsidRPr="00A63825" w:rsidRDefault="00A63825" w:rsidP="00A63825">
            <w:pPr>
              <w:spacing w:after="0"/>
              <w:jc w:val="right"/>
              <w:rPr>
                <w:rFonts w:ascii="Calibri" w:eastAsia="Times New Roman" w:hAnsi="Calibri" w:cs="Calibri"/>
                <w:color w:val="000000"/>
                <w:sz w:val="20"/>
                <w:szCs w:val="20"/>
              </w:rPr>
            </w:pPr>
            <w:r w:rsidRPr="00A63825">
              <w:rPr>
                <w:rFonts w:ascii="Calibri" w:eastAsia="Times New Roman" w:hAnsi="Calibri" w:cs="Calibri"/>
                <w:color w:val="000000"/>
                <w:sz w:val="20"/>
                <w:szCs w:val="20"/>
              </w:rPr>
              <w:t>173.00</w:t>
            </w:r>
          </w:p>
        </w:tc>
      </w:tr>
    </w:tbl>
    <w:p w:rsidR="002503A0" w:rsidRDefault="002503A0" w:rsidP="00495DAA"/>
    <w:p w:rsidR="002503A0" w:rsidRDefault="002503A0" w:rsidP="00495DAA">
      <w:r>
        <w:t xml:space="preserve">Overall, the median length of treatment was estimated to be </w:t>
      </w:r>
      <w:r w:rsidR="00EC7073">
        <w:t xml:space="preserve">167 </w:t>
      </w:r>
      <w:r>
        <w:t>days. Patients aged 75 years and older</w:t>
      </w:r>
      <w:r w:rsidR="00E47E37">
        <w:t xml:space="preserve"> at initiation of </w:t>
      </w:r>
      <w:proofErr w:type="spellStart"/>
      <w:r w:rsidR="00E47E37">
        <w:t>nivolumab</w:t>
      </w:r>
      <w:proofErr w:type="spellEnd"/>
      <w:r>
        <w:t xml:space="preserve"> had a </w:t>
      </w:r>
      <w:r w:rsidR="00E47E37">
        <w:t>similar</w:t>
      </w:r>
      <w:r>
        <w:t xml:space="preserve"> estimated length of treatment compared to patients aged 0 to </w:t>
      </w:r>
      <w:r w:rsidR="00BA2D72">
        <w:t xml:space="preserve">74. </w:t>
      </w:r>
    </w:p>
    <w:p w:rsidR="00495DAA" w:rsidRDefault="0011643B" w:rsidP="00495DAA">
      <w:r>
        <w:rPr>
          <w:rFonts w:ascii="Arial" w:hAnsi="Arial" w:cs="Arial"/>
          <w:noProof/>
          <w:color w:val="000000"/>
          <w:sz w:val="20"/>
          <w:szCs w:val="20"/>
        </w:rPr>
        <w:drawing>
          <wp:inline distT="0" distB="0" distL="0" distR="0" wp14:anchorId="38555A17" wp14:editId="3D6DEC4A">
            <wp:extent cx="5687695" cy="4267994"/>
            <wp:effectExtent l="0" t="0" r="8255" b="0"/>
            <wp:docPr id="9" name="Picture 9" descr="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7994"/>
                    </a:xfrm>
                    <a:prstGeom prst="rect">
                      <a:avLst/>
                    </a:prstGeom>
                    <a:noFill/>
                    <a:ln>
                      <a:noFill/>
                    </a:ln>
                  </pic:spPr>
                </pic:pic>
              </a:graphicData>
            </a:graphic>
          </wp:inline>
        </w:drawing>
      </w:r>
    </w:p>
    <w:p w:rsidR="00495DAA" w:rsidRDefault="00A47920" w:rsidP="00495DAA">
      <w:pPr>
        <w:pStyle w:val="Figuretitle"/>
      </w:pPr>
      <w:r>
        <w:t xml:space="preserve">Figure </w:t>
      </w:r>
      <w:r w:rsidR="00590B5B">
        <w:t>8</w:t>
      </w:r>
      <w:r w:rsidR="00495DAA">
        <w:t xml:space="preserve">: Length of treatment for patients treated with </w:t>
      </w:r>
      <w:proofErr w:type="spellStart"/>
      <w:r w:rsidR="00495DAA">
        <w:t>nivolumab</w:t>
      </w:r>
      <w:proofErr w:type="spellEnd"/>
      <w:r w:rsidR="00495DAA">
        <w:t xml:space="preserve"> for NSCLC, by age </w:t>
      </w:r>
    </w:p>
    <w:p w:rsidR="00495DAA" w:rsidRDefault="00495DAA" w:rsidP="00495DAA"/>
    <w:p w:rsidR="00495DAA" w:rsidRDefault="00495DAA" w:rsidP="00495DAA"/>
    <w:p w:rsidR="00E47E37" w:rsidRDefault="00E47E37">
      <w:pPr>
        <w:spacing w:line="276" w:lineRule="auto"/>
        <w:rPr>
          <w:b/>
        </w:rPr>
      </w:pPr>
      <w:r>
        <w:br w:type="page"/>
      </w:r>
    </w:p>
    <w:p w:rsidR="00DA4427" w:rsidRPr="00563E61" w:rsidRDefault="004437ED" w:rsidP="00A63825">
      <w:pPr>
        <w:pStyle w:val="Tabletitle"/>
        <w:keepNext/>
      </w:pPr>
      <w:r>
        <w:lastRenderedPageBreak/>
        <w:t>Table 3</w:t>
      </w:r>
      <w:r w:rsidR="00DA4427">
        <w:t>: Estimate length of treatment (accounting for breaks) from Kaplan Meier analysis</w:t>
      </w:r>
    </w:p>
    <w:tbl>
      <w:tblPr>
        <w:tblW w:w="8382" w:type="dxa"/>
        <w:tblLayout w:type="fixed"/>
        <w:tblLook w:val="04A0" w:firstRow="1" w:lastRow="0" w:firstColumn="1" w:lastColumn="0" w:noHBand="0" w:noVBand="1"/>
      </w:tblPr>
      <w:tblGrid>
        <w:gridCol w:w="2972"/>
        <w:gridCol w:w="1803"/>
        <w:gridCol w:w="1803"/>
        <w:gridCol w:w="1804"/>
      </w:tblGrid>
      <w:tr w:rsidR="007064BA" w:rsidRPr="002503A0" w:rsidTr="00543169">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064BA" w:rsidRPr="002503A0" w:rsidRDefault="007064BA" w:rsidP="00543169">
            <w:pPr>
              <w:spacing w:after="0"/>
              <w:rPr>
                <w:rFonts w:ascii="Calibri" w:eastAsia="Times New Roman" w:hAnsi="Calibri" w:cs="Calibri"/>
                <w:b/>
                <w:color w:val="000000"/>
                <w:sz w:val="20"/>
                <w:szCs w:val="20"/>
              </w:rPr>
            </w:pPr>
            <w:r w:rsidRPr="002503A0">
              <w:rPr>
                <w:rFonts w:ascii="Calibri" w:eastAsia="Times New Roman" w:hAnsi="Calibri" w:cs="Calibri"/>
                <w:b/>
                <w:color w:val="000000"/>
                <w:sz w:val="20"/>
                <w:szCs w:val="20"/>
              </w:rPr>
              <w:t> </w:t>
            </w:r>
          </w:p>
        </w:tc>
        <w:tc>
          <w:tcPr>
            <w:tcW w:w="180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064BA" w:rsidRPr="002503A0" w:rsidRDefault="007064BA" w:rsidP="00543169">
            <w:pPr>
              <w:spacing w:after="0"/>
              <w:jc w:val="center"/>
              <w:rPr>
                <w:rFonts w:ascii="Calibri" w:eastAsia="Times New Roman" w:hAnsi="Calibri" w:cs="Calibri"/>
                <w:b/>
                <w:color w:val="000000"/>
                <w:sz w:val="20"/>
                <w:szCs w:val="20"/>
              </w:rPr>
            </w:pPr>
            <w:r w:rsidRPr="002503A0">
              <w:rPr>
                <w:rFonts w:ascii="Calibri" w:eastAsia="Times New Roman" w:hAnsi="Calibri" w:cs="Calibri"/>
                <w:b/>
                <w:color w:val="000000"/>
                <w:sz w:val="20"/>
                <w:szCs w:val="20"/>
              </w:rPr>
              <w:t>0-74 years</w:t>
            </w:r>
          </w:p>
        </w:tc>
        <w:tc>
          <w:tcPr>
            <w:tcW w:w="180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064BA" w:rsidRPr="002503A0" w:rsidRDefault="007064BA" w:rsidP="00543169">
            <w:pPr>
              <w:spacing w:after="0"/>
              <w:jc w:val="center"/>
              <w:rPr>
                <w:rFonts w:ascii="Calibri" w:eastAsia="Times New Roman" w:hAnsi="Calibri" w:cs="Calibri"/>
                <w:b/>
                <w:color w:val="000000"/>
                <w:sz w:val="20"/>
                <w:szCs w:val="20"/>
              </w:rPr>
            </w:pPr>
            <w:r w:rsidRPr="002503A0">
              <w:rPr>
                <w:rFonts w:ascii="Calibri" w:eastAsia="Times New Roman" w:hAnsi="Calibri" w:cs="Calibri"/>
                <w:b/>
                <w:color w:val="000000"/>
                <w:sz w:val="20"/>
                <w:szCs w:val="20"/>
              </w:rPr>
              <w:t>75+ years</w:t>
            </w:r>
          </w:p>
        </w:tc>
        <w:tc>
          <w:tcPr>
            <w:tcW w:w="180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064BA" w:rsidRPr="002503A0" w:rsidRDefault="007064BA" w:rsidP="00543169">
            <w:pPr>
              <w:spacing w:after="0"/>
              <w:jc w:val="center"/>
              <w:rPr>
                <w:rFonts w:ascii="Calibri" w:eastAsia="Times New Roman" w:hAnsi="Calibri" w:cs="Calibri"/>
                <w:b/>
                <w:color w:val="000000"/>
                <w:sz w:val="20"/>
                <w:szCs w:val="20"/>
              </w:rPr>
            </w:pPr>
            <w:r w:rsidRPr="002503A0">
              <w:rPr>
                <w:rFonts w:ascii="Calibri" w:eastAsia="Times New Roman" w:hAnsi="Calibri" w:cs="Calibri"/>
                <w:b/>
                <w:color w:val="000000"/>
                <w:sz w:val="20"/>
                <w:szCs w:val="20"/>
              </w:rPr>
              <w:t>Overall</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A63825" w:rsidRPr="002503A0" w:rsidRDefault="00A63825" w:rsidP="00A6382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Number of patients included in the analysis</w:t>
            </w:r>
          </w:p>
        </w:tc>
        <w:tc>
          <w:tcPr>
            <w:tcW w:w="1803"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3,751</w:t>
            </w:r>
          </w:p>
        </w:tc>
        <w:tc>
          <w:tcPr>
            <w:tcW w:w="1803"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1,364</w:t>
            </w:r>
          </w:p>
        </w:tc>
        <w:tc>
          <w:tcPr>
            <w:tcW w:w="1804"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5,115</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tcPr>
          <w:p w:rsidR="00A63825" w:rsidRDefault="00A63825" w:rsidP="00A6382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Censored</w:t>
            </w:r>
          </w:p>
        </w:tc>
        <w:tc>
          <w:tcPr>
            <w:tcW w:w="1803"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hAnsi="Calibri" w:cs="Calibri"/>
                <w:color w:val="000000"/>
                <w:sz w:val="20"/>
                <w:szCs w:val="20"/>
              </w:rPr>
            </w:pPr>
            <w:r>
              <w:rPr>
                <w:rFonts w:ascii="Calibri" w:hAnsi="Calibri" w:cs="Calibri"/>
                <w:color w:val="000000"/>
                <w:sz w:val="20"/>
                <w:szCs w:val="20"/>
              </w:rPr>
              <w:t>974</w:t>
            </w:r>
          </w:p>
        </w:tc>
        <w:tc>
          <w:tcPr>
            <w:tcW w:w="1803"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hAnsi="Calibri" w:cs="Calibri"/>
                <w:color w:val="000000"/>
                <w:sz w:val="20"/>
                <w:szCs w:val="20"/>
              </w:rPr>
            </w:pPr>
            <w:r>
              <w:rPr>
                <w:rFonts w:ascii="Calibri" w:hAnsi="Calibri" w:cs="Calibri"/>
                <w:color w:val="000000"/>
                <w:sz w:val="20"/>
                <w:szCs w:val="20"/>
              </w:rPr>
              <w:t>341</w:t>
            </w:r>
          </w:p>
        </w:tc>
        <w:tc>
          <w:tcPr>
            <w:tcW w:w="1804" w:type="dxa"/>
            <w:tcBorders>
              <w:top w:val="nil"/>
              <w:left w:val="nil"/>
              <w:bottom w:val="single" w:sz="4" w:space="0" w:color="auto"/>
              <w:right w:val="single" w:sz="4" w:space="0" w:color="auto"/>
            </w:tcBorders>
            <w:shd w:val="clear" w:color="auto" w:fill="auto"/>
            <w:noWrap/>
            <w:vAlign w:val="bottom"/>
          </w:tcPr>
          <w:p w:rsidR="00A63825" w:rsidRPr="002503A0" w:rsidRDefault="00A63825" w:rsidP="00A63825">
            <w:pPr>
              <w:spacing w:after="0"/>
              <w:jc w:val="right"/>
              <w:rPr>
                <w:rFonts w:ascii="Calibri" w:hAnsi="Calibri" w:cs="Calibri"/>
                <w:color w:val="000000"/>
                <w:sz w:val="20"/>
                <w:szCs w:val="20"/>
              </w:rPr>
            </w:pPr>
            <w:r>
              <w:rPr>
                <w:rFonts w:ascii="Calibri" w:hAnsi="Calibri" w:cs="Calibri"/>
                <w:color w:val="000000"/>
                <w:sz w:val="20"/>
                <w:szCs w:val="20"/>
              </w:rPr>
              <w:t>1,315</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63825" w:rsidRPr="002503A0" w:rsidRDefault="00A63825" w:rsidP="00A63825">
            <w:pPr>
              <w:spacing w:after="0"/>
              <w:rPr>
                <w:rFonts w:ascii="Calibri" w:eastAsia="Times New Roman" w:hAnsi="Calibri" w:cs="Calibri"/>
                <w:color w:val="000000"/>
                <w:sz w:val="20"/>
                <w:szCs w:val="20"/>
              </w:rPr>
            </w:pPr>
            <w:r w:rsidRPr="002503A0">
              <w:rPr>
                <w:rFonts w:ascii="Calibri" w:eastAsia="Times New Roman" w:hAnsi="Calibri" w:cs="Calibri"/>
                <w:color w:val="000000"/>
                <w:sz w:val="20"/>
                <w:szCs w:val="20"/>
              </w:rPr>
              <w:t>Mean (days)</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280</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268</w:t>
            </w:r>
          </w:p>
        </w:tc>
        <w:tc>
          <w:tcPr>
            <w:tcW w:w="1804"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278</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63825" w:rsidRPr="002503A0" w:rsidRDefault="00A63825" w:rsidP="00A63825">
            <w:pPr>
              <w:spacing w:after="0"/>
              <w:rPr>
                <w:rFonts w:ascii="Calibri" w:eastAsia="Times New Roman" w:hAnsi="Calibri" w:cs="Calibri"/>
                <w:color w:val="000000"/>
                <w:sz w:val="20"/>
                <w:szCs w:val="20"/>
              </w:rPr>
            </w:pPr>
            <w:r w:rsidRPr="002503A0">
              <w:rPr>
                <w:rFonts w:ascii="Calibri" w:eastAsia="Times New Roman" w:hAnsi="Calibri" w:cs="Calibri"/>
                <w:color w:val="000000"/>
                <w:sz w:val="20"/>
                <w:szCs w:val="20"/>
              </w:rPr>
              <w:t>Standard error (days)</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5.27</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8.13</w:t>
            </w:r>
          </w:p>
        </w:tc>
        <w:tc>
          <w:tcPr>
            <w:tcW w:w="1804"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4.46</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63825" w:rsidRPr="002503A0" w:rsidRDefault="00A63825" w:rsidP="00A63825">
            <w:pPr>
              <w:spacing w:after="0"/>
              <w:rPr>
                <w:rFonts w:ascii="Calibri" w:eastAsia="Times New Roman" w:hAnsi="Calibri" w:cs="Calibri"/>
                <w:color w:val="000000"/>
                <w:sz w:val="20"/>
                <w:szCs w:val="20"/>
              </w:rPr>
            </w:pPr>
            <w:r w:rsidRPr="002503A0">
              <w:rPr>
                <w:rFonts w:ascii="Calibri" w:eastAsia="Times New Roman" w:hAnsi="Calibri" w:cs="Calibri"/>
                <w:color w:val="000000"/>
                <w:sz w:val="20"/>
                <w:szCs w:val="20"/>
              </w:rPr>
              <w:t>Median (days)</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140.00</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153.00</w:t>
            </w:r>
          </w:p>
        </w:tc>
        <w:tc>
          <w:tcPr>
            <w:tcW w:w="1804"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145.00</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63825" w:rsidRPr="002503A0" w:rsidRDefault="00A63825" w:rsidP="00A63825">
            <w:pPr>
              <w:spacing w:after="0"/>
              <w:rPr>
                <w:rFonts w:ascii="Calibri" w:eastAsia="Times New Roman" w:hAnsi="Calibri" w:cs="Calibri"/>
                <w:color w:val="000000"/>
                <w:sz w:val="20"/>
                <w:szCs w:val="20"/>
              </w:rPr>
            </w:pPr>
            <w:r w:rsidRPr="002503A0">
              <w:rPr>
                <w:rFonts w:ascii="Calibri" w:eastAsia="Times New Roman" w:hAnsi="Calibri" w:cs="Calibri"/>
                <w:color w:val="000000"/>
                <w:sz w:val="20"/>
                <w:szCs w:val="20"/>
              </w:rPr>
              <w:t>Median lower limit (days)</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133.00</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137.00</w:t>
            </w:r>
          </w:p>
        </w:tc>
        <w:tc>
          <w:tcPr>
            <w:tcW w:w="1804"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139.00</w:t>
            </w:r>
          </w:p>
        </w:tc>
      </w:tr>
      <w:tr w:rsidR="00A63825" w:rsidRPr="002503A0" w:rsidTr="00AA36D2">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63825" w:rsidRPr="002503A0" w:rsidRDefault="00A63825" w:rsidP="00A63825">
            <w:pPr>
              <w:spacing w:after="0"/>
              <w:rPr>
                <w:rFonts w:ascii="Calibri" w:eastAsia="Times New Roman" w:hAnsi="Calibri" w:cs="Calibri"/>
                <w:color w:val="000000"/>
                <w:sz w:val="20"/>
                <w:szCs w:val="20"/>
              </w:rPr>
            </w:pPr>
            <w:r w:rsidRPr="002503A0">
              <w:rPr>
                <w:rFonts w:ascii="Calibri" w:eastAsia="Times New Roman" w:hAnsi="Calibri" w:cs="Calibri"/>
                <w:color w:val="000000"/>
                <w:sz w:val="20"/>
                <w:szCs w:val="20"/>
              </w:rPr>
              <w:t>Median upper limit (days)</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153.00</w:t>
            </w:r>
          </w:p>
        </w:tc>
        <w:tc>
          <w:tcPr>
            <w:tcW w:w="1803"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163.00</w:t>
            </w:r>
          </w:p>
        </w:tc>
        <w:tc>
          <w:tcPr>
            <w:tcW w:w="1804" w:type="dxa"/>
            <w:tcBorders>
              <w:top w:val="nil"/>
              <w:left w:val="nil"/>
              <w:bottom w:val="single" w:sz="4" w:space="0" w:color="auto"/>
              <w:right w:val="single" w:sz="4" w:space="0" w:color="auto"/>
            </w:tcBorders>
            <w:shd w:val="clear" w:color="auto" w:fill="auto"/>
            <w:noWrap/>
            <w:vAlign w:val="bottom"/>
            <w:hideMark/>
          </w:tcPr>
          <w:p w:rsidR="00A63825" w:rsidRPr="002503A0" w:rsidRDefault="00A63825" w:rsidP="00A63825">
            <w:pPr>
              <w:spacing w:after="0"/>
              <w:jc w:val="right"/>
              <w:rPr>
                <w:rFonts w:ascii="Calibri" w:eastAsia="Times New Roman" w:hAnsi="Calibri" w:cs="Calibri"/>
                <w:color w:val="000000"/>
                <w:sz w:val="20"/>
                <w:szCs w:val="20"/>
              </w:rPr>
            </w:pPr>
            <w:r>
              <w:rPr>
                <w:rFonts w:ascii="Calibri" w:hAnsi="Calibri" w:cs="Calibri"/>
                <w:color w:val="000000"/>
                <w:sz w:val="20"/>
                <w:szCs w:val="20"/>
              </w:rPr>
              <w:t>154.00</w:t>
            </w:r>
          </w:p>
        </w:tc>
      </w:tr>
    </w:tbl>
    <w:p w:rsidR="007064BA" w:rsidRDefault="007064BA" w:rsidP="00A35800">
      <w:pPr>
        <w:rPr>
          <w:highlight w:val="yellow"/>
        </w:rPr>
      </w:pPr>
    </w:p>
    <w:p w:rsidR="00DA4427" w:rsidRDefault="00DA4427" w:rsidP="00DA4427">
      <w:r>
        <w:t xml:space="preserve">Accounting for </w:t>
      </w:r>
      <w:r w:rsidRPr="00DA4427">
        <w:t>breaks reduced the estimated mean</w:t>
      </w:r>
      <w:r>
        <w:t xml:space="preserve"> length of treatment from 312 to 278</w:t>
      </w:r>
      <w:r w:rsidRPr="00DA4427">
        <w:t xml:space="preserve"> days overall, </w:t>
      </w:r>
      <w:r>
        <w:t xml:space="preserve">from </w:t>
      </w:r>
      <w:r w:rsidR="00E47E37">
        <w:t>314</w:t>
      </w:r>
      <w:r w:rsidRPr="00DA4427">
        <w:t xml:space="preserve"> to </w:t>
      </w:r>
      <w:r w:rsidR="00E47E37">
        <w:rPr>
          <w:rFonts w:ascii="Calibri" w:hAnsi="Calibri" w:cs="Calibri"/>
          <w:color w:val="000000"/>
        </w:rPr>
        <w:t>280</w:t>
      </w:r>
      <w:r>
        <w:rPr>
          <w:rFonts w:ascii="Calibri" w:hAnsi="Calibri" w:cs="Calibri"/>
          <w:color w:val="000000"/>
        </w:rPr>
        <w:t xml:space="preserve"> days</w:t>
      </w:r>
      <w:r w:rsidRPr="00DA4427">
        <w:t xml:space="preserve"> in patients aged 0 to 74 a</w:t>
      </w:r>
      <w:r>
        <w:t xml:space="preserve">nd from </w:t>
      </w:r>
      <w:r w:rsidR="00E47E37">
        <w:t>306</w:t>
      </w:r>
      <w:r>
        <w:t xml:space="preserve"> to </w:t>
      </w:r>
      <w:r w:rsidR="00E47E37">
        <w:t>268</w:t>
      </w:r>
      <w:r>
        <w:t xml:space="preserve"> days</w:t>
      </w:r>
      <w:r w:rsidRPr="00DA4427">
        <w:t xml:space="preserve"> in patients aged 75 and older.</w:t>
      </w:r>
    </w:p>
    <w:p w:rsidR="00A47920" w:rsidRPr="00DA4427" w:rsidRDefault="00A47920" w:rsidP="00DA4427">
      <w:pPr>
        <w:rPr>
          <w:highlight w:val="yellow"/>
        </w:rPr>
      </w:pPr>
    </w:p>
    <w:p w:rsidR="00BB6EB7" w:rsidRDefault="00BA2D72" w:rsidP="00A35800">
      <w:pPr>
        <w:rPr>
          <w:highlight w:val="yellow"/>
        </w:rPr>
      </w:pPr>
      <w:r>
        <w:rPr>
          <w:noProof/>
        </w:rPr>
        <w:drawing>
          <wp:inline distT="0" distB="0" distL="0" distR="0" wp14:anchorId="3D0E94BF" wp14:editId="736D3043">
            <wp:extent cx="5172075" cy="4195762"/>
            <wp:effectExtent l="0" t="0" r="9525"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E03EF" w:rsidRDefault="00A47920" w:rsidP="00495DAA">
      <w:pPr>
        <w:pStyle w:val="Figuretitle"/>
      </w:pPr>
      <w:r>
        <w:t xml:space="preserve">Figure </w:t>
      </w:r>
      <w:r w:rsidR="00590B5B">
        <w:t>9</w:t>
      </w:r>
      <w:r w:rsidR="00495DAA">
        <w:t xml:space="preserve">: Time between last </w:t>
      </w:r>
      <w:proofErr w:type="spellStart"/>
      <w:r w:rsidR="00495DAA">
        <w:t>nivolumab</w:t>
      </w:r>
      <w:proofErr w:type="spellEnd"/>
      <w:r w:rsidR="00495DAA">
        <w:t xml:space="preserve"> prescription and date of death</w:t>
      </w:r>
    </w:p>
    <w:p w:rsidR="00BA2D72" w:rsidRDefault="00BA2D72" w:rsidP="00BA2D72">
      <w:pPr>
        <w:pStyle w:val="Notes"/>
      </w:pPr>
      <w:r>
        <w:t xml:space="preserve">Note: Where the number of patients is </w:t>
      </w:r>
      <w:r>
        <w:rPr>
          <w:rFonts w:cstheme="minorHAnsi"/>
        </w:rPr>
        <w:t>≤</w:t>
      </w:r>
      <w:r>
        <w:t>5, the result is shown as 5. The figure is cut at 180 days although data exists beyond this.</w:t>
      </w:r>
    </w:p>
    <w:p w:rsidR="00AD658D" w:rsidRDefault="00AD658D" w:rsidP="00AD658D">
      <w:r>
        <w:t xml:space="preserve">The analysis of time between last </w:t>
      </w:r>
      <w:proofErr w:type="spellStart"/>
      <w:r>
        <w:t>nivolumab</w:t>
      </w:r>
      <w:proofErr w:type="spellEnd"/>
      <w:r>
        <w:t xml:space="preserve"> prescription and date of death excludes patients whose date of death was more than 14 days before their last </w:t>
      </w:r>
      <w:proofErr w:type="spellStart"/>
      <w:r>
        <w:t>nivolumab</w:t>
      </w:r>
      <w:proofErr w:type="spellEnd"/>
      <w:r>
        <w:t xml:space="preserve"> </w:t>
      </w:r>
      <w:r>
        <w:lastRenderedPageBreak/>
        <w:t xml:space="preserve">prescription. The mode time between last </w:t>
      </w:r>
      <w:proofErr w:type="spellStart"/>
      <w:r>
        <w:t>nivolumab</w:t>
      </w:r>
      <w:proofErr w:type="spellEnd"/>
      <w:r>
        <w:t xml:space="preserve"> prescription and date of death was 10</w:t>
      </w:r>
      <w:r w:rsidR="00C06E06">
        <w:t> </w:t>
      </w:r>
      <w:r>
        <w:t xml:space="preserve">days, with other peaks at 12 days and 15 days. </w:t>
      </w:r>
    </w:p>
    <w:p w:rsidR="007D40E6" w:rsidRDefault="007D40E6" w:rsidP="00BA2D72"/>
    <w:p w:rsidR="000A54E0" w:rsidRPr="0024697F" w:rsidRDefault="00DE03EF" w:rsidP="0024697F">
      <w:pPr>
        <w:pStyle w:val="Heading3"/>
        <w:keepNext/>
      </w:pPr>
      <w:r>
        <w:t>Use of other immunotherapies for NSCLC</w:t>
      </w:r>
    </w:p>
    <w:p w:rsidR="000A54E0" w:rsidRDefault="000A54E0" w:rsidP="00A35800">
      <w:r>
        <w:rPr>
          <w:noProof/>
        </w:rPr>
        <w:drawing>
          <wp:inline distT="0" distB="0" distL="0" distR="0" wp14:anchorId="461822BC" wp14:editId="668C185F">
            <wp:extent cx="5400135" cy="3209027"/>
            <wp:effectExtent l="0" t="0" r="1016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A54E0" w:rsidRPr="00C74082" w:rsidRDefault="00555265" w:rsidP="000A54E0">
      <w:pPr>
        <w:pStyle w:val="Figuretitle"/>
      </w:pPr>
      <w:r>
        <w:t>Figure 10</w:t>
      </w:r>
      <w:r w:rsidR="000A54E0" w:rsidRPr="00C74082">
        <w:t xml:space="preserve">: </w:t>
      </w:r>
      <w:r w:rsidR="000A54E0">
        <w:t xml:space="preserve">Number of patients treated </w:t>
      </w:r>
      <w:r w:rsidR="000651D2">
        <w:t xml:space="preserve">with </w:t>
      </w:r>
      <w:r w:rsidR="000A54E0">
        <w:t>immunotherapy medicines</w:t>
      </w:r>
      <w:r w:rsidR="000A54E0" w:rsidRPr="00C74082">
        <w:t xml:space="preserve"> for NSCLC</w:t>
      </w:r>
    </w:p>
    <w:p w:rsidR="000651D2" w:rsidRDefault="000651D2" w:rsidP="000A54E0"/>
    <w:p w:rsidR="000A54E0" w:rsidRDefault="000A54E0" w:rsidP="000A54E0">
      <w:r w:rsidRPr="00E77ED1">
        <w:t xml:space="preserve">Figure </w:t>
      </w:r>
      <w:r w:rsidR="00555265">
        <w:t>10</w:t>
      </w:r>
      <w:r>
        <w:t xml:space="preserve"> shows the number of patients treated with </w:t>
      </w:r>
      <w:proofErr w:type="spellStart"/>
      <w:r>
        <w:t>nivolumab</w:t>
      </w:r>
      <w:proofErr w:type="spellEnd"/>
      <w:r>
        <w:t xml:space="preserve">, </w:t>
      </w:r>
      <w:proofErr w:type="spellStart"/>
      <w:r>
        <w:t>atezolizumab</w:t>
      </w:r>
      <w:proofErr w:type="spellEnd"/>
      <w:r>
        <w:t xml:space="preserve">, </w:t>
      </w:r>
      <w:proofErr w:type="spellStart"/>
      <w:r>
        <w:t>pembrolizumab</w:t>
      </w:r>
      <w:proofErr w:type="spellEnd"/>
      <w:r>
        <w:t xml:space="preserve"> and </w:t>
      </w:r>
      <w:proofErr w:type="spellStart"/>
      <w:r>
        <w:t>durvalumab</w:t>
      </w:r>
      <w:proofErr w:type="spellEnd"/>
      <w:r>
        <w:t xml:space="preserve"> for NSCLC. </w:t>
      </w:r>
      <w:proofErr w:type="spellStart"/>
      <w:r>
        <w:t>Atezolizumab</w:t>
      </w:r>
      <w:proofErr w:type="spellEnd"/>
      <w:r>
        <w:t xml:space="preserve"> was PBS listed in April 2018 and is listed for first and second line NSCLC, which may explain the decrease in use of </w:t>
      </w:r>
      <w:proofErr w:type="spellStart"/>
      <w:r>
        <w:t>nivolumab</w:t>
      </w:r>
      <w:proofErr w:type="spellEnd"/>
      <w:r>
        <w:t xml:space="preserve"> for NSCLC since the third quarter of 2018. </w:t>
      </w:r>
      <w:proofErr w:type="spellStart"/>
      <w:r>
        <w:t>Pembrolizumab</w:t>
      </w:r>
      <w:proofErr w:type="spellEnd"/>
      <w:r>
        <w:t xml:space="preserve"> was PBS listed for NSCLC in November 2018, and is currently the market leader of the immunotherapies for NSCLC. As </w:t>
      </w:r>
      <w:proofErr w:type="spellStart"/>
      <w:r>
        <w:t>durvalumab</w:t>
      </w:r>
      <w:proofErr w:type="spellEnd"/>
      <w:r>
        <w:t xml:space="preserve"> was PBS listed in March 2020 there is only one data point included in the analysis.</w:t>
      </w:r>
    </w:p>
    <w:p w:rsidR="000A54E0" w:rsidRPr="00E77ED1" w:rsidRDefault="000A54E0" w:rsidP="00A35800"/>
    <w:p w:rsidR="00B13F1A" w:rsidRPr="00C5662F" w:rsidRDefault="004437ED" w:rsidP="00A47920">
      <w:pPr>
        <w:pStyle w:val="Tabletitle"/>
        <w:keepNext/>
      </w:pPr>
      <w:r>
        <w:lastRenderedPageBreak/>
        <w:t>Table 4</w:t>
      </w:r>
      <w:r w:rsidR="00C5662F" w:rsidRPr="00C5662F">
        <w:t>: Switching between immunotherapies for NSCLC</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1961"/>
        <w:gridCol w:w="1961"/>
      </w:tblGrid>
      <w:tr w:rsidR="00C5662F" w:rsidRPr="00BE4618" w:rsidTr="00C5662F">
        <w:trPr>
          <w:trHeight w:val="300"/>
        </w:trPr>
        <w:tc>
          <w:tcPr>
            <w:tcW w:w="4980" w:type="dxa"/>
            <w:shd w:val="clear" w:color="auto" w:fill="BFBFBF" w:themeFill="background1" w:themeFillShade="BF"/>
            <w:noWrap/>
            <w:vAlign w:val="bottom"/>
            <w:hideMark/>
          </w:tcPr>
          <w:p w:rsidR="00C5662F" w:rsidRPr="00BE4618" w:rsidRDefault="00C5662F" w:rsidP="00A47920">
            <w:pPr>
              <w:keepNext/>
              <w:spacing w:after="0"/>
              <w:rPr>
                <w:rFonts w:ascii="Calibri" w:eastAsia="Times New Roman" w:hAnsi="Calibri" w:cs="Calibri"/>
                <w:b/>
                <w:color w:val="000000"/>
                <w:sz w:val="20"/>
                <w:szCs w:val="20"/>
              </w:rPr>
            </w:pPr>
            <w:r w:rsidRPr="00BE4618">
              <w:rPr>
                <w:rFonts w:ascii="Calibri" w:eastAsia="Times New Roman" w:hAnsi="Calibri" w:cs="Calibri"/>
                <w:b/>
                <w:color w:val="000000"/>
                <w:sz w:val="20"/>
                <w:szCs w:val="20"/>
              </w:rPr>
              <w:t>Sequence</w:t>
            </w:r>
          </w:p>
        </w:tc>
        <w:tc>
          <w:tcPr>
            <w:tcW w:w="1961" w:type="dxa"/>
            <w:shd w:val="clear" w:color="auto" w:fill="BFBFBF" w:themeFill="background1" w:themeFillShade="BF"/>
            <w:noWrap/>
            <w:vAlign w:val="bottom"/>
            <w:hideMark/>
          </w:tcPr>
          <w:p w:rsidR="00C5662F" w:rsidRPr="00BE4618" w:rsidRDefault="00C5662F" w:rsidP="00A47920">
            <w:pPr>
              <w:keepNext/>
              <w:spacing w:after="0"/>
              <w:rPr>
                <w:rFonts w:ascii="Calibri" w:eastAsia="Times New Roman" w:hAnsi="Calibri" w:cs="Calibri"/>
                <w:b/>
                <w:color w:val="000000"/>
                <w:sz w:val="20"/>
                <w:szCs w:val="20"/>
              </w:rPr>
            </w:pPr>
            <w:r w:rsidRPr="00BE4618">
              <w:rPr>
                <w:rFonts w:ascii="Calibri" w:eastAsia="Times New Roman" w:hAnsi="Calibri" w:cs="Calibri"/>
                <w:b/>
                <w:color w:val="000000"/>
                <w:sz w:val="20"/>
                <w:szCs w:val="20"/>
              </w:rPr>
              <w:t>Cou</w:t>
            </w:r>
            <w:r w:rsidRPr="00876144">
              <w:rPr>
                <w:rFonts w:ascii="Calibri" w:eastAsia="Times New Roman" w:hAnsi="Calibri" w:cs="Calibri"/>
                <w:b/>
                <w:color w:val="000000"/>
                <w:sz w:val="20"/>
                <w:szCs w:val="20"/>
              </w:rPr>
              <w:t xml:space="preserve">nt </w:t>
            </w:r>
            <w:r w:rsidRPr="00BE4618">
              <w:rPr>
                <w:rFonts w:ascii="Calibri" w:eastAsia="Times New Roman" w:hAnsi="Calibri" w:cs="Calibri"/>
                <w:b/>
                <w:color w:val="000000"/>
                <w:sz w:val="20"/>
                <w:szCs w:val="20"/>
              </w:rPr>
              <w:t>Patients</w:t>
            </w:r>
          </w:p>
        </w:tc>
        <w:tc>
          <w:tcPr>
            <w:tcW w:w="1961" w:type="dxa"/>
            <w:shd w:val="clear" w:color="auto" w:fill="BFBFBF" w:themeFill="background1" w:themeFillShade="BF"/>
          </w:tcPr>
          <w:p w:rsidR="00C5662F" w:rsidRPr="00BE4618" w:rsidRDefault="00C5662F" w:rsidP="00A47920">
            <w:pPr>
              <w:keepNext/>
              <w:spacing w:after="0"/>
              <w:rPr>
                <w:rFonts w:ascii="Calibri" w:eastAsia="Times New Roman" w:hAnsi="Calibri" w:cs="Calibri"/>
                <w:b/>
                <w:color w:val="000000"/>
                <w:sz w:val="20"/>
                <w:szCs w:val="20"/>
              </w:rPr>
            </w:pPr>
            <w:r>
              <w:rPr>
                <w:rFonts w:ascii="Calibri" w:eastAsia="Times New Roman" w:hAnsi="Calibri" w:cs="Calibri"/>
                <w:b/>
                <w:color w:val="000000"/>
                <w:sz w:val="20"/>
                <w:szCs w:val="20"/>
              </w:rPr>
              <w:t>Percent of total</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NIVOLUMAB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5</w:t>
            </w:r>
            <w:r w:rsidRPr="00876144">
              <w:rPr>
                <w:rFonts w:ascii="Calibri" w:eastAsia="Times New Roman" w:hAnsi="Calibri" w:cs="Calibri"/>
                <w:color w:val="000000"/>
                <w:sz w:val="20"/>
                <w:szCs w:val="20"/>
              </w:rPr>
              <w:t>,</w:t>
            </w:r>
            <w:r w:rsidRPr="00BE4618">
              <w:rPr>
                <w:rFonts w:ascii="Calibri" w:eastAsia="Times New Roman" w:hAnsi="Calibri" w:cs="Calibri"/>
                <w:color w:val="000000"/>
                <w:sz w:val="20"/>
                <w:szCs w:val="20"/>
              </w:rPr>
              <w:t>294</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54.0%</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PEMBROLIZUMAB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2</w:t>
            </w:r>
            <w:r w:rsidRPr="00876144">
              <w:rPr>
                <w:rFonts w:ascii="Calibri" w:eastAsia="Times New Roman" w:hAnsi="Calibri" w:cs="Calibri"/>
                <w:color w:val="000000"/>
                <w:sz w:val="20"/>
                <w:szCs w:val="20"/>
              </w:rPr>
              <w:t>,</w:t>
            </w:r>
            <w:r w:rsidRPr="00BE4618">
              <w:rPr>
                <w:rFonts w:ascii="Calibri" w:eastAsia="Times New Roman" w:hAnsi="Calibri" w:cs="Calibri"/>
                <w:color w:val="000000"/>
                <w:sz w:val="20"/>
                <w:szCs w:val="20"/>
              </w:rPr>
              <w:t>787</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28.4%</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ATEZOLIZUMAB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1</w:t>
            </w:r>
            <w:r w:rsidRPr="00876144">
              <w:rPr>
                <w:rFonts w:ascii="Calibri" w:eastAsia="Times New Roman" w:hAnsi="Calibri" w:cs="Calibri"/>
                <w:color w:val="000000"/>
                <w:sz w:val="20"/>
                <w:szCs w:val="20"/>
              </w:rPr>
              <w:t>,</w:t>
            </w:r>
            <w:r w:rsidRPr="00BE4618">
              <w:rPr>
                <w:rFonts w:ascii="Calibri" w:eastAsia="Times New Roman" w:hAnsi="Calibri" w:cs="Calibri"/>
                <w:color w:val="000000"/>
                <w:sz w:val="20"/>
                <w:szCs w:val="20"/>
              </w:rPr>
              <w:t>349</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13.8%</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DURVALUMAB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336</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3.4%</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NIVOLUMAB&gt;ATEZOLIZUMAB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25</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0.3%</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ATEZOLIZUMAB&gt;NIVOLUMAB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BE4618">
              <w:rPr>
                <w:rFonts w:ascii="Calibri" w:eastAsia="Times New Roman" w:hAnsi="Calibri" w:cs="Calibri"/>
                <w:color w:val="000000"/>
                <w:sz w:val="20"/>
                <w:szCs w:val="20"/>
              </w:rPr>
              <w:t>6</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r w:rsidRPr="00C5662F">
              <w:rPr>
                <w:rFonts w:ascii="Calibri" w:hAnsi="Calibri" w:cs="Calibri"/>
                <w:color w:val="000000"/>
                <w:sz w:val="20"/>
                <w:szCs w:val="20"/>
              </w:rPr>
              <w:t>0.1%</w:t>
            </w: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NIVOLUMAB&gt;PEMBROLIZUMAB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876144">
              <w:rPr>
                <w:rFonts w:ascii="Calibri" w:eastAsia="Times New Roman" w:hAnsi="Calibri" w:cs="Calibri"/>
                <w:color w:val="000000"/>
                <w:sz w:val="20"/>
                <w:szCs w:val="20"/>
              </w:rPr>
              <w:t>≤5</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PEMBROLIZUMAB&gt;ATEZOLIZUMAB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876144">
              <w:rPr>
                <w:rFonts w:ascii="Calibri" w:eastAsia="Times New Roman" w:hAnsi="Calibri" w:cs="Calibri"/>
                <w:color w:val="000000"/>
                <w:sz w:val="20"/>
                <w:szCs w:val="20"/>
              </w:rPr>
              <w:t>≤5</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ATEZOLIZUMAB&gt;PEMBROLIZUMAB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876144">
              <w:rPr>
                <w:rFonts w:ascii="Calibri" w:eastAsia="Times New Roman" w:hAnsi="Calibri" w:cs="Calibri"/>
                <w:color w:val="000000"/>
                <w:sz w:val="20"/>
                <w:szCs w:val="20"/>
              </w:rPr>
              <w:t>≤5</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p>
        </w:tc>
      </w:tr>
      <w:tr w:rsidR="00C5662F" w:rsidRPr="00BE4618" w:rsidTr="00C5662F">
        <w:trPr>
          <w:trHeight w:val="300"/>
        </w:trPr>
        <w:tc>
          <w:tcPr>
            <w:tcW w:w="4980" w:type="dxa"/>
            <w:shd w:val="clear" w:color="auto" w:fill="auto"/>
            <w:noWrap/>
            <w:vAlign w:val="bottom"/>
            <w:hideMark/>
          </w:tcPr>
          <w:p w:rsidR="00C5662F" w:rsidRPr="00BE4618" w:rsidRDefault="00C5662F" w:rsidP="00A47920">
            <w:pPr>
              <w:keepNext/>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PEMBROLIZUMAB&gt;NIVOLUMAB</w:t>
            </w:r>
          </w:p>
        </w:tc>
        <w:tc>
          <w:tcPr>
            <w:tcW w:w="1961" w:type="dxa"/>
            <w:shd w:val="clear" w:color="auto" w:fill="auto"/>
            <w:noWrap/>
            <w:vAlign w:val="bottom"/>
            <w:hideMark/>
          </w:tcPr>
          <w:p w:rsidR="00C5662F" w:rsidRPr="00BE4618" w:rsidRDefault="00C5662F" w:rsidP="00A47920">
            <w:pPr>
              <w:keepNext/>
              <w:spacing w:after="0"/>
              <w:jc w:val="right"/>
              <w:rPr>
                <w:rFonts w:ascii="Calibri" w:eastAsia="Times New Roman" w:hAnsi="Calibri" w:cs="Calibri"/>
                <w:color w:val="000000"/>
                <w:sz w:val="20"/>
                <w:szCs w:val="20"/>
              </w:rPr>
            </w:pPr>
            <w:r w:rsidRPr="00876144">
              <w:rPr>
                <w:rFonts w:ascii="Calibri" w:eastAsia="Times New Roman" w:hAnsi="Calibri" w:cs="Calibri"/>
                <w:color w:val="000000"/>
                <w:sz w:val="20"/>
                <w:szCs w:val="20"/>
              </w:rPr>
              <w:t>≤5</w:t>
            </w:r>
          </w:p>
        </w:tc>
        <w:tc>
          <w:tcPr>
            <w:tcW w:w="1961" w:type="dxa"/>
            <w:vAlign w:val="bottom"/>
          </w:tcPr>
          <w:p w:rsidR="00C5662F" w:rsidRPr="00C5662F" w:rsidRDefault="00C5662F" w:rsidP="00A47920">
            <w:pPr>
              <w:keepNext/>
              <w:spacing w:after="0"/>
              <w:jc w:val="right"/>
              <w:rPr>
                <w:rFonts w:ascii="Calibri" w:eastAsia="Times New Roman" w:hAnsi="Calibri" w:cs="Calibri"/>
                <w:color w:val="000000"/>
                <w:sz w:val="20"/>
                <w:szCs w:val="20"/>
              </w:rPr>
            </w:pPr>
          </w:p>
        </w:tc>
      </w:tr>
      <w:tr w:rsidR="00C5662F" w:rsidRPr="00BE4618" w:rsidTr="00C5662F">
        <w:trPr>
          <w:trHeight w:val="300"/>
        </w:trPr>
        <w:tc>
          <w:tcPr>
            <w:tcW w:w="4980" w:type="dxa"/>
            <w:shd w:val="clear" w:color="auto" w:fill="auto"/>
            <w:noWrap/>
            <w:vAlign w:val="bottom"/>
            <w:hideMark/>
          </w:tcPr>
          <w:p w:rsidR="00C5662F" w:rsidRPr="00BE4618" w:rsidRDefault="00C5662F" w:rsidP="00C5662F">
            <w:pPr>
              <w:spacing w:after="0"/>
              <w:rPr>
                <w:rFonts w:ascii="Calibri" w:eastAsia="Times New Roman" w:hAnsi="Calibri" w:cs="Calibri"/>
                <w:color w:val="000000"/>
                <w:sz w:val="20"/>
                <w:szCs w:val="20"/>
              </w:rPr>
            </w:pPr>
            <w:r w:rsidRPr="00BE4618">
              <w:rPr>
                <w:rFonts w:ascii="Calibri" w:eastAsia="Times New Roman" w:hAnsi="Calibri" w:cs="Calibri"/>
                <w:color w:val="000000"/>
                <w:sz w:val="20"/>
                <w:szCs w:val="20"/>
              </w:rPr>
              <w:t>PEMBROLIZUMAB&gt;DURVALUMAB</w:t>
            </w:r>
          </w:p>
        </w:tc>
        <w:tc>
          <w:tcPr>
            <w:tcW w:w="1961" w:type="dxa"/>
            <w:shd w:val="clear" w:color="auto" w:fill="auto"/>
            <w:noWrap/>
            <w:vAlign w:val="bottom"/>
            <w:hideMark/>
          </w:tcPr>
          <w:p w:rsidR="00C5662F" w:rsidRPr="00BE4618" w:rsidRDefault="00C5662F" w:rsidP="00C5662F">
            <w:pPr>
              <w:spacing w:after="0"/>
              <w:jc w:val="right"/>
              <w:rPr>
                <w:rFonts w:ascii="Calibri" w:eastAsia="Times New Roman" w:hAnsi="Calibri" w:cs="Calibri"/>
                <w:color w:val="000000"/>
                <w:sz w:val="20"/>
                <w:szCs w:val="20"/>
              </w:rPr>
            </w:pPr>
            <w:r w:rsidRPr="00876144">
              <w:rPr>
                <w:rFonts w:ascii="Calibri" w:eastAsia="Times New Roman" w:hAnsi="Calibri" w:cs="Calibri"/>
                <w:color w:val="000000"/>
                <w:sz w:val="20"/>
                <w:szCs w:val="20"/>
              </w:rPr>
              <w:t>≤5</w:t>
            </w:r>
          </w:p>
        </w:tc>
        <w:tc>
          <w:tcPr>
            <w:tcW w:w="1961" w:type="dxa"/>
            <w:vAlign w:val="bottom"/>
          </w:tcPr>
          <w:p w:rsidR="00C5662F" w:rsidRPr="00C5662F" w:rsidRDefault="00C5662F" w:rsidP="00C5662F">
            <w:pPr>
              <w:spacing w:after="0"/>
              <w:jc w:val="right"/>
              <w:rPr>
                <w:rFonts w:ascii="Calibri" w:eastAsia="Times New Roman" w:hAnsi="Calibri" w:cs="Calibri"/>
                <w:color w:val="000000"/>
                <w:sz w:val="20"/>
                <w:szCs w:val="20"/>
              </w:rPr>
            </w:pPr>
          </w:p>
        </w:tc>
      </w:tr>
    </w:tbl>
    <w:p w:rsidR="006E3AEA" w:rsidRDefault="006E3AEA" w:rsidP="00A35800"/>
    <w:p w:rsidR="00BE4618" w:rsidRPr="00C5662F" w:rsidRDefault="00C5662F" w:rsidP="00A35800">
      <w:r w:rsidRPr="00C5662F">
        <w:t xml:space="preserve">Table </w:t>
      </w:r>
      <w:r w:rsidR="004437ED">
        <w:t>4</w:t>
      </w:r>
      <w:r w:rsidRPr="00C5662F">
        <w:t xml:space="preserve"> above shows </w:t>
      </w:r>
      <w:r w:rsidR="00A15C45">
        <w:t>99.6% of patients treated with immunotherapies for NSCLC have not switched to a second immunotherapy.</w:t>
      </w:r>
      <w:r w:rsidRPr="00C5662F">
        <w:t xml:space="preserve"> The switch </w:t>
      </w:r>
      <w:r w:rsidR="00A15C45">
        <w:t xml:space="preserve">with the highest number of patients </w:t>
      </w:r>
      <w:r w:rsidRPr="00C5662F">
        <w:t xml:space="preserve">was from </w:t>
      </w:r>
      <w:proofErr w:type="spellStart"/>
      <w:r w:rsidRPr="00C5662F">
        <w:t>nivolumab</w:t>
      </w:r>
      <w:proofErr w:type="spellEnd"/>
      <w:r w:rsidRPr="00C5662F">
        <w:t xml:space="preserve"> to </w:t>
      </w:r>
      <w:proofErr w:type="spellStart"/>
      <w:r w:rsidRPr="00C5662F">
        <w:t>atezolizumab</w:t>
      </w:r>
      <w:proofErr w:type="spellEnd"/>
      <w:r w:rsidR="00CC6228">
        <w:t xml:space="preserve"> but only involved a small number of patients</w:t>
      </w:r>
      <w:r w:rsidRPr="00C5662F">
        <w:t xml:space="preserve">. Of the patients who did switch, no </w:t>
      </w:r>
      <w:r w:rsidR="00A15C45">
        <w:t>patients</w:t>
      </w:r>
      <w:r w:rsidRPr="00C5662F">
        <w:t xml:space="preserve"> switched more than once</w:t>
      </w:r>
      <w:r w:rsidR="00A15C45">
        <w:t xml:space="preserve">, and no patients switched from a second immunotherapy back </w:t>
      </w:r>
      <w:r w:rsidRPr="00C5662F">
        <w:t>to the original immunotherapy.</w:t>
      </w:r>
    </w:p>
    <w:p w:rsidR="00BE4618" w:rsidRDefault="00BE4618" w:rsidP="00A35800">
      <w:pPr>
        <w:rPr>
          <w:highlight w:val="yellow"/>
        </w:rPr>
      </w:pPr>
    </w:p>
    <w:p w:rsidR="00B13F1A" w:rsidRPr="00B13F1A" w:rsidRDefault="00C74082" w:rsidP="00C74082">
      <w:pPr>
        <w:pStyle w:val="Heading3"/>
      </w:pPr>
      <w:r>
        <w:t>Prior use of chemotherapy</w:t>
      </w:r>
    </w:p>
    <w:p w:rsidR="008F7C7B" w:rsidRDefault="008F7C7B" w:rsidP="008F7C7B">
      <w:r>
        <w:t>For patients treated wi</w:t>
      </w:r>
      <w:r w:rsidR="00A47920">
        <w:t xml:space="preserve">th </w:t>
      </w:r>
      <w:proofErr w:type="spellStart"/>
      <w:r w:rsidR="00A47920">
        <w:t>nivolumab</w:t>
      </w:r>
      <w:proofErr w:type="spellEnd"/>
      <w:r w:rsidR="00A47920">
        <w:t xml:space="preserve"> for NSCLC, Figure 10</w:t>
      </w:r>
      <w:r>
        <w:t xml:space="preserve"> shows the number of patients who initiated on </w:t>
      </w:r>
      <w:proofErr w:type="spellStart"/>
      <w:r>
        <w:t>nivolumab</w:t>
      </w:r>
      <w:proofErr w:type="spellEnd"/>
      <w:r>
        <w:t xml:space="preserve"> for NSCLC or a platinum based chemotherapy (cisplatin or carboplatin) by initiation date. Overall, 91.1% of the 5,331 patients who were supplied </w:t>
      </w:r>
      <w:proofErr w:type="spellStart"/>
      <w:r>
        <w:t>nivolumab</w:t>
      </w:r>
      <w:proofErr w:type="spellEnd"/>
      <w:r>
        <w:t xml:space="preserve"> for NSCLC had at least one prior platinum based chemotherapy supply. </w:t>
      </w:r>
    </w:p>
    <w:p w:rsidR="0022566C" w:rsidRDefault="0022566C" w:rsidP="00A35800">
      <w:pPr>
        <w:rPr>
          <w:highlight w:val="yellow"/>
        </w:rPr>
      </w:pPr>
      <w:r>
        <w:rPr>
          <w:noProof/>
        </w:rPr>
        <w:lastRenderedPageBreak/>
        <w:drawing>
          <wp:inline distT="0" distB="0" distL="0" distR="0" wp14:anchorId="63636A86" wp14:editId="77FA801A">
            <wp:extent cx="5671335" cy="3441843"/>
            <wp:effectExtent l="0" t="0" r="5715"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74082" w:rsidRDefault="00555265" w:rsidP="00C74082">
      <w:pPr>
        <w:pStyle w:val="Figuretitle"/>
      </w:pPr>
      <w:r>
        <w:t>Figure 11</w:t>
      </w:r>
      <w:r w:rsidR="00C74082" w:rsidRPr="00C74082">
        <w:t xml:space="preserve">: </w:t>
      </w:r>
      <w:r w:rsidR="00C74082">
        <w:t xml:space="preserve">Initiating medicine for patients treated with </w:t>
      </w:r>
      <w:proofErr w:type="spellStart"/>
      <w:r w:rsidR="00C74082">
        <w:t>nivolumab</w:t>
      </w:r>
      <w:proofErr w:type="spellEnd"/>
      <w:r w:rsidR="00C74082">
        <w:t xml:space="preserve"> for NSCLC</w:t>
      </w:r>
    </w:p>
    <w:p w:rsidR="00C74082" w:rsidRDefault="00C74082" w:rsidP="00C74082"/>
    <w:p w:rsidR="00C74082" w:rsidRPr="00C74082" w:rsidRDefault="00A1057A" w:rsidP="00C74082">
      <w:r>
        <w:t xml:space="preserve">The number of patients initiated on cisplatin or carboplatin who were then treated with </w:t>
      </w:r>
      <w:proofErr w:type="spellStart"/>
      <w:r>
        <w:t>nivolumab</w:t>
      </w:r>
      <w:proofErr w:type="spellEnd"/>
      <w:r>
        <w:t xml:space="preserve"> gradually increased prior to the listing of </w:t>
      </w:r>
      <w:proofErr w:type="spellStart"/>
      <w:r>
        <w:t>nivolumab</w:t>
      </w:r>
      <w:proofErr w:type="spellEnd"/>
      <w:r>
        <w:t xml:space="preserve"> for NSCLC. </w:t>
      </w:r>
      <w:r w:rsidR="007E1EB0">
        <w:t>The decrease</w:t>
      </w:r>
      <w:r w:rsidR="001F6B07">
        <w:t xml:space="preserve"> in the number of patients</w:t>
      </w:r>
      <w:r w:rsidR="007E1EB0">
        <w:t xml:space="preserve"> following the listing of </w:t>
      </w:r>
      <w:proofErr w:type="spellStart"/>
      <w:r w:rsidR="007E1EB0">
        <w:t>nivolumab</w:t>
      </w:r>
      <w:proofErr w:type="spellEnd"/>
      <w:r w:rsidR="007E1EB0">
        <w:t xml:space="preserve"> may be due to the listing of other immunotherapies. </w:t>
      </w:r>
    </w:p>
    <w:p w:rsidR="00571055" w:rsidRDefault="00571055" w:rsidP="00A35800">
      <w:r w:rsidRPr="007E1EB0">
        <w:t xml:space="preserve">The number of patients who were supplied cisplatin or carboplatin prior to </w:t>
      </w:r>
      <w:proofErr w:type="spellStart"/>
      <w:r w:rsidRPr="007E1EB0">
        <w:t>nivolumab</w:t>
      </w:r>
      <w:proofErr w:type="spellEnd"/>
      <w:r w:rsidRPr="007E1EB0">
        <w:t xml:space="preserve"> in</w:t>
      </w:r>
      <w:r>
        <w:t xml:space="preserve"> the final three months of the data extraction </w:t>
      </w:r>
      <w:r w:rsidR="007E1EB0">
        <w:t>appears to be</w:t>
      </w:r>
      <w:r>
        <w:t xml:space="preserve"> low </w:t>
      </w:r>
      <w:r w:rsidR="007E1EB0">
        <w:t xml:space="preserve">because patients were excluded from the analysis if they have not been supplied </w:t>
      </w:r>
      <w:proofErr w:type="spellStart"/>
      <w:r w:rsidR="007E1EB0">
        <w:t>nivolumab</w:t>
      </w:r>
      <w:proofErr w:type="spellEnd"/>
      <w:r w:rsidR="007E1EB0">
        <w:t xml:space="preserve"> for NSCLC. </w:t>
      </w:r>
    </w:p>
    <w:p w:rsidR="001A2553" w:rsidRDefault="00DE78D4" w:rsidP="00A35800">
      <w:pPr>
        <w:rPr>
          <w:highlight w:val="yellow"/>
        </w:rPr>
      </w:pPr>
      <w:r>
        <w:rPr>
          <w:noProof/>
        </w:rPr>
        <w:lastRenderedPageBreak/>
        <w:drawing>
          <wp:inline distT="0" distB="0" distL="0" distR="0" wp14:anchorId="60115516" wp14:editId="13FA1FB6">
            <wp:extent cx="5687695" cy="3593465"/>
            <wp:effectExtent l="0" t="0" r="825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D658D" w:rsidRDefault="00555265" w:rsidP="00AD658D">
      <w:pPr>
        <w:pStyle w:val="Figuretitle"/>
      </w:pPr>
      <w:r>
        <w:t>Figure 12</w:t>
      </w:r>
      <w:r w:rsidR="00AD658D" w:rsidRPr="00C74082">
        <w:t xml:space="preserve">: </w:t>
      </w:r>
      <w:r w:rsidR="00AD658D">
        <w:t xml:space="preserve">Time between last chemotherapy prescription and first </w:t>
      </w:r>
      <w:proofErr w:type="spellStart"/>
      <w:r w:rsidR="00AD658D">
        <w:t>nivolumab</w:t>
      </w:r>
      <w:proofErr w:type="spellEnd"/>
      <w:r w:rsidR="00AD658D">
        <w:t xml:space="preserve"> prescription</w:t>
      </w:r>
    </w:p>
    <w:p w:rsidR="00C06E06" w:rsidRDefault="00C06E06" w:rsidP="00DE78D4"/>
    <w:p w:rsidR="00370535" w:rsidRDefault="00370535">
      <w:pPr>
        <w:spacing w:line="276" w:lineRule="auto"/>
        <w:rPr>
          <w:b/>
          <w:sz w:val="28"/>
        </w:rPr>
      </w:pPr>
      <w:r>
        <w:br w:type="page"/>
      </w:r>
    </w:p>
    <w:p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0B0AB9" w:rsidRDefault="00FC2104" w:rsidP="00A35800">
      <w:r w:rsidRPr="00FC2104">
        <w:t>The main assumptions outlined in the ‘Approach taken to estimate utilisation’ section were not changed</w:t>
      </w:r>
      <w:r>
        <w:t xml:space="preserve"> in the agreed estimates</w:t>
      </w:r>
      <w:r w:rsidRPr="00FC2104">
        <w:t>.</w:t>
      </w:r>
    </w:p>
    <w:p w:rsidR="002A0A45" w:rsidRDefault="004437ED" w:rsidP="002A0A45">
      <w:pPr>
        <w:pStyle w:val="Tabletitle"/>
      </w:pPr>
      <w:r>
        <w:t>Table 5</w:t>
      </w:r>
      <w:r w:rsidR="002A0A45" w:rsidRPr="002A0A45">
        <w:t xml:space="preserve">: Predicted versus actual for </w:t>
      </w:r>
      <w:proofErr w:type="spellStart"/>
      <w:r w:rsidR="002A0A45" w:rsidRPr="002A0A45">
        <w:t>nivolumab</w:t>
      </w:r>
      <w:proofErr w:type="spellEnd"/>
      <w:r w:rsidR="002A0A45" w:rsidRPr="002A0A45">
        <w:t xml:space="preserve"> for NSCLC</w:t>
      </w:r>
    </w:p>
    <w:tbl>
      <w:tblPr>
        <w:tblW w:w="8947" w:type="dxa"/>
        <w:tblLayout w:type="fixed"/>
        <w:tblLook w:val="04A0" w:firstRow="1" w:lastRow="0" w:firstColumn="1" w:lastColumn="0" w:noHBand="0" w:noVBand="1"/>
      </w:tblPr>
      <w:tblGrid>
        <w:gridCol w:w="1692"/>
        <w:gridCol w:w="1847"/>
        <w:gridCol w:w="1276"/>
        <w:gridCol w:w="1377"/>
        <w:gridCol w:w="1377"/>
        <w:gridCol w:w="1378"/>
      </w:tblGrid>
      <w:tr w:rsidR="00370535" w:rsidRPr="00370535" w:rsidTr="00935C8F">
        <w:trPr>
          <w:trHeight w:val="300"/>
        </w:trPr>
        <w:tc>
          <w:tcPr>
            <w:tcW w:w="1692" w:type="dxa"/>
            <w:tcBorders>
              <w:top w:val="single" w:sz="4" w:space="0" w:color="auto"/>
              <w:left w:val="single" w:sz="4" w:space="0" w:color="auto"/>
              <w:right w:val="single" w:sz="4" w:space="0" w:color="auto"/>
            </w:tcBorders>
            <w:shd w:val="clear" w:color="auto" w:fill="BFBFBF" w:themeFill="background1" w:themeFillShade="BF"/>
          </w:tcPr>
          <w:p w:rsidR="00370535" w:rsidRPr="00370535" w:rsidRDefault="00370535" w:rsidP="00370535">
            <w:pPr>
              <w:spacing w:after="0"/>
              <w:rPr>
                <w:rFonts w:ascii="Calibri" w:eastAsia="Times New Roman" w:hAnsi="Calibri" w:cs="Calibri"/>
                <w:color w:val="000000"/>
                <w:sz w:val="22"/>
                <w:szCs w:val="22"/>
              </w:rPr>
            </w:pPr>
          </w:p>
        </w:tc>
        <w:tc>
          <w:tcPr>
            <w:tcW w:w="1847" w:type="dxa"/>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rPr>
                <w:rFonts w:ascii="Calibri" w:eastAsia="Times New Roman" w:hAnsi="Calibri" w:cs="Calibri"/>
                <w:color w:val="000000"/>
                <w:sz w:val="22"/>
                <w:szCs w:val="22"/>
              </w:rPr>
            </w:pPr>
            <w:r w:rsidRPr="00370535">
              <w:rPr>
                <w:rFonts w:ascii="Calibri" w:eastAsia="Times New Roman" w:hAnsi="Calibri" w:cs="Calibri"/>
                <w:color w:val="000000"/>
                <w:sz w:val="22"/>
                <w:szCs w:val="22"/>
              </w:rPr>
              <w:t> </w:t>
            </w:r>
          </w:p>
          <w:p w:rsidR="00370535" w:rsidRPr="00370535" w:rsidRDefault="00370535" w:rsidP="00370535">
            <w:pPr>
              <w:spacing w:after="0"/>
              <w:rPr>
                <w:rFonts w:ascii="Calibri" w:eastAsia="Times New Roman" w:hAnsi="Calibri" w:cs="Calibri"/>
                <w:color w:val="000000"/>
                <w:sz w:val="22"/>
                <w:szCs w:val="22"/>
              </w:rPr>
            </w:pPr>
            <w:r w:rsidRPr="00370535">
              <w:rPr>
                <w:rFonts w:ascii="Calibri" w:eastAsia="Times New Roman" w:hAnsi="Calibri" w:cs="Calibri"/>
                <w:color w:val="000000"/>
                <w:sz w:val="22"/>
                <w:szCs w:val="22"/>
              </w:rPr>
              <w:t> </w:t>
            </w:r>
          </w:p>
        </w:tc>
        <w:tc>
          <w:tcPr>
            <w:tcW w:w="1276" w:type="dxa"/>
            <w:vMerge w:val="restart"/>
            <w:tcBorders>
              <w:top w:val="single" w:sz="4" w:space="0" w:color="auto"/>
              <w:left w:val="nil"/>
              <w:right w:val="single" w:sz="4" w:space="0" w:color="auto"/>
            </w:tcBorders>
            <w:shd w:val="clear" w:color="auto" w:fill="BFBFBF" w:themeFill="background1" w:themeFillShade="BF"/>
            <w:noWrap/>
            <w:vAlign w:val="bottom"/>
            <w:hideMark/>
          </w:tcPr>
          <w:p w:rsidR="00370535" w:rsidRPr="00370535" w:rsidRDefault="00370535" w:rsidP="00370535">
            <w:pPr>
              <w:spacing w:after="0"/>
              <w:rPr>
                <w:rFonts w:ascii="Calibri" w:eastAsia="Times New Roman" w:hAnsi="Calibri" w:cs="Calibri"/>
                <w:color w:val="000000"/>
                <w:sz w:val="22"/>
                <w:szCs w:val="22"/>
              </w:rPr>
            </w:pPr>
            <w:r w:rsidRPr="00370535">
              <w:rPr>
                <w:rFonts w:ascii="Calibri" w:eastAsia="Times New Roman" w:hAnsi="Calibri" w:cs="Calibri"/>
                <w:color w:val="000000"/>
                <w:sz w:val="22"/>
                <w:szCs w:val="22"/>
              </w:rPr>
              <w:t> </w:t>
            </w:r>
          </w:p>
          <w:p w:rsidR="00370535" w:rsidRPr="00370535" w:rsidRDefault="00370535" w:rsidP="00370535">
            <w:pPr>
              <w:spacing w:after="0"/>
              <w:rPr>
                <w:rFonts w:ascii="Calibri" w:eastAsia="Times New Roman" w:hAnsi="Calibri" w:cs="Calibri"/>
                <w:color w:val="000000"/>
                <w:sz w:val="22"/>
                <w:szCs w:val="22"/>
              </w:rPr>
            </w:pPr>
            <w:r w:rsidRPr="00370535">
              <w:rPr>
                <w:rFonts w:ascii="Calibri" w:eastAsia="Times New Roman" w:hAnsi="Calibri" w:cs="Calibri"/>
                <w:color w:val="000000"/>
                <w:sz w:val="22"/>
                <w:szCs w:val="22"/>
              </w:rPr>
              <w:t> </w:t>
            </w:r>
          </w:p>
        </w:tc>
        <w:tc>
          <w:tcPr>
            <w:tcW w:w="13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Year 1</w:t>
            </w:r>
            <w:r w:rsidRPr="00370535">
              <w:rPr>
                <w:rFonts w:ascii="Calibri" w:eastAsia="Times New Roman" w:hAnsi="Calibri" w:cs="Calibri"/>
                <w:color w:val="000000"/>
                <w:sz w:val="16"/>
                <w:szCs w:val="16"/>
              </w:rPr>
              <w:t> </w:t>
            </w:r>
          </w:p>
        </w:tc>
        <w:tc>
          <w:tcPr>
            <w:tcW w:w="13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Year 2</w:t>
            </w:r>
          </w:p>
        </w:tc>
        <w:tc>
          <w:tcPr>
            <w:tcW w:w="137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Year 3</w:t>
            </w:r>
          </w:p>
        </w:tc>
      </w:tr>
      <w:tr w:rsidR="00370535" w:rsidRPr="00370535" w:rsidTr="00935C8F">
        <w:trPr>
          <w:trHeight w:val="300"/>
        </w:trPr>
        <w:tc>
          <w:tcPr>
            <w:tcW w:w="1692" w:type="dxa"/>
            <w:tcBorders>
              <w:left w:val="single" w:sz="4" w:space="0" w:color="auto"/>
              <w:bottom w:val="single" w:sz="4" w:space="0" w:color="auto"/>
              <w:right w:val="single" w:sz="4" w:space="0" w:color="auto"/>
            </w:tcBorders>
            <w:shd w:val="clear" w:color="auto" w:fill="BFBFBF" w:themeFill="background1" w:themeFillShade="BF"/>
          </w:tcPr>
          <w:p w:rsidR="00370535" w:rsidRPr="00370535" w:rsidRDefault="00370535" w:rsidP="00370535">
            <w:pPr>
              <w:spacing w:after="0"/>
              <w:rPr>
                <w:rFonts w:ascii="Calibri" w:eastAsia="Times New Roman" w:hAnsi="Calibri" w:cs="Calibri"/>
                <w:color w:val="000000"/>
                <w:sz w:val="22"/>
                <w:szCs w:val="22"/>
              </w:rPr>
            </w:pPr>
          </w:p>
        </w:tc>
        <w:tc>
          <w:tcPr>
            <w:tcW w:w="1847" w:type="dxa"/>
            <w:vMerge/>
            <w:tcBorders>
              <w:left w:val="single" w:sz="4" w:space="0" w:color="auto"/>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rPr>
                <w:rFonts w:ascii="Calibri" w:eastAsia="Times New Roman" w:hAnsi="Calibri" w:cs="Calibri"/>
                <w:color w:val="000000"/>
                <w:sz w:val="22"/>
                <w:szCs w:val="22"/>
              </w:rPr>
            </w:pPr>
          </w:p>
        </w:tc>
        <w:tc>
          <w:tcPr>
            <w:tcW w:w="1276" w:type="dxa"/>
            <w:vMerge/>
            <w:tcBorders>
              <w:left w:val="nil"/>
              <w:bottom w:val="single" w:sz="4" w:space="0" w:color="auto"/>
              <w:right w:val="single" w:sz="4" w:space="0" w:color="auto"/>
            </w:tcBorders>
            <w:shd w:val="clear" w:color="auto" w:fill="BFBFBF" w:themeFill="background1" w:themeFillShade="BF"/>
            <w:noWrap/>
            <w:vAlign w:val="bottom"/>
            <w:hideMark/>
          </w:tcPr>
          <w:p w:rsidR="00370535" w:rsidRPr="00370535" w:rsidRDefault="00370535" w:rsidP="00370535">
            <w:pPr>
              <w:spacing w:after="0"/>
              <w:rPr>
                <w:rFonts w:ascii="Calibri" w:eastAsia="Times New Roman" w:hAnsi="Calibri" w:cs="Calibri"/>
                <w:color w:val="000000"/>
                <w:sz w:val="22"/>
                <w:szCs w:val="22"/>
              </w:rPr>
            </w:pPr>
          </w:p>
        </w:tc>
        <w:tc>
          <w:tcPr>
            <w:tcW w:w="1377" w:type="dxa"/>
            <w:tcBorders>
              <w:top w:val="nil"/>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Aug 17 – Jul 18</w:t>
            </w:r>
          </w:p>
        </w:tc>
        <w:tc>
          <w:tcPr>
            <w:tcW w:w="1377" w:type="dxa"/>
            <w:tcBorders>
              <w:top w:val="nil"/>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Aug 18 – Jul 19</w:t>
            </w:r>
          </w:p>
        </w:tc>
        <w:tc>
          <w:tcPr>
            <w:tcW w:w="1378" w:type="dxa"/>
            <w:tcBorders>
              <w:top w:val="nil"/>
              <w:left w:val="nil"/>
              <w:bottom w:val="single" w:sz="4" w:space="0" w:color="auto"/>
              <w:right w:val="single" w:sz="4" w:space="0" w:color="auto"/>
            </w:tcBorders>
            <w:shd w:val="clear" w:color="auto" w:fill="BFBFBF" w:themeFill="background1" w:themeFillShade="BF"/>
            <w:noWrap/>
            <w:vAlign w:val="center"/>
            <w:hideMark/>
          </w:tcPr>
          <w:p w:rsidR="00370535" w:rsidRPr="00370535" w:rsidRDefault="00370535" w:rsidP="00370535">
            <w:pPr>
              <w:spacing w:after="0"/>
              <w:jc w:val="center"/>
              <w:rPr>
                <w:rFonts w:ascii="Calibri" w:eastAsia="Times New Roman" w:hAnsi="Calibri" w:cs="Calibri"/>
                <w:b/>
                <w:bCs/>
                <w:color w:val="000000"/>
                <w:sz w:val="20"/>
                <w:szCs w:val="20"/>
              </w:rPr>
            </w:pPr>
            <w:r w:rsidRPr="00370535">
              <w:rPr>
                <w:rFonts w:ascii="Calibri" w:eastAsia="Times New Roman" w:hAnsi="Calibri" w:cs="Calibri"/>
                <w:b/>
                <w:bCs/>
                <w:color w:val="000000"/>
                <w:sz w:val="20"/>
                <w:szCs w:val="20"/>
              </w:rPr>
              <w:t>Aug 19 – Mar 20</w:t>
            </w:r>
          </w:p>
        </w:tc>
      </w:tr>
      <w:tr w:rsidR="00370535" w:rsidRPr="00370535" w:rsidTr="00935C8F">
        <w:trPr>
          <w:trHeight w:val="300"/>
        </w:trPr>
        <w:tc>
          <w:tcPr>
            <w:tcW w:w="1692" w:type="dxa"/>
            <w:vMerge w:val="restart"/>
            <w:tcBorders>
              <w:top w:val="nil"/>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Patients</w:t>
            </w: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370535" w:rsidRPr="00370535" w:rsidRDefault="00370535" w:rsidP="00370535">
            <w:pPr>
              <w:spacing w:after="0"/>
              <w:rPr>
                <w:rFonts w:ascii="Calibri" w:eastAsia="Times New Roman" w:hAnsi="Calibri" w:cs="Calibri"/>
                <w:color w:val="000000"/>
                <w:sz w:val="20"/>
                <w:szCs w:val="20"/>
              </w:rPr>
            </w:pPr>
            <w:proofErr w:type="spellStart"/>
            <w:r w:rsidRPr="00370535">
              <w:rPr>
                <w:rFonts w:ascii="Calibri" w:eastAsia="Times New Roman" w:hAnsi="Calibri" w:cs="Calibri"/>
                <w:color w:val="000000"/>
                <w:sz w:val="20"/>
                <w:szCs w:val="20"/>
              </w:rPr>
              <w:t>Nivolumab</w:t>
            </w:r>
            <w:proofErr w:type="spellEnd"/>
            <w:r w:rsidRPr="00370535">
              <w:rPr>
                <w:rFonts w:ascii="Calibri" w:eastAsia="Times New Roman" w:hAnsi="Calibri" w:cs="Calibri"/>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Predicted</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Actual</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3,524</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2635</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1,715</w:t>
            </w:r>
          </w:p>
        </w:tc>
      </w:tr>
      <w:tr w:rsidR="00370535" w:rsidRPr="00370535" w:rsidTr="00563E61">
        <w:trPr>
          <w:trHeight w:val="28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Difference</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370535" w:rsidRPr="00370535" w:rsidRDefault="00370535" w:rsidP="0037053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Immunotherapies</w:t>
            </w:r>
            <w:r w:rsidRPr="00370535">
              <w:rPr>
                <w:rFonts w:ascii="Calibri" w:eastAsia="Times New Roman" w:hAnsi="Calibri" w:cs="Calibri"/>
                <w:color w:val="000000"/>
                <w:sz w:val="20"/>
                <w:szCs w:val="20"/>
              </w:rPr>
              <w:t xml:space="preserve"> for NSCLC </w:t>
            </w: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Predicted</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Actual</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3,708</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4,634</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5,123</w:t>
            </w:r>
          </w:p>
        </w:tc>
      </w:tr>
      <w:tr w:rsidR="00370535" w:rsidRPr="00370535" w:rsidTr="00935C8F">
        <w:trPr>
          <w:trHeight w:val="300"/>
        </w:trPr>
        <w:tc>
          <w:tcPr>
            <w:tcW w:w="1692" w:type="dxa"/>
            <w:vMerge/>
            <w:tcBorders>
              <w:left w:val="single" w:sz="4" w:space="0" w:color="auto"/>
              <w:bottom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Difference</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563E61">
        <w:trPr>
          <w:trHeight w:val="340"/>
        </w:trPr>
        <w:tc>
          <w:tcPr>
            <w:tcW w:w="1692" w:type="dxa"/>
            <w:vMerge w:val="restart"/>
            <w:tcBorders>
              <w:top w:val="nil"/>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Administrations</w:t>
            </w: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370535" w:rsidRPr="00370535" w:rsidRDefault="00370535" w:rsidP="00370535">
            <w:pPr>
              <w:spacing w:after="0"/>
              <w:rPr>
                <w:rFonts w:ascii="Calibri" w:eastAsia="Times New Roman" w:hAnsi="Calibri" w:cs="Calibri"/>
                <w:color w:val="000000"/>
                <w:sz w:val="20"/>
                <w:szCs w:val="20"/>
              </w:rPr>
            </w:pPr>
            <w:proofErr w:type="spellStart"/>
            <w:r w:rsidRPr="00370535">
              <w:rPr>
                <w:rFonts w:ascii="Calibri" w:eastAsia="Times New Roman" w:hAnsi="Calibri" w:cs="Calibri"/>
                <w:color w:val="000000"/>
                <w:sz w:val="20"/>
                <w:szCs w:val="20"/>
              </w:rPr>
              <w:t>Nivolumab</w:t>
            </w:r>
            <w:proofErr w:type="spellEnd"/>
            <w:r w:rsidRPr="00370535">
              <w:rPr>
                <w:rFonts w:ascii="Calibri" w:eastAsia="Times New Roman" w:hAnsi="Calibri" w:cs="Calibri"/>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Predicted</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Actual</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35,431</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30,832</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13,274</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Difference</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935C8F">
        <w:trPr>
          <w:trHeight w:val="300"/>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370535" w:rsidRPr="00370535" w:rsidRDefault="00370535" w:rsidP="00370535">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Immunotherapies</w:t>
            </w:r>
            <w:r w:rsidRPr="00370535">
              <w:rPr>
                <w:rFonts w:ascii="Calibri" w:eastAsia="Times New Roman" w:hAnsi="Calibri" w:cs="Calibri"/>
                <w:color w:val="000000"/>
                <w:sz w:val="20"/>
                <w:szCs w:val="20"/>
              </w:rPr>
              <w:t xml:space="preserve"> for NSCLC </w:t>
            </w: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Predicted</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370535" w:rsidRPr="00370535" w:rsidTr="00563E61">
        <w:trPr>
          <w:trHeight w:val="331"/>
        </w:trPr>
        <w:tc>
          <w:tcPr>
            <w:tcW w:w="1692" w:type="dxa"/>
            <w:vMerge/>
            <w:tcBorders>
              <w:left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Actual</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35</w:t>
            </w:r>
            <w:r w:rsidR="009A4886" w:rsidRPr="00E9774E">
              <w:rPr>
                <w:rFonts w:ascii="Calibri" w:eastAsia="Times New Roman" w:hAnsi="Calibri" w:cs="Calibri"/>
                <w:color w:val="000000"/>
                <w:sz w:val="20"/>
                <w:szCs w:val="20"/>
              </w:rPr>
              <w:t>,</w:t>
            </w:r>
            <w:r w:rsidRPr="00E9774E">
              <w:rPr>
                <w:rFonts w:ascii="Calibri" w:eastAsia="Times New Roman" w:hAnsi="Calibri" w:cs="Calibri"/>
                <w:color w:val="000000"/>
                <w:sz w:val="20"/>
                <w:szCs w:val="20"/>
              </w:rPr>
              <w:t>945</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42</w:t>
            </w:r>
            <w:r w:rsidR="009A4886" w:rsidRPr="00E9774E">
              <w:rPr>
                <w:rFonts w:ascii="Calibri" w:eastAsia="Times New Roman" w:hAnsi="Calibri" w:cs="Calibri"/>
                <w:color w:val="000000"/>
                <w:sz w:val="20"/>
                <w:szCs w:val="20"/>
              </w:rPr>
              <w:t>,</w:t>
            </w:r>
            <w:r w:rsidRPr="00E9774E">
              <w:rPr>
                <w:rFonts w:ascii="Calibri" w:eastAsia="Times New Roman" w:hAnsi="Calibri" w:cs="Calibri"/>
                <w:color w:val="000000"/>
                <w:sz w:val="20"/>
                <w:szCs w:val="20"/>
              </w:rPr>
              <w:t>314</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jc w:val="right"/>
              <w:rPr>
                <w:rFonts w:ascii="Calibri" w:eastAsia="Times New Roman" w:hAnsi="Calibri" w:cs="Calibri"/>
                <w:color w:val="000000"/>
                <w:sz w:val="20"/>
                <w:szCs w:val="20"/>
              </w:rPr>
            </w:pPr>
            <w:r w:rsidRPr="00E9774E">
              <w:rPr>
                <w:rFonts w:ascii="Calibri" w:eastAsia="Times New Roman" w:hAnsi="Calibri" w:cs="Calibri"/>
                <w:color w:val="000000"/>
                <w:sz w:val="20"/>
                <w:szCs w:val="20"/>
              </w:rPr>
              <w:t>29</w:t>
            </w:r>
            <w:r w:rsidR="009A4886" w:rsidRPr="00E9774E">
              <w:rPr>
                <w:rFonts w:ascii="Calibri" w:eastAsia="Times New Roman" w:hAnsi="Calibri" w:cs="Calibri"/>
                <w:color w:val="000000"/>
                <w:sz w:val="20"/>
                <w:szCs w:val="20"/>
              </w:rPr>
              <w:t>,</w:t>
            </w:r>
            <w:r w:rsidRPr="00E9774E">
              <w:rPr>
                <w:rFonts w:ascii="Calibri" w:eastAsia="Times New Roman" w:hAnsi="Calibri" w:cs="Calibri"/>
                <w:color w:val="000000"/>
                <w:sz w:val="20"/>
                <w:szCs w:val="20"/>
              </w:rPr>
              <w:t>973</w:t>
            </w:r>
          </w:p>
        </w:tc>
      </w:tr>
      <w:tr w:rsidR="00370535" w:rsidRPr="00370535" w:rsidTr="00174089">
        <w:trPr>
          <w:trHeight w:val="300"/>
        </w:trPr>
        <w:tc>
          <w:tcPr>
            <w:tcW w:w="1692" w:type="dxa"/>
            <w:vMerge/>
            <w:tcBorders>
              <w:left w:val="single" w:sz="4" w:space="0" w:color="auto"/>
              <w:bottom w:val="single" w:sz="4" w:space="0" w:color="auto"/>
              <w:right w:val="single" w:sz="4" w:space="0" w:color="auto"/>
            </w:tcBorders>
          </w:tcPr>
          <w:p w:rsidR="00370535" w:rsidRPr="00370535" w:rsidRDefault="00370535" w:rsidP="00370535">
            <w:pPr>
              <w:spacing w:after="0"/>
              <w:rPr>
                <w:rFonts w:ascii="Calibri" w:eastAsia="Times New Roman" w:hAnsi="Calibri" w:cs="Calibri"/>
                <w:color w:val="000000"/>
                <w:sz w:val="20"/>
                <w:szCs w:val="20"/>
              </w:rPr>
            </w:pPr>
          </w:p>
        </w:tc>
        <w:tc>
          <w:tcPr>
            <w:tcW w:w="1847" w:type="dxa"/>
            <w:vMerge/>
            <w:tcBorders>
              <w:top w:val="nil"/>
              <w:left w:val="single" w:sz="4" w:space="0" w:color="auto"/>
              <w:bottom w:val="single" w:sz="4" w:space="0" w:color="auto"/>
              <w:right w:val="single" w:sz="4" w:space="0" w:color="auto"/>
            </w:tcBorders>
            <w:vAlign w:val="center"/>
            <w:hideMark/>
          </w:tcPr>
          <w:p w:rsidR="00370535" w:rsidRPr="00370535" w:rsidRDefault="00370535" w:rsidP="00370535">
            <w:pPr>
              <w:spacing w:after="0"/>
              <w:rPr>
                <w:rFonts w:ascii="Calibri" w:eastAsia="Times New Roman" w:hAnsi="Calibri"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70535" w:rsidRPr="00370535" w:rsidRDefault="00370535" w:rsidP="00370535">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Difference</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7"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c>
          <w:tcPr>
            <w:tcW w:w="1378" w:type="dxa"/>
            <w:tcBorders>
              <w:top w:val="nil"/>
              <w:left w:val="nil"/>
              <w:bottom w:val="single" w:sz="4" w:space="0" w:color="auto"/>
              <w:right w:val="single" w:sz="4" w:space="0" w:color="auto"/>
            </w:tcBorders>
            <w:shd w:val="clear" w:color="auto" w:fill="auto"/>
            <w:noWrap/>
            <w:vAlign w:val="bottom"/>
            <w:hideMark/>
          </w:tcPr>
          <w:p w:rsidR="00370535" w:rsidRPr="00485975" w:rsidRDefault="00485975" w:rsidP="00370535">
            <w:pPr>
              <w:spacing w:after="0"/>
              <w:jc w:val="right"/>
              <w:rPr>
                <w:rFonts w:ascii="Calibri" w:eastAsia="Times New Roman" w:hAnsi="Calibri" w:cs="Calibri"/>
                <w:color w:val="000000"/>
                <w:sz w:val="20"/>
                <w:szCs w:val="20"/>
                <w:highlight w:val="black"/>
              </w:rPr>
            </w:pPr>
            <w:r>
              <w:rPr>
                <w:rFonts w:ascii="Calibri" w:eastAsia="Times New Roman" w:hAnsi="Calibri" w:cs="Calibri"/>
                <w:noProof/>
                <w:color w:val="000000"/>
                <w:sz w:val="20"/>
                <w:szCs w:val="20"/>
                <w:highlight w:val="black"/>
              </w:rPr>
              <w:t>'''''''''</w:t>
            </w:r>
          </w:p>
        </w:tc>
      </w:tr>
      <w:tr w:rsidR="005C4DC3" w:rsidRPr="00370535" w:rsidTr="000F6611">
        <w:trPr>
          <w:trHeight w:val="300"/>
        </w:trPr>
        <w:tc>
          <w:tcPr>
            <w:tcW w:w="1692" w:type="dxa"/>
            <w:vMerge w:val="restart"/>
            <w:tcBorders>
              <w:top w:val="single" w:sz="4" w:space="0" w:color="auto"/>
              <w:left w:val="single" w:sz="4" w:space="0" w:color="auto"/>
              <w:right w:val="single" w:sz="4" w:space="0" w:color="auto"/>
            </w:tcBorders>
          </w:tcPr>
          <w:p w:rsidR="005C4DC3" w:rsidRPr="00370535" w:rsidRDefault="005C4DC3" w:rsidP="005C4DC3">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Dose per administration</w:t>
            </w:r>
          </w:p>
        </w:tc>
        <w:tc>
          <w:tcPr>
            <w:tcW w:w="1847" w:type="dxa"/>
            <w:vMerge w:val="restart"/>
            <w:tcBorders>
              <w:top w:val="single" w:sz="4" w:space="0" w:color="auto"/>
              <w:left w:val="single" w:sz="4" w:space="0" w:color="auto"/>
              <w:right w:val="single" w:sz="4" w:space="0" w:color="auto"/>
            </w:tcBorders>
            <w:vAlign w:val="center"/>
          </w:tcPr>
          <w:p w:rsidR="005C4DC3" w:rsidRPr="00370535" w:rsidRDefault="005C4DC3" w:rsidP="005C4DC3">
            <w:pPr>
              <w:spacing w:after="0"/>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Nivolumab</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Predicted</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p>
        </w:tc>
      </w:tr>
      <w:tr w:rsidR="005C4DC3" w:rsidRPr="00370535" w:rsidTr="000F6611">
        <w:trPr>
          <w:trHeight w:val="300"/>
        </w:trPr>
        <w:tc>
          <w:tcPr>
            <w:tcW w:w="1692" w:type="dxa"/>
            <w:vMerge/>
            <w:tcBorders>
              <w:left w:val="single" w:sz="4" w:space="0" w:color="auto"/>
              <w:right w:val="single" w:sz="4" w:space="0" w:color="auto"/>
            </w:tcBorders>
          </w:tcPr>
          <w:p w:rsidR="005C4DC3" w:rsidRPr="00370535" w:rsidRDefault="005C4DC3" w:rsidP="005C4DC3">
            <w:pPr>
              <w:spacing w:after="0"/>
              <w:rPr>
                <w:rFonts w:ascii="Calibri" w:eastAsia="Times New Roman" w:hAnsi="Calibri" w:cs="Calibri"/>
                <w:color w:val="000000"/>
                <w:sz w:val="20"/>
                <w:szCs w:val="20"/>
              </w:rPr>
            </w:pPr>
          </w:p>
        </w:tc>
        <w:tc>
          <w:tcPr>
            <w:tcW w:w="1847" w:type="dxa"/>
            <w:vMerge/>
            <w:tcBorders>
              <w:left w:val="single" w:sz="4" w:space="0" w:color="auto"/>
              <w:right w:val="single" w:sz="4" w:space="0" w:color="auto"/>
            </w:tcBorders>
            <w:vAlign w:val="center"/>
          </w:tcPr>
          <w:p w:rsidR="005C4DC3" w:rsidRPr="00370535" w:rsidRDefault="005C4DC3" w:rsidP="005C4DC3">
            <w:pPr>
              <w:spacing w:after="0"/>
              <w:rPr>
                <w:rFonts w:ascii="Calibri" w:eastAsia="Times New Roman" w:hAnsi="Calibri" w:cs="Calibri"/>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Actual</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221.8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jc w:val="right"/>
              <w:rPr>
                <w:rFonts w:ascii="Calibri" w:eastAsia="Times New Roman" w:hAnsi="Calibri" w:cs="Calibri"/>
                <w:color w:val="000000"/>
                <w:sz w:val="20"/>
                <w:szCs w:val="20"/>
              </w:rPr>
            </w:pPr>
            <w:r w:rsidRPr="005C4DC3">
              <w:rPr>
                <w:rFonts w:ascii="Calibri" w:eastAsia="Times New Roman" w:hAnsi="Calibri" w:cs="Calibri"/>
                <w:color w:val="000000"/>
                <w:sz w:val="20"/>
                <w:szCs w:val="20"/>
              </w:rPr>
              <w:t>223.</w:t>
            </w:r>
            <w:r>
              <w:rPr>
                <w:rFonts w:ascii="Calibri" w:eastAsia="Times New Roman" w:hAnsi="Calibri" w:cs="Calibri"/>
                <w:color w:val="000000"/>
                <w:sz w:val="20"/>
                <w:szCs w:val="20"/>
              </w:rPr>
              <w:t>9</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jc w:val="right"/>
              <w:rPr>
                <w:rFonts w:ascii="Calibri" w:eastAsia="Times New Roman" w:hAnsi="Calibri" w:cs="Calibri"/>
                <w:color w:val="000000"/>
                <w:sz w:val="20"/>
                <w:szCs w:val="20"/>
              </w:rPr>
            </w:pPr>
            <w:r w:rsidRPr="005C4DC3">
              <w:rPr>
                <w:rFonts w:ascii="Calibri" w:eastAsia="Times New Roman" w:hAnsi="Calibri" w:cs="Calibri"/>
                <w:color w:val="000000"/>
                <w:sz w:val="20"/>
                <w:szCs w:val="20"/>
              </w:rPr>
              <w:t>2</w:t>
            </w:r>
            <w:r>
              <w:rPr>
                <w:rFonts w:ascii="Calibri" w:eastAsia="Times New Roman" w:hAnsi="Calibri" w:cs="Calibri"/>
                <w:color w:val="000000"/>
                <w:sz w:val="20"/>
                <w:szCs w:val="20"/>
              </w:rPr>
              <w:t>98.8</w:t>
            </w:r>
          </w:p>
        </w:tc>
      </w:tr>
      <w:tr w:rsidR="005C4DC3" w:rsidRPr="00370535" w:rsidTr="000F6611">
        <w:trPr>
          <w:trHeight w:val="300"/>
        </w:trPr>
        <w:tc>
          <w:tcPr>
            <w:tcW w:w="1692" w:type="dxa"/>
            <w:vMerge/>
            <w:tcBorders>
              <w:left w:val="single" w:sz="4" w:space="0" w:color="auto"/>
              <w:bottom w:val="single" w:sz="4" w:space="0" w:color="auto"/>
              <w:right w:val="single" w:sz="4" w:space="0" w:color="auto"/>
            </w:tcBorders>
          </w:tcPr>
          <w:p w:rsidR="005C4DC3" w:rsidRPr="00370535" w:rsidRDefault="005C4DC3" w:rsidP="005C4DC3">
            <w:pPr>
              <w:spacing w:after="0"/>
              <w:rPr>
                <w:rFonts w:ascii="Calibri" w:eastAsia="Times New Roman" w:hAnsi="Calibri" w:cs="Calibri"/>
                <w:color w:val="000000"/>
                <w:sz w:val="20"/>
                <w:szCs w:val="20"/>
              </w:rPr>
            </w:pPr>
          </w:p>
        </w:tc>
        <w:tc>
          <w:tcPr>
            <w:tcW w:w="1847" w:type="dxa"/>
            <w:vMerge/>
            <w:tcBorders>
              <w:left w:val="single" w:sz="4" w:space="0" w:color="auto"/>
              <w:bottom w:val="single" w:sz="4" w:space="0" w:color="auto"/>
              <w:right w:val="single" w:sz="4" w:space="0" w:color="auto"/>
            </w:tcBorders>
            <w:vAlign w:val="center"/>
          </w:tcPr>
          <w:p w:rsidR="005C4DC3" w:rsidRPr="00370535" w:rsidRDefault="005C4DC3" w:rsidP="005C4DC3">
            <w:pPr>
              <w:spacing w:after="0"/>
              <w:rPr>
                <w:rFonts w:ascii="Calibri" w:eastAsia="Times New Roman" w:hAnsi="Calibri" w:cs="Calibri"/>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5C4DC3" w:rsidP="005C4DC3">
            <w:pPr>
              <w:spacing w:after="0"/>
              <w:rPr>
                <w:rFonts w:ascii="Calibri" w:eastAsia="Times New Roman" w:hAnsi="Calibri" w:cs="Calibri"/>
                <w:color w:val="000000"/>
                <w:sz w:val="20"/>
                <w:szCs w:val="20"/>
              </w:rPr>
            </w:pPr>
            <w:r w:rsidRPr="00370535">
              <w:rPr>
                <w:rFonts w:ascii="Calibri" w:eastAsia="Times New Roman" w:hAnsi="Calibri" w:cs="Calibri"/>
                <w:color w:val="000000"/>
                <w:sz w:val="20"/>
                <w:szCs w:val="20"/>
              </w:rPr>
              <w:t>Difference</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5C4DC3" w:rsidRPr="00370535" w:rsidRDefault="00FF3D30" w:rsidP="005C4DC3">
            <w:pPr>
              <w:spacing w:after="0"/>
              <w:jc w:val="right"/>
              <w:rPr>
                <w:rFonts w:ascii="Calibri" w:eastAsia="Times New Roman" w:hAnsi="Calibri" w:cs="Calibri"/>
                <w:color w:val="000000"/>
                <w:sz w:val="20"/>
                <w:szCs w:val="20"/>
              </w:rPr>
            </w:pPr>
            <w:r w:rsidRPr="00FF3D30">
              <w:rPr>
                <w:rFonts w:ascii="Calibri" w:eastAsia="Times New Roman" w:hAnsi="Calibri" w:cs="Calibri"/>
                <w:color w:val="000000"/>
                <w:sz w:val="20"/>
                <w:szCs w:val="20"/>
                <w:highlight w:val="black"/>
              </w:rPr>
              <w:t>XXXX</w:t>
            </w:r>
            <w:bookmarkStart w:id="0" w:name="_GoBack"/>
            <w:bookmarkEnd w:id="0"/>
          </w:p>
        </w:tc>
      </w:tr>
    </w:tbl>
    <w:p w:rsidR="00370535" w:rsidRPr="00935C8F" w:rsidRDefault="00370535" w:rsidP="00370535">
      <w:pPr>
        <w:pStyle w:val="Notes"/>
      </w:pPr>
      <w:r w:rsidRPr="00935C8F">
        <w:t>Note: Year 3 is incomplete (includes eight months of data from August 2019 to March 2020)</w:t>
      </w:r>
    </w:p>
    <w:p w:rsidR="00231E2A" w:rsidRDefault="00231E2A" w:rsidP="009C19EE"/>
    <w:p w:rsidR="005C4DC3" w:rsidRPr="005C4DC3" w:rsidRDefault="00E56835">
      <w:pPr>
        <w:spacing w:line="276" w:lineRule="auto"/>
      </w:pPr>
      <w:r w:rsidRPr="00480800">
        <w:t xml:space="preserve">Although there appears to be a large overestimate in the number of </w:t>
      </w:r>
      <w:proofErr w:type="spellStart"/>
      <w:r w:rsidRPr="00480800">
        <w:t>nivolumab</w:t>
      </w:r>
      <w:proofErr w:type="spellEnd"/>
      <w:r w:rsidRPr="00480800">
        <w:t xml:space="preserve"> administrations in Year 3, this </w:t>
      </w:r>
      <w:r w:rsidR="005C4DC3">
        <w:t>can likely be</w:t>
      </w:r>
      <w:r w:rsidR="005C4DC3" w:rsidRPr="00480800">
        <w:t xml:space="preserve"> </w:t>
      </w:r>
      <w:r w:rsidRPr="00480800">
        <w:t xml:space="preserve">attributed to the introduction of flat dosing. </w:t>
      </w:r>
      <w:r w:rsidR="005C4DC3">
        <w:t>This is supported by the dose per administration</w:t>
      </w:r>
      <w:r w:rsidR="004A559D">
        <w:t>, which</w:t>
      </w:r>
      <w:r w:rsidR="005C4DC3">
        <w:t xml:space="preserve"> app</w:t>
      </w:r>
      <w:r w:rsidR="004A559D">
        <w:t>ears</w:t>
      </w:r>
      <w:r w:rsidR="005C4DC3">
        <w:t xml:space="preserve"> to be underestimated in Year 3 of listing</w:t>
      </w:r>
      <w:r w:rsidR="0082632C">
        <w:t>.</w:t>
      </w:r>
    </w:p>
    <w:p w:rsidR="00E56835" w:rsidRDefault="00E56835">
      <w:pPr>
        <w:spacing w:line="276" w:lineRule="auto"/>
        <w:rPr>
          <w:rFonts w:eastAsiaTheme="majorEastAsia" w:cstheme="majorBidi"/>
          <w:b/>
          <w:bCs/>
          <w:sz w:val="32"/>
          <w:szCs w:val="32"/>
        </w:rPr>
      </w:pPr>
      <w:r>
        <w:br w:type="page"/>
      </w:r>
    </w:p>
    <w:p w:rsidR="00591512" w:rsidRDefault="00AB3733" w:rsidP="00F73113">
      <w:pPr>
        <w:pStyle w:val="Heading1"/>
      </w:pPr>
      <w:r>
        <w:lastRenderedPageBreak/>
        <w:t>D</w:t>
      </w:r>
      <w:r w:rsidR="007346C7" w:rsidRPr="005E22C2">
        <w:t>iscussion</w:t>
      </w:r>
    </w:p>
    <w:p w:rsidR="00633477" w:rsidRDefault="001B39A0" w:rsidP="00F1132C">
      <w:r>
        <w:t>Following an initial</w:t>
      </w:r>
      <w:r w:rsidR="009239BE">
        <w:t xml:space="preserve"> rise in use after listing</w:t>
      </w:r>
      <w:r w:rsidR="00D421AE">
        <w:t xml:space="preserve"> in August 2017</w:t>
      </w:r>
      <w:r w:rsidR="009239BE">
        <w:t xml:space="preserve">, the use of </w:t>
      </w:r>
      <w:proofErr w:type="spellStart"/>
      <w:r w:rsidR="009239BE">
        <w:t>nivolumab</w:t>
      </w:r>
      <w:proofErr w:type="spellEnd"/>
      <w:r w:rsidR="009239BE">
        <w:t xml:space="preserve"> for </w:t>
      </w:r>
      <w:r w:rsidR="00633477">
        <w:t xml:space="preserve">NSCLC has been </w:t>
      </w:r>
      <w:r w:rsidR="009239BE">
        <w:t xml:space="preserve">decreasing since approximately one year after PBS listing. This appears to be largely due to the PBS listings of other immunotherapies, </w:t>
      </w:r>
      <w:proofErr w:type="spellStart"/>
      <w:r w:rsidR="009239BE">
        <w:t>atezolizumab</w:t>
      </w:r>
      <w:proofErr w:type="spellEnd"/>
      <w:r w:rsidR="009239BE">
        <w:t xml:space="preserve">, </w:t>
      </w:r>
      <w:proofErr w:type="spellStart"/>
      <w:r w:rsidR="009239BE">
        <w:t>pembrolizumab</w:t>
      </w:r>
      <w:proofErr w:type="spellEnd"/>
      <w:r w:rsidR="009239BE">
        <w:t xml:space="preserve"> and </w:t>
      </w:r>
      <w:proofErr w:type="spellStart"/>
      <w:r w:rsidR="009239BE">
        <w:t>durvalumab</w:t>
      </w:r>
      <w:proofErr w:type="spellEnd"/>
      <w:r w:rsidR="009239BE">
        <w:t xml:space="preserve"> for NSCLC.</w:t>
      </w:r>
      <w:r w:rsidR="00D421AE">
        <w:t xml:space="preserve"> T</w:t>
      </w:r>
      <w:r w:rsidR="009239BE">
        <w:t>he PBS data does not show a large amount of switching between immunotherapies for NSCLC, which implies the shift in the market is due to patients initiating on more recently listed</w:t>
      </w:r>
      <w:r w:rsidR="007E465F">
        <w:t xml:space="preserve"> immunotherapies.</w:t>
      </w:r>
    </w:p>
    <w:p w:rsidR="003E68E9" w:rsidRDefault="009239BE" w:rsidP="009239BE">
      <w:r>
        <w:t xml:space="preserve">The PBS restriction for </w:t>
      </w:r>
      <w:proofErr w:type="spellStart"/>
      <w:r>
        <w:t>nivolumab</w:t>
      </w:r>
      <w:proofErr w:type="spellEnd"/>
      <w:r>
        <w:t xml:space="preserve"> for NSCLC states that t</w:t>
      </w:r>
      <w:r w:rsidRPr="000560B3">
        <w:t>he treatment must be the sole PBS-subsidised systemic anti-cancer therapy for this condition</w:t>
      </w:r>
      <w:r>
        <w:t xml:space="preserve">, and that the </w:t>
      </w:r>
      <w:r w:rsidRPr="000560B3">
        <w:t>condition must have progressed on or after prior platinum based chemotherapy</w:t>
      </w:r>
      <w:r>
        <w:t xml:space="preserve">. The analyses suggest the majority of patients are using </w:t>
      </w:r>
      <w:proofErr w:type="spellStart"/>
      <w:r>
        <w:t>nivoumab</w:t>
      </w:r>
      <w:proofErr w:type="spellEnd"/>
      <w:r>
        <w:t xml:space="preserve"> within these limits of the PBS restriction. Of patients treated with immunotherapies for NSCLC, 99.6% have only e</w:t>
      </w:r>
      <w:r w:rsidR="00D421AE">
        <w:t>ver been supplied one therapy, and o</w:t>
      </w:r>
      <w:r>
        <w:t xml:space="preserve">f the patients supplied </w:t>
      </w:r>
      <w:proofErr w:type="spellStart"/>
      <w:r>
        <w:t>nivolumab</w:t>
      </w:r>
      <w:proofErr w:type="spellEnd"/>
      <w:r>
        <w:t xml:space="preserve"> for NSCLC, over 90% were supplied prior</w:t>
      </w:r>
      <w:r w:rsidRPr="00633477">
        <w:t xml:space="preserve"> </w:t>
      </w:r>
      <w:r>
        <w:t>platinum</w:t>
      </w:r>
      <w:r w:rsidR="00C1624F">
        <w:t>-</w:t>
      </w:r>
      <w:r>
        <w:t xml:space="preserve">based chemotherapy. </w:t>
      </w:r>
      <w:r w:rsidR="003E68E9" w:rsidRPr="00E6628C">
        <w:t>The estimated mean dose per patient</w:t>
      </w:r>
      <w:r w:rsidR="007922D3" w:rsidRPr="00E6628C">
        <w:t xml:space="preserve"> of 222 mg</w:t>
      </w:r>
      <w:r w:rsidR="003E68E9" w:rsidRPr="00E6628C">
        <w:t xml:space="preserve"> appears to have been reasonable prior to the introduction of flat dosing.</w:t>
      </w:r>
      <w:r w:rsidR="003E68E9">
        <w:t xml:space="preserve"> </w:t>
      </w:r>
      <w:r w:rsidR="003E68E9" w:rsidRPr="00CC26B1">
        <w:t>Prior to</w:t>
      </w:r>
      <w:r w:rsidR="00427B33">
        <w:t xml:space="preserve"> the</w:t>
      </w:r>
      <w:r w:rsidR="003E68E9" w:rsidRPr="00CC26B1">
        <w:t xml:space="preserve"> </w:t>
      </w:r>
      <w:r w:rsidR="00427B33" w:rsidRPr="00CC26B1">
        <w:t>introduction of flat dosing</w:t>
      </w:r>
      <w:r w:rsidR="00427B33">
        <w:t xml:space="preserve"> in September 2019</w:t>
      </w:r>
      <w:r w:rsidR="003E68E9" w:rsidRPr="00CC26B1">
        <w:t xml:space="preserve">, </w:t>
      </w:r>
      <w:r w:rsidR="003E68E9">
        <w:t xml:space="preserve">patients were most often supplied a dose less than 240 mg. In recent </w:t>
      </w:r>
      <w:r w:rsidR="00427B33">
        <w:t>months,</w:t>
      </w:r>
      <w:r w:rsidR="003E68E9">
        <w:t xml:space="preserve"> the most comm</w:t>
      </w:r>
      <w:r w:rsidR="00427B33">
        <w:t>only supplied dose wa</w:t>
      </w:r>
      <w:r w:rsidR="003E68E9">
        <w:t xml:space="preserve">s 480 mg, and the proportion </w:t>
      </w:r>
      <w:r w:rsidR="00F30CD5">
        <w:t>of prescriptions supplied at 28 </w:t>
      </w:r>
      <w:r w:rsidR="003E68E9">
        <w:t>days rather than 14 days has increased.</w:t>
      </w:r>
    </w:p>
    <w:p w:rsidR="00E56835" w:rsidRPr="00BB220C" w:rsidRDefault="003E68E9" w:rsidP="00F1132C">
      <w:r w:rsidRPr="00E6628C">
        <w:t xml:space="preserve">The estimates of use for squamous and non-squamous patients assumed the mean number of </w:t>
      </w:r>
      <w:proofErr w:type="spellStart"/>
      <w:r w:rsidRPr="00E6628C">
        <w:t>nivolumab</w:t>
      </w:r>
      <w:proofErr w:type="spellEnd"/>
      <w:r w:rsidRPr="00E6628C">
        <w:t xml:space="preserve"> treatments per patient would be </w:t>
      </w:r>
      <w:r w:rsidR="00485975">
        <w:rPr>
          <w:noProof/>
          <w:color w:val="000000"/>
          <w:highlight w:val="black"/>
        </w:rPr>
        <w:t>'''''</w:t>
      </w:r>
      <w:r w:rsidRPr="00E6628C">
        <w:t>.</w:t>
      </w:r>
      <w:r>
        <w:t xml:space="preserve"> In practice, </w:t>
      </w:r>
      <w:r w:rsidR="00427B33">
        <w:t>the mean number of treatments for patients who initiated in the first year of PBS listing was 18.</w:t>
      </w:r>
      <w:r>
        <w:t xml:space="preserve"> </w:t>
      </w:r>
    </w:p>
    <w:p w:rsidR="001310AE" w:rsidRDefault="00C050B6" w:rsidP="00F73113">
      <w:pPr>
        <w:pStyle w:val="Heading1"/>
      </w:pPr>
      <w:r w:rsidRPr="00C050B6">
        <w:t xml:space="preserve">Actions undertaken by the </w:t>
      </w:r>
      <w:r w:rsidR="00801E74">
        <w:t xml:space="preserve">DUSC </w:t>
      </w:r>
      <w:r w:rsidRPr="00C050B6">
        <w:t>Secretariat</w:t>
      </w:r>
    </w:p>
    <w:p w:rsidR="00AA6736" w:rsidRDefault="003B2640" w:rsidP="00AA6736">
      <w:r w:rsidRPr="003B2640">
        <w:t xml:space="preserve">The report was provided to the sponsor of </w:t>
      </w:r>
      <w:proofErr w:type="spellStart"/>
      <w:r>
        <w:t>nivolumab</w:t>
      </w:r>
      <w:proofErr w:type="spellEnd"/>
      <w:r w:rsidRPr="003B2640">
        <w:t>.</w:t>
      </w:r>
    </w:p>
    <w:p w:rsidR="00AA6736" w:rsidRDefault="00AA6736" w:rsidP="00AA6736">
      <w:pPr>
        <w:pStyle w:val="Heading1"/>
      </w:pPr>
      <w:r>
        <w:t>DUSC consideration</w:t>
      </w:r>
    </w:p>
    <w:p w:rsidR="007E0F28" w:rsidRPr="00DE2C9B" w:rsidRDefault="007E0F28" w:rsidP="00DE2C9B">
      <w:r w:rsidRPr="00DE2C9B">
        <w:t>DUSC noted the overall treated population has declined, the number of initiating patients has decreased, the number of treated patients has decreased, and the largest decrease was the number of prescriptions supplied per month. DUSC noted that the decrease in prescriptions is due to patients switching to less frequent flat dosing regimens. DUSC agreed that flat dosing appears to be changing prescribing, and commented that patients are not being supplied higher doses per month.</w:t>
      </w:r>
    </w:p>
    <w:p w:rsidR="007E0F28" w:rsidRPr="00DE2C9B" w:rsidRDefault="007E0F28" w:rsidP="00DE2C9B">
      <w:r w:rsidRPr="00DE2C9B">
        <w:t xml:space="preserve">DUSC noted that over 90% of patients treated with </w:t>
      </w:r>
      <w:proofErr w:type="spellStart"/>
      <w:r w:rsidRPr="00DE2C9B">
        <w:t>nivolumab</w:t>
      </w:r>
      <w:proofErr w:type="spellEnd"/>
      <w:r w:rsidRPr="00DE2C9B">
        <w:t xml:space="preserve"> for NSCLC had at least one prior platinum based chemotherapy supply. However, DUSC commented that 10% patients were supplied </w:t>
      </w:r>
      <w:proofErr w:type="spellStart"/>
      <w:r w:rsidRPr="00DE2C9B">
        <w:t>nivolumab</w:t>
      </w:r>
      <w:proofErr w:type="spellEnd"/>
      <w:r w:rsidRPr="00DE2C9B">
        <w:t xml:space="preserve"> naïve to platinum chemotherapy, and considered this seemed high and was not expected from a clinical perspective. </w:t>
      </w:r>
    </w:p>
    <w:p w:rsidR="007E0F28" w:rsidRPr="00DE2C9B" w:rsidRDefault="007E0F28" w:rsidP="00DE2C9B">
      <w:r w:rsidRPr="00DE2C9B">
        <w:t xml:space="preserve">DUSC noted the use of fact of death data and that of the 3,520 patients included in the analysis, 1,162 (33%) of these patients had died. DUSC commented that of the patients who </w:t>
      </w:r>
      <w:r w:rsidRPr="00DE2C9B">
        <w:lastRenderedPageBreak/>
        <w:t xml:space="preserve">died, a large proportion were supplied their last </w:t>
      </w:r>
      <w:proofErr w:type="spellStart"/>
      <w:r w:rsidRPr="00DE2C9B">
        <w:t>nivolumab</w:t>
      </w:r>
      <w:proofErr w:type="spellEnd"/>
      <w:r w:rsidRPr="00DE2C9B">
        <w:t xml:space="preserve"> prescription in the month prior to death. DUSC considered this suggests that many patients continue treatment past progression of disease and do not stop treatment prior to death.</w:t>
      </w:r>
    </w:p>
    <w:p w:rsidR="007E0F28" w:rsidRPr="00DE2C9B" w:rsidRDefault="007E0F28" w:rsidP="00DE2C9B">
      <w:r w:rsidRPr="00DE2C9B">
        <w:t xml:space="preserve">DUSC noted that the length of treatment analysis showed that 10% of patients are still on treatment at 2.5 years, 30% are still on treatment after one year, and 50% are treated for more than six months. DUSC noted that in its Pre-Sub-Committee Response the Sponsor suggested it would be useful to know how many patients discontinued in March 2020. DUSC commented that to determine this, data to the end of May would be required, as future prescriptions are required to determine discontinuation. </w:t>
      </w:r>
    </w:p>
    <w:p w:rsidR="007E0F28" w:rsidRPr="00DE2C9B" w:rsidRDefault="007E0F28" w:rsidP="00DE2C9B">
      <w:r w:rsidRPr="00DE2C9B">
        <w:t>DUSC noted the sponsor implied that because the length of treatment is similar between the &lt;75 and ≥75 year age groups, the health outcomes of the two groups are similar. DUSC disagreed with this statement, and noted that cessation of treatment does not imply effectiveness. DUSC reiterated that  as patients appear to be continuing treatment until close to death and that some patients have long term treatment the assertion that health outcomes between the two cohorts are similar is likely not correct.</w:t>
      </w:r>
    </w:p>
    <w:p w:rsidR="007E0F28" w:rsidRPr="008C6B59" w:rsidRDefault="007E0F28" w:rsidP="008C6B59">
      <w:r w:rsidRPr="00DE2C9B">
        <w:t xml:space="preserve">DUSC noted that the Sponsor suggested that the </w:t>
      </w:r>
      <w:r w:rsidR="00AE6101">
        <w:t>presentation</w:t>
      </w:r>
      <w:r w:rsidR="00C1624F">
        <w:t xml:space="preserve"> </w:t>
      </w:r>
      <w:r w:rsidRPr="00DE2C9B">
        <w:t xml:space="preserve">of prescriptions of immunotherapy medicines for NSCLC should account for different dosing schedules. The Sponsor noted that these </w:t>
      </w:r>
      <w:r w:rsidR="00AE6101">
        <w:t>we</w:t>
      </w:r>
      <w:r w:rsidRPr="00DE2C9B">
        <w:t xml:space="preserve">re monthly trends, therefore the number of </w:t>
      </w:r>
      <w:proofErr w:type="spellStart"/>
      <w:r w:rsidRPr="00DE2C9B">
        <w:t>nivolumab</w:t>
      </w:r>
      <w:proofErr w:type="spellEnd"/>
      <w:r w:rsidRPr="00DE2C9B">
        <w:t xml:space="preserve"> prescriptions on average is two per month while other medicines will have one prescription per month. </w:t>
      </w:r>
      <w:r w:rsidRPr="008C6B59">
        <w:t>DUSC noted the figure may be more informative if it displayed the number of patients per month on each treatment</w:t>
      </w:r>
      <w:r w:rsidR="00E631EF">
        <w:t xml:space="preserve"> (presented as Figure 10 in this report)</w:t>
      </w:r>
      <w:r w:rsidR="00EA2968">
        <w:t>.</w:t>
      </w:r>
      <w:r w:rsidRPr="008C6B59">
        <w:t xml:space="preserve"> </w:t>
      </w:r>
    </w:p>
    <w:p w:rsidR="00D87D8E" w:rsidRDefault="00D87D8E" w:rsidP="00D87D8E">
      <w:pPr>
        <w:pStyle w:val="Heading1"/>
      </w:pPr>
      <w:r>
        <w:t>DUSC actions</w:t>
      </w:r>
    </w:p>
    <w:p w:rsidR="007E0F28" w:rsidRPr="00C25533" w:rsidRDefault="007E0F28" w:rsidP="007E0F28">
      <w:pPr>
        <w:rPr>
          <w:rFonts w:eastAsia="Calibri"/>
        </w:rPr>
      </w:pPr>
      <w:r w:rsidRPr="00C25533">
        <w:rPr>
          <w:rFonts w:eastAsia="Calibri"/>
        </w:rPr>
        <w:t xml:space="preserve">DUSC requested that the report be provided to the PBAC for consideration. </w:t>
      </w:r>
    </w:p>
    <w:p w:rsidR="00D87D8E" w:rsidRDefault="00D87D8E" w:rsidP="00D87D8E">
      <w:pPr>
        <w:pStyle w:val="Heading1"/>
      </w:pPr>
      <w:r w:rsidRPr="0092516A">
        <w:t>Context for analysis</w:t>
      </w:r>
    </w:p>
    <w:p w:rsidR="00D87D8E" w:rsidRDefault="00D87D8E" w:rsidP="00D87D8E">
      <w:r>
        <w:t>The DUSC is a Sub Committee of the Pharmaceutical Benefits Advisory Committee (PBAC). The DUSC assesses estimates on projected usage and financial cost of medicines.</w:t>
      </w:r>
    </w:p>
    <w:p w:rsidR="00D87D8E" w:rsidRDefault="00D87D8E" w:rsidP="00D87D8E">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D87D8E" w:rsidRDefault="00D87D8E" w:rsidP="00D87D8E">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7E0F28" w:rsidRPr="007E0F28" w:rsidRDefault="00D87D8E" w:rsidP="007E0F28">
      <w:r>
        <w:lastRenderedPageBreak/>
        <w:t>The utilisation analysis report was provided to the pharmaceutical sponsors of each drug and comments on the report were provided to DUSC prior to its consideration of the analysis.</w:t>
      </w:r>
    </w:p>
    <w:p w:rsidR="00AA6736" w:rsidRDefault="00AA6736" w:rsidP="00AA6736">
      <w:pPr>
        <w:pStyle w:val="Heading1"/>
      </w:pPr>
      <w:r>
        <w:t>Sponsor’s comment</w:t>
      </w:r>
    </w:p>
    <w:p w:rsidR="000A54E0" w:rsidRPr="00E56835" w:rsidDel="00EE2BBB" w:rsidRDefault="000A54E0" w:rsidP="000A54E0">
      <w:pPr>
        <w:pStyle w:val="Tablewriting"/>
        <w:rPr>
          <w:sz w:val="24"/>
          <w:szCs w:val="24"/>
        </w:rPr>
      </w:pPr>
      <w:r w:rsidRPr="00E56835">
        <w:rPr>
          <w:sz w:val="24"/>
          <w:szCs w:val="24"/>
        </w:rPr>
        <w:t>Bristol-Myers Squibb Australia Pty Ltd</w:t>
      </w:r>
      <w:r w:rsidR="003470A8">
        <w:rPr>
          <w:sz w:val="24"/>
          <w:szCs w:val="24"/>
        </w:rPr>
        <w:t xml:space="preserve">: </w:t>
      </w:r>
      <w:r w:rsidR="004613B1">
        <w:rPr>
          <w:sz w:val="24"/>
          <w:szCs w:val="24"/>
        </w:rPr>
        <w:t xml:space="preserve">The sponsor has no comment. </w:t>
      </w:r>
    </w:p>
    <w:p w:rsidR="00C25533" w:rsidRPr="00C25533" w:rsidRDefault="00C25533" w:rsidP="00C25533"/>
    <w:p w:rsidR="00D87D8E" w:rsidRDefault="00D87D8E" w:rsidP="00D87D8E">
      <w:pPr>
        <w:pStyle w:val="Heading1"/>
      </w:pPr>
      <w:r w:rsidRPr="00A4020E">
        <w:t>Disclaimer</w:t>
      </w:r>
    </w:p>
    <w:p w:rsidR="00D87D8E" w:rsidRDefault="00D87D8E" w:rsidP="00D87D8E">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D87D8E" w:rsidRDefault="00D87D8E" w:rsidP="00D87D8E">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D87D8E" w:rsidRDefault="00D87D8E" w:rsidP="00D87D8E">
      <w:r>
        <w:t xml:space="preserve">To the extent provided by law, </w:t>
      </w:r>
      <w:proofErr w:type="spellStart"/>
      <w:r>
        <w:t>DoH</w:t>
      </w:r>
      <w:proofErr w:type="spellEnd"/>
      <w:r>
        <w:t xml:space="preserve"> makes no warranties or representations as to accuracy or completeness of information contained in this report. </w:t>
      </w:r>
    </w:p>
    <w:p w:rsidR="006E3AEA" w:rsidRPr="00C25533" w:rsidRDefault="00D87D8E" w:rsidP="00C25533">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r w:rsidR="006E3AEA">
        <w:br w:type="page"/>
      </w:r>
    </w:p>
    <w:p w:rsidR="002C6E0C" w:rsidRDefault="006E3AEA" w:rsidP="00F73113">
      <w:pPr>
        <w:pStyle w:val="Heading1"/>
      </w:pPr>
      <w:r>
        <w:lastRenderedPageBreak/>
        <w:t>Appendix A</w:t>
      </w:r>
    </w:p>
    <w:p w:rsidR="007412FC" w:rsidRPr="00AF58BC" w:rsidRDefault="007412FC" w:rsidP="006E3AEA">
      <w:pPr>
        <w:pStyle w:val="Heading2"/>
      </w:pPr>
      <w:r w:rsidRPr="00AF58BC">
        <w:t>Consistency of indication</w:t>
      </w:r>
    </w:p>
    <w:p w:rsidR="007412FC" w:rsidRDefault="007412FC" w:rsidP="007412FC">
      <w:proofErr w:type="spellStart"/>
      <w:r>
        <w:t>Nivolumab</w:t>
      </w:r>
      <w:proofErr w:type="spellEnd"/>
      <w:r>
        <w:t xml:space="preserve"> is listed on the PB</w:t>
      </w:r>
      <w:r w:rsidR="0003504B">
        <w:t>S for the following indications:</w:t>
      </w:r>
    </w:p>
    <w:p w:rsidR="007412FC" w:rsidRDefault="007412FC" w:rsidP="007412FC">
      <w:pPr>
        <w:pStyle w:val="ListParagraph"/>
        <w:numPr>
          <w:ilvl w:val="0"/>
          <w:numId w:val="13"/>
        </w:numPr>
      </w:pPr>
      <w:r>
        <w:t>Locally advanced or metastatic non-small cell lung cancer (NSCLC)</w:t>
      </w:r>
    </w:p>
    <w:p w:rsidR="007412FC" w:rsidRDefault="007412FC" w:rsidP="007412FC">
      <w:pPr>
        <w:pStyle w:val="ListParagraph"/>
        <w:numPr>
          <w:ilvl w:val="0"/>
          <w:numId w:val="13"/>
        </w:numPr>
      </w:pPr>
      <w:r>
        <w:t>Recurrent or metastatic squamous cell carcinoma of the oral cavity, pharynx or larynx (SCC)</w:t>
      </w:r>
    </w:p>
    <w:p w:rsidR="007412FC" w:rsidRDefault="007412FC" w:rsidP="007412FC">
      <w:pPr>
        <w:pStyle w:val="ListParagraph"/>
        <w:numPr>
          <w:ilvl w:val="0"/>
          <w:numId w:val="13"/>
        </w:numPr>
      </w:pPr>
      <w:r>
        <w:t>Stage IV clear cell variant renal cell carcinoma (RCC)</w:t>
      </w:r>
    </w:p>
    <w:p w:rsidR="007412FC" w:rsidRDefault="007412FC" w:rsidP="007412FC">
      <w:pPr>
        <w:pStyle w:val="ListParagraph"/>
        <w:numPr>
          <w:ilvl w:val="0"/>
          <w:numId w:val="13"/>
        </w:numPr>
      </w:pPr>
      <w:proofErr w:type="spellStart"/>
      <w:r>
        <w:t>Unresectable</w:t>
      </w:r>
      <w:proofErr w:type="spellEnd"/>
      <w:r>
        <w:t xml:space="preserve"> Stage III or Stage IV malignant melanoma (MM)</w:t>
      </w:r>
    </w:p>
    <w:p w:rsidR="007412FC" w:rsidRDefault="007412FC" w:rsidP="007412FC">
      <w:r>
        <w:t xml:space="preserve">PBS item codes are indication specific and so in theory allocation of an indication to a prescription can be solely based on the PBS item code and does not need to have regard to the restriction code on the corresponding authority approval. The reliability of the PBS item code (i.e. whether or not the correct item code was used) can be </w:t>
      </w:r>
      <w:r w:rsidRPr="00AF58BC">
        <w:t>check</w:t>
      </w:r>
      <w:r>
        <w:t>ed</w:t>
      </w:r>
      <w:r w:rsidRPr="00AF58BC">
        <w:t xml:space="preserve"> </w:t>
      </w:r>
      <w:r>
        <w:t>by analysing the consistency of a patient’s indication across time.</w:t>
      </w:r>
    </w:p>
    <w:p w:rsidR="007412FC" w:rsidRDefault="007412FC" w:rsidP="007412FC">
      <w:r>
        <w:t xml:space="preserve">The table below show the frequency of indication sequences of </w:t>
      </w:r>
      <w:proofErr w:type="spellStart"/>
      <w:r>
        <w:t>nivolumab</w:t>
      </w:r>
      <w:proofErr w:type="spellEnd"/>
      <w:r>
        <w:t xml:space="preserve"> patients across all their </w:t>
      </w:r>
      <w:proofErr w:type="spellStart"/>
      <w:r>
        <w:t>nivolumab</w:t>
      </w:r>
      <w:proofErr w:type="spellEnd"/>
      <w:r>
        <w:t xml:space="preserve"> prescriptions.</w:t>
      </w:r>
    </w:p>
    <w:p w:rsidR="007412FC" w:rsidRPr="00A922D3" w:rsidRDefault="00563E61" w:rsidP="007412FC">
      <w:pPr>
        <w:spacing w:after="0"/>
        <w:rPr>
          <w:b/>
        </w:rPr>
      </w:pPr>
      <w:r>
        <w:rPr>
          <w:b/>
        </w:rPr>
        <w:t>Table A.1</w:t>
      </w:r>
      <w:r w:rsidR="007412FC" w:rsidRPr="00A922D3">
        <w:rPr>
          <w:b/>
        </w:rPr>
        <w:t xml:space="preserve">: Indication sequences of </w:t>
      </w:r>
      <w:proofErr w:type="spellStart"/>
      <w:r w:rsidR="007412FC" w:rsidRPr="00A922D3">
        <w:rPr>
          <w:b/>
        </w:rPr>
        <w:t>nivolumab</w:t>
      </w:r>
      <w:proofErr w:type="spellEnd"/>
      <w:r w:rsidR="007412FC" w:rsidRPr="00A922D3">
        <w:rPr>
          <w:b/>
        </w:rPr>
        <w:t xml:space="preserve"> patients</w:t>
      </w:r>
    </w:p>
    <w:tbl>
      <w:tblPr>
        <w:tblStyle w:val="TableGrid"/>
        <w:tblW w:w="0" w:type="auto"/>
        <w:tblLook w:val="04A0" w:firstRow="1" w:lastRow="0" w:firstColumn="1" w:lastColumn="0" w:noHBand="0" w:noVBand="1"/>
      </w:tblPr>
      <w:tblGrid>
        <w:gridCol w:w="2020"/>
        <w:gridCol w:w="960"/>
        <w:gridCol w:w="960"/>
        <w:gridCol w:w="960"/>
      </w:tblGrid>
      <w:tr w:rsidR="007412FC" w:rsidRPr="00A922D3" w:rsidTr="0003504B">
        <w:trPr>
          <w:trHeight w:val="300"/>
        </w:trPr>
        <w:tc>
          <w:tcPr>
            <w:tcW w:w="2020" w:type="dxa"/>
            <w:shd w:val="clear" w:color="auto" w:fill="BFBFBF" w:themeFill="background1" w:themeFillShade="BF"/>
            <w:noWrap/>
            <w:hideMark/>
          </w:tcPr>
          <w:p w:rsidR="007412FC" w:rsidRPr="00A922D3" w:rsidRDefault="007412FC" w:rsidP="00C5662F">
            <w:pPr>
              <w:rPr>
                <w:rFonts w:cstheme="minorHAnsi"/>
                <w:b/>
                <w:bCs/>
                <w:sz w:val="20"/>
                <w:szCs w:val="20"/>
              </w:rPr>
            </w:pPr>
            <w:r w:rsidRPr="00A922D3">
              <w:rPr>
                <w:rFonts w:cstheme="minorHAnsi"/>
                <w:b/>
                <w:bCs/>
                <w:sz w:val="20"/>
                <w:szCs w:val="20"/>
              </w:rPr>
              <w:t>Indication sequence</w:t>
            </w:r>
          </w:p>
        </w:tc>
        <w:tc>
          <w:tcPr>
            <w:tcW w:w="960" w:type="dxa"/>
            <w:shd w:val="clear" w:color="auto" w:fill="BFBFBF" w:themeFill="background1" w:themeFillShade="BF"/>
            <w:noWrap/>
            <w:hideMark/>
          </w:tcPr>
          <w:p w:rsidR="007412FC" w:rsidRPr="00A922D3" w:rsidRDefault="007412FC" w:rsidP="00C5662F">
            <w:pPr>
              <w:jc w:val="center"/>
              <w:rPr>
                <w:rFonts w:cstheme="minorHAnsi"/>
                <w:b/>
                <w:bCs/>
                <w:sz w:val="20"/>
                <w:szCs w:val="20"/>
              </w:rPr>
            </w:pPr>
            <w:r w:rsidRPr="00A922D3">
              <w:rPr>
                <w:rFonts w:cstheme="minorHAnsi"/>
                <w:b/>
                <w:bCs/>
                <w:sz w:val="20"/>
                <w:szCs w:val="20"/>
              </w:rPr>
              <w:t>Rank</w:t>
            </w:r>
          </w:p>
        </w:tc>
        <w:tc>
          <w:tcPr>
            <w:tcW w:w="960" w:type="dxa"/>
            <w:shd w:val="clear" w:color="auto" w:fill="BFBFBF" w:themeFill="background1" w:themeFillShade="BF"/>
            <w:noWrap/>
            <w:hideMark/>
          </w:tcPr>
          <w:p w:rsidR="007412FC" w:rsidRPr="00A922D3" w:rsidRDefault="007412FC" w:rsidP="00C5662F">
            <w:pPr>
              <w:jc w:val="center"/>
              <w:rPr>
                <w:rFonts w:cstheme="minorHAnsi"/>
                <w:b/>
                <w:bCs/>
                <w:sz w:val="20"/>
                <w:szCs w:val="20"/>
              </w:rPr>
            </w:pPr>
            <w:r w:rsidRPr="00A922D3">
              <w:rPr>
                <w:rFonts w:cstheme="minorHAnsi"/>
                <w:b/>
                <w:bCs/>
                <w:sz w:val="20"/>
                <w:szCs w:val="20"/>
              </w:rPr>
              <w:t>Patients</w:t>
            </w:r>
          </w:p>
        </w:tc>
        <w:tc>
          <w:tcPr>
            <w:tcW w:w="960" w:type="dxa"/>
            <w:shd w:val="clear" w:color="auto" w:fill="BFBFBF" w:themeFill="background1" w:themeFillShade="BF"/>
            <w:noWrap/>
            <w:hideMark/>
          </w:tcPr>
          <w:p w:rsidR="007412FC" w:rsidRPr="00A922D3" w:rsidRDefault="007412FC" w:rsidP="00C5662F">
            <w:pPr>
              <w:jc w:val="center"/>
              <w:rPr>
                <w:rFonts w:cstheme="minorHAnsi"/>
                <w:b/>
                <w:bCs/>
                <w:sz w:val="20"/>
                <w:szCs w:val="20"/>
              </w:rPr>
            </w:pPr>
            <w:r w:rsidRPr="00A922D3">
              <w:rPr>
                <w:rFonts w:cstheme="minorHAnsi"/>
                <w:b/>
                <w:bCs/>
                <w:sz w:val="20"/>
                <w:szCs w:val="20"/>
              </w:rPr>
              <w:t>% Patients</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4,843</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52.7%</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MM</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1,955</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21.3%</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RCC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3</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1,482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16.1%</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SCC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4</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522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5.7%</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NSCLC-&gt;MM</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5</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53</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0.6%</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RCC-&gt;NSCLC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6</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44</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0.5%</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NSCLC-&gt;RCC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7</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31</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0.3%</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MM-&gt;NSCLC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8</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28</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0.3%</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NSCLC-&gt;MM-&gt;NSCLC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9</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20</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0.2%</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NSCLC-&gt;RCC-&gt;NSCLC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10</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20</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0.2%</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MM-&gt;RCC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11</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17</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0.2%</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NSCLC-&gt;SCC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17</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0.2%</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RCC-&gt;MM</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13</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15</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0.2%</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MM-&gt;RCC-&gt;MM</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14</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0.1%</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RCC-&gt;NSCLC-&gt;RCC</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15</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12</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0.1%</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Other</w:t>
            </w:r>
          </w:p>
        </w:tc>
        <w:tc>
          <w:tcPr>
            <w:tcW w:w="960" w:type="dxa"/>
            <w:noWrap/>
          </w:tcPr>
          <w:p w:rsidR="007412FC" w:rsidRPr="00A922D3" w:rsidRDefault="007412FC" w:rsidP="00C5662F">
            <w:pPr>
              <w:jc w:val="center"/>
              <w:rPr>
                <w:rFonts w:cstheme="minorHAnsi"/>
                <w:sz w:val="20"/>
                <w:szCs w:val="20"/>
              </w:rPr>
            </w:pP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124</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1.3%</w:t>
            </w:r>
          </w:p>
        </w:tc>
      </w:tr>
      <w:tr w:rsidR="007412FC" w:rsidRPr="00A922D3" w:rsidTr="00C5662F">
        <w:trPr>
          <w:trHeight w:val="300"/>
        </w:trPr>
        <w:tc>
          <w:tcPr>
            <w:tcW w:w="2020" w:type="dxa"/>
            <w:noWrap/>
            <w:hideMark/>
          </w:tcPr>
          <w:p w:rsidR="007412FC" w:rsidRPr="00A922D3" w:rsidRDefault="007412FC" w:rsidP="00C5662F">
            <w:pPr>
              <w:rPr>
                <w:rFonts w:cstheme="minorHAnsi"/>
                <w:sz w:val="20"/>
                <w:szCs w:val="20"/>
              </w:rPr>
            </w:pPr>
            <w:r w:rsidRPr="00A922D3">
              <w:rPr>
                <w:rFonts w:cstheme="minorHAnsi"/>
                <w:sz w:val="20"/>
                <w:szCs w:val="20"/>
              </w:rPr>
              <w:t>Total</w:t>
            </w:r>
          </w:p>
        </w:tc>
        <w:tc>
          <w:tcPr>
            <w:tcW w:w="960" w:type="dxa"/>
            <w:noWrap/>
          </w:tcPr>
          <w:p w:rsidR="007412FC" w:rsidRPr="00A922D3" w:rsidRDefault="007412FC" w:rsidP="00C5662F">
            <w:pPr>
              <w:jc w:val="center"/>
              <w:rPr>
                <w:rFonts w:cstheme="minorHAnsi"/>
                <w:sz w:val="20"/>
                <w:szCs w:val="20"/>
              </w:rPr>
            </w:pP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9,195</w:t>
            </w:r>
          </w:p>
        </w:tc>
        <w:tc>
          <w:tcPr>
            <w:tcW w:w="960" w:type="dxa"/>
            <w:noWrap/>
            <w:hideMark/>
          </w:tcPr>
          <w:p w:rsidR="007412FC" w:rsidRPr="00A922D3" w:rsidRDefault="007412FC" w:rsidP="00C5662F">
            <w:pPr>
              <w:jc w:val="center"/>
              <w:rPr>
                <w:rFonts w:cstheme="minorHAnsi"/>
                <w:sz w:val="20"/>
                <w:szCs w:val="20"/>
              </w:rPr>
            </w:pPr>
            <w:r w:rsidRPr="00A922D3">
              <w:rPr>
                <w:rFonts w:cstheme="minorHAnsi"/>
                <w:sz w:val="20"/>
                <w:szCs w:val="20"/>
              </w:rPr>
              <w:t>100.0%</w:t>
            </w:r>
          </w:p>
        </w:tc>
      </w:tr>
    </w:tbl>
    <w:p w:rsidR="007412FC" w:rsidRDefault="007412FC" w:rsidP="007412FC"/>
    <w:p w:rsidR="00FE645A" w:rsidRPr="00E81D99" w:rsidRDefault="00563E61" w:rsidP="00E81D99">
      <w:pPr>
        <w:rPr>
          <w:b/>
        </w:rPr>
      </w:pPr>
      <w:r>
        <w:t>Table A.1</w:t>
      </w:r>
      <w:r w:rsidR="007412FC">
        <w:t xml:space="preserve"> shows that 95.7% (sum of the top 4 sequences) of patients have a consistent indication for </w:t>
      </w:r>
      <w:proofErr w:type="spellStart"/>
      <w:r w:rsidR="007412FC">
        <w:t>nivolumab</w:t>
      </w:r>
      <w:proofErr w:type="spellEnd"/>
      <w:r w:rsidR="007412FC">
        <w:t xml:space="preserve">. This indicates that the PBS item code selection is reasonably reliable. </w:t>
      </w:r>
    </w:p>
    <w:sectPr w:rsidR="00FE645A" w:rsidRPr="00E81D99" w:rsidSect="00DD188C">
      <w:headerReference w:type="default" r:id="rId28"/>
      <w:footerReference w:type="even" r:id="rId29"/>
      <w:footerReference w:type="default" r:id="rId30"/>
      <w:footerReference w:type="first" r:id="rId3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57A" w:rsidRDefault="008E157A" w:rsidP="00A35800">
      <w:r>
        <w:separator/>
      </w:r>
    </w:p>
  </w:endnote>
  <w:endnote w:type="continuationSeparator" w:id="0">
    <w:p w:rsidR="008E157A" w:rsidRDefault="008E157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57A" w:rsidRDefault="008E157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E157A" w:rsidRDefault="008E157A"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8E157A" w:rsidRPr="00AA6736" w:rsidRDefault="008E157A" w:rsidP="000E72C6">
            <w:pPr>
              <w:pStyle w:val="Footer"/>
              <w:jc w:val="center"/>
              <w:rPr>
                <w:i/>
                <w:sz w:val="16"/>
              </w:rPr>
            </w:pPr>
            <w:r w:rsidRPr="00AA6736">
              <w:rPr>
                <w:i/>
                <w:sz w:val="20"/>
              </w:rPr>
              <w:t>Public</w:t>
            </w:r>
            <w:r>
              <w:rPr>
                <w:i/>
                <w:sz w:val="20"/>
              </w:rPr>
              <w:t xml:space="preserve"> Release Document, June 2020 DUSC Meeting</w:t>
            </w:r>
          </w:p>
          <w:p w:rsidR="008E157A" w:rsidRDefault="008E157A"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F3D30">
              <w:rPr>
                <w:bCs/>
                <w:i/>
                <w:noProof/>
                <w:sz w:val="20"/>
              </w:rPr>
              <w:t>15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F3D30">
              <w:rPr>
                <w:bCs/>
                <w:i/>
                <w:noProof/>
                <w:sz w:val="20"/>
              </w:rPr>
              <w:t>30</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57A" w:rsidRDefault="008E157A" w:rsidP="007A5733">
    <w:pPr>
      <w:pStyle w:val="Footer"/>
      <w:jc w:val="center"/>
      <w:rPr>
        <w:rStyle w:val="PageNumber"/>
      </w:rPr>
    </w:pPr>
    <w:r>
      <w:rPr>
        <w:rStyle w:val="PageNumber"/>
      </w:rPr>
      <w:t>Committee-in-Confidence</w:t>
    </w:r>
  </w:p>
  <w:p w:rsidR="008E157A" w:rsidRDefault="008E157A"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57A" w:rsidRDefault="008E157A" w:rsidP="00A35800">
      <w:r>
        <w:separator/>
      </w:r>
    </w:p>
  </w:footnote>
  <w:footnote w:type="continuationSeparator" w:id="0">
    <w:p w:rsidR="008E157A" w:rsidRDefault="008E157A" w:rsidP="00A35800">
      <w:r>
        <w:continuationSeparator/>
      </w:r>
    </w:p>
  </w:footnote>
  <w:footnote w:id="1">
    <w:p w:rsidR="008E157A" w:rsidRDefault="008E157A">
      <w:pPr>
        <w:pStyle w:val="FootnoteText"/>
      </w:pPr>
      <w:r>
        <w:rPr>
          <w:rStyle w:val="FootnoteReference"/>
        </w:rPr>
        <w:footnoteRef/>
      </w:r>
      <w:r>
        <w:t xml:space="preserve"> </w:t>
      </w:r>
      <w:r>
        <w:rPr>
          <w:rFonts w:cs="Arial"/>
          <w:color w:val="212121"/>
          <w:lang w:val="en-GB"/>
        </w:rPr>
        <w:t xml:space="preserve">Metastatic Non-Small-Cell Lung Cancer: ESMO Clinical Practice Guidelines for diagnosis, treatment and follow-up, </w:t>
      </w:r>
      <w:r w:rsidRPr="004C6BD9">
        <w:t xml:space="preserve">Ann </w:t>
      </w:r>
      <w:proofErr w:type="spellStart"/>
      <w:r w:rsidRPr="004C6BD9">
        <w:t>Oncol</w:t>
      </w:r>
      <w:proofErr w:type="spellEnd"/>
      <w:r w:rsidRPr="004C6BD9">
        <w:t xml:space="preserve"> (2018) 29 (</w:t>
      </w:r>
      <w:proofErr w:type="spellStart"/>
      <w:r w:rsidRPr="004C6BD9">
        <w:t>suppl</w:t>
      </w:r>
      <w:proofErr w:type="spellEnd"/>
      <w:r w:rsidRPr="004C6BD9">
        <w:t xml:space="preserve"> 4): iv192–iv237</w:t>
      </w:r>
      <w:r>
        <w:t>,</w:t>
      </w:r>
      <w:r w:rsidRPr="004C6BD9">
        <w:t xml:space="preserve"> https://www.esmo.org/Guidelines/Lung-and-Chest-Tumours/Metastatic-Non-Small-Cell-Lung-Cancer</w:t>
      </w:r>
    </w:p>
  </w:footnote>
  <w:footnote w:id="2">
    <w:p w:rsidR="008E157A" w:rsidRDefault="008E157A" w:rsidP="00060FCA">
      <w:pPr>
        <w:pStyle w:val="FootnoteText"/>
      </w:pPr>
      <w:r>
        <w:rPr>
          <w:rStyle w:val="FootnoteReference"/>
        </w:rPr>
        <w:footnoteRef/>
      </w:r>
      <w:r>
        <w:t xml:space="preserve"> </w:t>
      </w:r>
      <w:r>
        <w:rPr>
          <w:lang w:val="en-GB"/>
        </w:rPr>
        <w:t xml:space="preserve">Lung cancer: diagnosis and management, </w:t>
      </w:r>
      <w:r w:rsidRPr="00060FCA">
        <w:rPr>
          <w:lang w:val="en-GB"/>
        </w:rPr>
        <w:t>NICE guideline [NG122] Published date: 28 March 2019</w:t>
      </w:r>
      <w:r>
        <w:rPr>
          <w:lang w:val="en-GB"/>
        </w:rPr>
        <w:t xml:space="preserve">, </w:t>
      </w:r>
      <w:r w:rsidRPr="00060FCA">
        <w:rPr>
          <w:lang w:val="en-GB"/>
        </w:rPr>
        <w:t>www.nice.org.uk/guidance/NG122</w:t>
      </w:r>
    </w:p>
  </w:footnote>
  <w:footnote w:id="3">
    <w:p w:rsidR="008E157A" w:rsidRDefault="008E157A" w:rsidP="00060FCA">
      <w:pPr>
        <w:pStyle w:val="FootnoteText"/>
      </w:pPr>
      <w:r>
        <w:rPr>
          <w:rStyle w:val="FootnoteReference"/>
        </w:rPr>
        <w:footnoteRef/>
      </w:r>
      <w:r>
        <w:t xml:space="preserve"> Overview of the initial treatment of advanced non-small cell lung cancer, Author:  </w:t>
      </w:r>
      <w:proofErr w:type="spellStart"/>
      <w:r>
        <w:t>Rogerio</w:t>
      </w:r>
      <w:proofErr w:type="spellEnd"/>
      <w:r>
        <w:t xml:space="preserve"> C </w:t>
      </w:r>
      <w:proofErr w:type="spellStart"/>
      <w:r>
        <w:t>Lilenbaum</w:t>
      </w:r>
      <w:proofErr w:type="spellEnd"/>
      <w:r>
        <w:t>, MD, FACP, Literature review current through: Mar 2020. | This topic last updated: Jun 25, 2019. Accessed 2 April 2020</w:t>
      </w:r>
    </w:p>
    <w:p w:rsidR="008E157A" w:rsidRDefault="008E157A" w:rsidP="00060FCA">
      <w:pPr>
        <w:pStyle w:val="FootnoteText"/>
      </w:pPr>
      <w:r>
        <w:t>https://www.uptodate.com/contents/overview-of-the-initial-treatment-of-advanced-non-small-cell-lung-cancer</w:t>
      </w:r>
    </w:p>
  </w:footnote>
  <w:footnote w:id="4">
    <w:p w:rsidR="008E157A" w:rsidRDefault="008E157A" w:rsidP="00060FCA">
      <w:pPr>
        <w:pStyle w:val="FootnoteText"/>
      </w:pPr>
      <w:r>
        <w:rPr>
          <w:rStyle w:val="FootnoteReference"/>
        </w:rPr>
        <w:footnoteRef/>
      </w:r>
      <w:r>
        <w:t xml:space="preserve"> Management of advanced non-small cell lung cancer lacking a driver mutation: Immunotherapy</w:t>
      </w:r>
    </w:p>
    <w:p w:rsidR="008E157A" w:rsidRDefault="008E157A" w:rsidP="00060FCA">
      <w:pPr>
        <w:pStyle w:val="FootnoteText"/>
      </w:pPr>
      <w:r>
        <w:t>Authors: Matthew Hellmann, MD, Howard (Jack) West, MD, Literature review current through: Feb 2020. | This topic last updated: Mar 05, 2020. Accessed 1 April 2020</w:t>
      </w:r>
    </w:p>
    <w:p w:rsidR="008E157A" w:rsidRDefault="008E157A" w:rsidP="00060FCA">
      <w:pPr>
        <w:pStyle w:val="FootnoteText"/>
      </w:pPr>
      <w:r>
        <w:t>https://www.uptodate.com/contents/management-of-advanced-non-small-cell-lung-cancer-lacking-a-driver-mutation-immunotherapy</w:t>
      </w:r>
    </w:p>
  </w:footnote>
  <w:footnote w:id="5">
    <w:p w:rsidR="008E157A" w:rsidRPr="008142B4" w:rsidRDefault="008E157A" w:rsidP="00BD77DB">
      <w:pPr>
        <w:pStyle w:val="FootnoteText"/>
        <w:rPr>
          <w:szCs w:val="18"/>
        </w:rPr>
      </w:pPr>
      <w:r>
        <w:rPr>
          <w:rStyle w:val="FootnoteReference"/>
        </w:rPr>
        <w:footnoteRef/>
      </w:r>
      <w:r>
        <w:t xml:space="preserve"> </w:t>
      </w:r>
      <w:proofErr w:type="spellStart"/>
      <w:r>
        <w:t>Opdivo</w:t>
      </w:r>
      <w:proofErr w:type="spellEnd"/>
      <w:r>
        <w:rPr>
          <w:szCs w:val="18"/>
        </w:rPr>
        <w:t xml:space="preserve"> (</w:t>
      </w:r>
      <w:proofErr w:type="spellStart"/>
      <w:r>
        <w:rPr>
          <w:szCs w:val="18"/>
        </w:rPr>
        <w:t>nivolumab</w:t>
      </w:r>
      <w:proofErr w:type="spellEnd"/>
      <w:r>
        <w:rPr>
          <w:szCs w:val="18"/>
        </w:rPr>
        <w:t>). Australian Approved Product Information. Mulgrave VIC: B</w:t>
      </w:r>
      <w:r w:rsidRPr="00BD77DB">
        <w:rPr>
          <w:szCs w:val="18"/>
        </w:rPr>
        <w:t>ristol-Myers Squibb Australia Pty Ltd</w:t>
      </w:r>
      <w:r>
        <w:rPr>
          <w:szCs w:val="18"/>
        </w:rPr>
        <w:t xml:space="preserve">. Approved 11 January 2016, updated 9 April 2020. Available from </w:t>
      </w:r>
      <w:hyperlink r:id="rId1" w:history="1">
        <w:r>
          <w:rPr>
            <w:rStyle w:val="Hyperlink"/>
          </w:rPr>
          <w:t>https://www.ebs.tga.gov.au/ebs/picmi/picmirepository.nsf/pdf?OpenAgent&amp;id=CP-2016-PI-01052-1&amp;d=202004201016933</w:t>
        </w:r>
      </w:hyperlink>
    </w:p>
    <w:p w:rsidR="008E157A" w:rsidRDefault="008E157A">
      <w:pPr>
        <w:pStyle w:val="FootnoteText"/>
      </w:pPr>
    </w:p>
  </w:footnote>
  <w:footnote w:id="6">
    <w:p w:rsidR="008E157A" w:rsidRDefault="008E157A">
      <w:pPr>
        <w:pStyle w:val="FootnoteText"/>
      </w:pPr>
      <w:r>
        <w:rPr>
          <w:rStyle w:val="FootnoteReference"/>
        </w:rPr>
        <w:footnoteRef/>
      </w:r>
      <w:r>
        <w:t xml:space="preserve"> </w:t>
      </w:r>
      <w:r w:rsidRPr="008E0629">
        <w:t xml:space="preserve">Australian Institute of Health and Welfare &amp; Cancer Australia 2011. Lung cancer in Australia: an overview. Cancer series no. 64. Cat. </w:t>
      </w:r>
      <w:proofErr w:type="gramStart"/>
      <w:r w:rsidRPr="008E0629">
        <w:t>no</w:t>
      </w:r>
      <w:proofErr w:type="gramEnd"/>
      <w:r w:rsidRPr="008E0629">
        <w:t>. CAN 58. Canberra: AIHW.</w:t>
      </w:r>
    </w:p>
  </w:footnote>
  <w:footnote w:id="7">
    <w:p w:rsidR="008E157A" w:rsidRPr="00BC5AE2" w:rsidRDefault="008E157A" w:rsidP="008479E3">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2"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57A" w:rsidRDefault="008E157A">
    <w:pPr>
      <w:pStyle w:val="Header"/>
    </w:pPr>
  </w:p>
  <w:p w:rsidR="008E157A" w:rsidRDefault="008E1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765"/>
    <w:multiLevelType w:val="hybridMultilevel"/>
    <w:tmpl w:val="46DA7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AB04B8"/>
    <w:multiLevelType w:val="hybridMultilevel"/>
    <w:tmpl w:val="8062B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05B6"/>
    <w:multiLevelType w:val="hybridMultilevel"/>
    <w:tmpl w:val="816A4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C805C5"/>
    <w:multiLevelType w:val="hybridMultilevel"/>
    <w:tmpl w:val="0EFC2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F650DB"/>
    <w:multiLevelType w:val="hybridMultilevel"/>
    <w:tmpl w:val="4F88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B2130D"/>
    <w:multiLevelType w:val="hybridMultilevel"/>
    <w:tmpl w:val="FDAE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B101C9"/>
    <w:multiLevelType w:val="hybridMultilevel"/>
    <w:tmpl w:val="3BEAF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6B6D15"/>
    <w:multiLevelType w:val="hybridMultilevel"/>
    <w:tmpl w:val="FF4248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679037E"/>
    <w:multiLevelType w:val="hybridMultilevel"/>
    <w:tmpl w:val="3C62F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C1478B6"/>
    <w:multiLevelType w:val="hybridMultilevel"/>
    <w:tmpl w:val="6B0C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08455B"/>
    <w:multiLevelType w:val="hybridMultilevel"/>
    <w:tmpl w:val="F640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880EB7"/>
    <w:multiLevelType w:val="hybridMultilevel"/>
    <w:tmpl w:val="9556A7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2D24B1"/>
    <w:multiLevelType w:val="hybridMultilevel"/>
    <w:tmpl w:val="A6E0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E515F8"/>
    <w:multiLevelType w:val="hybridMultilevel"/>
    <w:tmpl w:val="F28ED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14"/>
  </w:num>
  <w:num w:numId="5">
    <w:abstractNumId w:val="7"/>
  </w:num>
  <w:num w:numId="6">
    <w:abstractNumId w:val="15"/>
  </w:num>
  <w:num w:numId="7">
    <w:abstractNumId w:val="5"/>
  </w:num>
  <w:num w:numId="8">
    <w:abstractNumId w:val="1"/>
  </w:num>
  <w:num w:numId="9">
    <w:abstractNumId w:val="2"/>
  </w:num>
  <w:num w:numId="10">
    <w:abstractNumId w:val="6"/>
  </w:num>
  <w:num w:numId="11">
    <w:abstractNumId w:val="11"/>
  </w:num>
  <w:num w:numId="12">
    <w:abstractNumId w:val="12"/>
  </w:num>
  <w:num w:numId="13">
    <w:abstractNumId w:val="10"/>
  </w:num>
  <w:num w:numId="14">
    <w:abstractNumId w:val="8"/>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2C41"/>
    <w:rsid w:val="00013465"/>
    <w:rsid w:val="000226B3"/>
    <w:rsid w:val="00024549"/>
    <w:rsid w:val="0003504B"/>
    <w:rsid w:val="000362D6"/>
    <w:rsid w:val="000403FD"/>
    <w:rsid w:val="000544B6"/>
    <w:rsid w:val="000560B3"/>
    <w:rsid w:val="000604AF"/>
    <w:rsid w:val="00060FCA"/>
    <w:rsid w:val="000651D2"/>
    <w:rsid w:val="00076DF6"/>
    <w:rsid w:val="00086C11"/>
    <w:rsid w:val="0009165C"/>
    <w:rsid w:val="0009464A"/>
    <w:rsid w:val="00094DCF"/>
    <w:rsid w:val="000A54E0"/>
    <w:rsid w:val="000A6CFD"/>
    <w:rsid w:val="000B0982"/>
    <w:rsid w:val="000B0AB9"/>
    <w:rsid w:val="000B4119"/>
    <w:rsid w:val="000B5732"/>
    <w:rsid w:val="000B796C"/>
    <w:rsid w:val="000C46BB"/>
    <w:rsid w:val="000C4D9D"/>
    <w:rsid w:val="000C7C4B"/>
    <w:rsid w:val="000C7D8B"/>
    <w:rsid w:val="000E485D"/>
    <w:rsid w:val="000E72C6"/>
    <w:rsid w:val="000F1893"/>
    <w:rsid w:val="000F2F51"/>
    <w:rsid w:val="000F6611"/>
    <w:rsid w:val="00100941"/>
    <w:rsid w:val="00100AFF"/>
    <w:rsid w:val="00113CF8"/>
    <w:rsid w:val="00113D74"/>
    <w:rsid w:val="0011643B"/>
    <w:rsid w:val="00117C5C"/>
    <w:rsid w:val="001310AE"/>
    <w:rsid w:val="001420B3"/>
    <w:rsid w:val="001460C4"/>
    <w:rsid w:val="00147342"/>
    <w:rsid w:val="00151C44"/>
    <w:rsid w:val="0015691C"/>
    <w:rsid w:val="001621F7"/>
    <w:rsid w:val="001624D7"/>
    <w:rsid w:val="00163A7C"/>
    <w:rsid w:val="00170F6D"/>
    <w:rsid w:val="00174089"/>
    <w:rsid w:val="00177B86"/>
    <w:rsid w:val="00182585"/>
    <w:rsid w:val="00191182"/>
    <w:rsid w:val="00194351"/>
    <w:rsid w:val="0019664D"/>
    <w:rsid w:val="001A2553"/>
    <w:rsid w:val="001A3009"/>
    <w:rsid w:val="001A6103"/>
    <w:rsid w:val="001B39A0"/>
    <w:rsid w:val="001B4A35"/>
    <w:rsid w:val="001B5D37"/>
    <w:rsid w:val="001C02C2"/>
    <w:rsid w:val="001C2940"/>
    <w:rsid w:val="001C4016"/>
    <w:rsid w:val="001C548D"/>
    <w:rsid w:val="001C6A5D"/>
    <w:rsid w:val="001E31A6"/>
    <w:rsid w:val="001E42C7"/>
    <w:rsid w:val="001E4CAB"/>
    <w:rsid w:val="001F0A4E"/>
    <w:rsid w:val="001F2F3E"/>
    <w:rsid w:val="001F31E8"/>
    <w:rsid w:val="001F3A7A"/>
    <w:rsid w:val="001F4906"/>
    <w:rsid w:val="001F6B07"/>
    <w:rsid w:val="001F7C4A"/>
    <w:rsid w:val="0020578A"/>
    <w:rsid w:val="00207461"/>
    <w:rsid w:val="00207631"/>
    <w:rsid w:val="00210EA9"/>
    <w:rsid w:val="00214013"/>
    <w:rsid w:val="00217AC5"/>
    <w:rsid w:val="00220FC1"/>
    <w:rsid w:val="00222E9A"/>
    <w:rsid w:val="0022566C"/>
    <w:rsid w:val="00230928"/>
    <w:rsid w:val="0023179D"/>
    <w:rsid w:val="00231E2A"/>
    <w:rsid w:val="00233D6B"/>
    <w:rsid w:val="00241DD5"/>
    <w:rsid w:val="0024697F"/>
    <w:rsid w:val="002503A0"/>
    <w:rsid w:val="0025389D"/>
    <w:rsid w:val="00254E02"/>
    <w:rsid w:val="0026265F"/>
    <w:rsid w:val="00274408"/>
    <w:rsid w:val="00274628"/>
    <w:rsid w:val="002759C2"/>
    <w:rsid w:val="00281251"/>
    <w:rsid w:val="00286C3A"/>
    <w:rsid w:val="002930F5"/>
    <w:rsid w:val="002A06B7"/>
    <w:rsid w:val="002A0A45"/>
    <w:rsid w:val="002B634F"/>
    <w:rsid w:val="002B75CD"/>
    <w:rsid w:val="002C6E0C"/>
    <w:rsid w:val="002D144A"/>
    <w:rsid w:val="002D24D7"/>
    <w:rsid w:val="002D6CA3"/>
    <w:rsid w:val="002D7603"/>
    <w:rsid w:val="002E19A3"/>
    <w:rsid w:val="002E212B"/>
    <w:rsid w:val="002E3337"/>
    <w:rsid w:val="002E4A92"/>
    <w:rsid w:val="002E6D03"/>
    <w:rsid w:val="002F2F63"/>
    <w:rsid w:val="002F49A8"/>
    <w:rsid w:val="002F5E66"/>
    <w:rsid w:val="002F61CA"/>
    <w:rsid w:val="0030010D"/>
    <w:rsid w:val="00303710"/>
    <w:rsid w:val="0031594E"/>
    <w:rsid w:val="0031677A"/>
    <w:rsid w:val="003235F8"/>
    <w:rsid w:val="0033504C"/>
    <w:rsid w:val="00336816"/>
    <w:rsid w:val="003370D0"/>
    <w:rsid w:val="00337355"/>
    <w:rsid w:val="003402E4"/>
    <w:rsid w:val="00340F95"/>
    <w:rsid w:val="00342CDD"/>
    <w:rsid w:val="003470A8"/>
    <w:rsid w:val="00352D88"/>
    <w:rsid w:val="003531ED"/>
    <w:rsid w:val="00356B08"/>
    <w:rsid w:val="00360B9A"/>
    <w:rsid w:val="00370535"/>
    <w:rsid w:val="00374F87"/>
    <w:rsid w:val="00382E38"/>
    <w:rsid w:val="00383285"/>
    <w:rsid w:val="0039017F"/>
    <w:rsid w:val="00394AEE"/>
    <w:rsid w:val="003B2640"/>
    <w:rsid w:val="003C2D98"/>
    <w:rsid w:val="003C30CB"/>
    <w:rsid w:val="003C36FF"/>
    <w:rsid w:val="003D3A96"/>
    <w:rsid w:val="003D3B9C"/>
    <w:rsid w:val="003D4079"/>
    <w:rsid w:val="003D7E5C"/>
    <w:rsid w:val="003E55B6"/>
    <w:rsid w:val="003E6701"/>
    <w:rsid w:val="003E68E9"/>
    <w:rsid w:val="003F75D5"/>
    <w:rsid w:val="00404F03"/>
    <w:rsid w:val="00405CDE"/>
    <w:rsid w:val="00412051"/>
    <w:rsid w:val="00420F18"/>
    <w:rsid w:val="00421F2A"/>
    <w:rsid w:val="004228B2"/>
    <w:rsid w:val="00423B94"/>
    <w:rsid w:val="00427B33"/>
    <w:rsid w:val="004437ED"/>
    <w:rsid w:val="004613B1"/>
    <w:rsid w:val="00463731"/>
    <w:rsid w:val="0046400A"/>
    <w:rsid w:val="00464DA7"/>
    <w:rsid w:val="00466753"/>
    <w:rsid w:val="00467B25"/>
    <w:rsid w:val="00470269"/>
    <w:rsid w:val="00480800"/>
    <w:rsid w:val="00481108"/>
    <w:rsid w:val="00485975"/>
    <w:rsid w:val="00486316"/>
    <w:rsid w:val="0049042B"/>
    <w:rsid w:val="00495473"/>
    <w:rsid w:val="00495DAA"/>
    <w:rsid w:val="004A3EB5"/>
    <w:rsid w:val="004A458E"/>
    <w:rsid w:val="004A559D"/>
    <w:rsid w:val="004B23E7"/>
    <w:rsid w:val="004B306F"/>
    <w:rsid w:val="004B31DA"/>
    <w:rsid w:val="004B731A"/>
    <w:rsid w:val="004C3186"/>
    <w:rsid w:val="004C5042"/>
    <w:rsid w:val="004C6BD9"/>
    <w:rsid w:val="004E232E"/>
    <w:rsid w:val="004E4422"/>
    <w:rsid w:val="004E5226"/>
    <w:rsid w:val="005018C0"/>
    <w:rsid w:val="00502AB0"/>
    <w:rsid w:val="00503998"/>
    <w:rsid w:val="0050623B"/>
    <w:rsid w:val="00514EC3"/>
    <w:rsid w:val="00523181"/>
    <w:rsid w:val="0052381E"/>
    <w:rsid w:val="00524D13"/>
    <w:rsid w:val="00530125"/>
    <w:rsid w:val="00531290"/>
    <w:rsid w:val="00532054"/>
    <w:rsid w:val="005339F6"/>
    <w:rsid w:val="00543169"/>
    <w:rsid w:val="005457E7"/>
    <w:rsid w:val="00547E42"/>
    <w:rsid w:val="00552CD3"/>
    <w:rsid w:val="00553931"/>
    <w:rsid w:val="00554AD6"/>
    <w:rsid w:val="00555265"/>
    <w:rsid w:val="0055714F"/>
    <w:rsid w:val="00563E61"/>
    <w:rsid w:val="00564D1D"/>
    <w:rsid w:val="005671F7"/>
    <w:rsid w:val="00571055"/>
    <w:rsid w:val="00576B18"/>
    <w:rsid w:val="00587724"/>
    <w:rsid w:val="00590B5B"/>
    <w:rsid w:val="00591512"/>
    <w:rsid w:val="005A1B6D"/>
    <w:rsid w:val="005A373A"/>
    <w:rsid w:val="005A6E0F"/>
    <w:rsid w:val="005B2D91"/>
    <w:rsid w:val="005B48B4"/>
    <w:rsid w:val="005C4DC3"/>
    <w:rsid w:val="005C6661"/>
    <w:rsid w:val="005C6E3B"/>
    <w:rsid w:val="005D2D62"/>
    <w:rsid w:val="005D474B"/>
    <w:rsid w:val="005E085C"/>
    <w:rsid w:val="005E147D"/>
    <w:rsid w:val="005E22C2"/>
    <w:rsid w:val="005E57BB"/>
    <w:rsid w:val="005F0017"/>
    <w:rsid w:val="005F68AD"/>
    <w:rsid w:val="006001A4"/>
    <w:rsid w:val="006014F1"/>
    <w:rsid w:val="00607D6F"/>
    <w:rsid w:val="0061357B"/>
    <w:rsid w:val="00614A7D"/>
    <w:rsid w:val="006178EB"/>
    <w:rsid w:val="00633477"/>
    <w:rsid w:val="0063631C"/>
    <w:rsid w:val="0063757B"/>
    <w:rsid w:val="006377CE"/>
    <w:rsid w:val="006537D9"/>
    <w:rsid w:val="0066360D"/>
    <w:rsid w:val="00664307"/>
    <w:rsid w:val="00664A48"/>
    <w:rsid w:val="00665DEF"/>
    <w:rsid w:val="0067203C"/>
    <w:rsid w:val="00675BB1"/>
    <w:rsid w:val="006775F1"/>
    <w:rsid w:val="00680EFF"/>
    <w:rsid w:val="00692AA7"/>
    <w:rsid w:val="0069452A"/>
    <w:rsid w:val="00697FEC"/>
    <w:rsid w:val="006A175F"/>
    <w:rsid w:val="006A44F5"/>
    <w:rsid w:val="006B1DBB"/>
    <w:rsid w:val="006B4537"/>
    <w:rsid w:val="006B5F85"/>
    <w:rsid w:val="006B6929"/>
    <w:rsid w:val="006B6E9A"/>
    <w:rsid w:val="006B709B"/>
    <w:rsid w:val="006C1491"/>
    <w:rsid w:val="006C54AF"/>
    <w:rsid w:val="006E0181"/>
    <w:rsid w:val="006E3AEA"/>
    <w:rsid w:val="006F430E"/>
    <w:rsid w:val="006F58D2"/>
    <w:rsid w:val="00700C0E"/>
    <w:rsid w:val="00705AF2"/>
    <w:rsid w:val="00705DAD"/>
    <w:rsid w:val="007064BA"/>
    <w:rsid w:val="00707F8D"/>
    <w:rsid w:val="00717975"/>
    <w:rsid w:val="007247B9"/>
    <w:rsid w:val="00727D85"/>
    <w:rsid w:val="007346C7"/>
    <w:rsid w:val="00736041"/>
    <w:rsid w:val="007408C7"/>
    <w:rsid w:val="007412FC"/>
    <w:rsid w:val="00742986"/>
    <w:rsid w:val="007465DA"/>
    <w:rsid w:val="00752C7F"/>
    <w:rsid w:val="00754373"/>
    <w:rsid w:val="00776598"/>
    <w:rsid w:val="00780670"/>
    <w:rsid w:val="00791ECA"/>
    <w:rsid w:val="007922D3"/>
    <w:rsid w:val="00792948"/>
    <w:rsid w:val="00796E84"/>
    <w:rsid w:val="007A3ADE"/>
    <w:rsid w:val="007A3F9A"/>
    <w:rsid w:val="007A5733"/>
    <w:rsid w:val="007A5774"/>
    <w:rsid w:val="007D0AEB"/>
    <w:rsid w:val="007D40E6"/>
    <w:rsid w:val="007E0F28"/>
    <w:rsid w:val="007E1EB0"/>
    <w:rsid w:val="007E465F"/>
    <w:rsid w:val="007F5587"/>
    <w:rsid w:val="007F5797"/>
    <w:rsid w:val="00801E74"/>
    <w:rsid w:val="0080485E"/>
    <w:rsid w:val="0080629D"/>
    <w:rsid w:val="00812796"/>
    <w:rsid w:val="008142B4"/>
    <w:rsid w:val="00816E98"/>
    <w:rsid w:val="00821781"/>
    <w:rsid w:val="0082632C"/>
    <w:rsid w:val="00826D2E"/>
    <w:rsid w:val="00827146"/>
    <w:rsid w:val="00832324"/>
    <w:rsid w:val="00835337"/>
    <w:rsid w:val="008403D8"/>
    <w:rsid w:val="00845931"/>
    <w:rsid w:val="00845D34"/>
    <w:rsid w:val="00846DCD"/>
    <w:rsid w:val="008479E3"/>
    <w:rsid w:val="00851D85"/>
    <w:rsid w:val="00853A48"/>
    <w:rsid w:val="00855821"/>
    <w:rsid w:val="00860CCB"/>
    <w:rsid w:val="00864451"/>
    <w:rsid w:val="00865475"/>
    <w:rsid w:val="008740A3"/>
    <w:rsid w:val="00876144"/>
    <w:rsid w:val="0089297B"/>
    <w:rsid w:val="008B4DC5"/>
    <w:rsid w:val="008C36CA"/>
    <w:rsid w:val="008C3EB9"/>
    <w:rsid w:val="008C5D8E"/>
    <w:rsid w:val="008C6B59"/>
    <w:rsid w:val="008D7054"/>
    <w:rsid w:val="008E0629"/>
    <w:rsid w:val="008E0807"/>
    <w:rsid w:val="008E157A"/>
    <w:rsid w:val="008E3F8C"/>
    <w:rsid w:val="008F1390"/>
    <w:rsid w:val="008F7C7B"/>
    <w:rsid w:val="00902FD0"/>
    <w:rsid w:val="009053D3"/>
    <w:rsid w:val="0090691F"/>
    <w:rsid w:val="009145CD"/>
    <w:rsid w:val="009239BE"/>
    <w:rsid w:val="00924C97"/>
    <w:rsid w:val="0093080F"/>
    <w:rsid w:val="0093111F"/>
    <w:rsid w:val="0093373B"/>
    <w:rsid w:val="00935689"/>
    <w:rsid w:val="00935C8F"/>
    <w:rsid w:val="00936D7E"/>
    <w:rsid w:val="00940011"/>
    <w:rsid w:val="00940EF7"/>
    <w:rsid w:val="009446BC"/>
    <w:rsid w:val="0095303B"/>
    <w:rsid w:val="00960182"/>
    <w:rsid w:val="00965B63"/>
    <w:rsid w:val="009663B6"/>
    <w:rsid w:val="00970A46"/>
    <w:rsid w:val="00974A47"/>
    <w:rsid w:val="00980286"/>
    <w:rsid w:val="00990DCF"/>
    <w:rsid w:val="009A338B"/>
    <w:rsid w:val="009A4886"/>
    <w:rsid w:val="009A4CD6"/>
    <w:rsid w:val="009A537C"/>
    <w:rsid w:val="009B6C73"/>
    <w:rsid w:val="009C0886"/>
    <w:rsid w:val="009C19EE"/>
    <w:rsid w:val="009C28D0"/>
    <w:rsid w:val="009C35F2"/>
    <w:rsid w:val="009C7782"/>
    <w:rsid w:val="009D1ED5"/>
    <w:rsid w:val="009D2525"/>
    <w:rsid w:val="009D4C13"/>
    <w:rsid w:val="009E21A7"/>
    <w:rsid w:val="009E44CB"/>
    <w:rsid w:val="009E5D51"/>
    <w:rsid w:val="009F0B38"/>
    <w:rsid w:val="009F3C34"/>
    <w:rsid w:val="009F693B"/>
    <w:rsid w:val="00A103ED"/>
    <w:rsid w:val="00A1057A"/>
    <w:rsid w:val="00A13C60"/>
    <w:rsid w:val="00A15134"/>
    <w:rsid w:val="00A15C45"/>
    <w:rsid w:val="00A3251C"/>
    <w:rsid w:val="00A341A3"/>
    <w:rsid w:val="00A35800"/>
    <w:rsid w:val="00A46C04"/>
    <w:rsid w:val="00A47920"/>
    <w:rsid w:val="00A52918"/>
    <w:rsid w:val="00A547B3"/>
    <w:rsid w:val="00A63825"/>
    <w:rsid w:val="00A6450B"/>
    <w:rsid w:val="00A65543"/>
    <w:rsid w:val="00A70E82"/>
    <w:rsid w:val="00A75A3D"/>
    <w:rsid w:val="00A763EE"/>
    <w:rsid w:val="00A76B57"/>
    <w:rsid w:val="00A811DA"/>
    <w:rsid w:val="00A834D2"/>
    <w:rsid w:val="00A84CAD"/>
    <w:rsid w:val="00A90E50"/>
    <w:rsid w:val="00A95FA5"/>
    <w:rsid w:val="00A96D92"/>
    <w:rsid w:val="00AA36D2"/>
    <w:rsid w:val="00AA539B"/>
    <w:rsid w:val="00AA6736"/>
    <w:rsid w:val="00AA7770"/>
    <w:rsid w:val="00AB199C"/>
    <w:rsid w:val="00AB3733"/>
    <w:rsid w:val="00AB588C"/>
    <w:rsid w:val="00AB7897"/>
    <w:rsid w:val="00AC3206"/>
    <w:rsid w:val="00AC5054"/>
    <w:rsid w:val="00AC704C"/>
    <w:rsid w:val="00AD07F1"/>
    <w:rsid w:val="00AD4C9C"/>
    <w:rsid w:val="00AD658D"/>
    <w:rsid w:val="00AE12DA"/>
    <w:rsid w:val="00AE4BAC"/>
    <w:rsid w:val="00AE6101"/>
    <w:rsid w:val="00AE7338"/>
    <w:rsid w:val="00B034FC"/>
    <w:rsid w:val="00B05310"/>
    <w:rsid w:val="00B10A0B"/>
    <w:rsid w:val="00B13F1A"/>
    <w:rsid w:val="00B161E6"/>
    <w:rsid w:val="00B23B6F"/>
    <w:rsid w:val="00B23D75"/>
    <w:rsid w:val="00B30D85"/>
    <w:rsid w:val="00B35A4A"/>
    <w:rsid w:val="00B453CF"/>
    <w:rsid w:val="00B45559"/>
    <w:rsid w:val="00B53C00"/>
    <w:rsid w:val="00B63FD7"/>
    <w:rsid w:val="00B655B7"/>
    <w:rsid w:val="00B816D9"/>
    <w:rsid w:val="00B9120F"/>
    <w:rsid w:val="00B9126B"/>
    <w:rsid w:val="00B9216C"/>
    <w:rsid w:val="00B924A4"/>
    <w:rsid w:val="00BA0FF2"/>
    <w:rsid w:val="00BA2D72"/>
    <w:rsid w:val="00BA2F24"/>
    <w:rsid w:val="00BA347D"/>
    <w:rsid w:val="00BA4E41"/>
    <w:rsid w:val="00BB0D1A"/>
    <w:rsid w:val="00BB1D3B"/>
    <w:rsid w:val="00BB220C"/>
    <w:rsid w:val="00BB6EB7"/>
    <w:rsid w:val="00BC35ED"/>
    <w:rsid w:val="00BC7CAD"/>
    <w:rsid w:val="00BD4176"/>
    <w:rsid w:val="00BD77DB"/>
    <w:rsid w:val="00BE087A"/>
    <w:rsid w:val="00BE205A"/>
    <w:rsid w:val="00BE3802"/>
    <w:rsid w:val="00BE4618"/>
    <w:rsid w:val="00BE6E6C"/>
    <w:rsid w:val="00BF238E"/>
    <w:rsid w:val="00BF2F4A"/>
    <w:rsid w:val="00BF544D"/>
    <w:rsid w:val="00C0076F"/>
    <w:rsid w:val="00C02CED"/>
    <w:rsid w:val="00C0301C"/>
    <w:rsid w:val="00C0399F"/>
    <w:rsid w:val="00C050B6"/>
    <w:rsid w:val="00C06925"/>
    <w:rsid w:val="00C06E06"/>
    <w:rsid w:val="00C10F12"/>
    <w:rsid w:val="00C123FC"/>
    <w:rsid w:val="00C1624F"/>
    <w:rsid w:val="00C245EA"/>
    <w:rsid w:val="00C25533"/>
    <w:rsid w:val="00C256F6"/>
    <w:rsid w:val="00C260B3"/>
    <w:rsid w:val="00C3097E"/>
    <w:rsid w:val="00C30A7C"/>
    <w:rsid w:val="00C35ECC"/>
    <w:rsid w:val="00C361A8"/>
    <w:rsid w:val="00C40079"/>
    <w:rsid w:val="00C41246"/>
    <w:rsid w:val="00C446DB"/>
    <w:rsid w:val="00C45E5F"/>
    <w:rsid w:val="00C46291"/>
    <w:rsid w:val="00C5000A"/>
    <w:rsid w:val="00C5662F"/>
    <w:rsid w:val="00C63412"/>
    <w:rsid w:val="00C714D0"/>
    <w:rsid w:val="00C74082"/>
    <w:rsid w:val="00C76C7B"/>
    <w:rsid w:val="00C771F6"/>
    <w:rsid w:val="00C90EF4"/>
    <w:rsid w:val="00CA015A"/>
    <w:rsid w:val="00CA6697"/>
    <w:rsid w:val="00CB7163"/>
    <w:rsid w:val="00CC1AA3"/>
    <w:rsid w:val="00CC26B1"/>
    <w:rsid w:val="00CC6228"/>
    <w:rsid w:val="00CD0D7E"/>
    <w:rsid w:val="00CD3AF9"/>
    <w:rsid w:val="00CD4486"/>
    <w:rsid w:val="00CF5E22"/>
    <w:rsid w:val="00D06A44"/>
    <w:rsid w:val="00D103F5"/>
    <w:rsid w:val="00D1096F"/>
    <w:rsid w:val="00D151EB"/>
    <w:rsid w:val="00D22F52"/>
    <w:rsid w:val="00D300E0"/>
    <w:rsid w:val="00D374CD"/>
    <w:rsid w:val="00D421AE"/>
    <w:rsid w:val="00D650CE"/>
    <w:rsid w:val="00D71719"/>
    <w:rsid w:val="00D74416"/>
    <w:rsid w:val="00D776DA"/>
    <w:rsid w:val="00D809D6"/>
    <w:rsid w:val="00D8758B"/>
    <w:rsid w:val="00D87D8E"/>
    <w:rsid w:val="00D91093"/>
    <w:rsid w:val="00D942B3"/>
    <w:rsid w:val="00D94863"/>
    <w:rsid w:val="00DA4427"/>
    <w:rsid w:val="00DA7D09"/>
    <w:rsid w:val="00DC0C34"/>
    <w:rsid w:val="00DC2630"/>
    <w:rsid w:val="00DC49E9"/>
    <w:rsid w:val="00DC55E4"/>
    <w:rsid w:val="00DC7D71"/>
    <w:rsid w:val="00DD188C"/>
    <w:rsid w:val="00DD29A3"/>
    <w:rsid w:val="00DD48EE"/>
    <w:rsid w:val="00DE03EF"/>
    <w:rsid w:val="00DE0B96"/>
    <w:rsid w:val="00DE10B9"/>
    <w:rsid w:val="00DE2C9B"/>
    <w:rsid w:val="00DE78D4"/>
    <w:rsid w:val="00DF0B13"/>
    <w:rsid w:val="00DF2EB8"/>
    <w:rsid w:val="00DF4A94"/>
    <w:rsid w:val="00DF6003"/>
    <w:rsid w:val="00E00095"/>
    <w:rsid w:val="00E03913"/>
    <w:rsid w:val="00E066C3"/>
    <w:rsid w:val="00E0718B"/>
    <w:rsid w:val="00E10D8C"/>
    <w:rsid w:val="00E124CA"/>
    <w:rsid w:val="00E1353A"/>
    <w:rsid w:val="00E13BCF"/>
    <w:rsid w:val="00E1564B"/>
    <w:rsid w:val="00E17E2B"/>
    <w:rsid w:val="00E208A0"/>
    <w:rsid w:val="00E22FAE"/>
    <w:rsid w:val="00E25B49"/>
    <w:rsid w:val="00E3500A"/>
    <w:rsid w:val="00E371EA"/>
    <w:rsid w:val="00E47E37"/>
    <w:rsid w:val="00E55CD6"/>
    <w:rsid w:val="00E56835"/>
    <w:rsid w:val="00E631EF"/>
    <w:rsid w:val="00E64429"/>
    <w:rsid w:val="00E6628C"/>
    <w:rsid w:val="00E677DD"/>
    <w:rsid w:val="00E74407"/>
    <w:rsid w:val="00E7594B"/>
    <w:rsid w:val="00E77ED1"/>
    <w:rsid w:val="00E810EC"/>
    <w:rsid w:val="00E81D99"/>
    <w:rsid w:val="00E8254D"/>
    <w:rsid w:val="00E8576A"/>
    <w:rsid w:val="00E9201A"/>
    <w:rsid w:val="00E9400A"/>
    <w:rsid w:val="00E9774E"/>
    <w:rsid w:val="00EA2968"/>
    <w:rsid w:val="00EA34E0"/>
    <w:rsid w:val="00EA62F8"/>
    <w:rsid w:val="00EB28DB"/>
    <w:rsid w:val="00EB4688"/>
    <w:rsid w:val="00EB6C07"/>
    <w:rsid w:val="00EC028D"/>
    <w:rsid w:val="00EC7073"/>
    <w:rsid w:val="00ED58C9"/>
    <w:rsid w:val="00ED633B"/>
    <w:rsid w:val="00EE0D7C"/>
    <w:rsid w:val="00EE2BBB"/>
    <w:rsid w:val="00EE478C"/>
    <w:rsid w:val="00F05445"/>
    <w:rsid w:val="00F055D0"/>
    <w:rsid w:val="00F06E03"/>
    <w:rsid w:val="00F1132C"/>
    <w:rsid w:val="00F15DD5"/>
    <w:rsid w:val="00F17D4B"/>
    <w:rsid w:val="00F23139"/>
    <w:rsid w:val="00F276C5"/>
    <w:rsid w:val="00F30CD5"/>
    <w:rsid w:val="00F40BC0"/>
    <w:rsid w:val="00F42188"/>
    <w:rsid w:val="00F46772"/>
    <w:rsid w:val="00F5024D"/>
    <w:rsid w:val="00F51676"/>
    <w:rsid w:val="00F66CD5"/>
    <w:rsid w:val="00F67A9A"/>
    <w:rsid w:val="00F70F4E"/>
    <w:rsid w:val="00F73113"/>
    <w:rsid w:val="00F75FC4"/>
    <w:rsid w:val="00F81835"/>
    <w:rsid w:val="00F85981"/>
    <w:rsid w:val="00F87263"/>
    <w:rsid w:val="00F93725"/>
    <w:rsid w:val="00F965AE"/>
    <w:rsid w:val="00FA4890"/>
    <w:rsid w:val="00FB0DFF"/>
    <w:rsid w:val="00FB77FA"/>
    <w:rsid w:val="00FC2104"/>
    <w:rsid w:val="00FC3C70"/>
    <w:rsid w:val="00FC4A73"/>
    <w:rsid w:val="00FC559C"/>
    <w:rsid w:val="00FC7F0D"/>
    <w:rsid w:val="00FD4F6D"/>
    <w:rsid w:val="00FD6765"/>
    <w:rsid w:val="00FE645A"/>
    <w:rsid w:val="00FE7832"/>
    <w:rsid w:val="00FF3D30"/>
    <w:rsid w:val="00FF433A"/>
    <w:rsid w:val="00FF5C93"/>
    <w:rsid w:val="00FF6102"/>
    <w:rsid w:val="00FF72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11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BulletPoints Char"/>
    <w:basedOn w:val="DefaultParagraphFont"/>
    <w:link w:val="ListParagraph"/>
    <w:uiPriority w:val="34"/>
    <w:rsid w:val="007412FC"/>
    <w:rPr>
      <w:sz w:val="24"/>
      <w:szCs w:val="24"/>
    </w:rPr>
  </w:style>
  <w:style w:type="paragraph" w:styleId="Revision">
    <w:name w:val="Revision"/>
    <w:hidden/>
    <w:uiPriority w:val="99"/>
    <w:semiHidden/>
    <w:rsid w:val="005018C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1529">
      <w:bodyDiv w:val="1"/>
      <w:marLeft w:val="0"/>
      <w:marRight w:val="0"/>
      <w:marTop w:val="0"/>
      <w:marBottom w:val="0"/>
      <w:divBdr>
        <w:top w:val="none" w:sz="0" w:space="0" w:color="auto"/>
        <w:left w:val="none" w:sz="0" w:space="0" w:color="auto"/>
        <w:bottom w:val="none" w:sz="0" w:space="0" w:color="auto"/>
        <w:right w:val="none" w:sz="0" w:space="0" w:color="auto"/>
      </w:divBdr>
    </w:div>
    <w:div w:id="37593280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83006497">
      <w:bodyDiv w:val="1"/>
      <w:marLeft w:val="0"/>
      <w:marRight w:val="0"/>
      <w:marTop w:val="0"/>
      <w:marBottom w:val="0"/>
      <w:divBdr>
        <w:top w:val="none" w:sz="0" w:space="0" w:color="auto"/>
        <w:left w:val="none" w:sz="0" w:space="0" w:color="auto"/>
        <w:bottom w:val="none" w:sz="0" w:space="0" w:color="auto"/>
        <w:right w:val="none" w:sz="0" w:space="0" w:color="auto"/>
      </w:divBdr>
    </w:div>
    <w:div w:id="669069194">
      <w:bodyDiv w:val="1"/>
      <w:marLeft w:val="0"/>
      <w:marRight w:val="0"/>
      <w:marTop w:val="0"/>
      <w:marBottom w:val="0"/>
      <w:divBdr>
        <w:top w:val="none" w:sz="0" w:space="0" w:color="auto"/>
        <w:left w:val="none" w:sz="0" w:space="0" w:color="auto"/>
        <w:bottom w:val="none" w:sz="0" w:space="0" w:color="auto"/>
        <w:right w:val="none" w:sz="0" w:space="0" w:color="auto"/>
      </w:divBdr>
    </w:div>
    <w:div w:id="735592351">
      <w:bodyDiv w:val="1"/>
      <w:marLeft w:val="0"/>
      <w:marRight w:val="0"/>
      <w:marTop w:val="0"/>
      <w:marBottom w:val="0"/>
      <w:divBdr>
        <w:top w:val="none" w:sz="0" w:space="0" w:color="auto"/>
        <w:left w:val="none" w:sz="0" w:space="0" w:color="auto"/>
        <w:bottom w:val="none" w:sz="0" w:space="0" w:color="auto"/>
        <w:right w:val="none" w:sz="0" w:space="0" w:color="auto"/>
      </w:divBdr>
    </w:div>
    <w:div w:id="81252228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73455494">
      <w:bodyDiv w:val="1"/>
      <w:marLeft w:val="0"/>
      <w:marRight w:val="0"/>
      <w:marTop w:val="0"/>
      <w:marBottom w:val="0"/>
      <w:divBdr>
        <w:top w:val="none" w:sz="0" w:space="0" w:color="auto"/>
        <w:left w:val="none" w:sz="0" w:space="0" w:color="auto"/>
        <w:bottom w:val="none" w:sz="0" w:space="0" w:color="auto"/>
        <w:right w:val="none" w:sz="0" w:space="0" w:color="auto"/>
      </w:divBdr>
    </w:div>
    <w:div w:id="1383209967">
      <w:bodyDiv w:val="1"/>
      <w:marLeft w:val="0"/>
      <w:marRight w:val="0"/>
      <w:marTop w:val="0"/>
      <w:marBottom w:val="0"/>
      <w:divBdr>
        <w:top w:val="none" w:sz="0" w:space="0" w:color="auto"/>
        <w:left w:val="none" w:sz="0" w:space="0" w:color="auto"/>
        <w:bottom w:val="none" w:sz="0" w:space="0" w:color="auto"/>
        <w:right w:val="none" w:sz="0" w:space="0" w:color="auto"/>
      </w:divBdr>
    </w:div>
    <w:div w:id="1555848942">
      <w:bodyDiv w:val="1"/>
      <w:marLeft w:val="0"/>
      <w:marRight w:val="0"/>
      <w:marTop w:val="0"/>
      <w:marBottom w:val="0"/>
      <w:divBdr>
        <w:top w:val="none" w:sz="0" w:space="0" w:color="auto"/>
        <w:left w:val="none" w:sz="0" w:space="0" w:color="auto"/>
        <w:bottom w:val="none" w:sz="0" w:space="0" w:color="auto"/>
        <w:right w:val="none" w:sz="0" w:space="0" w:color="auto"/>
      </w:divBdr>
    </w:div>
    <w:div w:id="1580362091">
      <w:bodyDiv w:val="1"/>
      <w:marLeft w:val="0"/>
      <w:marRight w:val="0"/>
      <w:marTop w:val="0"/>
      <w:marBottom w:val="0"/>
      <w:divBdr>
        <w:top w:val="none" w:sz="0" w:space="0" w:color="auto"/>
        <w:left w:val="none" w:sz="0" w:space="0" w:color="auto"/>
        <w:bottom w:val="none" w:sz="0" w:space="0" w:color="auto"/>
        <w:right w:val="none" w:sz="0" w:space="0" w:color="auto"/>
      </w:divBdr>
    </w:div>
    <w:div w:id="1704742356">
      <w:bodyDiv w:val="1"/>
      <w:marLeft w:val="0"/>
      <w:marRight w:val="0"/>
      <w:marTop w:val="0"/>
      <w:marBottom w:val="0"/>
      <w:divBdr>
        <w:top w:val="none" w:sz="0" w:space="0" w:color="auto"/>
        <w:left w:val="none" w:sz="0" w:space="0" w:color="auto"/>
        <w:bottom w:val="none" w:sz="0" w:space="0" w:color="auto"/>
        <w:right w:val="none" w:sz="0" w:space="0" w:color="auto"/>
      </w:divBdr>
    </w:div>
    <w:div w:id="17325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pbs/home" TargetMode="External"/><Relationship Id="rId13" Type="http://schemas.openxmlformats.org/officeDocument/2006/relationships/hyperlink" Target="https://www.pbs.gov.au/industry/listing/elements/pbac-meetings/psd/2016-11/files/nivolumab-squamous-nsclc-psd-november-2016.pdf" TargetMode="External"/><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s://www.pbs.gov.au/industry/listing/elements/pbac-meetings/psd/2016-03/files/nivolumab-squamous-psd-march-2016.pdf" TargetMode="External"/><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dustry/listing/elements/pbac-meetings/psd/2016-11/files/nivolumab-non-squamous-nsclc-psd-november-2016.pdf" TargetMode="Externa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gov.au/industry/listing/elements/pbac-meetings/psd/2019-03/files/nivolumab-psd-march-2019.pdf"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pbs.gov.au/industry/listing/elements/pbac-meetings/psd/2016-03/files/nivolumab-non-squamous-psd-march-2016.pdf" TargetMode="External"/><Relationship Id="rId19" Type="http://schemas.openxmlformats.org/officeDocument/2006/relationships/chart" Target="charts/chart4.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bs.gov.au/pbs/home" TargetMode="External"/><Relationship Id="rId14" Type="http://schemas.openxmlformats.org/officeDocument/2006/relationships/hyperlink" Target="https://www.pbs.gov.au/industry/listing/elements/pbac-meetings/psd/2017-03/files/nivolumab-psd-march-2017.pdf" TargetMode="External"/><Relationship Id="rId22" Type="http://schemas.openxmlformats.org/officeDocument/2006/relationships/image" Target="media/image1.png"/><Relationship Id="rId27" Type="http://schemas.openxmlformats.org/officeDocument/2006/relationships/chart" Target="charts/chart10.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reaustralia.gov.au/provider/pbs/stats.jsp" TargetMode="External"/><Relationship Id="rId1" Type="http://schemas.openxmlformats.org/officeDocument/2006/relationships/hyperlink" Target="https://www.ebs.tga.gov.au/ebs/picmi/picmirepository.nsf/pdf?OpenAgent&amp;id=CP-2016-PI-01052-1&amp;d=2020042010169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20%20-%20Nivolumab%20for%20NSCLC%20PvA\D1220%20Nivolumab%20for%20NSCL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NSCLC.xlsx]qtr!PivotTable3</c:name>
    <c:fmtId val="12"/>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s>
    <c:plotArea>
      <c:layout/>
      <c:lineChart>
        <c:grouping val="standard"/>
        <c:varyColors val="0"/>
        <c:ser>
          <c:idx val="1"/>
          <c:order val="1"/>
          <c:tx>
            <c:strRef>
              <c:f>qtr!$W$1</c:f>
              <c:strCache>
                <c:ptCount val="1"/>
                <c:pt idx="0">
                  <c:v>Initiating patients</c:v>
                </c:pt>
              </c:strCache>
            </c:strRef>
          </c:tx>
          <c:spPr>
            <a:ln w="28575" cap="rnd">
              <a:solidFill>
                <a:schemeClr val="accent2"/>
              </a:solidFill>
              <a:round/>
            </a:ln>
            <a:effectLst/>
          </c:spPr>
          <c:marker>
            <c:symbol val="none"/>
          </c:marker>
          <c:cat>
            <c:strRef>
              <c:f>qtr!$U$2:$U$13</c:f>
              <c:strCache>
                <c:ptCount val="11"/>
                <c:pt idx="0">
                  <c:v>2017Q3</c:v>
                </c:pt>
                <c:pt idx="1">
                  <c:v>2017Q4</c:v>
                </c:pt>
                <c:pt idx="2">
                  <c:v>2018Q1</c:v>
                </c:pt>
                <c:pt idx="3">
                  <c:v>2018Q2</c:v>
                </c:pt>
                <c:pt idx="4">
                  <c:v>2018Q3</c:v>
                </c:pt>
                <c:pt idx="5">
                  <c:v>2018Q4</c:v>
                </c:pt>
                <c:pt idx="6">
                  <c:v>2019Q1</c:v>
                </c:pt>
                <c:pt idx="7">
                  <c:v>2019Q2</c:v>
                </c:pt>
                <c:pt idx="8">
                  <c:v>2019Q3</c:v>
                </c:pt>
                <c:pt idx="9">
                  <c:v>2019Q4</c:v>
                </c:pt>
                <c:pt idx="10">
                  <c:v>2020Q1</c:v>
                </c:pt>
              </c:strCache>
            </c:strRef>
          </c:cat>
          <c:val>
            <c:numRef>
              <c:f>qtr!$W$2:$W$13</c:f>
              <c:numCache>
                <c:formatCode>General</c:formatCode>
                <c:ptCount val="11"/>
                <c:pt idx="0">
                  <c:v>1572</c:v>
                </c:pt>
                <c:pt idx="1">
                  <c:v>675</c:v>
                </c:pt>
                <c:pt idx="2">
                  <c:v>645</c:v>
                </c:pt>
                <c:pt idx="3">
                  <c:v>519</c:v>
                </c:pt>
                <c:pt idx="4">
                  <c:v>393</c:v>
                </c:pt>
                <c:pt idx="5">
                  <c:v>289</c:v>
                </c:pt>
                <c:pt idx="6">
                  <c:v>303</c:v>
                </c:pt>
                <c:pt idx="7">
                  <c:v>244</c:v>
                </c:pt>
                <c:pt idx="8">
                  <c:v>252</c:v>
                </c:pt>
                <c:pt idx="9">
                  <c:v>256</c:v>
                </c:pt>
                <c:pt idx="10">
                  <c:v>183</c:v>
                </c:pt>
              </c:numCache>
            </c:numRef>
          </c:val>
          <c:smooth val="0"/>
          <c:extLst>
            <c:ext xmlns:c16="http://schemas.microsoft.com/office/drawing/2014/chart" uri="{C3380CC4-5D6E-409C-BE32-E72D297353CC}">
              <c16:uniqueId val="{00000000-9346-4615-992C-A74A972262BE}"/>
            </c:ext>
          </c:extLst>
        </c:ser>
        <c:ser>
          <c:idx val="2"/>
          <c:order val="2"/>
          <c:tx>
            <c:strRef>
              <c:f>qtr!$X$1</c:f>
              <c:strCache>
                <c:ptCount val="1"/>
                <c:pt idx="0">
                  <c:v>Treated patients</c:v>
                </c:pt>
              </c:strCache>
            </c:strRef>
          </c:tx>
          <c:spPr>
            <a:ln w="28575" cap="rnd">
              <a:solidFill>
                <a:schemeClr val="accent3"/>
              </a:solidFill>
              <a:round/>
            </a:ln>
            <a:effectLst/>
          </c:spPr>
          <c:marker>
            <c:symbol val="none"/>
          </c:marker>
          <c:cat>
            <c:strRef>
              <c:f>qtr!$U$2:$U$13</c:f>
              <c:strCache>
                <c:ptCount val="11"/>
                <c:pt idx="0">
                  <c:v>2017Q3</c:v>
                </c:pt>
                <c:pt idx="1">
                  <c:v>2017Q4</c:v>
                </c:pt>
                <c:pt idx="2">
                  <c:v>2018Q1</c:v>
                </c:pt>
                <c:pt idx="3">
                  <c:v>2018Q2</c:v>
                </c:pt>
                <c:pt idx="4">
                  <c:v>2018Q3</c:v>
                </c:pt>
                <c:pt idx="5">
                  <c:v>2018Q4</c:v>
                </c:pt>
                <c:pt idx="6">
                  <c:v>2019Q1</c:v>
                </c:pt>
                <c:pt idx="7">
                  <c:v>2019Q2</c:v>
                </c:pt>
                <c:pt idx="8">
                  <c:v>2019Q3</c:v>
                </c:pt>
                <c:pt idx="9">
                  <c:v>2019Q4</c:v>
                </c:pt>
                <c:pt idx="10">
                  <c:v>2020Q1</c:v>
                </c:pt>
              </c:strCache>
            </c:strRef>
          </c:cat>
          <c:val>
            <c:numRef>
              <c:f>qtr!$X$2:$X$13</c:f>
              <c:numCache>
                <c:formatCode>General</c:formatCode>
                <c:ptCount val="11"/>
                <c:pt idx="0">
                  <c:v>1572</c:v>
                </c:pt>
                <c:pt idx="1">
                  <c:v>1905</c:v>
                </c:pt>
                <c:pt idx="2">
                  <c:v>2021</c:v>
                </c:pt>
                <c:pt idx="3">
                  <c:v>1986</c:v>
                </c:pt>
                <c:pt idx="4">
                  <c:v>1845</c:v>
                </c:pt>
                <c:pt idx="5">
                  <c:v>1673</c:v>
                </c:pt>
                <c:pt idx="6">
                  <c:v>1543</c:v>
                </c:pt>
                <c:pt idx="7">
                  <c:v>1437</c:v>
                </c:pt>
                <c:pt idx="8">
                  <c:v>1345</c:v>
                </c:pt>
                <c:pt idx="9">
                  <c:v>1302</c:v>
                </c:pt>
                <c:pt idx="10">
                  <c:v>1196</c:v>
                </c:pt>
              </c:numCache>
            </c:numRef>
          </c:val>
          <c:smooth val="0"/>
          <c:extLst>
            <c:ext xmlns:c16="http://schemas.microsoft.com/office/drawing/2014/chart" uri="{C3380CC4-5D6E-409C-BE32-E72D297353CC}">
              <c16:uniqueId val="{00000001-9346-4615-992C-A74A972262BE}"/>
            </c:ext>
          </c:extLst>
        </c:ser>
        <c:dLbls>
          <c:showLegendKey val="0"/>
          <c:showVal val="0"/>
          <c:showCatName val="0"/>
          <c:showSerName val="0"/>
          <c:showPercent val="0"/>
          <c:showBubbleSize val="0"/>
        </c:dLbls>
        <c:marker val="1"/>
        <c:smooth val="0"/>
        <c:axId val="785456784"/>
        <c:axId val="785460064"/>
      </c:lineChart>
      <c:lineChart>
        <c:grouping val="standard"/>
        <c:varyColors val="0"/>
        <c:ser>
          <c:idx val="0"/>
          <c:order val="0"/>
          <c:tx>
            <c:strRef>
              <c:f>qtr!$V$1</c:f>
              <c:strCache>
                <c:ptCount val="1"/>
                <c:pt idx="0">
                  <c:v>Prescriptions</c:v>
                </c:pt>
              </c:strCache>
            </c:strRef>
          </c:tx>
          <c:spPr>
            <a:ln w="28575" cap="rnd">
              <a:solidFill>
                <a:schemeClr val="accent1"/>
              </a:solidFill>
              <a:round/>
            </a:ln>
            <a:effectLst/>
          </c:spPr>
          <c:marker>
            <c:symbol val="none"/>
          </c:marker>
          <c:cat>
            <c:strRef>
              <c:f>qtr!$U$2:$U$13</c:f>
              <c:strCache>
                <c:ptCount val="11"/>
                <c:pt idx="0">
                  <c:v>2017Q3</c:v>
                </c:pt>
                <c:pt idx="1">
                  <c:v>2017Q4</c:v>
                </c:pt>
                <c:pt idx="2">
                  <c:v>2018Q1</c:v>
                </c:pt>
                <c:pt idx="3">
                  <c:v>2018Q2</c:v>
                </c:pt>
                <c:pt idx="4">
                  <c:v>2018Q3</c:v>
                </c:pt>
                <c:pt idx="5">
                  <c:v>2018Q4</c:v>
                </c:pt>
                <c:pt idx="6">
                  <c:v>2019Q1</c:v>
                </c:pt>
                <c:pt idx="7">
                  <c:v>2019Q2</c:v>
                </c:pt>
                <c:pt idx="8">
                  <c:v>2019Q3</c:v>
                </c:pt>
                <c:pt idx="9">
                  <c:v>2019Q4</c:v>
                </c:pt>
                <c:pt idx="10">
                  <c:v>2020Q1</c:v>
                </c:pt>
              </c:strCache>
            </c:strRef>
          </c:cat>
          <c:val>
            <c:numRef>
              <c:f>qtr!$V$2:$V$13</c:f>
              <c:numCache>
                <c:formatCode>General</c:formatCode>
                <c:ptCount val="11"/>
                <c:pt idx="0">
                  <c:v>5210</c:v>
                </c:pt>
                <c:pt idx="1">
                  <c:v>8589</c:v>
                </c:pt>
                <c:pt idx="2">
                  <c:v>9261</c:v>
                </c:pt>
                <c:pt idx="3">
                  <c:v>9381</c:v>
                </c:pt>
                <c:pt idx="4">
                  <c:v>8861</c:v>
                </c:pt>
                <c:pt idx="5">
                  <c:v>8244</c:v>
                </c:pt>
                <c:pt idx="6">
                  <c:v>7395</c:v>
                </c:pt>
                <c:pt idx="7">
                  <c:v>6997</c:v>
                </c:pt>
                <c:pt idx="8">
                  <c:v>6414</c:v>
                </c:pt>
                <c:pt idx="9">
                  <c:v>5010</c:v>
                </c:pt>
                <c:pt idx="10">
                  <c:v>4175</c:v>
                </c:pt>
              </c:numCache>
            </c:numRef>
          </c:val>
          <c:smooth val="0"/>
          <c:extLst>
            <c:ext xmlns:c16="http://schemas.microsoft.com/office/drawing/2014/chart" uri="{C3380CC4-5D6E-409C-BE32-E72D297353CC}">
              <c16:uniqueId val="{00000002-9346-4615-992C-A74A972262BE}"/>
            </c:ext>
          </c:extLst>
        </c:ser>
        <c:dLbls>
          <c:showLegendKey val="0"/>
          <c:showVal val="0"/>
          <c:showCatName val="0"/>
          <c:showSerName val="0"/>
          <c:showPercent val="0"/>
          <c:showBubbleSize val="0"/>
        </c:dLbls>
        <c:marker val="1"/>
        <c:smooth val="0"/>
        <c:axId val="785450880"/>
        <c:axId val="785477776"/>
      </c:lineChart>
      <c:catAx>
        <c:axId val="78545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460064"/>
        <c:crosses val="autoZero"/>
        <c:auto val="1"/>
        <c:lblAlgn val="ctr"/>
        <c:lblOffset val="100"/>
        <c:noMultiLvlLbl val="0"/>
      </c:catAx>
      <c:valAx>
        <c:axId val="78546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456784"/>
        <c:crosses val="autoZero"/>
        <c:crossBetween val="between"/>
      </c:valAx>
      <c:valAx>
        <c:axId val="7854777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450880"/>
        <c:crosses val="max"/>
        <c:crossBetween val="between"/>
      </c:valAx>
      <c:catAx>
        <c:axId val="785450880"/>
        <c:scaling>
          <c:orientation val="minMax"/>
        </c:scaling>
        <c:delete val="1"/>
        <c:axPos val="b"/>
        <c:numFmt formatCode="General" sourceLinked="1"/>
        <c:majorTickMark val="out"/>
        <c:minorTickMark val="none"/>
        <c:tickLblPos val="nextTo"/>
        <c:crossAx val="78547777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NSCLC.xlsx]time between!PivotTable1</c:name>
    <c:fmtId val="10"/>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'time between'!$U$3</c:f>
              <c:strCache>
                <c:ptCount val="1"/>
                <c:pt idx="0">
                  <c:v>Total</c:v>
                </c:pt>
              </c:strCache>
            </c:strRef>
          </c:tx>
          <c:spPr>
            <a:ln w="28575" cap="rnd">
              <a:solidFill>
                <a:schemeClr val="accent1"/>
              </a:solidFill>
              <a:round/>
            </a:ln>
            <a:effectLst/>
          </c:spPr>
          <c:marker>
            <c:symbol val="none"/>
          </c:marker>
          <c:cat>
            <c:strRef>
              <c:f>'time between'!$T$4:$T$185</c:f>
              <c:strCache>
                <c:ptCount val="18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strCache>
            </c:strRef>
          </c:cat>
          <c:val>
            <c:numRef>
              <c:f>'time between'!$U$4:$U$185</c:f>
              <c:numCache>
                <c:formatCode>General</c:formatCode>
                <c:ptCount val="181"/>
                <c:pt idx="0">
                  <c:v>13</c:v>
                </c:pt>
                <c:pt idx="1">
                  <c:v>26</c:v>
                </c:pt>
                <c:pt idx="2">
                  <c:v>16</c:v>
                </c:pt>
                <c:pt idx="3">
                  <c:v>14</c:v>
                </c:pt>
                <c:pt idx="4">
                  <c:v>8</c:v>
                </c:pt>
                <c:pt idx="5">
                  <c:v>14</c:v>
                </c:pt>
                <c:pt idx="6">
                  <c:v>21</c:v>
                </c:pt>
                <c:pt idx="7">
                  <c:v>41</c:v>
                </c:pt>
                <c:pt idx="8">
                  <c:v>14</c:v>
                </c:pt>
                <c:pt idx="9">
                  <c:v>20</c:v>
                </c:pt>
                <c:pt idx="10">
                  <c:v>14</c:v>
                </c:pt>
                <c:pt idx="11">
                  <c:v>20</c:v>
                </c:pt>
                <c:pt idx="12">
                  <c:v>20</c:v>
                </c:pt>
                <c:pt idx="13">
                  <c:v>19</c:v>
                </c:pt>
                <c:pt idx="14">
                  <c:v>40</c:v>
                </c:pt>
                <c:pt idx="15">
                  <c:v>31</c:v>
                </c:pt>
                <c:pt idx="16">
                  <c:v>17</c:v>
                </c:pt>
                <c:pt idx="17">
                  <c:v>17</c:v>
                </c:pt>
                <c:pt idx="18">
                  <c:v>20</c:v>
                </c:pt>
                <c:pt idx="19">
                  <c:v>12</c:v>
                </c:pt>
                <c:pt idx="20">
                  <c:v>44</c:v>
                </c:pt>
                <c:pt idx="21">
                  <c:v>132</c:v>
                </c:pt>
                <c:pt idx="22">
                  <c:v>44</c:v>
                </c:pt>
                <c:pt idx="23">
                  <c:v>33</c:v>
                </c:pt>
                <c:pt idx="24">
                  <c:v>30</c:v>
                </c:pt>
                <c:pt idx="25">
                  <c:v>30</c:v>
                </c:pt>
                <c:pt idx="26">
                  <c:v>30</c:v>
                </c:pt>
                <c:pt idx="27">
                  <c:v>44</c:v>
                </c:pt>
                <c:pt idx="28">
                  <c:v>75</c:v>
                </c:pt>
                <c:pt idx="29">
                  <c:v>46</c:v>
                </c:pt>
                <c:pt idx="30">
                  <c:v>19</c:v>
                </c:pt>
                <c:pt idx="31">
                  <c:v>15</c:v>
                </c:pt>
                <c:pt idx="32">
                  <c:v>17</c:v>
                </c:pt>
                <c:pt idx="33">
                  <c:v>23</c:v>
                </c:pt>
                <c:pt idx="34">
                  <c:v>37</c:v>
                </c:pt>
                <c:pt idx="35">
                  <c:v>66</c:v>
                </c:pt>
                <c:pt idx="36">
                  <c:v>39</c:v>
                </c:pt>
                <c:pt idx="37">
                  <c:v>26</c:v>
                </c:pt>
                <c:pt idx="38">
                  <c:v>18</c:v>
                </c:pt>
                <c:pt idx="39">
                  <c:v>14</c:v>
                </c:pt>
                <c:pt idx="40">
                  <c:v>14</c:v>
                </c:pt>
                <c:pt idx="41">
                  <c:v>27</c:v>
                </c:pt>
                <c:pt idx="42">
                  <c:v>43</c:v>
                </c:pt>
                <c:pt idx="43">
                  <c:v>24</c:v>
                </c:pt>
                <c:pt idx="44">
                  <c:v>20</c:v>
                </c:pt>
                <c:pt idx="45">
                  <c:v>19</c:v>
                </c:pt>
                <c:pt idx="46">
                  <c:v>12</c:v>
                </c:pt>
                <c:pt idx="47">
                  <c:v>17</c:v>
                </c:pt>
                <c:pt idx="48">
                  <c:v>24</c:v>
                </c:pt>
                <c:pt idx="49">
                  <c:v>37</c:v>
                </c:pt>
                <c:pt idx="50">
                  <c:v>25</c:v>
                </c:pt>
                <c:pt idx="51">
                  <c:v>20</c:v>
                </c:pt>
                <c:pt idx="52">
                  <c:v>15</c:v>
                </c:pt>
                <c:pt idx="53">
                  <c:v>16</c:v>
                </c:pt>
                <c:pt idx="54">
                  <c:v>14</c:v>
                </c:pt>
                <c:pt idx="55">
                  <c:v>27</c:v>
                </c:pt>
                <c:pt idx="56">
                  <c:v>35</c:v>
                </c:pt>
                <c:pt idx="57">
                  <c:v>18</c:v>
                </c:pt>
                <c:pt idx="58">
                  <c:v>11</c:v>
                </c:pt>
                <c:pt idx="59">
                  <c:v>8</c:v>
                </c:pt>
                <c:pt idx="60">
                  <c:v>7</c:v>
                </c:pt>
                <c:pt idx="61">
                  <c:v>13</c:v>
                </c:pt>
                <c:pt idx="62">
                  <c:v>23</c:v>
                </c:pt>
                <c:pt idx="63">
                  <c:v>31</c:v>
                </c:pt>
                <c:pt idx="64">
                  <c:v>19</c:v>
                </c:pt>
                <c:pt idx="65">
                  <c:v>18</c:v>
                </c:pt>
                <c:pt idx="66">
                  <c:v>9</c:v>
                </c:pt>
                <c:pt idx="67">
                  <c:v>9</c:v>
                </c:pt>
                <c:pt idx="68">
                  <c:v>12</c:v>
                </c:pt>
                <c:pt idx="69">
                  <c:v>16</c:v>
                </c:pt>
                <c:pt idx="70">
                  <c:v>23</c:v>
                </c:pt>
                <c:pt idx="71">
                  <c:v>14</c:v>
                </c:pt>
                <c:pt idx="72">
                  <c:v>15</c:v>
                </c:pt>
                <c:pt idx="73">
                  <c:v>6</c:v>
                </c:pt>
                <c:pt idx="74">
                  <c:v>5</c:v>
                </c:pt>
                <c:pt idx="75">
                  <c:v>7</c:v>
                </c:pt>
                <c:pt idx="76">
                  <c:v>11</c:v>
                </c:pt>
                <c:pt idx="77">
                  <c:v>28</c:v>
                </c:pt>
                <c:pt idx="78">
                  <c:v>18</c:v>
                </c:pt>
                <c:pt idx="79">
                  <c:v>8</c:v>
                </c:pt>
                <c:pt idx="80">
                  <c:v>10</c:v>
                </c:pt>
                <c:pt idx="81">
                  <c:v>11</c:v>
                </c:pt>
                <c:pt idx="82">
                  <c:v>11</c:v>
                </c:pt>
                <c:pt idx="83">
                  <c:v>16</c:v>
                </c:pt>
                <c:pt idx="84">
                  <c:v>17</c:v>
                </c:pt>
                <c:pt idx="85">
                  <c:v>9</c:v>
                </c:pt>
                <c:pt idx="86">
                  <c:v>14</c:v>
                </c:pt>
                <c:pt idx="87">
                  <c:v>5</c:v>
                </c:pt>
                <c:pt idx="88">
                  <c:v>8</c:v>
                </c:pt>
                <c:pt idx="89">
                  <c:v>10</c:v>
                </c:pt>
                <c:pt idx="90">
                  <c:v>20</c:v>
                </c:pt>
                <c:pt idx="91">
                  <c:v>17</c:v>
                </c:pt>
                <c:pt idx="92">
                  <c:v>13</c:v>
                </c:pt>
                <c:pt idx="93">
                  <c:v>7</c:v>
                </c:pt>
                <c:pt idx="94">
                  <c:v>5</c:v>
                </c:pt>
                <c:pt idx="95">
                  <c:v>8</c:v>
                </c:pt>
                <c:pt idx="96">
                  <c:v>12</c:v>
                </c:pt>
                <c:pt idx="97">
                  <c:v>15</c:v>
                </c:pt>
                <c:pt idx="98">
                  <c:v>23</c:v>
                </c:pt>
                <c:pt idx="99">
                  <c:v>9</c:v>
                </c:pt>
                <c:pt idx="100">
                  <c:v>5</c:v>
                </c:pt>
                <c:pt idx="101">
                  <c:v>6</c:v>
                </c:pt>
                <c:pt idx="102">
                  <c:v>7</c:v>
                </c:pt>
                <c:pt idx="103">
                  <c:v>10</c:v>
                </c:pt>
                <c:pt idx="104">
                  <c:v>10</c:v>
                </c:pt>
                <c:pt idx="105">
                  <c:v>24</c:v>
                </c:pt>
                <c:pt idx="106">
                  <c:v>10</c:v>
                </c:pt>
                <c:pt idx="107">
                  <c:v>5</c:v>
                </c:pt>
                <c:pt idx="108">
                  <c:v>12</c:v>
                </c:pt>
                <c:pt idx="109">
                  <c:v>9</c:v>
                </c:pt>
                <c:pt idx="110">
                  <c:v>5</c:v>
                </c:pt>
                <c:pt idx="111">
                  <c:v>18</c:v>
                </c:pt>
                <c:pt idx="112">
                  <c:v>22</c:v>
                </c:pt>
                <c:pt idx="113">
                  <c:v>8</c:v>
                </c:pt>
                <c:pt idx="114">
                  <c:v>11</c:v>
                </c:pt>
                <c:pt idx="115">
                  <c:v>7</c:v>
                </c:pt>
                <c:pt idx="116">
                  <c:v>9</c:v>
                </c:pt>
                <c:pt idx="117">
                  <c:v>11</c:v>
                </c:pt>
                <c:pt idx="118">
                  <c:v>11</c:v>
                </c:pt>
                <c:pt idx="119">
                  <c:v>21</c:v>
                </c:pt>
                <c:pt idx="120">
                  <c:v>9</c:v>
                </c:pt>
                <c:pt idx="121">
                  <c:v>5</c:v>
                </c:pt>
                <c:pt idx="122">
                  <c:v>9</c:v>
                </c:pt>
                <c:pt idx="123">
                  <c:v>11</c:v>
                </c:pt>
                <c:pt idx="124">
                  <c:v>9</c:v>
                </c:pt>
                <c:pt idx="125">
                  <c:v>9</c:v>
                </c:pt>
                <c:pt idx="126">
                  <c:v>19</c:v>
                </c:pt>
                <c:pt idx="127">
                  <c:v>9</c:v>
                </c:pt>
                <c:pt idx="128">
                  <c:v>5</c:v>
                </c:pt>
                <c:pt idx="129">
                  <c:v>5</c:v>
                </c:pt>
                <c:pt idx="130">
                  <c:v>5</c:v>
                </c:pt>
                <c:pt idx="131">
                  <c:v>8</c:v>
                </c:pt>
                <c:pt idx="132">
                  <c:v>11</c:v>
                </c:pt>
                <c:pt idx="133">
                  <c:v>15</c:v>
                </c:pt>
                <c:pt idx="134">
                  <c:v>7</c:v>
                </c:pt>
                <c:pt idx="135">
                  <c:v>8</c:v>
                </c:pt>
                <c:pt idx="136">
                  <c:v>7</c:v>
                </c:pt>
                <c:pt idx="137">
                  <c:v>5</c:v>
                </c:pt>
                <c:pt idx="138">
                  <c:v>7</c:v>
                </c:pt>
                <c:pt idx="139">
                  <c:v>8</c:v>
                </c:pt>
                <c:pt idx="140">
                  <c:v>14</c:v>
                </c:pt>
                <c:pt idx="141">
                  <c:v>8</c:v>
                </c:pt>
                <c:pt idx="142">
                  <c:v>5</c:v>
                </c:pt>
                <c:pt idx="143">
                  <c:v>7</c:v>
                </c:pt>
                <c:pt idx="144">
                  <c:v>6</c:v>
                </c:pt>
                <c:pt idx="145">
                  <c:v>7</c:v>
                </c:pt>
                <c:pt idx="146">
                  <c:v>7</c:v>
                </c:pt>
                <c:pt idx="147">
                  <c:v>7</c:v>
                </c:pt>
                <c:pt idx="148">
                  <c:v>8</c:v>
                </c:pt>
                <c:pt idx="149">
                  <c:v>7</c:v>
                </c:pt>
                <c:pt idx="150">
                  <c:v>6</c:v>
                </c:pt>
                <c:pt idx="151">
                  <c:v>6</c:v>
                </c:pt>
                <c:pt idx="152">
                  <c:v>7</c:v>
                </c:pt>
                <c:pt idx="153">
                  <c:v>6</c:v>
                </c:pt>
                <c:pt idx="154">
                  <c:v>15</c:v>
                </c:pt>
                <c:pt idx="155">
                  <c:v>7</c:v>
                </c:pt>
                <c:pt idx="156">
                  <c:v>5</c:v>
                </c:pt>
                <c:pt idx="157">
                  <c:v>6</c:v>
                </c:pt>
                <c:pt idx="158">
                  <c:v>5</c:v>
                </c:pt>
                <c:pt idx="159">
                  <c:v>5</c:v>
                </c:pt>
                <c:pt idx="160">
                  <c:v>10</c:v>
                </c:pt>
                <c:pt idx="161">
                  <c:v>16</c:v>
                </c:pt>
                <c:pt idx="162">
                  <c:v>12</c:v>
                </c:pt>
                <c:pt idx="163">
                  <c:v>6</c:v>
                </c:pt>
                <c:pt idx="164">
                  <c:v>5</c:v>
                </c:pt>
                <c:pt idx="165">
                  <c:v>5</c:v>
                </c:pt>
                <c:pt idx="166">
                  <c:v>8</c:v>
                </c:pt>
                <c:pt idx="167">
                  <c:v>11</c:v>
                </c:pt>
                <c:pt idx="168">
                  <c:v>11</c:v>
                </c:pt>
                <c:pt idx="169">
                  <c:v>12</c:v>
                </c:pt>
                <c:pt idx="170">
                  <c:v>7</c:v>
                </c:pt>
                <c:pt idx="171">
                  <c:v>5</c:v>
                </c:pt>
                <c:pt idx="172">
                  <c:v>5</c:v>
                </c:pt>
                <c:pt idx="173">
                  <c:v>5</c:v>
                </c:pt>
                <c:pt idx="174">
                  <c:v>12</c:v>
                </c:pt>
                <c:pt idx="175">
                  <c:v>9</c:v>
                </c:pt>
                <c:pt idx="176">
                  <c:v>7</c:v>
                </c:pt>
                <c:pt idx="177">
                  <c:v>5</c:v>
                </c:pt>
                <c:pt idx="178">
                  <c:v>5</c:v>
                </c:pt>
                <c:pt idx="179">
                  <c:v>5</c:v>
                </c:pt>
                <c:pt idx="180">
                  <c:v>8</c:v>
                </c:pt>
              </c:numCache>
            </c:numRef>
          </c:val>
          <c:smooth val="0"/>
          <c:extLst>
            <c:ext xmlns:c16="http://schemas.microsoft.com/office/drawing/2014/chart" uri="{C3380CC4-5D6E-409C-BE32-E72D297353CC}">
              <c16:uniqueId val="{00000000-82AC-4361-8499-A56139D5EE38}"/>
            </c:ext>
          </c:extLst>
        </c:ser>
        <c:dLbls>
          <c:showLegendKey val="0"/>
          <c:showVal val="0"/>
          <c:showCatName val="0"/>
          <c:showSerName val="0"/>
          <c:showPercent val="0"/>
          <c:showBubbleSize val="0"/>
        </c:dLbls>
        <c:smooth val="0"/>
        <c:axId val="832341520"/>
        <c:axId val="832345128"/>
      </c:lineChart>
      <c:catAx>
        <c:axId val="83234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Time</a:t>
                </a:r>
                <a:r>
                  <a:rPr lang="en-AU" baseline="0"/>
                  <a:t> between last chemotherapy and first nivolumab (days)</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345128"/>
        <c:crosses val="autoZero"/>
        <c:auto val="1"/>
        <c:lblAlgn val="ctr"/>
        <c:lblOffset val="100"/>
        <c:noMultiLvlLbl val="0"/>
      </c:catAx>
      <c:valAx>
        <c:axId val="832345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34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NSCLC.xlsx]age!PivotTable4</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clustered"/>
        <c:varyColors val="0"/>
        <c:ser>
          <c:idx val="0"/>
          <c:order val="0"/>
          <c:tx>
            <c:strRef>
              <c:f>age!$AA$1:$AA$2</c:f>
              <c:strCache>
                <c:ptCount val="1"/>
                <c:pt idx="0">
                  <c:v>Female</c:v>
                </c:pt>
              </c:strCache>
            </c:strRef>
          </c:tx>
          <c:spPr>
            <a:solidFill>
              <a:schemeClr val="accent1"/>
            </a:solidFill>
            <a:ln>
              <a:noFill/>
            </a:ln>
            <a:effectLst/>
          </c:spPr>
          <c:invertIfNegative val="0"/>
          <c:cat>
            <c:strRef>
              <c:f>age!$Z$3:$Z$14</c:f>
              <c:strCache>
                <c:ptCount val="11"/>
                <c:pt idx="0">
                  <c:v>15-44 yrs</c:v>
                </c:pt>
                <c:pt idx="1">
                  <c:v>45-49 yrs</c:v>
                </c:pt>
                <c:pt idx="2">
                  <c:v>50-54 yrs</c:v>
                </c:pt>
                <c:pt idx="3">
                  <c:v>55-59 yrs</c:v>
                </c:pt>
                <c:pt idx="4">
                  <c:v>60-64 yrs</c:v>
                </c:pt>
                <c:pt idx="5">
                  <c:v>65-69 yrs</c:v>
                </c:pt>
                <c:pt idx="6">
                  <c:v>70-74 yrs</c:v>
                </c:pt>
                <c:pt idx="7">
                  <c:v>75-79 yrs</c:v>
                </c:pt>
                <c:pt idx="8">
                  <c:v>80-84 yrs</c:v>
                </c:pt>
                <c:pt idx="9">
                  <c:v>85-89 yrs</c:v>
                </c:pt>
                <c:pt idx="10">
                  <c:v>90-99 yrs</c:v>
                </c:pt>
              </c:strCache>
            </c:strRef>
          </c:cat>
          <c:val>
            <c:numRef>
              <c:f>age!$AA$3:$AA$14</c:f>
              <c:numCache>
                <c:formatCode>General</c:formatCode>
                <c:ptCount val="11"/>
                <c:pt idx="0">
                  <c:v>32</c:v>
                </c:pt>
                <c:pt idx="1">
                  <c:v>62</c:v>
                </c:pt>
                <c:pt idx="2">
                  <c:v>129</c:v>
                </c:pt>
                <c:pt idx="3">
                  <c:v>220</c:v>
                </c:pt>
                <c:pt idx="4">
                  <c:v>329</c:v>
                </c:pt>
                <c:pt idx="5">
                  <c:v>439</c:v>
                </c:pt>
                <c:pt idx="6">
                  <c:v>439</c:v>
                </c:pt>
                <c:pt idx="7">
                  <c:v>319</c:v>
                </c:pt>
                <c:pt idx="8">
                  <c:v>157</c:v>
                </c:pt>
                <c:pt idx="9">
                  <c:v>46</c:v>
                </c:pt>
                <c:pt idx="10">
                  <c:v>9</c:v>
                </c:pt>
              </c:numCache>
            </c:numRef>
          </c:val>
          <c:extLst>
            <c:ext xmlns:c16="http://schemas.microsoft.com/office/drawing/2014/chart" uri="{C3380CC4-5D6E-409C-BE32-E72D297353CC}">
              <c16:uniqueId val="{00000000-1A3B-453B-8493-A16D59A7471D}"/>
            </c:ext>
          </c:extLst>
        </c:ser>
        <c:ser>
          <c:idx val="1"/>
          <c:order val="1"/>
          <c:tx>
            <c:strRef>
              <c:f>age!$AB$1:$AB$2</c:f>
              <c:strCache>
                <c:ptCount val="1"/>
                <c:pt idx="0">
                  <c:v>Male</c:v>
                </c:pt>
              </c:strCache>
            </c:strRef>
          </c:tx>
          <c:spPr>
            <a:solidFill>
              <a:schemeClr val="accent2"/>
            </a:solidFill>
            <a:ln>
              <a:noFill/>
            </a:ln>
            <a:effectLst/>
          </c:spPr>
          <c:invertIfNegative val="0"/>
          <c:cat>
            <c:strRef>
              <c:f>age!$Z$3:$Z$14</c:f>
              <c:strCache>
                <c:ptCount val="11"/>
                <c:pt idx="0">
                  <c:v>15-44 yrs</c:v>
                </c:pt>
                <c:pt idx="1">
                  <c:v>45-49 yrs</c:v>
                </c:pt>
                <c:pt idx="2">
                  <c:v>50-54 yrs</c:v>
                </c:pt>
                <c:pt idx="3">
                  <c:v>55-59 yrs</c:v>
                </c:pt>
                <c:pt idx="4">
                  <c:v>60-64 yrs</c:v>
                </c:pt>
                <c:pt idx="5">
                  <c:v>65-69 yrs</c:v>
                </c:pt>
                <c:pt idx="6">
                  <c:v>70-74 yrs</c:v>
                </c:pt>
                <c:pt idx="7">
                  <c:v>75-79 yrs</c:v>
                </c:pt>
                <c:pt idx="8">
                  <c:v>80-84 yrs</c:v>
                </c:pt>
                <c:pt idx="9">
                  <c:v>85-89 yrs</c:v>
                </c:pt>
                <c:pt idx="10">
                  <c:v>90-99 yrs</c:v>
                </c:pt>
              </c:strCache>
            </c:strRef>
          </c:cat>
          <c:val>
            <c:numRef>
              <c:f>age!$AB$3:$AB$14</c:f>
              <c:numCache>
                <c:formatCode>General</c:formatCode>
                <c:ptCount val="11"/>
                <c:pt idx="0">
                  <c:v>54</c:v>
                </c:pt>
                <c:pt idx="1">
                  <c:v>68</c:v>
                </c:pt>
                <c:pt idx="2">
                  <c:v>122</c:v>
                </c:pt>
                <c:pt idx="3">
                  <c:v>281</c:v>
                </c:pt>
                <c:pt idx="4">
                  <c:v>426</c:v>
                </c:pt>
                <c:pt idx="5">
                  <c:v>575</c:v>
                </c:pt>
                <c:pt idx="6">
                  <c:v>726</c:v>
                </c:pt>
                <c:pt idx="7">
                  <c:v>511</c:v>
                </c:pt>
                <c:pt idx="8">
                  <c:v>271</c:v>
                </c:pt>
                <c:pt idx="9">
                  <c:v>93</c:v>
                </c:pt>
                <c:pt idx="10">
                  <c:v>19</c:v>
                </c:pt>
              </c:numCache>
            </c:numRef>
          </c:val>
          <c:extLst>
            <c:ext xmlns:c16="http://schemas.microsoft.com/office/drawing/2014/chart" uri="{C3380CC4-5D6E-409C-BE32-E72D297353CC}">
              <c16:uniqueId val="{00000001-1A3B-453B-8493-A16D59A7471D}"/>
            </c:ext>
          </c:extLst>
        </c:ser>
        <c:dLbls>
          <c:showLegendKey val="0"/>
          <c:showVal val="0"/>
          <c:showCatName val="0"/>
          <c:showSerName val="0"/>
          <c:showPercent val="0"/>
          <c:showBubbleSize val="0"/>
        </c:dLbls>
        <c:gapWidth val="219"/>
        <c:overlap val="-27"/>
        <c:axId val="833683208"/>
        <c:axId val="833684192"/>
      </c:barChart>
      <c:catAx>
        <c:axId val="833683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684192"/>
        <c:crosses val="autoZero"/>
        <c:auto val="1"/>
        <c:lblAlgn val="ctr"/>
        <c:lblOffset val="100"/>
        <c:noMultiLvlLbl val="0"/>
      </c:catAx>
      <c:valAx>
        <c:axId val="833684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a:t>
                </a:r>
                <a:r>
                  <a:rPr lang="en-AU" baseline="0"/>
                  <a:t>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683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NSCLC.xlsx]Sheet1!PivotTable1</c:name>
    <c:fmtId val="7"/>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Sheet1!$X$1:$X$2</c:f>
              <c:strCache>
                <c:ptCount val="1"/>
                <c:pt idx="0">
                  <c:v>140 - 160</c:v>
                </c:pt>
              </c:strCache>
            </c:strRef>
          </c:tx>
          <c:spPr>
            <a:ln w="28575" cap="rnd">
              <a:solidFill>
                <a:schemeClr val="accent1"/>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Sheet1!$X$3:$X$35</c:f>
              <c:numCache>
                <c:formatCode>General</c:formatCode>
                <c:ptCount val="32"/>
                <c:pt idx="0">
                  <c:v>135</c:v>
                </c:pt>
                <c:pt idx="1">
                  <c:v>159</c:v>
                </c:pt>
                <c:pt idx="2">
                  <c:v>195</c:v>
                </c:pt>
                <c:pt idx="3">
                  <c:v>215</c:v>
                </c:pt>
                <c:pt idx="4">
                  <c:v>216</c:v>
                </c:pt>
                <c:pt idx="5">
                  <c:v>231</c:v>
                </c:pt>
                <c:pt idx="6">
                  <c:v>221</c:v>
                </c:pt>
                <c:pt idx="7">
                  <c:v>220</c:v>
                </c:pt>
                <c:pt idx="8">
                  <c:v>213</c:v>
                </c:pt>
                <c:pt idx="9">
                  <c:v>250</c:v>
                </c:pt>
                <c:pt idx="10">
                  <c:v>197</c:v>
                </c:pt>
                <c:pt idx="11">
                  <c:v>173</c:v>
                </c:pt>
                <c:pt idx="12">
                  <c:v>166</c:v>
                </c:pt>
                <c:pt idx="13">
                  <c:v>158</c:v>
                </c:pt>
                <c:pt idx="14">
                  <c:v>164</c:v>
                </c:pt>
                <c:pt idx="15">
                  <c:v>157</c:v>
                </c:pt>
                <c:pt idx="16">
                  <c:v>133</c:v>
                </c:pt>
                <c:pt idx="17">
                  <c:v>149</c:v>
                </c:pt>
                <c:pt idx="18">
                  <c:v>135</c:v>
                </c:pt>
                <c:pt idx="19">
                  <c:v>126</c:v>
                </c:pt>
                <c:pt idx="20">
                  <c:v>130</c:v>
                </c:pt>
                <c:pt idx="21">
                  <c:v>144</c:v>
                </c:pt>
                <c:pt idx="22">
                  <c:v>118</c:v>
                </c:pt>
                <c:pt idx="23">
                  <c:v>116</c:v>
                </c:pt>
                <c:pt idx="24">
                  <c:v>113</c:v>
                </c:pt>
                <c:pt idx="25">
                  <c:v>107</c:v>
                </c:pt>
                <c:pt idx="26">
                  <c:v>95</c:v>
                </c:pt>
                <c:pt idx="27">
                  <c:v>72</c:v>
                </c:pt>
                <c:pt idx="28">
                  <c:v>65</c:v>
                </c:pt>
                <c:pt idx="29">
                  <c:v>56</c:v>
                </c:pt>
                <c:pt idx="30">
                  <c:v>38</c:v>
                </c:pt>
                <c:pt idx="31">
                  <c:v>29</c:v>
                </c:pt>
              </c:numCache>
            </c:numRef>
          </c:val>
          <c:smooth val="0"/>
          <c:extLst>
            <c:ext xmlns:c16="http://schemas.microsoft.com/office/drawing/2014/chart" uri="{C3380CC4-5D6E-409C-BE32-E72D297353CC}">
              <c16:uniqueId val="{00000000-5959-4315-80A3-311A0DAEC485}"/>
            </c:ext>
          </c:extLst>
        </c:ser>
        <c:ser>
          <c:idx val="1"/>
          <c:order val="1"/>
          <c:tx>
            <c:strRef>
              <c:f>Sheet1!$Y$1:$Y$2</c:f>
              <c:strCache>
                <c:ptCount val="1"/>
                <c:pt idx="0">
                  <c:v>160 - 180</c:v>
                </c:pt>
              </c:strCache>
            </c:strRef>
          </c:tx>
          <c:spPr>
            <a:ln w="28575" cap="rnd">
              <a:solidFill>
                <a:schemeClr val="accent2"/>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Sheet1!$Y$3:$Y$35</c:f>
              <c:numCache>
                <c:formatCode>General</c:formatCode>
                <c:ptCount val="32"/>
                <c:pt idx="0">
                  <c:v>234</c:v>
                </c:pt>
                <c:pt idx="1">
                  <c:v>227</c:v>
                </c:pt>
                <c:pt idx="2">
                  <c:v>248</c:v>
                </c:pt>
                <c:pt idx="3">
                  <c:v>278</c:v>
                </c:pt>
                <c:pt idx="4">
                  <c:v>247</c:v>
                </c:pt>
                <c:pt idx="5">
                  <c:v>316</c:v>
                </c:pt>
                <c:pt idx="6">
                  <c:v>298</c:v>
                </c:pt>
                <c:pt idx="7">
                  <c:v>286</c:v>
                </c:pt>
                <c:pt idx="8">
                  <c:v>251</c:v>
                </c:pt>
                <c:pt idx="9">
                  <c:v>328</c:v>
                </c:pt>
                <c:pt idx="10">
                  <c:v>299</c:v>
                </c:pt>
                <c:pt idx="11">
                  <c:v>303</c:v>
                </c:pt>
                <c:pt idx="12">
                  <c:v>324</c:v>
                </c:pt>
                <c:pt idx="13">
                  <c:v>277</c:v>
                </c:pt>
                <c:pt idx="14">
                  <c:v>303</c:v>
                </c:pt>
                <c:pt idx="15">
                  <c:v>259</c:v>
                </c:pt>
                <c:pt idx="16">
                  <c:v>232</c:v>
                </c:pt>
                <c:pt idx="17">
                  <c:v>242</c:v>
                </c:pt>
                <c:pt idx="18">
                  <c:v>222</c:v>
                </c:pt>
                <c:pt idx="19">
                  <c:v>223</c:v>
                </c:pt>
                <c:pt idx="20">
                  <c:v>216</c:v>
                </c:pt>
                <c:pt idx="21">
                  <c:v>263</c:v>
                </c:pt>
                <c:pt idx="22">
                  <c:v>219</c:v>
                </c:pt>
                <c:pt idx="23">
                  <c:v>238</c:v>
                </c:pt>
                <c:pt idx="24">
                  <c:v>211</c:v>
                </c:pt>
                <c:pt idx="25">
                  <c:v>159</c:v>
                </c:pt>
                <c:pt idx="26">
                  <c:v>126</c:v>
                </c:pt>
                <c:pt idx="27">
                  <c:v>77</c:v>
                </c:pt>
                <c:pt idx="28">
                  <c:v>54</c:v>
                </c:pt>
                <c:pt idx="29">
                  <c:v>63</c:v>
                </c:pt>
                <c:pt idx="30">
                  <c:v>43</c:v>
                </c:pt>
                <c:pt idx="31">
                  <c:v>36</c:v>
                </c:pt>
              </c:numCache>
            </c:numRef>
          </c:val>
          <c:smooth val="0"/>
          <c:extLst>
            <c:ext xmlns:c16="http://schemas.microsoft.com/office/drawing/2014/chart" uri="{C3380CC4-5D6E-409C-BE32-E72D297353CC}">
              <c16:uniqueId val="{00000001-5959-4315-80A3-311A0DAEC485}"/>
            </c:ext>
          </c:extLst>
        </c:ser>
        <c:ser>
          <c:idx val="2"/>
          <c:order val="2"/>
          <c:tx>
            <c:strRef>
              <c:f>Sheet1!$Z$1:$Z$2</c:f>
              <c:strCache>
                <c:ptCount val="1"/>
                <c:pt idx="0">
                  <c:v>180 - 200</c:v>
                </c:pt>
              </c:strCache>
            </c:strRef>
          </c:tx>
          <c:spPr>
            <a:ln w="28575" cap="rnd">
              <a:solidFill>
                <a:schemeClr val="accent3"/>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Sheet1!$Z$3:$Z$35</c:f>
              <c:numCache>
                <c:formatCode>General</c:formatCode>
                <c:ptCount val="32"/>
                <c:pt idx="0">
                  <c:v>380</c:v>
                </c:pt>
                <c:pt idx="1">
                  <c:v>360</c:v>
                </c:pt>
                <c:pt idx="2">
                  <c:v>390</c:v>
                </c:pt>
                <c:pt idx="3">
                  <c:v>378</c:v>
                </c:pt>
                <c:pt idx="4">
                  <c:v>319</c:v>
                </c:pt>
                <c:pt idx="5">
                  <c:v>357</c:v>
                </c:pt>
                <c:pt idx="6">
                  <c:v>356</c:v>
                </c:pt>
                <c:pt idx="7">
                  <c:v>406</c:v>
                </c:pt>
                <c:pt idx="8">
                  <c:v>372</c:v>
                </c:pt>
                <c:pt idx="9">
                  <c:v>439</c:v>
                </c:pt>
                <c:pt idx="10">
                  <c:v>348</c:v>
                </c:pt>
                <c:pt idx="11">
                  <c:v>344</c:v>
                </c:pt>
                <c:pt idx="12">
                  <c:v>366</c:v>
                </c:pt>
                <c:pt idx="13">
                  <c:v>319</c:v>
                </c:pt>
                <c:pt idx="14">
                  <c:v>308</c:v>
                </c:pt>
                <c:pt idx="15">
                  <c:v>314</c:v>
                </c:pt>
                <c:pt idx="16">
                  <c:v>294</c:v>
                </c:pt>
                <c:pt idx="17">
                  <c:v>307</c:v>
                </c:pt>
                <c:pt idx="18">
                  <c:v>274</c:v>
                </c:pt>
                <c:pt idx="19">
                  <c:v>270</c:v>
                </c:pt>
                <c:pt idx="20">
                  <c:v>251</c:v>
                </c:pt>
                <c:pt idx="21">
                  <c:v>289</c:v>
                </c:pt>
                <c:pt idx="22">
                  <c:v>234</c:v>
                </c:pt>
                <c:pt idx="23">
                  <c:v>241</c:v>
                </c:pt>
                <c:pt idx="24">
                  <c:v>220</c:v>
                </c:pt>
                <c:pt idx="25">
                  <c:v>174</c:v>
                </c:pt>
                <c:pt idx="26">
                  <c:v>118</c:v>
                </c:pt>
                <c:pt idx="27">
                  <c:v>78</c:v>
                </c:pt>
                <c:pt idx="28">
                  <c:v>65</c:v>
                </c:pt>
                <c:pt idx="29">
                  <c:v>74</c:v>
                </c:pt>
                <c:pt idx="30">
                  <c:v>63</c:v>
                </c:pt>
                <c:pt idx="31">
                  <c:v>46</c:v>
                </c:pt>
              </c:numCache>
            </c:numRef>
          </c:val>
          <c:smooth val="0"/>
          <c:extLst>
            <c:ext xmlns:c16="http://schemas.microsoft.com/office/drawing/2014/chart" uri="{C3380CC4-5D6E-409C-BE32-E72D297353CC}">
              <c16:uniqueId val="{00000002-5959-4315-80A3-311A0DAEC485}"/>
            </c:ext>
          </c:extLst>
        </c:ser>
        <c:ser>
          <c:idx val="3"/>
          <c:order val="3"/>
          <c:tx>
            <c:strRef>
              <c:f>Sheet1!$AA$1:$AA$2</c:f>
              <c:strCache>
                <c:ptCount val="1"/>
                <c:pt idx="0">
                  <c:v>200 - 220</c:v>
                </c:pt>
              </c:strCache>
            </c:strRef>
          </c:tx>
          <c:spPr>
            <a:ln w="28575" cap="rnd">
              <a:solidFill>
                <a:schemeClr val="accent4"/>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Sheet1!$AA$3:$AA$35</c:f>
              <c:numCache>
                <c:formatCode>General</c:formatCode>
                <c:ptCount val="32"/>
                <c:pt idx="0">
                  <c:v>360</c:v>
                </c:pt>
                <c:pt idx="1">
                  <c:v>393</c:v>
                </c:pt>
                <c:pt idx="2">
                  <c:v>447</c:v>
                </c:pt>
                <c:pt idx="3">
                  <c:v>492</c:v>
                </c:pt>
                <c:pt idx="4">
                  <c:v>465</c:v>
                </c:pt>
                <c:pt idx="5">
                  <c:v>511</c:v>
                </c:pt>
                <c:pt idx="6">
                  <c:v>463</c:v>
                </c:pt>
                <c:pt idx="7">
                  <c:v>516</c:v>
                </c:pt>
                <c:pt idx="8">
                  <c:v>468</c:v>
                </c:pt>
                <c:pt idx="9">
                  <c:v>536</c:v>
                </c:pt>
                <c:pt idx="10">
                  <c:v>460</c:v>
                </c:pt>
                <c:pt idx="11">
                  <c:v>498</c:v>
                </c:pt>
                <c:pt idx="12">
                  <c:v>511</c:v>
                </c:pt>
                <c:pt idx="13">
                  <c:v>447</c:v>
                </c:pt>
                <c:pt idx="14">
                  <c:v>487</c:v>
                </c:pt>
                <c:pt idx="15">
                  <c:v>461</c:v>
                </c:pt>
                <c:pt idx="16">
                  <c:v>410</c:v>
                </c:pt>
                <c:pt idx="17">
                  <c:v>410</c:v>
                </c:pt>
                <c:pt idx="18">
                  <c:v>375</c:v>
                </c:pt>
                <c:pt idx="19">
                  <c:v>361</c:v>
                </c:pt>
                <c:pt idx="20">
                  <c:v>371</c:v>
                </c:pt>
                <c:pt idx="21">
                  <c:v>390</c:v>
                </c:pt>
                <c:pt idx="22">
                  <c:v>310</c:v>
                </c:pt>
                <c:pt idx="23">
                  <c:v>311</c:v>
                </c:pt>
                <c:pt idx="24">
                  <c:v>289</c:v>
                </c:pt>
                <c:pt idx="25">
                  <c:v>199</c:v>
                </c:pt>
                <c:pt idx="26">
                  <c:v>159</c:v>
                </c:pt>
                <c:pt idx="27">
                  <c:v>125</c:v>
                </c:pt>
                <c:pt idx="28">
                  <c:v>102</c:v>
                </c:pt>
                <c:pt idx="29">
                  <c:v>108</c:v>
                </c:pt>
                <c:pt idx="30">
                  <c:v>90</c:v>
                </c:pt>
                <c:pt idx="31">
                  <c:v>65</c:v>
                </c:pt>
              </c:numCache>
            </c:numRef>
          </c:val>
          <c:smooth val="0"/>
          <c:extLst>
            <c:ext xmlns:c16="http://schemas.microsoft.com/office/drawing/2014/chart" uri="{C3380CC4-5D6E-409C-BE32-E72D297353CC}">
              <c16:uniqueId val="{00000003-5959-4315-80A3-311A0DAEC485}"/>
            </c:ext>
          </c:extLst>
        </c:ser>
        <c:ser>
          <c:idx val="4"/>
          <c:order val="4"/>
          <c:tx>
            <c:strRef>
              <c:f>Sheet1!$AB$1:$AB$2</c:f>
              <c:strCache>
                <c:ptCount val="1"/>
                <c:pt idx="0">
                  <c:v>220 - 240</c:v>
                </c:pt>
              </c:strCache>
            </c:strRef>
          </c:tx>
          <c:spPr>
            <a:ln w="28575" cap="rnd">
              <a:solidFill>
                <a:schemeClr val="accent5"/>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Sheet1!$AB$3:$AB$35</c:f>
              <c:numCache>
                <c:formatCode>General</c:formatCode>
                <c:ptCount val="32"/>
                <c:pt idx="0">
                  <c:v>360</c:v>
                </c:pt>
                <c:pt idx="1">
                  <c:v>359</c:v>
                </c:pt>
                <c:pt idx="2">
                  <c:v>413</c:v>
                </c:pt>
                <c:pt idx="3">
                  <c:v>416</c:v>
                </c:pt>
                <c:pt idx="4">
                  <c:v>361</c:v>
                </c:pt>
                <c:pt idx="5">
                  <c:v>392</c:v>
                </c:pt>
                <c:pt idx="6">
                  <c:v>378</c:v>
                </c:pt>
                <c:pt idx="7">
                  <c:v>416</c:v>
                </c:pt>
                <c:pt idx="8">
                  <c:v>397</c:v>
                </c:pt>
                <c:pt idx="9">
                  <c:v>482</c:v>
                </c:pt>
                <c:pt idx="10">
                  <c:v>413</c:v>
                </c:pt>
                <c:pt idx="11">
                  <c:v>397</c:v>
                </c:pt>
                <c:pt idx="12">
                  <c:v>388</c:v>
                </c:pt>
                <c:pt idx="13">
                  <c:v>337</c:v>
                </c:pt>
                <c:pt idx="14">
                  <c:v>369</c:v>
                </c:pt>
                <c:pt idx="15">
                  <c:v>321</c:v>
                </c:pt>
                <c:pt idx="16">
                  <c:v>304</c:v>
                </c:pt>
                <c:pt idx="17">
                  <c:v>324</c:v>
                </c:pt>
                <c:pt idx="18">
                  <c:v>286</c:v>
                </c:pt>
                <c:pt idx="19">
                  <c:v>311</c:v>
                </c:pt>
                <c:pt idx="20">
                  <c:v>291</c:v>
                </c:pt>
                <c:pt idx="21">
                  <c:v>301</c:v>
                </c:pt>
                <c:pt idx="22">
                  <c:v>213</c:v>
                </c:pt>
                <c:pt idx="23">
                  <c:v>228</c:v>
                </c:pt>
                <c:pt idx="24">
                  <c:v>223</c:v>
                </c:pt>
                <c:pt idx="25">
                  <c:v>169</c:v>
                </c:pt>
                <c:pt idx="26">
                  <c:v>147</c:v>
                </c:pt>
                <c:pt idx="27">
                  <c:v>110</c:v>
                </c:pt>
                <c:pt idx="28">
                  <c:v>86</c:v>
                </c:pt>
                <c:pt idx="29">
                  <c:v>64</c:v>
                </c:pt>
                <c:pt idx="30">
                  <c:v>35</c:v>
                </c:pt>
                <c:pt idx="31">
                  <c:v>34</c:v>
                </c:pt>
              </c:numCache>
            </c:numRef>
          </c:val>
          <c:smooth val="0"/>
          <c:extLst>
            <c:ext xmlns:c16="http://schemas.microsoft.com/office/drawing/2014/chart" uri="{C3380CC4-5D6E-409C-BE32-E72D297353CC}">
              <c16:uniqueId val="{00000004-5959-4315-80A3-311A0DAEC485}"/>
            </c:ext>
          </c:extLst>
        </c:ser>
        <c:ser>
          <c:idx val="5"/>
          <c:order val="5"/>
          <c:tx>
            <c:strRef>
              <c:f>Sheet1!$AC$1:$AC$2</c:f>
              <c:strCache>
                <c:ptCount val="1"/>
                <c:pt idx="0">
                  <c:v>240 - 260</c:v>
                </c:pt>
              </c:strCache>
            </c:strRef>
          </c:tx>
          <c:spPr>
            <a:ln w="28575" cap="rnd">
              <a:solidFill>
                <a:schemeClr val="accent6"/>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Sheet1!$AC$3:$AC$35</c:f>
              <c:numCache>
                <c:formatCode>General</c:formatCode>
                <c:ptCount val="32"/>
                <c:pt idx="0">
                  <c:v>353</c:v>
                </c:pt>
                <c:pt idx="1">
                  <c:v>378</c:v>
                </c:pt>
                <c:pt idx="2">
                  <c:v>372</c:v>
                </c:pt>
                <c:pt idx="3">
                  <c:v>403</c:v>
                </c:pt>
                <c:pt idx="4">
                  <c:v>376</c:v>
                </c:pt>
                <c:pt idx="5">
                  <c:v>466</c:v>
                </c:pt>
                <c:pt idx="6">
                  <c:v>453</c:v>
                </c:pt>
                <c:pt idx="7">
                  <c:v>457</c:v>
                </c:pt>
                <c:pt idx="8">
                  <c:v>425</c:v>
                </c:pt>
                <c:pt idx="9">
                  <c:v>498</c:v>
                </c:pt>
                <c:pt idx="10">
                  <c:v>413</c:v>
                </c:pt>
                <c:pt idx="11">
                  <c:v>441</c:v>
                </c:pt>
                <c:pt idx="12">
                  <c:v>461</c:v>
                </c:pt>
                <c:pt idx="13">
                  <c:v>396</c:v>
                </c:pt>
                <c:pt idx="14">
                  <c:v>460</c:v>
                </c:pt>
                <c:pt idx="15">
                  <c:v>426</c:v>
                </c:pt>
                <c:pt idx="16">
                  <c:v>392</c:v>
                </c:pt>
                <c:pt idx="17">
                  <c:v>443</c:v>
                </c:pt>
                <c:pt idx="18">
                  <c:v>391</c:v>
                </c:pt>
                <c:pt idx="19">
                  <c:v>389</c:v>
                </c:pt>
                <c:pt idx="20">
                  <c:v>432</c:v>
                </c:pt>
                <c:pt idx="21">
                  <c:v>418</c:v>
                </c:pt>
                <c:pt idx="22">
                  <c:v>377</c:v>
                </c:pt>
                <c:pt idx="23">
                  <c:v>438</c:v>
                </c:pt>
                <c:pt idx="24">
                  <c:v>417</c:v>
                </c:pt>
                <c:pt idx="25">
                  <c:v>432</c:v>
                </c:pt>
                <c:pt idx="26">
                  <c:v>443</c:v>
                </c:pt>
                <c:pt idx="27">
                  <c:v>384</c:v>
                </c:pt>
                <c:pt idx="28">
                  <c:v>353</c:v>
                </c:pt>
                <c:pt idx="29">
                  <c:v>351</c:v>
                </c:pt>
                <c:pt idx="30">
                  <c:v>297</c:v>
                </c:pt>
                <c:pt idx="31">
                  <c:v>302</c:v>
                </c:pt>
              </c:numCache>
            </c:numRef>
          </c:val>
          <c:smooth val="0"/>
          <c:extLst>
            <c:ext xmlns:c16="http://schemas.microsoft.com/office/drawing/2014/chart" uri="{C3380CC4-5D6E-409C-BE32-E72D297353CC}">
              <c16:uniqueId val="{00000005-5959-4315-80A3-311A0DAEC485}"/>
            </c:ext>
          </c:extLst>
        </c:ser>
        <c:ser>
          <c:idx val="6"/>
          <c:order val="6"/>
          <c:tx>
            <c:strRef>
              <c:f>Sheet1!$AD$1:$AD$2</c:f>
              <c:strCache>
                <c:ptCount val="1"/>
                <c:pt idx="0">
                  <c:v>260 - 280</c:v>
                </c:pt>
              </c:strCache>
            </c:strRef>
          </c:tx>
          <c:spPr>
            <a:ln w="28575" cap="rnd">
              <a:solidFill>
                <a:schemeClr val="accent1">
                  <a:lumMod val="60000"/>
                </a:schemeClr>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Sheet1!$AD$3:$AD$35</c:f>
              <c:numCache>
                <c:formatCode>General</c:formatCode>
                <c:ptCount val="32"/>
                <c:pt idx="0">
                  <c:v>208</c:v>
                </c:pt>
                <c:pt idx="1">
                  <c:v>221</c:v>
                </c:pt>
                <c:pt idx="2">
                  <c:v>257</c:v>
                </c:pt>
                <c:pt idx="3">
                  <c:v>264</c:v>
                </c:pt>
                <c:pt idx="4">
                  <c:v>251</c:v>
                </c:pt>
                <c:pt idx="5">
                  <c:v>268</c:v>
                </c:pt>
                <c:pt idx="6">
                  <c:v>251</c:v>
                </c:pt>
                <c:pt idx="7">
                  <c:v>279</c:v>
                </c:pt>
                <c:pt idx="8">
                  <c:v>256</c:v>
                </c:pt>
                <c:pt idx="9">
                  <c:v>302</c:v>
                </c:pt>
                <c:pt idx="10">
                  <c:v>283</c:v>
                </c:pt>
                <c:pt idx="11">
                  <c:v>265</c:v>
                </c:pt>
                <c:pt idx="12">
                  <c:v>299</c:v>
                </c:pt>
                <c:pt idx="13">
                  <c:v>238</c:v>
                </c:pt>
                <c:pt idx="14">
                  <c:v>259</c:v>
                </c:pt>
                <c:pt idx="15">
                  <c:v>229</c:v>
                </c:pt>
                <c:pt idx="16">
                  <c:v>209</c:v>
                </c:pt>
                <c:pt idx="17">
                  <c:v>210</c:v>
                </c:pt>
                <c:pt idx="18">
                  <c:v>192</c:v>
                </c:pt>
                <c:pt idx="19">
                  <c:v>184</c:v>
                </c:pt>
                <c:pt idx="20">
                  <c:v>186</c:v>
                </c:pt>
                <c:pt idx="21">
                  <c:v>202</c:v>
                </c:pt>
                <c:pt idx="22">
                  <c:v>169</c:v>
                </c:pt>
                <c:pt idx="23">
                  <c:v>196</c:v>
                </c:pt>
                <c:pt idx="24">
                  <c:v>173</c:v>
                </c:pt>
                <c:pt idx="25">
                  <c:v>112</c:v>
                </c:pt>
                <c:pt idx="26">
                  <c:v>76</c:v>
                </c:pt>
                <c:pt idx="27">
                  <c:v>54</c:v>
                </c:pt>
                <c:pt idx="28">
                  <c:v>35</c:v>
                </c:pt>
                <c:pt idx="29">
                  <c:v>41</c:v>
                </c:pt>
                <c:pt idx="30">
                  <c:v>30</c:v>
                </c:pt>
                <c:pt idx="31">
                  <c:v>27</c:v>
                </c:pt>
              </c:numCache>
            </c:numRef>
          </c:val>
          <c:smooth val="0"/>
          <c:extLst>
            <c:ext xmlns:c16="http://schemas.microsoft.com/office/drawing/2014/chart" uri="{C3380CC4-5D6E-409C-BE32-E72D297353CC}">
              <c16:uniqueId val="{00000006-5959-4315-80A3-311A0DAEC485}"/>
            </c:ext>
          </c:extLst>
        </c:ser>
        <c:ser>
          <c:idx val="7"/>
          <c:order val="7"/>
          <c:tx>
            <c:strRef>
              <c:f>Sheet1!$AE$1:$AE$2</c:f>
              <c:strCache>
                <c:ptCount val="1"/>
                <c:pt idx="0">
                  <c:v>480 - 500</c:v>
                </c:pt>
              </c:strCache>
            </c:strRef>
          </c:tx>
          <c:spPr>
            <a:ln w="28575" cap="rnd">
              <a:solidFill>
                <a:schemeClr val="accent2">
                  <a:lumMod val="60000"/>
                </a:schemeClr>
              </a:solidFill>
              <a:round/>
            </a:ln>
            <a:effectLst/>
          </c:spPr>
          <c:marker>
            <c:symbol val="none"/>
          </c:marker>
          <c:cat>
            <c:strRef>
              <c:f>Sheet1!$W$3:$W$35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Sheet1!$AE$3:$AE$35</c:f>
              <c:numCache>
                <c:formatCode>General</c:formatCode>
                <c:ptCount val="32"/>
                <c:pt idx="0">
                  <c:v>5</c:v>
                </c:pt>
                <c:pt idx="1">
                  <c:v>3</c:v>
                </c:pt>
                <c:pt idx="2">
                  <c:v>5</c:v>
                </c:pt>
                <c:pt idx="3">
                  <c:v>4</c:v>
                </c:pt>
                <c:pt idx="4">
                  <c:v>7</c:v>
                </c:pt>
                <c:pt idx="5">
                  <c:v>5</c:v>
                </c:pt>
                <c:pt idx="6">
                  <c:v>2</c:v>
                </c:pt>
                <c:pt idx="7">
                  <c:v>4</c:v>
                </c:pt>
                <c:pt idx="8">
                  <c:v>4</c:v>
                </c:pt>
                <c:pt idx="9">
                  <c:v>2</c:v>
                </c:pt>
                <c:pt idx="10">
                  <c:v>3</c:v>
                </c:pt>
                <c:pt idx="11">
                  <c:v>3</c:v>
                </c:pt>
                <c:pt idx="12">
                  <c:v>5</c:v>
                </c:pt>
                <c:pt idx="13">
                  <c:v>2</c:v>
                </c:pt>
                <c:pt idx="14">
                  <c:v>3</c:v>
                </c:pt>
                <c:pt idx="15">
                  <c:v>4</c:v>
                </c:pt>
                <c:pt idx="16">
                  <c:v>3</c:v>
                </c:pt>
                <c:pt idx="17">
                  <c:v>8</c:v>
                </c:pt>
                <c:pt idx="18">
                  <c:v>6</c:v>
                </c:pt>
                <c:pt idx="19">
                  <c:v>2</c:v>
                </c:pt>
                <c:pt idx="20">
                  <c:v>15</c:v>
                </c:pt>
                <c:pt idx="21">
                  <c:v>27</c:v>
                </c:pt>
                <c:pt idx="22">
                  <c:v>45</c:v>
                </c:pt>
                <c:pt idx="23">
                  <c:v>77</c:v>
                </c:pt>
                <c:pt idx="24">
                  <c:v>111</c:v>
                </c:pt>
                <c:pt idx="25">
                  <c:v>266</c:v>
                </c:pt>
                <c:pt idx="26">
                  <c:v>501</c:v>
                </c:pt>
                <c:pt idx="27">
                  <c:v>537</c:v>
                </c:pt>
                <c:pt idx="28">
                  <c:v>611</c:v>
                </c:pt>
                <c:pt idx="29">
                  <c:v>694</c:v>
                </c:pt>
                <c:pt idx="30">
                  <c:v>627</c:v>
                </c:pt>
                <c:pt idx="31">
                  <c:v>682</c:v>
                </c:pt>
              </c:numCache>
            </c:numRef>
          </c:val>
          <c:smooth val="0"/>
          <c:extLst>
            <c:ext xmlns:c16="http://schemas.microsoft.com/office/drawing/2014/chart" uri="{C3380CC4-5D6E-409C-BE32-E72D297353CC}">
              <c16:uniqueId val="{00000007-5959-4315-80A3-311A0DAEC485}"/>
            </c:ext>
          </c:extLst>
        </c:ser>
        <c:dLbls>
          <c:showLegendKey val="0"/>
          <c:showVal val="0"/>
          <c:showCatName val="0"/>
          <c:showSerName val="0"/>
          <c:showPercent val="0"/>
          <c:showBubbleSize val="0"/>
        </c:dLbls>
        <c:smooth val="0"/>
        <c:axId val="418042456"/>
        <c:axId val="418034256"/>
      </c:lineChart>
      <c:catAx>
        <c:axId val="41804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034256"/>
        <c:crosses val="autoZero"/>
        <c:auto val="1"/>
        <c:lblAlgn val="ctr"/>
        <c:lblOffset val="100"/>
        <c:noMultiLvlLbl val="0"/>
      </c:catAx>
      <c:valAx>
        <c:axId val="418034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042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NSCLC.xlsx]mean dose over time!PivotTable5</c:name>
    <c:fmtId val="6"/>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'mean dose over time'!$Z$1</c:f>
              <c:strCache>
                <c:ptCount val="1"/>
                <c:pt idx="0">
                  <c:v>Dose mean</c:v>
                </c:pt>
              </c:strCache>
            </c:strRef>
          </c:tx>
          <c:spPr>
            <a:ln w="28575" cap="rnd">
              <a:solidFill>
                <a:schemeClr val="accent1"/>
              </a:solidFill>
              <a:round/>
            </a:ln>
            <a:effectLst/>
          </c:spPr>
          <c:marker>
            <c:symbol val="none"/>
          </c:marker>
          <c:cat>
            <c:strRef>
              <c:f>'mean dose over time'!$Y$2:$Y$34</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'mean dose over time'!$Z$2:$Z$34</c:f>
              <c:numCache>
                <c:formatCode>General</c:formatCode>
                <c:ptCount val="32"/>
                <c:pt idx="0">
                  <c:v>224.92573872</c:v>
                </c:pt>
                <c:pt idx="1">
                  <c:v>224.07948524</c:v>
                </c:pt>
                <c:pt idx="2">
                  <c:v>223.41244725999999</c:v>
                </c:pt>
                <c:pt idx="3">
                  <c:v>222.22844828000001</c:v>
                </c:pt>
                <c:pt idx="4">
                  <c:v>220.68555759</c:v>
                </c:pt>
                <c:pt idx="5">
                  <c:v>220.42930261999999</c:v>
                </c:pt>
                <c:pt idx="6">
                  <c:v>220.39687924</c:v>
                </c:pt>
                <c:pt idx="7">
                  <c:v>220.53602756999999</c:v>
                </c:pt>
                <c:pt idx="8">
                  <c:v>220.93102264999999</c:v>
                </c:pt>
                <c:pt idx="9">
                  <c:v>220.48470116999999</c:v>
                </c:pt>
                <c:pt idx="10">
                  <c:v>221.81342282</c:v>
                </c:pt>
                <c:pt idx="11">
                  <c:v>222.90407754</c:v>
                </c:pt>
                <c:pt idx="12">
                  <c:v>223.39732143000001</c:v>
                </c:pt>
                <c:pt idx="13">
                  <c:v>221.97005113</c:v>
                </c:pt>
                <c:pt idx="14">
                  <c:v>222.34119601</c:v>
                </c:pt>
                <c:pt idx="15">
                  <c:v>222.05437179</c:v>
                </c:pt>
                <c:pt idx="16">
                  <c:v>222.18336633999999</c:v>
                </c:pt>
                <c:pt idx="17">
                  <c:v>222.52251908</c:v>
                </c:pt>
                <c:pt idx="18">
                  <c:v>222.40580320000001</c:v>
                </c:pt>
                <c:pt idx="19">
                  <c:v>222.90863579000001</c:v>
                </c:pt>
                <c:pt idx="20">
                  <c:v>224.85751295</c:v>
                </c:pt>
                <c:pt idx="21">
                  <c:v>224.5248727</c:v>
                </c:pt>
                <c:pt idx="22">
                  <c:v>228.13533835000001</c:v>
                </c:pt>
                <c:pt idx="23">
                  <c:v>231.33548386999999</c:v>
                </c:pt>
                <c:pt idx="24">
                  <c:v>234.90996784999999</c:v>
                </c:pt>
                <c:pt idx="25">
                  <c:v>255.34989540000001</c:v>
                </c:pt>
                <c:pt idx="26">
                  <c:v>287.94040084</c:v>
                </c:pt>
                <c:pt idx="27">
                  <c:v>307.34218652999999</c:v>
                </c:pt>
                <c:pt idx="28">
                  <c:v>324.82341136999997</c:v>
                </c:pt>
                <c:pt idx="29">
                  <c:v>332.69292929</c:v>
                </c:pt>
                <c:pt idx="30">
                  <c:v>342.94197952000002</c:v>
                </c:pt>
                <c:pt idx="31">
                  <c:v>356.14990859</c:v>
                </c:pt>
              </c:numCache>
            </c:numRef>
          </c:val>
          <c:smooth val="0"/>
          <c:extLst>
            <c:ext xmlns:c16="http://schemas.microsoft.com/office/drawing/2014/chart" uri="{C3380CC4-5D6E-409C-BE32-E72D297353CC}">
              <c16:uniqueId val="{00000000-80C6-4B07-98A3-DC9250823507}"/>
            </c:ext>
          </c:extLst>
        </c:ser>
        <c:ser>
          <c:idx val="2"/>
          <c:order val="2"/>
          <c:tx>
            <c:strRef>
              <c:f>'mean dose over time'!$AB$1</c:f>
              <c:strCache>
                <c:ptCount val="1"/>
                <c:pt idx="0">
                  <c:v>Dose median</c:v>
                </c:pt>
              </c:strCache>
            </c:strRef>
          </c:tx>
          <c:spPr>
            <a:ln w="28575" cap="rnd">
              <a:solidFill>
                <a:schemeClr val="accent3"/>
              </a:solidFill>
              <a:round/>
            </a:ln>
            <a:effectLst/>
          </c:spPr>
          <c:marker>
            <c:symbol val="none"/>
          </c:marker>
          <c:cat>
            <c:strRef>
              <c:f>'mean dose over time'!$Y$2:$Y$34</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'mean dose over time'!$AB$2:$AB$34</c:f>
              <c:numCache>
                <c:formatCode>General</c:formatCode>
                <c:ptCount val="32"/>
                <c:pt idx="0">
                  <c:v>220</c:v>
                </c:pt>
                <c:pt idx="1">
                  <c:v>220</c:v>
                </c:pt>
                <c:pt idx="2">
                  <c:v>220</c:v>
                </c:pt>
                <c:pt idx="3">
                  <c:v>220</c:v>
                </c:pt>
                <c:pt idx="4">
                  <c:v>219</c:v>
                </c:pt>
                <c:pt idx="5">
                  <c:v>219</c:v>
                </c:pt>
                <c:pt idx="6">
                  <c:v>220</c:v>
                </c:pt>
                <c:pt idx="7">
                  <c:v>220</c:v>
                </c:pt>
                <c:pt idx="8">
                  <c:v>220</c:v>
                </c:pt>
                <c:pt idx="9">
                  <c:v>220</c:v>
                </c:pt>
                <c:pt idx="10">
                  <c:v>220</c:v>
                </c:pt>
                <c:pt idx="11">
                  <c:v>220</c:v>
                </c:pt>
                <c:pt idx="12">
                  <c:v>220</c:v>
                </c:pt>
                <c:pt idx="13">
                  <c:v>220</c:v>
                </c:pt>
                <c:pt idx="14">
                  <c:v>220</c:v>
                </c:pt>
                <c:pt idx="15">
                  <c:v>220</c:v>
                </c:pt>
                <c:pt idx="16">
                  <c:v>220</c:v>
                </c:pt>
                <c:pt idx="17">
                  <c:v>220</c:v>
                </c:pt>
                <c:pt idx="18">
                  <c:v>220</c:v>
                </c:pt>
                <c:pt idx="19">
                  <c:v>220</c:v>
                </c:pt>
                <c:pt idx="20">
                  <c:v>225</c:v>
                </c:pt>
                <c:pt idx="21">
                  <c:v>220</c:v>
                </c:pt>
                <c:pt idx="22">
                  <c:v>225</c:v>
                </c:pt>
                <c:pt idx="23">
                  <c:v>227</c:v>
                </c:pt>
                <c:pt idx="24">
                  <c:v>230</c:v>
                </c:pt>
                <c:pt idx="25">
                  <c:v>240</c:v>
                </c:pt>
                <c:pt idx="26">
                  <c:v>240</c:v>
                </c:pt>
                <c:pt idx="27">
                  <c:v>240</c:v>
                </c:pt>
                <c:pt idx="28">
                  <c:v>240</c:v>
                </c:pt>
                <c:pt idx="29">
                  <c:v>240</c:v>
                </c:pt>
                <c:pt idx="30">
                  <c:v>275</c:v>
                </c:pt>
                <c:pt idx="31">
                  <c:v>480</c:v>
                </c:pt>
              </c:numCache>
            </c:numRef>
          </c:val>
          <c:smooth val="0"/>
          <c:extLst>
            <c:ext xmlns:c16="http://schemas.microsoft.com/office/drawing/2014/chart" uri="{C3380CC4-5D6E-409C-BE32-E72D297353CC}">
              <c16:uniqueId val="{00000001-80C6-4B07-98A3-DC9250823507}"/>
            </c:ext>
          </c:extLst>
        </c:ser>
        <c:dLbls>
          <c:showLegendKey val="0"/>
          <c:showVal val="0"/>
          <c:showCatName val="0"/>
          <c:showSerName val="0"/>
          <c:showPercent val="0"/>
          <c:showBubbleSize val="0"/>
        </c:dLbls>
        <c:marker val="1"/>
        <c:smooth val="0"/>
        <c:axId val="1055999568"/>
        <c:axId val="1056002520"/>
      </c:lineChart>
      <c:lineChart>
        <c:grouping val="standard"/>
        <c:varyColors val="0"/>
        <c:ser>
          <c:idx val="1"/>
          <c:order val="1"/>
          <c:tx>
            <c:strRef>
              <c:f>'mean dose over time'!$AA$1</c:f>
              <c:strCache>
                <c:ptCount val="1"/>
                <c:pt idx="0">
                  <c:v>Resupply mean</c:v>
                </c:pt>
              </c:strCache>
            </c:strRef>
          </c:tx>
          <c:spPr>
            <a:ln w="28575" cap="rnd">
              <a:solidFill>
                <a:schemeClr val="accent2"/>
              </a:solidFill>
              <a:round/>
            </a:ln>
            <a:effectLst/>
          </c:spPr>
          <c:marker>
            <c:symbol val="none"/>
          </c:marker>
          <c:cat>
            <c:strRef>
              <c:f>'mean dose over time'!$Y$2:$Y$34</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'mean dose over time'!$AA$2:$AA$34</c:f>
              <c:numCache>
                <c:formatCode>General</c:formatCode>
                <c:ptCount val="32"/>
                <c:pt idx="0">
                  <c:v>16.089270385999999</c:v>
                </c:pt>
                <c:pt idx="1">
                  <c:v>16.516236469999999</c:v>
                </c:pt>
                <c:pt idx="2">
                  <c:v>16.162419171</c:v>
                </c:pt>
                <c:pt idx="3">
                  <c:v>16.421299639000001</c:v>
                </c:pt>
                <c:pt idx="4">
                  <c:v>16.403633491000001</c:v>
                </c:pt>
                <c:pt idx="5">
                  <c:v>16.00349284</c:v>
                </c:pt>
                <c:pt idx="6">
                  <c:v>15.420689655</c:v>
                </c:pt>
                <c:pt idx="7">
                  <c:v>15.807077237</c:v>
                </c:pt>
                <c:pt idx="8">
                  <c:v>15.077264325</c:v>
                </c:pt>
                <c:pt idx="9">
                  <c:v>16.050326188</c:v>
                </c:pt>
                <c:pt idx="10">
                  <c:v>15.892235123000001</c:v>
                </c:pt>
                <c:pt idx="11">
                  <c:v>16.399928006</c:v>
                </c:pt>
                <c:pt idx="12">
                  <c:v>15.792746114</c:v>
                </c:pt>
                <c:pt idx="13">
                  <c:v>15.640772870999999</c:v>
                </c:pt>
                <c:pt idx="14">
                  <c:v>15.788342440999999</c:v>
                </c:pt>
                <c:pt idx="15">
                  <c:v>16.409398646</c:v>
                </c:pt>
                <c:pt idx="16">
                  <c:v>16.803989592000001</c:v>
                </c:pt>
                <c:pt idx="17">
                  <c:v>15.828665568</c:v>
                </c:pt>
                <c:pt idx="18">
                  <c:v>16.038636363999998</c:v>
                </c:pt>
                <c:pt idx="19">
                  <c:v>15.946460979999999</c:v>
                </c:pt>
                <c:pt idx="20">
                  <c:v>16.321886447000001</c:v>
                </c:pt>
                <c:pt idx="21">
                  <c:v>16.126495726000002</c:v>
                </c:pt>
                <c:pt idx="22">
                  <c:v>16.758072782999999</c:v>
                </c:pt>
                <c:pt idx="23">
                  <c:v>16.048063461999998</c:v>
                </c:pt>
                <c:pt idx="24">
                  <c:v>16.395708583000001</c:v>
                </c:pt>
                <c:pt idx="25">
                  <c:v>18.421416234999999</c:v>
                </c:pt>
                <c:pt idx="26">
                  <c:v>19.944153578000002</c:v>
                </c:pt>
                <c:pt idx="27">
                  <c:v>20.715955983000001</c:v>
                </c:pt>
                <c:pt idx="28">
                  <c:v>22.207811349</c:v>
                </c:pt>
                <c:pt idx="29">
                  <c:v>21.065136935999998</c:v>
                </c:pt>
                <c:pt idx="30">
                  <c:v>21.697029702999998</c:v>
                </c:pt>
                <c:pt idx="31">
                  <c:v>15.388692580000001</c:v>
                </c:pt>
              </c:numCache>
            </c:numRef>
          </c:val>
          <c:smooth val="0"/>
          <c:extLst>
            <c:ext xmlns:c16="http://schemas.microsoft.com/office/drawing/2014/chart" uri="{C3380CC4-5D6E-409C-BE32-E72D297353CC}">
              <c16:uniqueId val="{00000002-80C6-4B07-98A3-DC9250823507}"/>
            </c:ext>
          </c:extLst>
        </c:ser>
        <c:ser>
          <c:idx val="3"/>
          <c:order val="3"/>
          <c:tx>
            <c:strRef>
              <c:f>'mean dose over time'!$AC$1</c:f>
              <c:strCache>
                <c:ptCount val="1"/>
                <c:pt idx="0">
                  <c:v>Resupply median</c:v>
                </c:pt>
              </c:strCache>
            </c:strRef>
          </c:tx>
          <c:spPr>
            <a:ln w="28575" cap="rnd">
              <a:solidFill>
                <a:schemeClr val="accent4"/>
              </a:solidFill>
              <a:round/>
            </a:ln>
            <a:effectLst/>
          </c:spPr>
          <c:marker>
            <c:symbol val="none"/>
          </c:marker>
          <c:cat>
            <c:strRef>
              <c:f>'mean dose over time'!$Y$2:$Y$34</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'mean dose over time'!$AC$2:$AC$34</c:f>
              <c:numCache>
                <c:formatCode>General</c:formatCode>
                <c:ptCount val="32"/>
                <c:pt idx="0">
                  <c:v>14</c:v>
                </c:pt>
                <c:pt idx="1">
                  <c:v>14</c:v>
                </c:pt>
                <c:pt idx="2">
                  <c:v>14</c:v>
                </c:pt>
                <c:pt idx="3">
                  <c:v>14</c:v>
                </c:pt>
                <c:pt idx="4">
                  <c:v>14</c:v>
                </c:pt>
                <c:pt idx="5">
                  <c:v>14</c:v>
                </c:pt>
                <c:pt idx="6">
                  <c:v>14</c:v>
                </c:pt>
                <c:pt idx="7">
                  <c:v>14</c:v>
                </c:pt>
                <c:pt idx="8">
                  <c:v>14</c:v>
                </c:pt>
                <c:pt idx="9">
                  <c:v>14</c:v>
                </c:pt>
                <c:pt idx="10">
                  <c:v>14</c:v>
                </c:pt>
                <c:pt idx="11">
                  <c:v>14</c:v>
                </c:pt>
                <c:pt idx="12">
                  <c:v>14</c:v>
                </c:pt>
                <c:pt idx="13">
                  <c:v>14</c:v>
                </c:pt>
                <c:pt idx="14">
                  <c:v>14</c:v>
                </c:pt>
                <c:pt idx="15">
                  <c:v>14</c:v>
                </c:pt>
                <c:pt idx="16">
                  <c:v>14</c:v>
                </c:pt>
                <c:pt idx="17">
                  <c:v>14</c:v>
                </c:pt>
                <c:pt idx="18">
                  <c:v>14</c:v>
                </c:pt>
                <c:pt idx="19">
                  <c:v>14</c:v>
                </c:pt>
                <c:pt idx="20">
                  <c:v>14</c:v>
                </c:pt>
                <c:pt idx="21">
                  <c:v>14</c:v>
                </c:pt>
                <c:pt idx="22">
                  <c:v>14</c:v>
                </c:pt>
                <c:pt idx="23">
                  <c:v>14</c:v>
                </c:pt>
                <c:pt idx="24">
                  <c:v>14</c:v>
                </c:pt>
                <c:pt idx="25">
                  <c:v>14</c:v>
                </c:pt>
                <c:pt idx="26">
                  <c:v>15</c:v>
                </c:pt>
                <c:pt idx="27">
                  <c:v>15</c:v>
                </c:pt>
                <c:pt idx="28">
                  <c:v>22</c:v>
                </c:pt>
                <c:pt idx="29">
                  <c:v>17</c:v>
                </c:pt>
                <c:pt idx="30">
                  <c:v>22</c:v>
                </c:pt>
                <c:pt idx="31">
                  <c:v>14</c:v>
                </c:pt>
              </c:numCache>
            </c:numRef>
          </c:val>
          <c:smooth val="0"/>
          <c:extLst>
            <c:ext xmlns:c16="http://schemas.microsoft.com/office/drawing/2014/chart" uri="{C3380CC4-5D6E-409C-BE32-E72D297353CC}">
              <c16:uniqueId val="{00000003-80C6-4B07-98A3-DC9250823507}"/>
            </c:ext>
          </c:extLst>
        </c:ser>
        <c:dLbls>
          <c:showLegendKey val="0"/>
          <c:showVal val="0"/>
          <c:showCatName val="0"/>
          <c:showSerName val="0"/>
          <c:showPercent val="0"/>
          <c:showBubbleSize val="0"/>
        </c:dLbls>
        <c:marker val="1"/>
        <c:smooth val="0"/>
        <c:axId val="1056048440"/>
        <c:axId val="1056050080"/>
      </c:lineChart>
      <c:catAx>
        <c:axId val="105599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002520"/>
        <c:crosses val="autoZero"/>
        <c:auto val="1"/>
        <c:lblAlgn val="ctr"/>
        <c:lblOffset val="100"/>
        <c:noMultiLvlLbl val="0"/>
      </c:catAx>
      <c:valAx>
        <c:axId val="1056002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Dose (mg)</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999568"/>
        <c:crosses val="autoZero"/>
        <c:crossBetween val="between"/>
      </c:valAx>
      <c:valAx>
        <c:axId val="105605008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Resupply</a:t>
                </a:r>
                <a:r>
                  <a:rPr lang="en-AU" baseline="0"/>
                  <a:t> (</a:t>
                </a:r>
                <a:r>
                  <a:rPr lang="en-AU"/>
                  <a:t>days)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048440"/>
        <c:crosses val="max"/>
        <c:crossBetween val="between"/>
      </c:valAx>
      <c:catAx>
        <c:axId val="1056048440"/>
        <c:scaling>
          <c:orientation val="minMax"/>
        </c:scaling>
        <c:delete val="1"/>
        <c:axPos val="b"/>
        <c:numFmt formatCode="General" sourceLinked="1"/>
        <c:majorTickMark val="out"/>
        <c:minorTickMark val="none"/>
        <c:tickLblPos val="nextTo"/>
        <c:crossAx val="105605008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NSCLC.xlsx]PRD!PivotTable5</c:name>
    <c:fmtId val="23"/>
  </c:pivotSource>
  <c:chart>
    <c:autoTitleDeleted val="1"/>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PRD!$B$25</c:f>
              <c:strCache>
                <c:ptCount val="1"/>
                <c:pt idx="0">
                  <c:v>Total</c:v>
                </c:pt>
              </c:strCache>
            </c:strRef>
          </c:tx>
          <c:spPr>
            <a:ln w="28575" cap="rnd">
              <a:solidFill>
                <a:schemeClr val="accent1"/>
              </a:solidFill>
              <a:round/>
            </a:ln>
            <a:effectLst/>
          </c:spPr>
          <c:marker>
            <c:symbol val="none"/>
          </c:marker>
          <c:cat>
            <c:strRef>
              <c:f>PRD!$A$26:$A$38</c:f>
              <c:strCache>
                <c:ptCount val="12"/>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strCache>
            </c:strRef>
          </c:cat>
          <c:val>
            <c:numRef>
              <c:f>PRD!$B$26:$B$38</c:f>
              <c:numCache>
                <c:formatCode>General</c:formatCode>
                <c:ptCount val="12"/>
                <c:pt idx="0">
                  <c:v>424.7633042096902</c:v>
                </c:pt>
                <c:pt idx="1">
                  <c:v>433.78750000000002</c:v>
                </c:pt>
                <c:pt idx="2">
                  <c:v>468.06035889070148</c:v>
                </c:pt>
                <c:pt idx="3">
                  <c:v>418.73339085418462</c:v>
                </c:pt>
                <c:pt idx="4">
                  <c:v>471.80263157894734</c:v>
                </c:pt>
                <c:pt idx="5">
                  <c:v>455.79233511586455</c:v>
                </c:pt>
                <c:pt idx="6">
                  <c:v>446.84552102376597</c:v>
                </c:pt>
                <c:pt idx="7">
                  <c:v>504.68299445471348</c:v>
                </c:pt>
                <c:pt idx="8">
                  <c:v>472.53036053130927</c:v>
                </c:pt>
                <c:pt idx="9">
                  <c:v>482.45626242544733</c:v>
                </c:pt>
                <c:pt idx="10">
                  <c:v>510.76960784313724</c:v>
                </c:pt>
                <c:pt idx="11">
                  <c:v>467.05149330587022</c:v>
                </c:pt>
              </c:numCache>
            </c:numRef>
          </c:val>
          <c:smooth val="0"/>
          <c:extLst>
            <c:ext xmlns:c16="http://schemas.microsoft.com/office/drawing/2014/chart" uri="{C3380CC4-5D6E-409C-BE32-E72D297353CC}">
              <c16:uniqueId val="{00000000-40C1-406B-B933-0582FC69466D}"/>
            </c:ext>
          </c:extLst>
        </c:ser>
        <c:dLbls>
          <c:showLegendKey val="0"/>
          <c:showVal val="0"/>
          <c:showCatName val="0"/>
          <c:showSerName val="0"/>
          <c:showPercent val="0"/>
          <c:showBubbleSize val="0"/>
        </c:dLbls>
        <c:smooth val="0"/>
        <c:axId val="884299976"/>
        <c:axId val="884294400"/>
      </c:lineChart>
      <c:catAx>
        <c:axId val="884299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294400"/>
        <c:crosses val="autoZero"/>
        <c:auto val="1"/>
        <c:lblAlgn val="ctr"/>
        <c:lblOffset val="100"/>
        <c:noMultiLvlLbl val="0"/>
      </c:catAx>
      <c:valAx>
        <c:axId val="88429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Mean dose per patient per month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299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NSCLC.xlsx]supp lag report!PivotTable2</c:name>
    <c:fmtId val="1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'supp lag report'!$W$1</c:f>
              <c:strCache>
                <c:ptCount val="1"/>
                <c:pt idx="0">
                  <c:v>Prescriptions overall</c:v>
                </c:pt>
              </c:strCache>
            </c:strRef>
          </c:tx>
          <c:spPr>
            <a:ln w="28575" cap="rnd">
              <a:solidFill>
                <a:schemeClr val="accent1"/>
              </a:solidFill>
              <a:round/>
            </a:ln>
            <a:effectLst/>
          </c:spPr>
          <c:marker>
            <c:symbol val="none"/>
          </c:marker>
          <c:cat>
            <c:strRef>
              <c:f>'supp lag report'!$V$2:$V$92</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'supp lag report'!$W$2:$W$92</c:f>
              <c:numCache>
                <c:formatCode>General</c:formatCode>
                <c:ptCount val="90"/>
                <c:pt idx="0">
                  <c:v>399</c:v>
                </c:pt>
                <c:pt idx="1">
                  <c:v>254</c:v>
                </c:pt>
                <c:pt idx="2">
                  <c:v>258</c:v>
                </c:pt>
                <c:pt idx="3">
                  <c:v>215</c:v>
                </c:pt>
                <c:pt idx="4">
                  <c:v>246</c:v>
                </c:pt>
                <c:pt idx="5">
                  <c:v>460</c:v>
                </c:pt>
                <c:pt idx="6">
                  <c:v>871</c:v>
                </c:pt>
                <c:pt idx="7">
                  <c:v>879</c:v>
                </c:pt>
                <c:pt idx="8">
                  <c:v>1092</c:v>
                </c:pt>
                <c:pt idx="9">
                  <c:v>1478</c:v>
                </c:pt>
                <c:pt idx="10">
                  <c:v>1849</c:v>
                </c:pt>
                <c:pt idx="11">
                  <c:v>2166</c:v>
                </c:pt>
                <c:pt idx="12">
                  <c:v>6854</c:v>
                </c:pt>
                <c:pt idx="13">
                  <c:v>30881</c:v>
                </c:pt>
                <c:pt idx="14">
                  <c:v>6552</c:v>
                </c:pt>
                <c:pt idx="15">
                  <c:v>1921</c:v>
                </c:pt>
                <c:pt idx="16">
                  <c:v>1748</c:v>
                </c:pt>
                <c:pt idx="17">
                  <c:v>1477</c:v>
                </c:pt>
                <c:pt idx="18">
                  <c:v>1018</c:v>
                </c:pt>
                <c:pt idx="19">
                  <c:v>915</c:v>
                </c:pt>
                <c:pt idx="20">
                  <c:v>1528</c:v>
                </c:pt>
                <c:pt idx="21">
                  <c:v>606</c:v>
                </c:pt>
                <c:pt idx="22">
                  <c:v>304</c:v>
                </c:pt>
                <c:pt idx="23">
                  <c:v>371</c:v>
                </c:pt>
                <c:pt idx="24">
                  <c:v>340</c:v>
                </c:pt>
                <c:pt idx="25">
                  <c:v>332</c:v>
                </c:pt>
                <c:pt idx="26">
                  <c:v>730</c:v>
                </c:pt>
                <c:pt idx="27">
                  <c:v>2657</c:v>
                </c:pt>
                <c:pt idx="28">
                  <c:v>689</c:v>
                </c:pt>
                <c:pt idx="29">
                  <c:v>243</c:v>
                </c:pt>
                <c:pt idx="30">
                  <c:v>218</c:v>
                </c:pt>
                <c:pt idx="31">
                  <c:v>175</c:v>
                </c:pt>
                <c:pt idx="32">
                  <c:v>130</c:v>
                </c:pt>
                <c:pt idx="33">
                  <c:v>189</c:v>
                </c:pt>
                <c:pt idx="34">
                  <c:v>309</c:v>
                </c:pt>
                <c:pt idx="35">
                  <c:v>141</c:v>
                </c:pt>
                <c:pt idx="36">
                  <c:v>72</c:v>
                </c:pt>
                <c:pt idx="37">
                  <c:v>59</c:v>
                </c:pt>
                <c:pt idx="38">
                  <c:v>48</c:v>
                </c:pt>
                <c:pt idx="39">
                  <c:v>56</c:v>
                </c:pt>
                <c:pt idx="40">
                  <c:v>83</c:v>
                </c:pt>
                <c:pt idx="41">
                  <c:v>275</c:v>
                </c:pt>
                <c:pt idx="42">
                  <c:v>88</c:v>
                </c:pt>
                <c:pt idx="43">
                  <c:v>38</c:v>
                </c:pt>
                <c:pt idx="44">
                  <c:v>32</c:v>
                </c:pt>
                <c:pt idx="45">
                  <c:v>28</c:v>
                </c:pt>
                <c:pt idx="46">
                  <c:v>36</c:v>
                </c:pt>
                <c:pt idx="47">
                  <c:v>43</c:v>
                </c:pt>
                <c:pt idx="48">
                  <c:v>93</c:v>
                </c:pt>
                <c:pt idx="49">
                  <c:v>43</c:v>
                </c:pt>
                <c:pt idx="50">
                  <c:v>27</c:v>
                </c:pt>
                <c:pt idx="51">
                  <c:v>18</c:v>
                </c:pt>
                <c:pt idx="52">
                  <c:v>19</c:v>
                </c:pt>
                <c:pt idx="53">
                  <c:v>18</c:v>
                </c:pt>
                <c:pt idx="54">
                  <c:v>41</c:v>
                </c:pt>
                <c:pt idx="55">
                  <c:v>120</c:v>
                </c:pt>
                <c:pt idx="56">
                  <c:v>33</c:v>
                </c:pt>
                <c:pt idx="57">
                  <c:v>18</c:v>
                </c:pt>
                <c:pt idx="58">
                  <c:v>18</c:v>
                </c:pt>
                <c:pt idx="59">
                  <c:v>6</c:v>
                </c:pt>
                <c:pt idx="60">
                  <c:v>10</c:v>
                </c:pt>
                <c:pt idx="61">
                  <c:v>16</c:v>
                </c:pt>
                <c:pt idx="62">
                  <c:v>33</c:v>
                </c:pt>
                <c:pt idx="63">
                  <c:v>13</c:v>
                </c:pt>
                <c:pt idx="64">
                  <c:v>4</c:v>
                </c:pt>
                <c:pt idx="65">
                  <c:v>4</c:v>
                </c:pt>
                <c:pt idx="66">
                  <c:v>3</c:v>
                </c:pt>
                <c:pt idx="67">
                  <c:v>3</c:v>
                </c:pt>
                <c:pt idx="68">
                  <c:v>12</c:v>
                </c:pt>
                <c:pt idx="69">
                  <c:v>23</c:v>
                </c:pt>
                <c:pt idx="70">
                  <c:v>9</c:v>
                </c:pt>
                <c:pt idx="71">
                  <c:v>7</c:v>
                </c:pt>
                <c:pt idx="72">
                  <c:v>3</c:v>
                </c:pt>
                <c:pt idx="73">
                  <c:v>4</c:v>
                </c:pt>
                <c:pt idx="74">
                  <c:v>4</c:v>
                </c:pt>
                <c:pt idx="75">
                  <c:v>7</c:v>
                </c:pt>
                <c:pt idx="76">
                  <c:v>14</c:v>
                </c:pt>
                <c:pt idx="77">
                  <c:v>6</c:v>
                </c:pt>
                <c:pt idx="78">
                  <c:v>4</c:v>
                </c:pt>
                <c:pt idx="79">
                  <c:v>7</c:v>
                </c:pt>
                <c:pt idx="80">
                  <c:v>5</c:v>
                </c:pt>
                <c:pt idx="81">
                  <c:v>2</c:v>
                </c:pt>
                <c:pt idx="82">
                  <c:v>6</c:v>
                </c:pt>
                <c:pt idx="83">
                  <c:v>16</c:v>
                </c:pt>
                <c:pt idx="84">
                  <c:v>5</c:v>
                </c:pt>
                <c:pt idx="85">
                  <c:v>3</c:v>
                </c:pt>
                <c:pt idx="86">
                  <c:v>3</c:v>
                </c:pt>
                <c:pt idx="87">
                  <c:v>4</c:v>
                </c:pt>
                <c:pt idx="88">
                  <c:v>5</c:v>
                </c:pt>
                <c:pt idx="89">
                  <c:v>3</c:v>
                </c:pt>
              </c:numCache>
            </c:numRef>
          </c:val>
          <c:smooth val="0"/>
          <c:extLst>
            <c:ext xmlns:c16="http://schemas.microsoft.com/office/drawing/2014/chart" uri="{C3380CC4-5D6E-409C-BE32-E72D297353CC}">
              <c16:uniqueId val="{00000000-C712-43F9-A0C7-C1A96DF1895A}"/>
            </c:ext>
          </c:extLst>
        </c:ser>
        <c:dLbls>
          <c:showLegendKey val="0"/>
          <c:showVal val="0"/>
          <c:showCatName val="0"/>
          <c:showSerName val="0"/>
          <c:showPercent val="0"/>
          <c:showBubbleSize val="0"/>
        </c:dLbls>
        <c:marker val="1"/>
        <c:smooth val="0"/>
        <c:axId val="847102912"/>
        <c:axId val="847107176"/>
      </c:lineChart>
      <c:lineChart>
        <c:grouping val="standard"/>
        <c:varyColors val="0"/>
        <c:ser>
          <c:idx val="1"/>
          <c:order val="1"/>
          <c:tx>
            <c:strRef>
              <c:f>'supp lag report'!$X$1</c:f>
              <c:strCache>
                <c:ptCount val="1"/>
                <c:pt idx="0">
                  <c:v>Prescriptions January to March 2020</c:v>
                </c:pt>
              </c:strCache>
            </c:strRef>
          </c:tx>
          <c:spPr>
            <a:ln w="28575" cap="rnd">
              <a:solidFill>
                <a:schemeClr val="accent2"/>
              </a:solidFill>
              <a:round/>
            </a:ln>
            <a:effectLst/>
          </c:spPr>
          <c:marker>
            <c:symbol val="none"/>
          </c:marker>
          <c:cat>
            <c:strRef>
              <c:f>'supp lag report'!$V$2:$V$92</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'supp lag report'!$X$2:$X$92</c:f>
              <c:numCache>
                <c:formatCode>General</c:formatCode>
                <c:ptCount val="90"/>
                <c:pt idx="0">
                  <c:v>17</c:v>
                </c:pt>
                <c:pt idx="1">
                  <c:v>11</c:v>
                </c:pt>
                <c:pt idx="2">
                  <c:v>7</c:v>
                </c:pt>
                <c:pt idx="3">
                  <c:v>6</c:v>
                </c:pt>
                <c:pt idx="4">
                  <c:v>12</c:v>
                </c:pt>
                <c:pt idx="5">
                  <c:v>13</c:v>
                </c:pt>
                <c:pt idx="6">
                  <c:v>22</c:v>
                </c:pt>
                <c:pt idx="7">
                  <c:v>20</c:v>
                </c:pt>
                <c:pt idx="8">
                  <c:v>20</c:v>
                </c:pt>
                <c:pt idx="9">
                  <c:v>27</c:v>
                </c:pt>
                <c:pt idx="10">
                  <c:v>24</c:v>
                </c:pt>
                <c:pt idx="11">
                  <c:v>49</c:v>
                </c:pt>
                <c:pt idx="12">
                  <c:v>138</c:v>
                </c:pt>
                <c:pt idx="13">
                  <c:v>796</c:v>
                </c:pt>
                <c:pt idx="14">
                  <c:v>140</c:v>
                </c:pt>
                <c:pt idx="15">
                  <c:v>29</c:v>
                </c:pt>
                <c:pt idx="16">
                  <c:v>40</c:v>
                </c:pt>
                <c:pt idx="17">
                  <c:v>26</c:v>
                </c:pt>
                <c:pt idx="18">
                  <c:v>23</c:v>
                </c:pt>
                <c:pt idx="19">
                  <c:v>18</c:v>
                </c:pt>
                <c:pt idx="20">
                  <c:v>35</c:v>
                </c:pt>
                <c:pt idx="21">
                  <c:v>25</c:v>
                </c:pt>
                <c:pt idx="22">
                  <c:v>15</c:v>
                </c:pt>
                <c:pt idx="23">
                  <c:v>21</c:v>
                </c:pt>
                <c:pt idx="24">
                  <c:v>34</c:v>
                </c:pt>
                <c:pt idx="25">
                  <c:v>37</c:v>
                </c:pt>
                <c:pt idx="26">
                  <c:v>122</c:v>
                </c:pt>
                <c:pt idx="27">
                  <c:v>527</c:v>
                </c:pt>
                <c:pt idx="28">
                  <c:v>118</c:v>
                </c:pt>
                <c:pt idx="29">
                  <c:v>34</c:v>
                </c:pt>
                <c:pt idx="30">
                  <c:v>32</c:v>
                </c:pt>
                <c:pt idx="31">
                  <c:v>46</c:v>
                </c:pt>
                <c:pt idx="32">
                  <c:v>13</c:v>
                </c:pt>
                <c:pt idx="33">
                  <c:v>16</c:v>
                </c:pt>
                <c:pt idx="34">
                  <c:v>36</c:v>
                </c:pt>
                <c:pt idx="35">
                  <c:v>12</c:v>
                </c:pt>
                <c:pt idx="36">
                  <c:v>8</c:v>
                </c:pt>
                <c:pt idx="37">
                  <c:v>4</c:v>
                </c:pt>
                <c:pt idx="38">
                  <c:v>4</c:v>
                </c:pt>
                <c:pt idx="39">
                  <c:v>4</c:v>
                </c:pt>
                <c:pt idx="40">
                  <c:v>4</c:v>
                </c:pt>
                <c:pt idx="41">
                  <c:v>10</c:v>
                </c:pt>
                <c:pt idx="42">
                  <c:v>4</c:v>
                </c:pt>
                <c:pt idx="43">
                  <c:v>4</c:v>
                </c:pt>
                <c:pt idx="44">
                  <c:v>3</c:v>
                </c:pt>
                <c:pt idx="45">
                  <c:v>5</c:v>
                </c:pt>
                <c:pt idx="46">
                  <c:v>2</c:v>
                </c:pt>
                <c:pt idx="47">
                  <c:v>#N/A</c:v>
                </c:pt>
                <c:pt idx="48">
                  <c:v>6</c:v>
                </c:pt>
                <c:pt idx="49">
                  <c:v>5</c:v>
                </c:pt>
                <c:pt idx="50">
                  <c:v>1</c:v>
                </c:pt>
                <c:pt idx="51">
                  <c:v>1</c:v>
                </c:pt>
                <c:pt idx="52">
                  <c:v>#N/A</c:v>
                </c:pt>
                <c:pt idx="53">
                  <c:v>2</c:v>
                </c:pt>
                <c:pt idx="54">
                  <c:v>2</c:v>
                </c:pt>
                <c:pt idx="55">
                  <c:v>5</c:v>
                </c:pt>
                <c:pt idx="56">
                  <c:v>1</c:v>
                </c:pt>
                <c:pt idx="57">
                  <c:v>1</c:v>
                </c:pt>
                <c:pt idx="58">
                  <c:v>1</c:v>
                </c:pt>
                <c:pt idx="59">
                  <c:v>#N/A</c:v>
                </c:pt>
                <c:pt idx="60">
                  <c:v>1</c:v>
                </c:pt>
                <c:pt idx="61">
                  <c:v>#N/A</c:v>
                </c:pt>
                <c:pt idx="62">
                  <c:v>#N/A</c:v>
                </c:pt>
                <c:pt idx="63">
                  <c:v>2</c:v>
                </c:pt>
                <c:pt idx="64">
                  <c:v>1</c:v>
                </c:pt>
                <c:pt idx="65">
                  <c:v>#N/A</c:v>
                </c:pt>
                <c:pt idx="66">
                  <c:v>#N/A</c:v>
                </c:pt>
                <c:pt idx="67">
                  <c:v>#N/A</c:v>
                </c:pt>
                <c:pt idx="68">
                  <c:v>#N/A</c:v>
                </c:pt>
                <c:pt idx="69">
                  <c:v>#N/A</c:v>
                </c:pt>
                <c:pt idx="70">
                  <c:v>1</c:v>
                </c:pt>
                <c:pt idx="71">
                  <c:v>#N/A</c:v>
                </c:pt>
                <c:pt idx="72">
                  <c:v>#N/A</c:v>
                </c:pt>
                <c:pt idx="73">
                  <c:v>#N/A</c:v>
                </c:pt>
                <c:pt idx="74">
                  <c:v>#N/A</c:v>
                </c:pt>
                <c:pt idx="75">
                  <c:v>#N/A</c:v>
                </c:pt>
                <c:pt idx="76">
                  <c:v>1</c:v>
                </c:pt>
                <c:pt idx="77">
                  <c:v>#N/A</c:v>
                </c:pt>
                <c:pt idx="78">
                  <c:v>#N/A</c:v>
                </c:pt>
                <c:pt idx="79">
                  <c:v>#N/A</c:v>
                </c:pt>
                <c:pt idx="80">
                  <c:v>#N/A</c:v>
                </c:pt>
                <c:pt idx="81">
                  <c:v>#N/A</c:v>
                </c:pt>
                <c:pt idx="82">
                  <c:v>#N/A</c:v>
                </c:pt>
                <c:pt idx="83">
                  <c:v>#N/A</c:v>
                </c:pt>
                <c:pt idx="84">
                  <c:v>#N/A</c:v>
                </c:pt>
                <c:pt idx="85">
                  <c:v>#N/A</c:v>
                </c:pt>
                <c:pt idx="86">
                  <c:v>#N/A</c:v>
                </c:pt>
                <c:pt idx="87">
                  <c:v>#N/A</c:v>
                </c:pt>
                <c:pt idx="88">
                  <c:v>#N/A</c:v>
                </c:pt>
              </c:numCache>
            </c:numRef>
          </c:val>
          <c:smooth val="0"/>
          <c:extLst>
            <c:ext xmlns:c16="http://schemas.microsoft.com/office/drawing/2014/chart" uri="{C3380CC4-5D6E-409C-BE32-E72D297353CC}">
              <c16:uniqueId val="{00000001-C712-43F9-A0C7-C1A96DF1895A}"/>
            </c:ext>
          </c:extLst>
        </c:ser>
        <c:dLbls>
          <c:showLegendKey val="0"/>
          <c:showVal val="0"/>
          <c:showCatName val="0"/>
          <c:showSerName val="0"/>
          <c:showPercent val="0"/>
          <c:showBubbleSize val="0"/>
        </c:dLbls>
        <c:marker val="1"/>
        <c:smooth val="0"/>
        <c:axId val="460904008"/>
        <c:axId val="460892856"/>
      </c:lineChart>
      <c:catAx>
        <c:axId val="84710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107176"/>
        <c:crosses val="autoZero"/>
        <c:auto val="1"/>
        <c:lblAlgn val="ctr"/>
        <c:lblOffset val="100"/>
        <c:noMultiLvlLbl val="0"/>
      </c:catAx>
      <c:valAx>
        <c:axId val="847107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overall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102912"/>
        <c:crosses val="autoZero"/>
        <c:crossBetween val="between"/>
      </c:valAx>
      <c:valAx>
        <c:axId val="460892856"/>
        <c:scaling>
          <c:orientation val="minMax"/>
        </c:scaling>
        <c:delete val="0"/>
        <c:axPos val="r"/>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January</a:t>
                </a:r>
                <a:r>
                  <a:rPr lang="en-AU" baseline="0"/>
                  <a:t> to March 2020</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904008"/>
        <c:crosses val="max"/>
        <c:crossBetween val="between"/>
      </c:valAx>
      <c:catAx>
        <c:axId val="460904008"/>
        <c:scaling>
          <c:orientation val="minMax"/>
        </c:scaling>
        <c:delete val="1"/>
        <c:axPos val="b"/>
        <c:numFmt formatCode="General" sourceLinked="1"/>
        <c:majorTickMark val="out"/>
        <c:minorTickMark val="none"/>
        <c:tickLblPos val="nextTo"/>
        <c:crossAx val="46089285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NSCLC.xlsx]last nivo death corrected!PivotTable4</c:name>
    <c:fmtId val="14"/>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'last nivo death corrected'!$V$1:$V$2</c:f>
              <c:strCache>
                <c:ptCount val="1"/>
                <c:pt idx="0">
                  <c:v>Dead</c:v>
                </c:pt>
              </c:strCache>
            </c:strRef>
          </c:tx>
          <c:spPr>
            <a:ln w="28575" cap="rnd">
              <a:solidFill>
                <a:schemeClr val="accent1"/>
              </a:solidFill>
              <a:round/>
            </a:ln>
            <a:effectLst/>
          </c:spPr>
          <c:marker>
            <c:symbol val="none"/>
          </c:marker>
          <c:cat>
            <c:strRef>
              <c:f>'last nivo death corrected'!$U$3:$U$198</c:f>
              <c:strCache>
                <c:ptCount val="195"/>
                <c:pt idx="0">
                  <c:v>-14</c:v>
                </c:pt>
                <c:pt idx="1">
                  <c:v>-13</c:v>
                </c:pt>
                <c:pt idx="2">
                  <c:v>-12</c:v>
                </c:pt>
                <c:pt idx="3">
                  <c:v>-11</c:v>
                </c:pt>
                <c:pt idx="4">
                  <c:v>-10</c:v>
                </c:pt>
                <c:pt idx="5">
                  <c:v>-9</c:v>
                </c:pt>
                <c:pt idx="6">
                  <c:v>-8</c:v>
                </c:pt>
                <c:pt idx="7">
                  <c:v>-7</c:v>
                </c:pt>
                <c:pt idx="8">
                  <c:v>-6</c:v>
                </c:pt>
                <c:pt idx="9">
                  <c:v>-5</c:v>
                </c:pt>
                <c:pt idx="10">
                  <c:v>-4</c:v>
                </c:pt>
                <c:pt idx="11">
                  <c:v>-3</c:v>
                </c:pt>
                <c:pt idx="12">
                  <c:v>-2</c:v>
                </c:pt>
                <c:pt idx="13">
                  <c:v>-1</c:v>
                </c:pt>
                <c:pt idx="14">
                  <c:v>0</c:v>
                </c:pt>
                <c:pt idx="15">
                  <c:v>1</c:v>
                </c:pt>
                <c:pt idx="16">
                  <c:v>2</c:v>
                </c:pt>
                <c:pt idx="17">
                  <c:v>3</c:v>
                </c:pt>
                <c:pt idx="18">
                  <c:v>4</c:v>
                </c:pt>
                <c:pt idx="19">
                  <c:v>5</c:v>
                </c:pt>
                <c:pt idx="20">
                  <c:v>6</c:v>
                </c:pt>
                <c:pt idx="21">
                  <c:v>7</c:v>
                </c:pt>
                <c:pt idx="22">
                  <c:v>8</c:v>
                </c:pt>
                <c:pt idx="23">
                  <c:v>9</c:v>
                </c:pt>
                <c:pt idx="24">
                  <c:v>10</c:v>
                </c:pt>
                <c:pt idx="25">
                  <c:v>11</c:v>
                </c:pt>
                <c:pt idx="26">
                  <c:v>12</c:v>
                </c:pt>
                <c:pt idx="27">
                  <c:v>13</c:v>
                </c:pt>
                <c:pt idx="28">
                  <c:v>14</c:v>
                </c:pt>
                <c:pt idx="29">
                  <c:v>15</c:v>
                </c:pt>
                <c:pt idx="30">
                  <c:v>16</c:v>
                </c:pt>
                <c:pt idx="31">
                  <c:v>17</c:v>
                </c:pt>
                <c:pt idx="32">
                  <c:v>18</c:v>
                </c:pt>
                <c:pt idx="33">
                  <c:v>19</c:v>
                </c:pt>
                <c:pt idx="34">
                  <c:v>20</c:v>
                </c:pt>
                <c:pt idx="35">
                  <c:v>21</c:v>
                </c:pt>
                <c:pt idx="36">
                  <c:v>22</c:v>
                </c:pt>
                <c:pt idx="37">
                  <c:v>23</c:v>
                </c:pt>
                <c:pt idx="38">
                  <c:v>24</c:v>
                </c:pt>
                <c:pt idx="39">
                  <c:v>25</c:v>
                </c:pt>
                <c:pt idx="40">
                  <c:v>26</c:v>
                </c:pt>
                <c:pt idx="41">
                  <c:v>27</c:v>
                </c:pt>
                <c:pt idx="42">
                  <c:v>28</c:v>
                </c:pt>
                <c:pt idx="43">
                  <c:v>29</c:v>
                </c:pt>
                <c:pt idx="44">
                  <c:v>30</c:v>
                </c:pt>
                <c:pt idx="45">
                  <c:v>31</c:v>
                </c:pt>
                <c:pt idx="46">
                  <c:v>32</c:v>
                </c:pt>
                <c:pt idx="47">
                  <c:v>33</c:v>
                </c:pt>
                <c:pt idx="48">
                  <c:v>34</c:v>
                </c:pt>
                <c:pt idx="49">
                  <c:v>35</c:v>
                </c:pt>
                <c:pt idx="50">
                  <c:v>36</c:v>
                </c:pt>
                <c:pt idx="51">
                  <c:v>37</c:v>
                </c:pt>
                <c:pt idx="52">
                  <c:v>38</c:v>
                </c:pt>
                <c:pt idx="53">
                  <c:v>39</c:v>
                </c:pt>
                <c:pt idx="54">
                  <c:v>40</c:v>
                </c:pt>
                <c:pt idx="55">
                  <c:v>41</c:v>
                </c:pt>
                <c:pt idx="56">
                  <c:v>42</c:v>
                </c:pt>
                <c:pt idx="57">
                  <c:v>43</c:v>
                </c:pt>
                <c:pt idx="58">
                  <c:v>44</c:v>
                </c:pt>
                <c:pt idx="59">
                  <c:v>45</c:v>
                </c:pt>
                <c:pt idx="60">
                  <c:v>46</c:v>
                </c:pt>
                <c:pt idx="61">
                  <c:v>47</c:v>
                </c:pt>
                <c:pt idx="62">
                  <c:v>48</c:v>
                </c:pt>
                <c:pt idx="63">
                  <c:v>49</c:v>
                </c:pt>
                <c:pt idx="64">
                  <c:v>50</c:v>
                </c:pt>
                <c:pt idx="65">
                  <c:v>51</c:v>
                </c:pt>
                <c:pt idx="66">
                  <c:v>52</c:v>
                </c:pt>
                <c:pt idx="67">
                  <c:v>53</c:v>
                </c:pt>
                <c:pt idx="68">
                  <c:v>54</c:v>
                </c:pt>
                <c:pt idx="69">
                  <c:v>55</c:v>
                </c:pt>
                <c:pt idx="70">
                  <c:v>56</c:v>
                </c:pt>
                <c:pt idx="71">
                  <c:v>57</c:v>
                </c:pt>
                <c:pt idx="72">
                  <c:v>58</c:v>
                </c:pt>
                <c:pt idx="73">
                  <c:v>59</c:v>
                </c:pt>
                <c:pt idx="74">
                  <c:v>60</c:v>
                </c:pt>
                <c:pt idx="75">
                  <c:v>61</c:v>
                </c:pt>
                <c:pt idx="76">
                  <c:v>62</c:v>
                </c:pt>
                <c:pt idx="77">
                  <c:v>63</c:v>
                </c:pt>
                <c:pt idx="78">
                  <c:v>64</c:v>
                </c:pt>
                <c:pt idx="79">
                  <c:v>65</c:v>
                </c:pt>
                <c:pt idx="80">
                  <c:v>66</c:v>
                </c:pt>
                <c:pt idx="81">
                  <c:v>67</c:v>
                </c:pt>
                <c:pt idx="82">
                  <c:v>68</c:v>
                </c:pt>
                <c:pt idx="83">
                  <c:v>69</c:v>
                </c:pt>
                <c:pt idx="84">
                  <c:v>70</c:v>
                </c:pt>
                <c:pt idx="85">
                  <c:v>71</c:v>
                </c:pt>
                <c:pt idx="86">
                  <c:v>72</c:v>
                </c:pt>
                <c:pt idx="87">
                  <c:v>73</c:v>
                </c:pt>
                <c:pt idx="88">
                  <c:v>74</c:v>
                </c:pt>
                <c:pt idx="89">
                  <c:v>75</c:v>
                </c:pt>
                <c:pt idx="90">
                  <c:v>76</c:v>
                </c:pt>
                <c:pt idx="91">
                  <c:v>77</c:v>
                </c:pt>
                <c:pt idx="92">
                  <c:v>78</c:v>
                </c:pt>
                <c:pt idx="93">
                  <c:v>79</c:v>
                </c:pt>
                <c:pt idx="94">
                  <c:v>80</c:v>
                </c:pt>
                <c:pt idx="95">
                  <c:v>81</c:v>
                </c:pt>
                <c:pt idx="96">
                  <c:v>82</c:v>
                </c:pt>
                <c:pt idx="97">
                  <c:v>83</c:v>
                </c:pt>
                <c:pt idx="98">
                  <c:v>84</c:v>
                </c:pt>
                <c:pt idx="99">
                  <c:v>85</c:v>
                </c:pt>
                <c:pt idx="100">
                  <c:v>86</c:v>
                </c:pt>
                <c:pt idx="101">
                  <c:v>87</c:v>
                </c:pt>
                <c:pt idx="102">
                  <c:v>88</c:v>
                </c:pt>
                <c:pt idx="103">
                  <c:v>89</c:v>
                </c:pt>
                <c:pt idx="104">
                  <c:v>90</c:v>
                </c:pt>
                <c:pt idx="105">
                  <c:v>91</c:v>
                </c:pt>
                <c:pt idx="106">
                  <c:v>92</c:v>
                </c:pt>
                <c:pt idx="107">
                  <c:v>93</c:v>
                </c:pt>
                <c:pt idx="108">
                  <c:v>94</c:v>
                </c:pt>
                <c:pt idx="109">
                  <c:v>95</c:v>
                </c:pt>
                <c:pt idx="110">
                  <c:v>96</c:v>
                </c:pt>
                <c:pt idx="111">
                  <c:v>97</c:v>
                </c:pt>
                <c:pt idx="112">
                  <c:v>98</c:v>
                </c:pt>
                <c:pt idx="113">
                  <c:v>99</c:v>
                </c:pt>
                <c:pt idx="114">
                  <c:v>100</c:v>
                </c:pt>
                <c:pt idx="115">
                  <c:v>101</c:v>
                </c:pt>
                <c:pt idx="116">
                  <c:v>102</c:v>
                </c:pt>
                <c:pt idx="117">
                  <c:v>103</c:v>
                </c:pt>
                <c:pt idx="118">
                  <c:v>104</c:v>
                </c:pt>
                <c:pt idx="119">
                  <c:v>105</c:v>
                </c:pt>
                <c:pt idx="120">
                  <c:v>106</c:v>
                </c:pt>
                <c:pt idx="121">
                  <c:v>107</c:v>
                </c:pt>
                <c:pt idx="122">
                  <c:v>108</c:v>
                </c:pt>
                <c:pt idx="123">
                  <c:v>109</c:v>
                </c:pt>
                <c:pt idx="124">
                  <c:v>110</c:v>
                </c:pt>
                <c:pt idx="125">
                  <c:v>111</c:v>
                </c:pt>
                <c:pt idx="126">
                  <c:v>112</c:v>
                </c:pt>
                <c:pt idx="127">
                  <c:v>113</c:v>
                </c:pt>
                <c:pt idx="128">
                  <c:v>114</c:v>
                </c:pt>
                <c:pt idx="129">
                  <c:v>115</c:v>
                </c:pt>
                <c:pt idx="130">
                  <c:v>116</c:v>
                </c:pt>
                <c:pt idx="131">
                  <c:v>117</c:v>
                </c:pt>
                <c:pt idx="132">
                  <c:v>118</c:v>
                </c:pt>
                <c:pt idx="133">
                  <c:v>119</c:v>
                </c:pt>
                <c:pt idx="134">
                  <c:v>120</c:v>
                </c:pt>
                <c:pt idx="135">
                  <c:v>121</c:v>
                </c:pt>
                <c:pt idx="136">
                  <c:v>122</c:v>
                </c:pt>
                <c:pt idx="137">
                  <c:v>123</c:v>
                </c:pt>
                <c:pt idx="138">
                  <c:v>124</c:v>
                </c:pt>
                <c:pt idx="139">
                  <c:v>125</c:v>
                </c:pt>
                <c:pt idx="140">
                  <c:v>126</c:v>
                </c:pt>
                <c:pt idx="141">
                  <c:v>127</c:v>
                </c:pt>
                <c:pt idx="142">
                  <c:v>128</c:v>
                </c:pt>
                <c:pt idx="143">
                  <c:v>129</c:v>
                </c:pt>
                <c:pt idx="144">
                  <c:v>130</c:v>
                </c:pt>
                <c:pt idx="145">
                  <c:v>131</c:v>
                </c:pt>
                <c:pt idx="146">
                  <c:v>132</c:v>
                </c:pt>
                <c:pt idx="147">
                  <c:v>133</c:v>
                </c:pt>
                <c:pt idx="148">
                  <c:v>134</c:v>
                </c:pt>
                <c:pt idx="149">
                  <c:v>135</c:v>
                </c:pt>
                <c:pt idx="150">
                  <c:v>136</c:v>
                </c:pt>
                <c:pt idx="151">
                  <c:v>137</c:v>
                </c:pt>
                <c:pt idx="152">
                  <c:v>138</c:v>
                </c:pt>
                <c:pt idx="153">
                  <c:v>139</c:v>
                </c:pt>
                <c:pt idx="154">
                  <c:v>140</c:v>
                </c:pt>
                <c:pt idx="155">
                  <c:v>141</c:v>
                </c:pt>
                <c:pt idx="156">
                  <c:v>142</c:v>
                </c:pt>
                <c:pt idx="157">
                  <c:v>143</c:v>
                </c:pt>
                <c:pt idx="158">
                  <c:v>144</c:v>
                </c:pt>
                <c:pt idx="159">
                  <c:v>145</c:v>
                </c:pt>
                <c:pt idx="160">
                  <c:v>146</c:v>
                </c:pt>
                <c:pt idx="161">
                  <c:v>147</c:v>
                </c:pt>
                <c:pt idx="162">
                  <c:v>148</c:v>
                </c:pt>
                <c:pt idx="163">
                  <c:v>149</c:v>
                </c:pt>
                <c:pt idx="164">
                  <c:v>150</c:v>
                </c:pt>
                <c:pt idx="165">
                  <c:v>151</c:v>
                </c:pt>
                <c:pt idx="166">
                  <c:v>152</c:v>
                </c:pt>
                <c:pt idx="167">
                  <c:v>153</c:v>
                </c:pt>
                <c:pt idx="168">
                  <c:v>154</c:v>
                </c:pt>
                <c:pt idx="169">
                  <c:v>155</c:v>
                </c:pt>
                <c:pt idx="170">
                  <c:v>156</c:v>
                </c:pt>
                <c:pt idx="171">
                  <c:v>157</c:v>
                </c:pt>
                <c:pt idx="172">
                  <c:v>158</c:v>
                </c:pt>
                <c:pt idx="173">
                  <c:v>159</c:v>
                </c:pt>
                <c:pt idx="174">
                  <c:v>160</c:v>
                </c:pt>
                <c:pt idx="175">
                  <c:v>161</c:v>
                </c:pt>
                <c:pt idx="176">
                  <c:v>162</c:v>
                </c:pt>
                <c:pt idx="177">
                  <c:v>163</c:v>
                </c:pt>
                <c:pt idx="178">
                  <c:v>164</c:v>
                </c:pt>
                <c:pt idx="179">
                  <c:v>165</c:v>
                </c:pt>
                <c:pt idx="180">
                  <c:v>166</c:v>
                </c:pt>
                <c:pt idx="181">
                  <c:v>167</c:v>
                </c:pt>
                <c:pt idx="182">
                  <c:v>168</c:v>
                </c:pt>
                <c:pt idx="183">
                  <c:v>169</c:v>
                </c:pt>
                <c:pt idx="184">
                  <c:v>170</c:v>
                </c:pt>
                <c:pt idx="185">
                  <c:v>171</c:v>
                </c:pt>
                <c:pt idx="186">
                  <c:v>172</c:v>
                </c:pt>
                <c:pt idx="187">
                  <c:v>173</c:v>
                </c:pt>
                <c:pt idx="188">
                  <c:v>174</c:v>
                </c:pt>
                <c:pt idx="189">
                  <c:v>175</c:v>
                </c:pt>
                <c:pt idx="190">
                  <c:v>176</c:v>
                </c:pt>
                <c:pt idx="191">
                  <c:v>177</c:v>
                </c:pt>
                <c:pt idx="192">
                  <c:v>178</c:v>
                </c:pt>
                <c:pt idx="193">
                  <c:v>179</c:v>
                </c:pt>
                <c:pt idx="194">
                  <c:v>180</c:v>
                </c:pt>
              </c:strCache>
            </c:strRef>
          </c:cat>
          <c:val>
            <c:numRef>
              <c:f>'last nivo death corrected'!$V$3:$V$198</c:f>
              <c:numCache>
                <c:formatCode>General</c:formatCode>
                <c:ptCount val="195"/>
                <c:pt idx="0">
                  <c:v>5</c:v>
                </c:pt>
                <c:pt idx="1">
                  <c:v>5</c:v>
                </c:pt>
                <c:pt idx="2">
                  <c:v>5</c:v>
                </c:pt>
                <c:pt idx="3">
                  <c:v>5</c:v>
                </c:pt>
                <c:pt idx="4">
                  <c:v>5</c:v>
                </c:pt>
                <c:pt idx="5">
                  <c:v>5</c:v>
                </c:pt>
                <c:pt idx="6">
                  <c:v>5</c:v>
                </c:pt>
                <c:pt idx="7">
                  <c:v>5</c:v>
                </c:pt>
                <c:pt idx="8">
                  <c:v>5</c:v>
                </c:pt>
                <c:pt idx="9">
                  <c:v>6</c:v>
                </c:pt>
                <c:pt idx="10">
                  <c:v>8</c:v>
                </c:pt>
                <c:pt idx="11">
                  <c:v>13</c:v>
                </c:pt>
                <c:pt idx="12">
                  <c:v>18</c:v>
                </c:pt>
                <c:pt idx="13">
                  <c:v>14</c:v>
                </c:pt>
                <c:pt idx="14">
                  <c:v>13</c:v>
                </c:pt>
                <c:pt idx="15">
                  <c:v>23</c:v>
                </c:pt>
                <c:pt idx="16">
                  <c:v>30</c:v>
                </c:pt>
                <c:pt idx="17">
                  <c:v>29</c:v>
                </c:pt>
                <c:pt idx="18">
                  <c:v>30</c:v>
                </c:pt>
                <c:pt idx="19">
                  <c:v>32</c:v>
                </c:pt>
                <c:pt idx="20">
                  <c:v>33</c:v>
                </c:pt>
                <c:pt idx="21">
                  <c:v>31</c:v>
                </c:pt>
                <c:pt idx="22">
                  <c:v>40</c:v>
                </c:pt>
                <c:pt idx="23">
                  <c:v>39</c:v>
                </c:pt>
                <c:pt idx="24">
                  <c:v>54</c:v>
                </c:pt>
                <c:pt idx="25">
                  <c:v>35</c:v>
                </c:pt>
                <c:pt idx="26">
                  <c:v>48</c:v>
                </c:pt>
                <c:pt idx="27">
                  <c:v>34</c:v>
                </c:pt>
                <c:pt idx="28">
                  <c:v>40</c:v>
                </c:pt>
                <c:pt idx="29">
                  <c:v>49</c:v>
                </c:pt>
                <c:pt idx="30">
                  <c:v>43</c:v>
                </c:pt>
                <c:pt idx="31">
                  <c:v>41</c:v>
                </c:pt>
                <c:pt idx="32">
                  <c:v>34</c:v>
                </c:pt>
                <c:pt idx="33">
                  <c:v>27</c:v>
                </c:pt>
                <c:pt idx="34">
                  <c:v>36</c:v>
                </c:pt>
                <c:pt idx="35">
                  <c:v>26</c:v>
                </c:pt>
                <c:pt idx="36">
                  <c:v>31</c:v>
                </c:pt>
                <c:pt idx="37">
                  <c:v>26</c:v>
                </c:pt>
                <c:pt idx="38">
                  <c:v>32</c:v>
                </c:pt>
                <c:pt idx="39">
                  <c:v>27</c:v>
                </c:pt>
                <c:pt idx="40">
                  <c:v>26</c:v>
                </c:pt>
                <c:pt idx="41">
                  <c:v>26</c:v>
                </c:pt>
                <c:pt idx="42">
                  <c:v>30</c:v>
                </c:pt>
                <c:pt idx="43">
                  <c:v>24</c:v>
                </c:pt>
                <c:pt idx="44">
                  <c:v>29</c:v>
                </c:pt>
                <c:pt idx="45">
                  <c:v>27</c:v>
                </c:pt>
                <c:pt idx="46">
                  <c:v>27</c:v>
                </c:pt>
                <c:pt idx="47">
                  <c:v>31</c:v>
                </c:pt>
                <c:pt idx="48">
                  <c:v>21</c:v>
                </c:pt>
                <c:pt idx="49">
                  <c:v>23</c:v>
                </c:pt>
                <c:pt idx="50">
                  <c:v>21</c:v>
                </c:pt>
                <c:pt idx="51">
                  <c:v>24</c:v>
                </c:pt>
                <c:pt idx="52">
                  <c:v>22</c:v>
                </c:pt>
                <c:pt idx="53">
                  <c:v>22</c:v>
                </c:pt>
                <c:pt idx="54">
                  <c:v>17</c:v>
                </c:pt>
                <c:pt idx="55">
                  <c:v>12</c:v>
                </c:pt>
                <c:pt idx="56">
                  <c:v>19</c:v>
                </c:pt>
                <c:pt idx="57">
                  <c:v>20</c:v>
                </c:pt>
                <c:pt idx="58">
                  <c:v>21</c:v>
                </c:pt>
                <c:pt idx="59">
                  <c:v>21</c:v>
                </c:pt>
                <c:pt idx="60">
                  <c:v>18</c:v>
                </c:pt>
                <c:pt idx="61">
                  <c:v>9</c:v>
                </c:pt>
                <c:pt idx="62">
                  <c:v>21</c:v>
                </c:pt>
                <c:pt idx="63">
                  <c:v>18</c:v>
                </c:pt>
                <c:pt idx="64">
                  <c:v>13</c:v>
                </c:pt>
                <c:pt idx="65">
                  <c:v>16</c:v>
                </c:pt>
                <c:pt idx="66">
                  <c:v>20</c:v>
                </c:pt>
                <c:pt idx="67">
                  <c:v>13</c:v>
                </c:pt>
                <c:pt idx="68">
                  <c:v>15</c:v>
                </c:pt>
                <c:pt idx="69">
                  <c:v>16</c:v>
                </c:pt>
                <c:pt idx="70">
                  <c:v>11</c:v>
                </c:pt>
                <c:pt idx="71">
                  <c:v>7</c:v>
                </c:pt>
                <c:pt idx="72">
                  <c:v>25</c:v>
                </c:pt>
                <c:pt idx="73">
                  <c:v>8</c:v>
                </c:pt>
                <c:pt idx="74">
                  <c:v>22</c:v>
                </c:pt>
                <c:pt idx="75">
                  <c:v>13</c:v>
                </c:pt>
                <c:pt idx="76">
                  <c:v>11</c:v>
                </c:pt>
                <c:pt idx="77">
                  <c:v>9</c:v>
                </c:pt>
                <c:pt idx="78">
                  <c:v>14</c:v>
                </c:pt>
                <c:pt idx="79">
                  <c:v>12</c:v>
                </c:pt>
                <c:pt idx="80">
                  <c:v>17</c:v>
                </c:pt>
                <c:pt idx="81">
                  <c:v>13</c:v>
                </c:pt>
                <c:pt idx="82">
                  <c:v>16</c:v>
                </c:pt>
                <c:pt idx="83">
                  <c:v>12</c:v>
                </c:pt>
                <c:pt idx="84">
                  <c:v>8</c:v>
                </c:pt>
                <c:pt idx="85">
                  <c:v>17</c:v>
                </c:pt>
                <c:pt idx="86">
                  <c:v>7</c:v>
                </c:pt>
                <c:pt idx="87">
                  <c:v>11</c:v>
                </c:pt>
                <c:pt idx="88">
                  <c:v>9</c:v>
                </c:pt>
                <c:pt idx="89">
                  <c:v>9</c:v>
                </c:pt>
                <c:pt idx="90">
                  <c:v>11</c:v>
                </c:pt>
                <c:pt idx="91">
                  <c:v>9</c:v>
                </c:pt>
                <c:pt idx="92">
                  <c:v>5</c:v>
                </c:pt>
                <c:pt idx="93">
                  <c:v>11</c:v>
                </c:pt>
                <c:pt idx="94">
                  <c:v>6</c:v>
                </c:pt>
                <c:pt idx="95">
                  <c:v>9</c:v>
                </c:pt>
                <c:pt idx="96">
                  <c:v>12</c:v>
                </c:pt>
                <c:pt idx="97">
                  <c:v>12</c:v>
                </c:pt>
                <c:pt idx="98">
                  <c:v>8</c:v>
                </c:pt>
                <c:pt idx="99">
                  <c:v>10</c:v>
                </c:pt>
                <c:pt idx="100">
                  <c:v>11</c:v>
                </c:pt>
                <c:pt idx="101">
                  <c:v>5</c:v>
                </c:pt>
                <c:pt idx="102">
                  <c:v>7</c:v>
                </c:pt>
                <c:pt idx="103">
                  <c:v>9</c:v>
                </c:pt>
                <c:pt idx="104">
                  <c:v>8</c:v>
                </c:pt>
                <c:pt idx="105">
                  <c:v>9</c:v>
                </c:pt>
                <c:pt idx="106">
                  <c:v>6</c:v>
                </c:pt>
                <c:pt idx="107">
                  <c:v>5</c:v>
                </c:pt>
                <c:pt idx="108">
                  <c:v>10</c:v>
                </c:pt>
                <c:pt idx="109">
                  <c:v>13</c:v>
                </c:pt>
                <c:pt idx="110">
                  <c:v>5</c:v>
                </c:pt>
                <c:pt idx="111">
                  <c:v>9</c:v>
                </c:pt>
                <c:pt idx="112">
                  <c:v>5</c:v>
                </c:pt>
                <c:pt idx="113">
                  <c:v>7</c:v>
                </c:pt>
                <c:pt idx="114">
                  <c:v>9</c:v>
                </c:pt>
                <c:pt idx="115">
                  <c:v>8</c:v>
                </c:pt>
                <c:pt idx="116">
                  <c:v>8</c:v>
                </c:pt>
                <c:pt idx="117">
                  <c:v>12</c:v>
                </c:pt>
                <c:pt idx="118">
                  <c:v>5</c:v>
                </c:pt>
                <c:pt idx="119">
                  <c:v>5</c:v>
                </c:pt>
                <c:pt idx="120">
                  <c:v>7</c:v>
                </c:pt>
                <c:pt idx="121">
                  <c:v>7</c:v>
                </c:pt>
                <c:pt idx="122">
                  <c:v>9</c:v>
                </c:pt>
                <c:pt idx="123">
                  <c:v>8</c:v>
                </c:pt>
                <c:pt idx="124">
                  <c:v>5</c:v>
                </c:pt>
                <c:pt idx="125">
                  <c:v>5</c:v>
                </c:pt>
                <c:pt idx="126">
                  <c:v>5</c:v>
                </c:pt>
                <c:pt idx="127">
                  <c:v>5</c:v>
                </c:pt>
                <c:pt idx="128">
                  <c:v>6</c:v>
                </c:pt>
                <c:pt idx="129">
                  <c:v>9</c:v>
                </c:pt>
                <c:pt idx="130">
                  <c:v>5</c:v>
                </c:pt>
                <c:pt idx="131">
                  <c:v>5</c:v>
                </c:pt>
                <c:pt idx="132">
                  <c:v>9</c:v>
                </c:pt>
                <c:pt idx="133">
                  <c:v>8</c:v>
                </c:pt>
                <c:pt idx="134">
                  <c:v>6</c:v>
                </c:pt>
                <c:pt idx="135">
                  <c:v>5</c:v>
                </c:pt>
                <c:pt idx="136">
                  <c:v>5</c:v>
                </c:pt>
                <c:pt idx="137">
                  <c:v>7</c:v>
                </c:pt>
                <c:pt idx="138">
                  <c:v>7</c:v>
                </c:pt>
                <c:pt idx="139">
                  <c:v>7</c:v>
                </c:pt>
                <c:pt idx="140">
                  <c:v>9</c:v>
                </c:pt>
                <c:pt idx="141">
                  <c:v>7</c:v>
                </c:pt>
                <c:pt idx="142">
                  <c:v>5</c:v>
                </c:pt>
                <c:pt idx="143">
                  <c:v>6</c:v>
                </c:pt>
                <c:pt idx="144">
                  <c:v>5</c:v>
                </c:pt>
                <c:pt idx="145">
                  <c:v>5</c:v>
                </c:pt>
                <c:pt idx="146">
                  <c:v>11</c:v>
                </c:pt>
                <c:pt idx="147">
                  <c:v>11</c:v>
                </c:pt>
                <c:pt idx="148">
                  <c:v>7</c:v>
                </c:pt>
                <c:pt idx="149">
                  <c:v>5</c:v>
                </c:pt>
                <c:pt idx="150">
                  <c:v>5</c:v>
                </c:pt>
                <c:pt idx="151">
                  <c:v>5</c:v>
                </c:pt>
                <c:pt idx="152">
                  <c:v>6</c:v>
                </c:pt>
                <c:pt idx="153">
                  <c:v>5</c:v>
                </c:pt>
                <c:pt idx="154">
                  <c:v>9</c:v>
                </c:pt>
                <c:pt idx="155">
                  <c:v>5</c:v>
                </c:pt>
                <c:pt idx="156">
                  <c:v>5</c:v>
                </c:pt>
                <c:pt idx="157">
                  <c:v>5</c:v>
                </c:pt>
                <c:pt idx="158">
                  <c:v>5</c:v>
                </c:pt>
                <c:pt idx="159">
                  <c:v>5</c:v>
                </c:pt>
                <c:pt idx="160">
                  <c:v>7</c:v>
                </c:pt>
                <c:pt idx="161">
                  <c:v>9</c:v>
                </c:pt>
                <c:pt idx="162">
                  <c:v>5</c:v>
                </c:pt>
                <c:pt idx="163">
                  <c:v>7</c:v>
                </c:pt>
                <c:pt idx="164">
                  <c:v>5</c:v>
                </c:pt>
                <c:pt idx="165">
                  <c:v>5</c:v>
                </c:pt>
                <c:pt idx="166">
                  <c:v>7</c:v>
                </c:pt>
                <c:pt idx="167">
                  <c:v>9</c:v>
                </c:pt>
                <c:pt idx="168">
                  <c:v>7</c:v>
                </c:pt>
                <c:pt idx="169">
                  <c:v>5</c:v>
                </c:pt>
                <c:pt idx="170">
                  <c:v>5</c:v>
                </c:pt>
                <c:pt idx="171">
                  <c:v>6</c:v>
                </c:pt>
                <c:pt idx="172">
                  <c:v>5</c:v>
                </c:pt>
                <c:pt idx="173">
                  <c:v>6</c:v>
                </c:pt>
                <c:pt idx="174">
                  <c:v>5</c:v>
                </c:pt>
                <c:pt idx="175">
                  <c:v>7</c:v>
                </c:pt>
                <c:pt idx="176">
                  <c:v>5</c:v>
                </c:pt>
                <c:pt idx="177">
                  <c:v>5</c:v>
                </c:pt>
                <c:pt idx="178">
                  <c:v>5</c:v>
                </c:pt>
                <c:pt idx="179">
                  <c:v>7</c:v>
                </c:pt>
                <c:pt idx="180">
                  <c:v>7</c:v>
                </c:pt>
                <c:pt idx="181">
                  <c:v>6</c:v>
                </c:pt>
                <c:pt idx="182">
                  <c:v>5</c:v>
                </c:pt>
                <c:pt idx="183">
                  <c:v>5</c:v>
                </c:pt>
                <c:pt idx="184">
                  <c:v>6</c:v>
                </c:pt>
                <c:pt idx="185">
                  <c:v>5</c:v>
                </c:pt>
                <c:pt idx="186">
                  <c:v>6</c:v>
                </c:pt>
                <c:pt idx="187">
                  <c:v>8</c:v>
                </c:pt>
                <c:pt idx="188">
                  <c:v>5</c:v>
                </c:pt>
                <c:pt idx="189">
                  <c:v>6</c:v>
                </c:pt>
                <c:pt idx="190">
                  <c:v>6</c:v>
                </c:pt>
                <c:pt idx="191">
                  <c:v>5</c:v>
                </c:pt>
                <c:pt idx="192">
                  <c:v>5</c:v>
                </c:pt>
                <c:pt idx="193">
                  <c:v>7</c:v>
                </c:pt>
                <c:pt idx="194">
                  <c:v>5</c:v>
                </c:pt>
              </c:numCache>
            </c:numRef>
          </c:val>
          <c:smooth val="0"/>
          <c:extLst>
            <c:ext xmlns:c16="http://schemas.microsoft.com/office/drawing/2014/chart" uri="{C3380CC4-5D6E-409C-BE32-E72D297353CC}">
              <c16:uniqueId val="{00000000-F0E2-45E9-9995-74A36D809733}"/>
            </c:ext>
          </c:extLst>
        </c:ser>
        <c:dLbls>
          <c:showLegendKey val="0"/>
          <c:showVal val="0"/>
          <c:showCatName val="0"/>
          <c:showSerName val="0"/>
          <c:showPercent val="0"/>
          <c:showBubbleSize val="0"/>
        </c:dLbls>
        <c:smooth val="0"/>
        <c:axId val="900473984"/>
        <c:axId val="900473656"/>
      </c:lineChart>
      <c:catAx>
        <c:axId val="90047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Time between last nivolumab prescription</a:t>
                </a:r>
                <a:r>
                  <a:rPr lang="en-AU" baseline="0"/>
                  <a:t> and date of death</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473656"/>
        <c:crosses val="autoZero"/>
        <c:auto val="1"/>
        <c:lblAlgn val="ctr"/>
        <c:lblOffset val="100"/>
        <c:noMultiLvlLbl val="0"/>
      </c:catAx>
      <c:valAx>
        <c:axId val="900473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47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NSCLC.xlsx]PRD2!PivotTable4</c:name>
    <c:fmtId val="24"/>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'PRD2'!$K$1:$K$2</c:f>
              <c:strCache>
                <c:ptCount val="1"/>
                <c:pt idx="0">
                  <c:v>ATEZOLIZUMAB</c:v>
                </c:pt>
              </c:strCache>
            </c:strRef>
          </c:tx>
          <c:spPr>
            <a:ln w="28575" cap="rnd">
              <a:solidFill>
                <a:schemeClr val="accent1"/>
              </a:solidFill>
              <a:round/>
            </a:ln>
            <a:effectLst/>
          </c:spPr>
          <c:marker>
            <c:symbol val="none"/>
          </c:marker>
          <c:cat>
            <c:strRef>
              <c:f>'PRD2'!$J$3:$J$35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'PRD2'!$K$3:$K$35</c:f>
              <c:numCache>
                <c:formatCode>General</c:formatCode>
                <c:ptCount val="32"/>
                <c:pt idx="8">
                  <c:v>23</c:v>
                </c:pt>
                <c:pt idx="9">
                  <c:v>85</c:v>
                </c:pt>
                <c:pt idx="10">
                  <c:v>116</c:v>
                </c:pt>
                <c:pt idx="11">
                  <c:v>149</c:v>
                </c:pt>
                <c:pt idx="12">
                  <c:v>197</c:v>
                </c:pt>
                <c:pt idx="13">
                  <c:v>193</c:v>
                </c:pt>
                <c:pt idx="14">
                  <c:v>228</c:v>
                </c:pt>
                <c:pt idx="15">
                  <c:v>246</c:v>
                </c:pt>
                <c:pt idx="16">
                  <c:v>244</c:v>
                </c:pt>
                <c:pt idx="17">
                  <c:v>277</c:v>
                </c:pt>
                <c:pt idx="18">
                  <c:v>280</c:v>
                </c:pt>
                <c:pt idx="19">
                  <c:v>281</c:v>
                </c:pt>
                <c:pt idx="20">
                  <c:v>279</c:v>
                </c:pt>
                <c:pt idx="21">
                  <c:v>290</c:v>
                </c:pt>
                <c:pt idx="22">
                  <c:v>285</c:v>
                </c:pt>
                <c:pt idx="23">
                  <c:v>310</c:v>
                </c:pt>
                <c:pt idx="24">
                  <c:v>310</c:v>
                </c:pt>
                <c:pt idx="25">
                  <c:v>303</c:v>
                </c:pt>
                <c:pt idx="26">
                  <c:v>439</c:v>
                </c:pt>
                <c:pt idx="27">
                  <c:v>483</c:v>
                </c:pt>
                <c:pt idx="28">
                  <c:v>487</c:v>
                </c:pt>
                <c:pt idx="29">
                  <c:v>495</c:v>
                </c:pt>
                <c:pt idx="30">
                  <c:v>462</c:v>
                </c:pt>
                <c:pt idx="31">
                  <c:v>443</c:v>
                </c:pt>
              </c:numCache>
            </c:numRef>
          </c:val>
          <c:smooth val="0"/>
          <c:extLst>
            <c:ext xmlns:c16="http://schemas.microsoft.com/office/drawing/2014/chart" uri="{C3380CC4-5D6E-409C-BE32-E72D297353CC}">
              <c16:uniqueId val="{00000000-686D-4AAB-8ECB-A482C5B9BC39}"/>
            </c:ext>
          </c:extLst>
        </c:ser>
        <c:ser>
          <c:idx val="1"/>
          <c:order val="1"/>
          <c:tx>
            <c:strRef>
              <c:f>'PRD2'!$L$1:$L$2</c:f>
              <c:strCache>
                <c:ptCount val="1"/>
                <c:pt idx="0">
                  <c:v>DURVALUMAB</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'PRD2'!$J$3:$J$35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'PRD2'!$L$3:$L$35</c:f>
              <c:numCache>
                <c:formatCode>General</c:formatCode>
                <c:ptCount val="32"/>
                <c:pt idx="31">
                  <c:v>337</c:v>
                </c:pt>
              </c:numCache>
            </c:numRef>
          </c:val>
          <c:smooth val="0"/>
          <c:extLst>
            <c:ext xmlns:c16="http://schemas.microsoft.com/office/drawing/2014/chart" uri="{C3380CC4-5D6E-409C-BE32-E72D297353CC}">
              <c16:uniqueId val="{00000001-686D-4AAB-8ECB-A482C5B9BC39}"/>
            </c:ext>
          </c:extLst>
        </c:ser>
        <c:ser>
          <c:idx val="2"/>
          <c:order val="2"/>
          <c:tx>
            <c:strRef>
              <c:f>'PRD2'!$M$1:$M$2</c:f>
              <c:strCache>
                <c:ptCount val="1"/>
                <c:pt idx="0">
                  <c:v>NIVOLUMAB</c:v>
                </c:pt>
              </c:strCache>
            </c:strRef>
          </c:tx>
          <c:spPr>
            <a:ln w="28575" cap="rnd">
              <a:solidFill>
                <a:schemeClr val="accent3"/>
              </a:solidFill>
              <a:round/>
            </a:ln>
            <a:effectLst/>
          </c:spPr>
          <c:marker>
            <c:symbol val="none"/>
          </c:marker>
          <c:cat>
            <c:strRef>
              <c:f>'PRD2'!$J$3:$J$35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'PRD2'!$M$3:$M$35</c:f>
              <c:numCache>
                <c:formatCode>General</c:formatCode>
                <c:ptCount val="32"/>
                <c:pt idx="0">
                  <c:v>1286</c:v>
                </c:pt>
                <c:pt idx="1">
                  <c:v>1378</c:v>
                </c:pt>
                <c:pt idx="2">
                  <c:v>1455</c:v>
                </c:pt>
                <c:pt idx="3">
                  <c:v>1520</c:v>
                </c:pt>
                <c:pt idx="4">
                  <c:v>1494</c:v>
                </c:pt>
                <c:pt idx="5">
                  <c:v>1563</c:v>
                </c:pt>
                <c:pt idx="6">
                  <c:v>1570</c:v>
                </c:pt>
                <c:pt idx="7">
                  <c:v>1607</c:v>
                </c:pt>
                <c:pt idx="8">
                  <c:v>1565</c:v>
                </c:pt>
                <c:pt idx="9">
                  <c:v>1637</c:v>
                </c:pt>
                <c:pt idx="10">
                  <c:v>1565</c:v>
                </c:pt>
                <c:pt idx="11">
                  <c:v>1516</c:v>
                </c:pt>
                <c:pt idx="12">
                  <c:v>1511</c:v>
                </c:pt>
                <c:pt idx="13">
                  <c:v>1469</c:v>
                </c:pt>
                <c:pt idx="14">
                  <c:v>1452</c:v>
                </c:pt>
                <c:pt idx="15">
                  <c:v>1378</c:v>
                </c:pt>
                <c:pt idx="16">
                  <c:v>1305</c:v>
                </c:pt>
                <c:pt idx="17">
                  <c:v>1296</c:v>
                </c:pt>
                <c:pt idx="18">
                  <c:v>1262</c:v>
                </c:pt>
                <c:pt idx="19">
                  <c:v>1259</c:v>
                </c:pt>
                <c:pt idx="20">
                  <c:v>1201</c:v>
                </c:pt>
                <c:pt idx="21">
                  <c:v>1226</c:v>
                </c:pt>
                <c:pt idx="22">
                  <c:v>1159</c:v>
                </c:pt>
                <c:pt idx="23">
                  <c:v>1140</c:v>
                </c:pt>
                <c:pt idx="24">
                  <c:v>1122</c:v>
                </c:pt>
                <c:pt idx="25">
                  <c:v>1094</c:v>
                </c:pt>
                <c:pt idx="26">
                  <c:v>1083</c:v>
                </c:pt>
                <c:pt idx="27">
                  <c:v>1054</c:v>
                </c:pt>
                <c:pt idx="28">
                  <c:v>1007</c:v>
                </c:pt>
                <c:pt idx="29">
                  <c:v>1022</c:v>
                </c:pt>
                <c:pt idx="30">
                  <c:v>971</c:v>
                </c:pt>
                <c:pt idx="31">
                  <c:v>929</c:v>
                </c:pt>
              </c:numCache>
            </c:numRef>
          </c:val>
          <c:smooth val="0"/>
          <c:extLst>
            <c:ext xmlns:c16="http://schemas.microsoft.com/office/drawing/2014/chart" uri="{C3380CC4-5D6E-409C-BE32-E72D297353CC}">
              <c16:uniqueId val="{00000002-686D-4AAB-8ECB-A482C5B9BC39}"/>
            </c:ext>
          </c:extLst>
        </c:ser>
        <c:ser>
          <c:idx val="3"/>
          <c:order val="3"/>
          <c:tx>
            <c:strRef>
              <c:f>'PRD2'!$N$1:$N$2</c:f>
              <c:strCache>
                <c:ptCount val="1"/>
                <c:pt idx="0">
                  <c:v>PEMBROLIZUMAB</c:v>
                </c:pt>
              </c:strCache>
            </c:strRef>
          </c:tx>
          <c:spPr>
            <a:ln w="28575" cap="rnd">
              <a:solidFill>
                <a:schemeClr val="accent4"/>
              </a:solidFill>
              <a:round/>
            </a:ln>
            <a:effectLst/>
          </c:spPr>
          <c:marker>
            <c:symbol val="none"/>
          </c:marker>
          <c:cat>
            <c:strRef>
              <c:f>'PRD2'!$J$3:$J$35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'PRD2'!$N$3:$N$35</c:f>
              <c:numCache>
                <c:formatCode>General</c:formatCode>
                <c:ptCount val="32"/>
                <c:pt idx="15">
                  <c:v>327</c:v>
                </c:pt>
                <c:pt idx="16">
                  <c:v>475</c:v>
                </c:pt>
                <c:pt idx="17">
                  <c:v>533</c:v>
                </c:pt>
                <c:pt idx="18">
                  <c:v>584</c:v>
                </c:pt>
                <c:pt idx="19">
                  <c:v>617</c:v>
                </c:pt>
                <c:pt idx="20">
                  <c:v>647</c:v>
                </c:pt>
                <c:pt idx="21">
                  <c:v>689</c:v>
                </c:pt>
                <c:pt idx="22">
                  <c:v>705</c:v>
                </c:pt>
                <c:pt idx="23">
                  <c:v>708</c:v>
                </c:pt>
                <c:pt idx="24">
                  <c:v>712</c:v>
                </c:pt>
                <c:pt idx="25">
                  <c:v>726</c:v>
                </c:pt>
                <c:pt idx="26">
                  <c:v>777</c:v>
                </c:pt>
                <c:pt idx="27">
                  <c:v>794</c:v>
                </c:pt>
                <c:pt idx="28">
                  <c:v>1124</c:v>
                </c:pt>
                <c:pt idx="29">
                  <c:v>1360</c:v>
                </c:pt>
                <c:pt idx="30">
                  <c:v>1419</c:v>
                </c:pt>
                <c:pt idx="31">
                  <c:v>1451</c:v>
                </c:pt>
              </c:numCache>
            </c:numRef>
          </c:val>
          <c:smooth val="0"/>
          <c:extLst>
            <c:ext xmlns:c16="http://schemas.microsoft.com/office/drawing/2014/chart" uri="{C3380CC4-5D6E-409C-BE32-E72D297353CC}">
              <c16:uniqueId val="{00000003-686D-4AAB-8ECB-A482C5B9BC39}"/>
            </c:ext>
          </c:extLst>
        </c:ser>
        <c:ser>
          <c:idx val="4"/>
          <c:order val="4"/>
          <c:tx>
            <c:strRef>
              <c:f>'PRD2'!$O$1:$O$2</c:f>
              <c:strCache>
                <c:ptCount val="1"/>
                <c:pt idx="0">
                  <c:v>Total </c:v>
                </c:pt>
              </c:strCache>
            </c:strRef>
          </c:tx>
          <c:spPr>
            <a:ln w="28575" cap="rnd">
              <a:solidFill>
                <a:schemeClr val="accent5"/>
              </a:solidFill>
              <a:round/>
            </a:ln>
            <a:effectLst/>
          </c:spPr>
          <c:marker>
            <c:symbol val="none"/>
          </c:marker>
          <c:cat>
            <c:strRef>
              <c:f>'PRD2'!$J$3:$J$35</c:f>
              <c:strCache>
                <c:ptCount val="32"/>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pt idx="29">
                  <c:v>202001</c:v>
                </c:pt>
                <c:pt idx="30">
                  <c:v>202002</c:v>
                </c:pt>
                <c:pt idx="31">
                  <c:v>202003</c:v>
                </c:pt>
              </c:strCache>
            </c:strRef>
          </c:cat>
          <c:val>
            <c:numRef>
              <c:f>'PRD2'!$O$3:$O$35</c:f>
              <c:numCache>
                <c:formatCode>General</c:formatCode>
                <c:ptCount val="32"/>
                <c:pt idx="0">
                  <c:v>1286</c:v>
                </c:pt>
                <c:pt idx="1">
                  <c:v>1378</c:v>
                </c:pt>
                <c:pt idx="2">
                  <c:v>1455</c:v>
                </c:pt>
                <c:pt idx="3">
                  <c:v>1520</c:v>
                </c:pt>
                <c:pt idx="4">
                  <c:v>1494</c:v>
                </c:pt>
                <c:pt idx="5">
                  <c:v>1563</c:v>
                </c:pt>
                <c:pt idx="6">
                  <c:v>1570</c:v>
                </c:pt>
                <c:pt idx="7">
                  <c:v>1607</c:v>
                </c:pt>
                <c:pt idx="8">
                  <c:v>1588</c:v>
                </c:pt>
                <c:pt idx="9">
                  <c:v>1722</c:v>
                </c:pt>
                <c:pt idx="10">
                  <c:v>1681</c:v>
                </c:pt>
                <c:pt idx="11">
                  <c:v>1665</c:v>
                </c:pt>
                <c:pt idx="12">
                  <c:v>1708</c:v>
                </c:pt>
                <c:pt idx="13">
                  <c:v>1662</c:v>
                </c:pt>
                <c:pt idx="14">
                  <c:v>1680</c:v>
                </c:pt>
                <c:pt idx="15">
                  <c:v>1951</c:v>
                </c:pt>
                <c:pt idx="16">
                  <c:v>2024</c:v>
                </c:pt>
                <c:pt idx="17">
                  <c:v>2106</c:v>
                </c:pt>
                <c:pt idx="18">
                  <c:v>2126</c:v>
                </c:pt>
                <c:pt idx="19">
                  <c:v>2157</c:v>
                </c:pt>
                <c:pt idx="20">
                  <c:v>2127</c:v>
                </c:pt>
                <c:pt idx="21">
                  <c:v>2205</c:v>
                </c:pt>
                <c:pt idx="22">
                  <c:v>2149</c:v>
                </c:pt>
                <c:pt idx="23">
                  <c:v>2158</c:v>
                </c:pt>
                <c:pt idx="24">
                  <c:v>2144</c:v>
                </c:pt>
                <c:pt idx="25">
                  <c:v>2123</c:v>
                </c:pt>
                <c:pt idx="26">
                  <c:v>2299</c:v>
                </c:pt>
                <c:pt idx="27">
                  <c:v>2331</c:v>
                </c:pt>
                <c:pt idx="28">
                  <c:v>2618</c:v>
                </c:pt>
                <c:pt idx="29">
                  <c:v>2877</c:v>
                </c:pt>
                <c:pt idx="30">
                  <c:v>2852</c:v>
                </c:pt>
                <c:pt idx="31">
                  <c:v>3160</c:v>
                </c:pt>
              </c:numCache>
            </c:numRef>
          </c:val>
          <c:smooth val="0"/>
          <c:extLst>
            <c:ext xmlns:c16="http://schemas.microsoft.com/office/drawing/2014/chart" uri="{C3380CC4-5D6E-409C-BE32-E72D297353CC}">
              <c16:uniqueId val="{00000004-686D-4AAB-8ECB-A482C5B9BC39}"/>
            </c:ext>
          </c:extLst>
        </c:ser>
        <c:dLbls>
          <c:showLegendKey val="0"/>
          <c:showVal val="0"/>
          <c:showCatName val="0"/>
          <c:showSerName val="0"/>
          <c:showPercent val="0"/>
          <c:showBubbleSize val="0"/>
        </c:dLbls>
        <c:smooth val="0"/>
        <c:axId val="909554808"/>
        <c:axId val="909555792"/>
      </c:lineChart>
      <c:catAx>
        <c:axId val="909554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555792"/>
        <c:crosses val="autoZero"/>
        <c:auto val="1"/>
        <c:lblAlgn val="ctr"/>
        <c:lblOffset val="100"/>
        <c:noMultiLvlLbl val="0"/>
      </c:catAx>
      <c:valAx>
        <c:axId val="90955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554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[D1220 Nivolumab for NSCLC.xlsx]chemo 201001!PivotTable2</c:name>
    <c:fmtId val="14"/>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'chemo 201001'!$W$1:$W$2</c:f>
              <c:strCache>
                <c:ptCount val="1"/>
                <c:pt idx="0">
                  <c:v>NIVOLUMAB</c:v>
                </c:pt>
              </c:strCache>
            </c:strRef>
          </c:tx>
          <c:spPr>
            <a:ln w="28575" cap="rnd">
              <a:solidFill>
                <a:schemeClr val="accent1"/>
              </a:solidFill>
              <a:round/>
            </a:ln>
            <a:effectLst/>
          </c:spPr>
          <c:marker>
            <c:symbol val="none"/>
          </c:marker>
          <c:cat>
            <c:strRef>
              <c:f>'chemo 201001'!$V$3:$V$126</c:f>
              <c:strCache>
                <c:ptCount val="123"/>
                <c:pt idx="0">
                  <c:v>201001</c:v>
                </c:pt>
                <c:pt idx="1">
                  <c:v>201002</c:v>
                </c:pt>
                <c:pt idx="2">
                  <c:v>201003</c:v>
                </c:pt>
                <c:pt idx="3">
                  <c:v>201004</c:v>
                </c:pt>
                <c:pt idx="4">
                  <c:v>201005</c:v>
                </c:pt>
                <c:pt idx="5">
                  <c:v>201006</c:v>
                </c:pt>
                <c:pt idx="6">
                  <c:v>201007</c:v>
                </c:pt>
                <c:pt idx="7">
                  <c:v>201008</c:v>
                </c:pt>
                <c:pt idx="8">
                  <c:v>201009</c:v>
                </c:pt>
                <c:pt idx="9">
                  <c:v>201010</c:v>
                </c:pt>
                <c:pt idx="10">
                  <c:v>201011</c:v>
                </c:pt>
                <c:pt idx="11">
                  <c:v>201012</c:v>
                </c:pt>
                <c:pt idx="12">
                  <c:v>201101</c:v>
                </c:pt>
                <c:pt idx="13">
                  <c:v>201102</c:v>
                </c:pt>
                <c:pt idx="14">
                  <c:v>201103</c:v>
                </c:pt>
                <c:pt idx="15">
                  <c:v>201104</c:v>
                </c:pt>
                <c:pt idx="16">
                  <c:v>201105</c:v>
                </c:pt>
                <c:pt idx="17">
                  <c:v>201106</c:v>
                </c:pt>
                <c:pt idx="18">
                  <c:v>201107</c:v>
                </c:pt>
                <c:pt idx="19">
                  <c:v>201108</c:v>
                </c:pt>
                <c:pt idx="20">
                  <c:v>201109</c:v>
                </c:pt>
                <c:pt idx="21">
                  <c:v>201110</c:v>
                </c:pt>
                <c:pt idx="22">
                  <c:v>201111</c:v>
                </c:pt>
                <c:pt idx="23">
                  <c:v>201112</c:v>
                </c:pt>
                <c:pt idx="24">
                  <c:v>201201</c:v>
                </c:pt>
                <c:pt idx="25">
                  <c:v>201202</c:v>
                </c:pt>
                <c:pt idx="26">
                  <c:v>201203</c:v>
                </c:pt>
                <c:pt idx="27">
                  <c:v>201204</c:v>
                </c:pt>
                <c:pt idx="28">
                  <c:v>201205</c:v>
                </c:pt>
                <c:pt idx="29">
                  <c:v>201206</c:v>
                </c:pt>
                <c:pt idx="30">
                  <c:v>201207</c:v>
                </c:pt>
                <c:pt idx="31">
                  <c:v>201208</c:v>
                </c:pt>
                <c:pt idx="32">
                  <c:v>201209</c:v>
                </c:pt>
                <c:pt idx="33">
                  <c:v>201210</c:v>
                </c:pt>
                <c:pt idx="34">
                  <c:v>201211</c:v>
                </c:pt>
                <c:pt idx="35">
                  <c:v>201212</c:v>
                </c:pt>
                <c:pt idx="36">
                  <c:v>201301</c:v>
                </c:pt>
                <c:pt idx="37">
                  <c:v>201302</c:v>
                </c:pt>
                <c:pt idx="38">
                  <c:v>201303</c:v>
                </c:pt>
                <c:pt idx="39">
                  <c:v>201304</c:v>
                </c:pt>
                <c:pt idx="40">
                  <c:v>201305</c:v>
                </c:pt>
                <c:pt idx="41">
                  <c:v>201306</c:v>
                </c:pt>
                <c:pt idx="42">
                  <c:v>201307</c:v>
                </c:pt>
                <c:pt idx="43">
                  <c:v>201308</c:v>
                </c:pt>
                <c:pt idx="44">
                  <c:v>201309</c:v>
                </c:pt>
                <c:pt idx="45">
                  <c:v>201310</c:v>
                </c:pt>
                <c:pt idx="46">
                  <c:v>201311</c:v>
                </c:pt>
                <c:pt idx="47">
                  <c:v>201312</c:v>
                </c:pt>
                <c:pt idx="48">
                  <c:v>201401</c:v>
                </c:pt>
                <c:pt idx="49">
                  <c:v>201402</c:v>
                </c:pt>
                <c:pt idx="50">
                  <c:v>201403</c:v>
                </c:pt>
                <c:pt idx="51">
                  <c:v>201404</c:v>
                </c:pt>
                <c:pt idx="52">
                  <c:v>201405</c:v>
                </c:pt>
                <c:pt idx="53">
                  <c:v>201406</c:v>
                </c:pt>
                <c:pt idx="54">
                  <c:v>201407</c:v>
                </c:pt>
                <c:pt idx="55">
                  <c:v>201408</c:v>
                </c:pt>
                <c:pt idx="56">
                  <c:v>201409</c:v>
                </c:pt>
                <c:pt idx="57">
                  <c:v>201410</c:v>
                </c:pt>
                <c:pt idx="58">
                  <c:v>201411</c:v>
                </c:pt>
                <c:pt idx="59">
                  <c:v>201412</c:v>
                </c:pt>
                <c:pt idx="60">
                  <c:v>201501</c:v>
                </c:pt>
                <c:pt idx="61">
                  <c:v>201502</c:v>
                </c:pt>
                <c:pt idx="62">
                  <c:v>201503</c:v>
                </c:pt>
                <c:pt idx="63">
                  <c:v>201504</c:v>
                </c:pt>
                <c:pt idx="64">
                  <c:v>201505</c:v>
                </c:pt>
                <c:pt idx="65">
                  <c:v>201506</c:v>
                </c:pt>
                <c:pt idx="66">
                  <c:v>201507</c:v>
                </c:pt>
                <c:pt idx="67">
                  <c:v>201508</c:v>
                </c:pt>
                <c:pt idx="68">
                  <c:v>201509</c:v>
                </c:pt>
                <c:pt idx="69">
                  <c:v>201510</c:v>
                </c:pt>
                <c:pt idx="70">
                  <c:v>201511</c:v>
                </c:pt>
                <c:pt idx="71">
                  <c:v>201512</c:v>
                </c:pt>
                <c:pt idx="72">
                  <c:v>201601</c:v>
                </c:pt>
                <c:pt idx="73">
                  <c:v>201602</c:v>
                </c:pt>
                <c:pt idx="74">
                  <c:v>201603</c:v>
                </c:pt>
                <c:pt idx="75">
                  <c:v>201604</c:v>
                </c:pt>
                <c:pt idx="76">
                  <c:v>201605</c:v>
                </c:pt>
                <c:pt idx="77">
                  <c:v>201606</c:v>
                </c:pt>
                <c:pt idx="78">
                  <c:v>201607</c:v>
                </c:pt>
                <c:pt idx="79">
                  <c:v>201608</c:v>
                </c:pt>
                <c:pt idx="80">
                  <c:v>201609</c:v>
                </c:pt>
                <c:pt idx="81">
                  <c:v>201610</c:v>
                </c:pt>
                <c:pt idx="82">
                  <c:v>201611</c:v>
                </c:pt>
                <c:pt idx="83">
                  <c:v>201612</c:v>
                </c:pt>
                <c:pt idx="84">
                  <c:v>201701</c:v>
                </c:pt>
                <c:pt idx="85">
                  <c:v>201702</c:v>
                </c:pt>
                <c:pt idx="86">
                  <c:v>201703</c:v>
                </c:pt>
                <c:pt idx="87">
                  <c:v>201704</c:v>
                </c:pt>
                <c:pt idx="88">
                  <c:v>201705</c:v>
                </c:pt>
                <c:pt idx="89">
                  <c:v>201706</c:v>
                </c:pt>
                <c:pt idx="90">
                  <c:v>201707</c:v>
                </c:pt>
                <c:pt idx="91">
                  <c:v>201708</c:v>
                </c:pt>
                <c:pt idx="92">
                  <c:v>201709</c:v>
                </c:pt>
                <c:pt idx="93">
                  <c:v>201710</c:v>
                </c:pt>
                <c:pt idx="94">
                  <c:v>201711</c:v>
                </c:pt>
                <c:pt idx="95">
                  <c:v>201712</c:v>
                </c:pt>
                <c:pt idx="96">
                  <c:v>201801</c:v>
                </c:pt>
                <c:pt idx="97">
                  <c:v>201802</c:v>
                </c:pt>
                <c:pt idx="98">
                  <c:v>201803</c:v>
                </c:pt>
                <c:pt idx="99">
                  <c:v>201804</c:v>
                </c:pt>
                <c:pt idx="100">
                  <c:v>201805</c:v>
                </c:pt>
                <c:pt idx="101">
                  <c:v>201806</c:v>
                </c:pt>
                <c:pt idx="102">
                  <c:v>201807</c:v>
                </c:pt>
                <c:pt idx="103">
                  <c:v>201808</c:v>
                </c:pt>
                <c:pt idx="104">
                  <c:v>201809</c:v>
                </c:pt>
                <c:pt idx="105">
                  <c:v>201810</c:v>
                </c:pt>
                <c:pt idx="106">
                  <c:v>201811</c:v>
                </c:pt>
                <c:pt idx="107">
                  <c:v>201812</c:v>
                </c:pt>
                <c:pt idx="108">
                  <c:v>201901</c:v>
                </c:pt>
                <c:pt idx="109">
                  <c:v>201902</c:v>
                </c:pt>
                <c:pt idx="110">
                  <c:v>201903</c:v>
                </c:pt>
                <c:pt idx="111">
                  <c:v>201904</c:v>
                </c:pt>
                <c:pt idx="112">
                  <c:v>201905</c:v>
                </c:pt>
                <c:pt idx="113">
                  <c:v>201906</c:v>
                </c:pt>
                <c:pt idx="114">
                  <c:v>201907</c:v>
                </c:pt>
                <c:pt idx="115">
                  <c:v>201908</c:v>
                </c:pt>
                <c:pt idx="116">
                  <c:v>201909</c:v>
                </c:pt>
                <c:pt idx="117">
                  <c:v>201910</c:v>
                </c:pt>
                <c:pt idx="118">
                  <c:v>201911</c:v>
                </c:pt>
                <c:pt idx="119">
                  <c:v>201912</c:v>
                </c:pt>
                <c:pt idx="120">
                  <c:v>202001</c:v>
                </c:pt>
                <c:pt idx="121">
                  <c:v>202002</c:v>
                </c:pt>
                <c:pt idx="122">
                  <c:v>202003</c:v>
                </c:pt>
              </c:strCache>
            </c:strRef>
          </c:cat>
          <c:val>
            <c:numRef>
              <c:f>'chemo 201001'!$W$3:$W$126</c:f>
              <c:numCache>
                <c:formatCode>General</c:formatCode>
                <c:ptCount val="123"/>
                <c:pt idx="91">
                  <c:v>97</c:v>
                </c:pt>
                <c:pt idx="92">
                  <c:v>28</c:v>
                </c:pt>
                <c:pt idx="93">
                  <c:v>23</c:v>
                </c:pt>
                <c:pt idx="94">
                  <c:v>25</c:v>
                </c:pt>
                <c:pt idx="95">
                  <c:v>20</c:v>
                </c:pt>
                <c:pt idx="96">
                  <c:v>14</c:v>
                </c:pt>
                <c:pt idx="97">
                  <c:v>15</c:v>
                </c:pt>
                <c:pt idx="98">
                  <c:v>17</c:v>
                </c:pt>
                <c:pt idx="99">
                  <c:v>14</c:v>
                </c:pt>
                <c:pt idx="100">
                  <c:v>15</c:v>
                </c:pt>
                <c:pt idx="101">
                  <c:v>8</c:v>
                </c:pt>
                <c:pt idx="102">
                  <c:v>10</c:v>
                </c:pt>
                <c:pt idx="103">
                  <c:v>19</c:v>
                </c:pt>
                <c:pt idx="104">
                  <c:v>17</c:v>
                </c:pt>
                <c:pt idx="105">
                  <c:v>13</c:v>
                </c:pt>
                <c:pt idx="106">
                  <c:v>7</c:v>
                </c:pt>
                <c:pt idx="107">
                  <c:v>10</c:v>
                </c:pt>
                <c:pt idx="108">
                  <c:v>16</c:v>
                </c:pt>
                <c:pt idx="109">
                  <c:v>8</c:v>
                </c:pt>
                <c:pt idx="110">
                  <c:v>8</c:v>
                </c:pt>
                <c:pt idx="111">
                  <c:v>7</c:v>
                </c:pt>
                <c:pt idx="112">
                  <c:v>7</c:v>
                </c:pt>
                <c:pt idx="113">
                  <c:v>6</c:v>
                </c:pt>
                <c:pt idx="114">
                  <c:v>7</c:v>
                </c:pt>
                <c:pt idx="115">
                  <c:v>5</c:v>
                </c:pt>
                <c:pt idx="116">
                  <c:v>10</c:v>
                </c:pt>
                <c:pt idx="117">
                  <c:v>7</c:v>
                </c:pt>
                <c:pt idx="118">
                  <c:v>12</c:v>
                </c:pt>
                <c:pt idx="119">
                  <c:v>11</c:v>
                </c:pt>
                <c:pt idx="120">
                  <c:v>6</c:v>
                </c:pt>
                <c:pt idx="121">
                  <c:v>6</c:v>
                </c:pt>
                <c:pt idx="122">
                  <c:v>6</c:v>
                </c:pt>
              </c:numCache>
            </c:numRef>
          </c:val>
          <c:smooth val="0"/>
          <c:extLst>
            <c:ext xmlns:c16="http://schemas.microsoft.com/office/drawing/2014/chart" uri="{C3380CC4-5D6E-409C-BE32-E72D297353CC}">
              <c16:uniqueId val="{00000000-A543-46CD-AF50-C6ADA1881E67}"/>
            </c:ext>
          </c:extLst>
        </c:ser>
        <c:ser>
          <c:idx val="1"/>
          <c:order val="1"/>
          <c:tx>
            <c:strRef>
              <c:f>'chemo 201001'!$X$1:$X$2</c:f>
              <c:strCache>
                <c:ptCount val="1"/>
                <c:pt idx="0">
                  <c:v>CISPLATIN OR CARBOPLATIN</c:v>
                </c:pt>
              </c:strCache>
            </c:strRef>
          </c:tx>
          <c:spPr>
            <a:ln w="28575" cap="rnd">
              <a:solidFill>
                <a:schemeClr val="accent2"/>
              </a:solidFill>
              <a:round/>
            </a:ln>
            <a:effectLst/>
          </c:spPr>
          <c:marker>
            <c:symbol val="none"/>
          </c:marker>
          <c:cat>
            <c:strRef>
              <c:f>'chemo 201001'!$V$3:$V$126</c:f>
              <c:strCache>
                <c:ptCount val="123"/>
                <c:pt idx="0">
                  <c:v>201001</c:v>
                </c:pt>
                <c:pt idx="1">
                  <c:v>201002</c:v>
                </c:pt>
                <c:pt idx="2">
                  <c:v>201003</c:v>
                </c:pt>
                <c:pt idx="3">
                  <c:v>201004</c:v>
                </c:pt>
                <c:pt idx="4">
                  <c:v>201005</c:v>
                </c:pt>
                <c:pt idx="5">
                  <c:v>201006</c:v>
                </c:pt>
                <c:pt idx="6">
                  <c:v>201007</c:v>
                </c:pt>
                <c:pt idx="7">
                  <c:v>201008</c:v>
                </c:pt>
                <c:pt idx="8">
                  <c:v>201009</c:v>
                </c:pt>
                <c:pt idx="9">
                  <c:v>201010</c:v>
                </c:pt>
                <c:pt idx="10">
                  <c:v>201011</c:v>
                </c:pt>
                <c:pt idx="11">
                  <c:v>201012</c:v>
                </c:pt>
                <c:pt idx="12">
                  <c:v>201101</c:v>
                </c:pt>
                <c:pt idx="13">
                  <c:v>201102</c:v>
                </c:pt>
                <c:pt idx="14">
                  <c:v>201103</c:v>
                </c:pt>
                <c:pt idx="15">
                  <c:v>201104</c:v>
                </c:pt>
                <c:pt idx="16">
                  <c:v>201105</c:v>
                </c:pt>
                <c:pt idx="17">
                  <c:v>201106</c:v>
                </c:pt>
                <c:pt idx="18">
                  <c:v>201107</c:v>
                </c:pt>
                <c:pt idx="19">
                  <c:v>201108</c:v>
                </c:pt>
                <c:pt idx="20">
                  <c:v>201109</c:v>
                </c:pt>
                <c:pt idx="21">
                  <c:v>201110</c:v>
                </c:pt>
                <c:pt idx="22">
                  <c:v>201111</c:v>
                </c:pt>
                <c:pt idx="23">
                  <c:v>201112</c:v>
                </c:pt>
                <c:pt idx="24">
                  <c:v>201201</c:v>
                </c:pt>
                <c:pt idx="25">
                  <c:v>201202</c:v>
                </c:pt>
                <c:pt idx="26">
                  <c:v>201203</c:v>
                </c:pt>
                <c:pt idx="27">
                  <c:v>201204</c:v>
                </c:pt>
                <c:pt idx="28">
                  <c:v>201205</c:v>
                </c:pt>
                <c:pt idx="29">
                  <c:v>201206</c:v>
                </c:pt>
                <c:pt idx="30">
                  <c:v>201207</c:v>
                </c:pt>
                <c:pt idx="31">
                  <c:v>201208</c:v>
                </c:pt>
                <c:pt idx="32">
                  <c:v>201209</c:v>
                </c:pt>
                <c:pt idx="33">
                  <c:v>201210</c:v>
                </c:pt>
                <c:pt idx="34">
                  <c:v>201211</c:v>
                </c:pt>
                <c:pt idx="35">
                  <c:v>201212</c:v>
                </c:pt>
                <c:pt idx="36">
                  <c:v>201301</c:v>
                </c:pt>
                <c:pt idx="37">
                  <c:v>201302</c:v>
                </c:pt>
                <c:pt idx="38">
                  <c:v>201303</c:v>
                </c:pt>
                <c:pt idx="39">
                  <c:v>201304</c:v>
                </c:pt>
                <c:pt idx="40">
                  <c:v>201305</c:v>
                </c:pt>
                <c:pt idx="41">
                  <c:v>201306</c:v>
                </c:pt>
                <c:pt idx="42">
                  <c:v>201307</c:v>
                </c:pt>
                <c:pt idx="43">
                  <c:v>201308</c:v>
                </c:pt>
                <c:pt idx="44">
                  <c:v>201309</c:v>
                </c:pt>
                <c:pt idx="45">
                  <c:v>201310</c:v>
                </c:pt>
                <c:pt idx="46">
                  <c:v>201311</c:v>
                </c:pt>
                <c:pt idx="47">
                  <c:v>201312</c:v>
                </c:pt>
                <c:pt idx="48">
                  <c:v>201401</c:v>
                </c:pt>
                <c:pt idx="49">
                  <c:v>201402</c:v>
                </c:pt>
                <c:pt idx="50">
                  <c:v>201403</c:v>
                </c:pt>
                <c:pt idx="51">
                  <c:v>201404</c:v>
                </c:pt>
                <c:pt idx="52">
                  <c:v>201405</c:v>
                </c:pt>
                <c:pt idx="53">
                  <c:v>201406</c:v>
                </c:pt>
                <c:pt idx="54">
                  <c:v>201407</c:v>
                </c:pt>
                <c:pt idx="55">
                  <c:v>201408</c:v>
                </c:pt>
                <c:pt idx="56">
                  <c:v>201409</c:v>
                </c:pt>
                <c:pt idx="57">
                  <c:v>201410</c:v>
                </c:pt>
                <c:pt idx="58">
                  <c:v>201411</c:v>
                </c:pt>
                <c:pt idx="59">
                  <c:v>201412</c:v>
                </c:pt>
                <c:pt idx="60">
                  <c:v>201501</c:v>
                </c:pt>
                <c:pt idx="61">
                  <c:v>201502</c:v>
                </c:pt>
                <c:pt idx="62">
                  <c:v>201503</c:v>
                </c:pt>
                <c:pt idx="63">
                  <c:v>201504</c:v>
                </c:pt>
                <c:pt idx="64">
                  <c:v>201505</c:v>
                </c:pt>
                <c:pt idx="65">
                  <c:v>201506</c:v>
                </c:pt>
                <c:pt idx="66">
                  <c:v>201507</c:v>
                </c:pt>
                <c:pt idx="67">
                  <c:v>201508</c:v>
                </c:pt>
                <c:pt idx="68">
                  <c:v>201509</c:v>
                </c:pt>
                <c:pt idx="69">
                  <c:v>201510</c:v>
                </c:pt>
                <c:pt idx="70">
                  <c:v>201511</c:v>
                </c:pt>
                <c:pt idx="71">
                  <c:v>201512</c:v>
                </c:pt>
                <c:pt idx="72">
                  <c:v>201601</c:v>
                </c:pt>
                <c:pt idx="73">
                  <c:v>201602</c:v>
                </c:pt>
                <c:pt idx="74">
                  <c:v>201603</c:v>
                </c:pt>
                <c:pt idx="75">
                  <c:v>201604</c:v>
                </c:pt>
                <c:pt idx="76">
                  <c:v>201605</c:v>
                </c:pt>
                <c:pt idx="77">
                  <c:v>201606</c:v>
                </c:pt>
                <c:pt idx="78">
                  <c:v>201607</c:v>
                </c:pt>
                <c:pt idx="79">
                  <c:v>201608</c:v>
                </c:pt>
                <c:pt idx="80">
                  <c:v>201609</c:v>
                </c:pt>
                <c:pt idx="81">
                  <c:v>201610</c:v>
                </c:pt>
                <c:pt idx="82">
                  <c:v>201611</c:v>
                </c:pt>
                <c:pt idx="83">
                  <c:v>201612</c:v>
                </c:pt>
                <c:pt idx="84">
                  <c:v>201701</c:v>
                </c:pt>
                <c:pt idx="85">
                  <c:v>201702</c:v>
                </c:pt>
                <c:pt idx="86">
                  <c:v>201703</c:v>
                </c:pt>
                <c:pt idx="87">
                  <c:v>201704</c:v>
                </c:pt>
                <c:pt idx="88">
                  <c:v>201705</c:v>
                </c:pt>
                <c:pt idx="89">
                  <c:v>201706</c:v>
                </c:pt>
                <c:pt idx="90">
                  <c:v>201707</c:v>
                </c:pt>
                <c:pt idx="91">
                  <c:v>201708</c:v>
                </c:pt>
                <c:pt idx="92">
                  <c:v>201709</c:v>
                </c:pt>
                <c:pt idx="93">
                  <c:v>201710</c:v>
                </c:pt>
                <c:pt idx="94">
                  <c:v>201711</c:v>
                </c:pt>
                <c:pt idx="95">
                  <c:v>201712</c:v>
                </c:pt>
                <c:pt idx="96">
                  <c:v>201801</c:v>
                </c:pt>
                <c:pt idx="97">
                  <c:v>201802</c:v>
                </c:pt>
                <c:pt idx="98">
                  <c:v>201803</c:v>
                </c:pt>
                <c:pt idx="99">
                  <c:v>201804</c:v>
                </c:pt>
                <c:pt idx="100">
                  <c:v>201805</c:v>
                </c:pt>
                <c:pt idx="101">
                  <c:v>201806</c:v>
                </c:pt>
                <c:pt idx="102">
                  <c:v>201807</c:v>
                </c:pt>
                <c:pt idx="103">
                  <c:v>201808</c:v>
                </c:pt>
                <c:pt idx="104">
                  <c:v>201809</c:v>
                </c:pt>
                <c:pt idx="105">
                  <c:v>201810</c:v>
                </c:pt>
                <c:pt idx="106">
                  <c:v>201811</c:v>
                </c:pt>
                <c:pt idx="107">
                  <c:v>201812</c:v>
                </c:pt>
                <c:pt idx="108">
                  <c:v>201901</c:v>
                </c:pt>
                <c:pt idx="109">
                  <c:v>201902</c:v>
                </c:pt>
                <c:pt idx="110">
                  <c:v>201903</c:v>
                </c:pt>
                <c:pt idx="111">
                  <c:v>201904</c:v>
                </c:pt>
                <c:pt idx="112">
                  <c:v>201905</c:v>
                </c:pt>
                <c:pt idx="113">
                  <c:v>201906</c:v>
                </c:pt>
                <c:pt idx="114">
                  <c:v>201907</c:v>
                </c:pt>
                <c:pt idx="115">
                  <c:v>201908</c:v>
                </c:pt>
                <c:pt idx="116">
                  <c:v>201909</c:v>
                </c:pt>
                <c:pt idx="117">
                  <c:v>201910</c:v>
                </c:pt>
                <c:pt idx="118">
                  <c:v>201911</c:v>
                </c:pt>
                <c:pt idx="119">
                  <c:v>201912</c:v>
                </c:pt>
                <c:pt idx="120">
                  <c:v>202001</c:v>
                </c:pt>
                <c:pt idx="121">
                  <c:v>202002</c:v>
                </c:pt>
                <c:pt idx="122">
                  <c:v>202003</c:v>
                </c:pt>
              </c:strCache>
            </c:strRef>
          </c:cat>
          <c:val>
            <c:numRef>
              <c:f>'chemo 201001'!$X$3:$X$126</c:f>
              <c:numCache>
                <c:formatCode>General</c:formatCode>
                <c:ptCount val="123"/>
                <c:pt idx="0">
                  <c:v>7</c:v>
                </c:pt>
                <c:pt idx="1">
                  <c:v>1</c:v>
                </c:pt>
                <c:pt idx="2">
                  <c:v>3</c:v>
                </c:pt>
                <c:pt idx="3">
                  <c:v>1</c:v>
                </c:pt>
                <c:pt idx="4">
                  <c:v>3</c:v>
                </c:pt>
                <c:pt idx="5">
                  <c:v>5</c:v>
                </c:pt>
                <c:pt idx="6">
                  <c:v>2</c:v>
                </c:pt>
                <c:pt idx="7">
                  <c:v>2</c:v>
                </c:pt>
                <c:pt idx="8">
                  <c:v>3</c:v>
                </c:pt>
                <c:pt idx="9">
                  <c:v>4</c:v>
                </c:pt>
                <c:pt idx="10">
                  <c:v>2</c:v>
                </c:pt>
                <c:pt idx="11">
                  <c:v>1</c:v>
                </c:pt>
                <c:pt idx="12">
                  <c:v>2</c:v>
                </c:pt>
                <c:pt idx="13">
                  <c:v>4</c:v>
                </c:pt>
                <c:pt idx="14">
                  <c:v>4</c:v>
                </c:pt>
                <c:pt idx="15">
                  <c:v>3</c:v>
                </c:pt>
                <c:pt idx="16">
                  <c:v>2</c:v>
                </c:pt>
                <c:pt idx="17">
                  <c:v>4</c:v>
                </c:pt>
                <c:pt idx="18">
                  <c:v>1</c:v>
                </c:pt>
                <c:pt idx="19">
                  <c:v>5</c:v>
                </c:pt>
                <c:pt idx="20">
                  <c:v>3</c:v>
                </c:pt>
                <c:pt idx="21">
                  <c:v>3</c:v>
                </c:pt>
                <c:pt idx="22">
                  <c:v>3</c:v>
                </c:pt>
                <c:pt idx="23">
                  <c:v>4</c:v>
                </c:pt>
                <c:pt idx="24">
                  <c:v>3</c:v>
                </c:pt>
                <c:pt idx="25">
                  <c:v>4</c:v>
                </c:pt>
                <c:pt idx="26">
                  <c:v>7</c:v>
                </c:pt>
                <c:pt idx="27">
                  <c:v>4</c:v>
                </c:pt>
                <c:pt idx="28">
                  <c:v>9</c:v>
                </c:pt>
                <c:pt idx="29">
                  <c:v>8</c:v>
                </c:pt>
                <c:pt idx="30">
                  <c:v>7</c:v>
                </c:pt>
                <c:pt idx="31">
                  <c:v>7</c:v>
                </c:pt>
                <c:pt idx="32">
                  <c:v>5</c:v>
                </c:pt>
                <c:pt idx="33">
                  <c:v>2</c:v>
                </c:pt>
                <c:pt idx="34">
                  <c:v>4</c:v>
                </c:pt>
                <c:pt idx="35">
                  <c:v>7</c:v>
                </c:pt>
                <c:pt idx="36">
                  <c:v>11</c:v>
                </c:pt>
                <c:pt idx="37">
                  <c:v>10</c:v>
                </c:pt>
                <c:pt idx="38">
                  <c:v>9</c:v>
                </c:pt>
                <c:pt idx="39">
                  <c:v>10</c:v>
                </c:pt>
                <c:pt idx="40">
                  <c:v>10</c:v>
                </c:pt>
                <c:pt idx="41">
                  <c:v>8</c:v>
                </c:pt>
                <c:pt idx="42">
                  <c:v>10</c:v>
                </c:pt>
                <c:pt idx="43">
                  <c:v>6</c:v>
                </c:pt>
                <c:pt idx="44">
                  <c:v>12</c:v>
                </c:pt>
                <c:pt idx="45">
                  <c:v>7</c:v>
                </c:pt>
                <c:pt idx="46">
                  <c:v>9</c:v>
                </c:pt>
                <c:pt idx="47">
                  <c:v>10</c:v>
                </c:pt>
                <c:pt idx="48">
                  <c:v>10</c:v>
                </c:pt>
                <c:pt idx="49">
                  <c:v>12</c:v>
                </c:pt>
                <c:pt idx="50">
                  <c:v>15</c:v>
                </c:pt>
                <c:pt idx="51">
                  <c:v>11</c:v>
                </c:pt>
                <c:pt idx="52">
                  <c:v>18</c:v>
                </c:pt>
                <c:pt idx="53">
                  <c:v>14</c:v>
                </c:pt>
                <c:pt idx="54">
                  <c:v>14</c:v>
                </c:pt>
                <c:pt idx="55">
                  <c:v>19</c:v>
                </c:pt>
                <c:pt idx="56">
                  <c:v>20</c:v>
                </c:pt>
                <c:pt idx="57">
                  <c:v>21</c:v>
                </c:pt>
                <c:pt idx="58">
                  <c:v>16</c:v>
                </c:pt>
                <c:pt idx="59">
                  <c:v>29</c:v>
                </c:pt>
                <c:pt idx="60">
                  <c:v>21</c:v>
                </c:pt>
                <c:pt idx="61">
                  <c:v>29</c:v>
                </c:pt>
                <c:pt idx="62">
                  <c:v>24</c:v>
                </c:pt>
                <c:pt idx="63">
                  <c:v>33</c:v>
                </c:pt>
                <c:pt idx="64">
                  <c:v>32</c:v>
                </c:pt>
                <c:pt idx="65">
                  <c:v>24</c:v>
                </c:pt>
                <c:pt idx="66">
                  <c:v>43</c:v>
                </c:pt>
                <c:pt idx="67">
                  <c:v>36</c:v>
                </c:pt>
                <c:pt idx="68">
                  <c:v>41</c:v>
                </c:pt>
                <c:pt idx="69">
                  <c:v>30</c:v>
                </c:pt>
                <c:pt idx="70">
                  <c:v>41</c:v>
                </c:pt>
                <c:pt idx="71">
                  <c:v>50</c:v>
                </c:pt>
                <c:pt idx="72">
                  <c:v>39</c:v>
                </c:pt>
                <c:pt idx="73">
                  <c:v>56</c:v>
                </c:pt>
                <c:pt idx="74">
                  <c:v>47</c:v>
                </c:pt>
                <c:pt idx="75">
                  <c:v>63</c:v>
                </c:pt>
                <c:pt idx="76">
                  <c:v>40</c:v>
                </c:pt>
                <c:pt idx="77">
                  <c:v>67</c:v>
                </c:pt>
                <c:pt idx="78">
                  <c:v>65</c:v>
                </c:pt>
                <c:pt idx="79">
                  <c:v>58</c:v>
                </c:pt>
                <c:pt idx="80">
                  <c:v>79</c:v>
                </c:pt>
                <c:pt idx="81">
                  <c:v>77</c:v>
                </c:pt>
                <c:pt idx="82">
                  <c:v>113</c:v>
                </c:pt>
                <c:pt idx="83">
                  <c:v>92</c:v>
                </c:pt>
                <c:pt idx="84">
                  <c:v>120</c:v>
                </c:pt>
                <c:pt idx="85">
                  <c:v>78</c:v>
                </c:pt>
                <c:pt idx="86">
                  <c:v>130</c:v>
                </c:pt>
                <c:pt idx="87">
                  <c:v>122</c:v>
                </c:pt>
                <c:pt idx="88">
                  <c:v>122</c:v>
                </c:pt>
                <c:pt idx="89">
                  <c:v>167</c:v>
                </c:pt>
                <c:pt idx="90">
                  <c:v>135</c:v>
                </c:pt>
                <c:pt idx="91">
                  <c:v>170</c:v>
                </c:pt>
                <c:pt idx="92">
                  <c:v>148</c:v>
                </c:pt>
                <c:pt idx="93">
                  <c:v>164</c:v>
                </c:pt>
                <c:pt idx="94">
                  <c:v>160</c:v>
                </c:pt>
                <c:pt idx="95">
                  <c:v>145</c:v>
                </c:pt>
                <c:pt idx="96">
                  <c:v>138</c:v>
                </c:pt>
                <c:pt idx="97">
                  <c:v>109</c:v>
                </c:pt>
                <c:pt idx="98">
                  <c:v>97</c:v>
                </c:pt>
                <c:pt idx="99">
                  <c:v>88</c:v>
                </c:pt>
                <c:pt idx="100">
                  <c:v>92</c:v>
                </c:pt>
                <c:pt idx="101">
                  <c:v>87</c:v>
                </c:pt>
                <c:pt idx="102">
                  <c:v>70</c:v>
                </c:pt>
                <c:pt idx="103">
                  <c:v>76</c:v>
                </c:pt>
                <c:pt idx="104">
                  <c:v>78</c:v>
                </c:pt>
                <c:pt idx="105">
                  <c:v>78</c:v>
                </c:pt>
                <c:pt idx="106">
                  <c:v>60</c:v>
                </c:pt>
                <c:pt idx="107">
                  <c:v>69</c:v>
                </c:pt>
                <c:pt idx="108">
                  <c:v>63</c:v>
                </c:pt>
                <c:pt idx="109">
                  <c:v>62</c:v>
                </c:pt>
                <c:pt idx="110">
                  <c:v>61</c:v>
                </c:pt>
                <c:pt idx="111">
                  <c:v>43</c:v>
                </c:pt>
                <c:pt idx="112">
                  <c:v>68</c:v>
                </c:pt>
                <c:pt idx="113">
                  <c:v>47</c:v>
                </c:pt>
                <c:pt idx="114">
                  <c:v>52</c:v>
                </c:pt>
                <c:pt idx="115">
                  <c:v>36</c:v>
                </c:pt>
                <c:pt idx="116">
                  <c:v>21</c:v>
                </c:pt>
                <c:pt idx="117">
                  <c:v>30</c:v>
                </c:pt>
                <c:pt idx="118">
                  <c:v>11</c:v>
                </c:pt>
                <c:pt idx="119">
                  <c:v>5</c:v>
                </c:pt>
                <c:pt idx="120">
                  <c:v>2</c:v>
                </c:pt>
                <c:pt idx="121">
                  <c:v>2</c:v>
                </c:pt>
                <c:pt idx="122">
                  <c:v>1</c:v>
                </c:pt>
              </c:numCache>
            </c:numRef>
          </c:val>
          <c:smooth val="0"/>
          <c:extLst>
            <c:ext xmlns:c16="http://schemas.microsoft.com/office/drawing/2014/chart" uri="{C3380CC4-5D6E-409C-BE32-E72D297353CC}">
              <c16:uniqueId val="{00000001-A543-46CD-AF50-C6ADA1881E67}"/>
            </c:ext>
          </c:extLst>
        </c:ser>
        <c:dLbls>
          <c:showLegendKey val="0"/>
          <c:showVal val="0"/>
          <c:showCatName val="0"/>
          <c:showSerName val="0"/>
          <c:showPercent val="0"/>
          <c:showBubbleSize val="0"/>
        </c:dLbls>
        <c:smooth val="0"/>
        <c:axId val="823438944"/>
        <c:axId val="823439272"/>
      </c:lineChart>
      <c:catAx>
        <c:axId val="82343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39272"/>
        <c:crosses val="autoZero"/>
        <c:auto val="1"/>
        <c:lblAlgn val="ctr"/>
        <c:lblOffset val="100"/>
        <c:noMultiLvlLbl val="0"/>
      </c:catAx>
      <c:valAx>
        <c:axId val="823439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38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3EBE-B9C5-4A34-B973-5D282715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7167</Words>
  <Characters>40853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2020-10-20T03:39:00Z</dcterms:created>
  <dcterms:modified xsi:type="dcterms:W3CDTF">2020-11-03T04:43:00Z</dcterms:modified>
</cp:coreProperties>
</file>