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7B61909F" w:rsidR="00832324" w:rsidRDefault="00663FAF" w:rsidP="00F73113">
      <w:pPr>
        <w:pStyle w:val="Title"/>
      </w:pPr>
      <w:r>
        <w:t>Biologics for u</w:t>
      </w:r>
      <w:r w:rsidR="00B40246">
        <w:t xml:space="preserve">ncontrolled severe allergic and eosinophilic asthma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05C164AB" w:rsidR="009053D3" w:rsidRPr="00F73113" w:rsidRDefault="00B40246" w:rsidP="00F73113">
      <w:pPr>
        <w:pStyle w:val="Meetingdate"/>
      </w:pPr>
      <w:r>
        <w:t>October</w:t>
      </w:r>
      <w:r w:rsidR="00D151EB" w:rsidRPr="00F73113">
        <w:t xml:space="preserve"> 20</w:t>
      </w:r>
      <w:r>
        <w:t>19</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26C65C49" w14:textId="451234D4" w:rsidR="00A601E3" w:rsidRDefault="00A601E3" w:rsidP="00A601E3">
      <w:r>
        <w:t xml:space="preserve">DUSC requested a review of biologics for uncontrolled severe asthma when 24 months of data were available since the listing of </w:t>
      </w:r>
      <w:proofErr w:type="spellStart"/>
      <w:r>
        <w:t>mepolizumab</w:t>
      </w:r>
      <w:proofErr w:type="spellEnd"/>
      <w:r>
        <w:t xml:space="preserve">. When DUSC last considered </w:t>
      </w:r>
      <w:proofErr w:type="spellStart"/>
      <w:r>
        <w:t>omalizumab</w:t>
      </w:r>
      <w:proofErr w:type="spellEnd"/>
      <w:r>
        <w:t xml:space="preserve"> for review (September 2017), it decided to delay further review of </w:t>
      </w:r>
      <w:proofErr w:type="spellStart"/>
      <w:r>
        <w:t>omalizumab</w:t>
      </w:r>
      <w:proofErr w:type="spellEnd"/>
      <w:r>
        <w:t xml:space="preserve"> until sufficient </w:t>
      </w:r>
      <w:proofErr w:type="spellStart"/>
      <w:r>
        <w:t>mepolizumab</w:t>
      </w:r>
      <w:proofErr w:type="spellEnd"/>
      <w:r>
        <w:t xml:space="preserve"> data were available.  </w:t>
      </w:r>
    </w:p>
    <w:p w14:paraId="70A05845" w14:textId="16989970" w:rsidR="005C6661" w:rsidRDefault="00A601E3" w:rsidP="00A601E3">
      <w:r>
        <w:t xml:space="preserve">Following publication of the outcomes from the </w:t>
      </w:r>
      <w:hyperlink r:id="rId8" w:history="1">
        <w:r w:rsidRPr="008718E1">
          <w:rPr>
            <w:rStyle w:val="Hyperlink"/>
          </w:rPr>
          <w:t>severe asthma stakeholder meeting</w:t>
        </w:r>
      </w:hyperlink>
      <w:r>
        <w:t xml:space="preserve">, DUSC considered it timely to consider the use of biologics for the treatment of uncontrolled severe asthma.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650AD149" w14:textId="089A6DA1" w:rsidR="0022258E" w:rsidRPr="0022258E" w:rsidRDefault="00465F15" w:rsidP="0022258E">
      <w:pPr>
        <w:pStyle w:val="ListParagraph"/>
        <w:numPr>
          <w:ilvl w:val="0"/>
          <w:numId w:val="12"/>
        </w:numPr>
      </w:pPr>
      <w:proofErr w:type="spellStart"/>
      <w:r w:rsidRPr="0022258E">
        <w:t>Omalizumab</w:t>
      </w:r>
      <w:proofErr w:type="spellEnd"/>
      <w:r w:rsidR="009600E1">
        <w:t>:</w:t>
      </w:r>
      <w:r w:rsidRPr="0022258E">
        <w:t xml:space="preserve"> </w:t>
      </w:r>
      <w:r w:rsidR="0022258E" w:rsidRPr="0022258E">
        <w:t xml:space="preserve">1 July 2011 </w:t>
      </w:r>
    </w:p>
    <w:p w14:paraId="43D8A7CE" w14:textId="057D5681" w:rsidR="0022258E" w:rsidRPr="0022258E" w:rsidRDefault="0022258E" w:rsidP="0022258E">
      <w:pPr>
        <w:pStyle w:val="ListParagraph"/>
        <w:numPr>
          <w:ilvl w:val="0"/>
          <w:numId w:val="12"/>
        </w:numPr>
      </w:pPr>
      <w:proofErr w:type="spellStart"/>
      <w:r w:rsidRPr="0022258E">
        <w:t>Mepolizumab</w:t>
      </w:r>
      <w:proofErr w:type="spellEnd"/>
      <w:r w:rsidR="009600E1">
        <w:t>:</w:t>
      </w:r>
      <w:r w:rsidRPr="0022258E">
        <w:t xml:space="preserve"> 1 January 2017</w:t>
      </w:r>
    </w:p>
    <w:p w14:paraId="02733EC1" w14:textId="55088AEE" w:rsidR="0022258E" w:rsidRPr="0022258E" w:rsidRDefault="0022258E" w:rsidP="0022258E">
      <w:pPr>
        <w:pStyle w:val="ListParagraph"/>
        <w:numPr>
          <w:ilvl w:val="0"/>
          <w:numId w:val="12"/>
        </w:numPr>
      </w:pPr>
      <w:proofErr w:type="spellStart"/>
      <w:r w:rsidRPr="0022258E">
        <w:t>Benralizumab</w:t>
      </w:r>
      <w:proofErr w:type="spellEnd"/>
      <w:r w:rsidR="009600E1">
        <w:t>:</w:t>
      </w:r>
      <w:r w:rsidRPr="0022258E">
        <w:t xml:space="preserve"> 1 December 2018</w:t>
      </w:r>
    </w:p>
    <w:p w14:paraId="526743BB" w14:textId="77777777" w:rsidR="005C6661" w:rsidRDefault="005C6661" w:rsidP="00CF5E22">
      <w:pPr>
        <w:pStyle w:val="Heading3"/>
      </w:pPr>
      <w:r>
        <w:t>Data Source / methodology</w:t>
      </w:r>
    </w:p>
    <w:p w14:paraId="039B0443" w14:textId="1E41382A" w:rsidR="00455907" w:rsidRDefault="00A64FEF" w:rsidP="005C6661">
      <w:pPr>
        <w:pStyle w:val="NoSpacing"/>
      </w:pPr>
      <w:r>
        <w:t>Data were</w:t>
      </w:r>
      <w:r w:rsidRPr="00A64FEF">
        <w:t xml:space="preserve"> extracted from the </w:t>
      </w:r>
      <w:r w:rsidR="00251037">
        <w:t xml:space="preserve">PBS </w:t>
      </w:r>
      <w:r>
        <w:t>supplied</w:t>
      </w:r>
      <w:r w:rsidRPr="00A64FEF">
        <w:t xml:space="preserve"> prescription database from the date of</w:t>
      </w:r>
      <w:r>
        <w:t xml:space="preserve"> first</w:t>
      </w:r>
      <w:r w:rsidRPr="00A64FEF">
        <w:t xml:space="preserve"> listing </w:t>
      </w:r>
      <w:r>
        <w:t xml:space="preserve">of a severe asthma biologic (1 July 2011) to 30 June 2019. </w:t>
      </w:r>
      <w:r w:rsidR="00455907">
        <w:t xml:space="preserve">Analyses included prescription counts, new and prevalent patient counts, treatment sequence, switching, length of </w:t>
      </w:r>
      <w:proofErr w:type="gramStart"/>
      <w:r w:rsidR="00455907">
        <w:t>treatment</w:t>
      </w:r>
      <w:proofErr w:type="gramEnd"/>
      <w:r w:rsidR="00455907">
        <w:t xml:space="preserve"> and prescriber type. A predicted versus actual analysis of </w:t>
      </w:r>
      <w:proofErr w:type="spellStart"/>
      <w:r w:rsidR="00455907">
        <w:t>mepolizumab</w:t>
      </w:r>
      <w:proofErr w:type="spellEnd"/>
      <w:r w:rsidR="00455907">
        <w:t xml:space="preserve"> in the first 24 months of listing was also conducted.</w:t>
      </w:r>
    </w:p>
    <w:p w14:paraId="7599E7C1" w14:textId="77777777" w:rsidR="005C6661" w:rsidRPr="00A64FEF" w:rsidRDefault="005C6661" w:rsidP="00CF5E22">
      <w:pPr>
        <w:pStyle w:val="Heading3"/>
      </w:pPr>
      <w:r w:rsidRPr="00A64FEF">
        <w:t>Key Findings</w:t>
      </w:r>
    </w:p>
    <w:p w14:paraId="20DAD0F8" w14:textId="77777777" w:rsidR="00872654" w:rsidRPr="00A64FEF" w:rsidRDefault="00F05752" w:rsidP="005C6661">
      <w:pPr>
        <w:pStyle w:val="NoSpacing"/>
        <w:numPr>
          <w:ilvl w:val="0"/>
          <w:numId w:val="1"/>
        </w:numPr>
      </w:pPr>
      <w:r w:rsidRPr="00A64FEF">
        <w:t xml:space="preserve">In 2018, </w:t>
      </w:r>
    </w:p>
    <w:p w14:paraId="26E79540" w14:textId="7788E3D7" w:rsidR="00F05752" w:rsidRPr="00A64FEF" w:rsidRDefault="00F05752" w:rsidP="00872654">
      <w:pPr>
        <w:pStyle w:val="NoSpacing"/>
        <w:numPr>
          <w:ilvl w:val="1"/>
          <w:numId w:val="1"/>
        </w:numPr>
      </w:pPr>
      <w:proofErr w:type="gramStart"/>
      <w:r w:rsidRPr="00A64FEF">
        <w:t>1,250</w:t>
      </w:r>
      <w:proofErr w:type="gramEnd"/>
      <w:r w:rsidRPr="00A64FEF">
        <w:t xml:space="preserve"> patients were supplied </w:t>
      </w:r>
      <w:proofErr w:type="spellStart"/>
      <w:r w:rsidRPr="00A64FEF">
        <w:t>omalizumab</w:t>
      </w:r>
      <w:proofErr w:type="spellEnd"/>
      <w:r w:rsidRPr="00A64FEF">
        <w:t xml:space="preserve"> for the treatment of severe allergic asthma. Of these, 444 received their first PBS supply in that year.</w:t>
      </w:r>
    </w:p>
    <w:p w14:paraId="3FC5275C" w14:textId="5C45AF07" w:rsidR="00872654" w:rsidRPr="00A64FEF" w:rsidRDefault="00872654" w:rsidP="00872654">
      <w:pPr>
        <w:pStyle w:val="NoSpacing"/>
        <w:numPr>
          <w:ilvl w:val="1"/>
          <w:numId w:val="1"/>
        </w:numPr>
      </w:pPr>
      <w:proofErr w:type="gramStart"/>
      <w:r w:rsidRPr="00A64FEF">
        <w:t>1,222</w:t>
      </w:r>
      <w:proofErr w:type="gramEnd"/>
      <w:r w:rsidRPr="00A64FEF">
        <w:t xml:space="preserve"> patients received PBS-subsidised treatment for severe eosinophilic asthma, of which 665 were new to treatment that year. </w:t>
      </w:r>
    </w:p>
    <w:p w14:paraId="78587B67" w14:textId="4AC4B5E7" w:rsidR="00872654" w:rsidRPr="00A64FEF" w:rsidRDefault="00872654" w:rsidP="00872654">
      <w:pPr>
        <w:pStyle w:val="NoSpacing"/>
        <w:numPr>
          <w:ilvl w:val="1"/>
          <w:numId w:val="1"/>
        </w:numPr>
      </w:pPr>
      <w:r w:rsidRPr="00A64FEF">
        <w:t xml:space="preserve">The number of prescriptions supplied for severe asthma biologics was over 24,000. There were 14,620 prescriptions dispensed for </w:t>
      </w:r>
      <w:proofErr w:type="spellStart"/>
      <w:r w:rsidRPr="00A64FEF">
        <w:t>omalizumab</w:t>
      </w:r>
      <w:proofErr w:type="spellEnd"/>
      <w:r w:rsidRPr="00A64FEF">
        <w:t xml:space="preserve"> and 9,415 </w:t>
      </w:r>
      <w:proofErr w:type="gramStart"/>
      <w:r w:rsidRPr="00A64FEF">
        <w:t>prescriptions</w:t>
      </w:r>
      <w:proofErr w:type="gramEnd"/>
      <w:r w:rsidRPr="00A64FEF">
        <w:t xml:space="preserve"> dispensed for </w:t>
      </w:r>
      <w:proofErr w:type="spellStart"/>
      <w:r w:rsidRPr="00A64FEF">
        <w:t>mepolizumab</w:t>
      </w:r>
      <w:proofErr w:type="spellEnd"/>
      <w:r w:rsidRPr="00A64FEF">
        <w:t xml:space="preserve">. A small number of prescriptions </w:t>
      </w:r>
      <w:proofErr w:type="gramStart"/>
      <w:r w:rsidRPr="00A64FEF">
        <w:t>were dispensed</w:t>
      </w:r>
      <w:proofErr w:type="gramEnd"/>
      <w:r w:rsidRPr="00A64FEF">
        <w:t xml:space="preserve"> for </w:t>
      </w:r>
      <w:proofErr w:type="spellStart"/>
      <w:r w:rsidRPr="00A64FEF">
        <w:t>benralizumab</w:t>
      </w:r>
      <w:proofErr w:type="spellEnd"/>
      <w:r w:rsidRPr="00A64FEF">
        <w:t xml:space="preserve"> (listed December 2018). </w:t>
      </w:r>
    </w:p>
    <w:p w14:paraId="1BFC32D6" w14:textId="2D375BB0" w:rsidR="00872654" w:rsidRPr="00A64FEF" w:rsidRDefault="00872654" w:rsidP="00872654">
      <w:pPr>
        <w:pStyle w:val="NoSpacing"/>
        <w:numPr>
          <w:ilvl w:val="1"/>
          <w:numId w:val="1"/>
        </w:numPr>
      </w:pPr>
      <w:proofErr w:type="gramStart"/>
      <w:r w:rsidRPr="00A64FEF">
        <w:lastRenderedPageBreak/>
        <w:t>expenditure</w:t>
      </w:r>
      <w:proofErr w:type="gramEnd"/>
      <w:r w:rsidRPr="00A64FEF">
        <w:t xml:space="preserve"> for severe asthma biologics was $31.3 million based on the published prices (special pricing arrangements apply). This expenditure </w:t>
      </w:r>
      <w:proofErr w:type="gramStart"/>
      <w:r w:rsidRPr="00A64FEF">
        <w:t>was mostly attributed</w:t>
      </w:r>
      <w:proofErr w:type="gramEnd"/>
      <w:r w:rsidRPr="00A64FEF">
        <w:t xml:space="preserve"> to </w:t>
      </w:r>
      <w:proofErr w:type="spellStart"/>
      <w:r w:rsidRPr="00A64FEF">
        <w:t>omalizumab</w:t>
      </w:r>
      <w:proofErr w:type="spellEnd"/>
      <w:r w:rsidRPr="00A64FEF">
        <w:t xml:space="preserve"> and </w:t>
      </w:r>
      <w:proofErr w:type="spellStart"/>
      <w:r w:rsidRPr="00A64FEF">
        <w:t>mepolizumab</w:t>
      </w:r>
      <w:proofErr w:type="spellEnd"/>
      <w:r w:rsidRPr="00A64FEF">
        <w:t xml:space="preserve"> in close to a 1:1 ratio, with little expenditure for </w:t>
      </w:r>
      <w:proofErr w:type="spellStart"/>
      <w:r w:rsidRPr="00A64FEF">
        <w:t>benralizumab</w:t>
      </w:r>
      <w:proofErr w:type="spellEnd"/>
      <w:r w:rsidRPr="00A64FEF">
        <w:t xml:space="preserve"> (listed 1 December 2018). </w:t>
      </w:r>
    </w:p>
    <w:p w14:paraId="45014D3A" w14:textId="17A0AAE9" w:rsidR="001703A8" w:rsidRDefault="001703A8" w:rsidP="001703A8">
      <w:pPr>
        <w:pStyle w:val="NoSpacing"/>
        <w:numPr>
          <w:ilvl w:val="0"/>
          <w:numId w:val="1"/>
        </w:numPr>
      </w:pPr>
      <w:r>
        <w:t xml:space="preserve">There has been a high rate of growth in the number of treated prevalent severe eosinophilic asthma patients since the listing of </w:t>
      </w:r>
      <w:proofErr w:type="spellStart"/>
      <w:r>
        <w:t>mepolizumab</w:t>
      </w:r>
      <w:proofErr w:type="spellEnd"/>
      <w:r>
        <w:t xml:space="preserve">, with the rate of growth further increasing with the listing of </w:t>
      </w:r>
      <w:proofErr w:type="spellStart"/>
      <w:r>
        <w:t>benralizumab</w:t>
      </w:r>
      <w:proofErr w:type="spellEnd"/>
      <w:r>
        <w:t xml:space="preserve"> in December 2018. These patients exceeded the number of patients supplied </w:t>
      </w:r>
      <w:proofErr w:type="spellStart"/>
      <w:r>
        <w:t>omalizumab</w:t>
      </w:r>
      <w:proofErr w:type="spellEnd"/>
      <w:r>
        <w:t xml:space="preserve"> for severe allergic asthma in the first half of 2019.</w:t>
      </w:r>
    </w:p>
    <w:p w14:paraId="371385EB" w14:textId="0A283EE3" w:rsidR="00872654" w:rsidRPr="00A64FEF" w:rsidRDefault="00872654" w:rsidP="00872654">
      <w:pPr>
        <w:pStyle w:val="NoSpacing"/>
        <w:numPr>
          <w:ilvl w:val="0"/>
          <w:numId w:val="1"/>
        </w:numPr>
      </w:pPr>
      <w:r w:rsidRPr="00A64FEF">
        <w:t>In quarter 2 of 2019, prescriptions dispensed for eosinophilic asthma exceeded prescriptions dispensed for allergic asthma for the first time.</w:t>
      </w:r>
    </w:p>
    <w:p w14:paraId="38B57ECC" w14:textId="37D30FD7" w:rsidR="00BB0D1A" w:rsidRPr="00A64FEF" w:rsidRDefault="00F05752" w:rsidP="00872654">
      <w:pPr>
        <w:pStyle w:val="NoSpacing"/>
        <w:numPr>
          <w:ilvl w:val="0"/>
          <w:numId w:val="1"/>
        </w:numPr>
      </w:pPr>
      <w:r w:rsidRPr="00A64FEF">
        <w:t xml:space="preserve">Use of </w:t>
      </w:r>
      <w:proofErr w:type="spellStart"/>
      <w:r w:rsidRPr="00A64FEF">
        <w:t>mepolizumab</w:t>
      </w:r>
      <w:proofErr w:type="spellEnd"/>
      <w:r w:rsidRPr="00A64FEF">
        <w:t xml:space="preserve"> was higher than predicted in the first two years of PBS listing. </w:t>
      </w:r>
      <w:r w:rsidR="00BB0D1A" w:rsidRPr="00A64FEF">
        <w:br w:type="page"/>
      </w:r>
    </w:p>
    <w:p w14:paraId="5B262047" w14:textId="525241DC" w:rsidR="00E677DD" w:rsidRPr="00CF5E22" w:rsidRDefault="00E677DD" w:rsidP="00CF5E22">
      <w:pPr>
        <w:pStyle w:val="Heading1"/>
      </w:pPr>
      <w:r w:rsidRPr="00A64FEF">
        <w:lastRenderedPageBreak/>
        <w:t xml:space="preserve">Purpose of </w:t>
      </w:r>
      <w:r w:rsidR="00D151EB" w:rsidRPr="00A64FEF">
        <w:t>analysis</w:t>
      </w:r>
    </w:p>
    <w:p w14:paraId="6740DA8D" w14:textId="20A3FA19" w:rsidR="00663FAF" w:rsidRDefault="00663FAF" w:rsidP="00990DCF">
      <w:r>
        <w:t xml:space="preserve">DUSC requested a review of biologics for uncontrolled severe asthma when 24 months of data were available since the listing of </w:t>
      </w:r>
      <w:proofErr w:type="spellStart"/>
      <w:r>
        <w:t>mepolizumab</w:t>
      </w:r>
      <w:proofErr w:type="spellEnd"/>
      <w:r>
        <w:t xml:space="preserve">. When DUSC last considered </w:t>
      </w:r>
      <w:proofErr w:type="spellStart"/>
      <w:r>
        <w:t>omalizumab</w:t>
      </w:r>
      <w:proofErr w:type="spellEnd"/>
      <w:r>
        <w:t xml:space="preserve"> for review (September 2017), it decided to delay further review of </w:t>
      </w:r>
      <w:proofErr w:type="spellStart"/>
      <w:r>
        <w:t>omalizumab</w:t>
      </w:r>
      <w:proofErr w:type="spellEnd"/>
      <w:r>
        <w:t xml:space="preserve"> until sufficient </w:t>
      </w:r>
      <w:proofErr w:type="spellStart"/>
      <w:r>
        <w:t>mepolizumab</w:t>
      </w:r>
      <w:proofErr w:type="spellEnd"/>
      <w:r>
        <w:t xml:space="preserve"> data were available.  </w:t>
      </w:r>
    </w:p>
    <w:p w14:paraId="47E3249A" w14:textId="200C40B4" w:rsidR="00FB30BA" w:rsidRPr="0042291B" w:rsidRDefault="00E1764F" w:rsidP="004527AF">
      <w:r w:rsidRPr="0042291B">
        <w:t xml:space="preserve">DUSC noted </w:t>
      </w:r>
      <w:r>
        <w:t>a</w:t>
      </w:r>
      <w:r w:rsidRPr="0042291B">
        <w:t xml:space="preserve"> stakeholder meeting </w:t>
      </w:r>
      <w:r>
        <w:t xml:space="preserve">regarding </w:t>
      </w:r>
      <w:r w:rsidRPr="0042291B">
        <w:t>severe asthma</w:t>
      </w:r>
      <w:r>
        <w:t xml:space="preserve"> </w:t>
      </w:r>
      <w:proofErr w:type="gramStart"/>
      <w:r>
        <w:t>was held</w:t>
      </w:r>
      <w:proofErr w:type="gramEnd"/>
      <w:r>
        <w:t xml:space="preserve"> on 14 December </w:t>
      </w:r>
      <w:r w:rsidRPr="0042291B">
        <w:t>2018</w:t>
      </w:r>
      <w:r>
        <w:t xml:space="preserve">. A preliminary analysis of </w:t>
      </w:r>
      <w:proofErr w:type="spellStart"/>
      <w:r w:rsidRPr="0042291B">
        <w:t>omalizumab</w:t>
      </w:r>
      <w:proofErr w:type="spellEnd"/>
      <w:r w:rsidRPr="0042291B">
        <w:t xml:space="preserve">, </w:t>
      </w:r>
      <w:proofErr w:type="spellStart"/>
      <w:r w:rsidRPr="0042291B">
        <w:t>mepolizumab</w:t>
      </w:r>
      <w:proofErr w:type="spellEnd"/>
      <w:r w:rsidRPr="0042291B">
        <w:t xml:space="preserve"> and </w:t>
      </w:r>
      <w:proofErr w:type="spellStart"/>
      <w:r w:rsidRPr="0042291B">
        <w:t>benralizumab</w:t>
      </w:r>
      <w:proofErr w:type="spellEnd"/>
      <w:r>
        <w:t xml:space="preserve"> use </w:t>
      </w:r>
      <w:proofErr w:type="gramStart"/>
      <w:r>
        <w:t>was provided</w:t>
      </w:r>
      <w:proofErr w:type="gramEnd"/>
      <w:r>
        <w:t xml:space="preserve"> to attendees</w:t>
      </w:r>
      <w:r w:rsidRPr="0042291B">
        <w:t xml:space="preserve">. DUSC noted that there had been a steep increase in the number of treated patients and prescriptions. DUSC further noted it was suggested that switching between agents </w:t>
      </w:r>
      <w:proofErr w:type="gramStart"/>
      <w:r w:rsidRPr="0042291B">
        <w:t>may</w:t>
      </w:r>
      <w:proofErr w:type="gramEnd"/>
      <w:r w:rsidRPr="0042291B">
        <w:t xml:space="preserve"> be prolonging time on therapy and increasing the number of prevalent patients.</w:t>
      </w:r>
      <w:r>
        <w:t xml:space="preserve"> DUSC considered it was timely to review the use of biologics for the trea</w:t>
      </w:r>
      <w:r w:rsidR="004527AF">
        <w:t xml:space="preserve">tment of severe uncontrolled asthma. </w:t>
      </w:r>
    </w:p>
    <w:p w14:paraId="0A7F0B57" w14:textId="034D22D5" w:rsidR="006537D9" w:rsidRPr="005E22C2" w:rsidRDefault="00736041" w:rsidP="00CF5E22">
      <w:pPr>
        <w:pStyle w:val="Heading1"/>
      </w:pPr>
      <w:r w:rsidRPr="005E22C2">
        <w:t>Background</w:t>
      </w:r>
    </w:p>
    <w:p w14:paraId="2C748275" w14:textId="5BA89A61" w:rsidR="00453191" w:rsidRPr="007247B9" w:rsidRDefault="00EE2BBB" w:rsidP="00EE2BBB">
      <w:pPr>
        <w:pStyle w:val="Heading2"/>
      </w:pPr>
      <w:r w:rsidRPr="007247B9">
        <w:t>Clinical situation</w:t>
      </w:r>
      <w:bookmarkStart w:id="0" w:name="_Ref17379383"/>
      <w:r w:rsidR="00453191">
        <w:rPr>
          <w:rStyle w:val="EndnoteReference"/>
        </w:rPr>
        <w:endnoteReference w:id="1"/>
      </w:r>
      <w:bookmarkEnd w:id="0"/>
    </w:p>
    <w:p w14:paraId="7111AED8" w14:textId="77777777" w:rsidR="002C42FD" w:rsidRDefault="00453191" w:rsidP="00F34959">
      <w:r w:rsidRPr="009144B4">
        <w:t xml:space="preserve">There are currently three biologic medicines </w:t>
      </w:r>
      <w:r>
        <w:t>listed on the PBS</w:t>
      </w:r>
      <w:r w:rsidRPr="009144B4">
        <w:t xml:space="preserve"> for the treatment of severe asthma. </w:t>
      </w:r>
      <w:proofErr w:type="spellStart"/>
      <w:r w:rsidRPr="009144B4">
        <w:t>Omalizumab</w:t>
      </w:r>
      <w:proofErr w:type="spellEnd"/>
      <w:r w:rsidRPr="009144B4">
        <w:t xml:space="preserve"> was t</w:t>
      </w:r>
      <w:r>
        <w:t>he first biologic medicine</w:t>
      </w:r>
      <w:r w:rsidRPr="009144B4">
        <w:t xml:space="preserve"> listed on the PBS for uncontrolled severe allergic asthma. PBS eligibility criteria </w:t>
      </w:r>
      <w:proofErr w:type="gramStart"/>
      <w:r w:rsidRPr="009144B4">
        <w:t>were developed</w:t>
      </w:r>
      <w:proofErr w:type="gramEnd"/>
      <w:r w:rsidRPr="009144B4">
        <w:t xml:space="preserve"> based predominantly on relevant </w:t>
      </w:r>
      <w:proofErr w:type="spellStart"/>
      <w:r w:rsidRPr="009144B4">
        <w:t>omalizumab</w:t>
      </w:r>
      <w:proofErr w:type="spellEnd"/>
      <w:r w:rsidRPr="009144B4">
        <w:t xml:space="preserve"> clinical trials presented to the PBAC and stakeholder consultation. The PBS restrictions for </w:t>
      </w:r>
      <w:proofErr w:type="spellStart"/>
      <w:r w:rsidRPr="009144B4">
        <w:t>mepolizumab</w:t>
      </w:r>
      <w:proofErr w:type="spellEnd"/>
      <w:r w:rsidRPr="009144B4">
        <w:t xml:space="preserve"> and </w:t>
      </w:r>
      <w:proofErr w:type="spellStart"/>
      <w:r w:rsidRPr="009144B4">
        <w:t>benralizumab</w:t>
      </w:r>
      <w:proofErr w:type="spellEnd"/>
      <w:r w:rsidRPr="009144B4">
        <w:t xml:space="preserve"> </w:t>
      </w:r>
      <w:r>
        <w:t xml:space="preserve">for the treatment of eosinophilic asthma </w:t>
      </w:r>
      <w:proofErr w:type="gramStart"/>
      <w:r w:rsidRPr="009144B4">
        <w:t>were developed</w:t>
      </w:r>
      <w:proofErr w:type="gramEnd"/>
      <w:r w:rsidRPr="009144B4">
        <w:t xml:space="preserve"> for consistency with the </w:t>
      </w:r>
      <w:proofErr w:type="spellStart"/>
      <w:r w:rsidRPr="009144B4">
        <w:t>omalizumab</w:t>
      </w:r>
      <w:proofErr w:type="spellEnd"/>
      <w:r w:rsidRPr="009144B4">
        <w:t xml:space="preserve"> PBS listing.</w:t>
      </w:r>
    </w:p>
    <w:p w14:paraId="1F482440" w14:textId="044392B3" w:rsidR="00453191" w:rsidRDefault="00453191" w:rsidP="00F34959">
      <w:r>
        <w:t xml:space="preserve">An article published in the </w:t>
      </w:r>
      <w:r w:rsidRPr="009328C0">
        <w:t>American College of Allergy, Asthma &amp; Immunology journal in 2016</w:t>
      </w:r>
      <w:r>
        <w:rPr>
          <w:rStyle w:val="EndnoteReference"/>
        </w:rPr>
        <w:endnoteReference w:id="2"/>
      </w:r>
      <w:r w:rsidRPr="009328C0">
        <w:t>,</w:t>
      </w:r>
      <w:r>
        <w:t xml:space="preserve"> not limited to severe asthma, examined the frequency and overlap of atopic, eosinophilic, and T helper 2 (TH2)-high asthma phenotypes, the latter using a non-standard definition (</w:t>
      </w:r>
      <w:proofErr w:type="spellStart"/>
      <w:r>
        <w:t>IgE</w:t>
      </w:r>
      <w:proofErr w:type="spellEnd"/>
      <w:r>
        <w:t xml:space="preserve"> </w:t>
      </w:r>
      <w:r>
        <w:rPr>
          <w:rFonts w:cstheme="minorHAnsi"/>
        </w:rPr>
        <w:t>≥</w:t>
      </w:r>
      <w:r>
        <w:t xml:space="preserve">100 IU/L and blood eosinophils </w:t>
      </w:r>
      <w:r>
        <w:rPr>
          <w:rFonts w:cstheme="minorHAnsi"/>
        </w:rPr>
        <w:t>≥</w:t>
      </w:r>
      <w:r>
        <w:t>140/</w:t>
      </w:r>
      <w:r>
        <w:rPr>
          <w:rFonts w:cstheme="minorHAnsi"/>
        </w:rPr>
        <w:t>µ</w:t>
      </w:r>
      <w:r>
        <w:t xml:space="preserve">l). The study included 269 children and 310 adults aged 6-64 years across the spectrum of asthma severity. At a higher eosinophil cut-off point, a greater proportion of eosinophilic asthma </w:t>
      </w:r>
      <w:proofErr w:type="gramStart"/>
      <w:r>
        <w:t>can be classified</w:t>
      </w:r>
      <w:proofErr w:type="gramEnd"/>
      <w:r>
        <w:t xml:space="preserve"> as atopic or TH2-high, but a lower proportion of atopic or TH2-high asthma can be classified as eosinophilic. Approximately 70% or more of children and adults with asthma were </w:t>
      </w:r>
      <w:proofErr w:type="gramStart"/>
      <w:r>
        <w:t>1</w:t>
      </w:r>
      <w:proofErr w:type="gramEnd"/>
      <w:r>
        <w:t xml:space="preserve"> of these 3 phenotypes.</w:t>
      </w:r>
    </w:p>
    <w:p w14:paraId="0183A567" w14:textId="6BBC0A8B" w:rsidR="00453191" w:rsidRDefault="00453191" w:rsidP="00CF5E22">
      <w:pPr>
        <w:pStyle w:val="Heading2"/>
      </w:pPr>
      <w:r>
        <w:t>Pharmacology</w:t>
      </w:r>
    </w:p>
    <w:p w14:paraId="03C0B477" w14:textId="75B0C203" w:rsidR="00453191" w:rsidRDefault="00453191" w:rsidP="007A5DC2">
      <w:proofErr w:type="spellStart"/>
      <w:r w:rsidRPr="007A5DC2">
        <w:t>Omalizumab</w:t>
      </w:r>
      <w:proofErr w:type="spellEnd"/>
      <w:r w:rsidRPr="007A5DC2">
        <w:t xml:space="preserve"> is a monoclonal antibody that </w:t>
      </w:r>
      <w:r>
        <w:t>blocks</w:t>
      </w:r>
      <w:r w:rsidRPr="007A5DC2">
        <w:t xml:space="preserve"> a substance produced by the body called immunoglobulin E (</w:t>
      </w:r>
      <w:proofErr w:type="spellStart"/>
      <w:r w:rsidRPr="007A5DC2">
        <w:t>IgE</w:t>
      </w:r>
      <w:proofErr w:type="spellEnd"/>
      <w:r w:rsidRPr="007A5DC2">
        <w:t xml:space="preserve">). </w:t>
      </w:r>
      <w:proofErr w:type="spellStart"/>
      <w:r w:rsidRPr="007A5DC2">
        <w:t>IgE</w:t>
      </w:r>
      <w:proofErr w:type="spellEnd"/>
      <w:r w:rsidRPr="007A5DC2">
        <w:t xml:space="preserve"> is involved in causing symptoms of </w:t>
      </w:r>
      <w:r>
        <w:t xml:space="preserve">allergic </w:t>
      </w:r>
      <w:r w:rsidRPr="007A5DC2">
        <w:t>asthma.</w:t>
      </w:r>
      <w:r>
        <w:rPr>
          <w:rStyle w:val="EndnoteReference"/>
        </w:rPr>
        <w:endnoteReference w:id="3"/>
      </w:r>
      <w:r>
        <w:t xml:space="preserve"> </w:t>
      </w:r>
    </w:p>
    <w:p w14:paraId="7E0AD0D2" w14:textId="0B20F0E2" w:rsidR="00453191" w:rsidRPr="007247B9" w:rsidRDefault="00453191" w:rsidP="008607F7">
      <w:pPr>
        <w:spacing w:after="0"/>
      </w:pPr>
      <w:proofErr w:type="spellStart"/>
      <w:r>
        <w:t>Mepolizumab</w:t>
      </w:r>
      <w:proofErr w:type="spellEnd"/>
      <w:r>
        <w:rPr>
          <w:rStyle w:val="EndnoteReference"/>
        </w:rPr>
        <w:endnoteReference w:id="4"/>
      </w:r>
      <w:r>
        <w:t xml:space="preserve"> and </w:t>
      </w:r>
      <w:proofErr w:type="spellStart"/>
      <w:r>
        <w:t>benralizumab</w:t>
      </w:r>
      <w:proofErr w:type="spellEnd"/>
      <w:r>
        <w:rPr>
          <w:rStyle w:val="EndnoteReference"/>
        </w:rPr>
        <w:endnoteReference w:id="5"/>
      </w:r>
      <w:r>
        <w:t xml:space="preserve"> both target the interleukin-5 (IL-5) pathway. </w:t>
      </w:r>
      <w:proofErr w:type="spellStart"/>
      <w:r>
        <w:t>Mepolizumab</w:t>
      </w:r>
      <w:proofErr w:type="spellEnd"/>
      <w:r>
        <w:t xml:space="preserve"> is a monoclonal antibody that blocks a protein called IL-5. </w:t>
      </w:r>
      <w:proofErr w:type="spellStart"/>
      <w:r>
        <w:t>Benralizumab</w:t>
      </w:r>
      <w:proofErr w:type="spellEnd"/>
      <w:r>
        <w:t xml:space="preserve"> is a monoclonal antibody that binds to the IL-5 receptor thus blocking IL-5 activity. These medicines both limit the production of eosinophils (a type of white blood cell) from the bone marrow. Some people with severe asthma have too many eosinophils in the blood and lungs, causing inflammation of the airways. </w:t>
      </w:r>
      <w:proofErr w:type="spellStart"/>
      <w:r>
        <w:t>Mepolizumab</w:t>
      </w:r>
      <w:proofErr w:type="spellEnd"/>
      <w:r>
        <w:t xml:space="preserve"> and </w:t>
      </w:r>
      <w:proofErr w:type="spellStart"/>
      <w:r>
        <w:t>benralizumab</w:t>
      </w:r>
      <w:proofErr w:type="spellEnd"/>
      <w:r>
        <w:t xml:space="preserve"> lower the </w:t>
      </w:r>
      <w:r>
        <w:lastRenderedPageBreak/>
        <w:t xml:space="preserve">number of eosinophils in the bloodstream and lungs to prevent worsening asthma symptoms and flare-ups. </w:t>
      </w:r>
    </w:p>
    <w:p w14:paraId="6AC18C88" w14:textId="7A398934" w:rsidR="00453191" w:rsidRPr="005E22C2" w:rsidRDefault="00453191" w:rsidP="00CF5E22">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0D12D77D" w14:textId="5A5E80D6" w:rsidR="00453191" w:rsidRDefault="00453191" w:rsidP="00687F9D">
      <w:proofErr w:type="spellStart"/>
      <w:r>
        <w:t>Omalizumab</w:t>
      </w:r>
      <w:bookmarkStart w:id="1" w:name="_Ref17381166"/>
      <w:proofErr w:type="spellEnd"/>
      <w:r w:rsidR="0076520E">
        <w:rPr>
          <w:rStyle w:val="EndnoteReference"/>
        </w:rPr>
        <w:endnoteReference w:id="6"/>
      </w:r>
      <w:bookmarkEnd w:id="1"/>
      <w:r w:rsidRPr="00734F8E">
        <w:t xml:space="preserve"> </w:t>
      </w:r>
      <w:proofErr w:type="gramStart"/>
      <w:r w:rsidRPr="00734F8E">
        <w:t>is indicated</w:t>
      </w:r>
      <w:proofErr w:type="gramEnd"/>
      <w:r w:rsidRPr="00734F8E">
        <w:t xml:space="preserve"> for the management of adult and adolescent patients with moderate to severe allergic asthma, who are already being treated with inhaled steroids, and who have serum immunoglobulin E levels corresponding</w:t>
      </w:r>
      <w:r>
        <w:t xml:space="preserve"> to the recommended dose range</w:t>
      </w:r>
      <w:r w:rsidRPr="00734F8E">
        <w:t>.</w:t>
      </w:r>
      <w:r>
        <w:t xml:space="preserve"> </w:t>
      </w:r>
      <w:r w:rsidRPr="00734F8E">
        <w:t xml:space="preserve">In children aged 6 to &lt;12 years, </w:t>
      </w:r>
      <w:proofErr w:type="spellStart"/>
      <w:r>
        <w:t>omalizumab</w:t>
      </w:r>
      <w:proofErr w:type="spellEnd"/>
      <w:r w:rsidRPr="00734F8E">
        <w:t xml:space="preserve"> is indicated as add-on therapy to improve asthma control in patients with severe allergic asthma who have documented exacerbations despite daily high dose inhaled corticosteroids, and who have immunoglobulin E levels corresponding to the recommended dose range. </w:t>
      </w:r>
    </w:p>
    <w:p w14:paraId="56E49AE1" w14:textId="19F06660" w:rsidR="00453191" w:rsidRPr="00734F8E" w:rsidRDefault="00453191" w:rsidP="00687F9D">
      <w:proofErr w:type="spellStart"/>
      <w:r>
        <w:t>Omalizumab</w:t>
      </w:r>
      <w:proofErr w:type="spellEnd"/>
      <w:r>
        <w:t xml:space="preserve"> </w:t>
      </w:r>
      <w:proofErr w:type="gramStart"/>
      <w:r>
        <w:t>is also</w:t>
      </w:r>
      <w:r w:rsidRPr="00CC097D">
        <w:t xml:space="preserve"> indicated</w:t>
      </w:r>
      <w:proofErr w:type="gramEnd"/>
      <w:r w:rsidRPr="00CC097D">
        <w:t xml:space="preserve"> for adults and adolescents (12 years of age and above) with chronic</w:t>
      </w:r>
      <w:r>
        <w:rPr>
          <w:sz w:val="23"/>
          <w:szCs w:val="23"/>
        </w:rPr>
        <w:t xml:space="preserve"> </w:t>
      </w:r>
      <w:r w:rsidRPr="00CC097D">
        <w:t xml:space="preserve">spontaneous </w:t>
      </w:r>
      <w:proofErr w:type="spellStart"/>
      <w:r w:rsidRPr="00CC097D">
        <w:t>urticaria</w:t>
      </w:r>
      <w:proofErr w:type="spellEnd"/>
      <w:r w:rsidRPr="00CC097D">
        <w:t xml:space="preserve"> who remain symptomatic despite H1 antihistamine treatment</w:t>
      </w:r>
      <w:r>
        <w:t>.</w:t>
      </w:r>
    </w:p>
    <w:p w14:paraId="2B5BB411" w14:textId="6AD97C53" w:rsidR="00453191" w:rsidRPr="00734F8E" w:rsidRDefault="00453191" w:rsidP="00687F9D">
      <w:proofErr w:type="spellStart"/>
      <w:r w:rsidRPr="00734F8E">
        <w:t>Mepolizumab</w:t>
      </w:r>
      <w:bookmarkStart w:id="2" w:name="_Ref17379344"/>
      <w:proofErr w:type="spellEnd"/>
      <w:r>
        <w:rPr>
          <w:rStyle w:val="EndnoteReference"/>
        </w:rPr>
        <w:endnoteReference w:id="7"/>
      </w:r>
      <w:bookmarkEnd w:id="2"/>
      <w:r w:rsidRPr="00734F8E">
        <w:t xml:space="preserve"> </w:t>
      </w:r>
      <w:proofErr w:type="gramStart"/>
      <w:r w:rsidRPr="00734F8E">
        <w:t>is indicated</w:t>
      </w:r>
      <w:proofErr w:type="gramEnd"/>
      <w:r w:rsidRPr="00734F8E">
        <w:t xml:space="preserve"> as an add-on treatment for severe refractory eosinophilic asthma in patients aged 12 years and over. </w:t>
      </w:r>
      <w:proofErr w:type="spellStart"/>
      <w:r w:rsidRPr="00734F8E">
        <w:t>Mepolizumab</w:t>
      </w:r>
      <w:proofErr w:type="spellEnd"/>
      <w:r w:rsidRPr="00734F8E">
        <w:t xml:space="preserve"> </w:t>
      </w:r>
      <w:proofErr w:type="gramStart"/>
      <w:r w:rsidRPr="00734F8E">
        <w:t>is also indicated</w:t>
      </w:r>
      <w:proofErr w:type="gramEnd"/>
      <w:r w:rsidRPr="00734F8E">
        <w:t xml:space="preserve"> as an add-on treatment for relapsing or refractory Eosinophilic Granulomatosis with </w:t>
      </w:r>
      <w:proofErr w:type="spellStart"/>
      <w:r w:rsidRPr="00734F8E">
        <w:t>Polyangiitis</w:t>
      </w:r>
      <w:proofErr w:type="spellEnd"/>
      <w:r w:rsidRPr="00734F8E">
        <w:t xml:space="preserve"> (EGPA) in adult patients aged 18 years and over</w:t>
      </w:r>
      <w:r>
        <w:t>; but is not PBS listed for this indication</w:t>
      </w:r>
      <w:r w:rsidRPr="00734F8E">
        <w:t xml:space="preserve">. </w:t>
      </w:r>
    </w:p>
    <w:p w14:paraId="44AD19A9" w14:textId="3D7FA02A" w:rsidR="00453191" w:rsidRDefault="00453191" w:rsidP="00687F9D">
      <w:proofErr w:type="spellStart"/>
      <w:r>
        <w:t>Benralizumab</w:t>
      </w:r>
      <w:bookmarkStart w:id="3" w:name="_Ref17379364"/>
      <w:proofErr w:type="spellEnd"/>
      <w:r>
        <w:rPr>
          <w:rStyle w:val="EndnoteReference"/>
        </w:rPr>
        <w:endnoteReference w:id="8"/>
      </w:r>
      <w:bookmarkEnd w:id="3"/>
      <w:r>
        <w:t xml:space="preserve"> </w:t>
      </w:r>
      <w:r w:rsidRPr="00FA53CB">
        <w:t>is indicated as add-on therapy in patients aged 12 years and over with severe eosinophilic asthma (blood eosinophil count ≥300 cells/</w:t>
      </w:r>
      <w:proofErr w:type="spellStart"/>
      <w:r w:rsidRPr="00FA53CB">
        <w:t>μL</w:t>
      </w:r>
      <w:proofErr w:type="spellEnd"/>
      <w:r w:rsidRPr="00FA53CB">
        <w:t xml:space="preserve"> or ≥150 cells/</w:t>
      </w:r>
      <w:proofErr w:type="spellStart"/>
      <w:r w:rsidRPr="00FA53CB">
        <w:t>μL</w:t>
      </w:r>
      <w:proofErr w:type="spellEnd"/>
      <w:r w:rsidRPr="00FA53CB">
        <w:t xml:space="preserve"> if o</w:t>
      </w:r>
      <w:r>
        <w:t>n oral corticosteroid treatment).</w:t>
      </w:r>
    </w:p>
    <w:p w14:paraId="2360C364" w14:textId="77777777" w:rsidR="00453191" w:rsidRDefault="00453191">
      <w:pPr>
        <w:spacing w:line="276" w:lineRule="auto"/>
        <w:rPr>
          <w:b/>
          <w:sz w:val="28"/>
        </w:rPr>
      </w:pPr>
      <w:r>
        <w:br w:type="page"/>
      </w:r>
    </w:p>
    <w:p w14:paraId="15E919C1" w14:textId="33AD88AA" w:rsidR="00453191" w:rsidRDefault="00453191" w:rsidP="00CF5E22">
      <w:pPr>
        <w:pStyle w:val="Heading2"/>
      </w:pPr>
      <w:r>
        <w:lastRenderedPageBreak/>
        <w:t>Dosage and administration</w:t>
      </w:r>
    </w:p>
    <w:p w14:paraId="39968141" w14:textId="458D0713" w:rsidR="00453191" w:rsidRDefault="00453191" w:rsidP="008607F7">
      <w:pPr>
        <w:pStyle w:val="Default"/>
        <w:rPr>
          <w:rFonts w:asciiTheme="minorHAnsi" w:eastAsiaTheme="minorEastAsia" w:hAnsiTheme="minorHAnsi" w:cstheme="minorBidi"/>
          <w:color w:val="auto"/>
          <w:lang w:eastAsia="en-AU"/>
        </w:rPr>
      </w:pPr>
      <w:proofErr w:type="gramStart"/>
      <w:r w:rsidRPr="00CC097D">
        <w:rPr>
          <w:rFonts w:asciiTheme="minorHAnsi" w:eastAsiaTheme="minorEastAsia" w:hAnsiTheme="minorHAnsi" w:cstheme="minorBidi"/>
          <w:color w:val="auto"/>
          <w:lang w:eastAsia="en-AU"/>
        </w:rPr>
        <w:t>Omalizumab</w:t>
      </w:r>
      <w:r w:rsidR="0076520E" w:rsidRPr="0076520E">
        <w:rPr>
          <w:rFonts w:asciiTheme="minorHAnsi" w:eastAsiaTheme="minorEastAsia" w:hAnsiTheme="minorHAnsi" w:cstheme="minorBidi"/>
          <w:color w:val="auto"/>
          <w:vertAlign w:val="superscript"/>
          <w:lang w:eastAsia="en-AU"/>
        </w:rPr>
        <w:fldChar w:fldCharType="begin"/>
      </w:r>
      <w:r w:rsidR="0076520E" w:rsidRPr="0076520E">
        <w:rPr>
          <w:rFonts w:asciiTheme="minorHAnsi" w:eastAsiaTheme="minorEastAsia" w:hAnsiTheme="minorHAnsi" w:cstheme="minorBidi"/>
          <w:color w:val="auto"/>
          <w:vertAlign w:val="superscript"/>
          <w:lang w:eastAsia="en-AU"/>
        </w:rPr>
        <w:instrText xml:space="preserve"> NOTEREF _Ref17381166 \h </w:instrText>
      </w:r>
      <w:r w:rsidR="0076520E">
        <w:rPr>
          <w:rFonts w:asciiTheme="minorHAnsi" w:eastAsiaTheme="minorEastAsia" w:hAnsiTheme="minorHAnsi" w:cstheme="minorBidi"/>
          <w:color w:val="auto"/>
          <w:vertAlign w:val="superscript"/>
          <w:lang w:eastAsia="en-AU"/>
        </w:rPr>
        <w:instrText xml:space="preserve"> \* MERGEFORMAT </w:instrText>
      </w:r>
      <w:r w:rsidR="0076520E" w:rsidRPr="0076520E">
        <w:rPr>
          <w:rFonts w:asciiTheme="minorHAnsi" w:eastAsiaTheme="minorEastAsia" w:hAnsiTheme="minorHAnsi" w:cstheme="minorBidi"/>
          <w:color w:val="auto"/>
          <w:vertAlign w:val="superscript"/>
          <w:lang w:eastAsia="en-AU"/>
        </w:rPr>
      </w:r>
      <w:r w:rsidR="0076520E" w:rsidRPr="0076520E">
        <w:rPr>
          <w:rFonts w:asciiTheme="minorHAnsi" w:eastAsiaTheme="minorEastAsia" w:hAnsiTheme="minorHAnsi" w:cstheme="minorBidi"/>
          <w:color w:val="auto"/>
          <w:vertAlign w:val="superscript"/>
          <w:lang w:eastAsia="en-AU"/>
        </w:rPr>
        <w:fldChar w:fldCharType="separate"/>
      </w:r>
      <w:r w:rsidR="003818AF">
        <w:rPr>
          <w:rFonts w:asciiTheme="minorHAnsi" w:eastAsiaTheme="minorEastAsia" w:hAnsiTheme="minorHAnsi" w:cstheme="minorBidi"/>
          <w:color w:val="auto"/>
          <w:vertAlign w:val="superscript"/>
          <w:lang w:eastAsia="en-AU"/>
        </w:rPr>
        <w:t>6</w:t>
      </w:r>
      <w:r w:rsidR="0076520E" w:rsidRPr="0076520E">
        <w:rPr>
          <w:rFonts w:asciiTheme="minorHAnsi" w:eastAsiaTheme="minorEastAsia" w:hAnsiTheme="minorHAnsi" w:cstheme="minorBidi"/>
          <w:color w:val="auto"/>
          <w:vertAlign w:val="superscript"/>
          <w:lang w:eastAsia="en-AU"/>
        </w:rPr>
        <w:fldChar w:fldCharType="end"/>
      </w:r>
      <w:r w:rsidRPr="00CC097D">
        <w:rPr>
          <w:rFonts w:asciiTheme="minorHAnsi" w:eastAsiaTheme="minorEastAsia" w:hAnsiTheme="minorHAnsi" w:cstheme="minorBidi"/>
          <w:color w:val="auto"/>
          <w:lang w:eastAsia="en-AU"/>
        </w:rPr>
        <w:t xml:space="preserve"> is administered subcutaneously </w:t>
      </w:r>
      <w:r>
        <w:rPr>
          <w:rFonts w:asciiTheme="minorHAnsi" w:eastAsiaTheme="minorEastAsia" w:hAnsiTheme="minorHAnsi" w:cstheme="minorBidi"/>
          <w:color w:val="auto"/>
          <w:lang w:eastAsia="en-AU"/>
        </w:rPr>
        <w:t>by a healthcare provider</w:t>
      </w:r>
      <w:proofErr w:type="gramEnd"/>
      <w:r>
        <w:rPr>
          <w:rFonts w:asciiTheme="minorHAnsi" w:eastAsiaTheme="minorEastAsia" w:hAnsiTheme="minorHAnsi" w:cstheme="minorBidi"/>
          <w:color w:val="auto"/>
          <w:lang w:eastAsia="en-AU"/>
        </w:rPr>
        <w:t xml:space="preserve"> </w:t>
      </w:r>
      <w:r w:rsidRPr="00CC097D">
        <w:rPr>
          <w:rFonts w:asciiTheme="minorHAnsi" w:eastAsiaTheme="minorEastAsia" w:hAnsiTheme="minorHAnsi" w:cstheme="minorBidi"/>
          <w:color w:val="auto"/>
          <w:lang w:eastAsia="en-AU"/>
        </w:rPr>
        <w:t>every two or four weeks.</w:t>
      </w:r>
      <w:r>
        <w:rPr>
          <w:rFonts w:asciiTheme="minorHAnsi" w:eastAsiaTheme="minorEastAsia" w:hAnsiTheme="minorHAnsi" w:cstheme="minorBidi"/>
          <w:color w:val="auto"/>
          <w:lang w:eastAsia="en-AU"/>
        </w:rPr>
        <w:t xml:space="preserve"> Doses</w:t>
      </w:r>
      <w:r w:rsidRPr="00CC097D">
        <w:rPr>
          <w:rFonts w:asciiTheme="minorHAnsi" w:eastAsiaTheme="minorEastAsia" w:hAnsiTheme="minorHAnsi" w:cstheme="minorBidi"/>
          <w:color w:val="auto"/>
          <w:lang w:eastAsia="en-AU"/>
        </w:rPr>
        <w:t xml:space="preserve"> and dosing frequency are determined by baseline se</w:t>
      </w:r>
      <w:r>
        <w:rPr>
          <w:rFonts w:asciiTheme="minorHAnsi" w:eastAsiaTheme="minorEastAsia" w:hAnsiTheme="minorHAnsi" w:cstheme="minorBidi"/>
          <w:color w:val="auto"/>
          <w:lang w:eastAsia="en-AU"/>
        </w:rPr>
        <w:t xml:space="preserve">rum total </w:t>
      </w:r>
      <w:proofErr w:type="spellStart"/>
      <w:r>
        <w:rPr>
          <w:rFonts w:asciiTheme="minorHAnsi" w:eastAsiaTheme="minorEastAsia" w:hAnsiTheme="minorHAnsi" w:cstheme="minorBidi"/>
          <w:color w:val="auto"/>
          <w:lang w:eastAsia="en-AU"/>
        </w:rPr>
        <w:t>IgE</w:t>
      </w:r>
      <w:proofErr w:type="spellEnd"/>
      <w:r>
        <w:rPr>
          <w:rFonts w:asciiTheme="minorHAnsi" w:eastAsiaTheme="minorEastAsia" w:hAnsiTheme="minorHAnsi" w:cstheme="minorBidi"/>
          <w:color w:val="auto"/>
          <w:lang w:eastAsia="en-AU"/>
        </w:rPr>
        <w:t xml:space="preserve"> level</w:t>
      </w:r>
      <w:r w:rsidRPr="00CC097D">
        <w:rPr>
          <w:rFonts w:asciiTheme="minorHAnsi" w:eastAsiaTheme="minorEastAsia" w:hAnsiTheme="minorHAnsi" w:cstheme="minorBidi"/>
          <w:color w:val="auto"/>
          <w:lang w:eastAsia="en-AU"/>
        </w:rPr>
        <w:t xml:space="preserve">, measured before the start of treatment, and body weight. </w:t>
      </w:r>
      <w:r>
        <w:rPr>
          <w:rFonts w:asciiTheme="minorHAnsi" w:eastAsiaTheme="minorEastAsia" w:hAnsiTheme="minorHAnsi" w:cstheme="minorBidi"/>
          <w:color w:val="auto"/>
          <w:lang w:eastAsia="en-AU"/>
        </w:rPr>
        <w:t xml:space="preserve">The dose range is 75 mg </w:t>
      </w:r>
      <w:r>
        <w:rPr>
          <w:rFonts w:asciiTheme="minorHAnsi" w:eastAsiaTheme="minorEastAsia" w:hAnsiTheme="minorHAnsi" w:cstheme="minorBidi"/>
          <w:color w:val="auto"/>
          <w:lang w:eastAsia="en-AU"/>
        </w:rPr>
        <w:noBreakHyphen/>
        <w:t xml:space="preserve"> 600 mg once per four weeks, or 225 mg </w:t>
      </w:r>
      <w:r>
        <w:rPr>
          <w:rFonts w:asciiTheme="minorHAnsi" w:eastAsiaTheme="minorEastAsia" w:hAnsiTheme="minorHAnsi" w:cstheme="minorBidi"/>
          <w:color w:val="auto"/>
          <w:lang w:eastAsia="en-AU"/>
        </w:rPr>
        <w:noBreakHyphen/>
        <w:t xml:space="preserve"> 375 mg every two weeks. </w:t>
      </w:r>
    </w:p>
    <w:p w14:paraId="3CCAE354" w14:textId="1DB2DB21" w:rsidR="00453191" w:rsidRDefault="00453191" w:rsidP="008607F7">
      <w:pPr>
        <w:pStyle w:val="Default"/>
        <w:rPr>
          <w:rFonts w:asciiTheme="minorHAnsi" w:eastAsiaTheme="minorEastAsia" w:hAnsiTheme="minorHAnsi" w:cstheme="minorBidi"/>
          <w:color w:val="auto"/>
          <w:lang w:eastAsia="en-AU"/>
        </w:rPr>
      </w:pPr>
    </w:p>
    <w:p w14:paraId="7933DC33" w14:textId="3933DC6B" w:rsidR="00453191" w:rsidRPr="008607F7" w:rsidRDefault="00453191" w:rsidP="008607F7">
      <w:pPr>
        <w:pStyle w:val="Default"/>
        <w:rPr>
          <w:rFonts w:asciiTheme="minorHAnsi" w:eastAsiaTheme="minorEastAsia" w:hAnsiTheme="minorHAnsi" w:cstheme="minorBidi"/>
          <w:color w:val="auto"/>
          <w:lang w:eastAsia="en-AU"/>
        </w:rPr>
      </w:pPr>
      <w:proofErr w:type="gramStart"/>
      <w:r>
        <w:rPr>
          <w:rFonts w:asciiTheme="minorHAnsi" w:eastAsiaTheme="minorEastAsia" w:hAnsiTheme="minorHAnsi" w:cstheme="minorBidi"/>
          <w:color w:val="auto"/>
          <w:lang w:eastAsia="en-AU"/>
        </w:rPr>
        <w:t>Mepolizumab</w:t>
      </w:r>
      <w:r w:rsidRPr="00453191">
        <w:rPr>
          <w:rFonts w:asciiTheme="minorHAnsi" w:eastAsiaTheme="minorEastAsia" w:hAnsiTheme="minorHAnsi" w:cstheme="minorBidi"/>
          <w:color w:val="auto"/>
          <w:vertAlign w:val="superscript"/>
          <w:lang w:eastAsia="en-AU"/>
        </w:rPr>
        <w:fldChar w:fldCharType="begin"/>
      </w:r>
      <w:r w:rsidRPr="00453191">
        <w:rPr>
          <w:rFonts w:asciiTheme="minorHAnsi" w:eastAsiaTheme="minorEastAsia" w:hAnsiTheme="minorHAnsi" w:cstheme="minorBidi"/>
          <w:color w:val="auto"/>
          <w:vertAlign w:val="superscript"/>
          <w:lang w:eastAsia="en-AU"/>
        </w:rPr>
        <w:instrText xml:space="preserve"> NOTEREF _Ref17379344 \h  \* MERGEFORMAT </w:instrText>
      </w:r>
      <w:r w:rsidRPr="00453191">
        <w:rPr>
          <w:rFonts w:asciiTheme="minorHAnsi" w:eastAsiaTheme="minorEastAsia" w:hAnsiTheme="minorHAnsi" w:cstheme="minorBidi"/>
          <w:color w:val="auto"/>
          <w:vertAlign w:val="superscript"/>
          <w:lang w:eastAsia="en-AU"/>
        </w:rPr>
      </w:r>
      <w:r w:rsidRPr="00453191">
        <w:rPr>
          <w:rFonts w:asciiTheme="minorHAnsi" w:eastAsiaTheme="minorEastAsia" w:hAnsiTheme="minorHAnsi" w:cstheme="minorBidi"/>
          <w:color w:val="auto"/>
          <w:vertAlign w:val="superscript"/>
          <w:lang w:eastAsia="en-AU"/>
        </w:rPr>
        <w:fldChar w:fldCharType="separate"/>
      </w:r>
      <w:r w:rsidR="003818AF">
        <w:rPr>
          <w:rFonts w:asciiTheme="minorHAnsi" w:eastAsiaTheme="minorEastAsia" w:hAnsiTheme="minorHAnsi" w:cstheme="minorBidi"/>
          <w:color w:val="auto"/>
          <w:vertAlign w:val="superscript"/>
          <w:lang w:eastAsia="en-AU"/>
        </w:rPr>
        <w:t>7</w:t>
      </w:r>
      <w:r w:rsidRPr="00453191">
        <w:rPr>
          <w:rFonts w:asciiTheme="minorHAnsi" w:eastAsiaTheme="minorEastAsia" w:hAnsiTheme="minorHAnsi" w:cstheme="minorBidi"/>
          <w:color w:val="auto"/>
          <w:vertAlign w:val="superscript"/>
          <w:lang w:eastAsia="en-AU"/>
        </w:rPr>
        <w:fldChar w:fldCharType="end"/>
      </w:r>
      <w:r>
        <w:rPr>
          <w:rFonts w:asciiTheme="minorHAnsi" w:eastAsiaTheme="minorEastAsia" w:hAnsiTheme="minorHAnsi" w:cstheme="minorBidi"/>
          <w:color w:val="auto"/>
          <w:lang w:eastAsia="en-AU"/>
        </w:rPr>
        <w:t xml:space="preserve"> </w:t>
      </w:r>
      <w:r w:rsidRPr="008607F7">
        <w:rPr>
          <w:rFonts w:asciiTheme="minorHAnsi" w:eastAsiaTheme="minorEastAsia" w:hAnsiTheme="minorHAnsi" w:cstheme="minorBidi"/>
          <w:color w:val="auto"/>
          <w:lang w:eastAsia="en-AU"/>
        </w:rPr>
        <w:t>should be prescribed by a specialist experienced in the diagnosis and treatment of severe asthma</w:t>
      </w:r>
      <w:proofErr w:type="gramEnd"/>
      <w:r w:rsidRPr="008607F7">
        <w:rPr>
          <w:rFonts w:asciiTheme="minorHAnsi" w:eastAsiaTheme="minorEastAsia" w:hAnsiTheme="minorHAnsi" w:cstheme="minorBidi"/>
          <w:color w:val="auto"/>
          <w:lang w:eastAsia="en-AU"/>
        </w:rPr>
        <w:t xml:space="preserve">. </w:t>
      </w:r>
      <w:proofErr w:type="spellStart"/>
      <w:r>
        <w:rPr>
          <w:rFonts w:asciiTheme="minorHAnsi" w:eastAsiaTheme="minorEastAsia" w:hAnsiTheme="minorHAnsi" w:cstheme="minorBidi"/>
          <w:color w:val="auto"/>
          <w:lang w:eastAsia="en-AU"/>
        </w:rPr>
        <w:t>Mepolizumab</w:t>
      </w:r>
      <w:proofErr w:type="spellEnd"/>
      <w:r>
        <w:rPr>
          <w:rFonts w:asciiTheme="minorHAnsi" w:eastAsiaTheme="minorEastAsia" w:hAnsiTheme="minorHAnsi" w:cstheme="minorBidi"/>
          <w:color w:val="auto"/>
          <w:lang w:eastAsia="en-AU"/>
        </w:rPr>
        <w:t xml:space="preserve"> </w:t>
      </w:r>
      <w:proofErr w:type="gramStart"/>
      <w:r w:rsidRPr="008607F7">
        <w:rPr>
          <w:rFonts w:asciiTheme="minorHAnsi" w:eastAsiaTheme="minorEastAsia" w:hAnsiTheme="minorHAnsi" w:cstheme="minorBidi"/>
          <w:color w:val="auto"/>
          <w:lang w:eastAsia="en-AU"/>
        </w:rPr>
        <w:t>should be reconstituted and administered</w:t>
      </w:r>
      <w:r>
        <w:rPr>
          <w:rFonts w:asciiTheme="minorHAnsi" w:eastAsiaTheme="minorEastAsia" w:hAnsiTheme="minorHAnsi" w:cstheme="minorBidi"/>
          <w:color w:val="auto"/>
          <w:lang w:eastAsia="en-AU"/>
        </w:rPr>
        <w:t xml:space="preserve"> subcutaneously</w:t>
      </w:r>
      <w:r w:rsidRPr="008607F7">
        <w:rPr>
          <w:rFonts w:asciiTheme="minorHAnsi" w:eastAsiaTheme="minorEastAsia" w:hAnsiTheme="minorHAnsi" w:cstheme="minorBidi"/>
          <w:color w:val="auto"/>
          <w:lang w:eastAsia="en-AU"/>
        </w:rPr>
        <w:t xml:space="preserve"> by a health care professional</w:t>
      </w:r>
      <w:proofErr w:type="gramEnd"/>
      <w:r w:rsidRPr="008607F7">
        <w:rPr>
          <w:rFonts w:asciiTheme="minorHAnsi" w:eastAsiaTheme="minorEastAsia" w:hAnsiTheme="minorHAnsi" w:cstheme="minorBidi"/>
          <w:color w:val="auto"/>
          <w:lang w:eastAsia="en-AU"/>
        </w:rPr>
        <w:t xml:space="preserve">. The recommended dose is 100 mg of </w:t>
      </w:r>
      <w:proofErr w:type="spellStart"/>
      <w:r>
        <w:rPr>
          <w:rFonts w:asciiTheme="minorHAnsi" w:eastAsiaTheme="minorEastAsia" w:hAnsiTheme="minorHAnsi" w:cstheme="minorBidi"/>
          <w:color w:val="auto"/>
          <w:lang w:eastAsia="en-AU"/>
        </w:rPr>
        <w:t>mepolizumab</w:t>
      </w:r>
      <w:proofErr w:type="spellEnd"/>
      <w:r w:rsidRPr="008607F7">
        <w:rPr>
          <w:rFonts w:asciiTheme="minorHAnsi" w:eastAsiaTheme="minorEastAsia" w:hAnsiTheme="minorHAnsi" w:cstheme="minorBidi"/>
          <w:color w:val="auto"/>
          <w:lang w:eastAsia="en-AU"/>
        </w:rPr>
        <w:t xml:space="preserve"> administered by subcutaneous injection once every 4 weeks. </w:t>
      </w:r>
    </w:p>
    <w:p w14:paraId="1D70793D" w14:textId="61FFF812" w:rsidR="00453191" w:rsidRDefault="00453191" w:rsidP="008607F7">
      <w:pPr>
        <w:pStyle w:val="Default"/>
        <w:rPr>
          <w:sz w:val="22"/>
          <w:szCs w:val="22"/>
        </w:rPr>
      </w:pPr>
    </w:p>
    <w:p w14:paraId="310BD0A5" w14:textId="135644D0" w:rsidR="00453191" w:rsidRDefault="00453191" w:rsidP="008607F7">
      <w:pPr>
        <w:pStyle w:val="Default"/>
      </w:pPr>
      <w:r w:rsidRPr="00FA53CB">
        <w:t>Benralizumab</w:t>
      </w:r>
      <w:r w:rsidRPr="00453191">
        <w:rPr>
          <w:vertAlign w:val="superscript"/>
        </w:rPr>
        <w:fldChar w:fldCharType="begin"/>
      </w:r>
      <w:r w:rsidRPr="00453191">
        <w:rPr>
          <w:vertAlign w:val="superscript"/>
        </w:rPr>
        <w:instrText xml:space="preserve"> NOTEREF _Ref17379364 \h </w:instrText>
      </w:r>
      <w:r>
        <w:rPr>
          <w:vertAlign w:val="superscript"/>
        </w:rPr>
        <w:instrText xml:space="preserve"> \* MERGEFORMAT </w:instrText>
      </w:r>
      <w:r w:rsidRPr="00453191">
        <w:rPr>
          <w:vertAlign w:val="superscript"/>
        </w:rPr>
      </w:r>
      <w:r w:rsidRPr="00453191">
        <w:rPr>
          <w:vertAlign w:val="superscript"/>
        </w:rPr>
        <w:fldChar w:fldCharType="separate"/>
      </w:r>
      <w:r w:rsidR="003818AF">
        <w:rPr>
          <w:vertAlign w:val="superscript"/>
        </w:rPr>
        <w:t>8</w:t>
      </w:r>
      <w:r w:rsidRPr="00453191">
        <w:rPr>
          <w:vertAlign w:val="superscript"/>
        </w:rPr>
        <w:fldChar w:fldCharType="end"/>
      </w:r>
      <w:r w:rsidRPr="00FA53CB">
        <w:t xml:space="preserve"> </w:t>
      </w:r>
      <w:proofErr w:type="gramStart"/>
      <w:r w:rsidRPr="00FA53CB">
        <w:t>should be prescribed</w:t>
      </w:r>
      <w:proofErr w:type="gramEnd"/>
      <w:r w:rsidRPr="00FA53CB">
        <w:t xml:space="preserve"> by a health care professional in consultation with a specialist physician experienced in the diagnosis and treatment of severe asthma. The recommended dose is 30 mg of </w:t>
      </w:r>
      <w:proofErr w:type="spellStart"/>
      <w:r>
        <w:t>benralizumab</w:t>
      </w:r>
      <w:proofErr w:type="spellEnd"/>
      <w:r w:rsidRPr="00FA53CB">
        <w:t xml:space="preserve"> by subcutaneous injection every 4 weeks for the first 3 doses, and then every 8 weeks thereafter. </w:t>
      </w:r>
      <w:proofErr w:type="spellStart"/>
      <w:r>
        <w:t>Benralizumab</w:t>
      </w:r>
      <w:proofErr w:type="spellEnd"/>
      <w:r w:rsidRPr="00FA53CB">
        <w:t xml:space="preserve"> </w:t>
      </w:r>
      <w:proofErr w:type="gramStart"/>
      <w:r w:rsidRPr="00FA53CB">
        <w:t>is intended</w:t>
      </w:r>
      <w:proofErr w:type="gramEnd"/>
      <w:r w:rsidRPr="00FA53CB">
        <w:t xml:space="preserve"> for long-term treatment. A decision to continue therapy </w:t>
      </w:r>
      <w:proofErr w:type="gramStart"/>
      <w:r w:rsidRPr="00FA53CB">
        <w:t>should be made</w:t>
      </w:r>
      <w:proofErr w:type="gramEnd"/>
      <w:r w:rsidRPr="00FA53CB">
        <w:t xml:space="preserve"> at least annually based on disease severity and level of exacerbation. </w:t>
      </w:r>
    </w:p>
    <w:p w14:paraId="4F5E8E44" w14:textId="77777777" w:rsidR="00453191" w:rsidRPr="00FA53CB" w:rsidRDefault="00453191" w:rsidP="008607F7">
      <w:pPr>
        <w:pStyle w:val="Default"/>
      </w:pPr>
    </w:p>
    <w:p w14:paraId="4931D605" w14:textId="164051F9" w:rsidR="00453191" w:rsidRDefault="00453191" w:rsidP="00F34959">
      <w:pPr>
        <w:spacing w:after="0"/>
      </w:pPr>
      <w:r>
        <w:t>The half-lives of the biologics used to treat severe asthma are as follows:</w:t>
      </w:r>
    </w:p>
    <w:p w14:paraId="17EC6A9D" w14:textId="77777777" w:rsidR="00453191" w:rsidRDefault="00453191" w:rsidP="00F34959">
      <w:pPr>
        <w:pStyle w:val="ListParagraph"/>
        <w:numPr>
          <w:ilvl w:val="0"/>
          <w:numId w:val="4"/>
        </w:numPr>
        <w:spacing w:after="0"/>
      </w:pPr>
      <w:proofErr w:type="spellStart"/>
      <w:r>
        <w:t>Benralizumab</w:t>
      </w:r>
      <w:proofErr w:type="spellEnd"/>
      <w:r>
        <w:t xml:space="preserve"> = 15 days</w:t>
      </w:r>
    </w:p>
    <w:p w14:paraId="63C2D8FB" w14:textId="77777777" w:rsidR="00453191" w:rsidRDefault="00453191" w:rsidP="00F34959">
      <w:pPr>
        <w:pStyle w:val="ListParagraph"/>
        <w:numPr>
          <w:ilvl w:val="0"/>
          <w:numId w:val="4"/>
        </w:numPr>
        <w:spacing w:after="0"/>
      </w:pPr>
      <w:proofErr w:type="spellStart"/>
      <w:r>
        <w:t>Mepolizumab</w:t>
      </w:r>
      <w:proofErr w:type="spellEnd"/>
      <w:r>
        <w:t xml:space="preserve"> = 16-22 days</w:t>
      </w:r>
    </w:p>
    <w:p w14:paraId="450B0E1E" w14:textId="77777777" w:rsidR="00453191" w:rsidRDefault="00453191" w:rsidP="00F34959">
      <w:pPr>
        <w:pStyle w:val="ListParagraph"/>
        <w:numPr>
          <w:ilvl w:val="0"/>
          <w:numId w:val="4"/>
        </w:numPr>
        <w:spacing w:after="0"/>
      </w:pPr>
      <w:proofErr w:type="spellStart"/>
      <w:r>
        <w:t>Omalizumab</w:t>
      </w:r>
      <w:proofErr w:type="spellEnd"/>
      <w:r>
        <w:t xml:space="preserve"> = 22 days (</w:t>
      </w:r>
      <w:r>
        <w:rPr>
          <w:rFonts w:ascii="Calibri" w:hAnsi="Calibri"/>
        </w:rPr>
        <w:t>±</w:t>
      </w:r>
      <w:r>
        <w:t>8 days)</w:t>
      </w:r>
    </w:p>
    <w:p w14:paraId="7A6FB8CE" w14:textId="18A8B111" w:rsidR="00453191" w:rsidRDefault="00453191" w:rsidP="008607F7">
      <w:pPr>
        <w:spacing w:after="0"/>
      </w:pPr>
      <w:r>
        <w:t xml:space="preserve">Therefore these medications </w:t>
      </w:r>
      <w:proofErr w:type="gramStart"/>
      <w:r>
        <w:t>would not be expected to be eliminated</w:t>
      </w:r>
      <w:proofErr w:type="gramEnd"/>
      <w:r>
        <w:t xml:space="preserve"> from the body until 75-110 days (2.5-4 months) after the last injection (based on clearance requiring five elimination half-lives).</w:t>
      </w:r>
      <w:r w:rsidRPr="00453191">
        <w:rPr>
          <w:vertAlign w:val="superscript"/>
        </w:rPr>
        <w:fldChar w:fldCharType="begin"/>
      </w:r>
      <w:r w:rsidRPr="00453191">
        <w:rPr>
          <w:vertAlign w:val="superscript"/>
        </w:rPr>
        <w:instrText xml:space="preserve"> NOTEREF _Ref17379383 \h </w:instrText>
      </w:r>
      <w:r>
        <w:rPr>
          <w:vertAlign w:val="superscript"/>
        </w:rPr>
        <w:instrText xml:space="preserve"> \* MERGEFORMAT </w:instrText>
      </w:r>
      <w:r w:rsidRPr="00453191">
        <w:rPr>
          <w:vertAlign w:val="superscript"/>
        </w:rPr>
      </w:r>
      <w:r w:rsidRPr="00453191">
        <w:rPr>
          <w:vertAlign w:val="superscript"/>
        </w:rPr>
        <w:fldChar w:fldCharType="separate"/>
      </w:r>
      <w:r w:rsidR="003818AF">
        <w:rPr>
          <w:vertAlign w:val="superscript"/>
        </w:rPr>
        <w:t>1</w:t>
      </w:r>
      <w:r w:rsidRPr="00453191">
        <w:rPr>
          <w:vertAlign w:val="superscript"/>
        </w:rPr>
        <w:fldChar w:fldCharType="end"/>
      </w:r>
    </w:p>
    <w:p w14:paraId="6A7F4592" w14:textId="77777777" w:rsidR="00453191" w:rsidRDefault="00453191" w:rsidP="008607F7">
      <w:pPr>
        <w:spacing w:after="0"/>
      </w:pPr>
    </w:p>
    <w:p w14:paraId="2FEBA065" w14:textId="31C47F52" w:rsidR="00453191" w:rsidRDefault="00453191" w:rsidP="008607F7">
      <w:pPr>
        <w:spacing w:after="0"/>
        <w:rPr>
          <w:highlight w:val="yellow"/>
        </w:rPr>
      </w:pPr>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r w:rsidRPr="008607F7">
        <w:rPr>
          <w:rStyle w:val="EndnoteReference"/>
          <w:highlight w:val="yellow"/>
        </w:rPr>
        <w:t xml:space="preserve"> </w:t>
      </w:r>
    </w:p>
    <w:p w14:paraId="3E0C02FF" w14:textId="77777777" w:rsidR="00453191" w:rsidRDefault="00453191">
      <w:pPr>
        <w:spacing w:line="276" w:lineRule="auto"/>
        <w:rPr>
          <w:b/>
          <w:sz w:val="28"/>
        </w:rPr>
      </w:pPr>
      <w:r>
        <w:br w:type="page"/>
      </w:r>
    </w:p>
    <w:p w14:paraId="46E2BB42" w14:textId="5955723A" w:rsidR="00453191" w:rsidRPr="007247B9" w:rsidDel="00EE2BBB" w:rsidRDefault="00453191" w:rsidP="00CF5E22">
      <w:pPr>
        <w:pStyle w:val="Heading2"/>
      </w:pPr>
      <w:r w:rsidRPr="007247B9" w:rsidDel="00EE2BBB">
        <w:lastRenderedPageBreak/>
        <w:t>PBS listing details</w:t>
      </w:r>
      <w:r>
        <w:t xml:space="preserve"> (August 2019</w:t>
      </w:r>
      <w:r w:rsidDel="00EE2BBB">
        <w:t>)</w:t>
      </w:r>
    </w:p>
    <w:p w14:paraId="7FEE527F" w14:textId="47ACE22D" w:rsidR="00453191" w:rsidRDefault="00453191" w:rsidP="00C600F4">
      <w:proofErr w:type="spellStart"/>
      <w:r w:rsidRPr="00B152D5">
        <w:t>Omalizumab</w:t>
      </w:r>
      <w:proofErr w:type="spellEnd"/>
      <w:r w:rsidRPr="00B152D5">
        <w:t xml:space="preserve">, </w:t>
      </w:r>
      <w:proofErr w:type="spellStart"/>
      <w:r w:rsidRPr="00B152D5">
        <w:t>mepolizumab</w:t>
      </w:r>
      <w:proofErr w:type="spellEnd"/>
      <w:r w:rsidRPr="00B152D5">
        <w:t xml:space="preserve"> and </w:t>
      </w:r>
      <w:proofErr w:type="spellStart"/>
      <w:r w:rsidRPr="00B152D5">
        <w:t>benralizumab</w:t>
      </w:r>
      <w:proofErr w:type="spellEnd"/>
      <w:r w:rsidRPr="00B152D5">
        <w:t xml:space="preserve"> </w:t>
      </w:r>
      <w:proofErr w:type="gramStart"/>
      <w:r w:rsidRPr="00B152D5">
        <w:t>are listed</w:t>
      </w:r>
      <w:proofErr w:type="gramEnd"/>
      <w:r>
        <w:t xml:space="preserve"> on the S</w:t>
      </w:r>
      <w:r w:rsidRPr="00B152D5">
        <w:t>ection 100</w:t>
      </w:r>
      <w:r>
        <w:t xml:space="preserve"> (S100)</w:t>
      </w:r>
      <w:r w:rsidRPr="00B152D5">
        <w:t xml:space="preserve"> Highly Specialised Drugs (HSD) Program with Complex Authority Required listings. Prescribers </w:t>
      </w:r>
      <w:r>
        <w:t>are required to obtain written a</w:t>
      </w:r>
      <w:r w:rsidRPr="00B152D5">
        <w:t xml:space="preserve">uthority approval for initial and continuing prescriptions from </w:t>
      </w:r>
      <w:r w:rsidR="00251037">
        <w:t xml:space="preserve">Services Australia </w:t>
      </w:r>
      <w:r w:rsidRPr="00B152D5">
        <w:t>before prescribing on the PBS.</w:t>
      </w:r>
      <w:r>
        <w:t xml:space="preserve"> </w:t>
      </w:r>
    </w:p>
    <w:p w14:paraId="1B843287" w14:textId="5A90235E" w:rsidR="00453191" w:rsidRPr="001420B3" w:rsidDel="00EE2BBB" w:rsidRDefault="00453191" w:rsidP="00493E46">
      <w:pPr>
        <w:pStyle w:val="Tabletitle"/>
      </w:pPr>
      <w:r w:rsidRPr="001420B3" w:rsidDel="00EE2BBB">
        <w:t xml:space="preserve">Table </w:t>
      </w:r>
      <w:r>
        <w:t>1</w:t>
      </w:r>
      <w:r w:rsidRPr="001420B3" w:rsidDel="00EE2BBB">
        <w:t xml:space="preserve">: </w:t>
      </w:r>
      <w:r w:rsidDel="00EE2BBB">
        <w:t>PB</w:t>
      </w:r>
      <w:r>
        <w:t xml:space="preserve">S listing of </w:t>
      </w:r>
      <w:proofErr w:type="spellStart"/>
      <w:r>
        <w:t>omalizumab</w:t>
      </w:r>
      <w:proofErr w:type="spellEnd"/>
      <w:r>
        <w:t xml:space="preserve"> for severe allergic asthma</w:t>
      </w:r>
    </w:p>
    <w:tbl>
      <w:tblPr>
        <w:tblStyle w:val="TableGrid"/>
        <w:tblW w:w="9064" w:type="dxa"/>
        <w:tblLayout w:type="fixed"/>
        <w:tblLook w:val="04A0" w:firstRow="1" w:lastRow="0" w:firstColumn="1" w:lastColumn="0" w:noHBand="0" w:noVBand="1"/>
        <w:tblCaption w:val="PBS listing of omalizumab for severe allergic asthma"/>
        <w:tblDescription w:val="PBS listing details of omalizumab for severe allergic asthma"/>
      </w:tblPr>
      <w:tblGrid>
        <w:gridCol w:w="1242"/>
        <w:gridCol w:w="2410"/>
        <w:gridCol w:w="1418"/>
        <w:gridCol w:w="850"/>
        <w:gridCol w:w="1040"/>
        <w:gridCol w:w="2104"/>
      </w:tblGrid>
      <w:tr w:rsidR="00453191" w:rsidRPr="00A35800" w:rsidDel="00EE2BBB" w14:paraId="5F0DBF0B" w14:textId="77777777" w:rsidTr="00493E46">
        <w:trPr>
          <w:trHeight w:val="694"/>
          <w:tblHeader/>
        </w:trPr>
        <w:tc>
          <w:tcPr>
            <w:tcW w:w="1242" w:type="dxa"/>
            <w:shd w:val="clear" w:color="auto" w:fill="BFBFBF" w:themeFill="background1" w:themeFillShade="BF"/>
          </w:tcPr>
          <w:p w14:paraId="39933285" w14:textId="77777777" w:rsidR="00453191" w:rsidRPr="00A35800" w:rsidDel="00EE2BBB" w:rsidRDefault="00453191" w:rsidP="00D23191">
            <w:pPr>
              <w:pStyle w:val="Tableheading"/>
              <w:rPr>
                <w:sz w:val="20"/>
                <w:szCs w:val="20"/>
              </w:rPr>
            </w:pPr>
            <w:r w:rsidRPr="00A35800" w:rsidDel="00EE2BBB">
              <w:rPr>
                <w:sz w:val="20"/>
                <w:szCs w:val="20"/>
              </w:rPr>
              <w:t>Item</w:t>
            </w:r>
          </w:p>
        </w:tc>
        <w:tc>
          <w:tcPr>
            <w:tcW w:w="2410" w:type="dxa"/>
            <w:shd w:val="clear" w:color="auto" w:fill="BFBFBF" w:themeFill="background1" w:themeFillShade="BF"/>
          </w:tcPr>
          <w:p w14:paraId="5F05EB1C" w14:textId="77777777" w:rsidR="00453191" w:rsidRPr="00A35800" w:rsidDel="00EE2BBB" w:rsidRDefault="00453191" w:rsidP="00D23191">
            <w:pPr>
              <w:pStyle w:val="Tableheading"/>
              <w:rPr>
                <w:sz w:val="20"/>
                <w:szCs w:val="20"/>
              </w:rPr>
            </w:pPr>
            <w:r w:rsidRPr="00A35800" w:rsidDel="00EE2BBB">
              <w:rPr>
                <w:sz w:val="20"/>
                <w:szCs w:val="20"/>
              </w:rPr>
              <w:t>Name, form &amp; strength, pack size</w:t>
            </w:r>
          </w:p>
        </w:tc>
        <w:tc>
          <w:tcPr>
            <w:tcW w:w="1418" w:type="dxa"/>
            <w:shd w:val="clear" w:color="auto" w:fill="BFBFBF" w:themeFill="background1" w:themeFillShade="BF"/>
          </w:tcPr>
          <w:p w14:paraId="0119865D" w14:textId="77777777" w:rsidR="00453191" w:rsidRPr="00A35800" w:rsidDel="00EE2BBB" w:rsidRDefault="00453191" w:rsidP="00D23191">
            <w:pPr>
              <w:pStyle w:val="Tableheading"/>
              <w:rPr>
                <w:sz w:val="20"/>
                <w:szCs w:val="20"/>
              </w:rPr>
            </w:pPr>
            <w:r w:rsidRPr="00A35800" w:rsidDel="00EE2BBB">
              <w:rPr>
                <w:sz w:val="20"/>
                <w:szCs w:val="20"/>
              </w:rPr>
              <w:t xml:space="preserve">Max. quant. </w:t>
            </w:r>
          </w:p>
        </w:tc>
        <w:tc>
          <w:tcPr>
            <w:tcW w:w="850" w:type="dxa"/>
            <w:shd w:val="clear" w:color="auto" w:fill="BFBFBF" w:themeFill="background1" w:themeFillShade="BF"/>
          </w:tcPr>
          <w:p w14:paraId="4B44548F" w14:textId="77777777" w:rsidR="00453191" w:rsidRPr="00A35800" w:rsidDel="00EE2BBB" w:rsidRDefault="00453191" w:rsidP="00D23191">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176CC353" w14:textId="77777777" w:rsidR="00453191" w:rsidRPr="00A35800" w:rsidDel="00EE2BBB" w:rsidRDefault="00453191" w:rsidP="00D23191">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428E1022" w14:textId="77777777" w:rsidR="00453191" w:rsidRPr="00A35800" w:rsidDel="00EE2BBB" w:rsidRDefault="00453191" w:rsidP="00D23191">
            <w:pPr>
              <w:pStyle w:val="Tableheading"/>
              <w:rPr>
                <w:sz w:val="20"/>
                <w:szCs w:val="20"/>
              </w:rPr>
            </w:pPr>
            <w:r w:rsidRPr="00A35800" w:rsidDel="00EE2BBB">
              <w:rPr>
                <w:sz w:val="20"/>
                <w:szCs w:val="20"/>
              </w:rPr>
              <w:t>Brand name and manufacturer</w:t>
            </w:r>
          </w:p>
        </w:tc>
      </w:tr>
      <w:tr w:rsidR="00453191" w:rsidRPr="00A35800" w:rsidDel="00EE2BBB" w14:paraId="46EEB2A2" w14:textId="77777777" w:rsidTr="00493E46">
        <w:trPr>
          <w:trHeight w:val="552"/>
          <w:tblHeader/>
        </w:trPr>
        <w:tc>
          <w:tcPr>
            <w:tcW w:w="1242" w:type="dxa"/>
            <w:shd w:val="clear" w:color="auto" w:fill="auto"/>
          </w:tcPr>
          <w:p w14:paraId="2D66E8E8" w14:textId="77A6838E" w:rsidR="00453191" w:rsidRDefault="00453191" w:rsidP="00D23191">
            <w:pPr>
              <w:pStyle w:val="Tablewriting"/>
            </w:pPr>
            <w:r>
              <w:t>10109C;</w:t>
            </w:r>
          </w:p>
          <w:p w14:paraId="2F57394C" w14:textId="5F4116D2" w:rsidR="00453191" w:rsidRDefault="00453191" w:rsidP="00D23191">
            <w:pPr>
              <w:pStyle w:val="Tablewriting"/>
            </w:pPr>
            <w:r>
              <w:t>10973M (</w:t>
            </w:r>
            <w:proofErr w:type="spellStart"/>
            <w:r>
              <w:t>paed</w:t>
            </w:r>
            <w:proofErr w:type="spellEnd"/>
            <w:r>
              <w:t>)</w:t>
            </w:r>
          </w:p>
          <w:p w14:paraId="6001D2F0" w14:textId="3EEDCCA3" w:rsidR="00453191" w:rsidRPr="0042291B" w:rsidRDefault="00453191" w:rsidP="00493E46">
            <w:pPr>
              <w:pStyle w:val="Tablewriting"/>
            </w:pPr>
          </w:p>
        </w:tc>
        <w:tc>
          <w:tcPr>
            <w:tcW w:w="2410" w:type="dxa"/>
            <w:shd w:val="clear" w:color="auto" w:fill="auto"/>
          </w:tcPr>
          <w:p w14:paraId="29FEE799" w14:textId="77777777" w:rsidR="00453191" w:rsidRDefault="00453191" w:rsidP="00D23191">
            <w:pPr>
              <w:pStyle w:val="Tablewriting"/>
            </w:pPr>
            <w:r w:rsidRPr="00493E46">
              <w:t>OMALIZUMAB</w:t>
            </w:r>
            <w:r w:rsidRPr="00493E46">
              <w:br/>
            </w:r>
            <w:proofErr w:type="spellStart"/>
            <w:r w:rsidRPr="00493E46">
              <w:t>omalizumab</w:t>
            </w:r>
            <w:proofErr w:type="spellEnd"/>
            <w:r w:rsidRPr="00493E46">
              <w:t xml:space="preserve"> 150 mg/mL injection, 1 mL syrin</w:t>
            </w:r>
            <w:r>
              <w:t>ge</w:t>
            </w:r>
          </w:p>
          <w:p w14:paraId="4106260B" w14:textId="0E664892" w:rsidR="00453191" w:rsidRPr="0042291B" w:rsidRDefault="00453191" w:rsidP="00D23191">
            <w:pPr>
              <w:pStyle w:val="Tablewriting"/>
            </w:pPr>
            <w:r>
              <w:t>(Public)</w:t>
            </w:r>
          </w:p>
        </w:tc>
        <w:tc>
          <w:tcPr>
            <w:tcW w:w="1418" w:type="dxa"/>
            <w:shd w:val="clear" w:color="auto" w:fill="auto"/>
          </w:tcPr>
          <w:p w14:paraId="23EE3A35" w14:textId="77777777" w:rsidR="00453191" w:rsidRDefault="00453191" w:rsidP="00D23191">
            <w:pPr>
              <w:pStyle w:val="Tablewriting"/>
              <w:jc w:val="center"/>
            </w:pPr>
            <w:r>
              <w:t>1</w:t>
            </w:r>
          </w:p>
        </w:tc>
        <w:tc>
          <w:tcPr>
            <w:tcW w:w="850" w:type="dxa"/>
            <w:shd w:val="clear" w:color="auto" w:fill="auto"/>
          </w:tcPr>
          <w:p w14:paraId="053BBE4D" w14:textId="7F892F60" w:rsidR="00453191" w:rsidRDefault="00453191" w:rsidP="00D23191">
            <w:pPr>
              <w:pStyle w:val="Tablewriting"/>
              <w:jc w:val="center"/>
            </w:pPr>
            <w:r>
              <w:t>0</w:t>
            </w:r>
          </w:p>
        </w:tc>
        <w:tc>
          <w:tcPr>
            <w:tcW w:w="1040" w:type="dxa"/>
            <w:shd w:val="clear" w:color="auto" w:fill="auto"/>
          </w:tcPr>
          <w:p w14:paraId="6000488B" w14:textId="0C6298EB" w:rsidR="00453191" w:rsidRPr="0042291B" w:rsidRDefault="00453191" w:rsidP="00D23191">
            <w:pPr>
              <w:pStyle w:val="Tablewriting"/>
              <w:jc w:val="both"/>
            </w:pPr>
            <w:r>
              <w:t>$410.00</w:t>
            </w:r>
          </w:p>
        </w:tc>
        <w:tc>
          <w:tcPr>
            <w:tcW w:w="2104" w:type="dxa"/>
            <w:shd w:val="clear" w:color="auto" w:fill="auto"/>
          </w:tcPr>
          <w:p w14:paraId="05EBDBA9" w14:textId="548C975C" w:rsidR="00453191" w:rsidRDefault="00453191" w:rsidP="00D23191">
            <w:pPr>
              <w:pStyle w:val="Tablewriting"/>
            </w:pPr>
            <w:proofErr w:type="spellStart"/>
            <w:r>
              <w:t>Xolair</w:t>
            </w:r>
            <w:proofErr w:type="spellEnd"/>
            <w:r>
              <w:t xml:space="preserve">® </w:t>
            </w:r>
          </w:p>
          <w:p w14:paraId="445689BB" w14:textId="7CAC19BD" w:rsidR="00453191" w:rsidRDefault="00453191" w:rsidP="00D23191">
            <w:pPr>
              <w:pStyle w:val="Tablewriting"/>
            </w:pPr>
            <w:r w:rsidRPr="00493E46">
              <w:t>Novartis Pharmaceuticals Australia Pty Limited</w:t>
            </w:r>
          </w:p>
        </w:tc>
      </w:tr>
      <w:tr w:rsidR="00453191" w:rsidRPr="00A35800" w:rsidDel="00EE2BBB" w14:paraId="2B531D4F" w14:textId="77777777" w:rsidTr="00493E46">
        <w:trPr>
          <w:trHeight w:val="552"/>
          <w:tblHeader/>
        </w:trPr>
        <w:tc>
          <w:tcPr>
            <w:tcW w:w="1242" w:type="dxa"/>
            <w:shd w:val="clear" w:color="auto" w:fill="auto"/>
          </w:tcPr>
          <w:p w14:paraId="4E47D9AD" w14:textId="1605E456" w:rsidR="00453191" w:rsidRDefault="00453191" w:rsidP="00D23191">
            <w:pPr>
              <w:pStyle w:val="Tablewriting"/>
            </w:pPr>
            <w:r>
              <w:t>10122R;</w:t>
            </w:r>
          </w:p>
          <w:p w14:paraId="6004FD15" w14:textId="27970E01" w:rsidR="00453191" w:rsidRDefault="00453191" w:rsidP="00D23191">
            <w:pPr>
              <w:pStyle w:val="Tablewriting"/>
            </w:pPr>
            <w:r>
              <w:t>10968G</w:t>
            </w:r>
          </w:p>
          <w:p w14:paraId="3576A01C" w14:textId="1F9E2042" w:rsidR="00453191" w:rsidRPr="00A35800" w:rsidDel="00EE2BBB" w:rsidRDefault="00453191" w:rsidP="00493E46">
            <w:pPr>
              <w:pStyle w:val="Tablewriting"/>
            </w:pPr>
            <w:r>
              <w:t>(</w:t>
            </w:r>
            <w:proofErr w:type="spellStart"/>
            <w:r>
              <w:t>paed</w:t>
            </w:r>
            <w:proofErr w:type="spellEnd"/>
            <w:r>
              <w:t>)</w:t>
            </w:r>
          </w:p>
        </w:tc>
        <w:tc>
          <w:tcPr>
            <w:tcW w:w="2410" w:type="dxa"/>
            <w:shd w:val="clear" w:color="auto" w:fill="auto"/>
          </w:tcPr>
          <w:p w14:paraId="4C45E6B5" w14:textId="77777777" w:rsidR="00453191" w:rsidRDefault="00453191" w:rsidP="00493E46">
            <w:pPr>
              <w:pStyle w:val="Tablewriting"/>
            </w:pPr>
            <w:r w:rsidRPr="00493E46">
              <w:t>OMALIZUMAB</w:t>
            </w:r>
            <w:r w:rsidRPr="00493E46">
              <w:br/>
            </w:r>
            <w:proofErr w:type="spellStart"/>
            <w:r w:rsidRPr="00493E46">
              <w:t>omalizumab</w:t>
            </w:r>
            <w:proofErr w:type="spellEnd"/>
            <w:r w:rsidRPr="00493E46">
              <w:t xml:space="preserve"> 150 mg/mL injection, 1 mL syrin</w:t>
            </w:r>
            <w:r>
              <w:t>ge</w:t>
            </w:r>
          </w:p>
          <w:p w14:paraId="22E918FB" w14:textId="5262CDDA" w:rsidR="00453191" w:rsidRPr="00A35800" w:rsidDel="00EE2BBB" w:rsidRDefault="00453191" w:rsidP="00493E46">
            <w:pPr>
              <w:pStyle w:val="Tablewriting"/>
            </w:pPr>
            <w:r>
              <w:t>(Private)</w:t>
            </w:r>
          </w:p>
        </w:tc>
        <w:tc>
          <w:tcPr>
            <w:tcW w:w="1418" w:type="dxa"/>
            <w:shd w:val="clear" w:color="auto" w:fill="auto"/>
          </w:tcPr>
          <w:p w14:paraId="6370219C" w14:textId="77777777" w:rsidR="00453191" w:rsidRPr="00A35800" w:rsidDel="00EE2BBB" w:rsidRDefault="00453191" w:rsidP="00D23191">
            <w:pPr>
              <w:pStyle w:val="Tablewriting"/>
              <w:jc w:val="center"/>
            </w:pPr>
            <w:r>
              <w:t>1</w:t>
            </w:r>
          </w:p>
        </w:tc>
        <w:tc>
          <w:tcPr>
            <w:tcW w:w="850" w:type="dxa"/>
            <w:shd w:val="clear" w:color="auto" w:fill="auto"/>
          </w:tcPr>
          <w:p w14:paraId="5FC64200" w14:textId="15B48EEB" w:rsidR="00453191" w:rsidRPr="00A35800" w:rsidDel="00EE2BBB" w:rsidRDefault="00453191" w:rsidP="00D23191">
            <w:pPr>
              <w:pStyle w:val="Tablewriting"/>
              <w:jc w:val="center"/>
            </w:pPr>
            <w:r>
              <w:t>0</w:t>
            </w:r>
          </w:p>
        </w:tc>
        <w:tc>
          <w:tcPr>
            <w:tcW w:w="1040" w:type="dxa"/>
            <w:shd w:val="clear" w:color="auto" w:fill="auto"/>
          </w:tcPr>
          <w:p w14:paraId="53DEDC28" w14:textId="01B0AFB8" w:rsidR="00453191" w:rsidRPr="00A35800" w:rsidDel="00EE2BBB" w:rsidRDefault="00453191" w:rsidP="00493E46">
            <w:pPr>
              <w:pStyle w:val="Tablewriting"/>
              <w:jc w:val="both"/>
            </w:pPr>
            <w:r w:rsidRPr="0042291B">
              <w:t>$</w:t>
            </w:r>
            <w:r>
              <w:t>433.69</w:t>
            </w:r>
          </w:p>
        </w:tc>
        <w:tc>
          <w:tcPr>
            <w:tcW w:w="2104" w:type="dxa"/>
            <w:shd w:val="clear" w:color="auto" w:fill="auto"/>
          </w:tcPr>
          <w:p w14:paraId="11F71AAD" w14:textId="77777777" w:rsidR="00453191" w:rsidRDefault="00453191" w:rsidP="00493E46">
            <w:pPr>
              <w:pStyle w:val="Tablewriting"/>
            </w:pPr>
            <w:proofErr w:type="spellStart"/>
            <w:r>
              <w:t>Xolair</w:t>
            </w:r>
            <w:proofErr w:type="spellEnd"/>
            <w:r>
              <w:t xml:space="preserve">® </w:t>
            </w:r>
          </w:p>
          <w:p w14:paraId="431F858C" w14:textId="4FC7286D" w:rsidR="00453191" w:rsidRPr="00A35800" w:rsidDel="00EE2BBB" w:rsidRDefault="00453191" w:rsidP="00493E46">
            <w:pPr>
              <w:pStyle w:val="Tablewriting"/>
            </w:pPr>
            <w:r w:rsidRPr="00493E46">
              <w:t>Novartis Pharmaceuticals Australia Pty Limited</w:t>
            </w:r>
          </w:p>
        </w:tc>
      </w:tr>
      <w:tr w:rsidR="00453191" w:rsidRPr="00A35800" w:rsidDel="00EE2BBB" w14:paraId="3227F9B9" w14:textId="77777777" w:rsidTr="00493E46">
        <w:trPr>
          <w:trHeight w:val="546"/>
          <w:tblHeader/>
        </w:trPr>
        <w:tc>
          <w:tcPr>
            <w:tcW w:w="1242" w:type="dxa"/>
            <w:shd w:val="clear" w:color="auto" w:fill="auto"/>
          </w:tcPr>
          <w:p w14:paraId="2E98242F" w14:textId="46522E36" w:rsidR="00453191" w:rsidRDefault="00453191" w:rsidP="00D23191">
            <w:pPr>
              <w:pStyle w:val="Tablewriting"/>
            </w:pPr>
            <w:r>
              <w:t>10118M;</w:t>
            </w:r>
          </w:p>
          <w:p w14:paraId="6F436F6A" w14:textId="658395DE" w:rsidR="00453191" w:rsidRDefault="00453191" w:rsidP="00D23191">
            <w:pPr>
              <w:pStyle w:val="Tablewriting"/>
            </w:pPr>
            <w:r>
              <w:t>10967F</w:t>
            </w:r>
          </w:p>
          <w:p w14:paraId="1DB0F9AA" w14:textId="167EE202" w:rsidR="00453191" w:rsidRPr="00A35800" w:rsidDel="00EE2BBB" w:rsidRDefault="00453191" w:rsidP="00D23191">
            <w:pPr>
              <w:pStyle w:val="Tablewriting"/>
            </w:pPr>
            <w:r>
              <w:t>(</w:t>
            </w:r>
            <w:proofErr w:type="spellStart"/>
            <w:r>
              <w:t>paed</w:t>
            </w:r>
            <w:proofErr w:type="spellEnd"/>
            <w:r>
              <w:t>)</w:t>
            </w:r>
          </w:p>
        </w:tc>
        <w:tc>
          <w:tcPr>
            <w:tcW w:w="2410" w:type="dxa"/>
            <w:shd w:val="clear" w:color="auto" w:fill="auto"/>
          </w:tcPr>
          <w:p w14:paraId="1C792ECC" w14:textId="77777777" w:rsidR="00453191" w:rsidRDefault="00453191" w:rsidP="00D23191">
            <w:pPr>
              <w:pStyle w:val="Tablewriting"/>
            </w:pPr>
            <w:r w:rsidRPr="00493E46">
              <w:t>OMALIZUMAB</w:t>
            </w:r>
            <w:r w:rsidRPr="00493E46">
              <w:br/>
            </w:r>
            <w:proofErr w:type="spellStart"/>
            <w:r w:rsidRPr="00493E46">
              <w:t>omalizumab</w:t>
            </w:r>
            <w:proofErr w:type="spellEnd"/>
            <w:r w:rsidRPr="00493E46">
              <w:t xml:space="preserve"> 75 mg/0.5 mL injection, 0.5 mL syringe</w:t>
            </w:r>
            <w:r>
              <w:t xml:space="preserve"> </w:t>
            </w:r>
          </w:p>
          <w:p w14:paraId="2966B963" w14:textId="3BC94744" w:rsidR="00453191" w:rsidRPr="00A35800" w:rsidDel="00EE2BBB" w:rsidRDefault="00453191" w:rsidP="00D23191">
            <w:pPr>
              <w:pStyle w:val="Tablewriting"/>
            </w:pPr>
            <w:r>
              <w:t>(Public)</w:t>
            </w:r>
          </w:p>
        </w:tc>
        <w:tc>
          <w:tcPr>
            <w:tcW w:w="1418" w:type="dxa"/>
            <w:shd w:val="clear" w:color="auto" w:fill="auto"/>
          </w:tcPr>
          <w:p w14:paraId="64E2E181" w14:textId="77777777" w:rsidR="00453191" w:rsidRPr="00A35800" w:rsidDel="00EE2BBB" w:rsidRDefault="00453191" w:rsidP="00D23191">
            <w:pPr>
              <w:pStyle w:val="Tablewriting"/>
              <w:jc w:val="center"/>
            </w:pPr>
            <w:r>
              <w:t>1</w:t>
            </w:r>
          </w:p>
        </w:tc>
        <w:tc>
          <w:tcPr>
            <w:tcW w:w="850" w:type="dxa"/>
            <w:shd w:val="clear" w:color="auto" w:fill="auto"/>
          </w:tcPr>
          <w:p w14:paraId="6EF20A32" w14:textId="6BEB4A16" w:rsidR="00453191" w:rsidRPr="00A35800" w:rsidDel="00EE2BBB" w:rsidRDefault="00453191" w:rsidP="00D23191">
            <w:pPr>
              <w:pStyle w:val="Tablewriting"/>
              <w:jc w:val="center"/>
            </w:pPr>
            <w:r>
              <w:t>0</w:t>
            </w:r>
          </w:p>
        </w:tc>
        <w:tc>
          <w:tcPr>
            <w:tcW w:w="1040" w:type="dxa"/>
            <w:shd w:val="clear" w:color="auto" w:fill="auto"/>
          </w:tcPr>
          <w:p w14:paraId="567E156D" w14:textId="087AF92F" w:rsidR="00453191" w:rsidRPr="00A35800" w:rsidDel="00EE2BBB" w:rsidRDefault="00453191" w:rsidP="00493E46">
            <w:pPr>
              <w:pStyle w:val="Tablewriting"/>
              <w:jc w:val="both"/>
            </w:pPr>
            <w:r>
              <w:t>$205.00</w:t>
            </w:r>
          </w:p>
        </w:tc>
        <w:tc>
          <w:tcPr>
            <w:tcW w:w="2104" w:type="dxa"/>
            <w:shd w:val="clear" w:color="auto" w:fill="auto"/>
          </w:tcPr>
          <w:p w14:paraId="593E7A6F" w14:textId="77777777" w:rsidR="00453191" w:rsidRDefault="00453191" w:rsidP="00493E46">
            <w:pPr>
              <w:pStyle w:val="Tablewriting"/>
            </w:pPr>
            <w:proofErr w:type="spellStart"/>
            <w:r>
              <w:t>Xolair</w:t>
            </w:r>
            <w:proofErr w:type="spellEnd"/>
            <w:r>
              <w:t xml:space="preserve">® </w:t>
            </w:r>
          </w:p>
          <w:p w14:paraId="74BDD882" w14:textId="4CEBDCB3" w:rsidR="00453191" w:rsidRPr="00A35800" w:rsidDel="00EE2BBB" w:rsidRDefault="00453191" w:rsidP="00493E46">
            <w:pPr>
              <w:pStyle w:val="Tablewriting"/>
            </w:pPr>
            <w:r w:rsidRPr="00493E46">
              <w:t>Novartis Pharmaceuticals Australia Pty Limited</w:t>
            </w:r>
          </w:p>
        </w:tc>
      </w:tr>
      <w:tr w:rsidR="00453191" w:rsidRPr="00A35800" w:rsidDel="00EE2BBB" w14:paraId="46DF7F1E" w14:textId="77777777" w:rsidTr="00493E46">
        <w:trPr>
          <w:trHeight w:val="546"/>
          <w:tblHeader/>
        </w:trPr>
        <w:tc>
          <w:tcPr>
            <w:tcW w:w="1242" w:type="dxa"/>
            <w:shd w:val="clear" w:color="auto" w:fill="auto"/>
          </w:tcPr>
          <w:p w14:paraId="42A409D8" w14:textId="3B720CD1" w:rsidR="00453191" w:rsidRDefault="00453191" w:rsidP="00D23191">
            <w:pPr>
              <w:pStyle w:val="Tablewriting"/>
            </w:pPr>
            <w:r>
              <w:t>10110D;</w:t>
            </w:r>
          </w:p>
          <w:p w14:paraId="736D0D71" w14:textId="5BA14978" w:rsidR="00453191" w:rsidRDefault="00453191" w:rsidP="00D23191">
            <w:pPr>
              <w:pStyle w:val="Tablewriting"/>
            </w:pPr>
            <w:r>
              <w:t>10956P (</w:t>
            </w:r>
            <w:proofErr w:type="spellStart"/>
            <w:r>
              <w:t>paed</w:t>
            </w:r>
            <w:proofErr w:type="spellEnd"/>
            <w:r>
              <w:t>)</w:t>
            </w:r>
          </w:p>
          <w:p w14:paraId="2A1A82EE" w14:textId="6A247EEC" w:rsidR="00453191" w:rsidRPr="00A35800" w:rsidDel="00EE2BBB" w:rsidRDefault="00453191" w:rsidP="00D23191">
            <w:pPr>
              <w:pStyle w:val="Tablewriting"/>
            </w:pPr>
          </w:p>
        </w:tc>
        <w:tc>
          <w:tcPr>
            <w:tcW w:w="2410" w:type="dxa"/>
            <w:shd w:val="clear" w:color="auto" w:fill="auto"/>
          </w:tcPr>
          <w:p w14:paraId="44F592D8" w14:textId="77777777" w:rsidR="00453191" w:rsidRDefault="00453191" w:rsidP="00D23191">
            <w:pPr>
              <w:pStyle w:val="Tablewriting"/>
            </w:pPr>
            <w:r w:rsidRPr="00493E46">
              <w:t>OMALIZUMAB</w:t>
            </w:r>
            <w:r w:rsidRPr="00493E46">
              <w:br/>
            </w:r>
            <w:proofErr w:type="spellStart"/>
            <w:r w:rsidRPr="00493E46">
              <w:t>omalizumab</w:t>
            </w:r>
            <w:proofErr w:type="spellEnd"/>
            <w:r w:rsidRPr="00493E46">
              <w:t xml:space="preserve"> 75 mg/0.5 mL injection, 0.5 mL syringe</w:t>
            </w:r>
          </w:p>
          <w:p w14:paraId="561DA7AC" w14:textId="53BEB2B7" w:rsidR="00453191" w:rsidRPr="00A35800" w:rsidDel="00EE2BBB" w:rsidRDefault="00453191" w:rsidP="00D23191">
            <w:pPr>
              <w:pStyle w:val="Tablewriting"/>
            </w:pPr>
            <w:r>
              <w:t>(Private)</w:t>
            </w:r>
          </w:p>
        </w:tc>
        <w:tc>
          <w:tcPr>
            <w:tcW w:w="1418" w:type="dxa"/>
            <w:shd w:val="clear" w:color="auto" w:fill="auto"/>
          </w:tcPr>
          <w:p w14:paraId="4AB648B3" w14:textId="77777777" w:rsidR="00453191" w:rsidRPr="00A35800" w:rsidDel="00EE2BBB" w:rsidRDefault="00453191" w:rsidP="00D23191">
            <w:pPr>
              <w:pStyle w:val="Tablewriting"/>
              <w:jc w:val="center"/>
            </w:pPr>
            <w:r>
              <w:t>1</w:t>
            </w:r>
          </w:p>
        </w:tc>
        <w:tc>
          <w:tcPr>
            <w:tcW w:w="850" w:type="dxa"/>
            <w:shd w:val="clear" w:color="auto" w:fill="auto"/>
          </w:tcPr>
          <w:p w14:paraId="4E0FE55A" w14:textId="704AE136" w:rsidR="00453191" w:rsidRPr="00A35800" w:rsidDel="00EE2BBB" w:rsidRDefault="00453191" w:rsidP="00D23191">
            <w:pPr>
              <w:pStyle w:val="Tablewriting"/>
              <w:jc w:val="center"/>
            </w:pPr>
            <w:r>
              <w:t>0</w:t>
            </w:r>
          </w:p>
        </w:tc>
        <w:tc>
          <w:tcPr>
            <w:tcW w:w="1040" w:type="dxa"/>
            <w:shd w:val="clear" w:color="auto" w:fill="auto"/>
          </w:tcPr>
          <w:p w14:paraId="52DE7DDE" w14:textId="20F12D39" w:rsidR="00453191" w:rsidRPr="00A35800" w:rsidDel="00EE2BBB" w:rsidRDefault="00453191" w:rsidP="00493E46">
            <w:pPr>
              <w:pStyle w:val="Tablewriting"/>
            </w:pPr>
            <w:r>
              <w:t>$220.49</w:t>
            </w:r>
          </w:p>
        </w:tc>
        <w:tc>
          <w:tcPr>
            <w:tcW w:w="2104" w:type="dxa"/>
            <w:shd w:val="clear" w:color="auto" w:fill="auto"/>
          </w:tcPr>
          <w:p w14:paraId="3ECAA40D" w14:textId="77777777" w:rsidR="00453191" w:rsidRDefault="00453191" w:rsidP="00493E46">
            <w:pPr>
              <w:pStyle w:val="Tablewriting"/>
            </w:pPr>
            <w:proofErr w:type="spellStart"/>
            <w:r>
              <w:t>Xolair</w:t>
            </w:r>
            <w:proofErr w:type="spellEnd"/>
            <w:r>
              <w:t xml:space="preserve">® </w:t>
            </w:r>
          </w:p>
          <w:p w14:paraId="6B58C08B" w14:textId="7F046DF8" w:rsidR="00453191" w:rsidRPr="00A35800" w:rsidDel="00EE2BBB" w:rsidRDefault="00453191" w:rsidP="00493E46">
            <w:pPr>
              <w:pStyle w:val="Tablewriting"/>
            </w:pPr>
            <w:r w:rsidRPr="00493E46">
              <w:t>Novartis Pharmaceuticals Australia Pty Limited</w:t>
            </w:r>
          </w:p>
        </w:tc>
      </w:tr>
    </w:tbl>
    <w:p w14:paraId="071C8E06" w14:textId="0A96F778" w:rsidR="00453191" w:rsidRDefault="00453191" w:rsidP="00DA0529">
      <w:pPr>
        <w:pStyle w:val="Notes"/>
        <w:spacing w:after="0"/>
      </w:pPr>
      <w:r w:rsidRPr="00A35800" w:rsidDel="00EE2BBB">
        <w:t xml:space="preserve">Source: </w:t>
      </w:r>
      <w:hyperlink r:id="rId11" w:history="1">
        <w:r w:rsidRPr="001624D7" w:rsidDel="00EE2BBB">
          <w:rPr>
            <w:rStyle w:val="Hyperlink"/>
          </w:rPr>
          <w:t>PBS website</w:t>
        </w:r>
      </w:hyperlink>
      <w:r w:rsidDel="00EE2BBB">
        <w:t xml:space="preserve">. </w:t>
      </w:r>
      <w:r>
        <w:t xml:space="preserve">Special Pricing Arrangements apply. Excludes item codes for chronic spontaneous </w:t>
      </w:r>
      <w:proofErr w:type="spellStart"/>
      <w:r>
        <w:t>urticaria</w:t>
      </w:r>
      <w:proofErr w:type="spellEnd"/>
      <w:r>
        <w:t xml:space="preserve">. </w:t>
      </w:r>
      <w:proofErr w:type="spellStart"/>
      <w:r>
        <w:t>Paed</w:t>
      </w:r>
      <w:proofErr w:type="spellEnd"/>
      <w:r>
        <w:t xml:space="preserve"> = paediatric. </w:t>
      </w:r>
      <w:r w:rsidR="00522B34" w:rsidRPr="00522B34">
        <w:t xml:space="preserve">Note: the number of repeats for some </w:t>
      </w:r>
      <w:proofErr w:type="spellStart"/>
      <w:r w:rsidR="00522B34" w:rsidRPr="00522B34">
        <w:t>omalizumab</w:t>
      </w:r>
      <w:proofErr w:type="spellEnd"/>
      <w:r w:rsidR="00522B34" w:rsidRPr="00522B34">
        <w:t xml:space="preserve"> item codes </w:t>
      </w:r>
      <w:proofErr w:type="gramStart"/>
      <w:r w:rsidR="00522B34" w:rsidRPr="00522B34">
        <w:t>were changed</w:t>
      </w:r>
      <w:proofErr w:type="gramEnd"/>
      <w:r w:rsidR="00522B34" w:rsidRPr="00522B34">
        <w:t xml:space="preserve"> in December 2019 to better reflect authority approvals in practice. Refer to the </w:t>
      </w:r>
      <w:hyperlink r:id="rId12" w:history="1">
        <w:r w:rsidR="00522B34" w:rsidRPr="00522B34">
          <w:rPr>
            <w:rStyle w:val="Hyperlink"/>
          </w:rPr>
          <w:t>PBS website</w:t>
        </w:r>
      </w:hyperlink>
      <w:r w:rsidR="00522B34" w:rsidRPr="00522B34">
        <w:t xml:space="preserve"> for current listing information.</w:t>
      </w:r>
    </w:p>
    <w:p w14:paraId="1D47784A" w14:textId="18CEA172" w:rsidR="00453191" w:rsidRPr="001420B3" w:rsidDel="00EE2BBB" w:rsidRDefault="00453191" w:rsidP="00827A3E">
      <w:pPr>
        <w:pStyle w:val="Tabletitle"/>
        <w:spacing w:before="120"/>
      </w:pPr>
      <w:r w:rsidRPr="001420B3" w:rsidDel="00EE2BBB">
        <w:t xml:space="preserve">Table </w:t>
      </w:r>
      <w:r>
        <w:t>2</w:t>
      </w:r>
      <w:r w:rsidRPr="001420B3" w:rsidDel="00EE2BBB">
        <w:t xml:space="preserve">: </w:t>
      </w:r>
      <w:r w:rsidDel="00EE2BBB">
        <w:t>PB</w:t>
      </w:r>
      <w:r>
        <w:t xml:space="preserve">S listing of </w:t>
      </w:r>
      <w:proofErr w:type="spellStart"/>
      <w:r>
        <w:t>mepolizumab</w:t>
      </w:r>
      <w:proofErr w:type="spellEnd"/>
      <w:r>
        <w:t xml:space="preserve"> for severe eosinophilic asthma</w:t>
      </w:r>
    </w:p>
    <w:tbl>
      <w:tblPr>
        <w:tblStyle w:val="TableGrid"/>
        <w:tblW w:w="9064" w:type="dxa"/>
        <w:tblLayout w:type="fixed"/>
        <w:tblLook w:val="04A0" w:firstRow="1" w:lastRow="0" w:firstColumn="1" w:lastColumn="0" w:noHBand="0" w:noVBand="1"/>
        <w:tblCaption w:val="PBS listing of mepolizumab for severe eosinophilic asthma"/>
        <w:tblDescription w:val="PBS listing details of mepolizumab for severe eosinophilic asthma"/>
      </w:tblPr>
      <w:tblGrid>
        <w:gridCol w:w="1242"/>
        <w:gridCol w:w="2127"/>
        <w:gridCol w:w="1701"/>
        <w:gridCol w:w="850"/>
        <w:gridCol w:w="1040"/>
        <w:gridCol w:w="2104"/>
      </w:tblGrid>
      <w:tr w:rsidR="00453191" w:rsidRPr="00A35800" w:rsidDel="00EE2BBB" w14:paraId="6AA19A37" w14:textId="77B518AD" w:rsidTr="0042291B">
        <w:trPr>
          <w:trHeight w:val="694"/>
          <w:tblHeader/>
        </w:trPr>
        <w:tc>
          <w:tcPr>
            <w:tcW w:w="1242" w:type="dxa"/>
            <w:shd w:val="clear" w:color="auto" w:fill="BFBFBF" w:themeFill="background1" w:themeFillShade="BF"/>
          </w:tcPr>
          <w:p w14:paraId="56A3DEA0" w14:textId="1A878237" w:rsidR="00453191" w:rsidRPr="00A35800" w:rsidDel="00EE2BBB" w:rsidRDefault="00453191" w:rsidP="00A35800">
            <w:pPr>
              <w:pStyle w:val="Tableheading"/>
              <w:rPr>
                <w:sz w:val="20"/>
                <w:szCs w:val="20"/>
              </w:rPr>
            </w:pPr>
            <w:r w:rsidRPr="00A35800" w:rsidDel="00EE2BBB">
              <w:rPr>
                <w:sz w:val="20"/>
                <w:szCs w:val="20"/>
              </w:rPr>
              <w:t>Item</w:t>
            </w:r>
          </w:p>
        </w:tc>
        <w:tc>
          <w:tcPr>
            <w:tcW w:w="2127" w:type="dxa"/>
            <w:shd w:val="clear" w:color="auto" w:fill="BFBFBF" w:themeFill="background1" w:themeFillShade="BF"/>
          </w:tcPr>
          <w:p w14:paraId="67A07252" w14:textId="6DE43662" w:rsidR="00453191" w:rsidRPr="00A35800" w:rsidDel="00EE2BBB" w:rsidRDefault="00453191"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453191" w:rsidRPr="00A35800" w:rsidDel="00EE2BBB" w:rsidRDefault="00453191" w:rsidP="00A35800">
            <w:pPr>
              <w:pStyle w:val="Tableheading"/>
              <w:rPr>
                <w:sz w:val="20"/>
                <w:szCs w:val="20"/>
              </w:rPr>
            </w:pPr>
            <w:r w:rsidRPr="00A35800" w:rsidDel="00EE2BBB">
              <w:rPr>
                <w:sz w:val="20"/>
                <w:szCs w:val="20"/>
              </w:rPr>
              <w:t xml:space="preserve">Max. quant. </w:t>
            </w:r>
          </w:p>
        </w:tc>
        <w:tc>
          <w:tcPr>
            <w:tcW w:w="850" w:type="dxa"/>
            <w:shd w:val="clear" w:color="auto" w:fill="BFBFBF" w:themeFill="background1" w:themeFillShade="BF"/>
          </w:tcPr>
          <w:p w14:paraId="0F1A79F7" w14:textId="170F6D44" w:rsidR="00453191" w:rsidRPr="00A35800" w:rsidDel="00EE2BBB" w:rsidRDefault="00453191"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05C5A0BF" w14:textId="2CFF9AC9" w:rsidR="00453191" w:rsidRPr="00A35800" w:rsidDel="00EE2BBB" w:rsidRDefault="00453191"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453191" w:rsidRPr="00A35800" w:rsidDel="00EE2BBB" w:rsidRDefault="00453191" w:rsidP="00A35800">
            <w:pPr>
              <w:pStyle w:val="Tableheading"/>
              <w:rPr>
                <w:sz w:val="20"/>
                <w:szCs w:val="20"/>
              </w:rPr>
            </w:pPr>
            <w:r w:rsidRPr="00A35800" w:rsidDel="00EE2BBB">
              <w:rPr>
                <w:sz w:val="20"/>
                <w:szCs w:val="20"/>
              </w:rPr>
              <w:t>Brand name and manufacturer</w:t>
            </w:r>
          </w:p>
        </w:tc>
      </w:tr>
      <w:tr w:rsidR="00453191" w:rsidRPr="00A35800" w:rsidDel="00EE2BBB" w14:paraId="782E42D8" w14:textId="77777777" w:rsidTr="0042291B">
        <w:trPr>
          <w:trHeight w:val="552"/>
          <w:tblHeader/>
        </w:trPr>
        <w:tc>
          <w:tcPr>
            <w:tcW w:w="1242" w:type="dxa"/>
            <w:shd w:val="clear" w:color="auto" w:fill="auto"/>
          </w:tcPr>
          <w:p w14:paraId="461F37EE" w14:textId="59A4EC69" w:rsidR="00453191" w:rsidRDefault="00453191" w:rsidP="00493E46">
            <w:pPr>
              <w:pStyle w:val="Tablewriting"/>
            </w:pPr>
            <w:r>
              <w:t>11003D</w:t>
            </w:r>
          </w:p>
          <w:p w14:paraId="1D6621FA" w14:textId="51871436" w:rsidR="00453191" w:rsidRPr="0042291B" w:rsidRDefault="00453191" w:rsidP="00493E46">
            <w:pPr>
              <w:pStyle w:val="Tablewriting"/>
            </w:pPr>
            <w:r>
              <w:t>(private, initiating)</w:t>
            </w:r>
          </w:p>
        </w:tc>
        <w:tc>
          <w:tcPr>
            <w:tcW w:w="2127" w:type="dxa"/>
            <w:shd w:val="clear" w:color="auto" w:fill="auto"/>
          </w:tcPr>
          <w:p w14:paraId="72323887" w14:textId="4C858B11" w:rsidR="00453191" w:rsidRPr="0042291B" w:rsidRDefault="00453191" w:rsidP="00493E46">
            <w:pPr>
              <w:pStyle w:val="Tablewriting"/>
            </w:pPr>
            <w:r w:rsidRPr="0042291B">
              <w:t>MEPOLIZUMAB</w:t>
            </w:r>
            <w:r w:rsidRPr="0042291B">
              <w:br/>
              <w:t>100 mg injection, 1 vial</w:t>
            </w:r>
          </w:p>
        </w:tc>
        <w:tc>
          <w:tcPr>
            <w:tcW w:w="1701" w:type="dxa"/>
            <w:shd w:val="clear" w:color="auto" w:fill="auto"/>
          </w:tcPr>
          <w:p w14:paraId="0BAF828A" w14:textId="3A34EBD5" w:rsidR="00453191" w:rsidRDefault="00453191" w:rsidP="00493E46">
            <w:pPr>
              <w:pStyle w:val="Tablewriting"/>
              <w:jc w:val="center"/>
            </w:pPr>
            <w:r>
              <w:t>1</w:t>
            </w:r>
          </w:p>
        </w:tc>
        <w:tc>
          <w:tcPr>
            <w:tcW w:w="850" w:type="dxa"/>
            <w:shd w:val="clear" w:color="auto" w:fill="auto"/>
          </w:tcPr>
          <w:p w14:paraId="672FA665" w14:textId="3CB97D1C" w:rsidR="00453191" w:rsidRDefault="00453191" w:rsidP="00493E46">
            <w:pPr>
              <w:pStyle w:val="Tablewriting"/>
              <w:jc w:val="center"/>
            </w:pPr>
            <w:r>
              <w:t>7</w:t>
            </w:r>
          </w:p>
        </w:tc>
        <w:tc>
          <w:tcPr>
            <w:tcW w:w="1040" w:type="dxa"/>
            <w:shd w:val="clear" w:color="auto" w:fill="auto"/>
          </w:tcPr>
          <w:p w14:paraId="2A0F6EB9" w14:textId="151A4CD5" w:rsidR="00453191" w:rsidRPr="0042291B" w:rsidRDefault="00453191" w:rsidP="00493E46">
            <w:pPr>
              <w:pStyle w:val="Tablewriting"/>
              <w:jc w:val="both"/>
            </w:pPr>
            <w:r w:rsidRPr="0042291B">
              <w:t>$1685.29</w:t>
            </w:r>
          </w:p>
        </w:tc>
        <w:tc>
          <w:tcPr>
            <w:tcW w:w="2104" w:type="dxa"/>
            <w:shd w:val="clear" w:color="auto" w:fill="auto"/>
          </w:tcPr>
          <w:p w14:paraId="2D024246" w14:textId="77777777" w:rsidR="00453191" w:rsidRDefault="00453191" w:rsidP="00493E46">
            <w:pPr>
              <w:pStyle w:val="Tablewriting"/>
            </w:pPr>
            <w:proofErr w:type="spellStart"/>
            <w:r>
              <w:t>Nucala</w:t>
            </w:r>
            <w:proofErr w:type="spellEnd"/>
            <w:r>
              <w:t xml:space="preserve">® </w:t>
            </w:r>
          </w:p>
          <w:p w14:paraId="2D17769D" w14:textId="4AB5486D" w:rsidR="00453191" w:rsidRDefault="00453191" w:rsidP="00493E46">
            <w:pPr>
              <w:pStyle w:val="Tablewriting"/>
            </w:pPr>
            <w:r w:rsidRPr="0042291B">
              <w:t>GlaxoSmithKline Australia Pty Ltd</w:t>
            </w:r>
          </w:p>
        </w:tc>
      </w:tr>
      <w:tr w:rsidR="00453191" w:rsidRPr="00A35800" w:rsidDel="00EE2BBB" w14:paraId="2AF9D84B" w14:textId="0D323411" w:rsidTr="0042291B">
        <w:trPr>
          <w:trHeight w:val="552"/>
          <w:tblHeader/>
        </w:trPr>
        <w:tc>
          <w:tcPr>
            <w:tcW w:w="1242" w:type="dxa"/>
            <w:shd w:val="clear" w:color="auto" w:fill="auto"/>
          </w:tcPr>
          <w:p w14:paraId="5F8B7B30" w14:textId="77777777" w:rsidR="00453191" w:rsidRDefault="00453191" w:rsidP="00493E46">
            <w:pPr>
              <w:pStyle w:val="Tablewriting"/>
            </w:pPr>
            <w:r w:rsidRPr="0042291B">
              <w:t>11014Q</w:t>
            </w:r>
          </w:p>
          <w:p w14:paraId="0A3E3442" w14:textId="7B9B8C5A" w:rsidR="00453191" w:rsidRPr="00A35800" w:rsidDel="00EE2BBB" w:rsidRDefault="00453191" w:rsidP="00493E46">
            <w:pPr>
              <w:pStyle w:val="Tablewriting"/>
            </w:pPr>
            <w:r>
              <w:t>(private, continuing)</w:t>
            </w:r>
          </w:p>
        </w:tc>
        <w:tc>
          <w:tcPr>
            <w:tcW w:w="2127" w:type="dxa"/>
            <w:shd w:val="clear" w:color="auto" w:fill="auto"/>
          </w:tcPr>
          <w:p w14:paraId="0F676F51" w14:textId="1F97CE6F" w:rsidR="00453191" w:rsidRPr="00A35800" w:rsidDel="00EE2BBB" w:rsidRDefault="00453191" w:rsidP="00493E46">
            <w:pPr>
              <w:pStyle w:val="Tablewriting"/>
            </w:pPr>
            <w:r w:rsidRPr="0042291B">
              <w:t>MEPOLIZUMAB</w:t>
            </w:r>
            <w:r w:rsidRPr="0042291B">
              <w:br/>
              <w:t>100 mg injection, 1 vial</w:t>
            </w:r>
          </w:p>
        </w:tc>
        <w:tc>
          <w:tcPr>
            <w:tcW w:w="1701" w:type="dxa"/>
            <w:shd w:val="clear" w:color="auto" w:fill="auto"/>
          </w:tcPr>
          <w:p w14:paraId="0E2637C4" w14:textId="25DAF27C" w:rsidR="00453191" w:rsidRPr="00A35800" w:rsidDel="00EE2BBB" w:rsidRDefault="00453191" w:rsidP="00493E46">
            <w:pPr>
              <w:pStyle w:val="Tablewriting"/>
              <w:jc w:val="center"/>
            </w:pPr>
            <w:r>
              <w:t>1</w:t>
            </w:r>
          </w:p>
        </w:tc>
        <w:tc>
          <w:tcPr>
            <w:tcW w:w="850" w:type="dxa"/>
            <w:shd w:val="clear" w:color="auto" w:fill="auto"/>
          </w:tcPr>
          <w:p w14:paraId="6B361CAA" w14:textId="51797262" w:rsidR="00453191" w:rsidRPr="00A35800" w:rsidDel="00EE2BBB" w:rsidRDefault="00453191" w:rsidP="00493E46">
            <w:pPr>
              <w:pStyle w:val="Tablewriting"/>
              <w:jc w:val="center"/>
            </w:pPr>
            <w:r>
              <w:t>5</w:t>
            </w:r>
          </w:p>
        </w:tc>
        <w:tc>
          <w:tcPr>
            <w:tcW w:w="1040" w:type="dxa"/>
            <w:shd w:val="clear" w:color="auto" w:fill="auto"/>
          </w:tcPr>
          <w:p w14:paraId="15F68405" w14:textId="7875F7F3" w:rsidR="00453191" w:rsidRPr="00A35800" w:rsidDel="00EE2BBB" w:rsidRDefault="00453191" w:rsidP="00493E46">
            <w:pPr>
              <w:pStyle w:val="Tablewriting"/>
              <w:jc w:val="both"/>
            </w:pPr>
            <w:r w:rsidRPr="0042291B">
              <w:t>$1685.29</w:t>
            </w:r>
          </w:p>
        </w:tc>
        <w:tc>
          <w:tcPr>
            <w:tcW w:w="2104" w:type="dxa"/>
            <w:shd w:val="clear" w:color="auto" w:fill="auto"/>
          </w:tcPr>
          <w:p w14:paraId="5305FDAE" w14:textId="77777777" w:rsidR="00453191" w:rsidRDefault="00453191" w:rsidP="00493E46">
            <w:pPr>
              <w:pStyle w:val="Tablewriting"/>
            </w:pPr>
            <w:proofErr w:type="spellStart"/>
            <w:r>
              <w:t>Nucala</w:t>
            </w:r>
            <w:proofErr w:type="spellEnd"/>
            <w:r>
              <w:t xml:space="preserve">® </w:t>
            </w:r>
          </w:p>
          <w:p w14:paraId="2D337AC6" w14:textId="697837A0" w:rsidR="00453191" w:rsidRPr="00A35800" w:rsidDel="00EE2BBB" w:rsidRDefault="00453191" w:rsidP="00493E46">
            <w:pPr>
              <w:pStyle w:val="Tablewriting"/>
            </w:pPr>
            <w:r w:rsidRPr="0042291B">
              <w:t>GlaxoSmithKline Australia Pty Ltd</w:t>
            </w:r>
          </w:p>
        </w:tc>
      </w:tr>
      <w:tr w:rsidR="00453191" w:rsidRPr="00A35800" w:rsidDel="00EE2BBB" w14:paraId="24880949" w14:textId="77777777" w:rsidTr="0042291B">
        <w:trPr>
          <w:trHeight w:val="546"/>
          <w:tblHeader/>
        </w:trPr>
        <w:tc>
          <w:tcPr>
            <w:tcW w:w="1242" w:type="dxa"/>
            <w:shd w:val="clear" w:color="auto" w:fill="auto"/>
          </w:tcPr>
          <w:p w14:paraId="07C8185A" w14:textId="77777777" w:rsidR="00453191" w:rsidRDefault="00453191" w:rsidP="00493E46">
            <w:pPr>
              <w:pStyle w:val="Tablewriting"/>
            </w:pPr>
            <w:r>
              <w:t>10996R</w:t>
            </w:r>
          </w:p>
          <w:p w14:paraId="0A6D2E04" w14:textId="16599C16" w:rsidR="00453191" w:rsidRPr="00A35800" w:rsidDel="00EE2BBB" w:rsidRDefault="00453191" w:rsidP="00493E46">
            <w:pPr>
              <w:pStyle w:val="Tablewriting"/>
            </w:pPr>
            <w:r>
              <w:t>(public, initiating)</w:t>
            </w:r>
          </w:p>
        </w:tc>
        <w:tc>
          <w:tcPr>
            <w:tcW w:w="2127" w:type="dxa"/>
            <w:shd w:val="clear" w:color="auto" w:fill="auto"/>
          </w:tcPr>
          <w:p w14:paraId="198AF332" w14:textId="3C36D1BA" w:rsidR="00453191" w:rsidRPr="00A35800" w:rsidDel="00EE2BBB" w:rsidRDefault="00453191" w:rsidP="00493E46">
            <w:pPr>
              <w:pStyle w:val="Tablewriting"/>
            </w:pPr>
            <w:r w:rsidRPr="0042291B">
              <w:t>MEPOLIZUMAB</w:t>
            </w:r>
            <w:r w:rsidRPr="0042291B">
              <w:br/>
              <w:t>100 mg injection, 1 vial</w:t>
            </w:r>
          </w:p>
        </w:tc>
        <w:tc>
          <w:tcPr>
            <w:tcW w:w="1701" w:type="dxa"/>
            <w:shd w:val="clear" w:color="auto" w:fill="auto"/>
          </w:tcPr>
          <w:p w14:paraId="02A0914C" w14:textId="3DBA2B6C" w:rsidR="00453191" w:rsidRPr="00A35800" w:rsidDel="00EE2BBB" w:rsidRDefault="00453191" w:rsidP="00493E46">
            <w:pPr>
              <w:pStyle w:val="Tablewriting"/>
              <w:jc w:val="center"/>
            </w:pPr>
            <w:r>
              <w:t>1</w:t>
            </w:r>
          </w:p>
        </w:tc>
        <w:tc>
          <w:tcPr>
            <w:tcW w:w="850" w:type="dxa"/>
            <w:shd w:val="clear" w:color="auto" w:fill="auto"/>
          </w:tcPr>
          <w:p w14:paraId="64F2B2B3" w14:textId="2A2097BE" w:rsidR="00453191" w:rsidRPr="00A35800" w:rsidDel="00EE2BBB" w:rsidRDefault="00453191" w:rsidP="00493E46">
            <w:pPr>
              <w:pStyle w:val="Tablewriting"/>
              <w:jc w:val="center"/>
            </w:pPr>
            <w:r>
              <w:t>7</w:t>
            </w:r>
          </w:p>
        </w:tc>
        <w:tc>
          <w:tcPr>
            <w:tcW w:w="1040" w:type="dxa"/>
            <w:shd w:val="clear" w:color="auto" w:fill="auto"/>
          </w:tcPr>
          <w:p w14:paraId="4DBE6FAB" w14:textId="09E65D08" w:rsidR="00453191" w:rsidRPr="00A35800" w:rsidDel="00EE2BBB" w:rsidRDefault="00453191" w:rsidP="00493E46">
            <w:pPr>
              <w:pStyle w:val="Tablewriting"/>
              <w:jc w:val="both"/>
            </w:pPr>
            <w:r>
              <w:t>$1638.00</w:t>
            </w:r>
          </w:p>
        </w:tc>
        <w:tc>
          <w:tcPr>
            <w:tcW w:w="2104" w:type="dxa"/>
            <w:shd w:val="clear" w:color="auto" w:fill="auto"/>
          </w:tcPr>
          <w:p w14:paraId="62C55EA0" w14:textId="77777777" w:rsidR="00453191" w:rsidRDefault="00453191" w:rsidP="00493E46">
            <w:pPr>
              <w:pStyle w:val="Tablewriting"/>
            </w:pPr>
            <w:proofErr w:type="spellStart"/>
            <w:r>
              <w:t>Nucala</w:t>
            </w:r>
            <w:proofErr w:type="spellEnd"/>
            <w:r>
              <w:t xml:space="preserve">® </w:t>
            </w:r>
          </w:p>
          <w:p w14:paraId="1DCEE085" w14:textId="48CC0FC5" w:rsidR="00453191" w:rsidRPr="00A35800" w:rsidDel="00EE2BBB" w:rsidRDefault="00453191" w:rsidP="00493E46">
            <w:pPr>
              <w:pStyle w:val="Tablewriting"/>
            </w:pPr>
            <w:r w:rsidRPr="0042291B">
              <w:t>GlaxoSmithKline Australia Pty Ltd</w:t>
            </w:r>
          </w:p>
        </w:tc>
      </w:tr>
      <w:tr w:rsidR="00453191" w:rsidRPr="00A35800" w:rsidDel="00EE2BBB" w14:paraId="5A26F6DA" w14:textId="5F9D4936" w:rsidTr="0042291B">
        <w:trPr>
          <w:trHeight w:val="546"/>
          <w:tblHeader/>
        </w:trPr>
        <w:tc>
          <w:tcPr>
            <w:tcW w:w="1242" w:type="dxa"/>
            <w:shd w:val="clear" w:color="auto" w:fill="auto"/>
          </w:tcPr>
          <w:p w14:paraId="7D240D7B" w14:textId="77777777" w:rsidR="00453191" w:rsidRDefault="00453191" w:rsidP="00493E46">
            <w:pPr>
              <w:pStyle w:val="Tablewriting"/>
            </w:pPr>
            <w:r>
              <w:t>10980X</w:t>
            </w:r>
          </w:p>
          <w:p w14:paraId="76F26606" w14:textId="61711CB6" w:rsidR="00453191" w:rsidRPr="00A35800" w:rsidDel="00EE2BBB" w:rsidRDefault="00453191" w:rsidP="00493E46">
            <w:pPr>
              <w:pStyle w:val="Tablewriting"/>
            </w:pPr>
            <w:r>
              <w:t>(public, continuing)</w:t>
            </w:r>
          </w:p>
        </w:tc>
        <w:tc>
          <w:tcPr>
            <w:tcW w:w="2127" w:type="dxa"/>
            <w:shd w:val="clear" w:color="auto" w:fill="auto"/>
          </w:tcPr>
          <w:p w14:paraId="4C40F7E7" w14:textId="77675ABE" w:rsidR="00453191" w:rsidRPr="00A35800" w:rsidDel="00EE2BBB" w:rsidRDefault="00453191" w:rsidP="00493E46">
            <w:pPr>
              <w:pStyle w:val="Tablewriting"/>
            </w:pPr>
            <w:r w:rsidRPr="0042291B">
              <w:t>MEPOLIZUMAB</w:t>
            </w:r>
            <w:r w:rsidRPr="0042291B">
              <w:br/>
              <w:t>100 mg injection, 1 vial</w:t>
            </w:r>
          </w:p>
        </w:tc>
        <w:tc>
          <w:tcPr>
            <w:tcW w:w="1701" w:type="dxa"/>
            <w:shd w:val="clear" w:color="auto" w:fill="auto"/>
          </w:tcPr>
          <w:p w14:paraId="73733F58" w14:textId="660AC70A" w:rsidR="00453191" w:rsidRPr="00A35800" w:rsidDel="00EE2BBB" w:rsidRDefault="00453191" w:rsidP="00493E46">
            <w:pPr>
              <w:pStyle w:val="Tablewriting"/>
              <w:jc w:val="center"/>
            </w:pPr>
            <w:r>
              <w:t>1</w:t>
            </w:r>
          </w:p>
        </w:tc>
        <w:tc>
          <w:tcPr>
            <w:tcW w:w="850" w:type="dxa"/>
            <w:shd w:val="clear" w:color="auto" w:fill="auto"/>
          </w:tcPr>
          <w:p w14:paraId="2751F86C" w14:textId="2F9162CD" w:rsidR="00453191" w:rsidRPr="00A35800" w:rsidDel="00EE2BBB" w:rsidRDefault="00453191" w:rsidP="00493E46">
            <w:pPr>
              <w:pStyle w:val="Tablewriting"/>
              <w:jc w:val="center"/>
            </w:pPr>
            <w:r>
              <w:t>5</w:t>
            </w:r>
          </w:p>
        </w:tc>
        <w:tc>
          <w:tcPr>
            <w:tcW w:w="1040" w:type="dxa"/>
            <w:shd w:val="clear" w:color="auto" w:fill="auto"/>
          </w:tcPr>
          <w:p w14:paraId="0EB41EFB" w14:textId="4B357EEB" w:rsidR="00453191" w:rsidRPr="00A35800" w:rsidDel="00EE2BBB" w:rsidRDefault="00453191" w:rsidP="00493E46">
            <w:pPr>
              <w:pStyle w:val="Tablewriting"/>
            </w:pPr>
            <w:r>
              <w:t>$1638.00</w:t>
            </w:r>
          </w:p>
        </w:tc>
        <w:tc>
          <w:tcPr>
            <w:tcW w:w="2104" w:type="dxa"/>
            <w:shd w:val="clear" w:color="auto" w:fill="auto"/>
          </w:tcPr>
          <w:p w14:paraId="5E52E6A5" w14:textId="77777777" w:rsidR="00453191" w:rsidRDefault="00453191" w:rsidP="00493E46">
            <w:pPr>
              <w:pStyle w:val="Tablewriting"/>
            </w:pPr>
            <w:proofErr w:type="spellStart"/>
            <w:r>
              <w:t>Nucala</w:t>
            </w:r>
            <w:proofErr w:type="spellEnd"/>
            <w:r>
              <w:t xml:space="preserve">® </w:t>
            </w:r>
          </w:p>
          <w:p w14:paraId="2F152B32" w14:textId="2D6729A6" w:rsidR="00453191" w:rsidRPr="00A35800" w:rsidDel="00EE2BBB" w:rsidRDefault="00453191" w:rsidP="00493E46">
            <w:pPr>
              <w:pStyle w:val="Tablewriting"/>
            </w:pPr>
            <w:r w:rsidRPr="0042291B">
              <w:t>GlaxoSmithKline Australia Pty Ltd</w:t>
            </w:r>
          </w:p>
        </w:tc>
      </w:tr>
    </w:tbl>
    <w:p w14:paraId="1183F151" w14:textId="141BE4D2" w:rsidR="00453191" w:rsidRDefault="00453191" w:rsidP="00FA53CB">
      <w:pPr>
        <w:pStyle w:val="Notes"/>
      </w:pPr>
      <w:r w:rsidRPr="00A35800" w:rsidDel="00EE2BBB">
        <w:t xml:space="preserve">Source: </w:t>
      </w:r>
      <w:hyperlink r:id="rId13" w:history="1">
        <w:r w:rsidRPr="001624D7" w:rsidDel="00EE2BBB">
          <w:rPr>
            <w:rStyle w:val="Hyperlink"/>
          </w:rPr>
          <w:t>PBS website</w:t>
        </w:r>
      </w:hyperlink>
      <w:r w:rsidDel="00EE2BBB">
        <w:t>.</w:t>
      </w:r>
      <w:r>
        <w:t xml:space="preserve"> Special Pricing Arrangements apply.</w:t>
      </w:r>
    </w:p>
    <w:p w14:paraId="67014732" w14:textId="05F48730" w:rsidR="00453191" w:rsidRPr="001420B3" w:rsidDel="00EE2BBB" w:rsidRDefault="00453191" w:rsidP="00DA067A">
      <w:pPr>
        <w:pStyle w:val="Tabletitle"/>
      </w:pPr>
      <w:r w:rsidRPr="001420B3" w:rsidDel="00EE2BBB">
        <w:lastRenderedPageBreak/>
        <w:t xml:space="preserve">Table </w:t>
      </w:r>
      <w:r>
        <w:t>3</w:t>
      </w:r>
      <w:r w:rsidRPr="001420B3" w:rsidDel="00EE2BBB">
        <w:t xml:space="preserve">: </w:t>
      </w:r>
      <w:r w:rsidDel="00EE2BBB">
        <w:t>PB</w:t>
      </w:r>
      <w:r>
        <w:t xml:space="preserve">S listing of </w:t>
      </w:r>
      <w:proofErr w:type="spellStart"/>
      <w:r>
        <w:t>benralizumab</w:t>
      </w:r>
      <w:proofErr w:type="spellEnd"/>
      <w:r>
        <w:t xml:space="preserve"> for severe eosinophilic asthma</w:t>
      </w:r>
    </w:p>
    <w:tbl>
      <w:tblPr>
        <w:tblStyle w:val="TableGrid"/>
        <w:tblW w:w="9064" w:type="dxa"/>
        <w:tblLayout w:type="fixed"/>
        <w:tblLook w:val="04A0" w:firstRow="1" w:lastRow="0" w:firstColumn="1" w:lastColumn="0" w:noHBand="0" w:noVBand="1"/>
        <w:tblCaption w:val="PBS listing of benralizumab for severe eosinophilic asthma"/>
        <w:tblDescription w:val="PBS listing details of benralizumab for severe eosinophilic asthma"/>
      </w:tblPr>
      <w:tblGrid>
        <w:gridCol w:w="1242"/>
        <w:gridCol w:w="2268"/>
        <w:gridCol w:w="1560"/>
        <w:gridCol w:w="850"/>
        <w:gridCol w:w="1040"/>
        <w:gridCol w:w="2104"/>
      </w:tblGrid>
      <w:tr w:rsidR="00453191" w:rsidRPr="00A35800" w:rsidDel="00EE2BBB" w14:paraId="1C5C8822" w14:textId="77777777" w:rsidTr="00396DC2">
        <w:trPr>
          <w:trHeight w:val="694"/>
          <w:tblHeader/>
        </w:trPr>
        <w:tc>
          <w:tcPr>
            <w:tcW w:w="1242" w:type="dxa"/>
            <w:shd w:val="clear" w:color="auto" w:fill="BFBFBF" w:themeFill="background1" w:themeFillShade="BF"/>
          </w:tcPr>
          <w:p w14:paraId="37152554" w14:textId="77777777" w:rsidR="00453191" w:rsidRPr="00A35800" w:rsidDel="00EE2BBB" w:rsidRDefault="00453191" w:rsidP="00D23191">
            <w:pPr>
              <w:pStyle w:val="Tableheading"/>
              <w:rPr>
                <w:sz w:val="20"/>
                <w:szCs w:val="20"/>
              </w:rPr>
            </w:pPr>
            <w:r w:rsidRPr="00A35800" w:rsidDel="00EE2BBB">
              <w:rPr>
                <w:sz w:val="20"/>
                <w:szCs w:val="20"/>
              </w:rPr>
              <w:t>Item</w:t>
            </w:r>
          </w:p>
        </w:tc>
        <w:tc>
          <w:tcPr>
            <w:tcW w:w="2268" w:type="dxa"/>
            <w:shd w:val="clear" w:color="auto" w:fill="BFBFBF" w:themeFill="background1" w:themeFillShade="BF"/>
          </w:tcPr>
          <w:p w14:paraId="4145CB07" w14:textId="77777777" w:rsidR="00453191" w:rsidRPr="00A35800" w:rsidDel="00EE2BBB" w:rsidRDefault="00453191" w:rsidP="00D23191">
            <w:pPr>
              <w:pStyle w:val="Tableheading"/>
              <w:rPr>
                <w:sz w:val="20"/>
                <w:szCs w:val="20"/>
              </w:rPr>
            </w:pPr>
            <w:r w:rsidRPr="00A35800" w:rsidDel="00EE2BBB">
              <w:rPr>
                <w:sz w:val="20"/>
                <w:szCs w:val="20"/>
              </w:rPr>
              <w:t>Name, form &amp; strength, pack size</w:t>
            </w:r>
          </w:p>
        </w:tc>
        <w:tc>
          <w:tcPr>
            <w:tcW w:w="1560" w:type="dxa"/>
            <w:shd w:val="clear" w:color="auto" w:fill="BFBFBF" w:themeFill="background1" w:themeFillShade="BF"/>
          </w:tcPr>
          <w:p w14:paraId="2D8A9845" w14:textId="77777777" w:rsidR="00453191" w:rsidRPr="00A35800" w:rsidDel="00EE2BBB" w:rsidRDefault="00453191" w:rsidP="00D23191">
            <w:pPr>
              <w:pStyle w:val="Tableheading"/>
              <w:rPr>
                <w:sz w:val="20"/>
                <w:szCs w:val="20"/>
              </w:rPr>
            </w:pPr>
            <w:r w:rsidRPr="00A35800" w:rsidDel="00EE2BBB">
              <w:rPr>
                <w:sz w:val="20"/>
                <w:szCs w:val="20"/>
              </w:rPr>
              <w:t xml:space="preserve">Max. quant. </w:t>
            </w:r>
          </w:p>
        </w:tc>
        <w:tc>
          <w:tcPr>
            <w:tcW w:w="850" w:type="dxa"/>
            <w:shd w:val="clear" w:color="auto" w:fill="BFBFBF" w:themeFill="background1" w:themeFillShade="BF"/>
          </w:tcPr>
          <w:p w14:paraId="390068E8" w14:textId="77777777" w:rsidR="00453191" w:rsidRPr="00A35800" w:rsidDel="00EE2BBB" w:rsidRDefault="00453191" w:rsidP="00D23191">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5FC55DF4" w14:textId="77777777" w:rsidR="00453191" w:rsidRPr="00A35800" w:rsidDel="00EE2BBB" w:rsidRDefault="00453191" w:rsidP="00D23191">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31B23308" w14:textId="77777777" w:rsidR="00453191" w:rsidRPr="00A35800" w:rsidDel="00EE2BBB" w:rsidRDefault="00453191" w:rsidP="00D23191">
            <w:pPr>
              <w:pStyle w:val="Tableheading"/>
              <w:rPr>
                <w:sz w:val="20"/>
                <w:szCs w:val="20"/>
              </w:rPr>
            </w:pPr>
            <w:r w:rsidRPr="00A35800" w:rsidDel="00EE2BBB">
              <w:rPr>
                <w:sz w:val="20"/>
                <w:szCs w:val="20"/>
              </w:rPr>
              <w:t>Brand name and manufacturer</w:t>
            </w:r>
          </w:p>
        </w:tc>
      </w:tr>
      <w:tr w:rsidR="00453191" w:rsidRPr="00A35800" w:rsidDel="00EE2BBB" w14:paraId="786C133F" w14:textId="77777777" w:rsidTr="00396DC2">
        <w:trPr>
          <w:trHeight w:val="552"/>
          <w:tblHeader/>
        </w:trPr>
        <w:tc>
          <w:tcPr>
            <w:tcW w:w="1242" w:type="dxa"/>
            <w:shd w:val="clear" w:color="auto" w:fill="auto"/>
          </w:tcPr>
          <w:p w14:paraId="24DF4C1B" w14:textId="09927874" w:rsidR="00453191" w:rsidRPr="00396DC2" w:rsidRDefault="00453191" w:rsidP="00D23191">
            <w:pPr>
              <w:pStyle w:val="Tablewriting"/>
            </w:pPr>
            <w:r w:rsidRPr="00396DC2">
              <w:t>11523L</w:t>
            </w:r>
          </w:p>
          <w:p w14:paraId="257773CA" w14:textId="77777777" w:rsidR="00453191" w:rsidRPr="00396DC2" w:rsidRDefault="00453191" w:rsidP="00D23191">
            <w:pPr>
              <w:pStyle w:val="Tablewriting"/>
            </w:pPr>
            <w:r w:rsidRPr="00396DC2">
              <w:t>(private, initiating)</w:t>
            </w:r>
          </w:p>
        </w:tc>
        <w:tc>
          <w:tcPr>
            <w:tcW w:w="2268" w:type="dxa"/>
            <w:shd w:val="clear" w:color="auto" w:fill="auto"/>
          </w:tcPr>
          <w:p w14:paraId="25E69D9E" w14:textId="77777777" w:rsidR="00453191" w:rsidRDefault="00453191" w:rsidP="00396DC2">
            <w:pPr>
              <w:pStyle w:val="Tablewriting"/>
            </w:pPr>
            <w:r>
              <w:t>BENRALIZUMAB</w:t>
            </w:r>
          </w:p>
          <w:p w14:paraId="72A1C6E6" w14:textId="6F8D6841" w:rsidR="00453191" w:rsidRPr="00DA067A" w:rsidRDefault="00453191" w:rsidP="00396DC2">
            <w:pPr>
              <w:pStyle w:val="Tablewriting"/>
              <w:rPr>
                <w:highlight w:val="green"/>
              </w:rPr>
            </w:pPr>
            <w:proofErr w:type="spellStart"/>
            <w:r>
              <w:t>benralizumab</w:t>
            </w:r>
            <w:proofErr w:type="spellEnd"/>
            <w:r>
              <w:t xml:space="preserve"> 30 mg/mL injection, 1 mL syringe</w:t>
            </w:r>
          </w:p>
        </w:tc>
        <w:tc>
          <w:tcPr>
            <w:tcW w:w="1560" w:type="dxa"/>
            <w:shd w:val="clear" w:color="auto" w:fill="auto"/>
          </w:tcPr>
          <w:p w14:paraId="43586070" w14:textId="77777777" w:rsidR="00453191" w:rsidRPr="00396DC2" w:rsidRDefault="00453191" w:rsidP="00D23191">
            <w:pPr>
              <w:pStyle w:val="Tablewriting"/>
              <w:jc w:val="center"/>
            </w:pPr>
            <w:r w:rsidRPr="00396DC2">
              <w:t>1</w:t>
            </w:r>
          </w:p>
        </w:tc>
        <w:tc>
          <w:tcPr>
            <w:tcW w:w="850" w:type="dxa"/>
            <w:shd w:val="clear" w:color="auto" w:fill="auto"/>
          </w:tcPr>
          <w:p w14:paraId="30787E55" w14:textId="696F2374" w:rsidR="00453191" w:rsidRPr="00396DC2" w:rsidRDefault="00453191" w:rsidP="00D23191">
            <w:pPr>
              <w:pStyle w:val="Tablewriting"/>
              <w:jc w:val="center"/>
            </w:pPr>
            <w:r w:rsidRPr="00396DC2">
              <w:t>4</w:t>
            </w:r>
          </w:p>
        </w:tc>
        <w:tc>
          <w:tcPr>
            <w:tcW w:w="1040" w:type="dxa"/>
            <w:shd w:val="clear" w:color="auto" w:fill="auto"/>
          </w:tcPr>
          <w:p w14:paraId="19934DF6" w14:textId="48E51CE6" w:rsidR="00453191" w:rsidRPr="00396DC2" w:rsidRDefault="00453191" w:rsidP="00D23191">
            <w:pPr>
              <w:pStyle w:val="Tablewriting"/>
              <w:jc w:val="both"/>
            </w:pPr>
            <w:r w:rsidRPr="00396DC2">
              <w:t>$3358.29</w:t>
            </w:r>
          </w:p>
        </w:tc>
        <w:tc>
          <w:tcPr>
            <w:tcW w:w="2104" w:type="dxa"/>
            <w:shd w:val="clear" w:color="auto" w:fill="auto"/>
          </w:tcPr>
          <w:p w14:paraId="432289FE" w14:textId="0D2EA91F" w:rsidR="00453191" w:rsidRPr="00396DC2" w:rsidRDefault="00453191" w:rsidP="00D23191">
            <w:pPr>
              <w:pStyle w:val="Tablewriting"/>
            </w:pPr>
            <w:proofErr w:type="spellStart"/>
            <w:r w:rsidRPr="00396DC2">
              <w:t>Fesenra</w:t>
            </w:r>
            <w:proofErr w:type="spellEnd"/>
            <w:r w:rsidRPr="00396DC2">
              <w:t>®</w:t>
            </w:r>
          </w:p>
          <w:p w14:paraId="1F14B4E2" w14:textId="3A54A64C" w:rsidR="00453191" w:rsidRPr="00396DC2" w:rsidRDefault="00453191" w:rsidP="00D23191">
            <w:pPr>
              <w:pStyle w:val="Tablewriting"/>
            </w:pPr>
            <w:r w:rsidRPr="00396DC2">
              <w:t>AstraZeneca Pty Ltd</w:t>
            </w:r>
          </w:p>
        </w:tc>
      </w:tr>
      <w:tr w:rsidR="00453191" w:rsidRPr="00A35800" w:rsidDel="00EE2BBB" w14:paraId="59C19B6B" w14:textId="77777777" w:rsidTr="00396DC2">
        <w:trPr>
          <w:trHeight w:val="552"/>
          <w:tblHeader/>
        </w:trPr>
        <w:tc>
          <w:tcPr>
            <w:tcW w:w="1242" w:type="dxa"/>
            <w:shd w:val="clear" w:color="auto" w:fill="auto"/>
          </w:tcPr>
          <w:p w14:paraId="652B4D39" w14:textId="73AD955E" w:rsidR="00453191" w:rsidRPr="00396DC2" w:rsidRDefault="00453191" w:rsidP="00D23191">
            <w:pPr>
              <w:pStyle w:val="Tablewriting"/>
            </w:pPr>
            <w:r w:rsidRPr="00396DC2">
              <w:t>11504L</w:t>
            </w:r>
          </w:p>
          <w:p w14:paraId="493E6EEE" w14:textId="77777777" w:rsidR="00453191" w:rsidRPr="00396DC2" w:rsidDel="00EE2BBB" w:rsidRDefault="00453191" w:rsidP="00D23191">
            <w:pPr>
              <w:pStyle w:val="Tablewriting"/>
            </w:pPr>
            <w:r w:rsidRPr="00396DC2">
              <w:t>(private, continuing)</w:t>
            </w:r>
          </w:p>
        </w:tc>
        <w:tc>
          <w:tcPr>
            <w:tcW w:w="2268" w:type="dxa"/>
            <w:shd w:val="clear" w:color="auto" w:fill="auto"/>
          </w:tcPr>
          <w:p w14:paraId="31350268" w14:textId="77777777" w:rsidR="00453191" w:rsidRDefault="00453191" w:rsidP="00396DC2">
            <w:pPr>
              <w:pStyle w:val="Tablewriting"/>
            </w:pPr>
            <w:r>
              <w:t>BENRALIZUMAB</w:t>
            </w:r>
          </w:p>
          <w:p w14:paraId="7B327786" w14:textId="59AA2E90" w:rsidR="00453191" w:rsidRPr="00DA067A" w:rsidDel="00EE2BBB" w:rsidRDefault="00453191" w:rsidP="00396DC2">
            <w:pPr>
              <w:pStyle w:val="Tablewriting"/>
              <w:rPr>
                <w:highlight w:val="green"/>
              </w:rPr>
            </w:pPr>
            <w:proofErr w:type="spellStart"/>
            <w:r>
              <w:t>benralizumab</w:t>
            </w:r>
            <w:proofErr w:type="spellEnd"/>
            <w:r>
              <w:t xml:space="preserve"> 30 mg/mL injection, 1 mL syringe</w:t>
            </w:r>
          </w:p>
        </w:tc>
        <w:tc>
          <w:tcPr>
            <w:tcW w:w="1560" w:type="dxa"/>
            <w:shd w:val="clear" w:color="auto" w:fill="auto"/>
          </w:tcPr>
          <w:p w14:paraId="5A20526E" w14:textId="77777777" w:rsidR="00453191" w:rsidRPr="00396DC2" w:rsidDel="00EE2BBB" w:rsidRDefault="00453191" w:rsidP="00D23191">
            <w:pPr>
              <w:pStyle w:val="Tablewriting"/>
              <w:jc w:val="center"/>
            </w:pPr>
            <w:r w:rsidRPr="00396DC2">
              <w:t>1</w:t>
            </w:r>
          </w:p>
        </w:tc>
        <w:tc>
          <w:tcPr>
            <w:tcW w:w="850" w:type="dxa"/>
            <w:shd w:val="clear" w:color="auto" w:fill="auto"/>
          </w:tcPr>
          <w:p w14:paraId="25071E74" w14:textId="73F10901" w:rsidR="00453191" w:rsidRPr="00396DC2" w:rsidDel="00EE2BBB" w:rsidRDefault="00453191" w:rsidP="00D23191">
            <w:pPr>
              <w:pStyle w:val="Tablewriting"/>
              <w:jc w:val="center"/>
            </w:pPr>
            <w:r w:rsidRPr="00396DC2">
              <w:t>2</w:t>
            </w:r>
          </w:p>
        </w:tc>
        <w:tc>
          <w:tcPr>
            <w:tcW w:w="1040" w:type="dxa"/>
            <w:shd w:val="clear" w:color="auto" w:fill="auto"/>
          </w:tcPr>
          <w:p w14:paraId="1D280F7A" w14:textId="3497A675" w:rsidR="00453191" w:rsidRPr="00396DC2" w:rsidDel="00EE2BBB" w:rsidRDefault="00453191" w:rsidP="00D23191">
            <w:pPr>
              <w:pStyle w:val="Tablewriting"/>
              <w:jc w:val="both"/>
            </w:pPr>
            <w:r w:rsidRPr="00396DC2">
              <w:t>$3358.29</w:t>
            </w:r>
          </w:p>
        </w:tc>
        <w:tc>
          <w:tcPr>
            <w:tcW w:w="2104" w:type="dxa"/>
            <w:shd w:val="clear" w:color="auto" w:fill="auto"/>
          </w:tcPr>
          <w:p w14:paraId="680BF074" w14:textId="77777777" w:rsidR="00453191" w:rsidRPr="00396DC2" w:rsidRDefault="00453191" w:rsidP="00396DC2">
            <w:pPr>
              <w:pStyle w:val="Tablewriting"/>
            </w:pPr>
            <w:proofErr w:type="spellStart"/>
            <w:r w:rsidRPr="00396DC2">
              <w:t>Fesenra</w:t>
            </w:r>
            <w:proofErr w:type="spellEnd"/>
            <w:r w:rsidRPr="00396DC2">
              <w:t>®</w:t>
            </w:r>
          </w:p>
          <w:p w14:paraId="36C25EF5" w14:textId="2D1479EB" w:rsidR="00453191" w:rsidRPr="00DA067A" w:rsidDel="00EE2BBB" w:rsidRDefault="00453191" w:rsidP="00396DC2">
            <w:pPr>
              <w:pStyle w:val="Tablewriting"/>
              <w:rPr>
                <w:highlight w:val="green"/>
              </w:rPr>
            </w:pPr>
            <w:r w:rsidRPr="00396DC2">
              <w:t>AstraZeneca Pty Ltd</w:t>
            </w:r>
          </w:p>
        </w:tc>
      </w:tr>
      <w:tr w:rsidR="00453191" w:rsidRPr="00A35800" w:rsidDel="00EE2BBB" w14:paraId="5266262B" w14:textId="77777777" w:rsidTr="00396DC2">
        <w:trPr>
          <w:trHeight w:val="546"/>
          <w:tblHeader/>
        </w:trPr>
        <w:tc>
          <w:tcPr>
            <w:tcW w:w="1242" w:type="dxa"/>
            <w:shd w:val="clear" w:color="auto" w:fill="auto"/>
          </w:tcPr>
          <w:p w14:paraId="73743D79" w14:textId="15B656CE" w:rsidR="00453191" w:rsidRPr="00396DC2" w:rsidRDefault="00453191" w:rsidP="00D23191">
            <w:pPr>
              <w:pStyle w:val="Tablewriting"/>
            </w:pPr>
            <w:r w:rsidRPr="00396DC2">
              <w:t>11549W</w:t>
            </w:r>
          </w:p>
          <w:p w14:paraId="4D67307C" w14:textId="77777777" w:rsidR="00453191" w:rsidRPr="00396DC2" w:rsidDel="00EE2BBB" w:rsidRDefault="00453191" w:rsidP="00D23191">
            <w:pPr>
              <w:pStyle w:val="Tablewriting"/>
            </w:pPr>
            <w:r w:rsidRPr="00396DC2">
              <w:t>(public, initiating)</w:t>
            </w:r>
          </w:p>
        </w:tc>
        <w:tc>
          <w:tcPr>
            <w:tcW w:w="2268" w:type="dxa"/>
            <w:shd w:val="clear" w:color="auto" w:fill="auto"/>
          </w:tcPr>
          <w:p w14:paraId="7F6D43BE" w14:textId="77777777" w:rsidR="00453191" w:rsidRDefault="00453191" w:rsidP="00396DC2">
            <w:pPr>
              <w:pStyle w:val="Tablewriting"/>
            </w:pPr>
            <w:r>
              <w:t>BENRALIZUMAB</w:t>
            </w:r>
          </w:p>
          <w:p w14:paraId="0ABBE3AF" w14:textId="1DCCD985" w:rsidR="00453191" w:rsidRPr="00DA067A" w:rsidDel="00EE2BBB" w:rsidRDefault="00453191" w:rsidP="00396DC2">
            <w:pPr>
              <w:pStyle w:val="Tablewriting"/>
              <w:rPr>
                <w:highlight w:val="green"/>
              </w:rPr>
            </w:pPr>
            <w:proofErr w:type="spellStart"/>
            <w:r>
              <w:t>benralizumab</w:t>
            </w:r>
            <w:proofErr w:type="spellEnd"/>
            <w:r>
              <w:t xml:space="preserve"> 30 mg/mL injection, 1 mL syringe</w:t>
            </w:r>
          </w:p>
        </w:tc>
        <w:tc>
          <w:tcPr>
            <w:tcW w:w="1560" w:type="dxa"/>
            <w:shd w:val="clear" w:color="auto" w:fill="auto"/>
          </w:tcPr>
          <w:p w14:paraId="651A73DC" w14:textId="77777777" w:rsidR="00453191" w:rsidRPr="00396DC2" w:rsidDel="00EE2BBB" w:rsidRDefault="00453191" w:rsidP="00D23191">
            <w:pPr>
              <w:pStyle w:val="Tablewriting"/>
              <w:jc w:val="center"/>
            </w:pPr>
            <w:r w:rsidRPr="00396DC2">
              <w:t>1</w:t>
            </w:r>
          </w:p>
        </w:tc>
        <w:tc>
          <w:tcPr>
            <w:tcW w:w="850" w:type="dxa"/>
            <w:shd w:val="clear" w:color="auto" w:fill="auto"/>
          </w:tcPr>
          <w:p w14:paraId="42DB9D1B" w14:textId="7B190A64" w:rsidR="00453191" w:rsidRPr="00396DC2" w:rsidDel="00EE2BBB" w:rsidRDefault="00453191" w:rsidP="00D23191">
            <w:pPr>
              <w:pStyle w:val="Tablewriting"/>
              <w:jc w:val="center"/>
            </w:pPr>
            <w:r w:rsidRPr="00396DC2">
              <w:t>4</w:t>
            </w:r>
          </w:p>
        </w:tc>
        <w:tc>
          <w:tcPr>
            <w:tcW w:w="1040" w:type="dxa"/>
            <w:shd w:val="clear" w:color="auto" w:fill="auto"/>
          </w:tcPr>
          <w:p w14:paraId="7E26FB02" w14:textId="3AEC038E" w:rsidR="00453191" w:rsidRPr="00396DC2" w:rsidDel="00EE2BBB" w:rsidRDefault="00453191" w:rsidP="00D23191">
            <w:pPr>
              <w:pStyle w:val="Tablewriting"/>
              <w:jc w:val="both"/>
            </w:pPr>
            <w:r w:rsidRPr="00396DC2">
              <w:t>$3311.00</w:t>
            </w:r>
          </w:p>
        </w:tc>
        <w:tc>
          <w:tcPr>
            <w:tcW w:w="2104" w:type="dxa"/>
            <w:shd w:val="clear" w:color="auto" w:fill="auto"/>
          </w:tcPr>
          <w:p w14:paraId="1D645086" w14:textId="77777777" w:rsidR="00453191" w:rsidRPr="00396DC2" w:rsidRDefault="00453191" w:rsidP="00396DC2">
            <w:pPr>
              <w:pStyle w:val="Tablewriting"/>
            </w:pPr>
            <w:proofErr w:type="spellStart"/>
            <w:r w:rsidRPr="00396DC2">
              <w:t>Fesenra</w:t>
            </w:r>
            <w:proofErr w:type="spellEnd"/>
            <w:r w:rsidRPr="00396DC2">
              <w:t>®</w:t>
            </w:r>
          </w:p>
          <w:p w14:paraId="7FD2BB3E" w14:textId="2C71EDA9" w:rsidR="00453191" w:rsidRPr="00DA067A" w:rsidDel="00EE2BBB" w:rsidRDefault="00453191" w:rsidP="00396DC2">
            <w:pPr>
              <w:pStyle w:val="Tablewriting"/>
              <w:rPr>
                <w:highlight w:val="green"/>
              </w:rPr>
            </w:pPr>
            <w:r w:rsidRPr="00396DC2">
              <w:t>AstraZeneca Pty Ltd</w:t>
            </w:r>
          </w:p>
        </w:tc>
      </w:tr>
      <w:tr w:rsidR="00453191" w:rsidRPr="00A35800" w:rsidDel="00EE2BBB" w14:paraId="4AFC1BCA" w14:textId="77777777" w:rsidTr="00396DC2">
        <w:trPr>
          <w:trHeight w:val="546"/>
          <w:tblHeader/>
        </w:trPr>
        <w:tc>
          <w:tcPr>
            <w:tcW w:w="1242" w:type="dxa"/>
            <w:shd w:val="clear" w:color="auto" w:fill="auto"/>
          </w:tcPr>
          <w:p w14:paraId="33D32826" w14:textId="1B660863" w:rsidR="00453191" w:rsidRPr="00396DC2" w:rsidRDefault="00453191" w:rsidP="00D23191">
            <w:pPr>
              <w:pStyle w:val="Tablewriting"/>
            </w:pPr>
            <w:r w:rsidRPr="00396DC2">
              <w:t>11529T</w:t>
            </w:r>
          </w:p>
          <w:p w14:paraId="46B7FC31" w14:textId="77777777" w:rsidR="00453191" w:rsidRPr="00396DC2" w:rsidDel="00EE2BBB" w:rsidRDefault="00453191" w:rsidP="00D23191">
            <w:pPr>
              <w:pStyle w:val="Tablewriting"/>
            </w:pPr>
            <w:r w:rsidRPr="00396DC2">
              <w:t>(public, continuing)</w:t>
            </w:r>
          </w:p>
        </w:tc>
        <w:tc>
          <w:tcPr>
            <w:tcW w:w="2268" w:type="dxa"/>
            <w:shd w:val="clear" w:color="auto" w:fill="auto"/>
          </w:tcPr>
          <w:p w14:paraId="0CEBBEE5" w14:textId="77777777" w:rsidR="00453191" w:rsidRDefault="00453191" w:rsidP="00396DC2">
            <w:pPr>
              <w:pStyle w:val="Tablewriting"/>
            </w:pPr>
            <w:r>
              <w:t>BENRALIZUMAB</w:t>
            </w:r>
          </w:p>
          <w:p w14:paraId="1B52BB18" w14:textId="4B0713F5" w:rsidR="00453191" w:rsidRPr="00DA067A" w:rsidDel="00EE2BBB" w:rsidRDefault="00453191" w:rsidP="00396DC2">
            <w:pPr>
              <w:pStyle w:val="Tablewriting"/>
              <w:rPr>
                <w:highlight w:val="green"/>
              </w:rPr>
            </w:pPr>
            <w:proofErr w:type="spellStart"/>
            <w:r>
              <w:t>benralizumab</w:t>
            </w:r>
            <w:proofErr w:type="spellEnd"/>
            <w:r>
              <w:t xml:space="preserve"> 30 mg/mL injection, 1 mL syringe</w:t>
            </w:r>
          </w:p>
        </w:tc>
        <w:tc>
          <w:tcPr>
            <w:tcW w:w="1560" w:type="dxa"/>
            <w:shd w:val="clear" w:color="auto" w:fill="auto"/>
          </w:tcPr>
          <w:p w14:paraId="4FE052A5" w14:textId="77777777" w:rsidR="00453191" w:rsidRPr="00396DC2" w:rsidDel="00EE2BBB" w:rsidRDefault="00453191" w:rsidP="00D23191">
            <w:pPr>
              <w:pStyle w:val="Tablewriting"/>
              <w:jc w:val="center"/>
            </w:pPr>
            <w:r w:rsidRPr="00396DC2">
              <w:t>1</w:t>
            </w:r>
          </w:p>
        </w:tc>
        <w:tc>
          <w:tcPr>
            <w:tcW w:w="850" w:type="dxa"/>
            <w:shd w:val="clear" w:color="auto" w:fill="auto"/>
          </w:tcPr>
          <w:p w14:paraId="6BCF765B" w14:textId="42AA20BE" w:rsidR="00453191" w:rsidRPr="00396DC2" w:rsidDel="00EE2BBB" w:rsidRDefault="00453191" w:rsidP="00D23191">
            <w:pPr>
              <w:pStyle w:val="Tablewriting"/>
              <w:jc w:val="center"/>
            </w:pPr>
            <w:r w:rsidRPr="00396DC2">
              <w:t>2</w:t>
            </w:r>
          </w:p>
        </w:tc>
        <w:tc>
          <w:tcPr>
            <w:tcW w:w="1040" w:type="dxa"/>
            <w:shd w:val="clear" w:color="auto" w:fill="auto"/>
          </w:tcPr>
          <w:p w14:paraId="10FC68EA" w14:textId="5D9C0D1E" w:rsidR="00453191" w:rsidRPr="00396DC2" w:rsidDel="00EE2BBB" w:rsidRDefault="00453191" w:rsidP="00D23191">
            <w:pPr>
              <w:pStyle w:val="Tablewriting"/>
            </w:pPr>
            <w:r w:rsidRPr="00396DC2">
              <w:t>$3311.00</w:t>
            </w:r>
          </w:p>
        </w:tc>
        <w:tc>
          <w:tcPr>
            <w:tcW w:w="2104" w:type="dxa"/>
            <w:shd w:val="clear" w:color="auto" w:fill="auto"/>
          </w:tcPr>
          <w:p w14:paraId="3F91A13F" w14:textId="77777777" w:rsidR="00453191" w:rsidRPr="00396DC2" w:rsidRDefault="00453191" w:rsidP="00396DC2">
            <w:pPr>
              <w:pStyle w:val="Tablewriting"/>
            </w:pPr>
            <w:proofErr w:type="spellStart"/>
            <w:r w:rsidRPr="00396DC2">
              <w:t>Fesenra</w:t>
            </w:r>
            <w:proofErr w:type="spellEnd"/>
            <w:r w:rsidRPr="00396DC2">
              <w:t>®</w:t>
            </w:r>
          </w:p>
          <w:p w14:paraId="5822D2C1" w14:textId="50E3B644" w:rsidR="00453191" w:rsidRPr="00DA067A" w:rsidDel="00EE2BBB" w:rsidRDefault="00453191" w:rsidP="00396DC2">
            <w:pPr>
              <w:pStyle w:val="Tablewriting"/>
              <w:rPr>
                <w:highlight w:val="green"/>
              </w:rPr>
            </w:pPr>
            <w:r w:rsidRPr="00396DC2">
              <w:t>AstraZeneca Pty Ltd</w:t>
            </w:r>
          </w:p>
        </w:tc>
      </w:tr>
    </w:tbl>
    <w:p w14:paraId="4E7C42C4" w14:textId="0D25FA39" w:rsidR="00453191" w:rsidRDefault="00453191" w:rsidP="00FA53CB">
      <w:pPr>
        <w:pStyle w:val="Notes"/>
      </w:pPr>
      <w:r>
        <w:t>Source:</w:t>
      </w:r>
      <w:r w:rsidDel="00EE2BBB">
        <w:t xml:space="preserve"> </w:t>
      </w:r>
      <w:hyperlink r:id="rId14" w:history="1">
        <w:r w:rsidRPr="001624D7" w:rsidDel="00EE2BBB">
          <w:rPr>
            <w:rStyle w:val="Hyperlink"/>
          </w:rPr>
          <w:t>PBS website</w:t>
        </w:r>
      </w:hyperlink>
      <w:r w:rsidDel="00EE2BBB">
        <w:t xml:space="preserve">.  </w:t>
      </w:r>
      <w:r>
        <w:t xml:space="preserve">Special Pricing Arrangements apply. </w:t>
      </w:r>
    </w:p>
    <w:p w14:paraId="1AFA1485" w14:textId="746E4455" w:rsidR="00453191" w:rsidRPr="00050D0D" w:rsidDel="00EE2BBB" w:rsidRDefault="00453191" w:rsidP="00CF5E22">
      <w:pPr>
        <w:pStyle w:val="Heading3"/>
      </w:pPr>
      <w:r w:rsidRPr="00050D0D" w:rsidDel="00EE2BBB">
        <w:t>Restriction</w:t>
      </w:r>
      <w:r>
        <w:t>s (abridged)</w:t>
      </w:r>
    </w:p>
    <w:p w14:paraId="306E18CD" w14:textId="00FA6EA6" w:rsidR="00453191" w:rsidRDefault="00453191" w:rsidP="00D01E78">
      <w:pPr>
        <w:spacing w:after="150" w:line="300" w:lineRule="atLeast"/>
      </w:pPr>
      <w:r>
        <w:rPr>
          <w:rFonts w:ascii="Calibri" w:hAnsi="Calibri" w:cs="Arial"/>
        </w:rPr>
        <w:t>The criteria for initial</w:t>
      </w:r>
      <w:r w:rsidRPr="003B0061">
        <w:rPr>
          <w:rFonts w:ascii="Calibri" w:hAnsi="Calibri" w:cs="Arial"/>
        </w:rPr>
        <w:t xml:space="preserve"> PBS-subsidised treatment with biologics for severe asthma</w:t>
      </w:r>
      <w:r>
        <w:rPr>
          <w:rFonts w:ascii="Calibri" w:hAnsi="Calibri" w:cs="Arial"/>
        </w:rPr>
        <w:t xml:space="preserve"> are:</w:t>
      </w:r>
    </w:p>
    <w:p w14:paraId="48D095C3" w14:textId="5342456C" w:rsidR="00453191" w:rsidRPr="00F42C14" w:rsidRDefault="00453191" w:rsidP="00F42C14">
      <w:pPr>
        <w:numPr>
          <w:ilvl w:val="0"/>
          <w:numId w:val="24"/>
        </w:numPr>
        <w:spacing w:after="150" w:line="300" w:lineRule="atLeast"/>
        <w:ind w:left="375"/>
      </w:pPr>
      <w:r w:rsidRPr="00F42C14">
        <w:t>Must be treated by a respiratory physician, clinical immunologist, allergist or general physician experienced in the management of patients with severe asthma</w:t>
      </w:r>
    </w:p>
    <w:p w14:paraId="2A8F5C2D" w14:textId="33749A2F" w:rsidR="00453191" w:rsidRPr="00F42C14" w:rsidRDefault="00453191" w:rsidP="00F42C14">
      <w:pPr>
        <w:numPr>
          <w:ilvl w:val="0"/>
          <w:numId w:val="25"/>
        </w:numPr>
        <w:spacing w:after="150" w:line="300" w:lineRule="atLeast"/>
        <w:ind w:left="375"/>
      </w:pPr>
      <w:r w:rsidRPr="00F42C14">
        <w:t>Patient must be under the care of the same physician for at least 6 months OR patient must have been diagnosed by a multidisciplinary severe asthma clinic team</w:t>
      </w:r>
    </w:p>
    <w:p w14:paraId="3C213AEF" w14:textId="6736CBAE" w:rsidR="00453191" w:rsidRPr="00F42C14" w:rsidRDefault="00453191" w:rsidP="00F42C14">
      <w:pPr>
        <w:numPr>
          <w:ilvl w:val="0"/>
          <w:numId w:val="26"/>
        </w:numPr>
        <w:spacing w:after="150" w:line="300" w:lineRule="atLeast"/>
        <w:ind w:left="375"/>
      </w:pPr>
      <w:r w:rsidRPr="00F42C14">
        <w:t>Patient must have a diagnosis of asthma defined by: (</w:t>
      </w:r>
      <w:proofErr w:type="spellStart"/>
      <w:r w:rsidRPr="00F42C14">
        <w:t>i</w:t>
      </w:r>
      <w:proofErr w:type="spellEnd"/>
      <w:r w:rsidRPr="00F42C14">
        <w:t xml:space="preserve">) forced expiratory volume (FEV1) reversibility or (ii) airway </w:t>
      </w:r>
      <w:proofErr w:type="spellStart"/>
      <w:r w:rsidRPr="00F42C14">
        <w:t>hyperresponsiveness</w:t>
      </w:r>
      <w:proofErr w:type="spellEnd"/>
      <w:r w:rsidRPr="00F42C14">
        <w:t xml:space="preserve"> or (iii) peak expiratory flow (PEF) as defined in the restriction</w:t>
      </w:r>
    </w:p>
    <w:p w14:paraId="3780085F" w14:textId="7E39E320" w:rsidR="00453191" w:rsidRPr="00F42C14" w:rsidRDefault="00453191" w:rsidP="00F42C14">
      <w:pPr>
        <w:numPr>
          <w:ilvl w:val="0"/>
          <w:numId w:val="27"/>
        </w:numPr>
        <w:spacing w:after="150" w:line="300" w:lineRule="atLeast"/>
        <w:ind w:left="375"/>
      </w:pPr>
      <w:r w:rsidRPr="00F42C14">
        <w:t>Patient must have a duration of asthma of at least 1 year</w:t>
      </w:r>
    </w:p>
    <w:p w14:paraId="0AFCB05D" w14:textId="51B4D7D2" w:rsidR="00453191" w:rsidRPr="00F42C14" w:rsidRDefault="00453191" w:rsidP="00F42C14">
      <w:pPr>
        <w:numPr>
          <w:ilvl w:val="0"/>
          <w:numId w:val="28"/>
        </w:numPr>
        <w:spacing w:after="150" w:line="300" w:lineRule="atLeast"/>
        <w:ind w:left="375"/>
      </w:pPr>
      <w:r w:rsidRPr="00F42C14">
        <w:t>Patient must have forced expiratory volume (FEV1) less than or equal to 80% predicted, documented on 1 or more occasions in the previous 12 months</w:t>
      </w:r>
    </w:p>
    <w:p w14:paraId="5339C167" w14:textId="4E70F88A" w:rsidR="00453191" w:rsidRPr="00F42C14" w:rsidRDefault="00453191" w:rsidP="00F42C14">
      <w:pPr>
        <w:numPr>
          <w:ilvl w:val="0"/>
          <w:numId w:val="31"/>
        </w:numPr>
        <w:spacing w:after="150" w:line="300" w:lineRule="atLeast"/>
        <w:ind w:left="375"/>
      </w:pPr>
      <w:r w:rsidRPr="00F42C14">
        <w:t>Patient must have failed to achieve adequate control with optimised asthma therapy, despite formal assessment of and adherence to correct inhaler techn</w:t>
      </w:r>
      <w:r>
        <w:t>ique, which has been documented</w:t>
      </w:r>
    </w:p>
    <w:p w14:paraId="2137D2F1" w14:textId="0F7D4937" w:rsidR="00453191" w:rsidRPr="00F42C14" w:rsidRDefault="00453191" w:rsidP="00F42C14">
      <w:pPr>
        <w:numPr>
          <w:ilvl w:val="0"/>
          <w:numId w:val="33"/>
        </w:numPr>
        <w:spacing w:after="150" w:line="300" w:lineRule="atLeast"/>
        <w:ind w:left="375"/>
      </w:pPr>
      <w:r w:rsidRPr="00F42C14">
        <w:t xml:space="preserve">The treatment must not be used in combination with, or within 6 months of treatment with, </w:t>
      </w:r>
      <w:r w:rsidR="00BA2CF4">
        <w:t xml:space="preserve">other </w:t>
      </w:r>
      <w:r w:rsidRPr="00F42C14">
        <w:t>PBS-subsidis</w:t>
      </w:r>
      <w:r>
        <w:t xml:space="preserve">ed </w:t>
      </w:r>
      <w:r w:rsidR="00BA2CF4">
        <w:t>biologics for severe asthma</w:t>
      </w:r>
    </w:p>
    <w:p w14:paraId="57E5DE50" w14:textId="0A943DB1" w:rsidR="00453191" w:rsidRDefault="00453191" w:rsidP="00F42C14">
      <w:pPr>
        <w:numPr>
          <w:ilvl w:val="0"/>
          <w:numId w:val="33"/>
        </w:numPr>
        <w:spacing w:after="150" w:line="300" w:lineRule="atLeast"/>
        <w:ind w:left="375"/>
      </w:pPr>
      <w:r w:rsidRPr="00F42C14">
        <w:t>Patient must be aged 12 years or older</w:t>
      </w:r>
    </w:p>
    <w:p w14:paraId="740F634C" w14:textId="4CE691D7" w:rsidR="00453191" w:rsidRDefault="00453191" w:rsidP="002F64EA">
      <w:pPr>
        <w:spacing w:after="150" w:line="300" w:lineRule="atLeast"/>
      </w:pPr>
      <w:r>
        <w:t>For allergic asthma (</w:t>
      </w:r>
      <w:proofErr w:type="spellStart"/>
      <w:r>
        <w:t>omalizumab</w:t>
      </w:r>
      <w:proofErr w:type="spellEnd"/>
      <w:r>
        <w:t>):</w:t>
      </w:r>
    </w:p>
    <w:p w14:paraId="0F5081BE" w14:textId="77777777" w:rsidR="00453191" w:rsidRPr="00D01E78" w:rsidRDefault="00453191" w:rsidP="002F64EA">
      <w:pPr>
        <w:numPr>
          <w:ilvl w:val="0"/>
          <w:numId w:val="29"/>
        </w:numPr>
        <w:spacing w:after="150" w:line="300" w:lineRule="atLeast"/>
        <w:ind w:left="375"/>
      </w:pPr>
      <w:r w:rsidRPr="00D01E78">
        <w:t>Patient must have past or current evidence of atopy, documented by skin prick testing or RAST</w:t>
      </w:r>
    </w:p>
    <w:p w14:paraId="1E8E20E1" w14:textId="18AA571A" w:rsidR="00453191" w:rsidRPr="00D01E78" w:rsidRDefault="00453191" w:rsidP="002F64EA">
      <w:pPr>
        <w:numPr>
          <w:ilvl w:val="0"/>
          <w:numId w:val="30"/>
        </w:numPr>
        <w:spacing w:after="150" w:line="300" w:lineRule="atLeast"/>
        <w:ind w:left="375"/>
      </w:pPr>
      <w:r w:rsidRPr="00D01E78">
        <w:t>Patient must have total serum human immunoglobulin E greater than or equal to 30 IU/mL</w:t>
      </w:r>
    </w:p>
    <w:p w14:paraId="59DC3618" w14:textId="1B62CE9A" w:rsidR="00453191" w:rsidRPr="00D01E78" w:rsidRDefault="00453191" w:rsidP="00D01E78">
      <w:pPr>
        <w:spacing w:after="150" w:line="300" w:lineRule="atLeast"/>
        <w:ind w:left="15"/>
      </w:pPr>
      <w:r w:rsidRPr="00D01E78">
        <w:lastRenderedPageBreak/>
        <w:t>For eosinophilic asthma (</w:t>
      </w:r>
      <w:proofErr w:type="spellStart"/>
      <w:r w:rsidRPr="00D01E78">
        <w:t>mepolizumab</w:t>
      </w:r>
      <w:proofErr w:type="spellEnd"/>
      <w:r w:rsidRPr="00D01E78">
        <w:t xml:space="preserve"> and </w:t>
      </w:r>
      <w:proofErr w:type="spellStart"/>
      <w:r w:rsidRPr="00D01E78">
        <w:t>benralizumab</w:t>
      </w:r>
      <w:proofErr w:type="spellEnd"/>
      <w:r w:rsidRPr="00D01E78">
        <w:t>):</w:t>
      </w:r>
    </w:p>
    <w:p w14:paraId="4D901CD2" w14:textId="77777777" w:rsidR="00453191" w:rsidRPr="00D01E78" w:rsidRDefault="00453191" w:rsidP="002F64EA">
      <w:pPr>
        <w:numPr>
          <w:ilvl w:val="0"/>
          <w:numId w:val="30"/>
        </w:numPr>
        <w:spacing w:after="150" w:line="300" w:lineRule="atLeast"/>
        <w:ind w:left="375"/>
      </w:pPr>
      <w:r w:rsidRPr="00D01E78">
        <w:t xml:space="preserve">Patient must have blood eosinophil count greater than or equal to 300 cells per </w:t>
      </w:r>
      <w:proofErr w:type="spellStart"/>
      <w:r w:rsidRPr="00D01E78">
        <w:t>microlitre</w:t>
      </w:r>
      <w:proofErr w:type="spellEnd"/>
      <w:r w:rsidRPr="00D01E78">
        <w:t xml:space="preserve"> in the last 12 months</w:t>
      </w:r>
    </w:p>
    <w:p w14:paraId="7A1D3517" w14:textId="03DBB57F" w:rsidR="00453191" w:rsidRPr="005239F8" w:rsidRDefault="00453191" w:rsidP="003B0061">
      <w:r w:rsidRPr="0072089A">
        <w:rPr>
          <w:rFonts w:ascii="Calibri" w:hAnsi="Calibri" w:cs="Arial"/>
        </w:rPr>
        <w:t xml:space="preserve">The maximum duration of initial treatment is 32 weeks for </w:t>
      </w:r>
      <w:proofErr w:type="spellStart"/>
      <w:r w:rsidRPr="0072089A">
        <w:rPr>
          <w:rFonts w:ascii="Calibri" w:hAnsi="Calibri" w:cs="Arial"/>
        </w:rPr>
        <w:t>mepolizumab</w:t>
      </w:r>
      <w:proofErr w:type="spellEnd"/>
      <w:r w:rsidRPr="0072089A">
        <w:rPr>
          <w:rFonts w:ascii="Calibri" w:hAnsi="Calibri" w:cs="Arial"/>
        </w:rPr>
        <w:t xml:space="preserve"> and </w:t>
      </w:r>
      <w:proofErr w:type="spellStart"/>
      <w:r w:rsidRPr="0072089A">
        <w:rPr>
          <w:rFonts w:ascii="Calibri" w:hAnsi="Calibri" w:cs="Arial"/>
        </w:rPr>
        <w:t>benralizumab</w:t>
      </w:r>
      <w:proofErr w:type="spellEnd"/>
      <w:r w:rsidRPr="0072089A">
        <w:rPr>
          <w:rFonts w:ascii="Calibri" w:hAnsi="Calibri" w:cs="Arial"/>
        </w:rPr>
        <w:t xml:space="preserve">, with response assessed at 26-30 weeks for </w:t>
      </w:r>
      <w:proofErr w:type="spellStart"/>
      <w:r w:rsidRPr="0072089A">
        <w:rPr>
          <w:rFonts w:ascii="Calibri" w:hAnsi="Calibri" w:cs="Arial"/>
        </w:rPr>
        <w:t>mepolizumab</w:t>
      </w:r>
      <w:proofErr w:type="spellEnd"/>
      <w:r w:rsidRPr="0072089A">
        <w:rPr>
          <w:rFonts w:ascii="Calibri" w:hAnsi="Calibri" w:cs="Arial"/>
        </w:rPr>
        <w:t xml:space="preserve"> and 20-24 weeks for </w:t>
      </w:r>
      <w:proofErr w:type="spellStart"/>
      <w:r w:rsidRPr="0072089A">
        <w:rPr>
          <w:rFonts w:ascii="Calibri" w:hAnsi="Calibri" w:cs="Arial"/>
        </w:rPr>
        <w:t>benralizumab</w:t>
      </w:r>
      <w:proofErr w:type="spellEnd"/>
      <w:r w:rsidRPr="0072089A">
        <w:rPr>
          <w:rFonts w:ascii="Calibri" w:hAnsi="Calibri" w:cs="Arial"/>
        </w:rPr>
        <w:t xml:space="preserve">. The maximum duration of initial treatment is 28 weeks for </w:t>
      </w:r>
      <w:proofErr w:type="spellStart"/>
      <w:r w:rsidRPr="0072089A">
        <w:rPr>
          <w:rFonts w:ascii="Calibri" w:hAnsi="Calibri" w:cs="Arial"/>
        </w:rPr>
        <w:t>omalizumab</w:t>
      </w:r>
      <w:proofErr w:type="spellEnd"/>
      <w:r w:rsidRPr="0072089A">
        <w:rPr>
          <w:rFonts w:ascii="Calibri" w:hAnsi="Calibri" w:cs="Arial"/>
        </w:rPr>
        <w:t>, with response assessed at 22-26 weeks.</w:t>
      </w:r>
      <w:r>
        <w:rPr>
          <w:rFonts w:ascii="Calibri" w:hAnsi="Calibri" w:cs="Arial"/>
        </w:rPr>
        <w:t xml:space="preserve"> </w:t>
      </w:r>
      <w:r w:rsidRPr="003B0061">
        <w:rPr>
          <w:rFonts w:ascii="Calibri" w:hAnsi="Calibri" w:cs="Arial"/>
        </w:rPr>
        <w:t xml:space="preserve">For the purposes of continuing to receive PBS-subsidised treatment with biologics for severe asthma, an adequate response </w:t>
      </w:r>
      <w:proofErr w:type="gramStart"/>
      <w:r w:rsidRPr="003B0061">
        <w:rPr>
          <w:rFonts w:ascii="Calibri" w:hAnsi="Calibri" w:cs="Arial"/>
        </w:rPr>
        <w:t>is defined</w:t>
      </w:r>
      <w:proofErr w:type="gramEnd"/>
      <w:r w:rsidRPr="003B0061">
        <w:rPr>
          <w:rFonts w:ascii="Calibri" w:hAnsi="Calibri" w:cs="Arial"/>
        </w:rPr>
        <w:t xml:space="preserve"> as:</w:t>
      </w:r>
    </w:p>
    <w:p w14:paraId="7135837F" w14:textId="3983D1F4" w:rsidR="00453191" w:rsidRPr="00BE55CC" w:rsidRDefault="00453191" w:rsidP="00BE55CC">
      <w:pPr>
        <w:pStyle w:val="NormalWeb"/>
        <w:spacing w:line="300" w:lineRule="atLeast"/>
        <w:rPr>
          <w:rFonts w:ascii="Calibri" w:eastAsiaTheme="minorEastAsia" w:hAnsi="Calibri" w:cs="Arial"/>
          <w:color w:val="auto"/>
        </w:rPr>
      </w:pPr>
      <w:r w:rsidRPr="00BE55CC">
        <w:rPr>
          <w:rFonts w:ascii="Calibri" w:eastAsiaTheme="minorEastAsia" w:hAnsi="Calibri" w:cs="Arial"/>
          <w:color w:val="auto"/>
        </w:rPr>
        <w:t xml:space="preserve">(a) </w:t>
      </w:r>
      <w:proofErr w:type="gramStart"/>
      <w:r w:rsidRPr="00BE55CC">
        <w:rPr>
          <w:rFonts w:ascii="Calibri" w:eastAsiaTheme="minorEastAsia" w:hAnsi="Calibri" w:cs="Arial"/>
          <w:color w:val="auto"/>
        </w:rPr>
        <w:t>a</w:t>
      </w:r>
      <w:proofErr w:type="gramEnd"/>
      <w:r w:rsidRPr="00BE55CC">
        <w:rPr>
          <w:rFonts w:ascii="Calibri" w:eastAsiaTheme="minorEastAsia" w:hAnsi="Calibri" w:cs="Arial"/>
          <w:color w:val="auto"/>
        </w:rPr>
        <w:t xml:space="preserve"> reduction in the Asthma Control Questionnaire (ACQ-5) score of at least 0.5 from baseline, OR </w:t>
      </w:r>
    </w:p>
    <w:p w14:paraId="2D028411" w14:textId="77777777" w:rsidR="00453191" w:rsidRPr="00BE55CC" w:rsidRDefault="00453191" w:rsidP="00BE55CC">
      <w:pPr>
        <w:pStyle w:val="NormalWeb"/>
        <w:spacing w:line="300" w:lineRule="atLeast"/>
        <w:rPr>
          <w:rFonts w:ascii="Calibri" w:eastAsiaTheme="minorEastAsia" w:hAnsi="Calibri" w:cs="Arial"/>
          <w:color w:val="auto"/>
        </w:rPr>
      </w:pPr>
      <w:r w:rsidRPr="00BE55CC">
        <w:rPr>
          <w:rFonts w:ascii="Calibri" w:eastAsiaTheme="minorEastAsia" w:hAnsi="Calibri" w:cs="Arial"/>
          <w:color w:val="auto"/>
        </w:rPr>
        <w:t xml:space="preserve">(b) </w:t>
      </w:r>
      <w:proofErr w:type="gramStart"/>
      <w:r w:rsidRPr="00BE55CC">
        <w:rPr>
          <w:rFonts w:ascii="Calibri" w:eastAsiaTheme="minorEastAsia" w:hAnsi="Calibri" w:cs="Arial"/>
          <w:color w:val="auto"/>
        </w:rPr>
        <w:t>maintenance</w:t>
      </w:r>
      <w:proofErr w:type="gramEnd"/>
      <w:r w:rsidRPr="00BE55CC">
        <w:rPr>
          <w:rFonts w:ascii="Calibri" w:eastAsiaTheme="minorEastAsia" w:hAnsi="Calibri" w:cs="Arial"/>
          <w:color w:val="auto"/>
        </w:rPr>
        <w:t xml:space="preserve"> oral corticosteroid dose reduced by at least 25% from baseline, and no deterioration in ACQ-5 score from baseline, OR </w:t>
      </w:r>
    </w:p>
    <w:p w14:paraId="383C20A8" w14:textId="5D84F486" w:rsidR="00453191" w:rsidRPr="00D01E78" w:rsidRDefault="00453191" w:rsidP="00D01E78">
      <w:pPr>
        <w:pStyle w:val="NormalWeb"/>
        <w:spacing w:line="300" w:lineRule="atLeast"/>
        <w:rPr>
          <w:rFonts w:ascii="Calibri" w:eastAsiaTheme="minorEastAsia" w:hAnsi="Calibri" w:cs="Arial"/>
          <w:color w:val="auto"/>
        </w:rPr>
      </w:pPr>
      <w:r w:rsidRPr="00D01E78">
        <w:rPr>
          <w:rFonts w:ascii="Calibri" w:eastAsiaTheme="minorEastAsia" w:hAnsi="Calibri" w:cs="Arial"/>
          <w:color w:val="auto"/>
        </w:rPr>
        <w:t xml:space="preserve">An additional continuation criterion for </w:t>
      </w:r>
      <w:proofErr w:type="spellStart"/>
      <w:r w:rsidRPr="00D01E78">
        <w:rPr>
          <w:rFonts w:ascii="Calibri" w:eastAsiaTheme="minorEastAsia" w:hAnsi="Calibri" w:cs="Arial"/>
          <w:color w:val="auto"/>
        </w:rPr>
        <w:t>omalizumab</w:t>
      </w:r>
      <w:proofErr w:type="spellEnd"/>
      <w:r w:rsidRPr="00D01E78">
        <w:rPr>
          <w:rFonts w:ascii="Calibri" w:eastAsiaTheme="minorEastAsia" w:hAnsi="Calibri" w:cs="Arial"/>
          <w:color w:val="auto"/>
        </w:rPr>
        <w:t xml:space="preserve"> patients transitioned from the paediatric to the adolescent/adult restriction:</w:t>
      </w:r>
    </w:p>
    <w:p w14:paraId="3FBE856F" w14:textId="6E276C4E" w:rsidR="00453191" w:rsidRPr="003B0061" w:rsidRDefault="00453191" w:rsidP="003B0061">
      <w:pPr>
        <w:pStyle w:val="NormalWeb"/>
        <w:spacing w:line="300" w:lineRule="atLeast"/>
        <w:rPr>
          <w:rFonts w:ascii="Calibri" w:eastAsiaTheme="minorEastAsia" w:hAnsi="Calibri" w:cs="Arial"/>
          <w:color w:val="auto"/>
        </w:rPr>
      </w:pPr>
      <w:r w:rsidRPr="00D01E78">
        <w:rPr>
          <w:rFonts w:ascii="Calibri" w:eastAsiaTheme="minorEastAsia" w:hAnsi="Calibri" w:cs="Arial"/>
          <w:color w:val="auto"/>
        </w:rPr>
        <w:t xml:space="preserve"> (c) </w:t>
      </w:r>
      <w:proofErr w:type="gramStart"/>
      <w:r w:rsidRPr="00D01E78">
        <w:rPr>
          <w:rFonts w:ascii="Calibri" w:eastAsiaTheme="minorEastAsia" w:hAnsi="Calibri" w:cs="Arial"/>
          <w:color w:val="auto"/>
        </w:rPr>
        <w:t>a</w:t>
      </w:r>
      <w:proofErr w:type="gramEnd"/>
      <w:r w:rsidRPr="00D01E78">
        <w:rPr>
          <w:rFonts w:ascii="Calibri" w:eastAsiaTheme="minorEastAsia" w:hAnsi="Calibri" w:cs="Arial"/>
          <w:color w:val="auto"/>
        </w:rPr>
        <w:t xml:space="preserve"> reduction in the time-adjusted exacerbation rates compared to the 12 months prior to baseline  </w:t>
      </w:r>
    </w:p>
    <w:p w14:paraId="327FA98D" w14:textId="681330EF" w:rsidR="00BA2CF4" w:rsidRDefault="00BA2CF4" w:rsidP="00A35800">
      <w:r>
        <w:t xml:space="preserve">There are separate PBS restrictions for </w:t>
      </w:r>
      <w:proofErr w:type="spellStart"/>
      <w:r>
        <w:t>omalizumab</w:t>
      </w:r>
      <w:proofErr w:type="spellEnd"/>
      <w:r>
        <w:t xml:space="preserve"> in patients aged </w:t>
      </w:r>
      <w:proofErr w:type="gramStart"/>
      <w:r>
        <w:t>6</w:t>
      </w:r>
      <w:proofErr w:type="gramEnd"/>
      <w:r>
        <w:t xml:space="preserve"> to &lt;12 years. </w:t>
      </w:r>
    </w:p>
    <w:p w14:paraId="22433632" w14:textId="486C855C" w:rsidR="00453191" w:rsidRPr="006775F1" w:rsidDel="00EE2BBB" w:rsidRDefault="00453191" w:rsidP="00A35800">
      <w:r w:rsidRPr="006775F1" w:rsidDel="00EE2BBB">
        <w:t xml:space="preserve">For </w:t>
      </w:r>
      <w:r>
        <w:t xml:space="preserve">full </w:t>
      </w:r>
      <w:r w:rsidDel="00EE2BBB">
        <w:t xml:space="preserve">details of the current </w:t>
      </w:r>
      <w:proofErr w:type="gramStart"/>
      <w:r w:rsidDel="00EE2BBB">
        <w:t>PBS</w:t>
      </w:r>
      <w:proofErr w:type="gramEnd"/>
      <w:r w:rsidDel="00EE2BBB">
        <w:t xml:space="preserve"> listing</w:t>
      </w:r>
      <w:r>
        <w:t>s</w:t>
      </w:r>
      <w:r w:rsidDel="00EE2BBB">
        <w:t xml:space="preserve"> refer to the </w:t>
      </w:r>
      <w:hyperlink r:id="rId15" w:history="1">
        <w:r w:rsidRPr="00645D51" w:rsidDel="00EE2BBB">
          <w:rPr>
            <w:rStyle w:val="Hyperlink"/>
          </w:rPr>
          <w:t>PBS website</w:t>
        </w:r>
      </w:hyperlink>
      <w:r w:rsidDel="00EE2BBB">
        <w:rPr>
          <w:rStyle w:val="Hyperlink"/>
        </w:rPr>
        <w:t>.</w:t>
      </w:r>
    </w:p>
    <w:p w14:paraId="509ADFEB" w14:textId="201634E9" w:rsidR="00453191" w:rsidRDefault="00453191" w:rsidP="00CF5E22">
      <w:pPr>
        <w:pStyle w:val="Heading3"/>
      </w:pPr>
      <w:r w:rsidRPr="00675BB1" w:rsidDel="00EE2BBB">
        <w:t>Date of listing on PBS</w:t>
      </w:r>
    </w:p>
    <w:p w14:paraId="5460D357" w14:textId="77777777" w:rsidR="00453191" w:rsidRPr="0022258E" w:rsidRDefault="00453191" w:rsidP="00C122B9">
      <w:pPr>
        <w:pStyle w:val="ListParagraph"/>
        <w:numPr>
          <w:ilvl w:val="0"/>
          <w:numId w:val="12"/>
        </w:numPr>
      </w:pPr>
      <w:proofErr w:type="spellStart"/>
      <w:r w:rsidRPr="0022258E">
        <w:t>Omalizumab</w:t>
      </w:r>
      <w:proofErr w:type="spellEnd"/>
      <w:r>
        <w:t>:</w:t>
      </w:r>
      <w:r w:rsidRPr="0022258E">
        <w:t xml:space="preserve"> 1 July 2011 </w:t>
      </w:r>
    </w:p>
    <w:p w14:paraId="2198A280" w14:textId="77777777" w:rsidR="00453191" w:rsidRPr="0022258E" w:rsidRDefault="00453191" w:rsidP="00C122B9">
      <w:pPr>
        <w:pStyle w:val="ListParagraph"/>
        <w:numPr>
          <w:ilvl w:val="0"/>
          <w:numId w:val="12"/>
        </w:numPr>
      </w:pPr>
      <w:proofErr w:type="spellStart"/>
      <w:r w:rsidRPr="0022258E">
        <w:t>Mepolizumab</w:t>
      </w:r>
      <w:proofErr w:type="spellEnd"/>
      <w:r>
        <w:t>:</w:t>
      </w:r>
      <w:r w:rsidRPr="0022258E">
        <w:t xml:space="preserve"> 1 January 2017</w:t>
      </w:r>
    </w:p>
    <w:p w14:paraId="779EBF92" w14:textId="77777777" w:rsidR="00453191" w:rsidRPr="0022258E" w:rsidRDefault="00453191" w:rsidP="00C122B9">
      <w:pPr>
        <w:pStyle w:val="ListParagraph"/>
        <w:numPr>
          <w:ilvl w:val="0"/>
          <w:numId w:val="12"/>
        </w:numPr>
      </w:pPr>
      <w:proofErr w:type="spellStart"/>
      <w:r w:rsidRPr="0022258E">
        <w:t>Benralizumab</w:t>
      </w:r>
      <w:proofErr w:type="spellEnd"/>
      <w:r>
        <w:t>:</w:t>
      </w:r>
      <w:r w:rsidRPr="0022258E">
        <w:t xml:space="preserve"> 1 December 2018</w:t>
      </w:r>
    </w:p>
    <w:p w14:paraId="39CE9ABE" w14:textId="77777777" w:rsidR="005C60FD" w:rsidRDefault="005C60FD" w:rsidP="00CF5E22">
      <w:pPr>
        <w:pStyle w:val="Heading3"/>
      </w:pPr>
      <w:r>
        <w:br w:type="page"/>
      </w:r>
    </w:p>
    <w:p w14:paraId="39EF75ED" w14:textId="51440708" w:rsidR="00453191" w:rsidRPr="00675BB1" w:rsidDel="00EE2BBB" w:rsidRDefault="00453191" w:rsidP="00CF5E22">
      <w:pPr>
        <w:pStyle w:val="Heading3"/>
      </w:pPr>
      <w:r w:rsidRPr="00675BB1" w:rsidDel="00EE2BBB">
        <w:lastRenderedPageBreak/>
        <w:t>Changes to listing</w:t>
      </w:r>
    </w:p>
    <w:p w14:paraId="5BF21BCD" w14:textId="1B50EAB7" w:rsidR="00453191" w:rsidRPr="00DA0529" w:rsidRDefault="00453191" w:rsidP="00DA0529">
      <w:pPr>
        <w:pStyle w:val="Tabletitle"/>
      </w:pPr>
      <w:r w:rsidRPr="001420B3" w:rsidDel="00EE2BBB">
        <w:t xml:space="preserve">Table </w:t>
      </w:r>
      <w:r>
        <w:t>4</w:t>
      </w:r>
      <w:r w:rsidRPr="001420B3" w:rsidDel="00EE2BBB">
        <w:t xml:space="preserve">: </w:t>
      </w:r>
      <w:r>
        <w:t>Changes to PBS listing for severe asthma biologics</w:t>
      </w:r>
    </w:p>
    <w:tbl>
      <w:tblPr>
        <w:tblStyle w:val="TableGrid"/>
        <w:tblW w:w="0" w:type="auto"/>
        <w:tblLook w:val="04A0" w:firstRow="1" w:lastRow="0" w:firstColumn="1" w:lastColumn="0" w:noHBand="0" w:noVBand="1"/>
        <w:tblCaption w:val="Changes to PBS listing for severe asthma biologics"/>
        <w:tblDescription w:val="Changes to PBS listing for severe asthma biologics"/>
      </w:tblPr>
      <w:tblGrid>
        <w:gridCol w:w="1782"/>
        <w:gridCol w:w="7165"/>
      </w:tblGrid>
      <w:tr w:rsidR="00453191" w:rsidRPr="00687F9D" w14:paraId="6CD1924C" w14:textId="77777777" w:rsidTr="00BA2CF4">
        <w:trPr>
          <w:tblHeader/>
        </w:trPr>
        <w:tc>
          <w:tcPr>
            <w:tcW w:w="1782" w:type="dxa"/>
            <w:shd w:val="clear" w:color="auto" w:fill="BFBFBF" w:themeFill="background1" w:themeFillShade="BF"/>
          </w:tcPr>
          <w:p w14:paraId="4EF0E9DA" w14:textId="73CCBDA5" w:rsidR="00453191" w:rsidRPr="00687F9D" w:rsidRDefault="00453191" w:rsidP="00A71057">
            <w:pPr>
              <w:pStyle w:val="Tableheading"/>
              <w:rPr>
                <w:sz w:val="20"/>
                <w:szCs w:val="20"/>
              </w:rPr>
            </w:pPr>
            <w:r w:rsidRPr="00687F9D">
              <w:rPr>
                <w:sz w:val="20"/>
                <w:szCs w:val="20"/>
              </w:rPr>
              <w:t>Date</w:t>
            </w:r>
          </w:p>
        </w:tc>
        <w:tc>
          <w:tcPr>
            <w:tcW w:w="7165" w:type="dxa"/>
            <w:shd w:val="clear" w:color="auto" w:fill="BFBFBF" w:themeFill="background1" w:themeFillShade="BF"/>
          </w:tcPr>
          <w:p w14:paraId="0B483979" w14:textId="66672863" w:rsidR="00453191" w:rsidRPr="00687F9D" w:rsidRDefault="00453191" w:rsidP="00A71057">
            <w:pPr>
              <w:pStyle w:val="Tableheading"/>
              <w:rPr>
                <w:sz w:val="20"/>
                <w:szCs w:val="20"/>
              </w:rPr>
            </w:pPr>
            <w:r w:rsidRPr="00687F9D">
              <w:rPr>
                <w:sz w:val="20"/>
                <w:szCs w:val="20"/>
              </w:rPr>
              <w:t>Change to listing</w:t>
            </w:r>
          </w:p>
        </w:tc>
      </w:tr>
      <w:tr w:rsidR="00453191" w14:paraId="5CA9A193" w14:textId="77777777" w:rsidTr="00BA2CF4">
        <w:tc>
          <w:tcPr>
            <w:tcW w:w="1782" w:type="dxa"/>
          </w:tcPr>
          <w:p w14:paraId="57CEB6BA" w14:textId="30ED21A2" w:rsidR="00453191" w:rsidRPr="00E731C6" w:rsidRDefault="00453191" w:rsidP="00E731C6">
            <w:pPr>
              <w:pStyle w:val="Tablewriting"/>
            </w:pPr>
            <w:r w:rsidRPr="00E731C6">
              <w:t>July 2011</w:t>
            </w:r>
          </w:p>
        </w:tc>
        <w:tc>
          <w:tcPr>
            <w:tcW w:w="7165" w:type="dxa"/>
          </w:tcPr>
          <w:p w14:paraId="3044DB9B" w14:textId="119F5A2D" w:rsidR="00453191" w:rsidRPr="00E731C6" w:rsidRDefault="00453191" w:rsidP="00E731C6">
            <w:pPr>
              <w:pStyle w:val="Tablewriting"/>
            </w:pPr>
            <w:proofErr w:type="spellStart"/>
            <w:r w:rsidRPr="00E731C6">
              <w:t>Omalizumab</w:t>
            </w:r>
            <w:proofErr w:type="spellEnd"/>
            <w:r w:rsidRPr="00E731C6">
              <w:t xml:space="preserve"> listed</w:t>
            </w:r>
          </w:p>
        </w:tc>
      </w:tr>
      <w:tr w:rsidR="00453191" w14:paraId="52386CEE" w14:textId="77777777" w:rsidTr="00BA2CF4">
        <w:tc>
          <w:tcPr>
            <w:tcW w:w="1782" w:type="dxa"/>
          </w:tcPr>
          <w:p w14:paraId="3EE6686B" w14:textId="074E2D96" w:rsidR="00453191" w:rsidRPr="00E731C6" w:rsidRDefault="00453191" w:rsidP="00E731C6">
            <w:pPr>
              <w:pStyle w:val="Tablewriting"/>
            </w:pPr>
            <w:r w:rsidRPr="00E731C6">
              <w:t>August 2014</w:t>
            </w:r>
          </w:p>
        </w:tc>
        <w:tc>
          <w:tcPr>
            <w:tcW w:w="7165" w:type="dxa"/>
          </w:tcPr>
          <w:p w14:paraId="28409F9F" w14:textId="71010D23" w:rsidR="00453191" w:rsidRPr="00E731C6" w:rsidRDefault="00453191" w:rsidP="00E731C6">
            <w:pPr>
              <w:pStyle w:val="Tablewriting"/>
            </w:pPr>
            <w:proofErr w:type="spellStart"/>
            <w:r w:rsidRPr="00E731C6">
              <w:t>Omalizumab</w:t>
            </w:r>
            <w:proofErr w:type="spellEnd"/>
            <w:r w:rsidRPr="00E731C6">
              <w:t xml:space="preserve"> pre-filled syringe added</w:t>
            </w:r>
          </w:p>
        </w:tc>
      </w:tr>
      <w:tr w:rsidR="00453191" w14:paraId="6E9264AB" w14:textId="77777777" w:rsidTr="00BA2CF4">
        <w:tc>
          <w:tcPr>
            <w:tcW w:w="1782" w:type="dxa"/>
          </w:tcPr>
          <w:p w14:paraId="59B7BBF4" w14:textId="3CE75EB7" w:rsidR="00453191" w:rsidRPr="00E731C6" w:rsidRDefault="00453191" w:rsidP="00E731C6">
            <w:pPr>
              <w:pStyle w:val="Tablewriting"/>
              <w:rPr>
                <w:highlight w:val="yellow"/>
              </w:rPr>
            </w:pPr>
            <w:r w:rsidRPr="00E731C6">
              <w:t>May 2015</w:t>
            </w:r>
          </w:p>
        </w:tc>
        <w:tc>
          <w:tcPr>
            <w:tcW w:w="7165" w:type="dxa"/>
          </w:tcPr>
          <w:p w14:paraId="78B26324" w14:textId="46E7EE99" w:rsidR="00453191" w:rsidRPr="00E731C6" w:rsidRDefault="00453191" w:rsidP="00E731C6">
            <w:pPr>
              <w:pStyle w:val="Tablewriting"/>
              <w:rPr>
                <w:highlight w:val="yellow"/>
              </w:rPr>
            </w:pPr>
            <w:proofErr w:type="spellStart"/>
            <w:r w:rsidRPr="00E731C6">
              <w:t>Omalizumab</w:t>
            </w:r>
            <w:proofErr w:type="spellEnd"/>
            <w:r w:rsidRPr="00E731C6">
              <w:t xml:space="preserve"> – amendment to allow patients to initiate if they have received a cumulative dose of oral corticosteroids of at least 500 mg prednisolone equivalent in the previous 12 months</w:t>
            </w:r>
          </w:p>
        </w:tc>
      </w:tr>
      <w:tr w:rsidR="00453191" w14:paraId="2625A97B" w14:textId="77777777" w:rsidTr="00BA2CF4">
        <w:tc>
          <w:tcPr>
            <w:tcW w:w="1782" w:type="dxa"/>
          </w:tcPr>
          <w:p w14:paraId="012CF96C" w14:textId="66337796" w:rsidR="00453191" w:rsidRPr="00E731C6" w:rsidRDefault="00453191" w:rsidP="00E731C6">
            <w:pPr>
              <w:pStyle w:val="Tablewriting"/>
            </w:pPr>
            <w:r w:rsidRPr="00E731C6">
              <w:t xml:space="preserve">June 2016 </w:t>
            </w:r>
          </w:p>
        </w:tc>
        <w:tc>
          <w:tcPr>
            <w:tcW w:w="7165" w:type="dxa"/>
          </w:tcPr>
          <w:p w14:paraId="35695D1B" w14:textId="182E1B68" w:rsidR="00453191" w:rsidRPr="00E731C6" w:rsidRDefault="00453191" w:rsidP="00E731C6">
            <w:pPr>
              <w:pStyle w:val="Tablewriting"/>
            </w:pPr>
            <w:proofErr w:type="spellStart"/>
            <w:r w:rsidRPr="00E731C6">
              <w:t>Omalizumab</w:t>
            </w:r>
            <w:proofErr w:type="spellEnd"/>
            <w:r w:rsidRPr="00E731C6">
              <w:t xml:space="preserve"> – Baseline </w:t>
            </w:r>
            <w:proofErr w:type="spellStart"/>
            <w:r w:rsidRPr="00E731C6">
              <w:t>IgE</w:t>
            </w:r>
            <w:proofErr w:type="spellEnd"/>
            <w:r w:rsidRPr="00E731C6">
              <w:t xml:space="preserve"> level reduced from 75 IU/mL to 30 IU/mL</w:t>
            </w:r>
          </w:p>
        </w:tc>
      </w:tr>
      <w:tr w:rsidR="00453191" w14:paraId="44B1001F" w14:textId="77777777" w:rsidTr="00BA2CF4">
        <w:tc>
          <w:tcPr>
            <w:tcW w:w="1782" w:type="dxa"/>
          </w:tcPr>
          <w:p w14:paraId="0DE39C5E" w14:textId="7A19D17F" w:rsidR="00453191" w:rsidRPr="00E731C6" w:rsidRDefault="00453191" w:rsidP="00E731C6">
            <w:pPr>
              <w:pStyle w:val="Tablewriting"/>
            </w:pPr>
            <w:r w:rsidRPr="00E731C6">
              <w:t>December 2016</w:t>
            </w:r>
          </w:p>
        </w:tc>
        <w:tc>
          <w:tcPr>
            <w:tcW w:w="7165" w:type="dxa"/>
          </w:tcPr>
          <w:p w14:paraId="6FF27CF7" w14:textId="0C81C78F" w:rsidR="00453191" w:rsidRPr="00E731C6" w:rsidRDefault="00453191" w:rsidP="00E731C6">
            <w:pPr>
              <w:pStyle w:val="Tablewriting"/>
            </w:pPr>
            <w:proofErr w:type="spellStart"/>
            <w:r w:rsidRPr="00E731C6">
              <w:t>Omalizumab</w:t>
            </w:r>
            <w:proofErr w:type="spellEnd"/>
            <w:r w:rsidRPr="00E731C6">
              <w:t xml:space="preserve"> new item for children 6-11 years (accounted for 2.7% of </w:t>
            </w:r>
            <w:proofErr w:type="spellStart"/>
            <w:r w:rsidRPr="00E731C6">
              <w:t>omalizumab</w:t>
            </w:r>
            <w:proofErr w:type="spellEnd"/>
            <w:r w:rsidRPr="00E731C6">
              <w:t xml:space="preserve"> use in 2017)</w:t>
            </w:r>
          </w:p>
        </w:tc>
      </w:tr>
      <w:tr w:rsidR="00453191" w14:paraId="202C287D" w14:textId="77777777" w:rsidTr="00BA2CF4">
        <w:tc>
          <w:tcPr>
            <w:tcW w:w="1782" w:type="dxa"/>
            <w:vMerge w:val="restart"/>
          </w:tcPr>
          <w:p w14:paraId="555E90C8" w14:textId="6491E1C4" w:rsidR="00453191" w:rsidRPr="00E731C6" w:rsidRDefault="00453191" w:rsidP="00E731C6">
            <w:pPr>
              <w:pStyle w:val="Tablewriting"/>
            </w:pPr>
            <w:r w:rsidRPr="00E731C6">
              <w:t>January 2017</w:t>
            </w:r>
          </w:p>
        </w:tc>
        <w:tc>
          <w:tcPr>
            <w:tcW w:w="7165" w:type="dxa"/>
          </w:tcPr>
          <w:p w14:paraId="27E53B99" w14:textId="7CBC7E8C" w:rsidR="00453191" w:rsidRPr="00E731C6" w:rsidRDefault="00453191" w:rsidP="00E731C6">
            <w:pPr>
              <w:pStyle w:val="Tablewriting"/>
            </w:pPr>
            <w:proofErr w:type="spellStart"/>
            <w:r w:rsidRPr="00E731C6">
              <w:t>Mepolizumab</w:t>
            </w:r>
            <w:proofErr w:type="spellEnd"/>
            <w:r w:rsidRPr="00E731C6">
              <w:t xml:space="preserve"> added</w:t>
            </w:r>
          </w:p>
        </w:tc>
      </w:tr>
      <w:tr w:rsidR="00453191" w14:paraId="07206600" w14:textId="77777777" w:rsidTr="00BA2CF4">
        <w:tc>
          <w:tcPr>
            <w:tcW w:w="1782" w:type="dxa"/>
            <w:vMerge/>
          </w:tcPr>
          <w:p w14:paraId="5919F6F6" w14:textId="77777777" w:rsidR="00453191" w:rsidRPr="00E731C6" w:rsidRDefault="00453191" w:rsidP="00E731C6">
            <w:pPr>
              <w:pStyle w:val="Tablewriting"/>
              <w:rPr>
                <w:highlight w:val="yellow"/>
              </w:rPr>
            </w:pPr>
          </w:p>
        </w:tc>
        <w:tc>
          <w:tcPr>
            <w:tcW w:w="7165" w:type="dxa"/>
          </w:tcPr>
          <w:p w14:paraId="63AEE1CE" w14:textId="10ACB9A4" w:rsidR="00453191" w:rsidRPr="00DF79FF" w:rsidRDefault="00453191" w:rsidP="00E731C6">
            <w:pPr>
              <w:pStyle w:val="Tablewriting"/>
            </w:pPr>
            <w:proofErr w:type="spellStart"/>
            <w:r w:rsidRPr="00DF79FF">
              <w:t>Omalizumab</w:t>
            </w:r>
            <w:proofErr w:type="spellEnd"/>
          </w:p>
          <w:p w14:paraId="4241F143" w14:textId="77777777" w:rsidR="00453191" w:rsidRPr="00DF79FF" w:rsidRDefault="00453191" w:rsidP="00DF79FF">
            <w:pPr>
              <w:pStyle w:val="Tablewriting"/>
              <w:numPr>
                <w:ilvl w:val="0"/>
                <w:numId w:val="43"/>
              </w:numPr>
            </w:pPr>
            <w:r w:rsidRPr="00DF79FF">
              <w:t xml:space="preserve">Change to clinical criteria to reduce the requirement to document FEV1 &lt;80% on 3 or more occasions in the previous 12 months to one or more occasions in the last 12 months. </w:t>
            </w:r>
          </w:p>
          <w:p w14:paraId="54241402" w14:textId="0A0378E7" w:rsidR="00453191" w:rsidRPr="00DF79FF" w:rsidRDefault="00453191" w:rsidP="00DF79FF">
            <w:pPr>
              <w:pStyle w:val="Tablewriting"/>
              <w:numPr>
                <w:ilvl w:val="0"/>
                <w:numId w:val="43"/>
              </w:numPr>
            </w:pPr>
            <w:r w:rsidRPr="00DF79FF">
              <w:t xml:space="preserve">Addition: 'The treatment must not be used in combination with, or within 6 months of treatment with, PBS-subsidised </w:t>
            </w:r>
            <w:proofErr w:type="spellStart"/>
            <w:r w:rsidRPr="00DF79FF">
              <w:t>mepolizumab</w:t>
            </w:r>
            <w:proofErr w:type="spellEnd"/>
            <w:r w:rsidRPr="00DF79FF">
              <w:t>.'</w:t>
            </w:r>
          </w:p>
        </w:tc>
      </w:tr>
      <w:tr w:rsidR="00453191" w14:paraId="3D1FE2C2" w14:textId="77777777" w:rsidTr="00BA2CF4">
        <w:tc>
          <w:tcPr>
            <w:tcW w:w="1782" w:type="dxa"/>
          </w:tcPr>
          <w:p w14:paraId="7E4BCB50" w14:textId="40162BB5" w:rsidR="00453191" w:rsidRPr="00E731C6" w:rsidRDefault="00453191" w:rsidP="00E731C6">
            <w:pPr>
              <w:pStyle w:val="Tablewriting"/>
              <w:rPr>
                <w:highlight w:val="yellow"/>
              </w:rPr>
            </w:pPr>
            <w:r w:rsidRPr="0037284E">
              <w:t>June 2018</w:t>
            </w:r>
          </w:p>
        </w:tc>
        <w:tc>
          <w:tcPr>
            <w:tcW w:w="7165" w:type="dxa"/>
          </w:tcPr>
          <w:p w14:paraId="118915BD" w14:textId="7BF3E37A" w:rsidR="00453191" w:rsidRPr="0037284E" w:rsidRDefault="00453191" w:rsidP="00E731C6">
            <w:pPr>
              <w:pStyle w:val="Tablewriting"/>
            </w:pPr>
            <w:proofErr w:type="spellStart"/>
            <w:r w:rsidRPr="0037284E">
              <w:t>Omalizumab</w:t>
            </w:r>
            <w:proofErr w:type="spellEnd"/>
          </w:p>
          <w:p w14:paraId="1F803D15" w14:textId="17936DE7" w:rsidR="00453191" w:rsidRPr="0037284E" w:rsidRDefault="00453191" w:rsidP="00E731C6">
            <w:pPr>
              <w:pStyle w:val="Tablewriting"/>
              <w:rPr>
                <w:u w:val="single"/>
              </w:rPr>
            </w:pPr>
            <w:r w:rsidRPr="0037284E">
              <w:rPr>
                <w:u w:val="single"/>
              </w:rPr>
              <w:t>Alteration note</w:t>
            </w:r>
          </w:p>
          <w:p w14:paraId="293113D6" w14:textId="341CEFD3" w:rsidR="00453191" w:rsidRPr="0037284E" w:rsidRDefault="00453191" w:rsidP="002C42FD">
            <w:pPr>
              <w:pStyle w:val="Tablewriting"/>
              <w:numPr>
                <w:ilvl w:val="0"/>
                <w:numId w:val="43"/>
              </w:numPr>
            </w:pPr>
            <w:r w:rsidRPr="0037284E">
              <w:t>Initial treatment note</w:t>
            </w:r>
          </w:p>
          <w:p w14:paraId="2A9CF6B4" w14:textId="156A1CB2" w:rsidR="00453191" w:rsidRPr="0037284E" w:rsidRDefault="005C60FD" w:rsidP="00DF79FF">
            <w:pPr>
              <w:pStyle w:val="Tablewriting"/>
              <w:ind w:left="360"/>
              <w:rPr>
                <w:highlight w:val="yellow"/>
              </w:rPr>
            </w:pPr>
            <w:r>
              <w:rPr>
                <w:color w:val="auto"/>
              </w:rPr>
              <w:t>…</w:t>
            </w:r>
            <w:r w:rsidR="00453191" w:rsidRPr="0037284E">
              <w:rPr>
                <w:color w:val="auto"/>
              </w:rPr>
              <w:t xml:space="preserve">iii) A patient has received prior PBS-subsidised </w:t>
            </w:r>
            <w:proofErr w:type="spellStart"/>
            <w:r w:rsidR="00453191" w:rsidRPr="0037284E">
              <w:rPr>
                <w:color w:val="auto"/>
              </w:rPr>
              <w:t>mepolizumab</w:t>
            </w:r>
            <w:proofErr w:type="spellEnd"/>
            <w:r w:rsidR="00453191" w:rsidRPr="0037284E">
              <w:rPr>
                <w:color w:val="auto"/>
              </w:rPr>
              <w:t xml:space="preserve"> and wishes to commence treatment with </w:t>
            </w:r>
            <w:proofErr w:type="spellStart"/>
            <w:r w:rsidR="00453191" w:rsidRPr="0037284E">
              <w:rPr>
                <w:color w:val="auto"/>
              </w:rPr>
              <w:t>omalizumab</w:t>
            </w:r>
            <w:proofErr w:type="spellEnd"/>
            <w:r w:rsidR="00453191" w:rsidRPr="0037284E">
              <w:rPr>
                <w:color w:val="auto"/>
              </w:rPr>
              <w:t xml:space="preserve"> after a treatment break of at least 6 months</w:t>
            </w:r>
            <w:r w:rsidR="00453191" w:rsidRPr="005C60FD">
              <w:rPr>
                <w:color w:val="auto"/>
              </w:rPr>
              <w:t>. All appl</w:t>
            </w:r>
            <w:r w:rsidR="00453191" w:rsidRPr="00827A3E">
              <w:rPr>
                <w:color w:val="000000" w:themeColor="text1"/>
              </w:rPr>
              <w:t xml:space="preserve">ications for initial treatment </w:t>
            </w:r>
            <w:r w:rsidRPr="005C60FD">
              <w:rPr>
                <w:strike/>
                <w:color w:val="000000" w:themeColor="text1"/>
              </w:rPr>
              <w:t xml:space="preserve">for non-grandfathered patients </w:t>
            </w:r>
            <w:r w:rsidR="00453191" w:rsidRPr="00827A3E">
              <w:rPr>
                <w:color w:val="000000" w:themeColor="text1"/>
              </w:rPr>
              <w:t xml:space="preserve">will </w:t>
            </w:r>
            <w:r w:rsidR="00453191" w:rsidRPr="0037284E">
              <w:rPr>
                <w:color w:val="auto"/>
              </w:rPr>
              <w:t xml:space="preserve">be limited to provide for a maximum of 28 weeks of therapy of </w:t>
            </w:r>
            <w:proofErr w:type="spellStart"/>
            <w:r w:rsidR="00453191" w:rsidRPr="0037284E">
              <w:rPr>
                <w:color w:val="auto"/>
              </w:rPr>
              <w:t>omalizumab</w:t>
            </w:r>
            <w:proofErr w:type="spellEnd"/>
            <w:r>
              <w:rPr>
                <w:color w:val="auto"/>
              </w:rPr>
              <w:t>…</w:t>
            </w:r>
          </w:p>
          <w:p w14:paraId="5342D42C" w14:textId="77777777" w:rsidR="00453191" w:rsidRPr="0037284E" w:rsidRDefault="00453191" w:rsidP="00E731C6">
            <w:pPr>
              <w:pStyle w:val="Tablewriting"/>
              <w:rPr>
                <w:u w:val="single"/>
              </w:rPr>
            </w:pPr>
            <w:r w:rsidRPr="0037284E">
              <w:rPr>
                <w:u w:val="single"/>
              </w:rPr>
              <w:t>Alteration restriction</w:t>
            </w:r>
          </w:p>
          <w:p w14:paraId="3CC3C315" w14:textId="72F3F2FC" w:rsidR="00453191" w:rsidRPr="0037284E" w:rsidRDefault="00453191" w:rsidP="0037284E">
            <w:pPr>
              <w:pStyle w:val="Tablewriting"/>
              <w:rPr>
                <w:highlight w:val="yellow"/>
              </w:rPr>
            </w:pPr>
            <w:r>
              <w:t xml:space="preserve">Amalgamated initial treatment balance of supply with continuing treatment amalgamation of supply, with the requirements for under these restrictions otherwise unchanged. </w:t>
            </w:r>
          </w:p>
        </w:tc>
      </w:tr>
      <w:tr w:rsidR="00453191" w14:paraId="017E9C1D" w14:textId="77777777" w:rsidTr="00BA2CF4">
        <w:tc>
          <w:tcPr>
            <w:tcW w:w="1782" w:type="dxa"/>
          </w:tcPr>
          <w:p w14:paraId="0F91E512" w14:textId="561DBA51" w:rsidR="00453191" w:rsidRPr="00E731C6" w:rsidRDefault="00453191" w:rsidP="00E731C6">
            <w:pPr>
              <w:pStyle w:val="Tablewriting"/>
            </w:pPr>
            <w:r w:rsidRPr="00E731C6">
              <w:t>July 2018</w:t>
            </w:r>
          </w:p>
        </w:tc>
        <w:tc>
          <w:tcPr>
            <w:tcW w:w="7165" w:type="dxa"/>
          </w:tcPr>
          <w:p w14:paraId="6B0D8A46" w14:textId="390C192D" w:rsidR="00453191" w:rsidRPr="00E731C6" w:rsidRDefault="00453191" w:rsidP="00E731C6">
            <w:pPr>
              <w:pStyle w:val="Tablewriting"/>
            </w:pPr>
            <w:proofErr w:type="spellStart"/>
            <w:r w:rsidRPr="00E731C6">
              <w:t>Mepolizumab</w:t>
            </w:r>
            <w:proofErr w:type="spellEnd"/>
            <w:r w:rsidRPr="00E731C6">
              <w:t xml:space="preserve"> - extended eosinophil blood test validity period from 6 weeks to 12 months (to align with the </w:t>
            </w:r>
            <w:proofErr w:type="spellStart"/>
            <w:r w:rsidRPr="00E731C6">
              <w:t>omalizumab</w:t>
            </w:r>
            <w:proofErr w:type="spellEnd"/>
            <w:r w:rsidRPr="00E731C6">
              <w:t xml:space="preserve"> listing for uncontrolled severe allergic asthma).</w:t>
            </w:r>
          </w:p>
        </w:tc>
      </w:tr>
      <w:tr w:rsidR="00453191" w14:paraId="7455FA84" w14:textId="77777777" w:rsidTr="00BA2CF4">
        <w:tc>
          <w:tcPr>
            <w:tcW w:w="1782" w:type="dxa"/>
            <w:vMerge w:val="restart"/>
          </w:tcPr>
          <w:p w14:paraId="711279AE" w14:textId="3D20D49B" w:rsidR="00453191" w:rsidRPr="00E731C6" w:rsidRDefault="00453191" w:rsidP="00E731C6">
            <w:pPr>
              <w:pStyle w:val="Tablewriting"/>
            </w:pPr>
            <w:r w:rsidRPr="00E731C6">
              <w:t xml:space="preserve">December 2018 </w:t>
            </w:r>
          </w:p>
        </w:tc>
        <w:tc>
          <w:tcPr>
            <w:tcW w:w="7165" w:type="dxa"/>
          </w:tcPr>
          <w:p w14:paraId="6CD2F6E1" w14:textId="70667D5A" w:rsidR="00453191" w:rsidRPr="00E731C6" w:rsidRDefault="00453191" w:rsidP="00E731C6">
            <w:pPr>
              <w:pStyle w:val="Tablewriting"/>
            </w:pPr>
            <w:proofErr w:type="spellStart"/>
            <w:r w:rsidRPr="00E731C6">
              <w:t>Benralizumab</w:t>
            </w:r>
            <w:proofErr w:type="spellEnd"/>
            <w:r w:rsidRPr="00E731C6">
              <w:t xml:space="preserve"> added</w:t>
            </w:r>
          </w:p>
        </w:tc>
      </w:tr>
      <w:tr w:rsidR="00453191" w14:paraId="09784A89" w14:textId="77777777" w:rsidTr="00BA2CF4">
        <w:tc>
          <w:tcPr>
            <w:tcW w:w="1782" w:type="dxa"/>
            <w:vMerge/>
          </w:tcPr>
          <w:p w14:paraId="6B923085" w14:textId="77777777" w:rsidR="00453191" w:rsidRPr="00E731C6" w:rsidRDefault="00453191" w:rsidP="00E731C6">
            <w:pPr>
              <w:pStyle w:val="Tablewriting"/>
            </w:pPr>
          </w:p>
        </w:tc>
        <w:tc>
          <w:tcPr>
            <w:tcW w:w="7165" w:type="dxa"/>
          </w:tcPr>
          <w:p w14:paraId="34E695DE" w14:textId="77777777" w:rsidR="00453191" w:rsidRPr="00827A3E" w:rsidRDefault="00453191" w:rsidP="00E731C6">
            <w:pPr>
              <w:pStyle w:val="Tablewriting"/>
              <w:rPr>
                <w:color w:val="000000" w:themeColor="text1"/>
              </w:rPr>
            </w:pPr>
            <w:proofErr w:type="spellStart"/>
            <w:r w:rsidRPr="00E731C6">
              <w:t>Omalizumab</w:t>
            </w:r>
            <w:proofErr w:type="spellEnd"/>
            <w:r w:rsidRPr="00E731C6">
              <w:t xml:space="preserve"> - 'The treatment must not be used in combination with, or within 6 months of treatment with, PBS-</w:t>
            </w:r>
            <w:r w:rsidRPr="00827A3E">
              <w:rPr>
                <w:color w:val="000000" w:themeColor="text1"/>
              </w:rPr>
              <w:t xml:space="preserve">subsidised </w:t>
            </w:r>
            <w:proofErr w:type="spellStart"/>
            <w:r w:rsidRPr="00827A3E">
              <w:rPr>
                <w:color w:val="000000" w:themeColor="text1"/>
              </w:rPr>
              <w:t>benralizumab</w:t>
            </w:r>
            <w:proofErr w:type="spellEnd"/>
            <w:r w:rsidRPr="00827A3E">
              <w:rPr>
                <w:color w:val="000000" w:themeColor="text1"/>
              </w:rPr>
              <w:t xml:space="preserve"> or </w:t>
            </w:r>
            <w:proofErr w:type="spellStart"/>
            <w:r w:rsidRPr="00827A3E">
              <w:rPr>
                <w:color w:val="000000" w:themeColor="text1"/>
              </w:rPr>
              <w:t>mepolizumab</w:t>
            </w:r>
            <w:proofErr w:type="spellEnd"/>
            <w:r w:rsidRPr="00827A3E">
              <w:rPr>
                <w:color w:val="000000" w:themeColor="text1"/>
              </w:rPr>
              <w:t>.'</w:t>
            </w:r>
          </w:p>
          <w:p w14:paraId="625C4963" w14:textId="7EB32FBB" w:rsidR="00453191" w:rsidRPr="00E731C6" w:rsidRDefault="00453191" w:rsidP="00E731C6">
            <w:pPr>
              <w:pStyle w:val="Tablewriting"/>
            </w:pPr>
            <w:proofErr w:type="spellStart"/>
            <w:r w:rsidRPr="00827A3E">
              <w:rPr>
                <w:color w:val="000000" w:themeColor="text1"/>
              </w:rPr>
              <w:t>Mepolizumab</w:t>
            </w:r>
            <w:proofErr w:type="spellEnd"/>
            <w:r w:rsidRPr="00827A3E">
              <w:rPr>
                <w:color w:val="000000" w:themeColor="text1"/>
              </w:rPr>
              <w:t xml:space="preserve"> - 'The treatment must not be used in combination with, or within 6 months of treatment with, PBS-subsidised </w:t>
            </w:r>
            <w:proofErr w:type="spellStart"/>
            <w:r w:rsidRPr="00827A3E">
              <w:rPr>
                <w:color w:val="000000" w:themeColor="text1"/>
              </w:rPr>
              <w:t>benralizumab</w:t>
            </w:r>
            <w:proofErr w:type="spellEnd"/>
            <w:r w:rsidRPr="00827A3E">
              <w:rPr>
                <w:color w:val="000000" w:themeColor="text1"/>
              </w:rPr>
              <w:t xml:space="preserve"> or </w:t>
            </w:r>
            <w:proofErr w:type="spellStart"/>
            <w:r w:rsidRPr="00827A3E">
              <w:rPr>
                <w:color w:val="000000" w:themeColor="text1"/>
              </w:rPr>
              <w:t>omalizumab</w:t>
            </w:r>
            <w:proofErr w:type="spellEnd"/>
            <w:r w:rsidRPr="00827A3E">
              <w:rPr>
                <w:color w:val="000000" w:themeColor="text1"/>
              </w:rPr>
              <w:t>.'</w:t>
            </w:r>
          </w:p>
        </w:tc>
      </w:tr>
      <w:tr w:rsidR="00453191" w14:paraId="3AC3640C" w14:textId="77777777" w:rsidTr="00BA2CF4">
        <w:tc>
          <w:tcPr>
            <w:tcW w:w="1782" w:type="dxa"/>
          </w:tcPr>
          <w:p w14:paraId="0BF076F4" w14:textId="2889AA22" w:rsidR="00453191" w:rsidRPr="00E731C6" w:rsidRDefault="00453191" w:rsidP="00E731C6">
            <w:pPr>
              <w:pStyle w:val="Tablewriting"/>
            </w:pPr>
            <w:r w:rsidRPr="00E731C6">
              <w:t>February 2019</w:t>
            </w:r>
          </w:p>
        </w:tc>
        <w:tc>
          <w:tcPr>
            <w:tcW w:w="7165" w:type="dxa"/>
          </w:tcPr>
          <w:p w14:paraId="117C5315" w14:textId="3E0EFFD4" w:rsidR="00453191" w:rsidRPr="00E731C6" w:rsidRDefault="00453191" w:rsidP="00E731C6">
            <w:pPr>
              <w:pStyle w:val="Tablewriting"/>
            </w:pPr>
            <w:proofErr w:type="spellStart"/>
            <w:r w:rsidRPr="00E731C6">
              <w:t>Benralizumab</w:t>
            </w:r>
            <w:proofErr w:type="spellEnd"/>
            <w:r w:rsidRPr="00E731C6">
              <w:t xml:space="preserve"> - change to grandfathered restriction:</w:t>
            </w:r>
          </w:p>
          <w:p w14:paraId="52F210A0" w14:textId="68948278" w:rsidR="00453191" w:rsidRPr="00827A3E" w:rsidRDefault="00453191" w:rsidP="00FE3693">
            <w:pPr>
              <w:pStyle w:val="Tablewriting"/>
              <w:numPr>
                <w:ilvl w:val="0"/>
                <w:numId w:val="43"/>
              </w:numPr>
              <w:rPr>
                <w:rFonts w:cstheme="minorHAnsi"/>
                <w:color w:val="000000" w:themeColor="text1"/>
              </w:rPr>
            </w:pPr>
            <w:r w:rsidRPr="00827A3E">
              <w:rPr>
                <w:rFonts w:cstheme="minorHAnsi"/>
                <w:color w:val="000000" w:themeColor="text1"/>
              </w:rPr>
              <w:t xml:space="preserve">Patient must have demonstrated an adequate response if the patient has received at least 24 weeks of treatment of non-PBS subsidised </w:t>
            </w:r>
            <w:proofErr w:type="spellStart"/>
            <w:r w:rsidRPr="00827A3E">
              <w:rPr>
                <w:rFonts w:cstheme="minorHAnsi"/>
                <w:color w:val="000000" w:themeColor="text1"/>
              </w:rPr>
              <w:t>benralizumab</w:t>
            </w:r>
            <w:proofErr w:type="spellEnd"/>
            <w:r w:rsidRPr="00827A3E">
              <w:rPr>
                <w:rFonts w:cstheme="minorHAnsi"/>
                <w:color w:val="000000" w:themeColor="text1"/>
              </w:rPr>
              <w:t xml:space="preserve"> for this condition </w:t>
            </w:r>
          </w:p>
          <w:p w14:paraId="2310135C" w14:textId="55F8FAF3" w:rsidR="00453191" w:rsidRPr="002A74DE" w:rsidRDefault="00453191" w:rsidP="002A74DE">
            <w:pPr>
              <w:pStyle w:val="Tablewriting"/>
              <w:numPr>
                <w:ilvl w:val="0"/>
                <w:numId w:val="43"/>
              </w:numPr>
              <w:rPr>
                <w:rFonts w:cstheme="minorHAnsi"/>
              </w:rPr>
            </w:pPr>
            <w:r w:rsidRPr="00E731C6">
              <w:rPr>
                <w:rFonts w:cstheme="minorHAnsi"/>
              </w:rPr>
              <w:t xml:space="preserve">Change to “Optimised asthma therapy” definition -  </w:t>
            </w:r>
            <w:r>
              <w:rPr>
                <w:rFonts w:cstheme="minorHAnsi"/>
              </w:rPr>
              <w:t>failure to achieve adequate control and assessment for continuing eligibility more fully described</w:t>
            </w:r>
            <w:r w:rsidRPr="002A74DE">
              <w:rPr>
                <w:rFonts w:cstheme="minorHAnsi"/>
                <w:color w:val="auto"/>
              </w:rPr>
              <w:t xml:space="preserve"> </w:t>
            </w:r>
          </w:p>
        </w:tc>
      </w:tr>
    </w:tbl>
    <w:p w14:paraId="1FDB1DAE" w14:textId="77777777" w:rsidR="00453191" w:rsidRDefault="00453191" w:rsidP="001D7F42">
      <w:pPr>
        <w:spacing w:after="0"/>
        <w:contextualSpacing/>
      </w:pPr>
    </w:p>
    <w:p w14:paraId="64C94A85" w14:textId="7D5F75DA" w:rsidR="00453191" w:rsidRPr="002F61CA" w:rsidDel="00EE2BBB" w:rsidRDefault="00453191" w:rsidP="00BF544D">
      <w:r w:rsidRPr="002F61CA" w:rsidDel="00EE2BBB">
        <w:t xml:space="preserve">Current PBS listing details are available from </w:t>
      </w:r>
      <w:r w:rsidDel="00EE2BBB">
        <w:t xml:space="preserve">the </w:t>
      </w:r>
      <w:hyperlink r:id="rId16" w:history="1">
        <w:r w:rsidRPr="00645D51" w:rsidDel="00EE2BBB">
          <w:rPr>
            <w:rStyle w:val="Hyperlink"/>
          </w:rPr>
          <w:t>PBS website</w:t>
        </w:r>
      </w:hyperlink>
      <w:r w:rsidDel="00EE2BBB">
        <w:t>.</w:t>
      </w:r>
    </w:p>
    <w:p w14:paraId="383E312E" w14:textId="724CF700" w:rsidR="00453191" w:rsidRPr="00EA04CD" w:rsidRDefault="00453191" w:rsidP="00CF5E22">
      <w:pPr>
        <w:pStyle w:val="Heading2"/>
        <w:rPr>
          <w:rFonts w:cstheme="minorHAnsi"/>
          <w:b w:val="0"/>
          <w:bCs/>
          <w:sz w:val="24"/>
          <w:lang w:val="en-GB"/>
        </w:rPr>
      </w:pPr>
      <w:r>
        <w:lastRenderedPageBreak/>
        <w:t>Relevant aspects of</w:t>
      </w:r>
      <w:r w:rsidRPr="005E22C2">
        <w:t xml:space="preserve"> consideration</w:t>
      </w:r>
      <w:r>
        <w:t xml:space="preserve"> by the Pharmaceutical Benefits Advisory Committee (PBAC)</w:t>
      </w:r>
    </w:p>
    <w:p w14:paraId="75BC4D22" w14:textId="1F0C1620" w:rsidR="00453191" w:rsidRPr="00EA04CD" w:rsidRDefault="00453191" w:rsidP="00EA04CD">
      <w:pPr>
        <w:rPr>
          <w:rFonts w:cstheme="minorHAnsi"/>
          <w:b/>
          <w:bCs/>
          <w:i/>
          <w:lang w:val="en-GB"/>
        </w:rPr>
      </w:pPr>
      <w:r w:rsidRPr="00EA04CD">
        <w:t xml:space="preserve">This section focuses on PBAC considerations for </w:t>
      </w:r>
      <w:proofErr w:type="spellStart"/>
      <w:r w:rsidRPr="00EA04CD">
        <w:t>mepolizumab</w:t>
      </w:r>
      <w:proofErr w:type="spellEnd"/>
      <w:r w:rsidRPr="00EA04CD">
        <w:t xml:space="preserve">, and for severe asthma generally. Information regarding the PBAC considerations for </w:t>
      </w:r>
      <w:proofErr w:type="spellStart"/>
      <w:r w:rsidRPr="00EA04CD">
        <w:t>omalizumab</w:t>
      </w:r>
      <w:proofErr w:type="spellEnd"/>
      <w:r w:rsidRPr="00EA04CD">
        <w:t xml:space="preserve"> is available in the</w:t>
      </w:r>
      <w:r>
        <w:rPr>
          <w:rFonts w:cstheme="minorHAnsi"/>
          <w:b/>
          <w:bCs/>
          <w:i/>
          <w:lang w:val="en-GB"/>
        </w:rPr>
        <w:t xml:space="preserve"> </w:t>
      </w:r>
      <w:hyperlink r:id="rId17" w:history="1">
        <w:r w:rsidRPr="00E67280">
          <w:rPr>
            <w:rStyle w:val="Hyperlink"/>
          </w:rPr>
          <w:t>Public Release Document</w:t>
        </w:r>
      </w:hyperlink>
      <w:r>
        <w:t xml:space="preserve"> from the June 2014 DUSC meeting or the </w:t>
      </w:r>
      <w:hyperlink r:id="rId18" w:history="1">
        <w:r w:rsidRPr="00EA04CD">
          <w:rPr>
            <w:rStyle w:val="Hyperlink"/>
          </w:rPr>
          <w:t>Public Summary Documents</w:t>
        </w:r>
      </w:hyperlink>
      <w:r>
        <w:t xml:space="preserve">. Details of the recommendation for </w:t>
      </w:r>
      <w:proofErr w:type="spellStart"/>
      <w:r>
        <w:t>benralizumab</w:t>
      </w:r>
      <w:proofErr w:type="spellEnd"/>
      <w:r>
        <w:t xml:space="preserve"> are available in the March 2018 </w:t>
      </w:r>
      <w:hyperlink r:id="rId19" w:history="1">
        <w:r w:rsidRPr="00773F7A">
          <w:rPr>
            <w:rStyle w:val="Hyperlink"/>
          </w:rPr>
          <w:t>Public Summary Document</w:t>
        </w:r>
      </w:hyperlink>
      <w:r>
        <w:t xml:space="preserve">. </w:t>
      </w:r>
    </w:p>
    <w:p w14:paraId="3716E1CF" w14:textId="7776239E" w:rsidR="00453191" w:rsidRDefault="00453191" w:rsidP="00BE621D">
      <w:pPr>
        <w:pStyle w:val="Heading3"/>
      </w:pPr>
      <w:proofErr w:type="spellStart"/>
      <w:r w:rsidRPr="0018186E">
        <w:t>Mepolizumab</w:t>
      </w:r>
      <w:proofErr w:type="spellEnd"/>
      <w:r w:rsidRPr="0018186E">
        <w:t xml:space="preserve"> </w:t>
      </w:r>
      <w:r>
        <w:t>- March 2016</w:t>
      </w:r>
    </w:p>
    <w:p w14:paraId="280888A1" w14:textId="39848301" w:rsidR="00453191" w:rsidRPr="00903E6E" w:rsidRDefault="00453191" w:rsidP="00CA3E8A">
      <w:pPr>
        <w:rPr>
          <w:highlight w:val="green"/>
        </w:rPr>
      </w:pPr>
      <w:r w:rsidRPr="00903E6E">
        <w:rPr>
          <w:lang w:val="en-GB"/>
        </w:rPr>
        <w:t xml:space="preserve">The PBAC rejected the listing of </w:t>
      </w:r>
      <w:proofErr w:type="spellStart"/>
      <w:r w:rsidRPr="00903E6E">
        <w:rPr>
          <w:lang w:val="en-GB"/>
        </w:rPr>
        <w:t>mepolizumab</w:t>
      </w:r>
      <w:proofErr w:type="spellEnd"/>
      <w:r w:rsidRPr="00903E6E">
        <w:rPr>
          <w:lang w:val="en-GB"/>
        </w:rPr>
        <w:t xml:space="preserve"> </w:t>
      </w:r>
      <w:proofErr w:type="gramStart"/>
      <w:r w:rsidRPr="00903E6E">
        <w:rPr>
          <w:lang w:val="en-GB"/>
        </w:rPr>
        <w:t>on the basis of</w:t>
      </w:r>
      <w:proofErr w:type="gramEnd"/>
      <w:r w:rsidRPr="00903E6E">
        <w:rPr>
          <w:lang w:val="en-GB"/>
        </w:rPr>
        <w:t xml:space="preserve"> high and uncertain cost-effectiveness in the comparison with standard of care, and inappropriate </w:t>
      </w:r>
      <w:proofErr w:type="spellStart"/>
      <w:r w:rsidRPr="00903E6E">
        <w:rPr>
          <w:lang w:val="en-GB"/>
        </w:rPr>
        <w:t>equi</w:t>
      </w:r>
      <w:proofErr w:type="spellEnd"/>
      <w:r w:rsidRPr="00903E6E">
        <w:rPr>
          <w:lang w:val="en-GB"/>
        </w:rPr>
        <w:t xml:space="preserve">-effective doses proposed in the cost-minimisation analysis against </w:t>
      </w:r>
      <w:proofErr w:type="spellStart"/>
      <w:r w:rsidRPr="00903E6E">
        <w:rPr>
          <w:lang w:val="en-GB"/>
        </w:rPr>
        <w:t>omalizumab</w:t>
      </w:r>
      <w:proofErr w:type="spellEnd"/>
      <w:r w:rsidRPr="00903E6E">
        <w:rPr>
          <w:lang w:val="en-GB"/>
        </w:rPr>
        <w:t xml:space="preserve">. The PBAC accepted that </w:t>
      </w:r>
      <w:proofErr w:type="spellStart"/>
      <w:r w:rsidRPr="00903E6E">
        <w:rPr>
          <w:lang w:val="en-GB"/>
        </w:rPr>
        <w:t>mepolizumab</w:t>
      </w:r>
      <w:proofErr w:type="spellEnd"/>
      <w:r w:rsidRPr="00903E6E">
        <w:rPr>
          <w:lang w:val="en-GB"/>
        </w:rPr>
        <w:t xml:space="preserve"> had a clinical place in the treatment of eosinophilic asthma, noting advice received from the TSANZ clarifying that </w:t>
      </w:r>
      <w:r w:rsidRPr="00903E6E">
        <w:t>there is sufficient distinction to allow recognition and application of different therapies to this distinct asthma phenotype</w:t>
      </w:r>
      <w:r w:rsidRPr="00903E6E">
        <w:rPr>
          <w:lang w:val="en-GB"/>
        </w:rPr>
        <w:t xml:space="preserve">. </w:t>
      </w:r>
    </w:p>
    <w:p w14:paraId="27070A77" w14:textId="77777777" w:rsidR="00453191" w:rsidRPr="00903E6E" w:rsidRDefault="00453191" w:rsidP="00CA3E8A">
      <w:pPr>
        <w:rPr>
          <w:lang w:val="en-GB"/>
        </w:rPr>
      </w:pPr>
      <w:r w:rsidRPr="00903E6E">
        <w:rPr>
          <w:lang w:val="en-GB"/>
        </w:rPr>
        <w:t>The PBAC agreed with the DUSC’s estimates of the financial implications, noting that although the DUSC considered Year 1 estimates to be underestimated, the DUSC considered the total estimate of use over five years may be reasonable.</w:t>
      </w:r>
    </w:p>
    <w:p w14:paraId="599D93A5" w14:textId="2DB98AE4" w:rsidR="00453191" w:rsidRPr="00903E6E" w:rsidRDefault="00453191" w:rsidP="00CA3E8A">
      <w:r w:rsidRPr="00903E6E">
        <w:t xml:space="preserve">For further </w:t>
      </w:r>
      <w:proofErr w:type="gramStart"/>
      <w:r w:rsidRPr="00903E6E">
        <w:t>details</w:t>
      </w:r>
      <w:proofErr w:type="gramEnd"/>
      <w:r w:rsidRPr="00903E6E">
        <w:t xml:space="preserve"> refer to the </w:t>
      </w:r>
      <w:hyperlink r:id="rId20" w:history="1">
        <w:r w:rsidRPr="00903E6E">
          <w:rPr>
            <w:rStyle w:val="Hyperlink"/>
            <w:rFonts w:cstheme="minorHAnsi"/>
          </w:rPr>
          <w:t>Public Summary Document</w:t>
        </w:r>
      </w:hyperlink>
      <w:r w:rsidRPr="00903E6E">
        <w:t xml:space="preserve"> from the March 2016 PBAC meeting.</w:t>
      </w:r>
    </w:p>
    <w:p w14:paraId="73735346" w14:textId="198D8544" w:rsidR="00453191" w:rsidRDefault="00453191" w:rsidP="00903E6E">
      <w:pPr>
        <w:pStyle w:val="Heading3"/>
      </w:pPr>
      <w:proofErr w:type="spellStart"/>
      <w:r w:rsidRPr="0018186E">
        <w:t>Mepolizumab</w:t>
      </w:r>
      <w:proofErr w:type="spellEnd"/>
      <w:r w:rsidRPr="0018186E">
        <w:t xml:space="preserve"> </w:t>
      </w:r>
      <w:r>
        <w:t>- July 2016</w:t>
      </w:r>
    </w:p>
    <w:p w14:paraId="295B9585" w14:textId="77777777" w:rsidR="00453191" w:rsidRPr="00E17D6B" w:rsidRDefault="00453191" w:rsidP="00E17D6B">
      <w:pPr>
        <w:rPr>
          <w:rFonts w:cstheme="minorHAnsi"/>
        </w:rPr>
      </w:pPr>
      <w:r w:rsidRPr="00E17D6B">
        <w:rPr>
          <w:rFonts w:cstheme="minorHAnsi"/>
        </w:rPr>
        <w:t xml:space="preserve">The minor resubmission presented a revised budget </w:t>
      </w:r>
      <w:proofErr w:type="gramStart"/>
      <w:r w:rsidRPr="00E17D6B">
        <w:rPr>
          <w:rFonts w:cstheme="minorHAnsi"/>
        </w:rPr>
        <w:t>impact which</w:t>
      </w:r>
      <w:proofErr w:type="gramEnd"/>
      <w:r w:rsidRPr="00E17D6B">
        <w:rPr>
          <w:rFonts w:cstheme="minorHAnsi"/>
        </w:rPr>
        <w:t xml:space="preserve"> incorporated DUSC revisions and the updated costs associated with </w:t>
      </w:r>
      <w:proofErr w:type="spellStart"/>
      <w:r w:rsidRPr="00E17D6B">
        <w:rPr>
          <w:rFonts w:cstheme="minorHAnsi"/>
        </w:rPr>
        <w:t>omalizumab</w:t>
      </w:r>
      <w:proofErr w:type="spellEnd"/>
      <w:r w:rsidRPr="00E17D6B">
        <w:rPr>
          <w:rFonts w:cstheme="minorHAnsi"/>
        </w:rPr>
        <w:t xml:space="preserve"> administration and monitoring.</w:t>
      </w:r>
    </w:p>
    <w:p w14:paraId="2502763B" w14:textId="1FB9CD59" w:rsidR="00453191" w:rsidRDefault="00453191" w:rsidP="00E17D6B">
      <w:pPr>
        <w:rPr>
          <w:rFonts w:cstheme="minorHAnsi"/>
        </w:rPr>
      </w:pPr>
      <w:r w:rsidRPr="00E17D6B">
        <w:rPr>
          <w:rFonts w:cstheme="minorHAnsi"/>
        </w:rPr>
        <w:t xml:space="preserve">The PBAC recommended the listing of </w:t>
      </w:r>
      <w:proofErr w:type="spellStart"/>
      <w:r w:rsidRPr="00E17D6B">
        <w:rPr>
          <w:rFonts w:cstheme="minorHAnsi"/>
        </w:rPr>
        <w:t>mepolizumab</w:t>
      </w:r>
      <w:proofErr w:type="spellEnd"/>
      <w:r w:rsidRPr="00E17D6B">
        <w:rPr>
          <w:rFonts w:cstheme="minorHAnsi"/>
        </w:rPr>
        <w:t xml:space="preserve"> on a cost-minimisation basis with </w:t>
      </w:r>
      <w:proofErr w:type="spellStart"/>
      <w:r w:rsidRPr="00E17D6B">
        <w:rPr>
          <w:rFonts w:cstheme="minorHAnsi"/>
        </w:rPr>
        <w:t>omalizumab</w:t>
      </w:r>
      <w:proofErr w:type="spellEnd"/>
      <w:r w:rsidRPr="00E17D6B">
        <w:rPr>
          <w:rFonts w:cstheme="minorHAnsi"/>
        </w:rPr>
        <w:t>.</w:t>
      </w:r>
      <w:r>
        <w:rPr>
          <w:rFonts w:cstheme="minorHAnsi"/>
        </w:rPr>
        <w:t xml:space="preserve"> </w:t>
      </w:r>
      <w:r w:rsidRPr="00E17D6B">
        <w:rPr>
          <w:rFonts w:cstheme="minorHAnsi"/>
        </w:rPr>
        <w:t xml:space="preserve">The PBAC noted that the minor resubmission and sponsor’s pre-PBAC response presented arguments for incorporating utilisation data into the calculation of </w:t>
      </w:r>
      <w:proofErr w:type="spellStart"/>
      <w:r w:rsidRPr="00E17D6B">
        <w:rPr>
          <w:rFonts w:cstheme="minorHAnsi"/>
        </w:rPr>
        <w:t>equi</w:t>
      </w:r>
      <w:proofErr w:type="spellEnd"/>
      <w:r w:rsidRPr="00E17D6B">
        <w:rPr>
          <w:rFonts w:cstheme="minorHAnsi"/>
        </w:rPr>
        <w:t xml:space="preserve">-effective doses, but maintained their previous view that the </w:t>
      </w:r>
      <w:proofErr w:type="spellStart"/>
      <w:r w:rsidRPr="00E17D6B">
        <w:rPr>
          <w:rFonts w:cstheme="minorHAnsi"/>
        </w:rPr>
        <w:t>equi</w:t>
      </w:r>
      <w:proofErr w:type="spellEnd"/>
      <w:r w:rsidRPr="00E17D6B">
        <w:rPr>
          <w:rFonts w:cstheme="minorHAnsi"/>
        </w:rPr>
        <w:t xml:space="preserve">-effective doses </w:t>
      </w:r>
      <w:proofErr w:type="gramStart"/>
      <w:r w:rsidRPr="00E17D6B">
        <w:rPr>
          <w:rFonts w:cstheme="minorHAnsi"/>
        </w:rPr>
        <w:t>should be derived</w:t>
      </w:r>
      <w:proofErr w:type="gramEnd"/>
      <w:r w:rsidRPr="00E17D6B">
        <w:rPr>
          <w:rFonts w:cstheme="minorHAnsi"/>
        </w:rPr>
        <w:t xml:space="preserve"> from clinical trial data. The </w:t>
      </w:r>
      <w:proofErr w:type="spellStart"/>
      <w:r w:rsidRPr="00E17D6B">
        <w:rPr>
          <w:rFonts w:cstheme="minorHAnsi"/>
        </w:rPr>
        <w:t>equi</w:t>
      </w:r>
      <w:proofErr w:type="spellEnd"/>
      <w:r w:rsidRPr="00E17D6B">
        <w:rPr>
          <w:rFonts w:cstheme="minorHAnsi"/>
        </w:rPr>
        <w:t xml:space="preserve">-effective doses accepted by PBAC were </w:t>
      </w:r>
      <w:proofErr w:type="spellStart"/>
      <w:r w:rsidRPr="00E17D6B">
        <w:rPr>
          <w:rFonts w:cstheme="minorHAnsi"/>
        </w:rPr>
        <w:t>mepolizumab</w:t>
      </w:r>
      <w:proofErr w:type="spellEnd"/>
      <w:r w:rsidRPr="00E17D6B">
        <w:rPr>
          <w:rFonts w:cstheme="minorHAnsi"/>
        </w:rPr>
        <w:t xml:space="preserve"> 100 mg and </w:t>
      </w:r>
      <w:proofErr w:type="spellStart"/>
      <w:r w:rsidRPr="00E17D6B">
        <w:rPr>
          <w:rFonts w:cstheme="minorHAnsi"/>
        </w:rPr>
        <w:t>omalizumab</w:t>
      </w:r>
      <w:proofErr w:type="spellEnd"/>
      <w:r w:rsidRPr="00E17D6B">
        <w:rPr>
          <w:rFonts w:cstheme="minorHAnsi"/>
        </w:rPr>
        <w:t xml:space="preserve"> 398 mg.</w:t>
      </w:r>
    </w:p>
    <w:p w14:paraId="36079218" w14:textId="42120852" w:rsidR="00453191" w:rsidRPr="00903E6E" w:rsidRDefault="00453191" w:rsidP="00E17D6B">
      <w:pPr>
        <w:rPr>
          <w:rFonts w:cstheme="minorHAnsi"/>
        </w:rPr>
      </w:pPr>
      <w:r w:rsidRPr="00903E6E">
        <w:rPr>
          <w:rFonts w:cstheme="minorHAnsi"/>
        </w:rPr>
        <w:t xml:space="preserve">For further </w:t>
      </w:r>
      <w:proofErr w:type="gramStart"/>
      <w:r w:rsidRPr="00903E6E">
        <w:rPr>
          <w:rFonts w:cstheme="minorHAnsi"/>
        </w:rPr>
        <w:t>details</w:t>
      </w:r>
      <w:proofErr w:type="gramEnd"/>
      <w:r w:rsidRPr="00903E6E">
        <w:rPr>
          <w:rFonts w:cstheme="minorHAnsi"/>
        </w:rPr>
        <w:t xml:space="preserve"> refer to the </w:t>
      </w:r>
      <w:hyperlink r:id="rId21" w:history="1">
        <w:r w:rsidRPr="00903E6E">
          <w:rPr>
            <w:rStyle w:val="Hyperlink"/>
            <w:rFonts w:cstheme="minorHAnsi"/>
          </w:rPr>
          <w:t>Public Summary Document</w:t>
        </w:r>
      </w:hyperlink>
      <w:r w:rsidRPr="00903E6E">
        <w:rPr>
          <w:rFonts w:cstheme="minorHAnsi"/>
        </w:rPr>
        <w:t xml:space="preserve"> fr</w:t>
      </w:r>
      <w:r>
        <w:rPr>
          <w:rFonts w:cstheme="minorHAnsi"/>
        </w:rPr>
        <w:t>om the July 2016 PBAC meeting.</w:t>
      </w:r>
    </w:p>
    <w:p w14:paraId="7CF0622B" w14:textId="7E0EF8EE" w:rsidR="00453191" w:rsidRDefault="00453191" w:rsidP="00903E6E">
      <w:pPr>
        <w:pStyle w:val="Heading3"/>
      </w:pPr>
      <w:proofErr w:type="spellStart"/>
      <w:r w:rsidRPr="0018186E">
        <w:t>Mepolizumab</w:t>
      </w:r>
      <w:proofErr w:type="spellEnd"/>
      <w:r w:rsidRPr="0018186E">
        <w:t xml:space="preserve"> </w:t>
      </w:r>
      <w:r>
        <w:t>- November 2017</w:t>
      </w:r>
    </w:p>
    <w:p w14:paraId="00F2D891" w14:textId="745F3D5F" w:rsidR="00453191" w:rsidRDefault="00453191" w:rsidP="00B30F04">
      <w:r w:rsidRPr="00B30F04">
        <w:t xml:space="preserve">The PBAC recommended extending the eosinophil blood test validity period from 6 weeks to 12 months in the </w:t>
      </w:r>
      <w:proofErr w:type="spellStart"/>
      <w:r w:rsidRPr="00B30F04">
        <w:t>mepolizumab</w:t>
      </w:r>
      <w:proofErr w:type="spellEnd"/>
      <w:r w:rsidRPr="00B30F04">
        <w:t xml:space="preserve"> listing to align with the </w:t>
      </w:r>
      <w:proofErr w:type="spellStart"/>
      <w:r w:rsidRPr="00B30F04">
        <w:t>omalizumab</w:t>
      </w:r>
      <w:proofErr w:type="spellEnd"/>
      <w:r w:rsidRPr="00B30F04">
        <w:t xml:space="preserve"> listing for uncontrolled severe allergic asthma.</w:t>
      </w:r>
    </w:p>
    <w:p w14:paraId="04C24E57" w14:textId="48D6142B" w:rsidR="00453191" w:rsidRPr="009E27D1" w:rsidRDefault="00453191" w:rsidP="00B30F04">
      <w:pPr>
        <w:rPr>
          <w:rFonts w:cstheme="minorHAnsi"/>
        </w:rPr>
      </w:pPr>
      <w:r w:rsidRPr="00903E6E">
        <w:rPr>
          <w:rFonts w:cstheme="minorHAnsi"/>
        </w:rPr>
        <w:t xml:space="preserve">For further </w:t>
      </w:r>
      <w:proofErr w:type="gramStart"/>
      <w:r w:rsidRPr="00903E6E">
        <w:rPr>
          <w:rFonts w:cstheme="minorHAnsi"/>
        </w:rPr>
        <w:t>details</w:t>
      </w:r>
      <w:proofErr w:type="gramEnd"/>
      <w:r w:rsidRPr="00903E6E">
        <w:rPr>
          <w:rFonts w:cstheme="minorHAnsi"/>
        </w:rPr>
        <w:t xml:space="preserve"> refer to the </w:t>
      </w:r>
      <w:hyperlink r:id="rId22" w:history="1">
        <w:r w:rsidRPr="00903E6E">
          <w:rPr>
            <w:rStyle w:val="Hyperlink"/>
            <w:rFonts w:cstheme="minorHAnsi"/>
          </w:rPr>
          <w:t>Public Summary Document</w:t>
        </w:r>
      </w:hyperlink>
      <w:r w:rsidRPr="00903E6E">
        <w:rPr>
          <w:rFonts w:cstheme="minorHAnsi"/>
        </w:rPr>
        <w:t xml:space="preserve"> fr</w:t>
      </w:r>
      <w:r>
        <w:rPr>
          <w:rFonts w:cstheme="minorHAnsi"/>
        </w:rPr>
        <w:t>om the November 2017 PBAC meeting.</w:t>
      </w:r>
    </w:p>
    <w:p w14:paraId="6B4F56D4" w14:textId="77777777" w:rsidR="005C60FD" w:rsidRDefault="005C60FD" w:rsidP="00903E6E">
      <w:pPr>
        <w:pStyle w:val="Heading3"/>
      </w:pPr>
      <w:r>
        <w:br w:type="page"/>
      </w:r>
    </w:p>
    <w:p w14:paraId="44680831" w14:textId="290735E5" w:rsidR="00453191" w:rsidRDefault="00453191" w:rsidP="00903E6E">
      <w:pPr>
        <w:pStyle w:val="Heading3"/>
      </w:pPr>
      <w:r>
        <w:lastRenderedPageBreak/>
        <w:t>March 2018</w:t>
      </w:r>
      <w:r w:rsidRPr="00453191">
        <w:rPr>
          <w:vertAlign w:val="superscript"/>
        </w:rPr>
        <w:fldChar w:fldCharType="begin"/>
      </w:r>
      <w:r w:rsidRPr="00453191">
        <w:rPr>
          <w:vertAlign w:val="superscript"/>
        </w:rPr>
        <w:instrText xml:space="preserve"> NOTEREF _Ref17379383 \h </w:instrText>
      </w:r>
      <w:r>
        <w:rPr>
          <w:vertAlign w:val="superscript"/>
        </w:rPr>
        <w:instrText xml:space="preserve"> \* MERGEFORMAT </w:instrText>
      </w:r>
      <w:r w:rsidRPr="00453191">
        <w:rPr>
          <w:vertAlign w:val="superscript"/>
        </w:rPr>
      </w:r>
      <w:r w:rsidRPr="00453191">
        <w:rPr>
          <w:vertAlign w:val="superscript"/>
        </w:rPr>
        <w:fldChar w:fldCharType="separate"/>
      </w:r>
      <w:r w:rsidR="003818AF">
        <w:rPr>
          <w:vertAlign w:val="superscript"/>
        </w:rPr>
        <w:t>1</w:t>
      </w:r>
      <w:r w:rsidRPr="00453191">
        <w:rPr>
          <w:vertAlign w:val="superscript"/>
        </w:rPr>
        <w:fldChar w:fldCharType="end"/>
      </w:r>
    </w:p>
    <w:p w14:paraId="043B0D5C" w14:textId="6558F00E" w:rsidR="00453191" w:rsidRDefault="00453191" w:rsidP="00903E6E">
      <w:pPr>
        <w:spacing w:after="0"/>
      </w:pPr>
      <w:r w:rsidRPr="009144B4">
        <w:t xml:space="preserve">The current PBS restrictions for biologics for severe asthma do not permit use of a biologic in combination, or within </w:t>
      </w:r>
      <w:r>
        <w:t>six</w:t>
      </w:r>
      <w:r w:rsidRPr="009144B4">
        <w:t xml:space="preserve"> months of treatment with another P</w:t>
      </w:r>
      <w:r>
        <w:t>BS-subsidised biologic. The six</w:t>
      </w:r>
      <w:r>
        <w:noBreakHyphen/>
      </w:r>
      <w:r w:rsidRPr="009144B4">
        <w:t xml:space="preserve">month treatment break was originally based </w:t>
      </w:r>
      <w:r>
        <w:t xml:space="preserve">on the </w:t>
      </w:r>
      <w:proofErr w:type="spellStart"/>
      <w:r>
        <w:t>omalizumab</w:t>
      </w:r>
      <w:proofErr w:type="spellEnd"/>
      <w:r>
        <w:t xml:space="preserve"> restriction, and related to re-trial of </w:t>
      </w:r>
      <w:proofErr w:type="spellStart"/>
      <w:r>
        <w:t>omalizumab</w:t>
      </w:r>
      <w:proofErr w:type="spellEnd"/>
      <w:r>
        <w:t xml:space="preserve"> in patients with inadequate response, and this requirement was subsequently also applied to switching between different biologics. The treatment interval applies regardless of the reason for switching, including if the switch is due to adverse events, partial or non-responsiveness, or patient/clinician choice.</w:t>
      </w:r>
    </w:p>
    <w:p w14:paraId="687C2E54" w14:textId="77777777" w:rsidR="00453191" w:rsidRPr="00175366" w:rsidRDefault="00453191" w:rsidP="00903E6E">
      <w:pPr>
        <w:spacing w:after="0"/>
        <w:rPr>
          <w:rFonts w:ascii="Calibri" w:hAnsi="Calibri" w:cs="Arial"/>
        </w:rPr>
      </w:pPr>
    </w:p>
    <w:p w14:paraId="7F0A3749" w14:textId="77777777" w:rsidR="00453191" w:rsidRDefault="00453191" w:rsidP="00903E6E">
      <w:pPr>
        <w:spacing w:after="0"/>
      </w:pPr>
      <w:r>
        <w:t>The PBAC received two minor submissions at the March 2018 PBAC meeting requesting removal of the six</w:t>
      </w:r>
      <w:r>
        <w:noBreakHyphen/>
        <w:t xml:space="preserve">month interval when switching between biologic therapies.  At this time, the PBAC noted that support for the change </w:t>
      </w:r>
      <w:proofErr w:type="gramStart"/>
      <w:r>
        <w:t>was provided</w:t>
      </w:r>
      <w:proofErr w:type="gramEnd"/>
      <w:r>
        <w:t xml:space="preserve"> by two organisations: the Thoracic Society of Australia and New Zealand; and the Centre of Research Excellence in Severe Asthma, both proposing that the six</w:t>
      </w:r>
      <w:r>
        <w:noBreakHyphen/>
        <w:t>month interval between switching be removed or replaced with a shorter (1-2 month) interval. The input noted potential risks associated with a six</w:t>
      </w:r>
      <w:r>
        <w:noBreakHyphen/>
        <w:t>month treatment interval in patients with severe asthma including:</w:t>
      </w:r>
    </w:p>
    <w:p w14:paraId="45F7E581" w14:textId="77777777" w:rsidR="00453191" w:rsidRDefault="00453191" w:rsidP="00903E6E">
      <w:pPr>
        <w:pStyle w:val="ListParagraph"/>
        <w:numPr>
          <w:ilvl w:val="0"/>
          <w:numId w:val="5"/>
        </w:numPr>
        <w:spacing w:after="0"/>
      </w:pPr>
      <w:r>
        <w:t>Increased risk of asthma exacerbations.</w:t>
      </w:r>
    </w:p>
    <w:p w14:paraId="75325E97" w14:textId="34876587" w:rsidR="00CA3E8A" w:rsidRDefault="00453191" w:rsidP="00CA3E8A">
      <w:pPr>
        <w:pStyle w:val="ListParagraph"/>
        <w:numPr>
          <w:ilvl w:val="0"/>
          <w:numId w:val="5"/>
        </w:numPr>
        <w:spacing w:after="0"/>
      </w:pPr>
      <w:r>
        <w:t>Increased requirements for oral corticosteroids, with corresponding increase in risk of adverse events.</w:t>
      </w:r>
    </w:p>
    <w:p w14:paraId="494EAC2E" w14:textId="77777777" w:rsidR="00CA3E8A" w:rsidRDefault="00CA3E8A" w:rsidP="00CA3E8A">
      <w:pPr>
        <w:spacing w:after="0"/>
      </w:pPr>
    </w:p>
    <w:p w14:paraId="660F24E1" w14:textId="76FA238A" w:rsidR="00453191" w:rsidRPr="0018186E" w:rsidRDefault="00453191" w:rsidP="00CA3E8A">
      <w:r>
        <w:t>The PBAC deferred making a decision about the request to remove the six</w:t>
      </w:r>
      <w:r>
        <w:noBreakHyphen/>
        <w:t>month treatment break when switching between biologics, noting that further stakeholder consideration of the issue should take into account the inter-related issues associated with re-trialling, switching and cycling of biologics in asthma.</w:t>
      </w:r>
    </w:p>
    <w:p w14:paraId="1A94DE73" w14:textId="06017C5C" w:rsidR="00453191" w:rsidRDefault="00453191" w:rsidP="00D94863">
      <w:r w:rsidRPr="00C600F4">
        <w:t xml:space="preserve">For further </w:t>
      </w:r>
      <w:proofErr w:type="gramStart"/>
      <w:r w:rsidRPr="00C600F4">
        <w:t>details</w:t>
      </w:r>
      <w:proofErr w:type="gramEnd"/>
      <w:r w:rsidRPr="00C600F4">
        <w:t xml:space="preserve"> refer to the Public Summary Documents for </w:t>
      </w:r>
      <w:hyperlink r:id="rId23" w:history="1">
        <w:proofErr w:type="spellStart"/>
        <w:r w:rsidRPr="00C600F4">
          <w:rPr>
            <w:rStyle w:val="Hyperlink"/>
          </w:rPr>
          <w:t>benralizumab</w:t>
        </w:r>
        <w:proofErr w:type="spellEnd"/>
      </w:hyperlink>
      <w:r w:rsidRPr="00C600F4">
        <w:t xml:space="preserve"> and </w:t>
      </w:r>
      <w:hyperlink r:id="rId24" w:history="1">
        <w:proofErr w:type="spellStart"/>
        <w:r w:rsidRPr="00C600F4">
          <w:rPr>
            <w:rStyle w:val="Hyperlink"/>
          </w:rPr>
          <w:t>mepolizumab</w:t>
        </w:r>
        <w:proofErr w:type="spellEnd"/>
      </w:hyperlink>
      <w:r w:rsidRPr="00C600F4">
        <w:t xml:space="preserve"> from the March 2018 PBAC meeting.</w:t>
      </w:r>
    </w:p>
    <w:p w14:paraId="44DE4B8A" w14:textId="0F2F9530" w:rsidR="00453191" w:rsidRDefault="00453191" w:rsidP="00903E6E">
      <w:pPr>
        <w:pStyle w:val="Heading3"/>
      </w:pPr>
      <w:r>
        <w:t>Severe Asthma Stakeholder Meeting - December 2018</w:t>
      </w:r>
    </w:p>
    <w:p w14:paraId="34240199" w14:textId="020C8023" w:rsidR="00453191" w:rsidRPr="005378EE" w:rsidRDefault="00453191" w:rsidP="00903E6E">
      <w:pPr>
        <w:spacing w:after="0"/>
      </w:pPr>
      <w:r>
        <w:t xml:space="preserve">In December 2018, a </w:t>
      </w:r>
      <w:hyperlink r:id="rId25" w:history="1">
        <w:r w:rsidRPr="008718E1">
          <w:rPr>
            <w:rStyle w:val="Hyperlink"/>
          </w:rPr>
          <w:t>severe asthma stakeholder meeting</w:t>
        </w:r>
      </w:hyperlink>
      <w:r>
        <w:t xml:space="preserve"> </w:t>
      </w:r>
      <w:proofErr w:type="gramStart"/>
      <w:r>
        <w:t>was held</w:t>
      </w:r>
      <w:proofErr w:type="gramEnd"/>
      <w:r>
        <w:t xml:space="preserve"> to </w:t>
      </w:r>
      <w:r w:rsidRPr="005378EE">
        <w:t>receive advice and clinical perspectives on the treatment of severe asthma within the context of effective use of biologic medicines</w:t>
      </w:r>
      <w:r>
        <w:t>. Participants provided advice regarding initiation criteria, continuation criteria and re</w:t>
      </w:r>
      <w:r>
        <w:noBreakHyphen/>
        <w:t xml:space="preserve">trialling, switching and cycling of biologics in asthma. </w:t>
      </w:r>
      <w:r w:rsidRPr="005378EE">
        <w:t xml:space="preserve">Stakeholders highlighted the importance of the following key issues: </w:t>
      </w:r>
    </w:p>
    <w:p w14:paraId="645E18E1" w14:textId="77777777" w:rsidR="00453191" w:rsidRPr="005378EE" w:rsidRDefault="00453191" w:rsidP="00903E6E">
      <w:pPr>
        <w:pStyle w:val="ListParagraph"/>
        <w:numPr>
          <w:ilvl w:val="0"/>
          <w:numId w:val="5"/>
        </w:numPr>
        <w:spacing w:after="0"/>
      </w:pPr>
      <w:r w:rsidRPr="005378EE">
        <w:t xml:space="preserve">Reducing exacerbations and OCS use in the severe asthma population </w:t>
      </w:r>
    </w:p>
    <w:p w14:paraId="08ED68D3" w14:textId="77777777" w:rsidR="00453191" w:rsidRPr="005378EE" w:rsidRDefault="00453191" w:rsidP="00903E6E">
      <w:pPr>
        <w:pStyle w:val="ListParagraph"/>
        <w:numPr>
          <w:ilvl w:val="0"/>
          <w:numId w:val="5"/>
        </w:numPr>
        <w:spacing w:after="0"/>
      </w:pPr>
      <w:r w:rsidRPr="005378EE">
        <w:t xml:space="preserve">Having a suitable method to assess patients’ response and/or symptom control </w:t>
      </w:r>
    </w:p>
    <w:p w14:paraId="16DB2E83" w14:textId="7DC2FCF0" w:rsidR="00453191" w:rsidRDefault="00453191" w:rsidP="00903E6E">
      <w:pPr>
        <w:pStyle w:val="ListParagraph"/>
        <w:numPr>
          <w:ilvl w:val="0"/>
          <w:numId w:val="5"/>
        </w:numPr>
        <w:spacing w:after="0"/>
      </w:pPr>
      <w:r w:rsidRPr="005378EE">
        <w:t xml:space="preserve">Re-examining certain aspects of the PBS restriction for biologic medicines to ensure that those most at risk </w:t>
      </w:r>
      <w:proofErr w:type="gramStart"/>
      <w:r w:rsidRPr="005378EE">
        <w:t>are not excluded</w:t>
      </w:r>
      <w:proofErr w:type="gramEnd"/>
      <w:r w:rsidRPr="005378EE">
        <w:t xml:space="preserve">. </w:t>
      </w:r>
    </w:p>
    <w:p w14:paraId="3C6E77DA" w14:textId="77777777" w:rsidR="00CA3E8A" w:rsidRPr="005378EE" w:rsidRDefault="00CA3E8A" w:rsidP="00CA3E8A">
      <w:pPr>
        <w:spacing w:after="0"/>
      </w:pPr>
    </w:p>
    <w:p w14:paraId="7194127B" w14:textId="77777777" w:rsidR="00453191" w:rsidRPr="005378EE" w:rsidRDefault="00453191" w:rsidP="00903E6E">
      <w:pPr>
        <w:spacing w:after="0"/>
      </w:pPr>
      <w:r w:rsidRPr="005378EE">
        <w:t xml:space="preserve">The PBAC Chair stated the outcomes of the meeting </w:t>
      </w:r>
      <w:proofErr w:type="gramStart"/>
      <w:r w:rsidRPr="005378EE">
        <w:t>would be used</w:t>
      </w:r>
      <w:proofErr w:type="gramEnd"/>
      <w:r w:rsidRPr="005378EE">
        <w:t xml:space="preserve"> to inform future PBAC considerations on this issue. The PBAC Chair indicated a willingness of the PBAC to work with the Department and sponsors with a view to amending certain aspects of the PBS criteria for biologic medicines.</w:t>
      </w:r>
    </w:p>
    <w:p w14:paraId="0CF0CADB" w14:textId="77777777" w:rsidR="005C60FD" w:rsidRDefault="005C60FD" w:rsidP="008C51B4">
      <w:pPr>
        <w:pStyle w:val="Heading2"/>
      </w:pPr>
      <w:r>
        <w:br w:type="page"/>
      </w:r>
    </w:p>
    <w:p w14:paraId="664D2361" w14:textId="5BCAC4E7" w:rsidR="00453191" w:rsidRPr="008C51B4" w:rsidRDefault="00453191" w:rsidP="008C51B4">
      <w:pPr>
        <w:pStyle w:val="Heading2"/>
      </w:pPr>
      <w:r>
        <w:lastRenderedPageBreak/>
        <w:t>Approach taken to estimate utilisation</w:t>
      </w:r>
    </w:p>
    <w:p w14:paraId="075E551B" w14:textId="349C605C" w:rsidR="00453191" w:rsidRPr="005C60FD" w:rsidRDefault="00453191" w:rsidP="00BB73F1">
      <w:pPr>
        <w:spacing w:after="0"/>
        <w:jc w:val="both"/>
        <w:rPr>
          <w:rFonts w:cstheme="minorHAnsi"/>
        </w:rPr>
      </w:pPr>
      <w:r w:rsidRPr="005C60FD">
        <w:rPr>
          <w:rFonts w:cstheme="minorHAnsi"/>
        </w:rPr>
        <w:t xml:space="preserve">The </w:t>
      </w:r>
      <w:hyperlink r:id="rId26" w:history="1">
        <w:r w:rsidRPr="005C60FD">
          <w:rPr>
            <w:rStyle w:val="Hyperlink"/>
            <w:rFonts w:cstheme="minorHAnsi"/>
          </w:rPr>
          <w:t>March 2016</w:t>
        </w:r>
      </w:hyperlink>
      <w:r w:rsidRPr="005C60FD">
        <w:rPr>
          <w:rFonts w:cstheme="minorHAnsi"/>
        </w:rPr>
        <w:t xml:space="preserve"> submission used both epidemiological and market share approaches to estimate the expected utilisation of </w:t>
      </w:r>
      <w:proofErr w:type="spellStart"/>
      <w:r w:rsidRPr="005C60FD">
        <w:rPr>
          <w:rFonts w:cstheme="minorHAnsi"/>
        </w:rPr>
        <w:t>mepolizumab</w:t>
      </w:r>
      <w:proofErr w:type="spellEnd"/>
      <w:r w:rsidRPr="005C60FD">
        <w:rPr>
          <w:rFonts w:cstheme="minorHAnsi"/>
        </w:rPr>
        <w:t>:</w:t>
      </w:r>
    </w:p>
    <w:p w14:paraId="48F3956B" w14:textId="77777777" w:rsidR="00453191" w:rsidRPr="005C60FD" w:rsidRDefault="00453191" w:rsidP="00BB73F1">
      <w:pPr>
        <w:pStyle w:val="ListParagraph"/>
        <w:widowControl w:val="0"/>
        <w:numPr>
          <w:ilvl w:val="0"/>
          <w:numId w:val="18"/>
        </w:numPr>
        <w:spacing w:after="0"/>
        <w:jc w:val="both"/>
        <w:rPr>
          <w:rFonts w:cstheme="minorHAnsi"/>
        </w:rPr>
      </w:pPr>
      <w:r w:rsidRPr="005C60FD">
        <w:rPr>
          <w:rFonts w:cstheme="minorHAnsi"/>
        </w:rPr>
        <w:t xml:space="preserve">A market share approach was used for patients eligible for both </w:t>
      </w:r>
      <w:proofErr w:type="spellStart"/>
      <w:r w:rsidRPr="005C60FD">
        <w:rPr>
          <w:rFonts w:cstheme="minorHAnsi"/>
        </w:rPr>
        <w:t>mepolizumab</w:t>
      </w:r>
      <w:proofErr w:type="spellEnd"/>
      <w:r w:rsidRPr="005C60FD">
        <w:rPr>
          <w:rFonts w:cstheme="minorHAnsi"/>
        </w:rPr>
        <w:t xml:space="preserve"> and </w:t>
      </w:r>
      <w:proofErr w:type="spellStart"/>
      <w:r w:rsidRPr="005C60FD">
        <w:rPr>
          <w:rFonts w:cstheme="minorHAnsi"/>
        </w:rPr>
        <w:t>omalizumab</w:t>
      </w:r>
      <w:proofErr w:type="spellEnd"/>
      <w:r w:rsidRPr="005C60FD">
        <w:rPr>
          <w:rFonts w:cstheme="minorHAnsi"/>
        </w:rPr>
        <w:t xml:space="preserve">, and in whom </w:t>
      </w:r>
      <w:proofErr w:type="spellStart"/>
      <w:r w:rsidRPr="005C60FD">
        <w:rPr>
          <w:rFonts w:cstheme="minorHAnsi"/>
        </w:rPr>
        <w:t>mepolizumab</w:t>
      </w:r>
      <w:proofErr w:type="spellEnd"/>
      <w:r w:rsidRPr="005C60FD">
        <w:rPr>
          <w:rFonts w:cstheme="minorHAnsi"/>
        </w:rPr>
        <w:t xml:space="preserve"> would replace </w:t>
      </w:r>
      <w:proofErr w:type="spellStart"/>
      <w:r w:rsidRPr="005C60FD">
        <w:rPr>
          <w:rFonts w:cstheme="minorHAnsi"/>
        </w:rPr>
        <w:t>omalizumab</w:t>
      </w:r>
      <w:proofErr w:type="spellEnd"/>
      <w:r w:rsidRPr="005C60FD">
        <w:rPr>
          <w:rFonts w:cstheme="minorHAnsi"/>
        </w:rPr>
        <w:t>;</w:t>
      </w:r>
    </w:p>
    <w:p w14:paraId="43B814F2" w14:textId="77777777" w:rsidR="00453191" w:rsidRPr="005C60FD" w:rsidRDefault="00453191" w:rsidP="00BB73F1">
      <w:pPr>
        <w:pStyle w:val="ListParagraph"/>
        <w:widowControl w:val="0"/>
        <w:numPr>
          <w:ilvl w:val="0"/>
          <w:numId w:val="18"/>
        </w:numPr>
        <w:spacing w:after="0"/>
        <w:jc w:val="both"/>
        <w:rPr>
          <w:rFonts w:cstheme="minorHAnsi"/>
        </w:rPr>
      </w:pPr>
      <w:r w:rsidRPr="005C60FD">
        <w:rPr>
          <w:rFonts w:cstheme="minorHAnsi"/>
        </w:rPr>
        <w:t xml:space="preserve">An epidemiological approach was used for patients eligible for both </w:t>
      </w:r>
      <w:proofErr w:type="spellStart"/>
      <w:r w:rsidRPr="005C60FD">
        <w:rPr>
          <w:rFonts w:cstheme="minorHAnsi"/>
        </w:rPr>
        <w:t>mepolizumab</w:t>
      </w:r>
      <w:proofErr w:type="spellEnd"/>
      <w:r w:rsidRPr="005C60FD">
        <w:rPr>
          <w:rFonts w:cstheme="minorHAnsi"/>
        </w:rPr>
        <w:t xml:space="preserve"> and </w:t>
      </w:r>
      <w:proofErr w:type="spellStart"/>
      <w:r w:rsidRPr="005C60FD">
        <w:rPr>
          <w:rFonts w:cstheme="minorHAnsi"/>
        </w:rPr>
        <w:t>omalizumab</w:t>
      </w:r>
      <w:proofErr w:type="spellEnd"/>
      <w:r w:rsidRPr="005C60FD">
        <w:rPr>
          <w:rFonts w:cstheme="minorHAnsi"/>
        </w:rPr>
        <w:t xml:space="preserve">, and in whom </w:t>
      </w:r>
      <w:proofErr w:type="spellStart"/>
      <w:r w:rsidRPr="005C60FD">
        <w:rPr>
          <w:rFonts w:cstheme="minorHAnsi"/>
        </w:rPr>
        <w:t>mepolizumab</w:t>
      </w:r>
      <w:proofErr w:type="spellEnd"/>
      <w:r w:rsidRPr="005C60FD">
        <w:rPr>
          <w:rFonts w:cstheme="minorHAnsi"/>
        </w:rPr>
        <w:t xml:space="preserve"> would not replace </w:t>
      </w:r>
      <w:proofErr w:type="spellStart"/>
      <w:r w:rsidRPr="005C60FD">
        <w:rPr>
          <w:rFonts w:cstheme="minorHAnsi"/>
        </w:rPr>
        <w:t>omalizumab</w:t>
      </w:r>
      <w:proofErr w:type="spellEnd"/>
      <w:r w:rsidRPr="005C60FD">
        <w:rPr>
          <w:rFonts w:cstheme="minorHAnsi"/>
        </w:rPr>
        <w:t>; and</w:t>
      </w:r>
    </w:p>
    <w:p w14:paraId="0808510C" w14:textId="77777777" w:rsidR="00453191" w:rsidRPr="005C60FD" w:rsidRDefault="00453191" w:rsidP="00BB73F1">
      <w:pPr>
        <w:pStyle w:val="ListParagraph"/>
        <w:widowControl w:val="0"/>
        <w:numPr>
          <w:ilvl w:val="0"/>
          <w:numId w:val="18"/>
        </w:numPr>
        <w:spacing w:after="0"/>
        <w:jc w:val="both"/>
        <w:rPr>
          <w:rFonts w:cstheme="minorHAnsi"/>
        </w:rPr>
      </w:pPr>
      <w:r w:rsidRPr="005C60FD">
        <w:rPr>
          <w:rFonts w:cstheme="minorHAnsi"/>
        </w:rPr>
        <w:t xml:space="preserve">An epidemiological approach </w:t>
      </w:r>
      <w:proofErr w:type="gramStart"/>
      <w:r w:rsidRPr="005C60FD">
        <w:rPr>
          <w:rFonts w:cstheme="minorHAnsi"/>
        </w:rPr>
        <w:t>was used</w:t>
      </w:r>
      <w:proofErr w:type="gramEnd"/>
      <w:r w:rsidRPr="005C60FD">
        <w:rPr>
          <w:rFonts w:cstheme="minorHAnsi"/>
        </w:rPr>
        <w:t xml:space="preserve"> for patients eligible for </w:t>
      </w:r>
      <w:proofErr w:type="spellStart"/>
      <w:r w:rsidRPr="005C60FD">
        <w:rPr>
          <w:rFonts w:cstheme="minorHAnsi"/>
        </w:rPr>
        <w:t>mepolizumab</w:t>
      </w:r>
      <w:proofErr w:type="spellEnd"/>
      <w:r w:rsidRPr="005C60FD">
        <w:rPr>
          <w:rFonts w:cstheme="minorHAnsi"/>
        </w:rPr>
        <w:t xml:space="preserve"> only. </w:t>
      </w:r>
    </w:p>
    <w:p w14:paraId="4219F7A0" w14:textId="77777777" w:rsidR="00453191" w:rsidRPr="005C60FD" w:rsidRDefault="00453191" w:rsidP="00BB73F1">
      <w:pPr>
        <w:pStyle w:val="ListParagraph"/>
        <w:widowControl w:val="0"/>
        <w:spacing w:after="0"/>
        <w:ind w:left="357"/>
        <w:jc w:val="both"/>
        <w:rPr>
          <w:rFonts w:cstheme="minorHAnsi"/>
        </w:rPr>
      </w:pPr>
    </w:p>
    <w:p w14:paraId="793D8CCA" w14:textId="2C86E6A4" w:rsidR="00453191" w:rsidRPr="005C60FD" w:rsidRDefault="00453191" w:rsidP="0058061E">
      <w:pPr>
        <w:widowControl w:val="0"/>
        <w:spacing w:after="0"/>
        <w:rPr>
          <w:rFonts w:cstheme="minorHAnsi"/>
        </w:rPr>
      </w:pPr>
      <w:r w:rsidRPr="005C60FD">
        <w:rPr>
          <w:rFonts w:cstheme="minorHAnsi"/>
        </w:rPr>
        <w:t xml:space="preserve">The population in whom </w:t>
      </w:r>
      <w:proofErr w:type="spellStart"/>
      <w:r w:rsidRPr="005C60FD">
        <w:rPr>
          <w:rFonts w:cstheme="minorHAnsi"/>
        </w:rPr>
        <w:t>mepolizumab</w:t>
      </w:r>
      <w:proofErr w:type="spellEnd"/>
      <w:r w:rsidRPr="005C60FD">
        <w:rPr>
          <w:rFonts w:cstheme="minorHAnsi"/>
        </w:rPr>
        <w:t xml:space="preserve"> would replace </w:t>
      </w:r>
      <w:proofErr w:type="spellStart"/>
      <w:r w:rsidRPr="005C60FD">
        <w:rPr>
          <w:rFonts w:cstheme="minorHAnsi"/>
        </w:rPr>
        <w:t>omalizumab</w:t>
      </w:r>
      <w:proofErr w:type="spellEnd"/>
      <w:r w:rsidRPr="005C60FD">
        <w:rPr>
          <w:rFonts w:cstheme="minorHAnsi"/>
        </w:rPr>
        <w:t xml:space="preserve"> </w:t>
      </w:r>
      <w:proofErr w:type="gramStart"/>
      <w:r w:rsidRPr="005C60FD">
        <w:rPr>
          <w:rFonts w:cstheme="minorHAnsi"/>
        </w:rPr>
        <w:t>was calculated</w:t>
      </w:r>
      <w:proofErr w:type="gramEnd"/>
      <w:r w:rsidRPr="005C60FD">
        <w:rPr>
          <w:rFonts w:cstheme="minorHAnsi"/>
        </w:rPr>
        <w:t xml:space="preserve"> using DUSC utilisation data</w:t>
      </w:r>
      <w:r w:rsidRPr="005C60FD">
        <w:rPr>
          <w:rStyle w:val="EndnoteReference"/>
          <w:rFonts w:cstheme="minorHAnsi"/>
        </w:rPr>
        <w:endnoteReference w:id="9"/>
      </w:r>
      <w:r w:rsidRPr="005C60FD">
        <w:rPr>
          <w:rFonts w:cstheme="minorHAnsi"/>
        </w:rPr>
        <w:t xml:space="preserve"> and clinical criteria from the IDEAL Study. The epidemiological approach first calculated the number of patients with severe, uncontrolled asthma who were compliant with inhaled corticosteroids/long-acting beta agonists (ICS/LABA) therapy, using predominantly Australian data sources. IDEAL Study data </w:t>
      </w:r>
      <w:proofErr w:type="gramStart"/>
      <w:r w:rsidRPr="005C60FD">
        <w:rPr>
          <w:rFonts w:cstheme="minorHAnsi"/>
        </w:rPr>
        <w:t>was then used</w:t>
      </w:r>
      <w:proofErr w:type="gramEnd"/>
      <w:r w:rsidRPr="005C60FD">
        <w:rPr>
          <w:rFonts w:cstheme="minorHAnsi"/>
        </w:rPr>
        <w:t xml:space="preserve"> to ascertain the number eligible for </w:t>
      </w:r>
      <w:proofErr w:type="spellStart"/>
      <w:r w:rsidRPr="005C60FD">
        <w:rPr>
          <w:rFonts w:cstheme="minorHAnsi"/>
        </w:rPr>
        <w:t>mepolizumab</w:t>
      </w:r>
      <w:proofErr w:type="spellEnd"/>
      <w:r w:rsidRPr="005C60FD">
        <w:rPr>
          <w:rFonts w:cstheme="minorHAnsi"/>
        </w:rPr>
        <w:t xml:space="preserve">. </w:t>
      </w:r>
    </w:p>
    <w:p w14:paraId="494F0F27" w14:textId="77777777" w:rsidR="00453191" w:rsidRPr="005C60FD" w:rsidRDefault="00453191" w:rsidP="00BB73F1">
      <w:pPr>
        <w:pStyle w:val="PBACHeading1"/>
        <w:numPr>
          <w:ilvl w:val="0"/>
          <w:numId w:val="0"/>
        </w:numPr>
        <w:ind w:left="720" w:hanging="720"/>
        <w:rPr>
          <w:rFonts w:asciiTheme="minorHAnsi" w:hAnsiTheme="minorHAnsi" w:cstheme="minorHAnsi"/>
          <w:b w:val="0"/>
          <w:sz w:val="24"/>
          <w:szCs w:val="24"/>
        </w:rPr>
      </w:pPr>
    </w:p>
    <w:p w14:paraId="7905290D" w14:textId="77777777" w:rsidR="00453191" w:rsidRPr="005C60FD" w:rsidRDefault="00453191" w:rsidP="0058061E">
      <w:pPr>
        <w:pStyle w:val="PBACHeading1"/>
        <w:numPr>
          <w:ilvl w:val="0"/>
          <w:numId w:val="0"/>
        </w:numPr>
        <w:ind w:left="11" w:hanging="11"/>
        <w:rPr>
          <w:rFonts w:asciiTheme="minorHAnsi" w:hAnsiTheme="minorHAnsi" w:cstheme="minorHAnsi"/>
          <w:b w:val="0"/>
          <w:sz w:val="24"/>
          <w:szCs w:val="24"/>
        </w:rPr>
      </w:pPr>
      <w:r w:rsidRPr="005C60FD">
        <w:rPr>
          <w:rFonts w:asciiTheme="minorHAnsi" w:hAnsiTheme="minorHAnsi" w:cstheme="minorHAnsi"/>
          <w:b w:val="0"/>
          <w:sz w:val="24"/>
          <w:szCs w:val="24"/>
        </w:rPr>
        <w:t>While DUSC did not agree with all of the submission’s inputs to the financial model, the total estimate of use over the five years may be reasonable. However, DUSC considered the Year 1 estimates presented in the submission to be under-estimated. The main issues were:</w:t>
      </w:r>
    </w:p>
    <w:p w14:paraId="5604C86A" w14:textId="77777777" w:rsidR="00453191" w:rsidRPr="005C60FD" w:rsidRDefault="00453191" w:rsidP="0058061E">
      <w:pPr>
        <w:pStyle w:val="ListParagraph"/>
        <w:widowControl w:val="0"/>
        <w:numPr>
          <w:ilvl w:val="0"/>
          <w:numId w:val="16"/>
        </w:numPr>
        <w:spacing w:after="0"/>
        <w:rPr>
          <w:rFonts w:cstheme="minorHAnsi"/>
        </w:rPr>
      </w:pPr>
      <w:r w:rsidRPr="005C60FD">
        <w:rPr>
          <w:rFonts w:cstheme="minorHAnsi"/>
        </w:rPr>
        <w:t xml:space="preserve">The population clinical criteria, derived from the IDEAL study, might not be representative of the Australian severe asthma population. </w:t>
      </w:r>
    </w:p>
    <w:p w14:paraId="10896B8B" w14:textId="77777777" w:rsidR="00453191" w:rsidRPr="005C60FD" w:rsidRDefault="00453191" w:rsidP="0058061E">
      <w:pPr>
        <w:pStyle w:val="ListParagraph"/>
        <w:widowControl w:val="0"/>
        <w:numPr>
          <w:ilvl w:val="0"/>
          <w:numId w:val="16"/>
        </w:numPr>
        <w:spacing w:after="0"/>
        <w:rPr>
          <w:rFonts w:cstheme="minorHAnsi"/>
        </w:rPr>
      </w:pPr>
      <w:r w:rsidRPr="005C60FD">
        <w:rPr>
          <w:rFonts w:cstheme="minorHAnsi"/>
        </w:rPr>
        <w:t xml:space="preserve">DUSC considered it more straightforward to use a prevalence only approach for estimating PBS usage and financial implications of </w:t>
      </w:r>
      <w:proofErr w:type="spellStart"/>
      <w:r w:rsidRPr="005C60FD">
        <w:rPr>
          <w:rFonts w:cstheme="minorHAnsi"/>
        </w:rPr>
        <w:t>mepolizumab</w:t>
      </w:r>
      <w:proofErr w:type="spellEnd"/>
      <w:r w:rsidRPr="005C60FD">
        <w:rPr>
          <w:rFonts w:cstheme="minorHAnsi"/>
        </w:rPr>
        <w:t xml:space="preserve">. </w:t>
      </w:r>
    </w:p>
    <w:p w14:paraId="02EF6F98" w14:textId="01B3F01D" w:rsidR="00453191" w:rsidRPr="005C60FD" w:rsidRDefault="00453191" w:rsidP="0058061E">
      <w:pPr>
        <w:pStyle w:val="ListParagraph"/>
        <w:widowControl w:val="0"/>
        <w:numPr>
          <w:ilvl w:val="0"/>
          <w:numId w:val="16"/>
        </w:numPr>
        <w:spacing w:after="0"/>
        <w:rPr>
          <w:rFonts w:cstheme="minorHAnsi"/>
        </w:rPr>
      </w:pPr>
      <w:r w:rsidRPr="005C60FD">
        <w:rPr>
          <w:rFonts w:cstheme="minorHAnsi"/>
        </w:rPr>
        <w:t>The proportion of patients treated with an inhaled corticosteroid/long</w:t>
      </w:r>
      <w:r w:rsidRPr="005C60FD">
        <w:rPr>
          <w:rFonts w:cstheme="minorHAnsi"/>
        </w:rPr>
        <w:noBreakHyphen/>
        <w:t xml:space="preserve">acting beta agonist (ICS/LABA) combination product (35%), might be underestimated. DUSC considered the </w:t>
      </w:r>
      <w:proofErr w:type="spellStart"/>
      <w:r w:rsidRPr="005C60FD">
        <w:rPr>
          <w:rFonts w:cstheme="minorHAnsi"/>
        </w:rPr>
        <w:t>Reddel</w:t>
      </w:r>
      <w:proofErr w:type="spellEnd"/>
      <w:r w:rsidRPr="005C60FD">
        <w:rPr>
          <w:rFonts w:cstheme="minorHAnsi"/>
        </w:rPr>
        <w:t xml:space="preserve"> (2015)</w:t>
      </w:r>
      <w:r w:rsidRPr="005C60FD">
        <w:rPr>
          <w:rStyle w:val="EndnoteReference"/>
          <w:rFonts w:cstheme="minorHAnsi"/>
        </w:rPr>
        <w:t xml:space="preserve"> </w:t>
      </w:r>
      <w:bookmarkStart w:id="4" w:name="_Ref17379450"/>
      <w:r w:rsidRPr="005C60FD">
        <w:rPr>
          <w:rStyle w:val="EndnoteReference"/>
          <w:rFonts w:cstheme="minorHAnsi"/>
        </w:rPr>
        <w:endnoteReference w:id="10"/>
      </w:r>
      <w:bookmarkEnd w:id="4"/>
      <w:r w:rsidRPr="005C60FD">
        <w:rPr>
          <w:rFonts w:cstheme="minorHAnsi"/>
        </w:rPr>
        <w:t xml:space="preserve"> estimate for patients using an ICS/LABA therapy (49.6%) as more appropriate than the 2008-2009 BEACH general practice data.</w:t>
      </w:r>
    </w:p>
    <w:p w14:paraId="3698C142" w14:textId="77777777" w:rsidR="00453191" w:rsidRPr="005C60FD" w:rsidRDefault="00453191" w:rsidP="0058061E">
      <w:pPr>
        <w:pStyle w:val="ListParagraph"/>
        <w:widowControl w:val="0"/>
        <w:numPr>
          <w:ilvl w:val="0"/>
          <w:numId w:val="16"/>
        </w:numPr>
        <w:spacing w:after="0"/>
        <w:rPr>
          <w:rFonts w:cstheme="minorHAnsi"/>
        </w:rPr>
      </w:pPr>
      <w:r w:rsidRPr="005C60FD">
        <w:rPr>
          <w:rFonts w:cstheme="minorHAnsi"/>
        </w:rPr>
        <w:t xml:space="preserve">DUSC considered the application of a continuation rate of 80% for </w:t>
      </w:r>
      <w:proofErr w:type="spellStart"/>
      <w:r w:rsidRPr="005C60FD">
        <w:rPr>
          <w:rFonts w:cstheme="minorHAnsi"/>
        </w:rPr>
        <w:t>mepolizumab</w:t>
      </w:r>
      <w:proofErr w:type="spellEnd"/>
      <w:r w:rsidRPr="005C60FD">
        <w:rPr>
          <w:rFonts w:cstheme="minorHAnsi"/>
        </w:rPr>
        <w:t xml:space="preserve"> would be a more appropriate estimate, consistent with the </w:t>
      </w:r>
      <w:proofErr w:type="spellStart"/>
      <w:r w:rsidRPr="005C60FD">
        <w:rPr>
          <w:rFonts w:cstheme="minorHAnsi"/>
        </w:rPr>
        <w:t>omalizumab</w:t>
      </w:r>
      <w:proofErr w:type="spellEnd"/>
      <w:r w:rsidRPr="005C60FD">
        <w:rPr>
          <w:rFonts w:cstheme="minorHAnsi"/>
        </w:rPr>
        <w:t xml:space="preserve"> continuation rate in practice.</w:t>
      </w:r>
    </w:p>
    <w:p w14:paraId="1D3ACCCF" w14:textId="77777777" w:rsidR="00453191" w:rsidRPr="005C60FD" w:rsidRDefault="00453191" w:rsidP="00BB73F1">
      <w:pPr>
        <w:pStyle w:val="BodyText"/>
        <w:rPr>
          <w:rFonts w:asciiTheme="minorHAnsi" w:hAnsiTheme="minorHAnsi" w:cstheme="minorHAnsi"/>
          <w:b/>
          <w:sz w:val="24"/>
          <w:szCs w:val="24"/>
        </w:rPr>
      </w:pPr>
    </w:p>
    <w:p w14:paraId="73CFE4C8" w14:textId="77777777" w:rsidR="00453191" w:rsidRPr="005C60FD" w:rsidRDefault="00453191" w:rsidP="00BB73F1">
      <w:pPr>
        <w:widowControl w:val="0"/>
        <w:spacing w:after="0"/>
        <w:jc w:val="both"/>
        <w:rPr>
          <w:rFonts w:cstheme="minorHAnsi"/>
        </w:rPr>
      </w:pPr>
      <w:r w:rsidRPr="005C60FD">
        <w:rPr>
          <w:rFonts w:cstheme="minorHAnsi"/>
        </w:rPr>
        <w:t xml:space="preserve">DUSC provided revised </w:t>
      </w:r>
      <w:proofErr w:type="gramStart"/>
      <w:r w:rsidRPr="005C60FD">
        <w:rPr>
          <w:rFonts w:cstheme="minorHAnsi"/>
        </w:rPr>
        <w:t>estimates which</w:t>
      </w:r>
      <w:proofErr w:type="gramEnd"/>
      <w:r w:rsidRPr="005C60FD">
        <w:rPr>
          <w:rFonts w:cstheme="minorHAnsi"/>
        </w:rPr>
        <w:t xml:space="preserve"> used:</w:t>
      </w:r>
    </w:p>
    <w:p w14:paraId="0988C6B8" w14:textId="77777777" w:rsidR="00453191" w:rsidRPr="005C60FD" w:rsidRDefault="00453191" w:rsidP="00BB73F1">
      <w:pPr>
        <w:pStyle w:val="ListParagraph"/>
        <w:widowControl w:val="0"/>
        <w:numPr>
          <w:ilvl w:val="0"/>
          <w:numId w:val="15"/>
        </w:numPr>
        <w:spacing w:after="0"/>
        <w:rPr>
          <w:rFonts w:cstheme="minorHAnsi"/>
        </w:rPr>
      </w:pPr>
      <w:r w:rsidRPr="005C60FD">
        <w:rPr>
          <w:rFonts w:cstheme="minorHAnsi"/>
        </w:rPr>
        <w:t>a prevalence only approach;</w:t>
      </w:r>
    </w:p>
    <w:p w14:paraId="5F3C3046" w14:textId="603152D8" w:rsidR="00453191" w:rsidRPr="005C60FD" w:rsidRDefault="00453191" w:rsidP="00BB73F1">
      <w:pPr>
        <w:pStyle w:val="ListParagraph"/>
        <w:widowControl w:val="0"/>
        <w:numPr>
          <w:ilvl w:val="0"/>
          <w:numId w:val="15"/>
        </w:numPr>
        <w:spacing w:after="0"/>
        <w:rPr>
          <w:rFonts w:cstheme="minorHAnsi"/>
        </w:rPr>
      </w:pPr>
      <w:r w:rsidRPr="005C60FD">
        <w:rPr>
          <w:rFonts w:cstheme="minorHAnsi"/>
        </w:rPr>
        <w:t xml:space="preserve">a higher estimate of asthma patients treated with ICS/LABA combination from the </w:t>
      </w:r>
      <w:proofErr w:type="spellStart"/>
      <w:r w:rsidRPr="005C60FD">
        <w:rPr>
          <w:rFonts w:cstheme="minorHAnsi"/>
        </w:rPr>
        <w:t>Reddel</w:t>
      </w:r>
      <w:proofErr w:type="spellEnd"/>
      <w:r w:rsidRPr="005C60FD">
        <w:rPr>
          <w:rFonts w:cstheme="minorHAnsi"/>
        </w:rPr>
        <w:t xml:space="preserve"> (2015)</w:t>
      </w:r>
      <w:r w:rsidRPr="005C60FD">
        <w:rPr>
          <w:rFonts w:cstheme="minorHAnsi"/>
          <w:vertAlign w:val="superscript"/>
        </w:rPr>
        <w:fldChar w:fldCharType="begin"/>
      </w:r>
      <w:r w:rsidRPr="005C60FD">
        <w:rPr>
          <w:rFonts w:cstheme="minorHAnsi"/>
          <w:vertAlign w:val="superscript"/>
        </w:rPr>
        <w:instrText xml:space="preserve"> NOTEREF _Ref17379450 \h  \* MERGEFORMAT </w:instrText>
      </w:r>
      <w:r w:rsidRPr="005C60FD">
        <w:rPr>
          <w:rFonts w:cstheme="minorHAnsi"/>
          <w:vertAlign w:val="superscript"/>
        </w:rPr>
      </w:r>
      <w:r w:rsidRPr="005C60FD">
        <w:rPr>
          <w:rFonts w:cstheme="minorHAnsi"/>
          <w:vertAlign w:val="superscript"/>
        </w:rPr>
        <w:fldChar w:fldCharType="separate"/>
      </w:r>
      <w:r w:rsidR="003818AF">
        <w:rPr>
          <w:rFonts w:cstheme="minorHAnsi"/>
          <w:vertAlign w:val="superscript"/>
        </w:rPr>
        <w:t>10</w:t>
      </w:r>
      <w:r w:rsidRPr="005C60FD">
        <w:rPr>
          <w:rFonts w:cstheme="minorHAnsi"/>
          <w:vertAlign w:val="superscript"/>
        </w:rPr>
        <w:fldChar w:fldCharType="end"/>
      </w:r>
      <w:r w:rsidRPr="005C60FD">
        <w:rPr>
          <w:rFonts w:cstheme="minorHAnsi"/>
        </w:rPr>
        <w:t xml:space="preserve"> study;</w:t>
      </w:r>
    </w:p>
    <w:p w14:paraId="2314C672" w14:textId="77777777" w:rsidR="00453191" w:rsidRPr="005C60FD" w:rsidRDefault="00453191" w:rsidP="00BB73F1">
      <w:pPr>
        <w:pStyle w:val="ListParagraph"/>
        <w:widowControl w:val="0"/>
        <w:numPr>
          <w:ilvl w:val="0"/>
          <w:numId w:val="15"/>
        </w:numPr>
        <w:spacing w:after="0"/>
        <w:rPr>
          <w:rFonts w:cstheme="minorHAnsi"/>
        </w:rPr>
      </w:pPr>
      <w:r w:rsidRPr="005C60FD">
        <w:rPr>
          <w:rFonts w:cstheme="minorHAnsi"/>
        </w:rPr>
        <w:t xml:space="preserve">a grouped cohort of patients with eosinophils ≥ 300 cells/mL and therefore eligible for </w:t>
      </w:r>
      <w:proofErr w:type="spellStart"/>
      <w:r w:rsidRPr="005C60FD">
        <w:rPr>
          <w:rFonts w:cstheme="minorHAnsi"/>
        </w:rPr>
        <w:t>mepolizumab</w:t>
      </w:r>
      <w:proofErr w:type="spellEnd"/>
      <w:r w:rsidRPr="005C60FD">
        <w:rPr>
          <w:rFonts w:cstheme="minorHAnsi"/>
        </w:rPr>
        <w:t xml:space="preserve"> (33.5%) instead of three separate cohorts;</w:t>
      </w:r>
    </w:p>
    <w:p w14:paraId="6F0DD529" w14:textId="77777777" w:rsidR="00453191" w:rsidRPr="005C60FD" w:rsidRDefault="00453191" w:rsidP="00BB73F1">
      <w:pPr>
        <w:pStyle w:val="ListParagraph"/>
        <w:widowControl w:val="0"/>
        <w:numPr>
          <w:ilvl w:val="0"/>
          <w:numId w:val="15"/>
        </w:numPr>
        <w:spacing w:after="0"/>
        <w:rPr>
          <w:rFonts w:cstheme="minorHAnsi"/>
        </w:rPr>
      </w:pPr>
      <w:r w:rsidRPr="005C60FD">
        <w:rPr>
          <w:rFonts w:cstheme="minorHAnsi"/>
        </w:rPr>
        <w:t>an uptake rate of 2%; and</w:t>
      </w:r>
    </w:p>
    <w:p w14:paraId="00B76642" w14:textId="77777777" w:rsidR="00453191" w:rsidRPr="005C60FD" w:rsidRDefault="00453191" w:rsidP="00BB73F1">
      <w:pPr>
        <w:pStyle w:val="ListParagraph"/>
        <w:widowControl w:val="0"/>
        <w:numPr>
          <w:ilvl w:val="0"/>
          <w:numId w:val="15"/>
        </w:numPr>
        <w:spacing w:after="0"/>
        <w:rPr>
          <w:rFonts w:cstheme="minorHAnsi"/>
        </w:rPr>
      </w:pPr>
      <w:proofErr w:type="gramStart"/>
      <w:r w:rsidRPr="005C60FD">
        <w:rPr>
          <w:rFonts w:cstheme="minorHAnsi"/>
        </w:rPr>
        <w:t>a</w:t>
      </w:r>
      <w:proofErr w:type="gramEnd"/>
      <w:r w:rsidRPr="005C60FD">
        <w:rPr>
          <w:rFonts w:cstheme="minorHAnsi"/>
        </w:rPr>
        <w:t xml:space="preserve"> continuation rate of 80% based on </w:t>
      </w:r>
      <w:proofErr w:type="spellStart"/>
      <w:r w:rsidRPr="005C60FD">
        <w:rPr>
          <w:rFonts w:cstheme="minorHAnsi"/>
        </w:rPr>
        <w:t>omalizumab</w:t>
      </w:r>
      <w:proofErr w:type="spellEnd"/>
      <w:r w:rsidRPr="005C60FD">
        <w:rPr>
          <w:rFonts w:cstheme="minorHAnsi"/>
        </w:rPr>
        <w:t xml:space="preserve"> continuation rate</w:t>
      </w:r>
      <w:bookmarkStart w:id="5" w:name="_Ref443480638"/>
      <w:r w:rsidRPr="005C60FD">
        <w:rPr>
          <w:rFonts w:cstheme="minorHAnsi"/>
        </w:rPr>
        <w:t>.</w:t>
      </w:r>
      <w:r w:rsidRPr="005C60FD">
        <w:rPr>
          <w:rStyle w:val="EndnoteReference"/>
          <w:rFonts w:cstheme="minorHAnsi"/>
        </w:rPr>
        <w:endnoteReference w:id="11"/>
      </w:r>
      <w:bookmarkEnd w:id="5"/>
    </w:p>
    <w:p w14:paraId="16DA95DF" w14:textId="77777777" w:rsidR="00453191" w:rsidRPr="005C60FD" w:rsidRDefault="00453191" w:rsidP="00BB73F1">
      <w:pPr>
        <w:pStyle w:val="BodyText"/>
        <w:rPr>
          <w:rFonts w:asciiTheme="minorHAnsi" w:hAnsiTheme="minorHAnsi" w:cstheme="minorHAnsi"/>
          <w:b/>
          <w:sz w:val="24"/>
          <w:szCs w:val="24"/>
        </w:rPr>
      </w:pPr>
    </w:p>
    <w:p w14:paraId="395BD3BD" w14:textId="77777777" w:rsidR="00453191" w:rsidRDefault="00453191" w:rsidP="002B7AE0">
      <w:pPr>
        <w:widowControl w:val="0"/>
        <w:spacing w:after="0"/>
        <w:rPr>
          <w:rFonts w:cstheme="minorHAnsi"/>
        </w:rPr>
      </w:pPr>
      <w:r w:rsidRPr="005C60FD">
        <w:rPr>
          <w:rFonts w:cstheme="minorHAnsi"/>
        </w:rPr>
        <w:t xml:space="preserve">The Pre-PBAC Response accepted most of DUSC’s comments regarding the structure and inputs to the financial </w:t>
      </w:r>
      <w:proofErr w:type="gramStart"/>
      <w:r w:rsidRPr="005C60FD">
        <w:rPr>
          <w:rFonts w:cstheme="minorHAnsi"/>
        </w:rPr>
        <w:t>model,</w:t>
      </w:r>
      <w:proofErr w:type="gramEnd"/>
      <w:r w:rsidRPr="005C60FD">
        <w:rPr>
          <w:rFonts w:cstheme="minorHAnsi"/>
        </w:rPr>
        <w:t xml:space="preserve"> however the sponsor did not accept the application of </w:t>
      </w:r>
      <w:proofErr w:type="spellStart"/>
      <w:r w:rsidRPr="005C60FD">
        <w:rPr>
          <w:rFonts w:cstheme="minorHAnsi"/>
        </w:rPr>
        <w:t>omalizumab’s</w:t>
      </w:r>
      <w:proofErr w:type="spellEnd"/>
      <w:r w:rsidRPr="005C60FD">
        <w:rPr>
          <w:rFonts w:cstheme="minorHAnsi"/>
        </w:rPr>
        <w:t xml:space="preserve"> real world continuation rate of 80%, as the sponsor claimed that this should be treatment specific.</w:t>
      </w:r>
      <w:r w:rsidRPr="00903E6E">
        <w:rPr>
          <w:rFonts w:cstheme="minorHAnsi"/>
        </w:rPr>
        <w:t xml:space="preserve"> </w:t>
      </w:r>
    </w:p>
    <w:p w14:paraId="2BAFD93E" w14:textId="77777777" w:rsidR="00453191" w:rsidRDefault="00453191" w:rsidP="002B7AE0">
      <w:pPr>
        <w:widowControl w:val="0"/>
        <w:spacing w:after="0"/>
        <w:rPr>
          <w:rFonts w:cstheme="minorHAnsi"/>
        </w:rPr>
      </w:pPr>
    </w:p>
    <w:p w14:paraId="43E90D81" w14:textId="77777777" w:rsidR="005C60FD" w:rsidRDefault="005C60FD" w:rsidP="0058061E">
      <w:pPr>
        <w:widowControl w:val="0"/>
        <w:spacing w:after="0"/>
        <w:rPr>
          <w:rFonts w:cstheme="minorHAnsi"/>
        </w:rPr>
      </w:pPr>
      <w:r>
        <w:rPr>
          <w:rFonts w:cstheme="minorHAnsi"/>
        </w:rPr>
        <w:br w:type="page"/>
      </w:r>
    </w:p>
    <w:p w14:paraId="66505DC8" w14:textId="409F8CCB" w:rsidR="00453191" w:rsidRDefault="00453191" w:rsidP="0058061E">
      <w:pPr>
        <w:widowControl w:val="0"/>
        <w:spacing w:after="0"/>
        <w:rPr>
          <w:rFonts w:cstheme="minorHAnsi"/>
        </w:rPr>
      </w:pPr>
      <w:r w:rsidRPr="00903E6E">
        <w:rPr>
          <w:rFonts w:cstheme="minorHAnsi"/>
        </w:rPr>
        <w:lastRenderedPageBreak/>
        <w:t xml:space="preserve">For further </w:t>
      </w:r>
      <w:proofErr w:type="gramStart"/>
      <w:r w:rsidRPr="00903E6E">
        <w:rPr>
          <w:rFonts w:cstheme="minorHAnsi"/>
        </w:rPr>
        <w:t>details</w:t>
      </w:r>
      <w:proofErr w:type="gramEnd"/>
      <w:r w:rsidRPr="00903E6E">
        <w:rPr>
          <w:rFonts w:cstheme="minorHAnsi"/>
        </w:rPr>
        <w:t xml:space="preserve"> refer to the </w:t>
      </w:r>
      <w:hyperlink r:id="rId27" w:history="1">
        <w:r w:rsidRPr="00903E6E">
          <w:rPr>
            <w:rStyle w:val="Hyperlink"/>
            <w:rFonts w:cstheme="minorHAnsi"/>
          </w:rPr>
          <w:t>Public Summary Document</w:t>
        </w:r>
      </w:hyperlink>
      <w:r w:rsidRPr="00903E6E">
        <w:rPr>
          <w:rFonts w:cstheme="minorHAnsi"/>
        </w:rPr>
        <w:t xml:space="preserve"> from the March 2016 PBAC meeting.</w:t>
      </w:r>
    </w:p>
    <w:p w14:paraId="04976360" w14:textId="77777777" w:rsidR="00453191" w:rsidRPr="008C51B4" w:rsidRDefault="00453191" w:rsidP="008C51B4">
      <w:pPr>
        <w:widowControl w:val="0"/>
        <w:spacing w:after="0"/>
        <w:jc w:val="both"/>
        <w:rPr>
          <w:rFonts w:cstheme="minorHAnsi"/>
        </w:rPr>
      </w:pPr>
    </w:p>
    <w:p w14:paraId="660AEB35" w14:textId="46BA70DD" w:rsidR="00453191" w:rsidRDefault="00453191" w:rsidP="00FB3008">
      <w:pPr>
        <w:rPr>
          <w:rFonts w:cstheme="minorHAnsi"/>
        </w:rPr>
      </w:pPr>
      <w:r w:rsidRPr="008C51B4">
        <w:rPr>
          <w:rFonts w:cstheme="minorHAnsi"/>
        </w:rPr>
        <w:t xml:space="preserve">The July 2016 minor resubmission presented a revised budget </w:t>
      </w:r>
      <w:proofErr w:type="gramStart"/>
      <w:r w:rsidRPr="008C51B4">
        <w:rPr>
          <w:rFonts w:cstheme="minorHAnsi"/>
        </w:rPr>
        <w:t>impact which</w:t>
      </w:r>
      <w:proofErr w:type="gramEnd"/>
      <w:r w:rsidRPr="008C51B4">
        <w:rPr>
          <w:rFonts w:cstheme="minorHAnsi"/>
        </w:rPr>
        <w:t xml:space="preserve"> incorporated DUSC revisions and the updated costs associated with </w:t>
      </w:r>
      <w:proofErr w:type="spellStart"/>
      <w:r w:rsidRPr="008C51B4">
        <w:rPr>
          <w:rFonts w:cstheme="minorHAnsi"/>
        </w:rPr>
        <w:t>omalizumab</w:t>
      </w:r>
      <w:proofErr w:type="spellEnd"/>
      <w:r w:rsidRPr="008C51B4">
        <w:rPr>
          <w:rFonts w:cstheme="minorHAnsi"/>
        </w:rPr>
        <w:t xml:space="preserve"> administration and monitoring.</w:t>
      </w:r>
    </w:p>
    <w:p w14:paraId="798896BD" w14:textId="3D993FFD" w:rsidR="00453191" w:rsidRDefault="00453191" w:rsidP="00FB3008">
      <w:pPr>
        <w:rPr>
          <w:rFonts w:cstheme="minorHAnsi"/>
        </w:rPr>
      </w:pPr>
      <w:r w:rsidRPr="00903E6E">
        <w:rPr>
          <w:rFonts w:cstheme="minorHAnsi"/>
        </w:rPr>
        <w:t xml:space="preserve">For further </w:t>
      </w:r>
      <w:proofErr w:type="gramStart"/>
      <w:r w:rsidRPr="00903E6E">
        <w:rPr>
          <w:rFonts w:cstheme="minorHAnsi"/>
        </w:rPr>
        <w:t>details</w:t>
      </w:r>
      <w:proofErr w:type="gramEnd"/>
      <w:r w:rsidRPr="00903E6E">
        <w:rPr>
          <w:rFonts w:cstheme="minorHAnsi"/>
        </w:rPr>
        <w:t xml:space="preserve"> refer to the </w:t>
      </w:r>
      <w:hyperlink r:id="rId28" w:history="1">
        <w:r w:rsidRPr="00903E6E">
          <w:rPr>
            <w:rStyle w:val="Hyperlink"/>
            <w:rFonts w:cstheme="minorHAnsi"/>
          </w:rPr>
          <w:t>Public Summary Document</w:t>
        </w:r>
      </w:hyperlink>
      <w:r w:rsidRPr="00903E6E">
        <w:rPr>
          <w:rFonts w:cstheme="minorHAnsi"/>
        </w:rPr>
        <w:t xml:space="preserve"> fr</w:t>
      </w:r>
      <w:r>
        <w:rPr>
          <w:rFonts w:cstheme="minorHAnsi"/>
        </w:rPr>
        <w:t>om the July 2016 PBAC meeting.</w:t>
      </w:r>
    </w:p>
    <w:p w14:paraId="0DEBD50F" w14:textId="69B931E7" w:rsidR="00453191" w:rsidRDefault="00453191" w:rsidP="006E76F4">
      <w:pPr>
        <w:pStyle w:val="Heading2"/>
        <w:keepNext/>
      </w:pPr>
      <w:r>
        <w:t>Previous reviews by the DUSC</w:t>
      </w:r>
    </w:p>
    <w:p w14:paraId="4CB82CF9" w14:textId="5FC02CBF" w:rsidR="00453191" w:rsidRPr="00E67280" w:rsidRDefault="00453191" w:rsidP="00E67280">
      <w:r w:rsidRPr="00E67280">
        <w:t>At its February 2013 meeting, DUSC examined the utilisatio</w:t>
      </w:r>
      <w:r w:rsidR="005C60FD">
        <w:t xml:space="preserve">n of </w:t>
      </w:r>
      <w:proofErr w:type="spellStart"/>
      <w:r w:rsidR="005C60FD">
        <w:t>omalizumab</w:t>
      </w:r>
      <w:proofErr w:type="spellEnd"/>
      <w:r w:rsidR="005C60FD">
        <w:t xml:space="preserve"> in its first 12 </w:t>
      </w:r>
      <w:r w:rsidRPr="00E67280">
        <w:t xml:space="preserve">months of PBS listing. The analysis found utilisation in the first year of listing to be much lower than expected. DUSC noted the comprehensive and informative responses provided by the sponsor and clinicians outlining the reasons for low uptake. DUSC did not consider that safety concerns or an uncertain place in therapy were the reasons for low utilisation. DUSC considered that possible reasons </w:t>
      </w:r>
      <w:proofErr w:type="gramStart"/>
      <w:r w:rsidRPr="00E67280">
        <w:t>may</w:t>
      </w:r>
      <w:proofErr w:type="gramEnd"/>
      <w:r w:rsidRPr="00E67280">
        <w:t xml:space="preserve"> include: </w:t>
      </w:r>
    </w:p>
    <w:p w14:paraId="50A22792" w14:textId="77777777" w:rsidR="00453191" w:rsidRPr="00E67280" w:rsidRDefault="00453191" w:rsidP="00E67280">
      <w:pPr>
        <w:pStyle w:val="ListParagraph"/>
        <w:numPr>
          <w:ilvl w:val="0"/>
          <w:numId w:val="23"/>
        </w:numPr>
      </w:pPr>
      <w:r w:rsidRPr="00E67280">
        <w:t xml:space="preserve">Overestimation of the eligible population; </w:t>
      </w:r>
    </w:p>
    <w:p w14:paraId="77D4E114" w14:textId="77777777" w:rsidR="00453191" w:rsidRPr="00E67280" w:rsidRDefault="00453191" w:rsidP="00E67280">
      <w:pPr>
        <w:pStyle w:val="ListParagraph"/>
        <w:numPr>
          <w:ilvl w:val="0"/>
          <w:numId w:val="23"/>
        </w:numPr>
      </w:pPr>
      <w:r w:rsidRPr="00E67280">
        <w:t xml:space="preserve">Difficulty for clinics to collect patient data to fulfil administrative requirements for eligibility; </w:t>
      </w:r>
    </w:p>
    <w:p w14:paraId="3CCBC2B0" w14:textId="77777777" w:rsidR="00453191" w:rsidRPr="00E67280" w:rsidRDefault="00453191" w:rsidP="00E67280">
      <w:pPr>
        <w:pStyle w:val="ListParagraph"/>
        <w:numPr>
          <w:ilvl w:val="0"/>
          <w:numId w:val="23"/>
        </w:numPr>
      </w:pPr>
      <w:r w:rsidRPr="00E67280">
        <w:t>Reluctance by clinicians and patients to use long-term oral corticosteroids due to toxicity; and</w:t>
      </w:r>
    </w:p>
    <w:p w14:paraId="6FF8AEAE" w14:textId="77777777" w:rsidR="00453191" w:rsidRPr="00E67280" w:rsidRDefault="00453191" w:rsidP="00E67280">
      <w:pPr>
        <w:pStyle w:val="ListParagraph"/>
        <w:numPr>
          <w:ilvl w:val="0"/>
          <w:numId w:val="23"/>
        </w:numPr>
      </w:pPr>
      <w:r w:rsidRPr="00E67280">
        <w:t xml:space="preserve">Low continuation rate, noting that patients who commenced treatment in the second half of the year would not have had an opportunity to </w:t>
      </w:r>
      <w:proofErr w:type="gramStart"/>
      <w:r w:rsidRPr="00E67280">
        <w:t>be assessed</w:t>
      </w:r>
      <w:proofErr w:type="gramEnd"/>
      <w:r w:rsidRPr="00E67280">
        <w:t xml:space="preserve"> for response and seek approval for continuing treatment.</w:t>
      </w:r>
    </w:p>
    <w:p w14:paraId="325233C3" w14:textId="1F923EA3" w:rsidR="00453191" w:rsidRPr="00ED633B" w:rsidRDefault="00453191" w:rsidP="00E67280">
      <w:r w:rsidRPr="00E67280">
        <w:t xml:space="preserve">DUSC recommended reviewing use after 24 months of data were available. </w:t>
      </w:r>
      <w:r>
        <w:t>The c</w:t>
      </w:r>
      <w:r w:rsidRPr="00E67280">
        <w:t xml:space="preserve">ommittee considered the use of </w:t>
      </w:r>
      <w:proofErr w:type="spellStart"/>
      <w:r w:rsidRPr="00E67280">
        <w:t>omalizumab</w:t>
      </w:r>
      <w:proofErr w:type="spellEnd"/>
      <w:r w:rsidRPr="00E67280">
        <w:t xml:space="preserve"> could be better understood by assessing response and continuation rates in the PBS population when further data were available and using the Australian </w:t>
      </w:r>
      <w:proofErr w:type="spellStart"/>
      <w:r w:rsidRPr="00E67280">
        <w:t>Xolair</w:t>
      </w:r>
      <w:proofErr w:type="spellEnd"/>
      <w:r w:rsidRPr="00E67280">
        <w:t xml:space="preserve"> Register data when available.</w:t>
      </w:r>
      <w:r>
        <w:t xml:space="preserve"> </w:t>
      </w:r>
    </w:p>
    <w:p w14:paraId="3F15D44A" w14:textId="485E94C5" w:rsidR="00453191" w:rsidRDefault="00453191" w:rsidP="00A35800">
      <w:r>
        <w:t xml:space="preserve">At its June 2014 meeting, DUSC considered the use of </w:t>
      </w:r>
      <w:proofErr w:type="spellStart"/>
      <w:r>
        <w:t>omalizumab</w:t>
      </w:r>
      <w:proofErr w:type="spellEnd"/>
      <w:r>
        <w:t xml:space="preserve"> in the first 24 months of PBS listing. Use</w:t>
      </w:r>
      <w:r w:rsidRPr="00237631">
        <w:t xml:space="preserve"> continued to be lower than expected. The majority of patients who start </w:t>
      </w:r>
      <w:proofErr w:type="spellStart"/>
      <w:r w:rsidRPr="00237631">
        <w:t>omalizumab</w:t>
      </w:r>
      <w:proofErr w:type="spellEnd"/>
      <w:r w:rsidRPr="00237631">
        <w:t xml:space="preserve"> continue treatment. DUSC considered that ongoing lower uptake of </w:t>
      </w:r>
      <w:proofErr w:type="spellStart"/>
      <w:r w:rsidRPr="00237631">
        <w:t>omalizumab</w:t>
      </w:r>
      <w:proofErr w:type="spellEnd"/>
      <w:r w:rsidRPr="00237631">
        <w:t xml:space="preserve"> was most likely due to reluctance to use oral corticosteroids </w:t>
      </w:r>
      <w:r w:rsidRPr="00C70D16">
        <w:t xml:space="preserve">at relatively high dose for </w:t>
      </w:r>
      <w:r>
        <w:t>at least 6 </w:t>
      </w:r>
      <w:r w:rsidRPr="00C70D16">
        <w:t xml:space="preserve">weeks </w:t>
      </w:r>
      <w:r w:rsidRPr="00237631">
        <w:t xml:space="preserve">due to concerns </w:t>
      </w:r>
      <w:r>
        <w:t xml:space="preserve">about tolerability </w:t>
      </w:r>
      <w:r w:rsidRPr="00237631">
        <w:t xml:space="preserve">and a likely overestimation of the eligible population. </w:t>
      </w:r>
    </w:p>
    <w:p w14:paraId="5C143877" w14:textId="065A76D2" w:rsidR="00453191" w:rsidRPr="00ED633B" w:rsidRDefault="00453191" w:rsidP="00A35800">
      <w:r>
        <w:t xml:space="preserve">For details of the </w:t>
      </w:r>
      <w:proofErr w:type="gramStart"/>
      <w:r>
        <w:t>DUSC</w:t>
      </w:r>
      <w:proofErr w:type="gramEnd"/>
      <w:r>
        <w:t xml:space="preserve"> consideration of </w:t>
      </w:r>
      <w:proofErr w:type="spellStart"/>
      <w:r>
        <w:t>omalizumab</w:t>
      </w:r>
      <w:proofErr w:type="spellEnd"/>
      <w:r>
        <w:t xml:space="preserve"> refer to the </w:t>
      </w:r>
      <w:hyperlink r:id="rId29" w:history="1">
        <w:r w:rsidRPr="00E67280">
          <w:rPr>
            <w:rStyle w:val="Hyperlink"/>
          </w:rPr>
          <w:t>Public Release Document</w:t>
        </w:r>
      </w:hyperlink>
      <w:r>
        <w:t xml:space="preserve"> from the June 2014 DUSC meeting.</w:t>
      </w:r>
    </w:p>
    <w:p w14:paraId="55137A30" w14:textId="77777777" w:rsidR="00251037" w:rsidRDefault="00251037">
      <w:pPr>
        <w:spacing w:line="276" w:lineRule="auto"/>
        <w:rPr>
          <w:rFonts w:eastAsiaTheme="majorEastAsia" w:cstheme="majorBidi"/>
          <w:b/>
          <w:bCs/>
          <w:sz w:val="32"/>
          <w:szCs w:val="32"/>
        </w:rPr>
      </w:pPr>
      <w:r>
        <w:br w:type="page"/>
      </w:r>
    </w:p>
    <w:p w14:paraId="0312FFEC" w14:textId="3120DEE3" w:rsidR="00453191" w:rsidRPr="005E22C2" w:rsidRDefault="00453191" w:rsidP="00CF5E22">
      <w:pPr>
        <w:pStyle w:val="Heading1"/>
      </w:pPr>
      <w:r w:rsidRPr="005E22C2">
        <w:lastRenderedPageBreak/>
        <w:t>Methods</w:t>
      </w:r>
    </w:p>
    <w:p w14:paraId="38E04706" w14:textId="55D1FA04" w:rsidR="00453191" w:rsidRDefault="00453191" w:rsidP="00DB531B">
      <w:r w:rsidRPr="00DB531B">
        <w:t xml:space="preserve">The analyses used data from the </w:t>
      </w:r>
      <w:r w:rsidR="00251037">
        <w:t>PBS</w:t>
      </w:r>
      <w:r w:rsidRPr="00DB531B">
        <w:t xml:space="preserve"> supplied prescriptions database</w:t>
      </w:r>
      <w:r w:rsidR="00251037">
        <w:t>, managed by Services Australia,</w:t>
      </w:r>
      <w:r w:rsidRPr="00DB531B">
        <w:t xml:space="preserve"> for dates of supply up to and including 30 </w:t>
      </w:r>
      <w:r>
        <w:t>June 2019</w:t>
      </w:r>
      <w:r w:rsidRPr="00DB531B">
        <w:t>; extracted 30</w:t>
      </w:r>
      <w:r>
        <w:t xml:space="preserve"> July </w:t>
      </w:r>
      <w:r w:rsidRPr="00DB531B">
        <w:t xml:space="preserve">2019. </w:t>
      </w:r>
      <w:r w:rsidRPr="00042910">
        <w:t xml:space="preserve">The </w:t>
      </w:r>
      <w:r w:rsidR="00251037">
        <w:t>PBS</w:t>
      </w:r>
      <w:r w:rsidR="00251037" w:rsidRPr="00042910">
        <w:t xml:space="preserve"> </w:t>
      </w:r>
      <w:r w:rsidRPr="00042910">
        <w:t>supplied prescriptions database includes data submi</w:t>
      </w:r>
      <w:r>
        <w:t xml:space="preserve">tted to </w:t>
      </w:r>
      <w:r w:rsidR="00251037">
        <w:t>Services Australia</w:t>
      </w:r>
      <w:r w:rsidR="00251037">
        <w:t xml:space="preserve"> </w:t>
      </w:r>
      <w:r>
        <w:t xml:space="preserve">for payment of a </w:t>
      </w:r>
      <w:r w:rsidRPr="00042910">
        <w:t xml:space="preserve">PBS </w:t>
      </w:r>
      <w:r>
        <w:t xml:space="preserve">or RPBS </w:t>
      </w:r>
      <w:r w:rsidRPr="00042910">
        <w:t xml:space="preserve">subsidy by the Government by all approved pharmacies in Australia. This dataset contains de-identified information that includes a unique patient identification number (PIN), dates and quantities of supply of all PBS listed drugs, prescriber and pharmacy information. </w:t>
      </w:r>
    </w:p>
    <w:p w14:paraId="3832A8A1" w14:textId="167E9990" w:rsidR="00453191" w:rsidRPr="001750B0" w:rsidRDefault="00453191" w:rsidP="00DB531B">
      <w:pPr>
        <w:spacing w:after="0"/>
      </w:pPr>
      <w:r w:rsidRPr="001750B0">
        <w:t>Analyses in the report include:</w:t>
      </w:r>
    </w:p>
    <w:p w14:paraId="0A7C0315" w14:textId="5760A586" w:rsidR="00453191" w:rsidRDefault="00453191" w:rsidP="00DB531B">
      <w:pPr>
        <w:pStyle w:val="NoSpacing"/>
        <w:numPr>
          <w:ilvl w:val="0"/>
          <w:numId w:val="40"/>
        </w:numPr>
      </w:pPr>
      <w:r w:rsidRPr="00DA0529">
        <w:t>New and prevalent patient counts by</w:t>
      </w:r>
      <w:r>
        <w:t xml:space="preserve"> indication (</w:t>
      </w:r>
      <w:hyperlink w:anchor="Figure1" w:history="1">
        <w:r w:rsidRPr="007B48FC">
          <w:rPr>
            <w:rStyle w:val="Hyperlink"/>
          </w:rPr>
          <w:t>Figure 1</w:t>
        </w:r>
      </w:hyperlink>
      <w:r>
        <w:t xml:space="preserve"> and </w:t>
      </w:r>
      <w:hyperlink w:anchor="Table6patients" w:history="1">
        <w:r w:rsidRPr="007B48FC">
          <w:rPr>
            <w:rStyle w:val="Hyperlink"/>
          </w:rPr>
          <w:t>Table 6</w:t>
        </w:r>
      </w:hyperlink>
      <w:r>
        <w:t>)</w:t>
      </w:r>
    </w:p>
    <w:p w14:paraId="3758745B" w14:textId="31BADEFF" w:rsidR="00453191" w:rsidRPr="00DA0529" w:rsidRDefault="00453191" w:rsidP="00B27D95">
      <w:pPr>
        <w:pStyle w:val="NoSpacing"/>
        <w:numPr>
          <w:ilvl w:val="0"/>
          <w:numId w:val="40"/>
        </w:numPr>
      </w:pPr>
      <w:r w:rsidRPr="00DA0529">
        <w:t>New and prevalent patient counts by</w:t>
      </w:r>
      <w:r>
        <w:t xml:space="preserve"> </w:t>
      </w:r>
      <w:r w:rsidRPr="00DA0529">
        <w:t>drug</w:t>
      </w:r>
      <w:r>
        <w:t xml:space="preserve"> (</w:t>
      </w:r>
      <w:hyperlink w:anchor="Figure2patientdrug" w:history="1">
        <w:r w:rsidRPr="007B48FC">
          <w:rPr>
            <w:rStyle w:val="Hyperlink"/>
          </w:rPr>
          <w:t>Figure 2</w:t>
        </w:r>
      </w:hyperlink>
      <w:r>
        <w:t>)</w:t>
      </w:r>
    </w:p>
    <w:p w14:paraId="4E5687BC" w14:textId="6909A3E4" w:rsidR="00453191" w:rsidRDefault="00453191" w:rsidP="00DB531B">
      <w:pPr>
        <w:pStyle w:val="NoSpacing"/>
        <w:numPr>
          <w:ilvl w:val="0"/>
          <w:numId w:val="40"/>
        </w:numPr>
      </w:pPr>
      <w:r w:rsidRPr="00DA0529">
        <w:t xml:space="preserve">Prescriptions </w:t>
      </w:r>
      <w:r>
        <w:t>by indication (</w:t>
      </w:r>
      <w:hyperlink w:anchor="Figure3prescription" w:history="1">
        <w:r w:rsidRPr="007B48FC">
          <w:rPr>
            <w:rStyle w:val="Hyperlink"/>
          </w:rPr>
          <w:t>Figure 3</w:t>
        </w:r>
      </w:hyperlink>
      <w:r>
        <w:t>)</w:t>
      </w:r>
    </w:p>
    <w:p w14:paraId="691F1C62" w14:textId="31E15811" w:rsidR="00453191" w:rsidRPr="00DA0529" w:rsidRDefault="00453191" w:rsidP="0089465A">
      <w:pPr>
        <w:pStyle w:val="NoSpacing"/>
        <w:numPr>
          <w:ilvl w:val="0"/>
          <w:numId w:val="40"/>
        </w:numPr>
      </w:pPr>
      <w:r w:rsidRPr="00DA0529">
        <w:t xml:space="preserve">Prescriptions </w:t>
      </w:r>
      <w:r>
        <w:t>by drug (</w:t>
      </w:r>
      <w:hyperlink w:anchor="Figure4prescriptionDrug" w:history="1">
        <w:r w:rsidRPr="007B48FC">
          <w:rPr>
            <w:rStyle w:val="Hyperlink"/>
          </w:rPr>
          <w:t>Figure 4</w:t>
        </w:r>
      </w:hyperlink>
      <w:r>
        <w:t>)</w:t>
      </w:r>
    </w:p>
    <w:p w14:paraId="68D35712" w14:textId="2CFC4FC8" w:rsidR="00453191" w:rsidRDefault="00453191" w:rsidP="00DB531B">
      <w:pPr>
        <w:pStyle w:val="NoSpacing"/>
        <w:numPr>
          <w:ilvl w:val="0"/>
          <w:numId w:val="40"/>
        </w:numPr>
      </w:pPr>
      <w:r w:rsidRPr="00DA0529">
        <w:t xml:space="preserve">Treatment sequence </w:t>
      </w:r>
      <w:r>
        <w:t>(</w:t>
      </w:r>
      <w:hyperlink w:anchor="Table7switching" w:history="1">
        <w:r w:rsidRPr="007B48FC">
          <w:rPr>
            <w:rStyle w:val="Hyperlink"/>
          </w:rPr>
          <w:t>Table 7</w:t>
        </w:r>
      </w:hyperlink>
      <w:r>
        <w:t>)</w:t>
      </w:r>
    </w:p>
    <w:p w14:paraId="3DB5998C" w14:textId="668D69B2" w:rsidR="00453191" w:rsidRPr="00DA0529" w:rsidRDefault="00453191" w:rsidP="00DB531B">
      <w:pPr>
        <w:pStyle w:val="NoSpacing"/>
        <w:numPr>
          <w:ilvl w:val="0"/>
          <w:numId w:val="40"/>
        </w:numPr>
      </w:pPr>
      <w:r>
        <w:t>Switching (</w:t>
      </w:r>
      <w:hyperlink w:anchor="Figure5SwitchTime" w:history="1">
        <w:r w:rsidRPr="007B48FC">
          <w:rPr>
            <w:rStyle w:val="Hyperlink"/>
          </w:rPr>
          <w:t>Figure 5</w:t>
        </w:r>
      </w:hyperlink>
      <w:r>
        <w:t>)</w:t>
      </w:r>
    </w:p>
    <w:p w14:paraId="79544644" w14:textId="5A1CBACA" w:rsidR="00453191" w:rsidRPr="00DA0529" w:rsidRDefault="00453191" w:rsidP="00DB531B">
      <w:pPr>
        <w:pStyle w:val="NoSpacing"/>
        <w:numPr>
          <w:ilvl w:val="0"/>
          <w:numId w:val="40"/>
        </w:numPr>
      </w:pPr>
      <w:r w:rsidRPr="00DA0529">
        <w:t>Length of treatment (</w:t>
      </w:r>
      <w:hyperlink w:anchor="Figure6LoT" w:history="1">
        <w:r w:rsidRPr="007B48FC">
          <w:rPr>
            <w:rStyle w:val="Hyperlink"/>
          </w:rPr>
          <w:t>Figure 6</w:t>
        </w:r>
      </w:hyperlink>
      <w:r>
        <w:t>)</w:t>
      </w:r>
    </w:p>
    <w:p w14:paraId="3B8F45F4" w14:textId="1B36AB28" w:rsidR="00453191" w:rsidRDefault="00453191" w:rsidP="00DA0529">
      <w:pPr>
        <w:pStyle w:val="NoSpacing"/>
        <w:numPr>
          <w:ilvl w:val="0"/>
          <w:numId w:val="40"/>
        </w:numPr>
      </w:pPr>
      <w:r w:rsidRPr="00DA0529">
        <w:t>Prescriber type (</w:t>
      </w:r>
      <w:hyperlink w:anchor="Figure7prescriber" w:history="1">
        <w:r w:rsidRPr="007B48FC">
          <w:rPr>
            <w:rStyle w:val="Hyperlink"/>
          </w:rPr>
          <w:t>Figure 7</w:t>
        </w:r>
      </w:hyperlink>
      <w:r>
        <w:t>)</w:t>
      </w:r>
    </w:p>
    <w:p w14:paraId="5DF4A8AA" w14:textId="1B50D3DB" w:rsidR="00453191" w:rsidRPr="00DA0529" w:rsidRDefault="00453191" w:rsidP="00DA0529">
      <w:pPr>
        <w:pStyle w:val="NoSpacing"/>
        <w:numPr>
          <w:ilvl w:val="0"/>
          <w:numId w:val="40"/>
        </w:numPr>
      </w:pPr>
      <w:r>
        <w:t>Predicted versus actual analysis (</w:t>
      </w:r>
      <w:hyperlink w:anchor="Table8PvA" w:history="1">
        <w:r w:rsidRPr="007B48FC">
          <w:rPr>
            <w:rStyle w:val="Hyperlink"/>
          </w:rPr>
          <w:t>Table 8</w:t>
        </w:r>
      </w:hyperlink>
      <w:r>
        <w:t>)</w:t>
      </w:r>
    </w:p>
    <w:p w14:paraId="17A9DF0C" w14:textId="482481AB" w:rsidR="00453191" w:rsidRPr="00362BE3" w:rsidRDefault="00453191" w:rsidP="00DA0529">
      <w:pPr>
        <w:pStyle w:val="NoSpacing"/>
        <w:numPr>
          <w:ilvl w:val="0"/>
          <w:numId w:val="40"/>
        </w:numPr>
      </w:pPr>
      <w:r w:rsidRPr="00362BE3">
        <w:t>Hospital setting (public or private) based on the dispensing pharmacy</w:t>
      </w:r>
    </w:p>
    <w:p w14:paraId="1C8ECFC8" w14:textId="77777777" w:rsidR="00453191" w:rsidRPr="006C5D3F" w:rsidRDefault="00453191" w:rsidP="00DB531B">
      <w:pPr>
        <w:pStyle w:val="NoSpacing"/>
        <w:ind w:left="720"/>
        <w:rPr>
          <w:highlight w:val="yellow"/>
        </w:rPr>
      </w:pPr>
    </w:p>
    <w:p w14:paraId="107813B9" w14:textId="4A06720A" w:rsidR="00453191" w:rsidRPr="006C5D3F" w:rsidRDefault="00453191" w:rsidP="00CA3E8A">
      <w:r w:rsidRPr="006C5D3F">
        <w:t>A patient was defined as an initiator (or ‘new patient’) based on the date of first supply of PBS subsidised therapy from</w:t>
      </w:r>
      <w:r>
        <w:t xml:space="preserve"> 1</w:t>
      </w:r>
      <w:r w:rsidRPr="006C5D3F">
        <w:t xml:space="preserve"> </w:t>
      </w:r>
      <w:r>
        <w:t>July 2011 (</w:t>
      </w:r>
      <w:proofErr w:type="spellStart"/>
      <w:r>
        <w:t>omalizumab</w:t>
      </w:r>
      <w:proofErr w:type="spellEnd"/>
      <w:r>
        <w:t xml:space="preserve"> </w:t>
      </w:r>
      <w:r w:rsidRPr="006C5D3F">
        <w:t>date of listing</w:t>
      </w:r>
      <w:r>
        <w:t>)</w:t>
      </w:r>
      <w:r w:rsidRPr="006C5D3F">
        <w:t xml:space="preserve">. This </w:t>
      </w:r>
      <w:r>
        <w:t>included</w:t>
      </w:r>
      <w:r w:rsidRPr="006C5D3F">
        <w:t xml:space="preserve"> patients who were naïve to therapy and ‘grandfathered’ patients; i.e. patients who obtained therapy through other means prior to listing on the PBS and then commenced PBS-subsidised treatment.</w:t>
      </w:r>
    </w:p>
    <w:p w14:paraId="5792A6C7" w14:textId="77777777" w:rsidR="00453191" w:rsidRPr="00042910" w:rsidRDefault="00453191" w:rsidP="00DB531B">
      <w:r w:rsidRPr="00042910">
        <w:t xml:space="preserve">The length of treatment analyses used the Kaplan Meier (aka Product-Limit) method. Two ways of measuring length of treatment were undertaken to account for patients stopping medicine for </w:t>
      </w:r>
      <w:proofErr w:type="gramStart"/>
      <w:r w:rsidRPr="00042910">
        <w:t>periods of time</w:t>
      </w:r>
      <w:proofErr w:type="gramEnd"/>
      <w:r w:rsidRPr="00042910">
        <w:t xml:space="preserve"> (called a ‘break’ in therapy). One analysis excluded the time of any breaks in treatment (i.e. reports the total time a patient is actually receiving regular supplies of the medicine) and the other did not. A patient was deemed to have a break in treatment if the time between two of their supplied prescriptions was more than 3 times the median time to resupply (i.e. 3 x 28 days), which is an estimated break in treatment of at least 2 times the median time to resupply. </w:t>
      </w:r>
    </w:p>
    <w:p w14:paraId="7736EE76" w14:textId="72949E8D" w:rsidR="00453191" w:rsidRDefault="00453191" w:rsidP="00DB531B">
      <w:r w:rsidRPr="00EA5C2D">
        <w:t xml:space="preserve">A censoring definition </w:t>
      </w:r>
      <w:proofErr w:type="gramStart"/>
      <w:r w:rsidRPr="00EA5C2D">
        <w:t>was applied</w:t>
      </w:r>
      <w:proofErr w:type="gramEnd"/>
      <w:r w:rsidRPr="00EA5C2D">
        <w:t xml:space="preserve"> in the length of treatment analysis, to account for the end of the data observation period where patients who might be continuing supply appear to stop treatment (because there is no further data for supplies). A patient was deemed to be continuing treatment (classified as censored in the Product-Limit method) at the end of the data period (i.e. the end of </w:t>
      </w:r>
      <w:r>
        <w:t>June</w:t>
      </w:r>
      <w:r w:rsidRPr="00EA5C2D">
        <w:t xml:space="preserve"> 201</w:t>
      </w:r>
      <w:r>
        <w:t>9</w:t>
      </w:r>
      <w:r w:rsidRPr="00EA5C2D">
        <w:t xml:space="preserve">) if their last prescription was within 3 times the median time to resupply of this end date. Otherwise, the patient </w:t>
      </w:r>
      <w:proofErr w:type="gramStart"/>
      <w:r w:rsidRPr="00EA5C2D">
        <w:t>was deemed</w:t>
      </w:r>
      <w:proofErr w:type="gramEnd"/>
      <w:r w:rsidRPr="00EA5C2D">
        <w:t xml:space="preserve"> to have ceased treatment with the treatment coverage end date being the supply date of their last prescription plus a median time to resupply.</w:t>
      </w:r>
    </w:p>
    <w:p w14:paraId="4A936CE6" w14:textId="1DDD5BF3" w:rsidR="00453191" w:rsidRDefault="00453191" w:rsidP="005141CC">
      <w:pPr>
        <w:jc w:val="both"/>
      </w:pPr>
      <w:r w:rsidRPr="00536F77">
        <w:rPr>
          <w:rFonts w:eastAsia="Times New Roman" w:cstheme="minorHAnsi"/>
        </w:rPr>
        <w:t xml:space="preserve">Prescriber type </w:t>
      </w:r>
      <w:proofErr w:type="gramStart"/>
      <w:r w:rsidRPr="00536F77">
        <w:rPr>
          <w:rFonts w:eastAsia="Times New Roman" w:cstheme="minorHAnsi"/>
        </w:rPr>
        <w:t>was attributed</w:t>
      </w:r>
      <w:proofErr w:type="gramEnd"/>
      <w:r w:rsidRPr="00536F77">
        <w:rPr>
          <w:rFonts w:eastAsia="Times New Roman" w:cstheme="minorHAnsi"/>
        </w:rPr>
        <w:t xml:space="preserve"> to the de-identified approval number o</w:t>
      </w:r>
      <w:r w:rsidR="00251037">
        <w:rPr>
          <w:rFonts w:eastAsia="Times New Roman" w:cstheme="minorHAnsi"/>
        </w:rPr>
        <w:t xml:space="preserve">f the prescriber by </w:t>
      </w:r>
      <w:r w:rsidR="00251037">
        <w:t>Services Australia</w:t>
      </w:r>
      <w:r w:rsidRPr="00536F77">
        <w:rPr>
          <w:rFonts w:eastAsia="Times New Roman" w:cstheme="minorHAnsi"/>
        </w:rPr>
        <w:t xml:space="preserve"> and was based on the major field of specialty, derived from the </w:t>
      </w:r>
      <w:r w:rsidRPr="00536F77">
        <w:rPr>
          <w:rFonts w:eastAsia="Times New Roman" w:cstheme="minorHAnsi"/>
        </w:rPr>
        <w:lastRenderedPageBreak/>
        <w:t xml:space="preserve">combination of the current registered specialty and the most </w:t>
      </w:r>
      <w:r w:rsidR="00251037">
        <w:rPr>
          <w:rFonts w:eastAsia="Times New Roman" w:cstheme="minorHAnsi"/>
        </w:rPr>
        <w:t>PBS</w:t>
      </w:r>
      <w:r w:rsidRPr="00536F77">
        <w:rPr>
          <w:rFonts w:eastAsia="Times New Roman" w:cstheme="minorHAnsi"/>
        </w:rPr>
        <w:t xml:space="preserve"> services provided per quarter. Prescribers can work in several different specialties but </w:t>
      </w:r>
      <w:proofErr w:type="gramStart"/>
      <w:r w:rsidRPr="00536F77">
        <w:rPr>
          <w:rFonts w:eastAsia="Times New Roman" w:cstheme="minorHAnsi"/>
        </w:rPr>
        <w:t>are allocated</w:t>
      </w:r>
      <w:proofErr w:type="gramEnd"/>
      <w:r w:rsidRPr="00536F77">
        <w:rPr>
          <w:rFonts w:eastAsia="Times New Roman" w:cstheme="minorHAnsi"/>
        </w:rPr>
        <w:t xml:space="preserve"> by </w:t>
      </w:r>
      <w:r w:rsidR="00251037">
        <w:t>Services Australia</w:t>
      </w:r>
      <w:r w:rsidR="00251037" w:rsidRPr="00536F77">
        <w:rPr>
          <w:rFonts w:eastAsia="Times New Roman" w:cstheme="minorHAnsi"/>
        </w:rPr>
        <w:t xml:space="preserve"> </w:t>
      </w:r>
      <w:r w:rsidRPr="00536F77">
        <w:rPr>
          <w:rFonts w:eastAsia="Times New Roman" w:cstheme="minorHAnsi"/>
        </w:rPr>
        <w:t xml:space="preserve">to one major field of specialty per quarter. </w:t>
      </w:r>
    </w:p>
    <w:p w14:paraId="6741D436" w14:textId="77777777" w:rsidR="00453191" w:rsidRPr="000C65A4" w:rsidRDefault="00453191" w:rsidP="00BE4769">
      <w:pPr>
        <w:jc w:val="both"/>
        <w:rPr>
          <w:rFonts w:eastAsia="Times New Roman" w:cstheme="minorHAnsi"/>
        </w:rPr>
      </w:pPr>
      <w:r w:rsidRPr="00CC3F3B">
        <w:rPr>
          <w:rFonts w:eastAsia="Times New Roman" w:cstheme="minorHAnsi"/>
        </w:rPr>
        <w:t xml:space="preserve">Data manipulation was undertaken using SAS. </w:t>
      </w:r>
    </w:p>
    <w:p w14:paraId="0712D9D5" w14:textId="322858B5" w:rsidR="00524D13" w:rsidRDefault="00453191" w:rsidP="00524D13">
      <w:r>
        <w:t>As this analysis uses date of supply prescription data, there may be small differences c</w:t>
      </w:r>
      <w:r w:rsidR="00251037">
        <w:t>ompared with publicly available PBS</w:t>
      </w:r>
      <w:r>
        <w:t xml:space="preserve"> date of processing data.</w:t>
      </w:r>
      <w:r>
        <w:rPr>
          <w:rStyle w:val="EndnoteReference"/>
        </w:rPr>
        <w:endnoteReference w:id="12"/>
      </w:r>
      <w:r>
        <w:t xml:space="preserve"> </w:t>
      </w:r>
      <w:r w:rsidR="00576B18">
        <w:t xml:space="preserve"> </w:t>
      </w:r>
    </w:p>
    <w:p w14:paraId="28CB9D46" w14:textId="6670F983" w:rsidR="002968C0" w:rsidRPr="0091484A" w:rsidRDefault="002968C0" w:rsidP="002968C0">
      <w:pPr>
        <w:rPr>
          <w:rFonts w:eastAsia="Calibri" w:cs="Times New Roman"/>
        </w:rPr>
      </w:pPr>
      <w:proofErr w:type="spellStart"/>
      <w:r w:rsidRPr="0091484A">
        <w:rPr>
          <w:rFonts w:eastAsia="Calibri" w:cs="Times New Roman"/>
        </w:rPr>
        <w:t>Omalizumab</w:t>
      </w:r>
      <w:proofErr w:type="spellEnd"/>
      <w:r w:rsidRPr="0091484A">
        <w:rPr>
          <w:rFonts w:eastAsia="Calibri" w:cs="Times New Roman"/>
        </w:rPr>
        <w:t xml:space="preserve">, </w:t>
      </w:r>
      <w:proofErr w:type="spellStart"/>
      <w:r w:rsidRPr="0091484A">
        <w:rPr>
          <w:rFonts w:eastAsia="Calibri" w:cs="Times New Roman"/>
        </w:rPr>
        <w:t>mepolizumab</w:t>
      </w:r>
      <w:proofErr w:type="spellEnd"/>
      <w:r w:rsidRPr="0091484A">
        <w:rPr>
          <w:rFonts w:eastAsia="Calibri" w:cs="Times New Roman"/>
        </w:rPr>
        <w:t xml:space="preserve"> and </w:t>
      </w:r>
      <w:proofErr w:type="spellStart"/>
      <w:r w:rsidRPr="0091484A">
        <w:rPr>
          <w:rFonts w:eastAsia="Calibri" w:cs="Times New Roman"/>
        </w:rPr>
        <w:t>benralizumab</w:t>
      </w:r>
      <w:proofErr w:type="spellEnd"/>
      <w:r w:rsidRPr="0091484A">
        <w:rPr>
          <w:rFonts w:eastAsia="Calibri" w:cs="Times New Roman"/>
        </w:rPr>
        <w:t xml:space="preserve"> </w:t>
      </w:r>
      <w:proofErr w:type="gramStart"/>
      <w:r w:rsidRPr="0091484A">
        <w:rPr>
          <w:rFonts w:eastAsia="Calibri" w:cs="Times New Roman"/>
        </w:rPr>
        <w:t>are listed</w:t>
      </w:r>
      <w:proofErr w:type="gramEnd"/>
      <w:r w:rsidRPr="0091484A">
        <w:rPr>
          <w:rFonts w:eastAsia="Calibri" w:cs="Times New Roman"/>
        </w:rPr>
        <w:t xml:space="preserve"> on the PBS as Section 100 (S100) highly specialised drugs (HSDs). </w:t>
      </w:r>
      <w:r w:rsidR="00495473" w:rsidRPr="0091484A">
        <w:rPr>
          <w:rFonts w:eastAsia="Calibri" w:cs="Times New Roman"/>
        </w:rPr>
        <w:t>Prior to 1 July 2013, most</w:t>
      </w:r>
      <w:r w:rsidR="00851D85" w:rsidRPr="0091484A">
        <w:rPr>
          <w:rFonts w:eastAsia="Calibri" w:cs="Times New Roman"/>
        </w:rPr>
        <w:t xml:space="preserve"> </w:t>
      </w:r>
      <w:r w:rsidR="00AC5054" w:rsidRPr="0091484A">
        <w:rPr>
          <w:rFonts w:eastAsia="Calibri" w:cs="Times New Roman"/>
        </w:rPr>
        <w:t xml:space="preserve">HSD prescriptions </w:t>
      </w:r>
      <w:r w:rsidR="00495473" w:rsidRPr="0091484A">
        <w:rPr>
          <w:rFonts w:eastAsia="Calibri" w:cs="Times New Roman"/>
        </w:rPr>
        <w:t xml:space="preserve">supplied through public hospitals </w:t>
      </w:r>
      <w:r w:rsidR="0091484A">
        <w:rPr>
          <w:rFonts w:eastAsia="Calibri" w:cs="Times New Roman"/>
        </w:rPr>
        <w:t>were processed through an o</w:t>
      </w:r>
      <w:r w:rsidR="00AC5054" w:rsidRPr="0091484A">
        <w:rPr>
          <w:rFonts w:eastAsia="Calibri" w:cs="Times New Roman"/>
        </w:rPr>
        <w:t>ffline processing system,</w:t>
      </w:r>
      <w:r w:rsidR="00495473" w:rsidRPr="0091484A">
        <w:rPr>
          <w:rFonts w:eastAsia="Calibri" w:cs="Times New Roman"/>
        </w:rPr>
        <w:t xml:space="preserve"> for which only aggregated data was available, i.e. the number of packs supplied and </w:t>
      </w:r>
      <w:r w:rsidR="000B0982" w:rsidRPr="0091484A">
        <w:rPr>
          <w:rFonts w:eastAsia="Calibri" w:cs="Times New Roman"/>
        </w:rPr>
        <w:t xml:space="preserve">the </w:t>
      </w:r>
      <w:r w:rsidR="00495473" w:rsidRPr="0091484A">
        <w:rPr>
          <w:rFonts w:eastAsia="Calibri" w:cs="Times New Roman"/>
        </w:rPr>
        <w:t xml:space="preserve">cost per quarter. </w:t>
      </w:r>
      <w:proofErr w:type="gramStart"/>
      <w:r w:rsidRPr="0091484A">
        <w:rPr>
          <w:rFonts w:eastAsia="Calibri" w:cs="Times New Roman"/>
        </w:rPr>
        <w:t>Therefore</w:t>
      </w:r>
      <w:proofErr w:type="gramEnd"/>
      <w:r w:rsidRPr="0091484A">
        <w:rPr>
          <w:rFonts w:eastAsia="Calibri" w:cs="Times New Roman"/>
        </w:rPr>
        <w:t xml:space="preserve"> the </w:t>
      </w:r>
      <w:r w:rsidR="00AC5054" w:rsidRPr="0091484A">
        <w:rPr>
          <w:rFonts w:eastAsia="Calibri" w:cs="Times New Roman"/>
        </w:rPr>
        <w:t xml:space="preserve">patient level analysis </w:t>
      </w:r>
      <w:r w:rsidRPr="0091484A">
        <w:rPr>
          <w:rFonts w:eastAsia="Calibri" w:cs="Times New Roman"/>
        </w:rPr>
        <w:t>p</w:t>
      </w:r>
      <w:r w:rsidR="00AC5054" w:rsidRPr="0091484A">
        <w:rPr>
          <w:rFonts w:eastAsia="Calibri" w:cs="Times New Roman"/>
        </w:rPr>
        <w:t xml:space="preserve">rior to </w:t>
      </w:r>
      <w:r w:rsidR="00851D85" w:rsidRPr="0091484A">
        <w:rPr>
          <w:rFonts w:eastAsia="Calibri" w:cs="Times New Roman"/>
        </w:rPr>
        <w:t xml:space="preserve">1 </w:t>
      </w:r>
      <w:r w:rsidR="00AC5054" w:rsidRPr="0091484A">
        <w:rPr>
          <w:rFonts w:eastAsia="Calibri" w:cs="Times New Roman"/>
        </w:rPr>
        <w:t xml:space="preserve">July 2013 </w:t>
      </w:r>
      <w:r w:rsidRPr="0091484A">
        <w:rPr>
          <w:rFonts w:eastAsia="Calibri" w:cs="Times New Roman"/>
        </w:rPr>
        <w:t>may be</w:t>
      </w:r>
      <w:r w:rsidR="00AC5054" w:rsidRPr="0091484A">
        <w:rPr>
          <w:rFonts w:eastAsia="Calibri" w:cs="Times New Roman"/>
        </w:rPr>
        <w:t xml:space="preserve"> incomplete.</w:t>
      </w:r>
      <w:r w:rsidR="0091484A" w:rsidRPr="0091484A">
        <w:rPr>
          <w:rFonts w:eastAsia="Calibri" w:cs="Times New Roman"/>
        </w:rPr>
        <w:t xml:space="preserve"> </w:t>
      </w:r>
      <w:proofErr w:type="spellStart"/>
      <w:r w:rsidR="0091484A" w:rsidRPr="0091484A">
        <w:rPr>
          <w:rFonts w:eastAsia="Calibri" w:cs="Times New Roman"/>
        </w:rPr>
        <w:t>Omalizumab</w:t>
      </w:r>
      <w:proofErr w:type="spellEnd"/>
      <w:r w:rsidR="0091484A" w:rsidRPr="0091484A">
        <w:rPr>
          <w:rFonts w:eastAsia="Calibri" w:cs="Times New Roman"/>
        </w:rPr>
        <w:t xml:space="preserve"> was the only severe asthma biologic listed in this period.</w:t>
      </w:r>
      <w:r w:rsidRPr="0091484A">
        <w:rPr>
          <w:rFonts w:eastAsia="Calibri" w:cs="Times New Roman"/>
        </w:rPr>
        <w:t xml:space="preserve"> To assess the extent of this, the DUSC HSD database was interrogated to determine the proportion of</w:t>
      </w:r>
      <w:r>
        <w:rPr>
          <w:rFonts w:eastAsia="Calibri" w:cs="Times New Roman"/>
        </w:rPr>
        <w:t xml:space="preserve"> </w:t>
      </w:r>
      <w:proofErr w:type="spellStart"/>
      <w:r w:rsidR="0091484A">
        <w:rPr>
          <w:rFonts w:eastAsia="Calibri" w:cs="Times New Roman"/>
        </w:rPr>
        <w:t>omalizumab</w:t>
      </w:r>
      <w:proofErr w:type="spellEnd"/>
      <w:r w:rsidR="0091484A">
        <w:rPr>
          <w:rFonts w:eastAsia="Calibri" w:cs="Times New Roman"/>
        </w:rPr>
        <w:t xml:space="preserve"> </w:t>
      </w:r>
      <w:r>
        <w:rPr>
          <w:rFonts w:eastAsia="Calibri" w:cs="Times New Roman"/>
        </w:rPr>
        <w:t xml:space="preserve">packs recorded by bulk processing in the period from </w:t>
      </w:r>
      <w:proofErr w:type="spellStart"/>
      <w:r>
        <w:rPr>
          <w:rFonts w:eastAsia="Calibri" w:cs="Times New Roman"/>
        </w:rPr>
        <w:t>omalizuma</w:t>
      </w:r>
      <w:r w:rsidR="0091484A">
        <w:rPr>
          <w:rFonts w:eastAsia="Calibri" w:cs="Times New Roman"/>
        </w:rPr>
        <w:t>b</w:t>
      </w:r>
      <w:proofErr w:type="spellEnd"/>
      <w:r w:rsidR="0091484A">
        <w:rPr>
          <w:rFonts w:eastAsia="Calibri" w:cs="Times New Roman"/>
        </w:rPr>
        <w:t xml:space="preserve"> listing (July </w:t>
      </w:r>
      <w:r>
        <w:rPr>
          <w:rFonts w:eastAsia="Calibri" w:cs="Times New Roman"/>
        </w:rPr>
        <w:t xml:space="preserve">2011) to complete capture of HSD data (July 2013). The DUSC </w:t>
      </w:r>
      <w:r w:rsidRPr="002968C0">
        <w:rPr>
          <w:rFonts w:eastAsia="Calibri" w:cs="Times New Roman"/>
        </w:rPr>
        <w:t>HSD</w:t>
      </w:r>
      <w:r>
        <w:rPr>
          <w:rFonts w:eastAsia="Calibri" w:cs="Times New Roman"/>
        </w:rPr>
        <w:t xml:space="preserve"> </w:t>
      </w:r>
      <w:r w:rsidRPr="002968C0">
        <w:rPr>
          <w:rFonts w:eastAsia="Calibri" w:cs="Times New Roman"/>
        </w:rPr>
        <w:t xml:space="preserve">database combines public hospital offline processed prescription data with public and private </w:t>
      </w:r>
      <w:r w:rsidR="0091484A">
        <w:rPr>
          <w:rFonts w:eastAsia="Calibri" w:cs="Times New Roman"/>
        </w:rPr>
        <w:t>h</w:t>
      </w:r>
      <w:r w:rsidRPr="002968C0">
        <w:rPr>
          <w:rFonts w:eastAsia="Calibri" w:cs="Times New Roman"/>
        </w:rPr>
        <w:t>ospital online processed prescription data to give a complete p</w:t>
      </w:r>
      <w:r>
        <w:rPr>
          <w:rFonts w:eastAsia="Calibri" w:cs="Times New Roman"/>
        </w:rPr>
        <w:t xml:space="preserve">icture of HSD drug utilisation. </w:t>
      </w:r>
      <w:r w:rsidR="0091484A">
        <w:rPr>
          <w:rFonts w:eastAsia="Calibri" w:cs="Times New Roman"/>
        </w:rPr>
        <w:t>This analysis showed that from July 2013 to December 2014 inclusive, bulk processing accounted for 20</w:t>
      </w:r>
      <w:r w:rsidR="0091484A">
        <w:rPr>
          <w:rFonts w:eastAsia="Calibri" w:cs="Times New Roman"/>
        </w:rPr>
        <w:noBreakHyphen/>
      </w:r>
      <w:proofErr w:type="gramStart"/>
      <w:r w:rsidR="0091484A">
        <w:rPr>
          <w:rFonts w:eastAsia="Calibri" w:cs="Times New Roman"/>
        </w:rPr>
        <w:t>24%</w:t>
      </w:r>
      <w:proofErr w:type="gramEnd"/>
      <w:r w:rsidR="0091484A">
        <w:rPr>
          <w:rFonts w:eastAsia="Calibri" w:cs="Times New Roman"/>
        </w:rPr>
        <w:t xml:space="preserve"> of </w:t>
      </w:r>
      <w:proofErr w:type="spellStart"/>
      <w:r w:rsidR="0091484A">
        <w:rPr>
          <w:rFonts w:eastAsia="Calibri" w:cs="Times New Roman"/>
        </w:rPr>
        <w:t>omalizumab</w:t>
      </w:r>
      <w:proofErr w:type="spellEnd"/>
      <w:r w:rsidR="0091484A">
        <w:rPr>
          <w:rFonts w:eastAsia="Calibri" w:cs="Times New Roman"/>
        </w:rPr>
        <w:t xml:space="preserve"> dispensing. This declined to 12% in the first quarter of 2013, after which there was complete capture of </w:t>
      </w:r>
      <w:proofErr w:type="spellStart"/>
      <w:r w:rsidR="0091484A">
        <w:rPr>
          <w:rFonts w:eastAsia="Calibri" w:cs="Times New Roman"/>
        </w:rPr>
        <w:t>omalizumab</w:t>
      </w:r>
      <w:proofErr w:type="spellEnd"/>
      <w:r w:rsidR="0091484A">
        <w:rPr>
          <w:rFonts w:eastAsia="Calibri" w:cs="Times New Roman"/>
        </w:rPr>
        <w:t xml:space="preserve"> dispensing in the line-by-line supplied prescriptions database. </w:t>
      </w:r>
    </w:p>
    <w:p w14:paraId="59EC97E7" w14:textId="365CBE7B" w:rsidR="00671662" w:rsidRDefault="0091484A" w:rsidP="0091484A">
      <w:pPr>
        <w:pStyle w:val="Tabletitle"/>
      </w:pPr>
      <w:r w:rsidRPr="0091484A">
        <w:t>Table 5:</w:t>
      </w:r>
      <w:r>
        <w:t xml:space="preserve"> </w:t>
      </w:r>
      <w:proofErr w:type="spellStart"/>
      <w:r>
        <w:t>Omalizumab</w:t>
      </w:r>
      <w:proofErr w:type="spellEnd"/>
      <w:r>
        <w:t xml:space="preserve"> bulk versus line-by-line processing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559"/>
        <w:gridCol w:w="2127"/>
      </w:tblGrid>
      <w:tr w:rsidR="00671662" w:rsidRPr="00CA3E8A" w14:paraId="75CC4F2A" w14:textId="77777777" w:rsidTr="00CA3E8A">
        <w:trPr>
          <w:trHeight w:val="300"/>
        </w:trPr>
        <w:tc>
          <w:tcPr>
            <w:tcW w:w="2127" w:type="dxa"/>
            <w:shd w:val="clear" w:color="auto" w:fill="BFBFBF" w:themeFill="background1" w:themeFillShade="BF"/>
            <w:noWrap/>
            <w:vAlign w:val="bottom"/>
            <w:hideMark/>
          </w:tcPr>
          <w:p w14:paraId="362478C3" w14:textId="60B3585E" w:rsidR="00671662" w:rsidRPr="00CA3E8A" w:rsidRDefault="00671662" w:rsidP="00671662">
            <w:pPr>
              <w:pStyle w:val="Tableheading"/>
              <w:rPr>
                <w:sz w:val="20"/>
                <w:szCs w:val="20"/>
              </w:rPr>
            </w:pPr>
            <w:r w:rsidRPr="00CA3E8A">
              <w:rPr>
                <w:sz w:val="20"/>
                <w:szCs w:val="20"/>
              </w:rPr>
              <w:t>Quarter of supply</w:t>
            </w:r>
          </w:p>
        </w:tc>
        <w:tc>
          <w:tcPr>
            <w:tcW w:w="1559" w:type="dxa"/>
            <w:shd w:val="clear" w:color="auto" w:fill="BFBFBF" w:themeFill="background1" w:themeFillShade="BF"/>
            <w:noWrap/>
            <w:vAlign w:val="bottom"/>
            <w:hideMark/>
          </w:tcPr>
          <w:p w14:paraId="3039A43C" w14:textId="0C502D6F" w:rsidR="00671662" w:rsidRPr="00CA3E8A" w:rsidRDefault="00671662" w:rsidP="00671662">
            <w:pPr>
              <w:pStyle w:val="Tableheading"/>
              <w:rPr>
                <w:sz w:val="20"/>
                <w:szCs w:val="20"/>
              </w:rPr>
            </w:pPr>
            <w:r w:rsidRPr="00CA3E8A">
              <w:rPr>
                <w:sz w:val="20"/>
                <w:szCs w:val="20"/>
              </w:rPr>
              <w:t>Bulk packs</w:t>
            </w:r>
          </w:p>
        </w:tc>
        <w:tc>
          <w:tcPr>
            <w:tcW w:w="1559" w:type="dxa"/>
            <w:shd w:val="clear" w:color="auto" w:fill="BFBFBF" w:themeFill="background1" w:themeFillShade="BF"/>
            <w:noWrap/>
            <w:vAlign w:val="bottom"/>
            <w:hideMark/>
          </w:tcPr>
          <w:p w14:paraId="2E5E7202" w14:textId="09FFE4CC" w:rsidR="00671662" w:rsidRPr="00CA3E8A" w:rsidRDefault="00671662" w:rsidP="00671662">
            <w:pPr>
              <w:pStyle w:val="Tableheading"/>
              <w:rPr>
                <w:sz w:val="20"/>
                <w:szCs w:val="20"/>
              </w:rPr>
            </w:pPr>
            <w:r w:rsidRPr="00CA3E8A">
              <w:rPr>
                <w:sz w:val="20"/>
                <w:szCs w:val="20"/>
              </w:rPr>
              <w:t>LBL scripts</w:t>
            </w:r>
          </w:p>
        </w:tc>
        <w:tc>
          <w:tcPr>
            <w:tcW w:w="1559" w:type="dxa"/>
            <w:shd w:val="clear" w:color="auto" w:fill="BFBFBF" w:themeFill="background1" w:themeFillShade="BF"/>
            <w:noWrap/>
            <w:vAlign w:val="bottom"/>
            <w:hideMark/>
          </w:tcPr>
          <w:p w14:paraId="784872E4" w14:textId="29C96082" w:rsidR="00671662" w:rsidRPr="00CA3E8A" w:rsidRDefault="00671662" w:rsidP="00671662">
            <w:pPr>
              <w:pStyle w:val="Tableheading"/>
              <w:rPr>
                <w:sz w:val="20"/>
                <w:szCs w:val="20"/>
              </w:rPr>
            </w:pPr>
            <w:r w:rsidRPr="00CA3E8A">
              <w:rPr>
                <w:sz w:val="20"/>
                <w:szCs w:val="20"/>
              </w:rPr>
              <w:t>Total</w:t>
            </w:r>
          </w:p>
        </w:tc>
        <w:tc>
          <w:tcPr>
            <w:tcW w:w="2127" w:type="dxa"/>
            <w:shd w:val="clear" w:color="auto" w:fill="BFBFBF" w:themeFill="background1" w:themeFillShade="BF"/>
            <w:noWrap/>
            <w:vAlign w:val="bottom"/>
            <w:hideMark/>
          </w:tcPr>
          <w:p w14:paraId="0E6C8F90" w14:textId="0ABB3AE1" w:rsidR="00671662" w:rsidRPr="00CA3E8A" w:rsidRDefault="00671662" w:rsidP="00671662">
            <w:pPr>
              <w:pStyle w:val="Tableheading"/>
              <w:rPr>
                <w:sz w:val="20"/>
                <w:szCs w:val="20"/>
              </w:rPr>
            </w:pPr>
            <w:r w:rsidRPr="00CA3E8A">
              <w:rPr>
                <w:sz w:val="20"/>
                <w:szCs w:val="20"/>
              </w:rPr>
              <w:t>Bulk percentage</w:t>
            </w:r>
          </w:p>
        </w:tc>
      </w:tr>
      <w:tr w:rsidR="00671662" w:rsidRPr="00671662" w14:paraId="72C8BEB8" w14:textId="77777777" w:rsidTr="00671662">
        <w:trPr>
          <w:trHeight w:val="300"/>
        </w:trPr>
        <w:tc>
          <w:tcPr>
            <w:tcW w:w="2127" w:type="dxa"/>
            <w:shd w:val="clear" w:color="auto" w:fill="auto"/>
            <w:noWrap/>
            <w:vAlign w:val="bottom"/>
            <w:hideMark/>
          </w:tcPr>
          <w:p w14:paraId="3A0605E1" w14:textId="77777777" w:rsidR="00671662" w:rsidRPr="00671662" w:rsidRDefault="00671662" w:rsidP="00671662">
            <w:pPr>
              <w:pStyle w:val="Tablewriting"/>
              <w:jc w:val="center"/>
            </w:pPr>
            <w:r w:rsidRPr="00671662">
              <w:t>2011Q3</w:t>
            </w:r>
          </w:p>
        </w:tc>
        <w:tc>
          <w:tcPr>
            <w:tcW w:w="1559" w:type="dxa"/>
            <w:shd w:val="clear" w:color="auto" w:fill="auto"/>
            <w:noWrap/>
            <w:vAlign w:val="bottom"/>
            <w:hideMark/>
          </w:tcPr>
          <w:p w14:paraId="141C59E3" w14:textId="77777777" w:rsidR="00671662" w:rsidRPr="00671662" w:rsidRDefault="00671662" w:rsidP="00671662">
            <w:pPr>
              <w:pStyle w:val="Tablewriting"/>
              <w:jc w:val="center"/>
            </w:pPr>
            <w:r w:rsidRPr="00671662">
              <w:t>36</w:t>
            </w:r>
          </w:p>
        </w:tc>
        <w:tc>
          <w:tcPr>
            <w:tcW w:w="1559" w:type="dxa"/>
            <w:shd w:val="clear" w:color="auto" w:fill="auto"/>
            <w:noWrap/>
            <w:vAlign w:val="bottom"/>
            <w:hideMark/>
          </w:tcPr>
          <w:p w14:paraId="1EB12871" w14:textId="77777777" w:rsidR="00671662" w:rsidRPr="00671662" w:rsidRDefault="00671662" w:rsidP="00671662">
            <w:pPr>
              <w:pStyle w:val="Tablewriting"/>
              <w:jc w:val="center"/>
            </w:pPr>
            <w:r w:rsidRPr="00671662">
              <w:t>123</w:t>
            </w:r>
          </w:p>
        </w:tc>
        <w:tc>
          <w:tcPr>
            <w:tcW w:w="1559" w:type="dxa"/>
            <w:shd w:val="clear" w:color="auto" w:fill="auto"/>
            <w:noWrap/>
            <w:vAlign w:val="bottom"/>
            <w:hideMark/>
          </w:tcPr>
          <w:p w14:paraId="0D693BC3" w14:textId="77777777" w:rsidR="00671662" w:rsidRPr="00671662" w:rsidRDefault="00671662" w:rsidP="00671662">
            <w:pPr>
              <w:pStyle w:val="Tablewriting"/>
              <w:jc w:val="center"/>
            </w:pPr>
            <w:r w:rsidRPr="00671662">
              <w:t>159</w:t>
            </w:r>
          </w:p>
        </w:tc>
        <w:tc>
          <w:tcPr>
            <w:tcW w:w="2127" w:type="dxa"/>
            <w:shd w:val="clear" w:color="auto" w:fill="auto"/>
            <w:noWrap/>
            <w:vAlign w:val="bottom"/>
            <w:hideMark/>
          </w:tcPr>
          <w:p w14:paraId="192670F9" w14:textId="77777777" w:rsidR="00671662" w:rsidRPr="00671662" w:rsidRDefault="00671662" w:rsidP="00671662">
            <w:pPr>
              <w:pStyle w:val="Tablewriting"/>
              <w:jc w:val="center"/>
            </w:pPr>
            <w:r w:rsidRPr="00671662">
              <w:t>23%</w:t>
            </w:r>
          </w:p>
        </w:tc>
      </w:tr>
      <w:tr w:rsidR="00671662" w:rsidRPr="00671662" w14:paraId="2BB78F91" w14:textId="77777777" w:rsidTr="00671662">
        <w:trPr>
          <w:trHeight w:val="300"/>
        </w:trPr>
        <w:tc>
          <w:tcPr>
            <w:tcW w:w="2127" w:type="dxa"/>
            <w:shd w:val="clear" w:color="auto" w:fill="auto"/>
            <w:noWrap/>
            <w:vAlign w:val="bottom"/>
            <w:hideMark/>
          </w:tcPr>
          <w:p w14:paraId="1A4996E0" w14:textId="77777777" w:rsidR="00671662" w:rsidRPr="00671662" w:rsidRDefault="00671662" w:rsidP="00671662">
            <w:pPr>
              <w:pStyle w:val="Tablewriting"/>
              <w:jc w:val="center"/>
            </w:pPr>
            <w:r w:rsidRPr="00671662">
              <w:t>2011Q4</w:t>
            </w:r>
          </w:p>
        </w:tc>
        <w:tc>
          <w:tcPr>
            <w:tcW w:w="1559" w:type="dxa"/>
            <w:shd w:val="clear" w:color="auto" w:fill="auto"/>
            <w:noWrap/>
            <w:vAlign w:val="bottom"/>
            <w:hideMark/>
          </w:tcPr>
          <w:p w14:paraId="142DD6EF" w14:textId="77777777" w:rsidR="00671662" w:rsidRPr="00671662" w:rsidRDefault="00671662" w:rsidP="00671662">
            <w:pPr>
              <w:pStyle w:val="Tablewriting"/>
              <w:jc w:val="center"/>
            </w:pPr>
            <w:r w:rsidRPr="00671662">
              <w:t>154</w:t>
            </w:r>
          </w:p>
        </w:tc>
        <w:tc>
          <w:tcPr>
            <w:tcW w:w="1559" w:type="dxa"/>
            <w:shd w:val="clear" w:color="auto" w:fill="auto"/>
            <w:noWrap/>
            <w:vAlign w:val="bottom"/>
            <w:hideMark/>
          </w:tcPr>
          <w:p w14:paraId="3D9B5435" w14:textId="77777777" w:rsidR="00671662" w:rsidRPr="00671662" w:rsidRDefault="00671662" w:rsidP="00671662">
            <w:pPr>
              <w:pStyle w:val="Tablewriting"/>
              <w:jc w:val="center"/>
            </w:pPr>
            <w:r w:rsidRPr="00671662">
              <w:t>486</w:t>
            </w:r>
          </w:p>
        </w:tc>
        <w:tc>
          <w:tcPr>
            <w:tcW w:w="1559" w:type="dxa"/>
            <w:shd w:val="clear" w:color="auto" w:fill="auto"/>
            <w:noWrap/>
            <w:vAlign w:val="bottom"/>
            <w:hideMark/>
          </w:tcPr>
          <w:p w14:paraId="0AFA56BD" w14:textId="77777777" w:rsidR="00671662" w:rsidRPr="00671662" w:rsidRDefault="00671662" w:rsidP="00671662">
            <w:pPr>
              <w:pStyle w:val="Tablewriting"/>
              <w:jc w:val="center"/>
            </w:pPr>
            <w:r w:rsidRPr="00671662">
              <w:t>640</w:t>
            </w:r>
          </w:p>
        </w:tc>
        <w:tc>
          <w:tcPr>
            <w:tcW w:w="2127" w:type="dxa"/>
            <w:shd w:val="clear" w:color="auto" w:fill="auto"/>
            <w:noWrap/>
            <w:vAlign w:val="bottom"/>
            <w:hideMark/>
          </w:tcPr>
          <w:p w14:paraId="40DE5033" w14:textId="77777777" w:rsidR="00671662" w:rsidRPr="00671662" w:rsidRDefault="00671662" w:rsidP="00671662">
            <w:pPr>
              <w:pStyle w:val="Tablewriting"/>
              <w:jc w:val="center"/>
            </w:pPr>
            <w:r w:rsidRPr="00671662">
              <w:t>24%</w:t>
            </w:r>
          </w:p>
        </w:tc>
      </w:tr>
      <w:tr w:rsidR="00671662" w:rsidRPr="00671662" w14:paraId="248E51E6" w14:textId="77777777" w:rsidTr="00671662">
        <w:trPr>
          <w:trHeight w:val="300"/>
        </w:trPr>
        <w:tc>
          <w:tcPr>
            <w:tcW w:w="2127" w:type="dxa"/>
            <w:shd w:val="clear" w:color="auto" w:fill="auto"/>
            <w:noWrap/>
            <w:vAlign w:val="bottom"/>
            <w:hideMark/>
          </w:tcPr>
          <w:p w14:paraId="3C0B7BC0" w14:textId="77777777" w:rsidR="00671662" w:rsidRPr="00671662" w:rsidRDefault="00671662" w:rsidP="00671662">
            <w:pPr>
              <w:pStyle w:val="Tablewriting"/>
              <w:jc w:val="center"/>
            </w:pPr>
            <w:r w:rsidRPr="00671662">
              <w:t>2012Q1</w:t>
            </w:r>
          </w:p>
        </w:tc>
        <w:tc>
          <w:tcPr>
            <w:tcW w:w="1559" w:type="dxa"/>
            <w:shd w:val="clear" w:color="auto" w:fill="auto"/>
            <w:noWrap/>
            <w:vAlign w:val="bottom"/>
            <w:hideMark/>
          </w:tcPr>
          <w:p w14:paraId="1F9758EE" w14:textId="77777777" w:rsidR="00671662" w:rsidRPr="00671662" w:rsidRDefault="00671662" w:rsidP="00671662">
            <w:pPr>
              <w:pStyle w:val="Tablewriting"/>
              <w:jc w:val="center"/>
            </w:pPr>
            <w:r w:rsidRPr="00671662">
              <w:t>236</w:t>
            </w:r>
          </w:p>
        </w:tc>
        <w:tc>
          <w:tcPr>
            <w:tcW w:w="1559" w:type="dxa"/>
            <w:shd w:val="clear" w:color="auto" w:fill="auto"/>
            <w:noWrap/>
            <w:vAlign w:val="bottom"/>
            <w:hideMark/>
          </w:tcPr>
          <w:p w14:paraId="0C3B76AF" w14:textId="77777777" w:rsidR="00671662" w:rsidRPr="00671662" w:rsidRDefault="00671662" w:rsidP="00671662">
            <w:pPr>
              <w:pStyle w:val="Tablewriting"/>
              <w:jc w:val="center"/>
            </w:pPr>
            <w:r w:rsidRPr="00671662">
              <w:t>759</w:t>
            </w:r>
          </w:p>
        </w:tc>
        <w:tc>
          <w:tcPr>
            <w:tcW w:w="1559" w:type="dxa"/>
            <w:shd w:val="clear" w:color="auto" w:fill="auto"/>
            <w:noWrap/>
            <w:vAlign w:val="bottom"/>
            <w:hideMark/>
          </w:tcPr>
          <w:p w14:paraId="6044D158" w14:textId="77777777" w:rsidR="00671662" w:rsidRPr="00671662" w:rsidRDefault="00671662" w:rsidP="00671662">
            <w:pPr>
              <w:pStyle w:val="Tablewriting"/>
              <w:jc w:val="center"/>
            </w:pPr>
            <w:r w:rsidRPr="00671662">
              <w:t>995</w:t>
            </w:r>
          </w:p>
        </w:tc>
        <w:tc>
          <w:tcPr>
            <w:tcW w:w="2127" w:type="dxa"/>
            <w:shd w:val="clear" w:color="auto" w:fill="auto"/>
            <w:noWrap/>
            <w:vAlign w:val="bottom"/>
            <w:hideMark/>
          </w:tcPr>
          <w:p w14:paraId="4B1FF888" w14:textId="77777777" w:rsidR="00671662" w:rsidRPr="00671662" w:rsidRDefault="00671662" w:rsidP="00671662">
            <w:pPr>
              <w:pStyle w:val="Tablewriting"/>
              <w:jc w:val="center"/>
            </w:pPr>
            <w:r w:rsidRPr="00671662">
              <w:t>24%</w:t>
            </w:r>
          </w:p>
        </w:tc>
      </w:tr>
      <w:tr w:rsidR="00671662" w:rsidRPr="00671662" w14:paraId="6C12D30D" w14:textId="77777777" w:rsidTr="00671662">
        <w:trPr>
          <w:trHeight w:val="300"/>
        </w:trPr>
        <w:tc>
          <w:tcPr>
            <w:tcW w:w="2127" w:type="dxa"/>
            <w:shd w:val="clear" w:color="auto" w:fill="auto"/>
            <w:noWrap/>
            <w:vAlign w:val="bottom"/>
            <w:hideMark/>
          </w:tcPr>
          <w:p w14:paraId="02E8ABE4" w14:textId="77777777" w:rsidR="00671662" w:rsidRPr="00671662" w:rsidRDefault="00671662" w:rsidP="00671662">
            <w:pPr>
              <w:pStyle w:val="Tablewriting"/>
              <w:jc w:val="center"/>
            </w:pPr>
            <w:r w:rsidRPr="00671662">
              <w:t>2012Q2</w:t>
            </w:r>
          </w:p>
        </w:tc>
        <w:tc>
          <w:tcPr>
            <w:tcW w:w="1559" w:type="dxa"/>
            <w:shd w:val="clear" w:color="auto" w:fill="auto"/>
            <w:noWrap/>
            <w:vAlign w:val="bottom"/>
            <w:hideMark/>
          </w:tcPr>
          <w:p w14:paraId="3316FA4F" w14:textId="77777777" w:rsidR="00671662" w:rsidRPr="00671662" w:rsidRDefault="00671662" w:rsidP="00671662">
            <w:pPr>
              <w:pStyle w:val="Tablewriting"/>
              <w:jc w:val="center"/>
            </w:pPr>
            <w:r w:rsidRPr="00671662">
              <w:t>253</w:t>
            </w:r>
          </w:p>
        </w:tc>
        <w:tc>
          <w:tcPr>
            <w:tcW w:w="1559" w:type="dxa"/>
            <w:shd w:val="clear" w:color="auto" w:fill="auto"/>
            <w:noWrap/>
            <w:vAlign w:val="bottom"/>
            <w:hideMark/>
          </w:tcPr>
          <w:p w14:paraId="138D7030" w14:textId="77777777" w:rsidR="00671662" w:rsidRPr="00671662" w:rsidRDefault="00671662" w:rsidP="00671662">
            <w:pPr>
              <w:pStyle w:val="Tablewriting"/>
              <w:jc w:val="center"/>
            </w:pPr>
            <w:r w:rsidRPr="00671662">
              <w:t>938</w:t>
            </w:r>
          </w:p>
        </w:tc>
        <w:tc>
          <w:tcPr>
            <w:tcW w:w="1559" w:type="dxa"/>
            <w:shd w:val="clear" w:color="auto" w:fill="auto"/>
            <w:noWrap/>
            <w:vAlign w:val="bottom"/>
            <w:hideMark/>
          </w:tcPr>
          <w:p w14:paraId="3415907E" w14:textId="2FBD2B12" w:rsidR="00671662" w:rsidRPr="00671662" w:rsidRDefault="00671662" w:rsidP="00671662">
            <w:pPr>
              <w:pStyle w:val="Tablewriting"/>
              <w:jc w:val="center"/>
            </w:pPr>
            <w:r w:rsidRPr="00671662">
              <w:t>1</w:t>
            </w:r>
            <w:r w:rsidR="00CA3E8A">
              <w:t>,</w:t>
            </w:r>
            <w:r w:rsidRPr="00671662">
              <w:t>191</w:t>
            </w:r>
          </w:p>
        </w:tc>
        <w:tc>
          <w:tcPr>
            <w:tcW w:w="2127" w:type="dxa"/>
            <w:shd w:val="clear" w:color="auto" w:fill="auto"/>
            <w:noWrap/>
            <w:vAlign w:val="bottom"/>
            <w:hideMark/>
          </w:tcPr>
          <w:p w14:paraId="3A550E50" w14:textId="77777777" w:rsidR="00671662" w:rsidRPr="00671662" w:rsidRDefault="00671662" w:rsidP="00671662">
            <w:pPr>
              <w:pStyle w:val="Tablewriting"/>
              <w:jc w:val="center"/>
            </w:pPr>
            <w:r w:rsidRPr="00671662">
              <w:t>21%</w:t>
            </w:r>
          </w:p>
        </w:tc>
      </w:tr>
      <w:tr w:rsidR="00671662" w:rsidRPr="00671662" w14:paraId="69D4BCE2" w14:textId="77777777" w:rsidTr="00671662">
        <w:trPr>
          <w:trHeight w:val="300"/>
        </w:trPr>
        <w:tc>
          <w:tcPr>
            <w:tcW w:w="2127" w:type="dxa"/>
            <w:shd w:val="clear" w:color="auto" w:fill="auto"/>
            <w:noWrap/>
            <w:vAlign w:val="bottom"/>
            <w:hideMark/>
          </w:tcPr>
          <w:p w14:paraId="29377835" w14:textId="77777777" w:rsidR="00671662" w:rsidRPr="00671662" w:rsidRDefault="00671662" w:rsidP="00671662">
            <w:pPr>
              <w:pStyle w:val="Tablewriting"/>
              <w:jc w:val="center"/>
            </w:pPr>
            <w:r w:rsidRPr="00671662">
              <w:t>2012Q3</w:t>
            </w:r>
          </w:p>
        </w:tc>
        <w:tc>
          <w:tcPr>
            <w:tcW w:w="1559" w:type="dxa"/>
            <w:shd w:val="clear" w:color="auto" w:fill="auto"/>
            <w:noWrap/>
            <w:vAlign w:val="bottom"/>
            <w:hideMark/>
          </w:tcPr>
          <w:p w14:paraId="500B650A" w14:textId="77777777" w:rsidR="00671662" w:rsidRPr="00671662" w:rsidRDefault="00671662" w:rsidP="00671662">
            <w:pPr>
              <w:pStyle w:val="Tablewriting"/>
              <w:jc w:val="center"/>
            </w:pPr>
            <w:r w:rsidRPr="00671662">
              <w:t>259</w:t>
            </w:r>
          </w:p>
        </w:tc>
        <w:tc>
          <w:tcPr>
            <w:tcW w:w="1559" w:type="dxa"/>
            <w:shd w:val="clear" w:color="auto" w:fill="auto"/>
            <w:noWrap/>
            <w:vAlign w:val="bottom"/>
            <w:hideMark/>
          </w:tcPr>
          <w:p w14:paraId="60301E07" w14:textId="59A1363C" w:rsidR="00671662" w:rsidRPr="00671662" w:rsidRDefault="00671662" w:rsidP="00671662">
            <w:pPr>
              <w:pStyle w:val="Tablewriting"/>
              <w:jc w:val="center"/>
            </w:pPr>
            <w:r w:rsidRPr="00671662">
              <w:t>1</w:t>
            </w:r>
            <w:r w:rsidR="00CA3E8A">
              <w:t>,</w:t>
            </w:r>
            <w:r w:rsidRPr="00671662">
              <w:t>067</w:t>
            </w:r>
          </w:p>
        </w:tc>
        <w:tc>
          <w:tcPr>
            <w:tcW w:w="1559" w:type="dxa"/>
            <w:shd w:val="clear" w:color="auto" w:fill="auto"/>
            <w:noWrap/>
            <w:vAlign w:val="bottom"/>
            <w:hideMark/>
          </w:tcPr>
          <w:p w14:paraId="30FCD3E0" w14:textId="78AA6AD0" w:rsidR="00671662" w:rsidRPr="00671662" w:rsidRDefault="00671662" w:rsidP="00671662">
            <w:pPr>
              <w:pStyle w:val="Tablewriting"/>
              <w:jc w:val="center"/>
            </w:pPr>
            <w:r w:rsidRPr="00671662">
              <w:t>1</w:t>
            </w:r>
            <w:r w:rsidR="00CA3E8A">
              <w:t>,</w:t>
            </w:r>
            <w:r w:rsidRPr="00671662">
              <w:t>326</w:t>
            </w:r>
          </w:p>
        </w:tc>
        <w:tc>
          <w:tcPr>
            <w:tcW w:w="2127" w:type="dxa"/>
            <w:shd w:val="clear" w:color="auto" w:fill="auto"/>
            <w:noWrap/>
            <w:vAlign w:val="bottom"/>
            <w:hideMark/>
          </w:tcPr>
          <w:p w14:paraId="6E591057" w14:textId="77777777" w:rsidR="00671662" w:rsidRPr="00671662" w:rsidRDefault="00671662" w:rsidP="00671662">
            <w:pPr>
              <w:pStyle w:val="Tablewriting"/>
              <w:jc w:val="center"/>
            </w:pPr>
            <w:r w:rsidRPr="00671662">
              <w:t>20%</w:t>
            </w:r>
          </w:p>
        </w:tc>
      </w:tr>
      <w:tr w:rsidR="00671662" w:rsidRPr="00671662" w14:paraId="423C04BF" w14:textId="77777777" w:rsidTr="00671662">
        <w:trPr>
          <w:trHeight w:val="300"/>
        </w:trPr>
        <w:tc>
          <w:tcPr>
            <w:tcW w:w="2127" w:type="dxa"/>
            <w:shd w:val="clear" w:color="auto" w:fill="auto"/>
            <w:noWrap/>
            <w:vAlign w:val="bottom"/>
            <w:hideMark/>
          </w:tcPr>
          <w:p w14:paraId="215F1DDE" w14:textId="77777777" w:rsidR="00671662" w:rsidRPr="00671662" w:rsidRDefault="00671662" w:rsidP="00671662">
            <w:pPr>
              <w:pStyle w:val="Tablewriting"/>
              <w:jc w:val="center"/>
            </w:pPr>
            <w:r w:rsidRPr="00671662">
              <w:t>2012Q4</w:t>
            </w:r>
          </w:p>
        </w:tc>
        <w:tc>
          <w:tcPr>
            <w:tcW w:w="1559" w:type="dxa"/>
            <w:shd w:val="clear" w:color="auto" w:fill="auto"/>
            <w:noWrap/>
            <w:vAlign w:val="bottom"/>
            <w:hideMark/>
          </w:tcPr>
          <w:p w14:paraId="5909997A" w14:textId="77777777" w:rsidR="00671662" w:rsidRPr="00671662" w:rsidRDefault="00671662" w:rsidP="00671662">
            <w:pPr>
              <w:pStyle w:val="Tablewriting"/>
              <w:jc w:val="center"/>
            </w:pPr>
            <w:r w:rsidRPr="00671662">
              <w:t>354</w:t>
            </w:r>
          </w:p>
        </w:tc>
        <w:tc>
          <w:tcPr>
            <w:tcW w:w="1559" w:type="dxa"/>
            <w:shd w:val="clear" w:color="auto" w:fill="auto"/>
            <w:noWrap/>
            <w:vAlign w:val="bottom"/>
            <w:hideMark/>
          </w:tcPr>
          <w:p w14:paraId="6051B044" w14:textId="4714A389" w:rsidR="00671662" w:rsidRPr="00671662" w:rsidRDefault="00671662" w:rsidP="00671662">
            <w:pPr>
              <w:pStyle w:val="Tablewriting"/>
              <w:jc w:val="center"/>
            </w:pPr>
            <w:r w:rsidRPr="00671662">
              <w:t>1</w:t>
            </w:r>
            <w:r w:rsidR="00CA3E8A">
              <w:t>,</w:t>
            </w:r>
            <w:r w:rsidRPr="00671662">
              <w:t>238</w:t>
            </w:r>
          </w:p>
        </w:tc>
        <w:tc>
          <w:tcPr>
            <w:tcW w:w="1559" w:type="dxa"/>
            <w:shd w:val="clear" w:color="auto" w:fill="auto"/>
            <w:noWrap/>
            <w:vAlign w:val="bottom"/>
            <w:hideMark/>
          </w:tcPr>
          <w:p w14:paraId="38E3FD77" w14:textId="4F748B39" w:rsidR="00671662" w:rsidRPr="00671662" w:rsidRDefault="00671662" w:rsidP="00671662">
            <w:pPr>
              <w:pStyle w:val="Tablewriting"/>
              <w:jc w:val="center"/>
            </w:pPr>
            <w:r w:rsidRPr="00671662">
              <w:t>1</w:t>
            </w:r>
            <w:r w:rsidR="00CA3E8A">
              <w:t>,</w:t>
            </w:r>
            <w:r w:rsidRPr="00671662">
              <w:t>592</w:t>
            </w:r>
          </w:p>
        </w:tc>
        <w:tc>
          <w:tcPr>
            <w:tcW w:w="2127" w:type="dxa"/>
            <w:shd w:val="clear" w:color="auto" w:fill="auto"/>
            <w:noWrap/>
            <w:vAlign w:val="bottom"/>
            <w:hideMark/>
          </w:tcPr>
          <w:p w14:paraId="1D7F9320" w14:textId="77777777" w:rsidR="00671662" w:rsidRPr="00671662" w:rsidRDefault="00671662" w:rsidP="00671662">
            <w:pPr>
              <w:pStyle w:val="Tablewriting"/>
              <w:jc w:val="center"/>
            </w:pPr>
            <w:r w:rsidRPr="00671662">
              <w:t>22%</w:t>
            </w:r>
          </w:p>
        </w:tc>
      </w:tr>
      <w:tr w:rsidR="00671662" w:rsidRPr="00671662" w14:paraId="249109DA" w14:textId="77777777" w:rsidTr="00671662">
        <w:trPr>
          <w:trHeight w:val="300"/>
        </w:trPr>
        <w:tc>
          <w:tcPr>
            <w:tcW w:w="2127" w:type="dxa"/>
            <w:shd w:val="clear" w:color="auto" w:fill="auto"/>
            <w:noWrap/>
            <w:vAlign w:val="bottom"/>
            <w:hideMark/>
          </w:tcPr>
          <w:p w14:paraId="138EF03A" w14:textId="77777777" w:rsidR="00671662" w:rsidRPr="00671662" w:rsidRDefault="00671662" w:rsidP="00671662">
            <w:pPr>
              <w:pStyle w:val="Tablewriting"/>
              <w:jc w:val="center"/>
            </w:pPr>
            <w:r w:rsidRPr="00671662">
              <w:t>2013Q1</w:t>
            </w:r>
          </w:p>
        </w:tc>
        <w:tc>
          <w:tcPr>
            <w:tcW w:w="1559" w:type="dxa"/>
            <w:shd w:val="clear" w:color="auto" w:fill="auto"/>
            <w:noWrap/>
            <w:vAlign w:val="bottom"/>
            <w:hideMark/>
          </w:tcPr>
          <w:p w14:paraId="6DA29691" w14:textId="77777777" w:rsidR="00671662" w:rsidRPr="00671662" w:rsidRDefault="00671662" w:rsidP="00671662">
            <w:pPr>
              <w:pStyle w:val="Tablewriting"/>
              <w:jc w:val="center"/>
            </w:pPr>
            <w:r w:rsidRPr="00671662">
              <w:t>222</w:t>
            </w:r>
          </w:p>
        </w:tc>
        <w:tc>
          <w:tcPr>
            <w:tcW w:w="1559" w:type="dxa"/>
            <w:shd w:val="clear" w:color="auto" w:fill="auto"/>
            <w:noWrap/>
            <w:vAlign w:val="bottom"/>
            <w:hideMark/>
          </w:tcPr>
          <w:p w14:paraId="11772D0B" w14:textId="6FBC72D0" w:rsidR="00671662" w:rsidRPr="00671662" w:rsidRDefault="00671662" w:rsidP="00671662">
            <w:pPr>
              <w:pStyle w:val="Tablewriting"/>
              <w:jc w:val="center"/>
            </w:pPr>
            <w:r w:rsidRPr="00671662">
              <w:t>1</w:t>
            </w:r>
            <w:r w:rsidR="00CA3E8A">
              <w:t>,</w:t>
            </w:r>
            <w:r w:rsidRPr="00671662">
              <w:t>665</w:t>
            </w:r>
          </w:p>
        </w:tc>
        <w:tc>
          <w:tcPr>
            <w:tcW w:w="1559" w:type="dxa"/>
            <w:shd w:val="clear" w:color="auto" w:fill="auto"/>
            <w:noWrap/>
            <w:vAlign w:val="bottom"/>
            <w:hideMark/>
          </w:tcPr>
          <w:p w14:paraId="2407B5EC" w14:textId="108E550C" w:rsidR="00671662" w:rsidRPr="00671662" w:rsidRDefault="00671662" w:rsidP="00671662">
            <w:pPr>
              <w:pStyle w:val="Tablewriting"/>
              <w:jc w:val="center"/>
            </w:pPr>
            <w:r w:rsidRPr="00671662">
              <w:t>1</w:t>
            </w:r>
            <w:r w:rsidR="00CA3E8A">
              <w:t>,</w:t>
            </w:r>
            <w:r w:rsidRPr="00671662">
              <w:t>887</w:t>
            </w:r>
          </w:p>
        </w:tc>
        <w:tc>
          <w:tcPr>
            <w:tcW w:w="2127" w:type="dxa"/>
            <w:shd w:val="clear" w:color="auto" w:fill="auto"/>
            <w:noWrap/>
            <w:vAlign w:val="bottom"/>
            <w:hideMark/>
          </w:tcPr>
          <w:p w14:paraId="56DAD7AE" w14:textId="77777777" w:rsidR="00671662" w:rsidRPr="00671662" w:rsidRDefault="00671662" w:rsidP="00671662">
            <w:pPr>
              <w:pStyle w:val="Tablewriting"/>
              <w:jc w:val="center"/>
            </w:pPr>
            <w:r w:rsidRPr="00671662">
              <w:t>12%</w:t>
            </w:r>
          </w:p>
        </w:tc>
      </w:tr>
    </w:tbl>
    <w:p w14:paraId="101785F8" w14:textId="04339626" w:rsidR="00671662" w:rsidRDefault="0091484A" w:rsidP="00A254C1">
      <w:pPr>
        <w:pStyle w:val="Notes"/>
      </w:pPr>
      <w:r>
        <w:t xml:space="preserve">Source: DUSC HSD Database, accessed August 2019. LBL = line-by-line. </w:t>
      </w:r>
    </w:p>
    <w:p w14:paraId="2ABCE95C" w14:textId="77777777" w:rsidR="001532EC" w:rsidRDefault="001532EC">
      <w:pPr>
        <w:spacing w:line="276" w:lineRule="auto"/>
      </w:pPr>
    </w:p>
    <w:p w14:paraId="2E0D9FE1" w14:textId="2139D4B4" w:rsidR="001532EC" w:rsidRPr="00ED633B" w:rsidRDefault="001532EC" w:rsidP="001532EC">
      <w:r>
        <w:t xml:space="preserve">Analysis for the period prior to July 2013 using an alternate method (counting authority approvals) is available in the </w:t>
      </w:r>
      <w:proofErr w:type="spellStart"/>
      <w:r>
        <w:t>omalizumab</w:t>
      </w:r>
      <w:proofErr w:type="spellEnd"/>
      <w:r>
        <w:t xml:space="preserve"> </w:t>
      </w:r>
      <w:hyperlink r:id="rId30" w:history="1">
        <w:r w:rsidRPr="00E67280">
          <w:rPr>
            <w:rStyle w:val="Hyperlink"/>
          </w:rPr>
          <w:t>Public Release Document</w:t>
        </w:r>
      </w:hyperlink>
      <w:r>
        <w:t xml:space="preserve"> from the June 2014 DUSC meeting.</w:t>
      </w:r>
    </w:p>
    <w:p w14:paraId="67E5FA9E" w14:textId="3F33D357" w:rsidR="00474BC7" w:rsidRDefault="00474BC7">
      <w:pPr>
        <w:spacing w:line="276" w:lineRule="auto"/>
        <w:rPr>
          <w:rFonts w:eastAsiaTheme="majorEastAsia" w:cstheme="majorBidi"/>
          <w:b/>
          <w:bCs/>
          <w:sz w:val="32"/>
          <w:szCs w:val="32"/>
        </w:rPr>
      </w:pPr>
      <w:r>
        <w:br w:type="page"/>
      </w:r>
    </w:p>
    <w:p w14:paraId="4F91A98A" w14:textId="4C4AAD44"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06E6E8C3" w:rsidR="006A44F5" w:rsidRDefault="00736041" w:rsidP="00CF5E22">
      <w:pPr>
        <w:pStyle w:val="Heading3"/>
      </w:pPr>
      <w:r w:rsidRPr="005E22C2">
        <w:t>Overall utilisation</w:t>
      </w:r>
    </w:p>
    <w:p w14:paraId="4DF3C259" w14:textId="0D0F6BE8" w:rsidR="003515AD" w:rsidRDefault="005745BA" w:rsidP="00A35800">
      <w:pPr>
        <w:rPr>
          <w:highlight w:val="yellow"/>
        </w:rPr>
      </w:pPr>
      <w:r>
        <w:rPr>
          <w:noProof/>
        </w:rPr>
        <w:drawing>
          <wp:inline distT="0" distB="0" distL="0" distR="0" wp14:anchorId="23AB6692" wp14:editId="620E244E">
            <wp:extent cx="5687695" cy="3706495"/>
            <wp:effectExtent l="0" t="0" r="8255" b="8255"/>
            <wp:docPr id="2" name="Chart 2" descr="Figure 1 show that the number of people supplied biologics for severe asthma increased each year. " title="Figure 1: Prevalent and initiating patients by indication and quarte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8885EBE" w14:textId="01C36B9C" w:rsidR="005745BA" w:rsidRPr="00DA0529" w:rsidRDefault="00DA0529" w:rsidP="00BF0842">
      <w:pPr>
        <w:pStyle w:val="Figuretitle"/>
      </w:pPr>
      <w:bookmarkStart w:id="7" w:name="Figure1"/>
      <w:r w:rsidRPr="00DA0529">
        <w:t>Figure 1</w:t>
      </w:r>
      <w:r w:rsidR="00BF0842" w:rsidRPr="00DA0529">
        <w:t xml:space="preserve">: </w:t>
      </w:r>
      <w:bookmarkEnd w:id="7"/>
      <w:r w:rsidR="005745BA" w:rsidRPr="00DA0529">
        <w:t>Prevalent and initiating patients by indication and quarter</w:t>
      </w:r>
      <w:r w:rsidR="00BF0842" w:rsidRPr="00DA0529">
        <w:t xml:space="preserve"> of supply</w:t>
      </w:r>
    </w:p>
    <w:p w14:paraId="050E6D32" w14:textId="5E0082D8" w:rsidR="00BF0842" w:rsidRPr="00363EE8" w:rsidRDefault="00F77E19" w:rsidP="00A254C1">
      <w:pPr>
        <w:pStyle w:val="Notes"/>
      </w:pPr>
      <w:r>
        <w:rPr>
          <w:snapToGrid w:val="0"/>
        </w:rPr>
        <w:t xml:space="preserve">Note: </w:t>
      </w:r>
      <w:r w:rsidR="008B4ADE" w:rsidRPr="008B4ADE">
        <w:rPr>
          <w:snapToGrid w:val="0"/>
        </w:rPr>
        <w:t>Initiators are people supplied their first PBS-subsidised prescription.</w:t>
      </w:r>
      <w:r w:rsidR="008B4ADE">
        <w:rPr>
          <w:snapToGrid w:val="0"/>
        </w:rPr>
        <w:t xml:space="preserve"> </w:t>
      </w:r>
      <w:r>
        <w:t xml:space="preserve">A </w:t>
      </w:r>
      <w:r w:rsidR="00BF0842">
        <w:t>look-back</w:t>
      </w:r>
      <w:r>
        <w:t xml:space="preserve"> period</w:t>
      </w:r>
      <w:r w:rsidR="00BF0842">
        <w:t xml:space="preserve"> to</w:t>
      </w:r>
      <w:r>
        <w:t xml:space="preserve"> the</w:t>
      </w:r>
      <w:r w:rsidR="00BF0842">
        <w:t xml:space="preserve"> </w:t>
      </w:r>
      <w:proofErr w:type="spellStart"/>
      <w:r w:rsidR="00BF0842">
        <w:t>omalizumab</w:t>
      </w:r>
      <w:proofErr w:type="spellEnd"/>
      <w:r w:rsidR="00BF0842">
        <w:t xml:space="preserve"> listing date (July 2011)</w:t>
      </w:r>
      <w:r>
        <w:t xml:space="preserve"> </w:t>
      </w:r>
      <w:proofErr w:type="gramStart"/>
      <w:r>
        <w:t>was used</w:t>
      </w:r>
      <w:proofErr w:type="gramEnd"/>
      <w:r>
        <w:t xml:space="preserve"> to identify first initiators</w:t>
      </w:r>
      <w:r w:rsidR="008B4ADE">
        <w:t xml:space="preserve">. </w:t>
      </w:r>
      <w:r w:rsidR="00BF0842">
        <w:t xml:space="preserve">Initiating </w:t>
      </w:r>
      <w:r w:rsidR="008B4ADE">
        <w:t>and prevalent by indication</w:t>
      </w:r>
      <w:proofErr w:type="gramStart"/>
      <w:r w:rsidR="008B4ADE">
        <w:t>;</w:t>
      </w:r>
      <w:proofErr w:type="gramEnd"/>
      <w:r w:rsidR="008B4ADE">
        <w:t xml:space="preserve"> </w:t>
      </w:r>
      <w:r w:rsidR="00BF0842">
        <w:t xml:space="preserve">patients may appear in both allergic and eosinophilic </w:t>
      </w:r>
      <w:r w:rsidR="008B4ADE">
        <w:t xml:space="preserve">categories. </w:t>
      </w:r>
    </w:p>
    <w:p w14:paraId="044C9D24" w14:textId="455A43F0" w:rsidR="008B4ADE" w:rsidRPr="008B4ADE" w:rsidRDefault="008B4ADE" w:rsidP="00A254C1">
      <w:pPr>
        <w:pStyle w:val="Notes"/>
        <w:rPr>
          <w:snapToGrid w:val="0"/>
        </w:rPr>
      </w:pPr>
      <w:r w:rsidRPr="008B4ADE">
        <w:rPr>
          <w:snapToGrid w:val="0"/>
        </w:rPr>
        <w:t xml:space="preserve">Source: PIN count, </w:t>
      </w:r>
      <w:r w:rsidR="00251037">
        <w:rPr>
          <w:snapToGrid w:val="0"/>
        </w:rPr>
        <w:t>PBS</w:t>
      </w:r>
      <w:r w:rsidRPr="008B4ADE">
        <w:rPr>
          <w:snapToGrid w:val="0"/>
        </w:rPr>
        <w:t xml:space="preserve"> supplied prescriptions database to 30 June 2019; extracted 30 July 2019.</w:t>
      </w:r>
    </w:p>
    <w:p w14:paraId="33D4E7A1" w14:textId="77777777" w:rsidR="00A254C1" w:rsidRDefault="00A254C1" w:rsidP="005F384F">
      <w:pPr>
        <w:pStyle w:val="Tabletitle"/>
      </w:pPr>
      <w:bookmarkStart w:id="8" w:name="Table6patients"/>
      <w:r>
        <w:br w:type="page"/>
      </w:r>
    </w:p>
    <w:p w14:paraId="2F14FEAE" w14:textId="281474E3" w:rsidR="005F384F" w:rsidRPr="00363EE8" w:rsidRDefault="0091484A" w:rsidP="005F384F">
      <w:pPr>
        <w:pStyle w:val="Tabletitle"/>
      </w:pPr>
      <w:r>
        <w:lastRenderedPageBreak/>
        <w:t>Table 6</w:t>
      </w:r>
      <w:bookmarkEnd w:id="8"/>
      <w:r w:rsidR="005F384F" w:rsidRPr="005D7754">
        <w:t>:</w:t>
      </w:r>
      <w:r w:rsidR="005F384F">
        <w:t xml:space="preserve"> Patients initiating and prevalent to indication by year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Patients initiating and prevalent to indication by year"/>
        <w:tblDescription w:val="Table 6 show that the number of people supplied biologics for severe asthma increased each year."/>
      </w:tblPr>
      <w:tblGrid>
        <w:gridCol w:w="1871"/>
        <w:gridCol w:w="1871"/>
        <w:gridCol w:w="1871"/>
        <w:gridCol w:w="1871"/>
        <w:gridCol w:w="1872"/>
      </w:tblGrid>
      <w:tr w:rsidR="005F384F" w:rsidRPr="00CA3E8A" w14:paraId="563BD298" w14:textId="77777777" w:rsidTr="00CA3E8A">
        <w:trPr>
          <w:trHeight w:val="300"/>
        </w:trPr>
        <w:tc>
          <w:tcPr>
            <w:tcW w:w="1871" w:type="dxa"/>
            <w:shd w:val="clear" w:color="auto" w:fill="BFBFBF" w:themeFill="background1" w:themeFillShade="BF"/>
            <w:noWrap/>
            <w:vAlign w:val="bottom"/>
          </w:tcPr>
          <w:p w14:paraId="537B2137" w14:textId="77777777" w:rsidR="005F384F" w:rsidRPr="00CA3E8A" w:rsidRDefault="005F384F" w:rsidP="00F05752">
            <w:pPr>
              <w:spacing w:after="0"/>
              <w:rPr>
                <w:rFonts w:ascii="Calibri" w:eastAsia="Times New Roman" w:hAnsi="Calibri" w:cs="Calibri"/>
                <w:b/>
                <w:sz w:val="20"/>
                <w:szCs w:val="20"/>
              </w:rPr>
            </w:pPr>
          </w:p>
        </w:tc>
        <w:tc>
          <w:tcPr>
            <w:tcW w:w="3742" w:type="dxa"/>
            <w:gridSpan w:val="2"/>
            <w:shd w:val="clear" w:color="auto" w:fill="BFBFBF" w:themeFill="background1" w:themeFillShade="BF"/>
            <w:noWrap/>
            <w:vAlign w:val="bottom"/>
          </w:tcPr>
          <w:p w14:paraId="35B62A2D" w14:textId="77777777" w:rsidR="005F384F" w:rsidRPr="00CA3E8A" w:rsidRDefault="005F384F" w:rsidP="00F05752">
            <w:pPr>
              <w:spacing w:after="0"/>
              <w:jc w:val="center"/>
              <w:rPr>
                <w:rFonts w:ascii="Calibri" w:eastAsia="Times New Roman" w:hAnsi="Calibri" w:cs="Calibri"/>
                <w:b/>
                <w:sz w:val="20"/>
                <w:szCs w:val="20"/>
              </w:rPr>
            </w:pPr>
            <w:r w:rsidRPr="00CA3E8A">
              <w:rPr>
                <w:rFonts w:ascii="Calibri" w:eastAsia="Times New Roman" w:hAnsi="Calibri" w:cs="Calibri"/>
                <w:b/>
                <w:sz w:val="20"/>
                <w:szCs w:val="20"/>
              </w:rPr>
              <w:t>Allergic Asthma</w:t>
            </w:r>
          </w:p>
        </w:tc>
        <w:tc>
          <w:tcPr>
            <w:tcW w:w="3743" w:type="dxa"/>
            <w:gridSpan w:val="2"/>
            <w:shd w:val="clear" w:color="auto" w:fill="BFBFBF" w:themeFill="background1" w:themeFillShade="BF"/>
            <w:noWrap/>
            <w:vAlign w:val="bottom"/>
          </w:tcPr>
          <w:p w14:paraId="287CC91B" w14:textId="77777777" w:rsidR="005F384F" w:rsidRPr="00CA3E8A" w:rsidRDefault="005F384F" w:rsidP="00F05752">
            <w:pPr>
              <w:spacing w:after="0"/>
              <w:jc w:val="center"/>
              <w:rPr>
                <w:rFonts w:ascii="Calibri" w:eastAsia="Times New Roman" w:hAnsi="Calibri" w:cs="Calibri"/>
                <w:b/>
                <w:sz w:val="20"/>
                <w:szCs w:val="20"/>
              </w:rPr>
            </w:pPr>
            <w:r w:rsidRPr="00CA3E8A">
              <w:rPr>
                <w:rFonts w:ascii="Calibri" w:eastAsia="Times New Roman" w:hAnsi="Calibri" w:cs="Calibri"/>
                <w:b/>
                <w:sz w:val="20"/>
                <w:szCs w:val="20"/>
              </w:rPr>
              <w:t>Eosinophilic Asthma</w:t>
            </w:r>
          </w:p>
        </w:tc>
      </w:tr>
      <w:tr w:rsidR="005F384F" w:rsidRPr="00CA3E8A" w14:paraId="218CE0E1" w14:textId="77777777" w:rsidTr="00CA3E8A">
        <w:trPr>
          <w:trHeight w:val="300"/>
        </w:trPr>
        <w:tc>
          <w:tcPr>
            <w:tcW w:w="1871" w:type="dxa"/>
            <w:shd w:val="clear" w:color="auto" w:fill="BFBFBF" w:themeFill="background1" w:themeFillShade="BF"/>
            <w:noWrap/>
            <w:vAlign w:val="bottom"/>
            <w:hideMark/>
          </w:tcPr>
          <w:p w14:paraId="500AFD7D" w14:textId="77777777" w:rsidR="005F384F" w:rsidRPr="00CA3E8A" w:rsidRDefault="005F384F" w:rsidP="00F05752">
            <w:pPr>
              <w:spacing w:after="0"/>
              <w:jc w:val="center"/>
              <w:rPr>
                <w:rFonts w:ascii="Calibri" w:eastAsia="Times New Roman" w:hAnsi="Calibri" w:cs="Calibri"/>
                <w:b/>
                <w:sz w:val="20"/>
                <w:szCs w:val="20"/>
              </w:rPr>
            </w:pPr>
            <w:r w:rsidRPr="00CA3E8A">
              <w:rPr>
                <w:rFonts w:ascii="Calibri" w:eastAsia="Times New Roman" w:hAnsi="Calibri" w:cs="Calibri"/>
                <w:b/>
                <w:sz w:val="20"/>
                <w:szCs w:val="20"/>
              </w:rPr>
              <w:t>Year</w:t>
            </w:r>
          </w:p>
        </w:tc>
        <w:tc>
          <w:tcPr>
            <w:tcW w:w="1871" w:type="dxa"/>
            <w:shd w:val="clear" w:color="auto" w:fill="BFBFBF" w:themeFill="background1" w:themeFillShade="BF"/>
            <w:noWrap/>
            <w:vAlign w:val="bottom"/>
            <w:hideMark/>
          </w:tcPr>
          <w:p w14:paraId="50AB904E" w14:textId="77777777" w:rsidR="005F384F" w:rsidRPr="00CA3E8A" w:rsidRDefault="005F384F" w:rsidP="00F05752">
            <w:pPr>
              <w:spacing w:after="0"/>
              <w:jc w:val="center"/>
              <w:rPr>
                <w:rFonts w:ascii="Calibri" w:eastAsia="Times New Roman" w:hAnsi="Calibri" w:cs="Calibri"/>
                <w:b/>
                <w:sz w:val="20"/>
                <w:szCs w:val="20"/>
              </w:rPr>
            </w:pPr>
            <w:r w:rsidRPr="00CA3E8A">
              <w:rPr>
                <w:rFonts w:ascii="Calibri" w:eastAsia="Times New Roman" w:hAnsi="Calibri" w:cs="Calibri"/>
                <w:b/>
                <w:sz w:val="20"/>
                <w:szCs w:val="20"/>
              </w:rPr>
              <w:t>Prevalent</w:t>
            </w:r>
          </w:p>
        </w:tc>
        <w:tc>
          <w:tcPr>
            <w:tcW w:w="1871" w:type="dxa"/>
            <w:shd w:val="clear" w:color="auto" w:fill="BFBFBF" w:themeFill="background1" w:themeFillShade="BF"/>
            <w:noWrap/>
            <w:vAlign w:val="bottom"/>
            <w:hideMark/>
          </w:tcPr>
          <w:p w14:paraId="60CBEFC1" w14:textId="77777777" w:rsidR="005F384F" w:rsidRPr="00CA3E8A" w:rsidRDefault="005F384F" w:rsidP="00F05752">
            <w:pPr>
              <w:spacing w:after="0"/>
              <w:jc w:val="center"/>
              <w:rPr>
                <w:rFonts w:ascii="Calibri" w:eastAsia="Times New Roman" w:hAnsi="Calibri" w:cs="Calibri"/>
                <w:b/>
                <w:sz w:val="20"/>
                <w:szCs w:val="20"/>
              </w:rPr>
            </w:pPr>
            <w:r w:rsidRPr="00CA3E8A">
              <w:rPr>
                <w:rFonts w:ascii="Calibri" w:eastAsia="Times New Roman" w:hAnsi="Calibri" w:cs="Calibri"/>
                <w:b/>
                <w:sz w:val="20"/>
                <w:szCs w:val="20"/>
              </w:rPr>
              <w:t>Initiating</w:t>
            </w:r>
          </w:p>
        </w:tc>
        <w:tc>
          <w:tcPr>
            <w:tcW w:w="1871" w:type="dxa"/>
            <w:shd w:val="clear" w:color="auto" w:fill="BFBFBF" w:themeFill="background1" w:themeFillShade="BF"/>
            <w:noWrap/>
            <w:vAlign w:val="bottom"/>
            <w:hideMark/>
          </w:tcPr>
          <w:p w14:paraId="0AB99CC7" w14:textId="77777777" w:rsidR="005F384F" w:rsidRPr="00CA3E8A" w:rsidRDefault="005F384F" w:rsidP="00F05752">
            <w:pPr>
              <w:spacing w:after="0"/>
              <w:jc w:val="center"/>
              <w:rPr>
                <w:rFonts w:ascii="Calibri" w:eastAsia="Times New Roman" w:hAnsi="Calibri" w:cs="Calibri"/>
                <w:b/>
                <w:sz w:val="20"/>
                <w:szCs w:val="20"/>
              </w:rPr>
            </w:pPr>
            <w:r w:rsidRPr="00CA3E8A">
              <w:rPr>
                <w:rFonts w:ascii="Calibri" w:eastAsia="Times New Roman" w:hAnsi="Calibri" w:cs="Calibri"/>
                <w:b/>
                <w:sz w:val="20"/>
                <w:szCs w:val="20"/>
              </w:rPr>
              <w:t>Prevalent</w:t>
            </w:r>
          </w:p>
        </w:tc>
        <w:tc>
          <w:tcPr>
            <w:tcW w:w="1872" w:type="dxa"/>
            <w:shd w:val="clear" w:color="auto" w:fill="BFBFBF" w:themeFill="background1" w:themeFillShade="BF"/>
            <w:noWrap/>
            <w:vAlign w:val="bottom"/>
            <w:hideMark/>
          </w:tcPr>
          <w:p w14:paraId="0DC033B8" w14:textId="77777777" w:rsidR="005F384F" w:rsidRPr="00CA3E8A" w:rsidRDefault="005F384F" w:rsidP="00F05752">
            <w:pPr>
              <w:spacing w:after="0"/>
              <w:jc w:val="center"/>
              <w:rPr>
                <w:rFonts w:ascii="Calibri" w:eastAsia="Times New Roman" w:hAnsi="Calibri" w:cs="Calibri"/>
                <w:b/>
                <w:sz w:val="20"/>
                <w:szCs w:val="20"/>
              </w:rPr>
            </w:pPr>
            <w:r w:rsidRPr="00CA3E8A">
              <w:rPr>
                <w:rFonts w:ascii="Calibri" w:eastAsia="Times New Roman" w:hAnsi="Calibri" w:cs="Calibri"/>
                <w:b/>
                <w:sz w:val="20"/>
                <w:szCs w:val="20"/>
              </w:rPr>
              <w:t>Initiating</w:t>
            </w:r>
          </w:p>
        </w:tc>
      </w:tr>
      <w:tr w:rsidR="005F384F" w:rsidRPr="00CA3E8A" w14:paraId="59279DA4" w14:textId="77777777" w:rsidTr="00CA3E8A">
        <w:trPr>
          <w:trHeight w:val="300"/>
        </w:trPr>
        <w:tc>
          <w:tcPr>
            <w:tcW w:w="1871" w:type="dxa"/>
            <w:shd w:val="clear" w:color="auto" w:fill="auto"/>
            <w:noWrap/>
            <w:vAlign w:val="bottom"/>
            <w:hideMark/>
          </w:tcPr>
          <w:p w14:paraId="349BD2B5"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2011</w:t>
            </w:r>
          </w:p>
        </w:tc>
        <w:tc>
          <w:tcPr>
            <w:tcW w:w="1871" w:type="dxa"/>
            <w:shd w:val="clear" w:color="auto" w:fill="auto"/>
            <w:noWrap/>
            <w:vAlign w:val="bottom"/>
            <w:hideMark/>
          </w:tcPr>
          <w:p w14:paraId="58EF41B8"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55</w:t>
            </w:r>
          </w:p>
        </w:tc>
        <w:tc>
          <w:tcPr>
            <w:tcW w:w="1871" w:type="dxa"/>
            <w:shd w:val="clear" w:color="auto" w:fill="auto"/>
            <w:noWrap/>
            <w:vAlign w:val="bottom"/>
            <w:hideMark/>
          </w:tcPr>
          <w:p w14:paraId="6DB9131F"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55</w:t>
            </w:r>
          </w:p>
        </w:tc>
        <w:tc>
          <w:tcPr>
            <w:tcW w:w="1871" w:type="dxa"/>
            <w:shd w:val="clear" w:color="auto" w:fill="FFFFFF" w:themeFill="background1"/>
            <w:noWrap/>
            <w:vAlign w:val="bottom"/>
            <w:hideMark/>
          </w:tcPr>
          <w:p w14:paraId="701F7FF3" w14:textId="77777777" w:rsidR="005F384F" w:rsidRPr="00CA3E8A" w:rsidRDefault="005F384F" w:rsidP="00F05752">
            <w:pPr>
              <w:spacing w:after="0"/>
              <w:jc w:val="center"/>
              <w:rPr>
                <w:rFonts w:ascii="Times New Roman" w:eastAsia="Times New Roman" w:hAnsi="Times New Roman" w:cs="Times New Roman"/>
                <w:sz w:val="20"/>
                <w:szCs w:val="20"/>
              </w:rPr>
            </w:pPr>
          </w:p>
        </w:tc>
        <w:tc>
          <w:tcPr>
            <w:tcW w:w="1872" w:type="dxa"/>
            <w:shd w:val="clear" w:color="auto" w:fill="FFFFFF" w:themeFill="background1"/>
            <w:noWrap/>
            <w:vAlign w:val="bottom"/>
            <w:hideMark/>
          </w:tcPr>
          <w:p w14:paraId="037C7881" w14:textId="77777777" w:rsidR="005F384F" w:rsidRPr="00CA3E8A" w:rsidRDefault="005F384F" w:rsidP="00F05752">
            <w:pPr>
              <w:spacing w:after="0"/>
              <w:jc w:val="center"/>
              <w:rPr>
                <w:rFonts w:ascii="Times New Roman" w:eastAsia="Times New Roman" w:hAnsi="Times New Roman" w:cs="Times New Roman"/>
                <w:sz w:val="20"/>
                <w:szCs w:val="20"/>
              </w:rPr>
            </w:pPr>
          </w:p>
        </w:tc>
      </w:tr>
      <w:tr w:rsidR="005F384F" w:rsidRPr="00CA3E8A" w14:paraId="65405B2E" w14:textId="77777777" w:rsidTr="00CA3E8A">
        <w:trPr>
          <w:trHeight w:val="300"/>
        </w:trPr>
        <w:tc>
          <w:tcPr>
            <w:tcW w:w="1871" w:type="dxa"/>
            <w:shd w:val="clear" w:color="auto" w:fill="auto"/>
            <w:noWrap/>
            <w:vAlign w:val="bottom"/>
            <w:hideMark/>
          </w:tcPr>
          <w:p w14:paraId="5FD77FEE"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2012</w:t>
            </w:r>
          </w:p>
        </w:tc>
        <w:tc>
          <w:tcPr>
            <w:tcW w:w="1871" w:type="dxa"/>
            <w:shd w:val="clear" w:color="auto" w:fill="auto"/>
            <w:noWrap/>
            <w:vAlign w:val="bottom"/>
            <w:hideMark/>
          </w:tcPr>
          <w:p w14:paraId="6953C81E"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162</w:t>
            </w:r>
          </w:p>
        </w:tc>
        <w:tc>
          <w:tcPr>
            <w:tcW w:w="1871" w:type="dxa"/>
            <w:shd w:val="clear" w:color="auto" w:fill="auto"/>
            <w:noWrap/>
            <w:vAlign w:val="bottom"/>
            <w:hideMark/>
          </w:tcPr>
          <w:p w14:paraId="4E310E00"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110</w:t>
            </w:r>
          </w:p>
        </w:tc>
        <w:tc>
          <w:tcPr>
            <w:tcW w:w="1871" w:type="dxa"/>
            <w:shd w:val="clear" w:color="auto" w:fill="FFFFFF" w:themeFill="background1"/>
            <w:noWrap/>
            <w:vAlign w:val="bottom"/>
            <w:hideMark/>
          </w:tcPr>
          <w:p w14:paraId="4AF2ED71" w14:textId="77777777" w:rsidR="005F384F" w:rsidRPr="00CA3E8A" w:rsidRDefault="005F384F" w:rsidP="00F05752">
            <w:pPr>
              <w:spacing w:after="0"/>
              <w:jc w:val="center"/>
              <w:rPr>
                <w:rFonts w:ascii="Times New Roman" w:eastAsia="Times New Roman" w:hAnsi="Times New Roman" w:cs="Times New Roman"/>
                <w:sz w:val="20"/>
                <w:szCs w:val="20"/>
              </w:rPr>
            </w:pPr>
          </w:p>
        </w:tc>
        <w:tc>
          <w:tcPr>
            <w:tcW w:w="1872" w:type="dxa"/>
            <w:shd w:val="clear" w:color="auto" w:fill="FFFFFF" w:themeFill="background1"/>
            <w:noWrap/>
            <w:vAlign w:val="bottom"/>
            <w:hideMark/>
          </w:tcPr>
          <w:p w14:paraId="648BE0EA" w14:textId="77777777" w:rsidR="005F384F" w:rsidRPr="00CA3E8A" w:rsidRDefault="005F384F" w:rsidP="00F05752">
            <w:pPr>
              <w:spacing w:after="0"/>
              <w:jc w:val="center"/>
              <w:rPr>
                <w:rFonts w:ascii="Times New Roman" w:eastAsia="Times New Roman" w:hAnsi="Times New Roman" w:cs="Times New Roman"/>
                <w:sz w:val="20"/>
                <w:szCs w:val="20"/>
              </w:rPr>
            </w:pPr>
          </w:p>
        </w:tc>
      </w:tr>
      <w:tr w:rsidR="005F384F" w:rsidRPr="00CA3E8A" w14:paraId="6D9F9962" w14:textId="77777777" w:rsidTr="00CA3E8A">
        <w:trPr>
          <w:trHeight w:val="300"/>
        </w:trPr>
        <w:tc>
          <w:tcPr>
            <w:tcW w:w="1871" w:type="dxa"/>
            <w:shd w:val="clear" w:color="auto" w:fill="auto"/>
            <w:noWrap/>
            <w:vAlign w:val="bottom"/>
            <w:hideMark/>
          </w:tcPr>
          <w:p w14:paraId="70F6DC4F"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2013</w:t>
            </w:r>
          </w:p>
        </w:tc>
        <w:tc>
          <w:tcPr>
            <w:tcW w:w="1871" w:type="dxa"/>
            <w:shd w:val="clear" w:color="auto" w:fill="auto"/>
            <w:noWrap/>
            <w:vAlign w:val="bottom"/>
            <w:hideMark/>
          </w:tcPr>
          <w:p w14:paraId="496EB26B"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318</w:t>
            </w:r>
          </w:p>
        </w:tc>
        <w:tc>
          <w:tcPr>
            <w:tcW w:w="1871" w:type="dxa"/>
            <w:shd w:val="clear" w:color="auto" w:fill="auto"/>
            <w:noWrap/>
            <w:vAlign w:val="bottom"/>
            <w:hideMark/>
          </w:tcPr>
          <w:p w14:paraId="36BF861E"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192</w:t>
            </w:r>
          </w:p>
        </w:tc>
        <w:tc>
          <w:tcPr>
            <w:tcW w:w="1871" w:type="dxa"/>
            <w:shd w:val="clear" w:color="auto" w:fill="FFFFFF" w:themeFill="background1"/>
            <w:noWrap/>
            <w:vAlign w:val="bottom"/>
            <w:hideMark/>
          </w:tcPr>
          <w:p w14:paraId="6C88FF2B" w14:textId="77777777" w:rsidR="005F384F" w:rsidRPr="00CA3E8A" w:rsidRDefault="005F384F" w:rsidP="00F05752">
            <w:pPr>
              <w:spacing w:after="0"/>
              <w:jc w:val="center"/>
              <w:rPr>
                <w:rFonts w:ascii="Times New Roman" w:eastAsia="Times New Roman" w:hAnsi="Times New Roman" w:cs="Times New Roman"/>
                <w:sz w:val="20"/>
                <w:szCs w:val="20"/>
              </w:rPr>
            </w:pPr>
          </w:p>
        </w:tc>
        <w:tc>
          <w:tcPr>
            <w:tcW w:w="1872" w:type="dxa"/>
            <w:shd w:val="clear" w:color="auto" w:fill="FFFFFF" w:themeFill="background1"/>
            <w:noWrap/>
            <w:vAlign w:val="bottom"/>
            <w:hideMark/>
          </w:tcPr>
          <w:p w14:paraId="5EB1FF64" w14:textId="77777777" w:rsidR="005F384F" w:rsidRPr="00CA3E8A" w:rsidRDefault="005F384F" w:rsidP="00F05752">
            <w:pPr>
              <w:spacing w:after="0"/>
              <w:jc w:val="center"/>
              <w:rPr>
                <w:rFonts w:ascii="Times New Roman" w:eastAsia="Times New Roman" w:hAnsi="Times New Roman" w:cs="Times New Roman"/>
                <w:sz w:val="20"/>
                <w:szCs w:val="20"/>
              </w:rPr>
            </w:pPr>
          </w:p>
        </w:tc>
      </w:tr>
      <w:tr w:rsidR="005F384F" w:rsidRPr="00CA3E8A" w14:paraId="670D6FBB" w14:textId="77777777" w:rsidTr="00CA3E8A">
        <w:trPr>
          <w:trHeight w:val="300"/>
        </w:trPr>
        <w:tc>
          <w:tcPr>
            <w:tcW w:w="1871" w:type="dxa"/>
            <w:shd w:val="clear" w:color="auto" w:fill="auto"/>
            <w:noWrap/>
            <w:vAlign w:val="bottom"/>
            <w:hideMark/>
          </w:tcPr>
          <w:p w14:paraId="1ECC40AF"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2014</w:t>
            </w:r>
          </w:p>
        </w:tc>
        <w:tc>
          <w:tcPr>
            <w:tcW w:w="1871" w:type="dxa"/>
            <w:shd w:val="clear" w:color="auto" w:fill="auto"/>
            <w:noWrap/>
            <w:vAlign w:val="bottom"/>
            <w:hideMark/>
          </w:tcPr>
          <w:p w14:paraId="1CDA4BA0"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435</w:t>
            </w:r>
          </w:p>
        </w:tc>
        <w:tc>
          <w:tcPr>
            <w:tcW w:w="1871" w:type="dxa"/>
            <w:shd w:val="clear" w:color="auto" w:fill="auto"/>
            <w:noWrap/>
            <w:vAlign w:val="bottom"/>
            <w:hideMark/>
          </w:tcPr>
          <w:p w14:paraId="7D93E8A0"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164</w:t>
            </w:r>
          </w:p>
        </w:tc>
        <w:tc>
          <w:tcPr>
            <w:tcW w:w="1871" w:type="dxa"/>
            <w:shd w:val="clear" w:color="auto" w:fill="FFFFFF" w:themeFill="background1"/>
            <w:noWrap/>
            <w:vAlign w:val="bottom"/>
            <w:hideMark/>
          </w:tcPr>
          <w:p w14:paraId="2E504879" w14:textId="77777777" w:rsidR="005F384F" w:rsidRPr="00CA3E8A" w:rsidRDefault="005F384F" w:rsidP="00F05752">
            <w:pPr>
              <w:spacing w:after="0"/>
              <w:jc w:val="center"/>
              <w:rPr>
                <w:rFonts w:ascii="Times New Roman" w:eastAsia="Times New Roman" w:hAnsi="Times New Roman" w:cs="Times New Roman"/>
                <w:sz w:val="20"/>
                <w:szCs w:val="20"/>
              </w:rPr>
            </w:pPr>
          </w:p>
        </w:tc>
        <w:tc>
          <w:tcPr>
            <w:tcW w:w="1872" w:type="dxa"/>
            <w:shd w:val="clear" w:color="auto" w:fill="FFFFFF" w:themeFill="background1"/>
            <w:noWrap/>
            <w:vAlign w:val="bottom"/>
            <w:hideMark/>
          </w:tcPr>
          <w:p w14:paraId="58F917A8" w14:textId="77777777" w:rsidR="005F384F" w:rsidRPr="00CA3E8A" w:rsidRDefault="005F384F" w:rsidP="00F05752">
            <w:pPr>
              <w:spacing w:after="0"/>
              <w:jc w:val="center"/>
              <w:rPr>
                <w:rFonts w:ascii="Times New Roman" w:eastAsia="Times New Roman" w:hAnsi="Times New Roman" w:cs="Times New Roman"/>
                <w:sz w:val="20"/>
                <w:szCs w:val="20"/>
              </w:rPr>
            </w:pPr>
          </w:p>
        </w:tc>
      </w:tr>
      <w:tr w:rsidR="005F384F" w:rsidRPr="00CA3E8A" w14:paraId="1A80A39A" w14:textId="77777777" w:rsidTr="00CA3E8A">
        <w:trPr>
          <w:trHeight w:val="300"/>
        </w:trPr>
        <w:tc>
          <w:tcPr>
            <w:tcW w:w="1871" w:type="dxa"/>
            <w:shd w:val="clear" w:color="auto" w:fill="auto"/>
            <w:noWrap/>
            <w:vAlign w:val="bottom"/>
            <w:hideMark/>
          </w:tcPr>
          <w:p w14:paraId="098441C3"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2015</w:t>
            </w:r>
          </w:p>
        </w:tc>
        <w:tc>
          <w:tcPr>
            <w:tcW w:w="1871" w:type="dxa"/>
            <w:shd w:val="clear" w:color="auto" w:fill="auto"/>
            <w:noWrap/>
            <w:vAlign w:val="bottom"/>
            <w:hideMark/>
          </w:tcPr>
          <w:p w14:paraId="31DB8DBD"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519</w:t>
            </w:r>
          </w:p>
        </w:tc>
        <w:tc>
          <w:tcPr>
            <w:tcW w:w="1871" w:type="dxa"/>
            <w:shd w:val="clear" w:color="auto" w:fill="auto"/>
            <w:noWrap/>
            <w:vAlign w:val="bottom"/>
            <w:hideMark/>
          </w:tcPr>
          <w:p w14:paraId="4ED95278"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173</w:t>
            </w:r>
          </w:p>
        </w:tc>
        <w:tc>
          <w:tcPr>
            <w:tcW w:w="1871" w:type="dxa"/>
            <w:shd w:val="clear" w:color="auto" w:fill="FFFFFF" w:themeFill="background1"/>
            <w:noWrap/>
            <w:vAlign w:val="bottom"/>
            <w:hideMark/>
          </w:tcPr>
          <w:p w14:paraId="023D9206" w14:textId="77777777" w:rsidR="005F384F" w:rsidRPr="00CA3E8A" w:rsidRDefault="005F384F" w:rsidP="00F05752">
            <w:pPr>
              <w:spacing w:after="0"/>
              <w:jc w:val="center"/>
              <w:rPr>
                <w:rFonts w:ascii="Times New Roman" w:eastAsia="Times New Roman" w:hAnsi="Times New Roman" w:cs="Times New Roman"/>
                <w:sz w:val="20"/>
                <w:szCs w:val="20"/>
              </w:rPr>
            </w:pPr>
          </w:p>
        </w:tc>
        <w:tc>
          <w:tcPr>
            <w:tcW w:w="1872" w:type="dxa"/>
            <w:shd w:val="clear" w:color="auto" w:fill="FFFFFF" w:themeFill="background1"/>
            <w:noWrap/>
            <w:vAlign w:val="bottom"/>
            <w:hideMark/>
          </w:tcPr>
          <w:p w14:paraId="0F17AE26" w14:textId="77777777" w:rsidR="005F384F" w:rsidRPr="00CA3E8A" w:rsidRDefault="005F384F" w:rsidP="00F05752">
            <w:pPr>
              <w:spacing w:after="0"/>
              <w:jc w:val="center"/>
              <w:rPr>
                <w:rFonts w:ascii="Times New Roman" w:eastAsia="Times New Roman" w:hAnsi="Times New Roman" w:cs="Times New Roman"/>
                <w:sz w:val="20"/>
                <w:szCs w:val="20"/>
              </w:rPr>
            </w:pPr>
          </w:p>
        </w:tc>
      </w:tr>
      <w:tr w:rsidR="005F384F" w:rsidRPr="00CA3E8A" w14:paraId="7D963FB2" w14:textId="77777777" w:rsidTr="00CA3E8A">
        <w:trPr>
          <w:trHeight w:val="300"/>
        </w:trPr>
        <w:tc>
          <w:tcPr>
            <w:tcW w:w="1871" w:type="dxa"/>
            <w:shd w:val="clear" w:color="auto" w:fill="auto"/>
            <w:noWrap/>
            <w:vAlign w:val="bottom"/>
            <w:hideMark/>
          </w:tcPr>
          <w:p w14:paraId="5411137A"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2016</w:t>
            </w:r>
          </w:p>
        </w:tc>
        <w:tc>
          <w:tcPr>
            <w:tcW w:w="1871" w:type="dxa"/>
            <w:shd w:val="clear" w:color="auto" w:fill="auto"/>
            <w:noWrap/>
            <w:vAlign w:val="bottom"/>
            <w:hideMark/>
          </w:tcPr>
          <w:p w14:paraId="2E250291"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693</w:t>
            </w:r>
          </w:p>
        </w:tc>
        <w:tc>
          <w:tcPr>
            <w:tcW w:w="1871" w:type="dxa"/>
            <w:shd w:val="clear" w:color="auto" w:fill="auto"/>
            <w:noWrap/>
            <w:vAlign w:val="bottom"/>
            <w:hideMark/>
          </w:tcPr>
          <w:p w14:paraId="5CE046F2"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224</w:t>
            </w:r>
          </w:p>
        </w:tc>
        <w:tc>
          <w:tcPr>
            <w:tcW w:w="1871" w:type="dxa"/>
            <w:shd w:val="clear" w:color="auto" w:fill="FFFFFF" w:themeFill="background1"/>
            <w:noWrap/>
            <w:vAlign w:val="bottom"/>
            <w:hideMark/>
          </w:tcPr>
          <w:p w14:paraId="230E9CB0" w14:textId="77777777" w:rsidR="005F384F" w:rsidRPr="00CA3E8A" w:rsidRDefault="005F384F" w:rsidP="00F05752">
            <w:pPr>
              <w:spacing w:after="0"/>
              <w:jc w:val="center"/>
              <w:rPr>
                <w:rFonts w:ascii="Times New Roman" w:eastAsia="Times New Roman" w:hAnsi="Times New Roman" w:cs="Times New Roman"/>
                <w:sz w:val="20"/>
                <w:szCs w:val="20"/>
              </w:rPr>
            </w:pPr>
          </w:p>
        </w:tc>
        <w:tc>
          <w:tcPr>
            <w:tcW w:w="1872" w:type="dxa"/>
            <w:shd w:val="clear" w:color="auto" w:fill="FFFFFF" w:themeFill="background1"/>
            <w:noWrap/>
            <w:vAlign w:val="bottom"/>
            <w:hideMark/>
          </w:tcPr>
          <w:p w14:paraId="029DDF90" w14:textId="77777777" w:rsidR="005F384F" w:rsidRPr="00CA3E8A" w:rsidRDefault="005F384F" w:rsidP="00F05752">
            <w:pPr>
              <w:spacing w:after="0"/>
              <w:jc w:val="center"/>
              <w:rPr>
                <w:rFonts w:ascii="Times New Roman" w:eastAsia="Times New Roman" w:hAnsi="Times New Roman" w:cs="Times New Roman"/>
                <w:sz w:val="20"/>
                <w:szCs w:val="20"/>
              </w:rPr>
            </w:pPr>
          </w:p>
        </w:tc>
      </w:tr>
      <w:tr w:rsidR="005F384F" w:rsidRPr="00CA3E8A" w14:paraId="30BD5CA3" w14:textId="77777777" w:rsidTr="00F05752">
        <w:trPr>
          <w:trHeight w:val="300"/>
        </w:trPr>
        <w:tc>
          <w:tcPr>
            <w:tcW w:w="1871" w:type="dxa"/>
            <w:shd w:val="clear" w:color="auto" w:fill="auto"/>
            <w:noWrap/>
            <w:vAlign w:val="bottom"/>
            <w:hideMark/>
          </w:tcPr>
          <w:p w14:paraId="08168C33"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2017</w:t>
            </w:r>
          </w:p>
        </w:tc>
        <w:tc>
          <w:tcPr>
            <w:tcW w:w="1871" w:type="dxa"/>
            <w:shd w:val="clear" w:color="auto" w:fill="auto"/>
            <w:noWrap/>
            <w:vAlign w:val="bottom"/>
            <w:hideMark/>
          </w:tcPr>
          <w:p w14:paraId="640D46BC"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936</w:t>
            </w:r>
          </w:p>
        </w:tc>
        <w:tc>
          <w:tcPr>
            <w:tcW w:w="1871" w:type="dxa"/>
            <w:shd w:val="clear" w:color="auto" w:fill="auto"/>
            <w:noWrap/>
            <w:vAlign w:val="bottom"/>
            <w:hideMark/>
          </w:tcPr>
          <w:p w14:paraId="6C5F7BB4"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340</w:t>
            </w:r>
          </w:p>
        </w:tc>
        <w:tc>
          <w:tcPr>
            <w:tcW w:w="1871" w:type="dxa"/>
            <w:shd w:val="clear" w:color="auto" w:fill="auto"/>
            <w:noWrap/>
            <w:vAlign w:val="bottom"/>
            <w:hideMark/>
          </w:tcPr>
          <w:p w14:paraId="26198754"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604</w:t>
            </w:r>
          </w:p>
        </w:tc>
        <w:tc>
          <w:tcPr>
            <w:tcW w:w="1872" w:type="dxa"/>
            <w:shd w:val="clear" w:color="auto" w:fill="auto"/>
            <w:noWrap/>
            <w:vAlign w:val="bottom"/>
            <w:hideMark/>
          </w:tcPr>
          <w:p w14:paraId="3C695A63"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604</w:t>
            </w:r>
          </w:p>
        </w:tc>
      </w:tr>
      <w:tr w:rsidR="005F384F" w:rsidRPr="00CA3E8A" w14:paraId="19372AB5" w14:textId="77777777" w:rsidTr="00F05752">
        <w:trPr>
          <w:trHeight w:val="300"/>
        </w:trPr>
        <w:tc>
          <w:tcPr>
            <w:tcW w:w="1871" w:type="dxa"/>
            <w:shd w:val="clear" w:color="auto" w:fill="auto"/>
            <w:noWrap/>
            <w:vAlign w:val="bottom"/>
            <w:hideMark/>
          </w:tcPr>
          <w:p w14:paraId="6B97966E"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2018</w:t>
            </w:r>
          </w:p>
        </w:tc>
        <w:tc>
          <w:tcPr>
            <w:tcW w:w="1871" w:type="dxa"/>
            <w:shd w:val="clear" w:color="auto" w:fill="auto"/>
            <w:noWrap/>
            <w:vAlign w:val="bottom"/>
            <w:hideMark/>
          </w:tcPr>
          <w:p w14:paraId="3172E329" w14:textId="4F28ACC0"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w:t>
            </w:r>
            <w:r w:rsidR="00CA3E8A">
              <w:rPr>
                <w:rFonts w:ascii="Calibri" w:eastAsia="Times New Roman" w:hAnsi="Calibri" w:cs="Calibri"/>
                <w:sz w:val="20"/>
                <w:szCs w:val="20"/>
              </w:rPr>
              <w:t>,</w:t>
            </w:r>
            <w:r w:rsidRPr="00CA3E8A">
              <w:rPr>
                <w:rFonts w:ascii="Calibri" w:eastAsia="Times New Roman" w:hAnsi="Calibri" w:cs="Calibri"/>
                <w:sz w:val="20"/>
                <w:szCs w:val="20"/>
              </w:rPr>
              <w:t>250</w:t>
            </w:r>
          </w:p>
        </w:tc>
        <w:tc>
          <w:tcPr>
            <w:tcW w:w="1871" w:type="dxa"/>
            <w:shd w:val="clear" w:color="auto" w:fill="auto"/>
            <w:noWrap/>
            <w:vAlign w:val="bottom"/>
            <w:hideMark/>
          </w:tcPr>
          <w:p w14:paraId="1F8176A3"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444</w:t>
            </w:r>
          </w:p>
        </w:tc>
        <w:tc>
          <w:tcPr>
            <w:tcW w:w="1871" w:type="dxa"/>
            <w:shd w:val="clear" w:color="auto" w:fill="auto"/>
            <w:noWrap/>
            <w:vAlign w:val="bottom"/>
            <w:hideMark/>
          </w:tcPr>
          <w:p w14:paraId="44B0FD6B" w14:textId="2464E2DF"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w:t>
            </w:r>
            <w:r w:rsidR="00CA3E8A">
              <w:rPr>
                <w:rFonts w:ascii="Calibri" w:eastAsia="Times New Roman" w:hAnsi="Calibri" w:cs="Calibri"/>
                <w:sz w:val="20"/>
                <w:szCs w:val="20"/>
              </w:rPr>
              <w:t>,</w:t>
            </w:r>
            <w:r w:rsidRPr="00CA3E8A">
              <w:rPr>
                <w:rFonts w:ascii="Calibri" w:eastAsia="Times New Roman" w:hAnsi="Calibri" w:cs="Calibri"/>
                <w:sz w:val="20"/>
                <w:szCs w:val="20"/>
              </w:rPr>
              <w:t>222</w:t>
            </w:r>
          </w:p>
        </w:tc>
        <w:tc>
          <w:tcPr>
            <w:tcW w:w="1872" w:type="dxa"/>
            <w:shd w:val="clear" w:color="auto" w:fill="auto"/>
            <w:noWrap/>
            <w:vAlign w:val="bottom"/>
            <w:hideMark/>
          </w:tcPr>
          <w:p w14:paraId="54F6C02C"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665</w:t>
            </w:r>
          </w:p>
        </w:tc>
      </w:tr>
      <w:tr w:rsidR="005F384F" w:rsidRPr="00CA3E8A" w14:paraId="5B36A795" w14:textId="77777777" w:rsidTr="00F05752">
        <w:trPr>
          <w:trHeight w:val="300"/>
        </w:trPr>
        <w:tc>
          <w:tcPr>
            <w:tcW w:w="1871" w:type="dxa"/>
            <w:shd w:val="clear" w:color="auto" w:fill="auto"/>
            <w:noWrap/>
            <w:vAlign w:val="bottom"/>
            <w:hideMark/>
          </w:tcPr>
          <w:p w14:paraId="746E299B"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2019*</w:t>
            </w:r>
          </w:p>
        </w:tc>
        <w:tc>
          <w:tcPr>
            <w:tcW w:w="1871" w:type="dxa"/>
            <w:shd w:val="clear" w:color="auto" w:fill="auto"/>
            <w:noWrap/>
            <w:vAlign w:val="bottom"/>
            <w:hideMark/>
          </w:tcPr>
          <w:p w14:paraId="413F26EE" w14:textId="61BE5095"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w:t>
            </w:r>
            <w:r w:rsidR="00CA3E8A">
              <w:rPr>
                <w:rFonts w:ascii="Calibri" w:eastAsia="Times New Roman" w:hAnsi="Calibri" w:cs="Calibri"/>
                <w:sz w:val="20"/>
                <w:szCs w:val="20"/>
              </w:rPr>
              <w:t>,</w:t>
            </w:r>
            <w:r w:rsidRPr="00CA3E8A">
              <w:rPr>
                <w:rFonts w:ascii="Calibri" w:eastAsia="Times New Roman" w:hAnsi="Calibri" w:cs="Calibri"/>
                <w:sz w:val="20"/>
                <w:szCs w:val="20"/>
              </w:rPr>
              <w:t>226</w:t>
            </w:r>
          </w:p>
        </w:tc>
        <w:tc>
          <w:tcPr>
            <w:tcW w:w="1871" w:type="dxa"/>
            <w:shd w:val="clear" w:color="auto" w:fill="auto"/>
            <w:noWrap/>
            <w:vAlign w:val="bottom"/>
            <w:hideMark/>
          </w:tcPr>
          <w:p w14:paraId="2EC5499C"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229</w:t>
            </w:r>
          </w:p>
        </w:tc>
        <w:tc>
          <w:tcPr>
            <w:tcW w:w="1871" w:type="dxa"/>
            <w:shd w:val="clear" w:color="auto" w:fill="auto"/>
            <w:noWrap/>
            <w:vAlign w:val="bottom"/>
            <w:hideMark/>
          </w:tcPr>
          <w:p w14:paraId="61A5B4A5" w14:textId="278E5D3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1</w:t>
            </w:r>
            <w:r w:rsidR="00CA3E8A">
              <w:rPr>
                <w:rFonts w:ascii="Calibri" w:eastAsia="Times New Roman" w:hAnsi="Calibri" w:cs="Calibri"/>
                <w:sz w:val="20"/>
                <w:szCs w:val="20"/>
              </w:rPr>
              <w:t>,</w:t>
            </w:r>
            <w:r w:rsidRPr="00CA3E8A">
              <w:rPr>
                <w:rFonts w:ascii="Calibri" w:eastAsia="Times New Roman" w:hAnsi="Calibri" w:cs="Calibri"/>
                <w:sz w:val="20"/>
                <w:szCs w:val="20"/>
              </w:rPr>
              <w:t>942</w:t>
            </w:r>
          </w:p>
        </w:tc>
        <w:tc>
          <w:tcPr>
            <w:tcW w:w="1872" w:type="dxa"/>
            <w:shd w:val="clear" w:color="auto" w:fill="auto"/>
            <w:noWrap/>
            <w:vAlign w:val="bottom"/>
            <w:hideMark/>
          </w:tcPr>
          <w:p w14:paraId="2D100904" w14:textId="77777777" w:rsidR="005F384F" w:rsidRPr="00CA3E8A" w:rsidRDefault="005F384F" w:rsidP="00F05752">
            <w:pPr>
              <w:spacing w:after="0"/>
              <w:jc w:val="center"/>
              <w:rPr>
                <w:rFonts w:ascii="Calibri" w:eastAsia="Times New Roman" w:hAnsi="Calibri" w:cs="Calibri"/>
                <w:sz w:val="20"/>
                <w:szCs w:val="20"/>
              </w:rPr>
            </w:pPr>
            <w:r w:rsidRPr="00CA3E8A">
              <w:rPr>
                <w:rFonts w:ascii="Calibri" w:eastAsia="Times New Roman" w:hAnsi="Calibri" w:cs="Calibri"/>
                <w:sz w:val="20"/>
                <w:szCs w:val="20"/>
              </w:rPr>
              <w:t>830</w:t>
            </w:r>
          </w:p>
        </w:tc>
      </w:tr>
    </w:tbl>
    <w:p w14:paraId="33F8C188" w14:textId="574A9DEC" w:rsidR="00587741" w:rsidRDefault="0065746D" w:rsidP="00A254C1">
      <w:pPr>
        <w:pStyle w:val="Notes"/>
      </w:pPr>
      <w:r>
        <w:t xml:space="preserve">Note: </w:t>
      </w:r>
      <w:r w:rsidR="005F384F">
        <w:t>*2019 Year to 30 June inclusive</w:t>
      </w:r>
      <w:r w:rsidR="00587741">
        <w:t xml:space="preserve">. </w:t>
      </w:r>
      <w:r w:rsidR="005F384F">
        <w:t xml:space="preserve">Initiator look-back to </w:t>
      </w:r>
      <w:proofErr w:type="spellStart"/>
      <w:r w:rsidR="005F384F">
        <w:t>omalizumab</w:t>
      </w:r>
      <w:proofErr w:type="spellEnd"/>
      <w:r w:rsidR="005F384F">
        <w:t xml:space="preserve"> listing date (July 2011)</w:t>
      </w:r>
      <w:r w:rsidR="00587741">
        <w:t xml:space="preserve">. </w:t>
      </w:r>
      <w:r w:rsidR="005F384F">
        <w:t>Initiating and prevalent by indication – patients may appear in both allergic and eosinophilic</w:t>
      </w:r>
      <w:r w:rsidR="00587741">
        <w:t>.</w:t>
      </w:r>
    </w:p>
    <w:p w14:paraId="0BCD6E14" w14:textId="5FE0FB8D" w:rsidR="005F384F" w:rsidRDefault="00587741" w:rsidP="00A254C1">
      <w:pPr>
        <w:pStyle w:val="Notes"/>
      </w:pPr>
      <w:r w:rsidRPr="00587741">
        <w:t xml:space="preserve">Source: PIN count, </w:t>
      </w:r>
      <w:r w:rsidR="00251037">
        <w:rPr>
          <w:snapToGrid w:val="0"/>
        </w:rPr>
        <w:t>PBS</w:t>
      </w:r>
      <w:r w:rsidRPr="00587741">
        <w:t xml:space="preserve"> supplied prescriptions database to 30 Jun</w:t>
      </w:r>
      <w:r>
        <w:t>e 2019; extracted 30 July 2019.</w:t>
      </w:r>
      <w:r w:rsidR="005F384F">
        <w:t xml:space="preserve"> </w:t>
      </w:r>
    </w:p>
    <w:p w14:paraId="4F3FA95B" w14:textId="77777777" w:rsidR="00573506" w:rsidRPr="00573506" w:rsidRDefault="00573506" w:rsidP="00573506">
      <w:pPr>
        <w:pStyle w:val="TableFooter"/>
      </w:pPr>
    </w:p>
    <w:p w14:paraId="5DC09022" w14:textId="2D6FE84B" w:rsidR="0086247B" w:rsidRDefault="005F384F" w:rsidP="005745BA">
      <w:r w:rsidRPr="005F384F">
        <w:t>T</w:t>
      </w:r>
      <w:r w:rsidR="005514F1">
        <w:t>able 6 and Figure 1 show that t</w:t>
      </w:r>
      <w:r w:rsidRPr="005F384F">
        <w:t xml:space="preserve">he number of </w:t>
      </w:r>
      <w:r w:rsidR="0086247B">
        <w:t>people</w:t>
      </w:r>
      <w:r w:rsidRPr="005F384F">
        <w:t xml:space="preserve"> supplied biologics for severe asthma increased each year. In 2018, approximately the same number of </w:t>
      </w:r>
      <w:r w:rsidR="0086247B">
        <w:t>people</w:t>
      </w:r>
      <w:r w:rsidRPr="005F384F">
        <w:t xml:space="preserve"> were treated </w:t>
      </w:r>
      <w:r w:rsidR="0086247B">
        <w:t xml:space="preserve">with biologics </w:t>
      </w:r>
      <w:r w:rsidRPr="005F384F">
        <w:t xml:space="preserve">for allergic asthma (n=1,250) and eosinophilic asthma (n=1,222). In the first half of 2019, more patients </w:t>
      </w:r>
      <w:r>
        <w:t>were</w:t>
      </w:r>
      <w:r w:rsidRPr="005F384F">
        <w:t xml:space="preserve"> supplied biologics to treat severe eosinophilic asthma (n=1,942) compared with sev</w:t>
      </w:r>
      <w:r w:rsidR="0086247B">
        <w:t xml:space="preserve">ere allergic asthma (n=1,226). </w:t>
      </w:r>
      <w:r w:rsidR="005514F1">
        <w:t xml:space="preserve">There has been a high rate of growth in the number of treated prevalent severe eosinophilic asthma patients since the listing of </w:t>
      </w:r>
      <w:proofErr w:type="spellStart"/>
      <w:r w:rsidR="005514F1">
        <w:t>mepolizumab</w:t>
      </w:r>
      <w:proofErr w:type="spellEnd"/>
      <w:r w:rsidR="005514F1">
        <w:t xml:space="preserve">, with the rate of growth further increasing with the listing of </w:t>
      </w:r>
      <w:proofErr w:type="spellStart"/>
      <w:r w:rsidR="005514F1">
        <w:t>benralizumab</w:t>
      </w:r>
      <w:proofErr w:type="spellEnd"/>
      <w:r w:rsidR="005514F1">
        <w:t xml:space="preserve"> in December 2018. </w:t>
      </w:r>
    </w:p>
    <w:p w14:paraId="57FE443F" w14:textId="77777777" w:rsidR="005514F1" w:rsidRPr="00E20525" w:rsidRDefault="005514F1" w:rsidP="005514F1">
      <w:r>
        <w:t xml:space="preserve">Figure </w:t>
      </w:r>
      <w:proofErr w:type="gramStart"/>
      <w:r>
        <w:t>2</w:t>
      </w:r>
      <w:proofErr w:type="gramEnd"/>
      <w:r>
        <w:t xml:space="preserve"> shows that t</w:t>
      </w:r>
      <w:r w:rsidRPr="00E20525">
        <w:t xml:space="preserve">he number of patients supplied </w:t>
      </w:r>
      <w:proofErr w:type="spellStart"/>
      <w:r w:rsidRPr="00E20525">
        <w:t>omalizumab</w:t>
      </w:r>
      <w:proofErr w:type="spellEnd"/>
      <w:r w:rsidRPr="00E20525">
        <w:t xml:space="preserve"> for severe allergic asthma has steadily increased since its listing in 2011. The rate of growth in patients supplied </w:t>
      </w:r>
      <w:proofErr w:type="spellStart"/>
      <w:r w:rsidRPr="00E20525">
        <w:t>mepolizumab</w:t>
      </w:r>
      <w:proofErr w:type="spellEnd"/>
      <w:r w:rsidRPr="00E20525">
        <w:t xml:space="preserve"> and </w:t>
      </w:r>
      <w:proofErr w:type="spellStart"/>
      <w:r w:rsidRPr="00E20525">
        <w:t>benralizumab</w:t>
      </w:r>
      <w:proofErr w:type="spellEnd"/>
      <w:r w:rsidRPr="00E20525">
        <w:t xml:space="preserve"> was much faster than the </w:t>
      </w:r>
      <w:proofErr w:type="spellStart"/>
      <w:r w:rsidRPr="00E20525">
        <w:t>omalizumab</w:t>
      </w:r>
      <w:proofErr w:type="spellEnd"/>
      <w:r w:rsidRPr="00E20525">
        <w:t xml:space="preserve"> uptake. The PBS listing of </w:t>
      </w:r>
      <w:proofErr w:type="spellStart"/>
      <w:r w:rsidRPr="00E20525">
        <w:t>mepolizumab</w:t>
      </w:r>
      <w:proofErr w:type="spellEnd"/>
      <w:r w:rsidRPr="00E20525">
        <w:t xml:space="preserve"> did not appear to affect the number of patients supplied </w:t>
      </w:r>
      <w:proofErr w:type="spellStart"/>
      <w:r w:rsidRPr="00E20525">
        <w:t>omalizumab</w:t>
      </w:r>
      <w:proofErr w:type="spellEnd"/>
      <w:r w:rsidRPr="00E20525">
        <w:t xml:space="preserve">. While the listing of </w:t>
      </w:r>
      <w:proofErr w:type="spellStart"/>
      <w:r w:rsidRPr="00E20525">
        <w:t>benralizumab</w:t>
      </w:r>
      <w:proofErr w:type="spellEnd"/>
      <w:r w:rsidRPr="00E20525">
        <w:t xml:space="preserve"> similarly did not appear to affect the number of patients supplied </w:t>
      </w:r>
      <w:proofErr w:type="spellStart"/>
      <w:r w:rsidRPr="00E20525">
        <w:t>omalizumab</w:t>
      </w:r>
      <w:proofErr w:type="spellEnd"/>
      <w:r w:rsidRPr="00E20525">
        <w:t xml:space="preserve">, the rate of growth in </w:t>
      </w:r>
      <w:proofErr w:type="spellStart"/>
      <w:r w:rsidRPr="00E20525">
        <w:t>mepolizumab</w:t>
      </w:r>
      <w:proofErr w:type="spellEnd"/>
      <w:r w:rsidRPr="00E20525">
        <w:t xml:space="preserve"> patient numbers appears to have reduced slightly since the listing of </w:t>
      </w:r>
      <w:proofErr w:type="spellStart"/>
      <w:r w:rsidRPr="00E20525">
        <w:t>benralizumab</w:t>
      </w:r>
      <w:proofErr w:type="spellEnd"/>
      <w:r w:rsidRPr="00E20525">
        <w:t xml:space="preserve">. </w:t>
      </w:r>
    </w:p>
    <w:p w14:paraId="30BFF6F8" w14:textId="77777777" w:rsidR="005D7754" w:rsidRPr="0086247B" w:rsidRDefault="005D7754" w:rsidP="005745BA"/>
    <w:p w14:paraId="5C9AB93D" w14:textId="2EB50920" w:rsidR="003515AD" w:rsidRDefault="00E95723" w:rsidP="00A35800">
      <w:pPr>
        <w:rPr>
          <w:highlight w:val="yellow"/>
        </w:rPr>
      </w:pPr>
      <w:r>
        <w:rPr>
          <w:noProof/>
        </w:rPr>
        <w:lastRenderedPageBreak/>
        <w:drawing>
          <wp:inline distT="0" distB="0" distL="0" distR="0" wp14:anchorId="722BEB83" wp14:editId="5393AA9D">
            <wp:extent cx="5687695" cy="3974400"/>
            <wp:effectExtent l="0" t="0" r="8255" b="7620"/>
            <wp:docPr id="4" name="Chart 4" descr="Figure 2 shows that the number of patients supplied omalizumab for severe allergic asthma has steadily increased since its listing in 2011. The rate of growth in patients supplied mepolizumab and benralizumab was much faster than the omalizumab uptake. " title="Figure 2: Prevalent and initiating patients by drug and quarte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2EA3BEC" w14:textId="13779350" w:rsidR="00BF0842" w:rsidRPr="00DA0529" w:rsidRDefault="00BF0842" w:rsidP="00BF0842">
      <w:pPr>
        <w:pStyle w:val="Figuretitle"/>
      </w:pPr>
      <w:bookmarkStart w:id="9" w:name="Figure2patientdrug"/>
      <w:r w:rsidRPr="00DA0529">
        <w:t xml:space="preserve">Figure </w:t>
      </w:r>
      <w:r w:rsidR="00DA0529" w:rsidRPr="00DA0529">
        <w:t>2</w:t>
      </w:r>
      <w:bookmarkEnd w:id="9"/>
      <w:r w:rsidRPr="00DA0529">
        <w:t>: Prevalent and initiating patients by drug and quarter of supply</w:t>
      </w:r>
    </w:p>
    <w:p w14:paraId="79DC77F9" w14:textId="4C479E60" w:rsidR="008B4ADE" w:rsidRPr="00363EE8" w:rsidRDefault="0065746D" w:rsidP="00A254C1">
      <w:pPr>
        <w:pStyle w:val="Notes"/>
      </w:pPr>
      <w:r>
        <w:rPr>
          <w:snapToGrid w:val="0"/>
        </w:rPr>
        <w:t xml:space="preserve">Note: </w:t>
      </w:r>
      <w:r w:rsidR="008B4ADE" w:rsidRPr="008B4ADE">
        <w:rPr>
          <w:snapToGrid w:val="0"/>
        </w:rPr>
        <w:t>Initiators are people supplied their first PBS-subsidised prescription.</w:t>
      </w:r>
      <w:r w:rsidR="008B4ADE">
        <w:rPr>
          <w:snapToGrid w:val="0"/>
        </w:rPr>
        <w:t xml:space="preserve"> </w:t>
      </w:r>
      <w:r w:rsidR="008B4ADE">
        <w:t xml:space="preserve">Initiator look-back to </w:t>
      </w:r>
      <w:proofErr w:type="spellStart"/>
      <w:r w:rsidR="008B4ADE">
        <w:t>omalizumab</w:t>
      </w:r>
      <w:proofErr w:type="spellEnd"/>
      <w:r w:rsidR="008B4ADE">
        <w:t xml:space="preserve"> listing date (July 2011). Initiating and prevalent by indication</w:t>
      </w:r>
      <w:proofErr w:type="gramStart"/>
      <w:r w:rsidR="008B4ADE">
        <w:t>;</w:t>
      </w:r>
      <w:proofErr w:type="gramEnd"/>
      <w:r w:rsidR="008B4ADE">
        <w:t xml:space="preserve"> patients may appear in both allergic and eosinophilic categories. </w:t>
      </w:r>
    </w:p>
    <w:p w14:paraId="19F391BB" w14:textId="526BC920" w:rsidR="008B4ADE" w:rsidRPr="008B4ADE" w:rsidRDefault="008B4ADE" w:rsidP="00A254C1">
      <w:pPr>
        <w:pStyle w:val="Notes"/>
        <w:rPr>
          <w:snapToGrid w:val="0"/>
        </w:rPr>
      </w:pPr>
      <w:r w:rsidRPr="008B4ADE">
        <w:rPr>
          <w:snapToGrid w:val="0"/>
        </w:rPr>
        <w:t xml:space="preserve">Source: PIN count, </w:t>
      </w:r>
      <w:r w:rsidR="00251037">
        <w:rPr>
          <w:snapToGrid w:val="0"/>
        </w:rPr>
        <w:t>PBS</w:t>
      </w:r>
      <w:r w:rsidRPr="008B4ADE">
        <w:rPr>
          <w:snapToGrid w:val="0"/>
        </w:rPr>
        <w:t xml:space="preserve"> supplied prescriptions database to 30 June 2019; extracted 30 July 2019.</w:t>
      </w:r>
    </w:p>
    <w:p w14:paraId="31613E31" w14:textId="5F03E217" w:rsidR="00F85E02" w:rsidRDefault="005D224A" w:rsidP="00A35800">
      <w:pPr>
        <w:rPr>
          <w:highlight w:val="yellow"/>
        </w:rPr>
      </w:pPr>
      <w:r>
        <w:rPr>
          <w:noProof/>
        </w:rPr>
        <w:drawing>
          <wp:inline distT="0" distB="0" distL="0" distR="0" wp14:anchorId="33056AFE" wp14:editId="6305208D">
            <wp:extent cx="5687695" cy="2771775"/>
            <wp:effectExtent l="0" t="0" r="8255" b="9525"/>
            <wp:docPr id="3" name="Chart 3" descr="In the most recent quarter of available data (2019Q2), prescriptions dispensed for eosinophilic asthma exceeded prescriptions dispensed for allergic asthma for the first time " title="Figure 3: Prescriptions supplied for biologics for severe allergic and eosinophilic asthma  "/>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80C01B0" w14:textId="393D60DC" w:rsidR="00F85E02" w:rsidRPr="00DA0529" w:rsidRDefault="00DA0529" w:rsidP="00DB531B">
      <w:pPr>
        <w:pStyle w:val="Figuretitle"/>
      </w:pPr>
      <w:bookmarkStart w:id="10" w:name="Figure3prescription"/>
      <w:r w:rsidRPr="00DA0529">
        <w:t xml:space="preserve">Figure </w:t>
      </w:r>
      <w:bookmarkEnd w:id="10"/>
      <w:r w:rsidRPr="00DA0529">
        <w:t>3</w:t>
      </w:r>
      <w:r w:rsidR="00DB531B" w:rsidRPr="00DA0529">
        <w:t>: Prescriptions supplied for</w:t>
      </w:r>
      <w:r>
        <w:t xml:space="preserve"> biologics for</w:t>
      </w:r>
      <w:r w:rsidR="00DB531B" w:rsidRPr="00DA0529">
        <w:t xml:space="preserve"> </w:t>
      </w:r>
      <w:r>
        <w:t xml:space="preserve">severe </w:t>
      </w:r>
      <w:r w:rsidR="00DB531B" w:rsidRPr="00DA0529">
        <w:t xml:space="preserve">allergic and eosinophilic asthma  </w:t>
      </w:r>
    </w:p>
    <w:p w14:paraId="20850C06" w14:textId="54D35DF4" w:rsidR="00795104" w:rsidRDefault="008B4ADE" w:rsidP="00957343">
      <w:pPr>
        <w:pStyle w:val="Notes"/>
        <w:rPr>
          <w:snapToGrid w:val="0"/>
        </w:rPr>
      </w:pPr>
      <w:r w:rsidRPr="008B4ADE">
        <w:rPr>
          <w:snapToGrid w:val="0"/>
        </w:rPr>
        <w:t>S</w:t>
      </w:r>
      <w:r>
        <w:rPr>
          <w:snapToGrid w:val="0"/>
        </w:rPr>
        <w:t xml:space="preserve">ource: </w:t>
      </w:r>
      <w:r w:rsidR="00251037">
        <w:rPr>
          <w:snapToGrid w:val="0"/>
        </w:rPr>
        <w:t>PBS</w:t>
      </w:r>
      <w:r w:rsidRPr="008B4ADE">
        <w:rPr>
          <w:snapToGrid w:val="0"/>
        </w:rPr>
        <w:t xml:space="preserve"> supplied prescriptions database to 30 June 2019; extracted 30 July 2019.</w:t>
      </w:r>
    </w:p>
    <w:p w14:paraId="624D45F5" w14:textId="06E83122" w:rsidR="00F85E02" w:rsidRPr="00EA643C" w:rsidRDefault="00795104" w:rsidP="00957343">
      <w:pPr>
        <w:rPr>
          <w:b/>
          <w:i/>
        </w:rPr>
      </w:pPr>
      <w:r>
        <w:lastRenderedPageBreak/>
        <w:t xml:space="preserve">In the most recent quarter of available data (2019Q2), prescriptions dispensed for eosinophilic asthma exceeded prescriptions dispensed for allergic asthma for the first time (Figure 3). </w:t>
      </w:r>
      <w:r w:rsidR="00333C7F">
        <w:t xml:space="preserve">In considering prescription data, it </w:t>
      </w:r>
      <w:proofErr w:type="gramStart"/>
      <w:r w:rsidR="00333C7F">
        <w:t>should be noted</w:t>
      </w:r>
      <w:proofErr w:type="gramEnd"/>
      <w:r w:rsidR="00333C7F">
        <w:t xml:space="preserve"> that </w:t>
      </w:r>
      <w:proofErr w:type="spellStart"/>
      <w:r w:rsidR="00333C7F">
        <w:t>omalizumab</w:t>
      </w:r>
      <w:proofErr w:type="spellEnd"/>
      <w:r w:rsidR="00333C7F">
        <w:t xml:space="preserve"> is dosed every two or four weeks (depending on weight and baseline </w:t>
      </w:r>
      <w:proofErr w:type="spellStart"/>
      <w:r w:rsidR="00333C7F">
        <w:t>IgE</w:t>
      </w:r>
      <w:proofErr w:type="spellEnd"/>
      <w:r w:rsidR="00333C7F">
        <w:t xml:space="preserve">), </w:t>
      </w:r>
      <w:proofErr w:type="spellStart"/>
      <w:r w:rsidR="00333C7F">
        <w:t>mepolizumab</w:t>
      </w:r>
      <w:proofErr w:type="spellEnd"/>
      <w:r w:rsidR="00333C7F">
        <w:t xml:space="preserve"> is given every four weeks and </w:t>
      </w:r>
      <w:proofErr w:type="spellStart"/>
      <w:r w:rsidR="00333C7F">
        <w:t>benralizumab</w:t>
      </w:r>
      <w:proofErr w:type="spellEnd"/>
      <w:r w:rsidR="00333C7F">
        <w:t xml:space="preserve"> is given every four weeks for the first three doses and then every eight weeks thereafter. </w:t>
      </w:r>
    </w:p>
    <w:p w14:paraId="0ADB5837" w14:textId="19676E75" w:rsidR="00DB531B" w:rsidRDefault="00DB531B" w:rsidP="00A35800">
      <w:pPr>
        <w:rPr>
          <w:highlight w:val="yellow"/>
        </w:rPr>
      </w:pPr>
      <w:r>
        <w:rPr>
          <w:noProof/>
        </w:rPr>
        <w:drawing>
          <wp:inline distT="0" distB="0" distL="0" distR="0" wp14:anchorId="782DEA11" wp14:editId="56BEA10E">
            <wp:extent cx="5687695" cy="3419475"/>
            <wp:effectExtent l="0" t="0" r="8255" b="9525"/>
            <wp:docPr id="1" name="Chart 1" title="Figure 4: Prescriptions supplied for severe asthma biologic medicin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51F5A42" w14:textId="740B4662" w:rsidR="005D224A" w:rsidRPr="00DA0529" w:rsidRDefault="00DA0529" w:rsidP="005D224A">
      <w:pPr>
        <w:pStyle w:val="Figuretitle"/>
      </w:pPr>
      <w:bookmarkStart w:id="11" w:name="Figure4prescriptionDrug"/>
      <w:r w:rsidRPr="00DA0529">
        <w:t>Figure 4</w:t>
      </w:r>
      <w:bookmarkEnd w:id="11"/>
      <w:r w:rsidR="005D224A" w:rsidRPr="00DA0529">
        <w:t xml:space="preserve">: Prescriptions supplied for severe asthma biologic medicines  </w:t>
      </w:r>
    </w:p>
    <w:p w14:paraId="3005379A" w14:textId="37BCA846" w:rsidR="005D224A" w:rsidRDefault="008B4ADE" w:rsidP="00A254C1">
      <w:pPr>
        <w:pStyle w:val="Notes"/>
        <w:rPr>
          <w:highlight w:val="yellow"/>
        </w:rPr>
      </w:pPr>
      <w:r w:rsidRPr="008B4ADE">
        <w:rPr>
          <w:snapToGrid w:val="0"/>
        </w:rPr>
        <w:t>S</w:t>
      </w:r>
      <w:r>
        <w:rPr>
          <w:snapToGrid w:val="0"/>
        </w:rPr>
        <w:t xml:space="preserve">ource: </w:t>
      </w:r>
      <w:r w:rsidR="00251037">
        <w:rPr>
          <w:snapToGrid w:val="0"/>
        </w:rPr>
        <w:t>PBS</w:t>
      </w:r>
      <w:r w:rsidRPr="008B4ADE">
        <w:rPr>
          <w:snapToGrid w:val="0"/>
        </w:rPr>
        <w:t xml:space="preserve"> supplied prescriptions database to 30 June 2019; extracted 30 July 2019.</w:t>
      </w:r>
    </w:p>
    <w:p w14:paraId="09F9D349" w14:textId="012E4F5D" w:rsidR="00736041" w:rsidRPr="005E22C2" w:rsidRDefault="00A73193" w:rsidP="00CF5E22">
      <w:pPr>
        <w:pStyle w:val="Heading3"/>
      </w:pPr>
      <w:r>
        <w:t xml:space="preserve">Sequence and switching </w:t>
      </w:r>
      <w:r w:rsidR="001B5D37" w:rsidRPr="005E22C2">
        <w:t>analys</w:t>
      </w:r>
      <w:r w:rsidR="00CE7591">
        <w:t>e</w:t>
      </w:r>
      <w:r w:rsidR="001B5D37" w:rsidRPr="005E22C2">
        <w:t>s</w:t>
      </w:r>
    </w:p>
    <w:p w14:paraId="02673F3D" w14:textId="00474130" w:rsidR="0035319A" w:rsidRPr="0084490F" w:rsidRDefault="0084490F" w:rsidP="00A35800">
      <w:r w:rsidRPr="0084490F">
        <w:t>The majority of patients (</w:t>
      </w:r>
      <w:r w:rsidR="00E85161">
        <w:t>n=</w:t>
      </w:r>
      <w:r w:rsidRPr="0084490F">
        <w:t xml:space="preserve">3,400) have been supplied one of the three severe asthma biologics. </w:t>
      </w:r>
      <w:r>
        <w:t xml:space="preserve">The number of patients who have switched once </w:t>
      </w:r>
      <w:r w:rsidR="00E85161">
        <w:t xml:space="preserve">(n=343) </w:t>
      </w:r>
      <w:r>
        <w:t>was one-tenth the number supplied one medicine.</w:t>
      </w:r>
      <w:r w:rsidR="00E85161">
        <w:t xml:space="preserve"> Of the patients who switched once, over 70% (n=246) switched from a medicine for allergic asthma to one for eosinophilic asthma or vice-versa. </w:t>
      </w:r>
      <w:r>
        <w:t xml:space="preserve">Fewer than 30 patients have tried all three medicines. </w:t>
      </w:r>
    </w:p>
    <w:p w14:paraId="7D38E9BD" w14:textId="77777777" w:rsidR="00A254C1" w:rsidRDefault="00A254C1" w:rsidP="006E76F4">
      <w:pPr>
        <w:pStyle w:val="Tabletitle"/>
      </w:pPr>
      <w:bookmarkStart w:id="12" w:name="Table7switching"/>
      <w:r>
        <w:br w:type="page"/>
      </w:r>
    </w:p>
    <w:p w14:paraId="7A087DFC" w14:textId="2A363917" w:rsidR="00AD5FC8" w:rsidRDefault="00511CD1" w:rsidP="006E76F4">
      <w:pPr>
        <w:pStyle w:val="Tabletitle"/>
        <w:rPr>
          <w:highlight w:val="yellow"/>
        </w:rPr>
      </w:pPr>
      <w:r w:rsidRPr="00511CD1">
        <w:lastRenderedPageBreak/>
        <w:t xml:space="preserve">Table </w:t>
      </w:r>
      <w:r w:rsidR="0089465A">
        <w:t>7</w:t>
      </w:r>
      <w:r w:rsidR="00AD5FC8" w:rsidRPr="00511CD1">
        <w:t>:</w:t>
      </w:r>
      <w:r w:rsidR="00AD5FC8">
        <w:t xml:space="preserve"> </w:t>
      </w:r>
      <w:bookmarkEnd w:id="12"/>
      <w:r w:rsidR="00AD5FC8" w:rsidRPr="0035319A">
        <w:t xml:space="preserve">Drug </w:t>
      </w:r>
      <w:r w:rsidR="00AD5FC8">
        <w:t>initiation</w:t>
      </w:r>
      <w:r w:rsidR="00AD5FC8" w:rsidRPr="0035319A">
        <w:t xml:space="preserve"> sequence</w:t>
      </w:r>
    </w:p>
    <w:tbl>
      <w:tblPr>
        <w:tblW w:w="5900" w:type="dxa"/>
        <w:tblInd w:w="93" w:type="dxa"/>
        <w:tblLook w:val="04A0" w:firstRow="1" w:lastRow="0" w:firstColumn="1" w:lastColumn="0" w:noHBand="0" w:noVBand="1"/>
        <w:tblCaption w:val="Sequence and switching analyses"/>
        <w:tblDescription w:val="The majority of patients (n=3,400) have been supplied one of the three severe asthma biologics. The number of patients who have switched once (n=343) was one-tenth the number supplied one medicine. Of the patients who switched once, over 70% (n=246) switched from a medicine for allergic asthma to one for eosinophilic asthma or vice-versa. Fewer than 30 patients have tried all three medicines. "/>
      </w:tblPr>
      <w:tblGrid>
        <w:gridCol w:w="4864"/>
        <w:gridCol w:w="1036"/>
      </w:tblGrid>
      <w:tr w:rsidR="00AD5FC8" w:rsidRPr="00CA3E8A" w14:paraId="7570DCA1" w14:textId="77777777" w:rsidTr="00CA3E8A">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A0F449C" w14:textId="25355EB5" w:rsidR="00AD5FC8" w:rsidRPr="00CA3E8A" w:rsidRDefault="00AD5FC8" w:rsidP="0035319A">
            <w:pPr>
              <w:pStyle w:val="Tableheading"/>
              <w:rPr>
                <w:sz w:val="20"/>
                <w:szCs w:val="20"/>
              </w:rPr>
            </w:pPr>
            <w:r w:rsidRPr="00CA3E8A">
              <w:rPr>
                <w:sz w:val="20"/>
                <w:szCs w:val="20"/>
              </w:rPr>
              <w:t>Sequence</w:t>
            </w:r>
          </w:p>
        </w:tc>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6C7F6E6" w14:textId="77777777" w:rsidR="00AD5FC8" w:rsidRPr="00CA3E8A" w:rsidRDefault="00AD5FC8" w:rsidP="0035319A">
            <w:pPr>
              <w:pStyle w:val="Tableheading"/>
              <w:rPr>
                <w:sz w:val="20"/>
                <w:szCs w:val="20"/>
              </w:rPr>
            </w:pPr>
            <w:r w:rsidRPr="00CA3E8A">
              <w:rPr>
                <w:sz w:val="20"/>
                <w:szCs w:val="20"/>
              </w:rPr>
              <w:t>Patients</w:t>
            </w:r>
          </w:p>
        </w:tc>
      </w:tr>
      <w:tr w:rsidR="00AD5FC8" w:rsidRPr="0035319A" w14:paraId="5D1B3D2B"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12B0" w14:textId="77777777" w:rsidR="00AD5FC8" w:rsidRPr="0035319A" w:rsidRDefault="00AD5FC8" w:rsidP="0035319A">
            <w:pPr>
              <w:pStyle w:val="Tablewriting"/>
            </w:pPr>
            <w:r w:rsidRPr="0035319A">
              <w:t>OMALIZUMAB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A9B4" w14:textId="1E9338F1" w:rsidR="00AD5FC8" w:rsidRPr="0035319A" w:rsidRDefault="00AD5FC8" w:rsidP="0035319A">
            <w:pPr>
              <w:pStyle w:val="Tablewriting"/>
              <w:jc w:val="right"/>
            </w:pPr>
            <w:r w:rsidRPr="0035319A">
              <w:t xml:space="preserve">1,665 </w:t>
            </w:r>
          </w:p>
        </w:tc>
      </w:tr>
      <w:tr w:rsidR="00AD5FC8" w:rsidRPr="0035319A" w14:paraId="3C2A80CD"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67FEC" w14:textId="77777777" w:rsidR="00AD5FC8" w:rsidRPr="0035319A" w:rsidRDefault="00AD5FC8" w:rsidP="0035319A">
            <w:pPr>
              <w:pStyle w:val="Tablewriting"/>
            </w:pPr>
            <w:r w:rsidRPr="0035319A">
              <w:t>MEPOLIZUMAB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670C1" w14:textId="69C862F2" w:rsidR="00AD5FC8" w:rsidRPr="0035319A" w:rsidRDefault="00AD5FC8" w:rsidP="0035319A">
            <w:pPr>
              <w:pStyle w:val="Tablewriting"/>
              <w:jc w:val="right"/>
            </w:pPr>
            <w:r w:rsidRPr="0035319A">
              <w:t xml:space="preserve">1,203 </w:t>
            </w:r>
          </w:p>
        </w:tc>
      </w:tr>
      <w:tr w:rsidR="00AD5FC8" w:rsidRPr="0035319A" w14:paraId="0B2CC13B"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FE61" w14:textId="77777777" w:rsidR="00AD5FC8" w:rsidRPr="0035319A" w:rsidRDefault="00AD5FC8" w:rsidP="0035319A">
            <w:pPr>
              <w:pStyle w:val="Tablewriting"/>
            </w:pPr>
            <w:r w:rsidRPr="0035319A">
              <w:t>BENRALIZUMAB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ABB23" w14:textId="206741D4" w:rsidR="00AD5FC8" w:rsidRPr="0035319A" w:rsidRDefault="00AD5FC8" w:rsidP="00957343">
            <w:pPr>
              <w:pStyle w:val="Tablewriting"/>
              <w:jc w:val="right"/>
            </w:pPr>
            <w:r w:rsidRPr="0035319A">
              <w:t xml:space="preserve"> 532 </w:t>
            </w:r>
          </w:p>
        </w:tc>
      </w:tr>
      <w:tr w:rsidR="00AD5FC8" w:rsidRPr="0035319A" w14:paraId="331AB080"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DA9DB" w14:textId="77777777" w:rsidR="00AD5FC8" w:rsidRPr="0035319A" w:rsidRDefault="00AD5FC8" w:rsidP="0035319A">
            <w:pPr>
              <w:pStyle w:val="Tablewriting"/>
            </w:pPr>
            <w:r w:rsidRPr="0035319A">
              <w:t>OMALIZUMAB -&gt; MEPOLIZUMAB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A23F3" w14:textId="62BA805B" w:rsidR="00AD5FC8" w:rsidRPr="0035319A" w:rsidRDefault="00AD5FC8" w:rsidP="0035319A">
            <w:pPr>
              <w:pStyle w:val="Tablewriting"/>
              <w:jc w:val="right"/>
            </w:pPr>
            <w:r w:rsidRPr="0035319A">
              <w:t xml:space="preserve">147 </w:t>
            </w:r>
          </w:p>
        </w:tc>
      </w:tr>
      <w:tr w:rsidR="00AD5FC8" w:rsidRPr="0035319A" w14:paraId="074841E5"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E263" w14:textId="77777777" w:rsidR="00AD5FC8" w:rsidRPr="0035319A" w:rsidRDefault="00AD5FC8" w:rsidP="0035319A">
            <w:pPr>
              <w:pStyle w:val="Tablewriting"/>
            </w:pPr>
            <w:r w:rsidRPr="0035319A">
              <w:t>MEPOLIZUMAB -&gt; BENRALIZUMAB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6B92B" w14:textId="62064084" w:rsidR="00AD5FC8" w:rsidRPr="0035319A" w:rsidRDefault="00957343" w:rsidP="00957343">
            <w:pPr>
              <w:pStyle w:val="Tablewriting"/>
              <w:jc w:val="right"/>
            </w:pPr>
            <w:r>
              <w:t xml:space="preserve"> </w:t>
            </w:r>
            <w:r w:rsidR="00AD5FC8" w:rsidRPr="0035319A">
              <w:t xml:space="preserve">97 </w:t>
            </w:r>
          </w:p>
        </w:tc>
      </w:tr>
      <w:tr w:rsidR="00AD5FC8" w:rsidRPr="0035319A" w14:paraId="7FFE5AF1"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48F9B" w14:textId="77777777" w:rsidR="00AD5FC8" w:rsidRPr="0035319A" w:rsidRDefault="00AD5FC8" w:rsidP="0035319A">
            <w:pPr>
              <w:pStyle w:val="Tablewriting"/>
            </w:pPr>
            <w:r w:rsidRPr="0035319A">
              <w:t>OMALIZUMAB -&gt; BENRALIZUMAB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62DF7" w14:textId="430B884D" w:rsidR="00AD5FC8" w:rsidRPr="0035319A" w:rsidRDefault="00AD5FC8" w:rsidP="0035319A">
            <w:pPr>
              <w:pStyle w:val="Tablewriting"/>
              <w:jc w:val="right"/>
            </w:pPr>
            <w:r w:rsidRPr="0035319A">
              <w:t xml:space="preserve"> 92 </w:t>
            </w:r>
          </w:p>
        </w:tc>
      </w:tr>
      <w:tr w:rsidR="00AD5FC8" w:rsidRPr="0035319A" w14:paraId="63BAAFE7"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D945" w14:textId="77777777" w:rsidR="00AD5FC8" w:rsidRPr="0035319A" w:rsidRDefault="00AD5FC8" w:rsidP="0035319A">
            <w:pPr>
              <w:pStyle w:val="Tablewriting"/>
            </w:pPr>
            <w:r w:rsidRPr="0035319A">
              <w:t>OMALIZUMAB -&gt; MEPOLIZUMAB -&gt; BENRALIZUMAB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30083" w14:textId="359698F1" w:rsidR="00AD5FC8" w:rsidRPr="0035319A" w:rsidRDefault="00957343" w:rsidP="0035319A">
            <w:pPr>
              <w:pStyle w:val="Tablewriting"/>
              <w:jc w:val="right"/>
            </w:pPr>
            <w:r>
              <w:t xml:space="preserve"> </w:t>
            </w:r>
            <w:r w:rsidR="00AD5FC8" w:rsidRPr="0035319A">
              <w:t xml:space="preserve">22 </w:t>
            </w:r>
          </w:p>
        </w:tc>
      </w:tr>
      <w:tr w:rsidR="00AD5FC8" w:rsidRPr="0035319A" w14:paraId="1E7D10C9"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B0A89" w14:textId="77777777" w:rsidR="00AD5FC8" w:rsidRPr="0035319A" w:rsidRDefault="00AD5FC8" w:rsidP="0035319A">
            <w:pPr>
              <w:pStyle w:val="Tablewriting"/>
            </w:pPr>
            <w:r w:rsidRPr="0035319A">
              <w:t>MEPOLIZUMAB -&gt; OMALIZUMAB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FE68A" w14:textId="2B02EAF2" w:rsidR="00AD5FC8" w:rsidRPr="0035319A" w:rsidRDefault="00AD5FC8" w:rsidP="0035319A">
            <w:pPr>
              <w:pStyle w:val="Tablewriting"/>
              <w:jc w:val="right"/>
            </w:pPr>
            <w:r w:rsidRPr="0035319A">
              <w:t xml:space="preserve"> 7 </w:t>
            </w:r>
          </w:p>
        </w:tc>
      </w:tr>
      <w:tr w:rsidR="00AD5FC8" w:rsidRPr="0035319A" w14:paraId="5FAAE68D" w14:textId="77777777" w:rsidTr="00AD5FC8">
        <w:trPr>
          <w:trHeight w:val="300"/>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99EF9" w14:textId="77777777" w:rsidR="00AD5FC8" w:rsidRPr="0035319A" w:rsidRDefault="00AD5FC8" w:rsidP="0035319A">
            <w:pPr>
              <w:pStyle w:val="Tablewriting"/>
            </w:pPr>
            <w:r w:rsidRPr="0035319A">
              <w:t>MEPOLIZUMAB -&gt; OMALIZUMAB -&gt; BENRALIZUMAB</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99E4" w14:textId="39191FAF" w:rsidR="00AD5FC8" w:rsidRPr="0035319A" w:rsidRDefault="00AD5FC8" w:rsidP="00AD5FC8">
            <w:pPr>
              <w:pStyle w:val="Tablewriting"/>
              <w:jc w:val="right"/>
            </w:pPr>
            <w:r>
              <w:t xml:space="preserve"> ≤5</w:t>
            </w:r>
            <w:r w:rsidRPr="0035319A">
              <w:t xml:space="preserve"> </w:t>
            </w:r>
          </w:p>
        </w:tc>
      </w:tr>
    </w:tbl>
    <w:p w14:paraId="4B407505" w14:textId="1125C30D" w:rsidR="0017639A" w:rsidRDefault="0065746D" w:rsidP="00A254C1">
      <w:pPr>
        <w:pStyle w:val="Notes"/>
        <w:spacing w:after="0"/>
      </w:pPr>
      <w:r>
        <w:t xml:space="preserve">Note: </w:t>
      </w:r>
      <w:r w:rsidR="00E85161">
        <w:t>Sequences f</w:t>
      </w:r>
      <w:r w:rsidR="0084490F" w:rsidRPr="0035319A">
        <w:t>rom July 2011 to the end of May 2019</w:t>
      </w:r>
      <w:r w:rsidR="0017639A" w:rsidRPr="0017639A">
        <w:t xml:space="preserve"> </w:t>
      </w:r>
    </w:p>
    <w:p w14:paraId="6CE7D34E" w14:textId="36D4B5C0" w:rsidR="0017639A" w:rsidRPr="0017639A" w:rsidRDefault="0017639A" w:rsidP="00A254C1">
      <w:pPr>
        <w:pStyle w:val="Notes"/>
        <w:rPr>
          <w:highlight w:val="yellow"/>
        </w:rPr>
      </w:pPr>
      <w:r w:rsidRPr="0017639A">
        <w:t xml:space="preserve">Source: </w:t>
      </w:r>
      <w:r w:rsidR="00251037">
        <w:rPr>
          <w:snapToGrid w:val="0"/>
        </w:rPr>
        <w:t>PBS</w:t>
      </w:r>
      <w:r w:rsidRPr="0017639A">
        <w:t xml:space="preserve"> supplied prescriptions database to 30 June 2019; extracted 30 July 2019.</w:t>
      </w:r>
    </w:p>
    <w:p w14:paraId="5D9E831F" w14:textId="5997DE15" w:rsidR="0035319A" w:rsidRDefault="0035319A" w:rsidP="0084490F">
      <w:pPr>
        <w:pStyle w:val="TableFooter"/>
        <w:rPr>
          <w:highlight w:val="yellow"/>
        </w:rPr>
      </w:pPr>
    </w:p>
    <w:p w14:paraId="77AC8B76" w14:textId="77777777" w:rsidR="004D1EAC" w:rsidRDefault="004D1EAC" w:rsidP="00F60205">
      <w:pPr>
        <w:rPr>
          <w:highlight w:val="yellow"/>
        </w:rPr>
      </w:pPr>
      <w:r>
        <w:rPr>
          <w:noProof/>
        </w:rPr>
        <w:drawing>
          <wp:inline distT="0" distB="0" distL="0" distR="0" wp14:anchorId="5D0A33E5" wp14:editId="6A357C23">
            <wp:extent cx="5676900" cy="3448050"/>
            <wp:effectExtent l="0" t="0" r="0" b="0"/>
            <wp:docPr id="8" name="Chart 8" descr="Switching happened most often in the second year of treatment" title="Figure 5: Time to switch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7B1D62D" w14:textId="120F7281" w:rsidR="0035319A" w:rsidRPr="00D11F84" w:rsidRDefault="005751C8" w:rsidP="005751C8">
      <w:pPr>
        <w:pStyle w:val="Figuretitle"/>
      </w:pPr>
      <w:bookmarkStart w:id="13" w:name="Figure5SwitchTime"/>
      <w:r w:rsidRPr="00D11F84">
        <w:t xml:space="preserve">Figure </w:t>
      </w:r>
      <w:r w:rsidR="00D11F84" w:rsidRPr="00D11F84">
        <w:t>5</w:t>
      </w:r>
      <w:r w:rsidRPr="00D11F84">
        <w:t xml:space="preserve">: </w:t>
      </w:r>
      <w:bookmarkEnd w:id="13"/>
      <w:r w:rsidR="0035319A" w:rsidRPr="00D11F84">
        <w:t>Time to switching</w:t>
      </w:r>
    </w:p>
    <w:p w14:paraId="612804E3" w14:textId="441AAD44" w:rsidR="0017639A" w:rsidRDefault="00B009DA" w:rsidP="00A254C1">
      <w:pPr>
        <w:pStyle w:val="Notes"/>
        <w:spacing w:after="0"/>
        <w:rPr>
          <w:snapToGrid w:val="0"/>
          <w:lang w:eastAsia="en-US"/>
        </w:rPr>
      </w:pPr>
      <w:r>
        <w:rPr>
          <w:snapToGrid w:val="0"/>
          <w:lang w:eastAsia="en-US"/>
        </w:rPr>
        <w:t xml:space="preserve">Note: </w:t>
      </w:r>
      <w:r w:rsidR="004D1EAC" w:rsidRPr="004D1EAC">
        <w:rPr>
          <w:snapToGrid w:val="0"/>
          <w:lang w:eastAsia="en-US"/>
        </w:rPr>
        <w:t xml:space="preserve">Values equal to </w:t>
      </w:r>
      <w:proofErr w:type="gramStart"/>
      <w:r w:rsidR="004D1EAC" w:rsidRPr="004D1EAC">
        <w:rPr>
          <w:snapToGrid w:val="0"/>
          <w:lang w:eastAsia="en-US"/>
        </w:rPr>
        <w:t>5</w:t>
      </w:r>
      <w:proofErr w:type="gramEnd"/>
      <w:r w:rsidR="004D1EAC" w:rsidRPr="004D1EAC">
        <w:rPr>
          <w:snapToGrid w:val="0"/>
          <w:lang w:eastAsia="en-US"/>
        </w:rPr>
        <w:t xml:space="preserve"> may represent </w:t>
      </w:r>
      <w:r w:rsidR="004D1EAC">
        <w:rPr>
          <w:snapToGrid w:val="0"/>
          <w:lang w:eastAsia="en-US"/>
        </w:rPr>
        <w:t>values</w:t>
      </w:r>
      <w:r w:rsidR="004D1EAC" w:rsidRPr="004D1EAC">
        <w:rPr>
          <w:snapToGrid w:val="0"/>
          <w:lang w:eastAsia="en-US"/>
        </w:rPr>
        <w:t xml:space="preserve"> ≤5</w:t>
      </w:r>
      <w:r w:rsidR="0017639A">
        <w:rPr>
          <w:snapToGrid w:val="0"/>
          <w:lang w:eastAsia="en-US"/>
        </w:rPr>
        <w:t xml:space="preserve">. </w:t>
      </w:r>
    </w:p>
    <w:p w14:paraId="2169D15A" w14:textId="7288B46F" w:rsidR="001D726B" w:rsidRDefault="001D726B" w:rsidP="00A254C1">
      <w:pPr>
        <w:pStyle w:val="Notes"/>
        <w:rPr>
          <w:highlight w:val="yellow"/>
        </w:rPr>
      </w:pPr>
      <w:r w:rsidRPr="0017639A">
        <w:rPr>
          <w:snapToGrid w:val="0"/>
          <w:lang w:eastAsia="en-US"/>
        </w:rPr>
        <w:t xml:space="preserve">Source: </w:t>
      </w:r>
      <w:r w:rsidR="00251037">
        <w:rPr>
          <w:snapToGrid w:val="0"/>
        </w:rPr>
        <w:t>PBS</w:t>
      </w:r>
      <w:r w:rsidRPr="0017639A">
        <w:rPr>
          <w:snapToGrid w:val="0"/>
          <w:lang w:eastAsia="en-US"/>
        </w:rPr>
        <w:t xml:space="preserve"> supplied prescriptions database to 30 June 2019; extracted 30 July 2019.</w:t>
      </w:r>
    </w:p>
    <w:p w14:paraId="3808E7F8" w14:textId="090A8DA9" w:rsidR="0047077F" w:rsidRDefault="0047077F" w:rsidP="009D2C34">
      <w:pPr>
        <w:rPr>
          <w:noProof/>
        </w:rPr>
      </w:pPr>
      <w:r>
        <w:rPr>
          <w:noProof/>
        </w:rPr>
        <w:t>Switching happened most often in the second year of treatment</w:t>
      </w:r>
      <w:r w:rsidR="00D11F84">
        <w:rPr>
          <w:noProof/>
        </w:rPr>
        <w:t xml:space="preserve"> (Figure 5)</w:t>
      </w:r>
      <w:r w:rsidR="009D2C34">
        <w:rPr>
          <w:noProof/>
        </w:rPr>
        <w:t xml:space="preserve">. </w:t>
      </w:r>
      <w:r w:rsidR="00D11F84">
        <w:rPr>
          <w:noProof/>
        </w:rPr>
        <w:t>The current PBS restrictions prohibit s</w:t>
      </w:r>
      <w:r w:rsidR="009D2C34">
        <w:rPr>
          <w:noProof/>
        </w:rPr>
        <w:t>witching in the first 6 months from initiation of treatment, and it appears this happened very rarely (</w:t>
      </w:r>
      <w:r w:rsidR="009D2C34" w:rsidRPr="009D2C34">
        <w:rPr>
          <w:noProof/>
        </w:rPr>
        <w:t>≤5 occasions</w:t>
      </w:r>
      <w:r w:rsidR="009D2C34">
        <w:rPr>
          <w:noProof/>
        </w:rPr>
        <w:t>)</w:t>
      </w:r>
      <w:r w:rsidR="009D2C34" w:rsidRPr="009D2C34">
        <w:rPr>
          <w:noProof/>
        </w:rPr>
        <w:t>.</w:t>
      </w:r>
      <w:r w:rsidR="009D2C34">
        <w:rPr>
          <w:snapToGrid w:val="0"/>
          <w:sz w:val="20"/>
          <w:szCs w:val="20"/>
          <w:lang w:eastAsia="en-US"/>
        </w:rPr>
        <w:t xml:space="preserve"> </w:t>
      </w:r>
    </w:p>
    <w:p w14:paraId="754BB2C4" w14:textId="77777777" w:rsidR="00A254C1" w:rsidRDefault="00A254C1" w:rsidP="00A73193">
      <w:pPr>
        <w:pStyle w:val="Heading3"/>
        <w:rPr>
          <w:noProof/>
        </w:rPr>
      </w:pPr>
      <w:r>
        <w:rPr>
          <w:noProof/>
        </w:rPr>
        <w:br w:type="page"/>
      </w:r>
    </w:p>
    <w:p w14:paraId="7568C936" w14:textId="7AE9C587" w:rsidR="0047077F" w:rsidRDefault="00A73193" w:rsidP="00A73193">
      <w:pPr>
        <w:pStyle w:val="Heading3"/>
        <w:rPr>
          <w:noProof/>
        </w:rPr>
      </w:pPr>
      <w:r>
        <w:rPr>
          <w:noProof/>
        </w:rPr>
        <w:lastRenderedPageBreak/>
        <w:t>Length of treatment</w:t>
      </w:r>
    </w:p>
    <w:p w14:paraId="541978F4" w14:textId="57CC2E5A" w:rsidR="00213D76" w:rsidRDefault="00C0478C" w:rsidP="00A35800">
      <w:pPr>
        <w:rPr>
          <w:noProof/>
        </w:rPr>
      </w:pPr>
      <w:r w:rsidRPr="00D11F84">
        <w:rPr>
          <w:noProof/>
        </w:rPr>
        <w:t>F</w:t>
      </w:r>
      <w:r w:rsidR="00D11F84" w:rsidRPr="00D11F84">
        <w:rPr>
          <w:noProof/>
        </w:rPr>
        <w:t xml:space="preserve">igure 6 </w:t>
      </w:r>
      <w:r w:rsidRPr="00D11F84">
        <w:rPr>
          <w:noProof/>
        </w:rPr>
        <w:t>depicts the Kaplan</w:t>
      </w:r>
      <w:r>
        <w:rPr>
          <w:noProof/>
        </w:rPr>
        <w:t xml:space="preserve"> Meier estimates for length of treatment with severe asthma biologics. Breaks in treatment were excluded. </w:t>
      </w:r>
      <w:r w:rsidR="00474BC7">
        <w:rPr>
          <w:noProof/>
        </w:rPr>
        <w:t>People who have been supplied more than one severe asthma biologic were included for each drug they have been supplied.</w:t>
      </w:r>
    </w:p>
    <w:p w14:paraId="3D5C509B" w14:textId="0B0EA3A0" w:rsidR="0047077F" w:rsidRDefault="0047077F" w:rsidP="0047077F">
      <w:pPr>
        <w:tabs>
          <w:tab w:val="left" w:pos="2835"/>
        </w:tabs>
        <w:rPr>
          <w:highlight w:val="yellow"/>
        </w:rPr>
      </w:pPr>
      <w:r w:rsidRPr="00EE6072">
        <w:rPr>
          <w:noProof/>
        </w:rPr>
        <w:drawing>
          <wp:inline distT="0" distB="0" distL="0" distR="0" wp14:anchorId="4BA7E43A" wp14:editId="7726CF81">
            <wp:extent cx="5687695" cy="4263390"/>
            <wp:effectExtent l="0" t="0" r="8255" b="3810"/>
            <wp:docPr id="7" name="Picture 7" descr="At 20 months from initiation, 62% of people remain on omalizumab treatment and 77% of people remain on mepolizumab therapy. The median length of treatment for omalizumab was 41 months [36, 46].  The median length of treatment for mepolizumab has not been reached (30 months since listing). " title="Figure 6: Length of treatment (months, excluding breaks) with severe asthma biolog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3\MCMAHV\Desktop\severe asthma\KM severe asthma\D1171 - LoT by drug_files\img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7695" cy="4263390"/>
                    </a:xfrm>
                    <a:prstGeom prst="rect">
                      <a:avLst/>
                    </a:prstGeom>
                    <a:noFill/>
                    <a:ln>
                      <a:noFill/>
                    </a:ln>
                  </pic:spPr>
                </pic:pic>
              </a:graphicData>
            </a:graphic>
          </wp:inline>
        </w:drawing>
      </w:r>
    </w:p>
    <w:p w14:paraId="410C1B31" w14:textId="01ADF22F" w:rsidR="00EE6072" w:rsidRDefault="00C0478C" w:rsidP="00C0478C">
      <w:pPr>
        <w:pStyle w:val="Figuretitle"/>
        <w:rPr>
          <w:highlight w:val="yellow"/>
        </w:rPr>
      </w:pPr>
      <w:bookmarkStart w:id="14" w:name="Figure6LoT"/>
      <w:r w:rsidRPr="00D11F84">
        <w:t>Figu</w:t>
      </w:r>
      <w:r w:rsidR="00D11F84" w:rsidRPr="00D11F84">
        <w:t>re 6</w:t>
      </w:r>
      <w:bookmarkEnd w:id="14"/>
      <w:r w:rsidRPr="00D11F84">
        <w:t xml:space="preserve">: Length of treatment (months, excluding breaks) with severe asthma biologics </w:t>
      </w:r>
    </w:p>
    <w:p w14:paraId="1BA84C6C" w14:textId="1EE37226" w:rsidR="00C0478C" w:rsidRPr="00474BC7" w:rsidRDefault="00C0478C" w:rsidP="00A254C1">
      <w:pPr>
        <w:pStyle w:val="Notes"/>
      </w:pPr>
      <w:r w:rsidRPr="008B4ADE">
        <w:rPr>
          <w:snapToGrid w:val="0"/>
        </w:rPr>
        <w:t>S</w:t>
      </w:r>
      <w:r>
        <w:rPr>
          <w:snapToGrid w:val="0"/>
        </w:rPr>
        <w:t xml:space="preserve">ource: </w:t>
      </w:r>
      <w:r w:rsidR="00251037">
        <w:rPr>
          <w:snapToGrid w:val="0"/>
        </w:rPr>
        <w:t>PBS</w:t>
      </w:r>
      <w:r w:rsidRPr="008B4ADE">
        <w:rPr>
          <w:snapToGrid w:val="0"/>
        </w:rPr>
        <w:t xml:space="preserve"> supplied prescriptions database to 30 June </w:t>
      </w:r>
      <w:r w:rsidRPr="00474BC7">
        <w:rPr>
          <w:snapToGrid w:val="0"/>
        </w:rPr>
        <w:t>2019; extracted 30 July 2019.</w:t>
      </w:r>
    </w:p>
    <w:p w14:paraId="5E69B251" w14:textId="77777777" w:rsidR="00C0478C" w:rsidRPr="00474BC7" w:rsidRDefault="00C0478C" w:rsidP="00C0478C">
      <w:pPr>
        <w:pStyle w:val="Figurecaption"/>
      </w:pPr>
    </w:p>
    <w:p w14:paraId="247C1206" w14:textId="70DDBB7C" w:rsidR="00EE6072" w:rsidRDefault="00522B34" w:rsidP="00A35800">
      <w:pPr>
        <w:rPr>
          <w:noProof/>
        </w:rPr>
      </w:pPr>
      <w:r>
        <w:rPr>
          <w:noProof/>
        </w:rPr>
        <w:t>The probability of a patient remaining on treatment at</w:t>
      </w:r>
      <w:r w:rsidR="0089653B">
        <w:rPr>
          <w:noProof/>
        </w:rPr>
        <w:t xml:space="preserve"> 20 months from initiation</w:t>
      </w:r>
      <w:r>
        <w:rPr>
          <w:noProof/>
        </w:rPr>
        <w:t xml:space="preserve"> was approximately</w:t>
      </w:r>
      <w:r w:rsidR="0089653B">
        <w:rPr>
          <w:noProof/>
        </w:rPr>
        <w:t xml:space="preserve"> 6</w:t>
      </w:r>
      <w:r>
        <w:rPr>
          <w:noProof/>
        </w:rPr>
        <w:t>1</w:t>
      </w:r>
      <w:r w:rsidR="0089653B">
        <w:rPr>
          <w:noProof/>
        </w:rPr>
        <w:t xml:space="preserve">% </w:t>
      </w:r>
      <w:r>
        <w:rPr>
          <w:noProof/>
        </w:rPr>
        <w:t>for omalizumab treatment and 69</w:t>
      </w:r>
      <w:r w:rsidR="0089653B">
        <w:rPr>
          <w:noProof/>
        </w:rPr>
        <w:t xml:space="preserve">% </w:t>
      </w:r>
      <w:r>
        <w:rPr>
          <w:noProof/>
        </w:rPr>
        <w:t>for</w:t>
      </w:r>
      <w:r w:rsidR="0089653B">
        <w:rPr>
          <w:noProof/>
        </w:rPr>
        <w:t xml:space="preserve"> mepolizumab therapy. The median length of treatment for omalizumab </w:t>
      </w:r>
      <w:r w:rsidR="009719E1">
        <w:rPr>
          <w:noProof/>
        </w:rPr>
        <w:t xml:space="preserve">was 41 months [36, 46]. </w:t>
      </w:r>
      <w:r w:rsidR="0089653B">
        <w:rPr>
          <w:noProof/>
        </w:rPr>
        <w:t xml:space="preserve"> </w:t>
      </w:r>
      <w:r w:rsidR="00D11F84">
        <w:rPr>
          <w:noProof/>
        </w:rPr>
        <w:t>The medi</w:t>
      </w:r>
      <w:r w:rsidR="00C0478C">
        <w:rPr>
          <w:noProof/>
        </w:rPr>
        <w:t>an length of treatment for mepolizumab has not been reached (30 months since listing). There are insufficient data for interpretation of benralizumab length of treatment (7 months since listing).</w:t>
      </w:r>
    </w:p>
    <w:p w14:paraId="1BE70384" w14:textId="77777777" w:rsidR="00474BC7" w:rsidRDefault="00474BC7">
      <w:pPr>
        <w:spacing w:line="276" w:lineRule="auto"/>
        <w:rPr>
          <w:b/>
          <w:i/>
          <w:szCs w:val="28"/>
        </w:rPr>
      </w:pPr>
      <w:r>
        <w:br w:type="page"/>
      </w:r>
    </w:p>
    <w:p w14:paraId="3702634E" w14:textId="00CEE2FF" w:rsidR="00CE7591" w:rsidRPr="00D91C82" w:rsidRDefault="00CE7591" w:rsidP="00CE7591">
      <w:pPr>
        <w:pStyle w:val="Heading3"/>
      </w:pPr>
      <w:r w:rsidRPr="00D91C82">
        <w:lastRenderedPageBreak/>
        <w:t>Utilisation by prescriber type</w:t>
      </w:r>
    </w:p>
    <w:p w14:paraId="132CA898" w14:textId="5935262B" w:rsidR="005751C8" w:rsidRDefault="00EB709E" w:rsidP="00F60205">
      <w:r>
        <w:rPr>
          <w:noProof/>
        </w:rPr>
        <w:drawing>
          <wp:inline distT="0" distB="0" distL="0" distR="0" wp14:anchorId="67062BD1" wp14:editId="20E833B1">
            <wp:extent cx="5687695" cy="2445385"/>
            <wp:effectExtent l="0" t="0" r="8255" b="12065"/>
            <wp:docPr id="6" name="Chart 6" descr="Figure 7 shows that the majority of people starting a biologic for the treatment of severe asthma in 2018 had it firstly prescribed by a specialist in respiratory and sleep medicine (n=805; 72%). GPs prescribed 2% of first supplies. Other specialists included intensive care, pathology, medical oncology, gastroenterology, ENT, haematology and nephrology. " title="Figure 7: Prescriber type for initiating patients in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E699014" w14:textId="00CC21E3" w:rsidR="008B4C11" w:rsidRDefault="00D11F84" w:rsidP="00CE7591">
      <w:pPr>
        <w:pStyle w:val="Figuretitle"/>
      </w:pPr>
      <w:bookmarkStart w:id="15" w:name="Figure7prescriber"/>
      <w:r w:rsidRPr="00D11F84">
        <w:t>Figure 7</w:t>
      </w:r>
      <w:r w:rsidR="00CE7591" w:rsidRPr="00D11F84">
        <w:t xml:space="preserve">: </w:t>
      </w:r>
      <w:bookmarkEnd w:id="15"/>
      <w:r w:rsidR="00CE7591" w:rsidRPr="00D11F84">
        <w:t>Prescriber type</w:t>
      </w:r>
      <w:r w:rsidR="001D726B" w:rsidRPr="00D11F84">
        <w:t xml:space="preserve"> fo</w:t>
      </w:r>
      <w:r w:rsidR="001D726B">
        <w:t>r initiating patients in 2018</w:t>
      </w:r>
    </w:p>
    <w:p w14:paraId="7E961E24" w14:textId="2C8C0B1C" w:rsidR="001D726B" w:rsidRDefault="001D726B" w:rsidP="00957343">
      <w:pPr>
        <w:pStyle w:val="Notes"/>
        <w:rPr>
          <w:highlight w:val="yellow"/>
        </w:rPr>
      </w:pPr>
      <w:r w:rsidRPr="008B4ADE">
        <w:rPr>
          <w:snapToGrid w:val="0"/>
        </w:rPr>
        <w:t>S</w:t>
      </w:r>
      <w:r>
        <w:rPr>
          <w:snapToGrid w:val="0"/>
        </w:rPr>
        <w:t xml:space="preserve">ource: </w:t>
      </w:r>
      <w:r w:rsidR="00251037">
        <w:rPr>
          <w:snapToGrid w:val="0"/>
        </w:rPr>
        <w:t>PBS</w:t>
      </w:r>
      <w:r w:rsidRPr="008B4ADE">
        <w:rPr>
          <w:snapToGrid w:val="0"/>
        </w:rPr>
        <w:t xml:space="preserve"> supplied prescriptions database to 30 June 2019; extracted 30 July 2019.</w:t>
      </w:r>
    </w:p>
    <w:p w14:paraId="0564079E" w14:textId="26676B61" w:rsidR="001D726B" w:rsidRPr="001D726B" w:rsidRDefault="00D11F84" w:rsidP="00957343">
      <w:pPr>
        <w:rPr>
          <w:b/>
        </w:rPr>
      </w:pPr>
      <w:r>
        <w:t>Figure 7 shows that t</w:t>
      </w:r>
      <w:r w:rsidR="001D726B">
        <w:t>he majority of people starting a biologic for the treatment of severe asthma in 2018 had it firstly prescribed by a specialist in respiratory and sleep medicine</w:t>
      </w:r>
      <w:r w:rsidR="008D7782">
        <w:t xml:space="preserve"> (n=805; 72%)</w:t>
      </w:r>
      <w:r w:rsidR="001D726B">
        <w:t xml:space="preserve">. </w:t>
      </w:r>
      <w:r w:rsidR="008D7782">
        <w:t xml:space="preserve">GPs prescribed 2% of first supplies. </w:t>
      </w:r>
      <w:r w:rsidR="001D726B" w:rsidRPr="001D726B">
        <w:t>Other specialists include</w:t>
      </w:r>
      <w:r w:rsidR="001D726B">
        <w:t>d</w:t>
      </w:r>
      <w:r w:rsidR="001D726B" w:rsidRPr="001D726B">
        <w:t xml:space="preserve"> intensive care, pathology, medical oncology, gastroenterology, ENT, haematology and nephrology. </w:t>
      </w:r>
      <w:r w:rsidR="00522B34" w:rsidRPr="00522B34">
        <w:t xml:space="preserve">The restriction text specifies that </w:t>
      </w:r>
      <w:proofErr w:type="gramStart"/>
      <w:r w:rsidR="00522B34" w:rsidRPr="00522B34">
        <w:t>patients must be treated by a specialist</w:t>
      </w:r>
      <w:proofErr w:type="gramEnd"/>
      <w:r w:rsidR="00522B34" w:rsidRPr="00522B34">
        <w:t xml:space="preserve"> from a limited number of prescriber specialties.</w:t>
      </w:r>
    </w:p>
    <w:p w14:paraId="4F8723A6" w14:textId="18471B8B" w:rsidR="00736041" w:rsidRPr="005E22C2" w:rsidRDefault="001B5D37" w:rsidP="00F73113">
      <w:pPr>
        <w:pStyle w:val="Heading2"/>
      </w:pPr>
      <w:r w:rsidRPr="005E22C2">
        <w:t xml:space="preserve">Analysis </w:t>
      </w:r>
      <w:r w:rsidR="00481108" w:rsidRPr="005E22C2">
        <w:t xml:space="preserve">of </w:t>
      </w:r>
      <w:r w:rsidR="0063631C">
        <w:t>e</w:t>
      </w:r>
      <w:r w:rsidR="00736041" w:rsidRPr="005E22C2">
        <w:t>xpenditure</w:t>
      </w:r>
    </w:p>
    <w:p w14:paraId="1F95B76A" w14:textId="4387B135" w:rsidR="00A37E58" w:rsidRPr="003462CE" w:rsidRDefault="00A37E58" w:rsidP="00A35800">
      <w:r w:rsidRPr="003462CE">
        <w:t>In 2018,</w:t>
      </w:r>
      <w:r w:rsidR="003462CE" w:rsidRPr="003462CE">
        <w:t xml:space="preserve"> expenditure for severe asthma biologics was $31.3 million based on the published prices</w:t>
      </w:r>
      <w:r w:rsidR="003462CE">
        <w:t xml:space="preserve"> (special pricing arrangements apply)</w:t>
      </w:r>
      <w:r w:rsidR="003462CE" w:rsidRPr="003462CE">
        <w:t xml:space="preserve">. This expenditure </w:t>
      </w:r>
      <w:proofErr w:type="gramStart"/>
      <w:r w:rsidR="003462CE" w:rsidRPr="003462CE">
        <w:t>was mostly attributed</w:t>
      </w:r>
      <w:proofErr w:type="gramEnd"/>
      <w:r w:rsidR="003462CE" w:rsidRPr="003462CE">
        <w:t xml:space="preserve"> to </w:t>
      </w:r>
      <w:proofErr w:type="spellStart"/>
      <w:r w:rsidR="003462CE" w:rsidRPr="003462CE">
        <w:t>omalizumab</w:t>
      </w:r>
      <w:proofErr w:type="spellEnd"/>
      <w:r w:rsidR="003462CE" w:rsidRPr="003462CE">
        <w:t xml:space="preserve"> and </w:t>
      </w:r>
      <w:proofErr w:type="spellStart"/>
      <w:r w:rsidR="003462CE" w:rsidRPr="003462CE">
        <w:t>mepolizumab</w:t>
      </w:r>
      <w:proofErr w:type="spellEnd"/>
      <w:r w:rsidR="003462CE" w:rsidRPr="003462CE">
        <w:t xml:space="preserve"> in close to a 1:1 ratio, with little expenditure for </w:t>
      </w:r>
      <w:proofErr w:type="spellStart"/>
      <w:r w:rsidR="003462CE" w:rsidRPr="003462CE">
        <w:t>benralizumab</w:t>
      </w:r>
      <w:proofErr w:type="spellEnd"/>
      <w:r w:rsidR="003462CE" w:rsidRPr="003462CE">
        <w:t xml:space="preserve"> </w:t>
      </w:r>
      <w:r w:rsidR="003462CE">
        <w:t xml:space="preserve">(listed 1 December 2018). </w:t>
      </w:r>
    </w:p>
    <w:p w14:paraId="13AFECF8" w14:textId="5A714083" w:rsidR="0049042B" w:rsidRDefault="00EC028D" w:rsidP="00A35800">
      <w:r w:rsidRPr="000A7148">
        <w:t xml:space="preserve">As </w:t>
      </w:r>
      <w:r w:rsidR="000A7148" w:rsidRPr="000A7148">
        <w:t>these</w:t>
      </w:r>
      <w:r w:rsidRPr="000A7148">
        <w:t xml:space="preserve"> analyses </w:t>
      </w:r>
      <w:proofErr w:type="gramStart"/>
      <w:r w:rsidRPr="000A7148">
        <w:t>are based</w:t>
      </w:r>
      <w:proofErr w:type="gramEnd"/>
      <w:r w:rsidRPr="000A7148">
        <w:t xml:space="preserve"> on date of supply, there may be small differences </w:t>
      </w:r>
      <w:r w:rsidR="000A7148" w:rsidRPr="000A7148">
        <w:t>compared with</w:t>
      </w:r>
      <w:r w:rsidRPr="000A7148">
        <w:t xml:space="preserve"> </w:t>
      </w:r>
      <w:r w:rsidR="0049042B" w:rsidRPr="000A7148">
        <w:t xml:space="preserve">publicly available </w:t>
      </w:r>
      <w:r w:rsidR="00251037">
        <w:t>PBS</w:t>
      </w:r>
      <w:r w:rsidR="00DC49E9" w:rsidRPr="000A7148">
        <w:t xml:space="preserve"> </w:t>
      </w:r>
      <w:r w:rsidRPr="000A7148">
        <w:t>date of processing data.</w:t>
      </w:r>
      <w:r w:rsidR="00DC49E9" w:rsidRPr="002F61CA">
        <w:t xml:space="preserve">  </w:t>
      </w:r>
    </w:p>
    <w:p w14:paraId="5F22B4D8" w14:textId="383A04BB" w:rsidR="00736041" w:rsidRPr="005E22C2"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7F59495A" w14:textId="7C543FBD" w:rsidR="0015033B" w:rsidRPr="00C94902" w:rsidRDefault="00CE7591" w:rsidP="0015033B">
      <w:r w:rsidRPr="00C94902">
        <w:t xml:space="preserve">A comparison of the estimated versus actual use of </w:t>
      </w:r>
      <w:proofErr w:type="spellStart"/>
      <w:r w:rsidRPr="00C94902">
        <w:t>mepolizumab</w:t>
      </w:r>
      <w:proofErr w:type="spellEnd"/>
      <w:r w:rsidRPr="00C94902">
        <w:t xml:space="preserve"> in its first two years of PBS listing is presented in </w:t>
      </w:r>
      <w:r w:rsidR="00D11F84" w:rsidRPr="00C94902">
        <w:t xml:space="preserve">Table </w:t>
      </w:r>
      <w:r w:rsidR="0089465A" w:rsidRPr="00C94902">
        <w:t>8</w:t>
      </w:r>
      <w:r w:rsidR="00D11F84" w:rsidRPr="00C94902">
        <w:t>.</w:t>
      </w:r>
      <w:r w:rsidRPr="00C94902">
        <w:t xml:space="preserve"> </w:t>
      </w:r>
      <w:r w:rsidR="0089465A" w:rsidRPr="00C94902">
        <w:t xml:space="preserve">Use of </w:t>
      </w:r>
      <w:proofErr w:type="spellStart"/>
      <w:r w:rsidR="0089465A" w:rsidRPr="00C94902">
        <w:t>mepolizumab</w:t>
      </w:r>
      <w:proofErr w:type="spellEnd"/>
      <w:r w:rsidR="0089465A" w:rsidRPr="00C94902">
        <w:t xml:space="preserve"> in terms of patients and prescriptions has been higher than estimated in both the first and second years of PBS listing. </w:t>
      </w:r>
    </w:p>
    <w:p w14:paraId="6114F21F" w14:textId="77777777" w:rsidR="00474BC7" w:rsidRPr="00C94902" w:rsidRDefault="00474BC7">
      <w:pPr>
        <w:spacing w:line="276" w:lineRule="auto"/>
        <w:rPr>
          <w:b/>
        </w:rPr>
      </w:pPr>
      <w:r w:rsidRPr="00C94902">
        <w:br w:type="page"/>
      </w:r>
    </w:p>
    <w:p w14:paraId="34E31B3E" w14:textId="73E2DBBE" w:rsidR="001D5FF7" w:rsidRPr="00C94902" w:rsidRDefault="0089465A" w:rsidP="00CE7591">
      <w:pPr>
        <w:pStyle w:val="Tabletitle"/>
      </w:pPr>
      <w:bookmarkStart w:id="16" w:name="Table8PvA"/>
      <w:r w:rsidRPr="00C94902">
        <w:lastRenderedPageBreak/>
        <w:t>Table 8</w:t>
      </w:r>
      <w:bookmarkEnd w:id="16"/>
      <w:r w:rsidR="00CE7591" w:rsidRPr="00C94902">
        <w:t xml:space="preserve">: Analysis of actual versus predicted utilisation for </w:t>
      </w:r>
      <w:proofErr w:type="spellStart"/>
      <w:r w:rsidR="00CE7591" w:rsidRPr="00C94902">
        <w:t>m</w:t>
      </w:r>
      <w:r w:rsidR="00634565" w:rsidRPr="00C94902">
        <w:t>epolizumab</w:t>
      </w:r>
      <w:proofErr w:type="spellEnd"/>
      <w:r w:rsidR="00634565" w:rsidRPr="00C94902">
        <w:t xml:space="preserve"> </w:t>
      </w:r>
    </w:p>
    <w:tbl>
      <w:tblPr>
        <w:tblStyle w:val="TableGrid"/>
        <w:tblW w:w="0" w:type="auto"/>
        <w:jc w:val="center"/>
        <w:tblLook w:val="04A0" w:firstRow="1" w:lastRow="0" w:firstColumn="1" w:lastColumn="0" w:noHBand="0" w:noVBand="1"/>
        <w:tblCaption w:val="Table 8: Analysis of actual versus predicted utilisation for mepolizumab "/>
        <w:tblDescription w:val="A comparison of the estimated versus actual use of mepolizumab in its first two years of PBS listing is presented"/>
      </w:tblPr>
      <w:tblGrid>
        <w:gridCol w:w="2250"/>
        <w:gridCol w:w="2240"/>
        <w:gridCol w:w="2228"/>
        <w:gridCol w:w="2229"/>
      </w:tblGrid>
      <w:tr w:rsidR="001D5FF7" w:rsidRPr="00C94902" w14:paraId="2E8C6155" w14:textId="77777777" w:rsidTr="00EA04CD">
        <w:trPr>
          <w:trHeight w:val="137"/>
          <w:tblHeader/>
          <w:jc w:val="center"/>
        </w:trPr>
        <w:tc>
          <w:tcPr>
            <w:tcW w:w="4586" w:type="dxa"/>
            <w:gridSpan w:val="2"/>
            <w:shd w:val="clear" w:color="auto" w:fill="BFBFBF" w:themeFill="background1" w:themeFillShade="BF"/>
          </w:tcPr>
          <w:p w14:paraId="0B92CD45" w14:textId="0E713C89" w:rsidR="001D5FF7" w:rsidRPr="00C94902" w:rsidRDefault="001D5FF7" w:rsidP="00EA04CD">
            <w:pPr>
              <w:pStyle w:val="Figurecaption"/>
              <w:rPr>
                <w:color w:val="D9D9D9" w:themeColor="background1" w:themeShade="D9"/>
              </w:rPr>
            </w:pPr>
          </w:p>
        </w:tc>
        <w:tc>
          <w:tcPr>
            <w:tcW w:w="2293" w:type="dxa"/>
            <w:shd w:val="clear" w:color="auto" w:fill="BFBFBF" w:themeFill="background1" w:themeFillShade="BF"/>
          </w:tcPr>
          <w:p w14:paraId="19D995D4" w14:textId="77777777" w:rsidR="001D5FF7" w:rsidRPr="00C94902" w:rsidRDefault="001D5FF7" w:rsidP="00EA04CD">
            <w:pPr>
              <w:pStyle w:val="Figurecaption"/>
              <w:jc w:val="center"/>
              <w:rPr>
                <w:b/>
              </w:rPr>
            </w:pPr>
            <w:r w:rsidRPr="00C94902">
              <w:rPr>
                <w:b/>
              </w:rPr>
              <w:t>Year 1</w:t>
            </w:r>
          </w:p>
        </w:tc>
        <w:tc>
          <w:tcPr>
            <w:tcW w:w="2294" w:type="dxa"/>
            <w:shd w:val="clear" w:color="auto" w:fill="BFBFBF" w:themeFill="background1" w:themeFillShade="BF"/>
          </w:tcPr>
          <w:p w14:paraId="4B559D9D" w14:textId="77777777" w:rsidR="001D5FF7" w:rsidRPr="00C94902" w:rsidRDefault="001D5FF7" w:rsidP="00EA04CD">
            <w:pPr>
              <w:pStyle w:val="Figurecaption"/>
              <w:jc w:val="center"/>
              <w:rPr>
                <w:b/>
              </w:rPr>
            </w:pPr>
            <w:r w:rsidRPr="00C94902">
              <w:rPr>
                <w:b/>
              </w:rPr>
              <w:t>Year 2</w:t>
            </w:r>
          </w:p>
        </w:tc>
      </w:tr>
      <w:tr w:rsidR="001D5FF7" w:rsidRPr="00C94902" w14:paraId="2BD0AE0C" w14:textId="77777777" w:rsidTr="00EA04CD">
        <w:trPr>
          <w:jc w:val="center"/>
        </w:trPr>
        <w:tc>
          <w:tcPr>
            <w:tcW w:w="2293" w:type="dxa"/>
            <w:vMerge w:val="restart"/>
          </w:tcPr>
          <w:p w14:paraId="5A7ED6CA" w14:textId="77777777" w:rsidR="001D5FF7" w:rsidRPr="00C94902" w:rsidRDefault="001D5FF7" w:rsidP="00EA04CD">
            <w:pPr>
              <w:pStyle w:val="Figurecaption"/>
              <w:rPr>
                <w:b/>
              </w:rPr>
            </w:pPr>
            <w:r w:rsidRPr="00C94902">
              <w:rPr>
                <w:b/>
              </w:rPr>
              <w:t>Patients</w:t>
            </w:r>
          </w:p>
        </w:tc>
        <w:tc>
          <w:tcPr>
            <w:tcW w:w="2293" w:type="dxa"/>
          </w:tcPr>
          <w:p w14:paraId="4F02E636" w14:textId="77777777" w:rsidR="001D5FF7" w:rsidRPr="00C94902" w:rsidRDefault="001D5FF7" w:rsidP="00EA04CD">
            <w:pPr>
              <w:pStyle w:val="Figurecaption"/>
            </w:pPr>
            <w:r w:rsidRPr="00C94902">
              <w:t>Predicted</w:t>
            </w:r>
          </w:p>
        </w:tc>
        <w:tc>
          <w:tcPr>
            <w:tcW w:w="2293" w:type="dxa"/>
            <w:vAlign w:val="bottom"/>
          </w:tcPr>
          <w:p w14:paraId="3D4695DC" w14:textId="175C1ED7" w:rsidR="001D5FF7" w:rsidRPr="00C94902" w:rsidRDefault="00634565" w:rsidP="00EA04CD">
            <w:pPr>
              <w:pStyle w:val="Figurecaption"/>
              <w:jc w:val="right"/>
            </w:pPr>
            <w:r w:rsidRPr="00C94902">
              <w:t>148</w:t>
            </w:r>
          </w:p>
        </w:tc>
        <w:tc>
          <w:tcPr>
            <w:tcW w:w="2294" w:type="dxa"/>
            <w:vAlign w:val="bottom"/>
          </w:tcPr>
          <w:p w14:paraId="57EFF682" w14:textId="166FEBA6" w:rsidR="001D5FF7" w:rsidRPr="00C94902" w:rsidRDefault="00634565" w:rsidP="00EA04CD">
            <w:pPr>
              <w:pStyle w:val="Figurecaption"/>
              <w:jc w:val="right"/>
            </w:pPr>
            <w:r w:rsidRPr="00C94902">
              <w:t>240</w:t>
            </w:r>
          </w:p>
        </w:tc>
      </w:tr>
      <w:tr w:rsidR="001D5FF7" w:rsidRPr="00C94902" w14:paraId="216988CB" w14:textId="77777777" w:rsidTr="00EA04CD">
        <w:trPr>
          <w:jc w:val="center"/>
        </w:trPr>
        <w:tc>
          <w:tcPr>
            <w:tcW w:w="2293" w:type="dxa"/>
            <w:vMerge/>
          </w:tcPr>
          <w:p w14:paraId="7FB1CD82" w14:textId="77777777" w:rsidR="001D5FF7" w:rsidRPr="00C94902" w:rsidRDefault="001D5FF7" w:rsidP="00EA04CD">
            <w:pPr>
              <w:pStyle w:val="Figurecaption"/>
              <w:rPr>
                <w:b/>
              </w:rPr>
            </w:pPr>
          </w:p>
        </w:tc>
        <w:tc>
          <w:tcPr>
            <w:tcW w:w="2293" w:type="dxa"/>
          </w:tcPr>
          <w:p w14:paraId="6325FB8C" w14:textId="77777777" w:rsidR="001D5FF7" w:rsidRPr="00C94902" w:rsidRDefault="001D5FF7" w:rsidP="00EA04CD">
            <w:pPr>
              <w:pStyle w:val="Figurecaption"/>
            </w:pPr>
            <w:r w:rsidRPr="00C94902">
              <w:t>Actual</w:t>
            </w:r>
          </w:p>
        </w:tc>
        <w:tc>
          <w:tcPr>
            <w:tcW w:w="2293" w:type="dxa"/>
            <w:vAlign w:val="bottom"/>
          </w:tcPr>
          <w:p w14:paraId="4330057F" w14:textId="3D100F39" w:rsidR="001D5FF7" w:rsidRPr="00C94902" w:rsidRDefault="00250299" w:rsidP="00EA04CD">
            <w:pPr>
              <w:pStyle w:val="Figurecaption"/>
              <w:jc w:val="right"/>
            </w:pPr>
            <w:r w:rsidRPr="00C94902">
              <w:t>604</w:t>
            </w:r>
          </w:p>
        </w:tc>
        <w:tc>
          <w:tcPr>
            <w:tcW w:w="2294" w:type="dxa"/>
            <w:vAlign w:val="bottom"/>
          </w:tcPr>
          <w:p w14:paraId="244FB899" w14:textId="3EED1542" w:rsidR="001D5FF7" w:rsidRPr="00C94902" w:rsidRDefault="00250299" w:rsidP="00EA04CD">
            <w:pPr>
              <w:pStyle w:val="Figurecaption"/>
              <w:jc w:val="right"/>
            </w:pPr>
            <w:r w:rsidRPr="00C94902">
              <w:t>1,177</w:t>
            </w:r>
          </w:p>
        </w:tc>
      </w:tr>
      <w:tr w:rsidR="001D5FF7" w:rsidRPr="00C94902" w14:paraId="3BFD053F" w14:textId="77777777" w:rsidTr="00EA04CD">
        <w:trPr>
          <w:jc w:val="center"/>
        </w:trPr>
        <w:tc>
          <w:tcPr>
            <w:tcW w:w="2293" w:type="dxa"/>
            <w:vMerge/>
          </w:tcPr>
          <w:p w14:paraId="68B1AAF6" w14:textId="77777777" w:rsidR="001D5FF7" w:rsidRPr="00C94902" w:rsidRDefault="001D5FF7" w:rsidP="00EA04CD">
            <w:pPr>
              <w:pStyle w:val="Figurecaption"/>
              <w:rPr>
                <w:b/>
              </w:rPr>
            </w:pPr>
          </w:p>
        </w:tc>
        <w:tc>
          <w:tcPr>
            <w:tcW w:w="2293" w:type="dxa"/>
          </w:tcPr>
          <w:p w14:paraId="02F889B2" w14:textId="77777777" w:rsidR="001D5FF7" w:rsidRPr="00C94902" w:rsidRDefault="001D5FF7" w:rsidP="00EA04CD">
            <w:pPr>
              <w:pStyle w:val="Figurecaption"/>
            </w:pPr>
            <w:r w:rsidRPr="00C94902">
              <w:t>% Difference</w:t>
            </w:r>
          </w:p>
        </w:tc>
        <w:tc>
          <w:tcPr>
            <w:tcW w:w="2293" w:type="dxa"/>
            <w:vAlign w:val="bottom"/>
          </w:tcPr>
          <w:p w14:paraId="13C71B7A" w14:textId="27C1B3F6" w:rsidR="001D5FF7" w:rsidRPr="00C94902" w:rsidRDefault="00FA36DE" w:rsidP="00EA04CD">
            <w:pPr>
              <w:pStyle w:val="Figurecaption"/>
              <w:jc w:val="right"/>
            </w:pPr>
            <w:r w:rsidRPr="00C94902">
              <w:t>+308%</w:t>
            </w:r>
          </w:p>
        </w:tc>
        <w:tc>
          <w:tcPr>
            <w:tcW w:w="2294" w:type="dxa"/>
            <w:vAlign w:val="bottom"/>
          </w:tcPr>
          <w:p w14:paraId="5875D86F" w14:textId="2592B602" w:rsidR="001D5FF7" w:rsidRPr="00C94902" w:rsidRDefault="00FA36DE" w:rsidP="00EA04CD">
            <w:pPr>
              <w:pStyle w:val="Figurecaption"/>
              <w:jc w:val="right"/>
            </w:pPr>
            <w:r w:rsidRPr="00C94902">
              <w:t>+390%</w:t>
            </w:r>
          </w:p>
        </w:tc>
      </w:tr>
      <w:tr w:rsidR="001D5FF7" w:rsidRPr="00C94902" w14:paraId="31BED873" w14:textId="77777777" w:rsidTr="00EA04CD">
        <w:trPr>
          <w:jc w:val="center"/>
        </w:trPr>
        <w:tc>
          <w:tcPr>
            <w:tcW w:w="2293" w:type="dxa"/>
            <w:vMerge w:val="restart"/>
          </w:tcPr>
          <w:p w14:paraId="74BF2371" w14:textId="77777777" w:rsidR="001D5FF7" w:rsidRPr="00C94902" w:rsidRDefault="001D5FF7" w:rsidP="00EA04CD">
            <w:pPr>
              <w:pStyle w:val="Figurecaption"/>
              <w:rPr>
                <w:b/>
              </w:rPr>
            </w:pPr>
            <w:r w:rsidRPr="00C94902">
              <w:rPr>
                <w:b/>
              </w:rPr>
              <w:t>Prescriptions</w:t>
            </w:r>
          </w:p>
        </w:tc>
        <w:tc>
          <w:tcPr>
            <w:tcW w:w="2293" w:type="dxa"/>
          </w:tcPr>
          <w:p w14:paraId="63BF92EB" w14:textId="77777777" w:rsidR="001D5FF7" w:rsidRPr="00C94902" w:rsidRDefault="001D5FF7" w:rsidP="00EA04CD">
            <w:pPr>
              <w:pStyle w:val="Figurecaption"/>
            </w:pPr>
            <w:r w:rsidRPr="00C94902">
              <w:t>Predicted</w:t>
            </w:r>
          </w:p>
        </w:tc>
        <w:tc>
          <w:tcPr>
            <w:tcW w:w="2293" w:type="dxa"/>
            <w:vAlign w:val="center"/>
          </w:tcPr>
          <w:p w14:paraId="47743EBA" w14:textId="7D399CF7" w:rsidR="001D5FF7" w:rsidRPr="00C94902" w:rsidRDefault="00634565" w:rsidP="00EA04CD">
            <w:pPr>
              <w:pStyle w:val="Figurecaption"/>
              <w:jc w:val="right"/>
            </w:pPr>
            <w:r w:rsidRPr="00C94902">
              <w:t>1,775</w:t>
            </w:r>
          </w:p>
        </w:tc>
        <w:tc>
          <w:tcPr>
            <w:tcW w:w="2294" w:type="dxa"/>
            <w:vAlign w:val="center"/>
          </w:tcPr>
          <w:p w14:paraId="51973AFD" w14:textId="47702A39" w:rsidR="001D5FF7" w:rsidRPr="00C94902" w:rsidRDefault="00634565" w:rsidP="00634565">
            <w:pPr>
              <w:pStyle w:val="Figurecaption"/>
              <w:jc w:val="right"/>
            </w:pPr>
            <w:r w:rsidRPr="00C94902">
              <w:t>2,880</w:t>
            </w:r>
          </w:p>
        </w:tc>
      </w:tr>
      <w:tr w:rsidR="001D5FF7" w:rsidRPr="00C94902" w14:paraId="489B4E8C" w14:textId="77777777" w:rsidTr="00EA04CD">
        <w:trPr>
          <w:jc w:val="center"/>
        </w:trPr>
        <w:tc>
          <w:tcPr>
            <w:tcW w:w="2293" w:type="dxa"/>
            <w:vMerge/>
          </w:tcPr>
          <w:p w14:paraId="018273C5" w14:textId="77777777" w:rsidR="001D5FF7" w:rsidRPr="00C94902" w:rsidRDefault="001D5FF7" w:rsidP="00EA04CD">
            <w:pPr>
              <w:pStyle w:val="Figurecaption"/>
              <w:rPr>
                <w:b/>
              </w:rPr>
            </w:pPr>
          </w:p>
        </w:tc>
        <w:tc>
          <w:tcPr>
            <w:tcW w:w="2293" w:type="dxa"/>
          </w:tcPr>
          <w:p w14:paraId="04A004B1" w14:textId="77777777" w:rsidR="001D5FF7" w:rsidRPr="00C94902" w:rsidRDefault="001D5FF7" w:rsidP="00EA04CD">
            <w:pPr>
              <w:pStyle w:val="Figurecaption"/>
            </w:pPr>
            <w:r w:rsidRPr="00C94902">
              <w:t>Actual</w:t>
            </w:r>
          </w:p>
        </w:tc>
        <w:tc>
          <w:tcPr>
            <w:tcW w:w="2293" w:type="dxa"/>
            <w:vAlign w:val="center"/>
          </w:tcPr>
          <w:p w14:paraId="09E0AFA8" w14:textId="00B0B386" w:rsidR="001D5FF7" w:rsidRPr="00C94902" w:rsidRDefault="00250299" w:rsidP="00EA04CD">
            <w:pPr>
              <w:pStyle w:val="Figurecaption"/>
              <w:jc w:val="right"/>
            </w:pPr>
            <w:r w:rsidRPr="00C94902">
              <w:t>3,735</w:t>
            </w:r>
          </w:p>
        </w:tc>
        <w:tc>
          <w:tcPr>
            <w:tcW w:w="2294" w:type="dxa"/>
            <w:vAlign w:val="center"/>
          </w:tcPr>
          <w:p w14:paraId="0BBF653B" w14:textId="29234767" w:rsidR="001D5FF7" w:rsidRPr="00C94902" w:rsidRDefault="00250299" w:rsidP="00EA04CD">
            <w:pPr>
              <w:pStyle w:val="Figurecaption"/>
              <w:jc w:val="right"/>
            </w:pPr>
            <w:r w:rsidRPr="00C94902">
              <w:t>9,415</w:t>
            </w:r>
          </w:p>
        </w:tc>
      </w:tr>
      <w:tr w:rsidR="001D5FF7" w:rsidRPr="00C94902" w14:paraId="30A01EBE" w14:textId="77777777" w:rsidTr="00EA04CD">
        <w:trPr>
          <w:jc w:val="center"/>
        </w:trPr>
        <w:tc>
          <w:tcPr>
            <w:tcW w:w="2293" w:type="dxa"/>
            <w:vMerge/>
          </w:tcPr>
          <w:p w14:paraId="09213326" w14:textId="77777777" w:rsidR="001D5FF7" w:rsidRPr="00C94902" w:rsidRDefault="001D5FF7" w:rsidP="00EA04CD">
            <w:pPr>
              <w:pStyle w:val="Figurecaption"/>
              <w:rPr>
                <w:b/>
              </w:rPr>
            </w:pPr>
          </w:p>
        </w:tc>
        <w:tc>
          <w:tcPr>
            <w:tcW w:w="2293" w:type="dxa"/>
          </w:tcPr>
          <w:p w14:paraId="59B40023" w14:textId="77777777" w:rsidR="001D5FF7" w:rsidRPr="00C94902" w:rsidRDefault="001D5FF7" w:rsidP="00EA04CD">
            <w:pPr>
              <w:pStyle w:val="Figurecaption"/>
            </w:pPr>
            <w:r w:rsidRPr="00C94902">
              <w:t>% Difference</w:t>
            </w:r>
          </w:p>
        </w:tc>
        <w:tc>
          <w:tcPr>
            <w:tcW w:w="2293" w:type="dxa"/>
            <w:vAlign w:val="center"/>
          </w:tcPr>
          <w:p w14:paraId="6976158E" w14:textId="6FC738AC" w:rsidR="001D5FF7" w:rsidRPr="00C94902" w:rsidRDefault="00FA36DE" w:rsidP="00EA04CD">
            <w:pPr>
              <w:pStyle w:val="Figurecaption"/>
              <w:jc w:val="right"/>
            </w:pPr>
            <w:r w:rsidRPr="00C94902">
              <w:t>+110%</w:t>
            </w:r>
          </w:p>
        </w:tc>
        <w:tc>
          <w:tcPr>
            <w:tcW w:w="2294" w:type="dxa"/>
            <w:vAlign w:val="center"/>
          </w:tcPr>
          <w:p w14:paraId="7225D66E" w14:textId="035929A3" w:rsidR="001D5FF7" w:rsidRPr="00C94902" w:rsidRDefault="00FA36DE" w:rsidP="00EA04CD">
            <w:pPr>
              <w:pStyle w:val="Figurecaption"/>
              <w:jc w:val="right"/>
            </w:pPr>
            <w:r w:rsidRPr="00C94902">
              <w:t>+227%</w:t>
            </w:r>
          </w:p>
        </w:tc>
      </w:tr>
    </w:tbl>
    <w:p w14:paraId="5350278F" w14:textId="078C183F" w:rsidR="00EC6767" w:rsidRPr="00C94902" w:rsidRDefault="00EC6767" w:rsidP="00EC6767">
      <w:pPr>
        <w:pStyle w:val="Figurecaption"/>
        <w:rPr>
          <w:snapToGrid w:val="0"/>
        </w:rPr>
      </w:pPr>
      <w:r w:rsidRPr="00C94902">
        <w:rPr>
          <w:snapToGrid w:val="0"/>
        </w:rPr>
        <w:t xml:space="preserve">Source: </w:t>
      </w:r>
      <w:r w:rsidR="00251037">
        <w:rPr>
          <w:snapToGrid w:val="0"/>
        </w:rPr>
        <w:t>PBS</w:t>
      </w:r>
      <w:r w:rsidRPr="00C94902">
        <w:rPr>
          <w:snapToGrid w:val="0"/>
        </w:rPr>
        <w:t xml:space="preserve"> supplied prescriptions database to 30 June 2019; extracted 30 July 2019.</w:t>
      </w:r>
    </w:p>
    <w:p w14:paraId="39D3D94A" w14:textId="10BF6D1B" w:rsidR="00587741" w:rsidRPr="00C94902" w:rsidRDefault="00587741" w:rsidP="00EC6767">
      <w:pPr>
        <w:pStyle w:val="Figurecaption"/>
        <w:rPr>
          <w:snapToGrid w:val="0"/>
        </w:rPr>
      </w:pPr>
    </w:p>
    <w:p w14:paraId="1AC968FF" w14:textId="52F3E3FC" w:rsidR="00587741" w:rsidRDefault="00587741" w:rsidP="00D9070D">
      <w:r w:rsidRPr="00C94902">
        <w:t xml:space="preserve">Expenditure (not presented) followed a similar predicted versus actual difference as prescriptions. Use by setting </w:t>
      </w:r>
      <w:proofErr w:type="gramStart"/>
      <w:r w:rsidRPr="00C94902">
        <w:t>was predicted</w:t>
      </w:r>
      <w:proofErr w:type="gramEnd"/>
      <w:r w:rsidRPr="00C94902">
        <w:t xml:space="preserve"> to be 79% public and 21% private. Over the whole period of </w:t>
      </w:r>
      <w:proofErr w:type="spellStart"/>
      <w:r w:rsidRPr="00C94902">
        <w:t>mepolizumab</w:t>
      </w:r>
      <w:proofErr w:type="spellEnd"/>
      <w:r w:rsidRPr="00C94902">
        <w:t xml:space="preserve"> listing to the most recent data, use has been 71% in the public setting and 29% private. This is similar to predicted and supports the conclusion that </w:t>
      </w:r>
      <w:proofErr w:type="gramStart"/>
      <w:r w:rsidRPr="00C94902">
        <w:t>expenditure is driven by higher volumes not setting of supply</w:t>
      </w:r>
      <w:proofErr w:type="gramEnd"/>
      <w:r w:rsidRPr="00C94902">
        <w:t>.</w:t>
      </w:r>
      <w:r>
        <w:t xml:space="preserve"> </w:t>
      </w:r>
    </w:p>
    <w:p w14:paraId="3555DFBA" w14:textId="7E43A7AF" w:rsidR="00591512" w:rsidRDefault="00AB3733" w:rsidP="00F73113">
      <w:pPr>
        <w:pStyle w:val="Heading1"/>
      </w:pPr>
      <w:r>
        <w:t>D</w:t>
      </w:r>
      <w:r w:rsidR="007346C7" w:rsidRPr="005E22C2">
        <w:t>iscussion</w:t>
      </w:r>
      <w:r w:rsidR="00EF6602">
        <w:t xml:space="preserve"> and DUSC considerations </w:t>
      </w:r>
    </w:p>
    <w:p w14:paraId="5E67AB7B" w14:textId="43DB69FE" w:rsidR="004852A7" w:rsidRDefault="004852A7" w:rsidP="004852A7">
      <w:pPr>
        <w:pStyle w:val="NoSpacing"/>
      </w:pPr>
      <w:r>
        <w:t xml:space="preserve">There has been a high rate of growth in the number of treated prevalent severe eosinophilic asthma patients since the listing of </w:t>
      </w:r>
      <w:proofErr w:type="spellStart"/>
      <w:r>
        <w:t>mepolizumab</w:t>
      </w:r>
      <w:proofErr w:type="spellEnd"/>
      <w:r>
        <w:t xml:space="preserve">, with the rate of growth further increasing with the listing of </w:t>
      </w:r>
      <w:proofErr w:type="spellStart"/>
      <w:r>
        <w:t>benralizumab</w:t>
      </w:r>
      <w:proofErr w:type="spellEnd"/>
      <w:r>
        <w:t xml:space="preserve">. These patients exceeded the number of patients supplied </w:t>
      </w:r>
      <w:proofErr w:type="spellStart"/>
      <w:r>
        <w:t>omalizumab</w:t>
      </w:r>
      <w:proofErr w:type="spellEnd"/>
      <w:r>
        <w:t xml:space="preserve"> for severe allergic asthma in the first half of 2019.</w:t>
      </w:r>
      <w:r w:rsidRPr="004852A7">
        <w:t xml:space="preserve"> </w:t>
      </w:r>
      <w:r w:rsidRPr="00A64FEF">
        <w:t xml:space="preserve">In </w:t>
      </w:r>
      <w:r>
        <w:t>the most recent quarter of data (</w:t>
      </w:r>
      <w:r w:rsidRPr="00A64FEF">
        <w:t>quarter 2 of 2019</w:t>
      </w:r>
      <w:r>
        <w:t>)</w:t>
      </w:r>
      <w:r w:rsidRPr="00A64FEF">
        <w:t>, prescriptions dispensed for eosinophilic asthma exceeded prescriptions dispensed for allergic asthma for the first time.</w:t>
      </w:r>
      <w:r>
        <w:t xml:space="preserve"> Use of </w:t>
      </w:r>
      <w:proofErr w:type="spellStart"/>
      <w:r>
        <w:t>mepolizumab</w:t>
      </w:r>
      <w:proofErr w:type="spellEnd"/>
      <w:r>
        <w:t xml:space="preserve"> in terms of patients, prescriptions and expenditure has been higher than estimated in both the first</w:t>
      </w:r>
      <w:r w:rsidR="007E38AD">
        <w:t xml:space="preserve"> and second years of PBS listing. </w:t>
      </w:r>
      <w:r w:rsidR="007E38AD" w:rsidRPr="007E38AD">
        <w:t xml:space="preserve">DUSC noted that while the use of </w:t>
      </w:r>
      <w:proofErr w:type="spellStart"/>
      <w:r w:rsidR="007E38AD" w:rsidRPr="007E38AD">
        <w:t>mepolizumab</w:t>
      </w:r>
      <w:proofErr w:type="spellEnd"/>
      <w:r w:rsidR="007E38AD" w:rsidRPr="007E38AD">
        <w:t xml:space="preserve"> in the first two years of listing was higher than expected, the written authority means use is likely within the PBS restriction. DUSC considered respiratory physicians </w:t>
      </w:r>
      <w:proofErr w:type="gramStart"/>
      <w:r w:rsidR="007E38AD" w:rsidRPr="007E38AD">
        <w:t>are now experienced</w:t>
      </w:r>
      <w:proofErr w:type="gramEnd"/>
      <w:r w:rsidR="007E38AD" w:rsidRPr="007E38AD">
        <w:t xml:space="preserve"> with prescribing biologics and uptake of biologics in various treatment areas implies that subcutaneous injections are not a barrier for many patients. DUSC considered that the market for severe asthma biologics </w:t>
      </w:r>
      <w:proofErr w:type="gramStart"/>
      <w:r w:rsidR="007E38AD" w:rsidRPr="007E38AD">
        <w:t>may</w:t>
      </w:r>
      <w:proofErr w:type="gramEnd"/>
      <w:r w:rsidR="007E38AD" w:rsidRPr="007E38AD">
        <w:t xml:space="preserve"> continue to grow.</w:t>
      </w:r>
    </w:p>
    <w:p w14:paraId="628B215A" w14:textId="00D91573" w:rsidR="00EF6602" w:rsidRDefault="00EF6602" w:rsidP="004852A7">
      <w:pPr>
        <w:pStyle w:val="NoSpacing"/>
      </w:pPr>
    </w:p>
    <w:p w14:paraId="2318811F" w14:textId="1E6B89CD" w:rsidR="00EF6602" w:rsidRDefault="00EF6602" w:rsidP="004852A7">
      <w:pPr>
        <w:pStyle w:val="NoSpacing"/>
      </w:pPr>
      <w:r w:rsidRPr="00C94902">
        <w:t xml:space="preserve">The </w:t>
      </w:r>
      <w:proofErr w:type="spellStart"/>
      <w:r w:rsidRPr="00C94902">
        <w:t>mepolizumab</w:t>
      </w:r>
      <w:proofErr w:type="spellEnd"/>
      <w:r w:rsidRPr="00C94902">
        <w:t xml:space="preserve"> sponsor suggested use of </w:t>
      </w:r>
      <w:proofErr w:type="spellStart"/>
      <w:r w:rsidRPr="00C94902">
        <w:t>mepolizumab</w:t>
      </w:r>
      <w:proofErr w:type="spellEnd"/>
      <w:r w:rsidRPr="00C94902">
        <w:t xml:space="preserve"> was higher than expected because the eligible population and uptake were underestimated. The sponsor considered the underestimated uptake related in part to the comparison to </w:t>
      </w:r>
      <w:proofErr w:type="spellStart"/>
      <w:r w:rsidRPr="00C94902">
        <w:t>omalizumab</w:t>
      </w:r>
      <w:proofErr w:type="spellEnd"/>
      <w:r w:rsidRPr="00C94902">
        <w:t>, which seemed reasonable at the time, but has a number of differences in clinical profile, dosage and administration. The response also articulated how the treatment landscape for severe asthma has changed in recent years. This included a number of initiatives from local and global professional bodies to provide guidance and education in the diagnosis and management of severe asthma</w:t>
      </w:r>
      <w:proofErr w:type="gramStart"/>
      <w:r w:rsidRPr="00C94902">
        <w:t>;</w:t>
      </w:r>
      <w:proofErr w:type="gramEnd"/>
      <w:r w:rsidRPr="00C94902">
        <w:t xml:space="preserve"> leading to a greater understanding of severe asthma phenotyping (allergic, eosinophilic or both) and the role of biologics. The </w:t>
      </w:r>
      <w:proofErr w:type="spellStart"/>
      <w:r w:rsidRPr="00C94902">
        <w:t>mepolizumab</w:t>
      </w:r>
      <w:proofErr w:type="spellEnd"/>
      <w:r w:rsidRPr="00C94902">
        <w:t xml:space="preserve"> sponsor suggested that this changing landscape </w:t>
      </w:r>
      <w:proofErr w:type="gramStart"/>
      <w:r w:rsidRPr="00C94902">
        <w:t>may</w:t>
      </w:r>
      <w:proofErr w:type="gramEnd"/>
      <w:r w:rsidRPr="00C94902">
        <w:t xml:space="preserve"> have contributed to the identification and referral of severe eosinophilic asthma patients; and higher utilisation of </w:t>
      </w:r>
      <w:proofErr w:type="spellStart"/>
      <w:r w:rsidRPr="00C94902">
        <w:t>mepolizumab</w:t>
      </w:r>
      <w:proofErr w:type="spellEnd"/>
      <w:r w:rsidRPr="00C94902">
        <w:t xml:space="preserve"> than predicted.</w:t>
      </w:r>
      <w:r w:rsidRPr="00EF6602">
        <w:t xml:space="preserve"> DUSC considered that the eligible population and uptake </w:t>
      </w:r>
      <w:proofErr w:type="gramStart"/>
      <w:r w:rsidRPr="00EF6602">
        <w:t xml:space="preserve">may have been </w:t>
      </w:r>
      <w:r w:rsidRPr="00EF6602">
        <w:lastRenderedPageBreak/>
        <w:t>underestimated</w:t>
      </w:r>
      <w:proofErr w:type="gramEnd"/>
      <w:r w:rsidRPr="00EF6602">
        <w:t xml:space="preserve"> at the time of listing, partly due to the changing severe asthma treatment landscape and the assumptions that expected uptake would mirror </w:t>
      </w:r>
      <w:proofErr w:type="spellStart"/>
      <w:r w:rsidRPr="00EF6602">
        <w:t>omalizumab</w:t>
      </w:r>
      <w:proofErr w:type="spellEnd"/>
      <w:r w:rsidRPr="00EF6602">
        <w:t>.</w:t>
      </w:r>
    </w:p>
    <w:p w14:paraId="18B8BD87" w14:textId="77777777" w:rsidR="004852A7" w:rsidRDefault="004852A7" w:rsidP="004852A7">
      <w:pPr>
        <w:pStyle w:val="NoSpacing"/>
      </w:pPr>
    </w:p>
    <w:p w14:paraId="24A718FE" w14:textId="608C0DA1" w:rsidR="00EF6602" w:rsidRDefault="00EF6602" w:rsidP="00474BC7">
      <w:r w:rsidRPr="00EF6602">
        <w:t xml:space="preserve">The PBS listing of biologics for the treatment of severe eosinophilic asthma did not create any substantial changes in the use of </w:t>
      </w:r>
      <w:proofErr w:type="spellStart"/>
      <w:r w:rsidRPr="00EF6602">
        <w:t>omalizumab</w:t>
      </w:r>
      <w:proofErr w:type="spellEnd"/>
      <w:r w:rsidRPr="00EF6602">
        <w:t xml:space="preserve"> for severe allergic asthma. A small proportion of patients switched between severe asthma biologics. However, of the people who switched, the majority moved from a medicine for allergic asthma to one for eosinophilic asthma or vice-versa. These patients represent the “overlap population” with both high eosinophil counts and high </w:t>
      </w:r>
      <w:proofErr w:type="spellStart"/>
      <w:r w:rsidRPr="00EF6602">
        <w:t>IgE</w:t>
      </w:r>
      <w:proofErr w:type="spellEnd"/>
      <w:r w:rsidRPr="00EF6602">
        <w:t xml:space="preserve">. </w:t>
      </w:r>
    </w:p>
    <w:p w14:paraId="762C672A" w14:textId="037F7F47" w:rsidR="00EF6602" w:rsidRDefault="00EF6602" w:rsidP="005B47F8">
      <w:r w:rsidRPr="00EF6602">
        <w:t xml:space="preserve">The time to switching analysis showed that switching happened most often in the second year of treatment, but the tail of the graph indicated that switching occurred at various later points in the treatment course. These results </w:t>
      </w:r>
      <w:proofErr w:type="gramStart"/>
      <w:r w:rsidRPr="00EF6602">
        <w:t>are influenced</w:t>
      </w:r>
      <w:proofErr w:type="gramEnd"/>
      <w:r w:rsidRPr="00EF6602">
        <w:t xml:space="preserve"> by the time of listing, as people had more opportunity to have </w:t>
      </w:r>
      <w:proofErr w:type="spellStart"/>
      <w:r w:rsidRPr="00EF6602">
        <w:t>omalizumab</w:t>
      </w:r>
      <w:proofErr w:type="spellEnd"/>
      <w:r w:rsidRPr="00EF6602">
        <w:t xml:space="preserve"> than </w:t>
      </w:r>
      <w:proofErr w:type="spellStart"/>
      <w:r w:rsidRPr="00EF6602">
        <w:t>mepolizumab</w:t>
      </w:r>
      <w:proofErr w:type="spellEnd"/>
      <w:r w:rsidRPr="00EF6602">
        <w:t xml:space="preserve">, and there has been little listing time for </w:t>
      </w:r>
      <w:proofErr w:type="spellStart"/>
      <w:r w:rsidRPr="00EF6602">
        <w:t>benralizumab</w:t>
      </w:r>
      <w:proofErr w:type="spellEnd"/>
      <w:r w:rsidRPr="00EF6602">
        <w:t xml:space="preserve">. </w:t>
      </w:r>
      <w:proofErr w:type="gramStart"/>
      <w:r w:rsidRPr="00EF6602">
        <w:t>It is possible these patterns may</w:t>
      </w:r>
      <w:proofErr w:type="gramEnd"/>
      <w:r w:rsidRPr="00EF6602">
        <w:t xml:space="preserve"> change in the future, particularly if the restriction requirement that prohibits switching in the first 6 months from initiation of treatment was remove</w:t>
      </w:r>
      <w:r>
        <w:t xml:space="preserve">d. </w:t>
      </w:r>
    </w:p>
    <w:p w14:paraId="75588717" w14:textId="77777777" w:rsidR="00EF6602" w:rsidRPr="00EF6602" w:rsidRDefault="00EF6602" w:rsidP="00F60205">
      <w:pPr>
        <w:pStyle w:val="Heading1"/>
      </w:pPr>
      <w:r w:rsidRPr="00EF6602">
        <w:t>DUSC Actions</w:t>
      </w:r>
    </w:p>
    <w:p w14:paraId="60436F78" w14:textId="77777777" w:rsidR="00EF6602" w:rsidRPr="00EF6602" w:rsidRDefault="00EF6602" w:rsidP="00EF6602">
      <w:pPr>
        <w:autoSpaceDE w:val="0"/>
        <w:autoSpaceDN w:val="0"/>
        <w:adjustRightInd w:val="0"/>
        <w:spacing w:after="0"/>
        <w:rPr>
          <w:rFonts w:cstheme="minorHAnsi"/>
          <w:iCs/>
        </w:rPr>
      </w:pPr>
      <w:r w:rsidRPr="00EF6602">
        <w:rPr>
          <w:rFonts w:cstheme="minorHAnsi"/>
          <w:iCs/>
        </w:rPr>
        <w:t xml:space="preserve">DUSC requested that the report </w:t>
      </w:r>
      <w:proofErr w:type="gramStart"/>
      <w:r w:rsidRPr="00EF6602">
        <w:rPr>
          <w:rFonts w:cstheme="minorHAnsi"/>
          <w:iCs/>
        </w:rPr>
        <w:t>be provided</w:t>
      </w:r>
      <w:proofErr w:type="gramEnd"/>
      <w:r w:rsidRPr="00EF6602">
        <w:rPr>
          <w:rFonts w:cstheme="minorHAnsi"/>
          <w:iCs/>
        </w:rPr>
        <w:t xml:space="preserve"> to the PBAC for information. </w:t>
      </w:r>
    </w:p>
    <w:p w14:paraId="303AD543" w14:textId="44B8C0CF" w:rsidR="002F3D4E" w:rsidRPr="002F3D4E" w:rsidRDefault="002F3D4E" w:rsidP="00F60205">
      <w:pPr>
        <w:pStyle w:val="Heading1"/>
      </w:pPr>
      <w:r w:rsidRPr="002F3D4E">
        <w:t>Context for analysis</w:t>
      </w:r>
    </w:p>
    <w:p w14:paraId="5C144999" w14:textId="77777777" w:rsidR="002F3D4E" w:rsidRPr="002F3D4E" w:rsidRDefault="002F3D4E" w:rsidP="002F3D4E">
      <w:pPr>
        <w:autoSpaceDE w:val="0"/>
        <w:autoSpaceDN w:val="0"/>
        <w:adjustRightInd w:val="0"/>
        <w:rPr>
          <w:rFonts w:ascii="Calibri" w:hAnsi="Calibri" w:cs="Calibri"/>
        </w:rPr>
      </w:pPr>
      <w:r w:rsidRPr="002F3D4E">
        <w:rPr>
          <w:rFonts w:ascii="Calibri" w:hAnsi="Calibri" w:cs="Calibri"/>
        </w:rPr>
        <w:t>The DUSC is a Sub Committee of the Pharmaceutical Benefits Advisory Committee (PBAC). The DUSC assesses estimates on projected usage and financial cost of medicines.</w:t>
      </w:r>
    </w:p>
    <w:p w14:paraId="11585FC1" w14:textId="77777777" w:rsidR="002F3D4E" w:rsidRPr="002F3D4E" w:rsidRDefault="002F3D4E" w:rsidP="002F3D4E">
      <w:pPr>
        <w:autoSpaceDE w:val="0"/>
        <w:autoSpaceDN w:val="0"/>
        <w:adjustRightInd w:val="0"/>
        <w:rPr>
          <w:rFonts w:ascii="Calibri" w:hAnsi="Calibri" w:cs="Calibri"/>
        </w:rPr>
      </w:pPr>
      <w:r w:rsidRPr="002F3D4E">
        <w:rPr>
          <w:rFonts w:ascii="Calibri" w:hAnsi="Calibri" w:cs="Calibri"/>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65E3B8B" w14:textId="77777777" w:rsidR="002F3D4E" w:rsidRPr="002F3D4E" w:rsidRDefault="002F3D4E" w:rsidP="002F3D4E">
      <w:pPr>
        <w:autoSpaceDE w:val="0"/>
        <w:autoSpaceDN w:val="0"/>
        <w:adjustRightInd w:val="0"/>
        <w:rPr>
          <w:rFonts w:ascii="Calibri" w:hAnsi="Calibri" w:cs="Calibri"/>
        </w:rPr>
      </w:pPr>
      <w:r w:rsidRPr="002F3D4E">
        <w:rPr>
          <w:rFonts w:ascii="Calibri" w:hAnsi="Calibri" w:cs="Calibri"/>
        </w:rPr>
        <w:t xml:space="preserve">The DUSC operates in accordance with the quality use of medicines objective of the National Medicines Policy and considers that the DUSC utilisation analyses will assist consumers and health professionals </w:t>
      </w:r>
      <w:proofErr w:type="gramStart"/>
      <w:r w:rsidRPr="002F3D4E">
        <w:rPr>
          <w:rFonts w:ascii="Calibri" w:hAnsi="Calibri" w:cs="Calibri"/>
        </w:rPr>
        <w:t>to better understand</w:t>
      </w:r>
      <w:proofErr w:type="gramEnd"/>
      <w:r w:rsidRPr="002F3D4E">
        <w:rPr>
          <w:rFonts w:ascii="Calibri" w:hAnsi="Calibri" w:cs="Calibri"/>
        </w:rPr>
        <w:t xml:space="preserve"> the costs, benefits and risks of medicines.</w:t>
      </w:r>
    </w:p>
    <w:p w14:paraId="681F0176" w14:textId="77777777" w:rsidR="002F3D4E" w:rsidRPr="002F3D4E" w:rsidRDefault="002F3D4E" w:rsidP="002F3D4E">
      <w:pPr>
        <w:autoSpaceDE w:val="0"/>
        <w:autoSpaceDN w:val="0"/>
        <w:adjustRightInd w:val="0"/>
        <w:rPr>
          <w:rFonts w:ascii="Calibri" w:hAnsi="Calibri" w:cs="Calibri"/>
        </w:rPr>
      </w:pPr>
      <w:r w:rsidRPr="002F3D4E">
        <w:rPr>
          <w:rFonts w:ascii="Calibri" w:hAnsi="Calibri" w:cs="Calibri"/>
        </w:rPr>
        <w:t xml:space="preserve">The utilisation analysis report </w:t>
      </w:r>
      <w:proofErr w:type="gramStart"/>
      <w:r w:rsidRPr="002F3D4E">
        <w:rPr>
          <w:rFonts w:ascii="Calibri" w:hAnsi="Calibri" w:cs="Calibri"/>
        </w:rPr>
        <w:t>was provided</w:t>
      </w:r>
      <w:proofErr w:type="gramEnd"/>
      <w:r w:rsidRPr="002F3D4E">
        <w:rPr>
          <w:rFonts w:ascii="Calibri" w:hAnsi="Calibri" w:cs="Calibri"/>
        </w:rPr>
        <w:t xml:space="preserve"> to the pharmaceutical sponsors of each drug and comments on the report were provided to DUSC prior to its consideration of the analysis.</w:t>
      </w:r>
    </w:p>
    <w:p w14:paraId="6C11CD21" w14:textId="77777777" w:rsidR="002F3D4E" w:rsidRDefault="002F3D4E" w:rsidP="002F3D4E">
      <w:pPr>
        <w:autoSpaceDE w:val="0"/>
        <w:autoSpaceDN w:val="0"/>
        <w:adjustRightInd w:val="0"/>
        <w:spacing w:before="480" w:after="240"/>
        <w:rPr>
          <w:rFonts w:ascii="Calibri" w:hAnsi="Calibri" w:cs="Calibri"/>
          <w:b/>
          <w:bCs/>
          <w:sz w:val="32"/>
          <w:szCs w:val="32"/>
        </w:rPr>
      </w:pPr>
    </w:p>
    <w:p w14:paraId="0887EE07" w14:textId="74CD0BCA" w:rsidR="002F3D4E" w:rsidRPr="002F3D4E" w:rsidRDefault="002F3D4E" w:rsidP="00F60205">
      <w:pPr>
        <w:pStyle w:val="Heading1"/>
      </w:pPr>
      <w:r w:rsidRPr="002F3D4E">
        <w:lastRenderedPageBreak/>
        <w:t>Sponsors’ comments</w:t>
      </w:r>
    </w:p>
    <w:p w14:paraId="38C9BFE7" w14:textId="32052E92" w:rsidR="00F66840" w:rsidRPr="00522B34" w:rsidRDefault="00F66840" w:rsidP="002F3D4E">
      <w:pPr>
        <w:autoSpaceDE w:val="0"/>
        <w:autoSpaceDN w:val="0"/>
        <w:adjustRightInd w:val="0"/>
        <w:rPr>
          <w:rFonts w:ascii="Calibri" w:hAnsi="Calibri" w:cs="Calibri"/>
        </w:rPr>
      </w:pPr>
      <w:r w:rsidRPr="00522B34">
        <w:rPr>
          <w:rFonts w:ascii="Calibri" w:hAnsi="Calibri" w:cs="Calibri"/>
        </w:rPr>
        <w:t>AstraZeneca Pty Ltd:</w:t>
      </w:r>
      <w:r w:rsidR="00522B34" w:rsidRPr="00522B34">
        <w:rPr>
          <w:rFonts w:ascii="Calibri" w:hAnsi="Calibri" w:cs="Calibri"/>
        </w:rPr>
        <w:t xml:space="preserve"> The sponsor has no comment.</w:t>
      </w:r>
    </w:p>
    <w:p w14:paraId="13EB9B02" w14:textId="1ED12A17" w:rsidR="00F66840" w:rsidRPr="00522B34" w:rsidRDefault="00F66840" w:rsidP="002F3D4E">
      <w:pPr>
        <w:autoSpaceDE w:val="0"/>
        <w:autoSpaceDN w:val="0"/>
        <w:adjustRightInd w:val="0"/>
        <w:rPr>
          <w:rFonts w:ascii="Calibri" w:hAnsi="Calibri" w:cs="Calibri"/>
        </w:rPr>
      </w:pPr>
      <w:r w:rsidRPr="00522B34">
        <w:rPr>
          <w:rFonts w:ascii="Calibri" w:hAnsi="Calibri" w:cs="Calibri"/>
        </w:rPr>
        <w:t>GlaxoSmithKline Australia Pty Ltd:</w:t>
      </w:r>
      <w:r w:rsidR="00522B34" w:rsidRPr="00522B34">
        <w:rPr>
          <w:rFonts w:ascii="Calibri" w:hAnsi="Calibri" w:cs="Calibri"/>
        </w:rPr>
        <w:t xml:space="preserve"> The sponsor has no comment.</w:t>
      </w:r>
    </w:p>
    <w:p w14:paraId="61EA0ACB" w14:textId="77777777" w:rsidR="00522B34" w:rsidRPr="00522B34" w:rsidRDefault="00F66840" w:rsidP="00522B34">
      <w:pPr>
        <w:autoSpaceDE w:val="0"/>
        <w:autoSpaceDN w:val="0"/>
        <w:adjustRightInd w:val="0"/>
        <w:rPr>
          <w:rFonts w:ascii="Calibri" w:hAnsi="Calibri" w:cs="Calibri"/>
        </w:rPr>
      </w:pPr>
      <w:r w:rsidRPr="00522B34">
        <w:rPr>
          <w:rFonts w:ascii="Calibri" w:hAnsi="Calibri" w:cs="Calibri"/>
        </w:rPr>
        <w:t>Novartis Pharmaceuticals Australia Pty Ltd:</w:t>
      </w:r>
      <w:r w:rsidR="00522B34" w:rsidRPr="00522B34">
        <w:rPr>
          <w:rFonts w:ascii="Calibri" w:hAnsi="Calibri" w:cs="Calibri"/>
        </w:rPr>
        <w:t xml:space="preserve"> Novartis is pleased that patients with severe asthma are accessing PBS-subsidised biologic treatments, as described in the DUSC analysis. Amendments to the PBS restrictions, which took effect in December 2019, should enhance access to treatment for appropriate patients.</w:t>
      </w:r>
    </w:p>
    <w:p w14:paraId="3357D257" w14:textId="77777777" w:rsidR="002F3D4E" w:rsidRPr="002F3D4E" w:rsidRDefault="002F3D4E" w:rsidP="00F60205">
      <w:pPr>
        <w:pStyle w:val="Heading1"/>
      </w:pPr>
      <w:r w:rsidRPr="002F3D4E">
        <w:t>Disclaimer</w:t>
      </w:r>
    </w:p>
    <w:p w14:paraId="4B2D1C49" w14:textId="77777777" w:rsidR="002F3D4E" w:rsidRPr="002F3D4E" w:rsidRDefault="002F3D4E" w:rsidP="002F3D4E">
      <w:pPr>
        <w:autoSpaceDE w:val="0"/>
        <w:autoSpaceDN w:val="0"/>
        <w:adjustRightInd w:val="0"/>
        <w:rPr>
          <w:rFonts w:ascii="Calibri" w:hAnsi="Calibri" w:cs="Calibri"/>
        </w:rPr>
      </w:pPr>
      <w:r w:rsidRPr="002F3D4E">
        <w:rPr>
          <w:rFonts w:ascii="Calibri" w:hAnsi="Calibri" w:cs="Calibri"/>
        </w:rPr>
        <w:t xml:space="preserve">The information provided in this report does not constitute medical advice and </w:t>
      </w:r>
      <w:proofErr w:type="gramStart"/>
      <w:r w:rsidRPr="002F3D4E">
        <w:rPr>
          <w:rFonts w:ascii="Calibri" w:hAnsi="Calibri" w:cs="Calibri"/>
        </w:rPr>
        <w:t>is not intended</w:t>
      </w:r>
      <w:proofErr w:type="gramEnd"/>
      <w:r w:rsidRPr="002F3D4E">
        <w:rPr>
          <w:rFonts w:ascii="Calibri" w:hAnsi="Calibri" w:cs="Calibri"/>
        </w:rPr>
        <w:t xml:space="preserve"> to take the place of professional medical advice or care.  It is not intended to define what constitutes reasonable, appropriate or best care for any individual for any given health issue.  The information </w:t>
      </w:r>
      <w:proofErr w:type="gramStart"/>
      <w:r w:rsidRPr="002F3D4E">
        <w:rPr>
          <w:rFonts w:ascii="Calibri" w:hAnsi="Calibri" w:cs="Calibri"/>
        </w:rPr>
        <w:t>should not be used</w:t>
      </w:r>
      <w:proofErr w:type="gramEnd"/>
      <w:r w:rsidRPr="002F3D4E">
        <w:rPr>
          <w:rFonts w:ascii="Calibri" w:hAnsi="Calibri" w:cs="Calibri"/>
        </w:rPr>
        <w:t xml:space="preserve"> as a substitute for the judgement and skill of a medical practitioner.</w:t>
      </w:r>
    </w:p>
    <w:p w14:paraId="1CA2FDB4" w14:textId="77777777" w:rsidR="002F3D4E" w:rsidRPr="002F3D4E" w:rsidRDefault="002F3D4E" w:rsidP="002F3D4E">
      <w:pPr>
        <w:autoSpaceDE w:val="0"/>
        <w:autoSpaceDN w:val="0"/>
        <w:adjustRightInd w:val="0"/>
        <w:rPr>
          <w:rFonts w:ascii="Calibri" w:hAnsi="Calibri" w:cs="Calibri"/>
        </w:rPr>
      </w:pPr>
      <w:r w:rsidRPr="002F3D4E">
        <w:rPr>
          <w:rFonts w:ascii="Calibri" w:hAnsi="Calibri" w:cs="Calibri"/>
        </w:rPr>
        <w:t>The Department of Health (</w:t>
      </w:r>
      <w:proofErr w:type="spellStart"/>
      <w:r w:rsidRPr="002F3D4E">
        <w:rPr>
          <w:rFonts w:ascii="Calibri" w:hAnsi="Calibri" w:cs="Calibri"/>
        </w:rPr>
        <w:t>DoH</w:t>
      </w:r>
      <w:proofErr w:type="spellEnd"/>
      <w:r w:rsidRPr="002F3D4E">
        <w:rPr>
          <w:rFonts w:ascii="Calibri" w:hAnsi="Calibri" w:cs="Calibri"/>
        </w:rPr>
        <w:t xml:space="preserve">) has made all reasonable efforts to ensure that information provided in this report is accurate. The information provided in this report was up-to-date when </w:t>
      </w:r>
      <w:proofErr w:type="gramStart"/>
      <w:r w:rsidRPr="002F3D4E">
        <w:rPr>
          <w:rFonts w:ascii="Calibri" w:hAnsi="Calibri" w:cs="Calibri"/>
        </w:rPr>
        <w:t>it was considered by the Drug Utilisation Sub-committee of the Pharmaceutical Benefits Advisory Committee</w:t>
      </w:r>
      <w:proofErr w:type="gramEnd"/>
      <w:r w:rsidRPr="002F3D4E">
        <w:rPr>
          <w:rFonts w:ascii="Calibri" w:hAnsi="Calibri" w:cs="Calibri"/>
        </w:rPr>
        <w:t>.  The context for that information may have changed since publication.</w:t>
      </w:r>
    </w:p>
    <w:p w14:paraId="33EBAC6C" w14:textId="77777777" w:rsidR="002F3D4E" w:rsidRPr="002F3D4E" w:rsidRDefault="002F3D4E" w:rsidP="002F3D4E">
      <w:pPr>
        <w:autoSpaceDE w:val="0"/>
        <w:autoSpaceDN w:val="0"/>
        <w:adjustRightInd w:val="0"/>
        <w:rPr>
          <w:rFonts w:ascii="Calibri" w:hAnsi="Calibri" w:cs="Calibri"/>
        </w:rPr>
      </w:pPr>
      <w:r w:rsidRPr="002F3D4E">
        <w:rPr>
          <w:rFonts w:ascii="Calibri" w:hAnsi="Calibri" w:cs="Calibri"/>
        </w:rPr>
        <w:t xml:space="preserve">To the extent provided by law, </w:t>
      </w:r>
      <w:proofErr w:type="spellStart"/>
      <w:r w:rsidRPr="002F3D4E">
        <w:rPr>
          <w:rFonts w:ascii="Calibri" w:hAnsi="Calibri" w:cs="Calibri"/>
        </w:rPr>
        <w:t>DoH</w:t>
      </w:r>
      <w:proofErr w:type="spellEnd"/>
      <w:r w:rsidRPr="002F3D4E">
        <w:rPr>
          <w:rFonts w:ascii="Calibri" w:hAnsi="Calibri" w:cs="Calibri"/>
        </w:rPr>
        <w:t xml:space="preserve"> makes no warranties or representations as to accuracy or completeness of information contained in this report. </w:t>
      </w:r>
    </w:p>
    <w:p w14:paraId="73427064" w14:textId="77777777" w:rsidR="002F3D4E" w:rsidRPr="002F3D4E" w:rsidRDefault="002F3D4E" w:rsidP="002F3D4E">
      <w:pPr>
        <w:autoSpaceDE w:val="0"/>
        <w:autoSpaceDN w:val="0"/>
        <w:adjustRightInd w:val="0"/>
        <w:rPr>
          <w:rFonts w:ascii="Calibri" w:hAnsi="Calibri" w:cs="Calibri"/>
        </w:rPr>
      </w:pPr>
      <w:proofErr w:type="gramStart"/>
      <w:r w:rsidRPr="002F3D4E">
        <w:rPr>
          <w:rFonts w:ascii="Calibri" w:hAnsi="Calibri" w:cs="Calibri"/>
        </w:rPr>
        <w:t xml:space="preserve">To the fullest extent permitted by law, neither the </w:t>
      </w:r>
      <w:proofErr w:type="spellStart"/>
      <w:r w:rsidRPr="002F3D4E">
        <w:rPr>
          <w:rFonts w:ascii="Calibri" w:hAnsi="Calibri" w:cs="Calibri"/>
        </w:rPr>
        <w:t>DoH</w:t>
      </w:r>
      <w:proofErr w:type="spellEnd"/>
      <w:r w:rsidRPr="002F3D4E">
        <w:rPr>
          <w:rFonts w:ascii="Calibri" w:hAnsi="Calibri" w:cs="Calibri"/>
        </w:rPr>
        <w:t xml:space="preserve"> nor any </w:t>
      </w:r>
      <w:proofErr w:type="spellStart"/>
      <w:r w:rsidRPr="002F3D4E">
        <w:rPr>
          <w:rFonts w:ascii="Calibri" w:hAnsi="Calibri" w:cs="Calibri"/>
        </w:rPr>
        <w:t>DoH</w:t>
      </w:r>
      <w:proofErr w:type="spellEnd"/>
      <w:r w:rsidRPr="002F3D4E">
        <w:rPr>
          <w:rFonts w:ascii="Calibri" w:hAnsi="Calibri" w:cs="Calibri"/>
        </w:rP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roofErr w:type="gramEnd"/>
    </w:p>
    <w:p w14:paraId="3C67E905" w14:textId="2051CD12" w:rsidR="00EF6602" w:rsidRDefault="00EF6602" w:rsidP="00EF6602">
      <w:pPr>
        <w:spacing w:line="276" w:lineRule="auto"/>
      </w:pPr>
      <w:r>
        <w:br w:type="page"/>
      </w:r>
    </w:p>
    <w:p w14:paraId="075A0541" w14:textId="77777777" w:rsidR="005B47F8" w:rsidRDefault="005B47F8" w:rsidP="005B47F8"/>
    <w:sectPr w:rsidR="005B47F8" w:rsidSect="00AB7C87">
      <w:headerReference w:type="even" r:id="rId38"/>
      <w:headerReference w:type="default" r:id="rId39"/>
      <w:footerReference w:type="even" r:id="rId40"/>
      <w:footerReference w:type="default" r:id="rId41"/>
      <w:headerReference w:type="first" r:id="rId42"/>
      <w:footerReference w:type="first" r:id="rId43"/>
      <w:endnotePr>
        <w:numFmt w:val="decimal"/>
      </w:endnotePr>
      <w:pgSz w:w="11906" w:h="16838"/>
      <w:pgMar w:top="1644" w:right="1361" w:bottom="993"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C463F" w14:textId="77777777" w:rsidR="00957343" w:rsidRDefault="00957343" w:rsidP="00A35800">
      <w:r>
        <w:separator/>
      </w:r>
    </w:p>
  </w:endnote>
  <w:endnote w:type="continuationSeparator" w:id="0">
    <w:p w14:paraId="4A50F723" w14:textId="77777777" w:rsidR="00957343" w:rsidRDefault="00957343" w:rsidP="00A35800">
      <w:r>
        <w:continuationSeparator/>
      </w:r>
    </w:p>
  </w:endnote>
  <w:endnote w:id="1">
    <w:p w14:paraId="76256046" w14:textId="77777777" w:rsidR="00957343" w:rsidRPr="00453191" w:rsidRDefault="00957343" w:rsidP="00F60205">
      <w:pPr>
        <w:pStyle w:val="Heading1"/>
      </w:pPr>
      <w:r w:rsidRPr="00453191">
        <w:t>References</w:t>
      </w:r>
    </w:p>
    <w:p w14:paraId="22184D16" w14:textId="3AE867D7" w:rsidR="00957343" w:rsidRPr="002049A6" w:rsidRDefault="00957343" w:rsidP="00453191">
      <w:pPr>
        <w:pStyle w:val="EndnoteText"/>
        <w:spacing w:after="120"/>
        <w:rPr>
          <w:sz w:val="22"/>
          <w:szCs w:val="22"/>
        </w:rPr>
      </w:pPr>
      <w:r w:rsidRPr="002049A6">
        <w:rPr>
          <w:rStyle w:val="EndnoteReference"/>
          <w:sz w:val="22"/>
          <w:szCs w:val="22"/>
        </w:rPr>
        <w:endnoteRef/>
      </w:r>
      <w:r w:rsidRPr="002049A6">
        <w:rPr>
          <w:sz w:val="22"/>
          <w:szCs w:val="22"/>
        </w:rPr>
        <w:t xml:space="preserve"> </w:t>
      </w:r>
      <w:hyperlink r:id="rId1" w:history="1">
        <w:r w:rsidRPr="002049A6">
          <w:rPr>
            <w:rStyle w:val="Hyperlink"/>
            <w:sz w:val="22"/>
            <w:szCs w:val="22"/>
          </w:rPr>
          <w:t>Severe asthma stakeholder meeting outcome statement</w:t>
        </w:r>
      </w:hyperlink>
    </w:p>
  </w:endnote>
  <w:endnote w:id="2">
    <w:p w14:paraId="4C0A8A2D" w14:textId="7B5E758F" w:rsidR="00957343" w:rsidRPr="002049A6" w:rsidRDefault="00957343" w:rsidP="00453191">
      <w:pPr>
        <w:pStyle w:val="EndnoteText"/>
        <w:spacing w:after="120"/>
        <w:rPr>
          <w:rStyle w:val="Hyperlink"/>
          <w:rFonts w:cs="Baskerville"/>
          <w:sz w:val="22"/>
          <w:szCs w:val="22"/>
        </w:rPr>
      </w:pPr>
      <w:r w:rsidRPr="002049A6">
        <w:rPr>
          <w:rStyle w:val="EndnoteReference"/>
          <w:sz w:val="22"/>
          <w:szCs w:val="22"/>
        </w:rPr>
        <w:endnoteRef/>
      </w:r>
      <w:r w:rsidRPr="002049A6">
        <w:rPr>
          <w:sz w:val="22"/>
          <w:szCs w:val="22"/>
        </w:rPr>
        <w:t xml:space="preserve"> </w:t>
      </w:r>
      <w:r w:rsidRPr="002049A6">
        <w:rPr>
          <w:sz w:val="22"/>
          <w:szCs w:val="22"/>
          <w:lang w:val="en-US"/>
        </w:rPr>
        <w:t xml:space="preserve">Tran TN, </w:t>
      </w:r>
      <w:proofErr w:type="spellStart"/>
      <w:r w:rsidRPr="002049A6">
        <w:rPr>
          <w:sz w:val="22"/>
          <w:szCs w:val="22"/>
          <w:lang w:val="en-US"/>
        </w:rPr>
        <w:t>Zeiger</w:t>
      </w:r>
      <w:proofErr w:type="spellEnd"/>
      <w:r w:rsidRPr="002049A6">
        <w:rPr>
          <w:sz w:val="22"/>
          <w:szCs w:val="22"/>
          <w:lang w:val="en-US"/>
        </w:rPr>
        <w:t xml:space="preserve"> RS, Peters SP, </w:t>
      </w:r>
      <w:proofErr w:type="spellStart"/>
      <w:r w:rsidRPr="002049A6">
        <w:rPr>
          <w:sz w:val="22"/>
          <w:szCs w:val="22"/>
          <w:lang w:val="en-US"/>
        </w:rPr>
        <w:t>Colice</w:t>
      </w:r>
      <w:proofErr w:type="spellEnd"/>
      <w:r w:rsidRPr="002049A6">
        <w:rPr>
          <w:sz w:val="22"/>
          <w:szCs w:val="22"/>
          <w:lang w:val="en-US"/>
        </w:rPr>
        <w:t xml:space="preserve"> G, Newbold P, Goldman M. et al. </w:t>
      </w:r>
      <w:r w:rsidRPr="002049A6">
        <w:rPr>
          <w:i/>
          <w:sz w:val="22"/>
          <w:szCs w:val="22"/>
          <w:lang w:val="en-US"/>
        </w:rPr>
        <w:t>Overlap of atopic, eosinophilic, and TH2-high asthma phenotypes in a general population with current asthma.</w:t>
      </w:r>
      <w:r w:rsidRPr="002049A6">
        <w:rPr>
          <w:sz w:val="22"/>
          <w:szCs w:val="22"/>
          <w:lang w:val="en-US"/>
        </w:rPr>
        <w:t xml:space="preserve"> Ann Allergy Asthma </w:t>
      </w:r>
      <w:proofErr w:type="spellStart"/>
      <w:r w:rsidRPr="002049A6">
        <w:rPr>
          <w:sz w:val="22"/>
          <w:szCs w:val="22"/>
          <w:lang w:val="en-US"/>
        </w:rPr>
        <w:t>Immunol</w:t>
      </w:r>
      <w:proofErr w:type="spellEnd"/>
      <w:r w:rsidRPr="002049A6">
        <w:rPr>
          <w:sz w:val="22"/>
          <w:szCs w:val="22"/>
          <w:lang w:val="en-US"/>
        </w:rPr>
        <w:t xml:space="preserve"> 2016; 116(1):37-42. </w:t>
      </w:r>
      <w:proofErr w:type="spellStart"/>
      <w:r w:rsidRPr="002049A6">
        <w:rPr>
          <w:sz w:val="22"/>
          <w:szCs w:val="22"/>
          <w:lang w:val="en-US"/>
        </w:rPr>
        <w:t>doi</w:t>
      </w:r>
      <w:proofErr w:type="spellEnd"/>
      <w:r w:rsidRPr="002049A6">
        <w:rPr>
          <w:sz w:val="22"/>
          <w:szCs w:val="22"/>
          <w:lang w:val="en-US"/>
        </w:rPr>
        <w:t>: </w:t>
      </w:r>
      <w:hyperlink r:id="rId2" w:tgtFrame="_blank" w:history="1">
        <w:r w:rsidRPr="002049A6">
          <w:rPr>
            <w:rStyle w:val="Hyperlink"/>
            <w:rFonts w:cs="Baskerville"/>
            <w:sz w:val="22"/>
            <w:szCs w:val="22"/>
          </w:rPr>
          <w:t>10.1016/j.anai.2015.10.027</w:t>
        </w:r>
      </w:hyperlink>
    </w:p>
  </w:endnote>
  <w:endnote w:id="3">
    <w:p w14:paraId="190FF3BD" w14:textId="0488BF63" w:rsidR="00957343" w:rsidRPr="002049A6" w:rsidRDefault="00957343" w:rsidP="00453191">
      <w:pPr>
        <w:pStyle w:val="Notes"/>
        <w:spacing w:after="120"/>
        <w:rPr>
          <w:sz w:val="22"/>
          <w:szCs w:val="22"/>
        </w:rPr>
      </w:pPr>
      <w:r w:rsidRPr="002049A6">
        <w:rPr>
          <w:rStyle w:val="EndnoteReference"/>
          <w:sz w:val="22"/>
          <w:szCs w:val="22"/>
        </w:rPr>
        <w:endnoteRef/>
      </w:r>
      <w:r w:rsidRPr="002049A6">
        <w:rPr>
          <w:sz w:val="22"/>
          <w:szCs w:val="22"/>
        </w:rPr>
        <w:t xml:space="preserve"> </w:t>
      </w:r>
      <w:proofErr w:type="spellStart"/>
      <w:r w:rsidRPr="002049A6">
        <w:rPr>
          <w:sz w:val="22"/>
          <w:szCs w:val="22"/>
        </w:rPr>
        <w:t>Xolair</w:t>
      </w:r>
      <w:proofErr w:type="spellEnd"/>
      <w:r w:rsidRPr="002049A6">
        <w:rPr>
          <w:sz w:val="22"/>
          <w:szCs w:val="22"/>
        </w:rPr>
        <w:t xml:space="preserve"> (</w:t>
      </w:r>
      <w:proofErr w:type="spellStart"/>
      <w:r w:rsidRPr="002049A6">
        <w:rPr>
          <w:sz w:val="22"/>
          <w:szCs w:val="22"/>
        </w:rPr>
        <w:t>omalizumab</w:t>
      </w:r>
      <w:proofErr w:type="spellEnd"/>
      <w:r w:rsidRPr="002049A6">
        <w:rPr>
          <w:sz w:val="22"/>
          <w:szCs w:val="22"/>
        </w:rPr>
        <w:t xml:space="preserve">). Australian Approved Consumer Medicines Information. Macquarie Park: Novartis Pharmaceuticals Australia Pty Limited. Updated January 2016. Available from </w:t>
      </w:r>
      <w:hyperlink r:id="rId3" w:history="1">
        <w:r w:rsidRPr="002049A6">
          <w:rPr>
            <w:rStyle w:val="Hyperlink"/>
            <w:sz w:val="22"/>
            <w:szCs w:val="22"/>
          </w:rPr>
          <w:t>https://www.tga.gov.au/consumer-medicines-information-cmi</w:t>
        </w:r>
      </w:hyperlink>
      <w:r w:rsidRPr="002049A6">
        <w:rPr>
          <w:sz w:val="22"/>
          <w:szCs w:val="22"/>
        </w:rPr>
        <w:t xml:space="preserve">  </w:t>
      </w:r>
    </w:p>
  </w:endnote>
  <w:endnote w:id="4">
    <w:p w14:paraId="2B40CA76" w14:textId="18AADC06" w:rsidR="00957343" w:rsidRPr="002049A6" w:rsidRDefault="00957343" w:rsidP="00453191">
      <w:pPr>
        <w:pStyle w:val="EndnoteText"/>
        <w:spacing w:after="120"/>
        <w:rPr>
          <w:sz w:val="22"/>
          <w:szCs w:val="22"/>
        </w:rPr>
      </w:pPr>
      <w:r w:rsidRPr="002049A6">
        <w:rPr>
          <w:rStyle w:val="EndnoteReference"/>
          <w:sz w:val="22"/>
          <w:szCs w:val="22"/>
        </w:rPr>
        <w:endnoteRef/>
      </w:r>
      <w:r w:rsidRPr="002049A6">
        <w:rPr>
          <w:sz w:val="22"/>
          <w:szCs w:val="22"/>
        </w:rPr>
        <w:t xml:space="preserve"> </w:t>
      </w:r>
      <w:proofErr w:type="spellStart"/>
      <w:r w:rsidRPr="002049A6">
        <w:rPr>
          <w:sz w:val="22"/>
          <w:szCs w:val="22"/>
        </w:rPr>
        <w:t>Nucala</w:t>
      </w:r>
      <w:proofErr w:type="spellEnd"/>
      <w:r w:rsidRPr="002049A6">
        <w:rPr>
          <w:sz w:val="22"/>
          <w:szCs w:val="22"/>
        </w:rPr>
        <w:t xml:space="preserve"> (</w:t>
      </w:r>
      <w:proofErr w:type="spellStart"/>
      <w:r w:rsidRPr="002049A6">
        <w:rPr>
          <w:sz w:val="22"/>
          <w:szCs w:val="22"/>
        </w:rPr>
        <w:t>mepolizumab</w:t>
      </w:r>
      <w:proofErr w:type="spellEnd"/>
      <w:r w:rsidRPr="002049A6">
        <w:rPr>
          <w:sz w:val="22"/>
          <w:szCs w:val="22"/>
        </w:rPr>
        <w:t xml:space="preserve">). Australian Approved Consumer Medicines Information. Abbotsford: GlaxoSmithKline Australia Pty Ltd. Updated 29 January 2019. Available from </w:t>
      </w:r>
      <w:hyperlink r:id="rId4" w:history="1">
        <w:r w:rsidRPr="002049A6">
          <w:rPr>
            <w:rStyle w:val="Hyperlink"/>
            <w:sz w:val="22"/>
            <w:szCs w:val="22"/>
          </w:rPr>
          <w:t>https://www.tga.gov.au/consumer-medicines-information-cmi</w:t>
        </w:r>
      </w:hyperlink>
      <w:r w:rsidRPr="002049A6">
        <w:rPr>
          <w:sz w:val="22"/>
          <w:szCs w:val="22"/>
        </w:rPr>
        <w:t xml:space="preserve">  </w:t>
      </w:r>
    </w:p>
  </w:endnote>
  <w:endnote w:id="5">
    <w:p w14:paraId="4F5CBBF6" w14:textId="73982E85" w:rsidR="00957343" w:rsidRPr="002049A6" w:rsidRDefault="00957343" w:rsidP="00453191">
      <w:pPr>
        <w:pStyle w:val="EndnoteText"/>
        <w:spacing w:after="120"/>
        <w:rPr>
          <w:sz w:val="22"/>
          <w:szCs w:val="22"/>
        </w:rPr>
      </w:pPr>
      <w:r w:rsidRPr="002049A6">
        <w:rPr>
          <w:rStyle w:val="EndnoteReference"/>
          <w:sz w:val="22"/>
          <w:szCs w:val="22"/>
        </w:rPr>
        <w:endnoteRef/>
      </w:r>
      <w:r w:rsidRPr="002049A6">
        <w:rPr>
          <w:sz w:val="22"/>
          <w:szCs w:val="22"/>
        </w:rPr>
        <w:t xml:space="preserve"> </w:t>
      </w:r>
      <w:proofErr w:type="spellStart"/>
      <w:r w:rsidRPr="002049A6">
        <w:rPr>
          <w:sz w:val="22"/>
          <w:szCs w:val="22"/>
        </w:rPr>
        <w:t>Fasenra</w:t>
      </w:r>
      <w:proofErr w:type="spellEnd"/>
      <w:r w:rsidRPr="002049A6">
        <w:rPr>
          <w:sz w:val="22"/>
          <w:szCs w:val="22"/>
        </w:rPr>
        <w:t xml:space="preserve"> (</w:t>
      </w:r>
      <w:proofErr w:type="spellStart"/>
      <w:r w:rsidRPr="002049A6">
        <w:rPr>
          <w:sz w:val="22"/>
          <w:szCs w:val="22"/>
        </w:rPr>
        <w:t>benralizumab</w:t>
      </w:r>
      <w:proofErr w:type="spellEnd"/>
      <w:r w:rsidRPr="002049A6">
        <w:rPr>
          <w:sz w:val="22"/>
          <w:szCs w:val="22"/>
        </w:rPr>
        <w:t xml:space="preserve">). Australian Approved Consumer Medicines Information. Macquarie Park: AstraZeneca Pty Ltd. Updated 7 May 2019. Available from </w:t>
      </w:r>
      <w:hyperlink r:id="rId5" w:history="1">
        <w:r w:rsidRPr="002049A6">
          <w:rPr>
            <w:rStyle w:val="Hyperlink"/>
            <w:sz w:val="22"/>
            <w:szCs w:val="22"/>
          </w:rPr>
          <w:t>https://www.tga.gov.au/consumer-medicines-information-cmi</w:t>
        </w:r>
      </w:hyperlink>
      <w:r w:rsidRPr="002049A6">
        <w:rPr>
          <w:sz w:val="22"/>
          <w:szCs w:val="22"/>
        </w:rPr>
        <w:t xml:space="preserve">  </w:t>
      </w:r>
    </w:p>
  </w:endnote>
  <w:endnote w:id="6">
    <w:p w14:paraId="76816BF4" w14:textId="0125DD4C" w:rsidR="00957343" w:rsidRPr="002049A6" w:rsidRDefault="00957343" w:rsidP="0076520E">
      <w:pPr>
        <w:pStyle w:val="EndnoteText"/>
        <w:rPr>
          <w:sz w:val="22"/>
          <w:szCs w:val="22"/>
        </w:rPr>
      </w:pPr>
      <w:r w:rsidRPr="002049A6">
        <w:rPr>
          <w:rStyle w:val="EndnoteReference"/>
          <w:sz w:val="22"/>
          <w:szCs w:val="22"/>
        </w:rPr>
        <w:endnoteRef/>
      </w:r>
      <w:r w:rsidRPr="002049A6">
        <w:rPr>
          <w:sz w:val="22"/>
          <w:szCs w:val="22"/>
        </w:rPr>
        <w:t xml:space="preserve"> </w:t>
      </w:r>
      <w:proofErr w:type="spellStart"/>
      <w:r w:rsidRPr="002049A6">
        <w:rPr>
          <w:sz w:val="22"/>
          <w:szCs w:val="22"/>
        </w:rPr>
        <w:t>Xolair</w:t>
      </w:r>
      <w:proofErr w:type="spellEnd"/>
      <w:r w:rsidRPr="002049A6">
        <w:rPr>
          <w:sz w:val="22"/>
          <w:szCs w:val="22"/>
        </w:rPr>
        <w:t xml:space="preserve"> (</w:t>
      </w:r>
      <w:proofErr w:type="spellStart"/>
      <w:r w:rsidRPr="002049A6">
        <w:rPr>
          <w:sz w:val="22"/>
          <w:szCs w:val="22"/>
        </w:rPr>
        <w:t>omalizumab</w:t>
      </w:r>
      <w:proofErr w:type="spellEnd"/>
      <w:r w:rsidRPr="002049A6">
        <w:rPr>
          <w:sz w:val="22"/>
          <w:szCs w:val="22"/>
        </w:rPr>
        <w:t xml:space="preserve">). Australian Approved Product Information. Macquarie Park: Novartis Pharmaceuticals Australia Pty Limited. Approved 13 June 2003, updated 30 March 2017. Available from </w:t>
      </w:r>
      <w:hyperlink r:id="rId6" w:history="1">
        <w:r w:rsidRPr="002049A6">
          <w:rPr>
            <w:rStyle w:val="Hyperlink"/>
            <w:sz w:val="22"/>
            <w:szCs w:val="22"/>
          </w:rPr>
          <w:t>https://www.tga.gov.au/product-information-pi</w:t>
        </w:r>
      </w:hyperlink>
    </w:p>
  </w:endnote>
  <w:endnote w:id="7">
    <w:p w14:paraId="34836F3E" w14:textId="4341B435" w:rsidR="00957343" w:rsidRPr="002049A6" w:rsidRDefault="00957343" w:rsidP="00453191">
      <w:pPr>
        <w:pStyle w:val="EndnoteText"/>
        <w:spacing w:after="120"/>
        <w:rPr>
          <w:sz w:val="22"/>
          <w:szCs w:val="22"/>
        </w:rPr>
      </w:pPr>
      <w:r w:rsidRPr="002049A6">
        <w:rPr>
          <w:rStyle w:val="EndnoteReference"/>
          <w:sz w:val="22"/>
          <w:szCs w:val="22"/>
        </w:rPr>
        <w:endnoteRef/>
      </w:r>
      <w:r w:rsidRPr="002049A6">
        <w:rPr>
          <w:sz w:val="22"/>
          <w:szCs w:val="22"/>
        </w:rPr>
        <w:t xml:space="preserve"> </w:t>
      </w:r>
      <w:proofErr w:type="spellStart"/>
      <w:r w:rsidRPr="002049A6">
        <w:rPr>
          <w:sz w:val="22"/>
          <w:szCs w:val="22"/>
        </w:rPr>
        <w:t>Nucala</w:t>
      </w:r>
      <w:proofErr w:type="spellEnd"/>
      <w:r w:rsidRPr="002049A6">
        <w:rPr>
          <w:sz w:val="22"/>
          <w:szCs w:val="22"/>
        </w:rPr>
        <w:t xml:space="preserve"> (</w:t>
      </w:r>
      <w:proofErr w:type="spellStart"/>
      <w:r w:rsidRPr="002049A6">
        <w:rPr>
          <w:sz w:val="22"/>
          <w:szCs w:val="22"/>
        </w:rPr>
        <w:t>mepolizumab</w:t>
      </w:r>
      <w:proofErr w:type="spellEnd"/>
      <w:r w:rsidRPr="002049A6">
        <w:rPr>
          <w:sz w:val="22"/>
          <w:szCs w:val="22"/>
        </w:rPr>
        <w:t xml:space="preserve">). Australian Approved Product Information. Abbotsford: GlaxoSmithKline Australia Pty Ltd. Approved 2 February 2016, updated 24 January 2019. Available from </w:t>
      </w:r>
      <w:hyperlink r:id="rId7" w:history="1">
        <w:r w:rsidRPr="002049A6">
          <w:rPr>
            <w:rStyle w:val="Hyperlink"/>
            <w:sz w:val="22"/>
            <w:szCs w:val="22"/>
          </w:rPr>
          <w:t>https://www.tga.gov.au/product-information-pi</w:t>
        </w:r>
      </w:hyperlink>
    </w:p>
  </w:endnote>
  <w:endnote w:id="8">
    <w:p w14:paraId="64304E63" w14:textId="690D2730" w:rsidR="00957343" w:rsidRPr="002049A6" w:rsidRDefault="00957343" w:rsidP="00453191">
      <w:pPr>
        <w:pStyle w:val="EndnoteText"/>
        <w:spacing w:after="120"/>
        <w:rPr>
          <w:sz w:val="22"/>
          <w:szCs w:val="22"/>
        </w:rPr>
      </w:pPr>
      <w:r w:rsidRPr="002049A6">
        <w:rPr>
          <w:rStyle w:val="EndnoteReference"/>
          <w:sz w:val="22"/>
          <w:szCs w:val="22"/>
        </w:rPr>
        <w:endnoteRef/>
      </w:r>
      <w:r w:rsidRPr="002049A6">
        <w:rPr>
          <w:sz w:val="22"/>
          <w:szCs w:val="22"/>
        </w:rPr>
        <w:t xml:space="preserve"> </w:t>
      </w:r>
      <w:proofErr w:type="spellStart"/>
      <w:r w:rsidRPr="002049A6">
        <w:rPr>
          <w:sz w:val="22"/>
          <w:szCs w:val="22"/>
        </w:rPr>
        <w:t>Fasenra</w:t>
      </w:r>
      <w:proofErr w:type="spellEnd"/>
      <w:r w:rsidRPr="002049A6">
        <w:rPr>
          <w:sz w:val="22"/>
          <w:szCs w:val="22"/>
        </w:rPr>
        <w:t xml:space="preserve"> (</w:t>
      </w:r>
      <w:proofErr w:type="spellStart"/>
      <w:r w:rsidRPr="002049A6">
        <w:rPr>
          <w:sz w:val="22"/>
          <w:szCs w:val="22"/>
        </w:rPr>
        <w:t>benralizumab</w:t>
      </w:r>
      <w:proofErr w:type="spellEnd"/>
      <w:r w:rsidRPr="002049A6">
        <w:rPr>
          <w:sz w:val="22"/>
          <w:szCs w:val="22"/>
        </w:rPr>
        <w:t xml:space="preserve">). Australian Approved Product Information. Macquarie Park: AstraZeneca Pty Ltd. Approved 2 April 2018, updated 7 May 2019. Available from </w:t>
      </w:r>
      <w:hyperlink r:id="rId8" w:history="1">
        <w:r w:rsidRPr="002049A6">
          <w:rPr>
            <w:rStyle w:val="Hyperlink"/>
            <w:sz w:val="22"/>
            <w:szCs w:val="22"/>
          </w:rPr>
          <w:t>https://www.tga.gov.au/product-information-pi</w:t>
        </w:r>
      </w:hyperlink>
    </w:p>
  </w:endnote>
  <w:endnote w:id="9">
    <w:p w14:paraId="4E4AE0AB" w14:textId="44060048" w:rsidR="00957343" w:rsidRPr="002049A6" w:rsidRDefault="00957343" w:rsidP="00453191">
      <w:pPr>
        <w:pStyle w:val="Notes"/>
        <w:spacing w:after="120"/>
        <w:rPr>
          <w:sz w:val="22"/>
          <w:szCs w:val="22"/>
        </w:rPr>
      </w:pPr>
      <w:r w:rsidRPr="002049A6">
        <w:rPr>
          <w:rStyle w:val="EndnoteReference"/>
          <w:rFonts w:cs="Arial"/>
          <w:sz w:val="22"/>
          <w:szCs w:val="22"/>
        </w:rPr>
        <w:endnoteRef/>
      </w:r>
      <w:r w:rsidRPr="002049A6">
        <w:rPr>
          <w:sz w:val="22"/>
          <w:szCs w:val="22"/>
        </w:rPr>
        <w:t xml:space="preserve"> Public release document, DUSC utilisation analysis, June 2014. Found at: </w:t>
      </w:r>
      <w:hyperlink r:id="rId9" w:history="1">
        <w:r w:rsidRPr="002049A6">
          <w:rPr>
            <w:rStyle w:val="Hyperlink"/>
            <w:sz w:val="22"/>
            <w:szCs w:val="22"/>
          </w:rPr>
          <w:t>http://www.pbs.gov.au/industry/listing/participants/public-release-docs/omalizumab/omalizumab-24-month-review.pdf</w:t>
        </w:r>
      </w:hyperlink>
      <w:r w:rsidRPr="002049A6">
        <w:rPr>
          <w:sz w:val="22"/>
          <w:szCs w:val="22"/>
        </w:rPr>
        <w:t xml:space="preserve"> </w:t>
      </w:r>
    </w:p>
  </w:endnote>
  <w:endnote w:id="10">
    <w:p w14:paraId="4BE094A9" w14:textId="77777777" w:rsidR="00957343" w:rsidRPr="002049A6" w:rsidRDefault="00957343" w:rsidP="00453191">
      <w:pPr>
        <w:pStyle w:val="Notes"/>
        <w:spacing w:after="120"/>
        <w:rPr>
          <w:sz w:val="22"/>
          <w:szCs w:val="22"/>
        </w:rPr>
      </w:pPr>
      <w:r w:rsidRPr="002049A6">
        <w:rPr>
          <w:rStyle w:val="EndnoteReference"/>
          <w:sz w:val="22"/>
          <w:szCs w:val="22"/>
        </w:rPr>
        <w:endnoteRef/>
      </w:r>
      <w:r w:rsidRPr="002049A6">
        <w:rPr>
          <w:rStyle w:val="EndnoteReference"/>
          <w:sz w:val="22"/>
          <w:szCs w:val="22"/>
        </w:rPr>
        <w:t xml:space="preserve"> </w:t>
      </w:r>
      <w:proofErr w:type="spellStart"/>
      <w:r w:rsidRPr="002049A6">
        <w:rPr>
          <w:sz w:val="22"/>
          <w:szCs w:val="22"/>
        </w:rPr>
        <w:t>Reddel</w:t>
      </w:r>
      <w:proofErr w:type="spellEnd"/>
      <w:r w:rsidRPr="002049A6">
        <w:rPr>
          <w:sz w:val="22"/>
          <w:szCs w:val="22"/>
        </w:rPr>
        <w:t xml:space="preserve"> et al. Asthma control in Australia: a cross-sectional web-based survey in a nationally representative population. Med J </w:t>
      </w:r>
      <w:proofErr w:type="spellStart"/>
      <w:r w:rsidRPr="002049A6">
        <w:rPr>
          <w:sz w:val="22"/>
          <w:szCs w:val="22"/>
        </w:rPr>
        <w:t>Aust</w:t>
      </w:r>
      <w:proofErr w:type="spellEnd"/>
      <w:r w:rsidRPr="002049A6">
        <w:rPr>
          <w:sz w:val="22"/>
          <w:szCs w:val="22"/>
        </w:rPr>
        <w:t xml:space="preserve"> 2015</w:t>
      </w:r>
      <w:proofErr w:type="gramStart"/>
      <w:r w:rsidRPr="002049A6">
        <w:rPr>
          <w:sz w:val="22"/>
          <w:szCs w:val="22"/>
        </w:rPr>
        <w:t>;</w:t>
      </w:r>
      <w:proofErr w:type="gramEnd"/>
      <w:r w:rsidRPr="002049A6">
        <w:rPr>
          <w:sz w:val="22"/>
          <w:szCs w:val="22"/>
        </w:rPr>
        <w:t xml:space="preserve"> 202 (9): 492-496.</w:t>
      </w:r>
    </w:p>
  </w:endnote>
  <w:endnote w:id="11">
    <w:p w14:paraId="3C0928E0" w14:textId="25A14411" w:rsidR="00957343" w:rsidRPr="002049A6" w:rsidRDefault="00957343" w:rsidP="00453191">
      <w:pPr>
        <w:pStyle w:val="Notes"/>
        <w:spacing w:after="120"/>
        <w:rPr>
          <w:sz w:val="22"/>
          <w:szCs w:val="22"/>
        </w:rPr>
      </w:pPr>
      <w:r w:rsidRPr="002049A6">
        <w:rPr>
          <w:rStyle w:val="EndnoteReference"/>
          <w:rFonts w:cs="Arial"/>
          <w:sz w:val="22"/>
          <w:szCs w:val="22"/>
        </w:rPr>
        <w:endnoteRef/>
      </w:r>
      <w:r w:rsidRPr="002049A6">
        <w:rPr>
          <w:sz w:val="22"/>
          <w:szCs w:val="22"/>
        </w:rPr>
        <w:t xml:space="preserve"> Public release document, DUSC utilisation analysis, June 2014. Found at: </w:t>
      </w:r>
      <w:hyperlink r:id="rId10" w:history="1">
        <w:r w:rsidRPr="002049A6">
          <w:rPr>
            <w:rStyle w:val="Hyperlink"/>
            <w:sz w:val="22"/>
            <w:szCs w:val="22"/>
          </w:rPr>
          <w:t>http://www.pbs.gov.au/industry/listing/participants/public-release-docs/omalizumab/omalizumab-24-month-review.pdf</w:t>
        </w:r>
      </w:hyperlink>
      <w:r w:rsidRPr="002049A6">
        <w:rPr>
          <w:sz w:val="22"/>
          <w:szCs w:val="22"/>
        </w:rPr>
        <w:t xml:space="preserve"> </w:t>
      </w:r>
    </w:p>
  </w:endnote>
  <w:endnote w:id="12">
    <w:p w14:paraId="0A4DD767" w14:textId="5A6BE3E8" w:rsidR="00957343" w:rsidRDefault="00957343" w:rsidP="00453191">
      <w:pPr>
        <w:pStyle w:val="EndnoteText"/>
        <w:spacing w:after="120"/>
        <w:rPr>
          <w:rStyle w:val="Hyperlink"/>
          <w:sz w:val="22"/>
          <w:szCs w:val="22"/>
        </w:rPr>
      </w:pPr>
      <w:r w:rsidRPr="002049A6">
        <w:rPr>
          <w:rStyle w:val="EndnoteReference"/>
          <w:sz w:val="22"/>
          <w:szCs w:val="22"/>
        </w:rPr>
        <w:endnoteRef/>
      </w:r>
      <w:r w:rsidRPr="002049A6">
        <w:rPr>
          <w:sz w:val="22"/>
          <w:szCs w:val="22"/>
        </w:rPr>
        <w:t xml:space="preserve"> PBS statistics. </w:t>
      </w:r>
      <w:r w:rsidRPr="002049A6">
        <w:rPr>
          <w:sz w:val="22"/>
          <w:szCs w:val="22"/>
        </w:rPr>
        <w:t xml:space="preserve">Australian Government </w:t>
      </w:r>
      <w:r w:rsidR="003818AF">
        <w:rPr>
          <w:sz w:val="22"/>
          <w:szCs w:val="22"/>
        </w:rPr>
        <w:t xml:space="preserve">Services </w:t>
      </w:r>
      <w:r w:rsidR="003818AF">
        <w:rPr>
          <w:sz w:val="22"/>
          <w:szCs w:val="22"/>
        </w:rPr>
        <w:t>Australia</w:t>
      </w:r>
      <w:bookmarkStart w:id="6" w:name="_GoBack"/>
      <w:bookmarkEnd w:id="6"/>
      <w:r w:rsidRPr="002049A6">
        <w:rPr>
          <w:sz w:val="22"/>
          <w:szCs w:val="22"/>
        </w:rPr>
        <w:t xml:space="preserve">. Canberra. Available from </w:t>
      </w:r>
      <w:r w:rsidRPr="002049A6">
        <w:rPr>
          <w:rStyle w:val="Hyperlink"/>
          <w:sz w:val="22"/>
          <w:szCs w:val="22"/>
        </w:rPr>
        <w:t xml:space="preserve"> </w:t>
      </w:r>
      <w:hyperlink r:id="rId11" w:history="1">
        <w:r w:rsidRPr="00FD3FC3">
          <w:rPr>
            <w:rStyle w:val="Hyperlink"/>
            <w:sz w:val="22"/>
            <w:szCs w:val="22"/>
          </w:rPr>
          <w:t>http://medicarestatistics.humanservices.gov.au/statistics/pbs_item.jsp</w:t>
        </w:r>
      </w:hyperlink>
    </w:p>
    <w:p w14:paraId="477E73D3" w14:textId="77777777" w:rsidR="00957343" w:rsidRDefault="00957343" w:rsidP="00453191">
      <w:pPr>
        <w:pStyle w:val="EndnoteText"/>
        <w:spacing w:after="120"/>
        <w:rPr>
          <w:rStyle w:val="Hyperlink"/>
          <w:sz w:val="22"/>
          <w:szCs w:val="22"/>
        </w:rPr>
      </w:pPr>
    </w:p>
    <w:p w14:paraId="45EBB99A" w14:textId="77777777" w:rsidR="00957343" w:rsidRPr="002049A6" w:rsidRDefault="00957343" w:rsidP="00453191">
      <w:pPr>
        <w:pStyle w:val="EndnoteText"/>
        <w:spacing w:after="120"/>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957343" w:rsidRDefault="0095734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957343" w:rsidRDefault="0095734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73D7C4E8" w:rsidR="00957343" w:rsidRPr="000E72C6" w:rsidRDefault="00957343" w:rsidP="007E38AD">
            <w:pPr>
              <w:pStyle w:val="Footer"/>
              <w:jc w:val="center"/>
              <w:rPr>
                <w:i/>
                <w:sz w:val="20"/>
              </w:rPr>
            </w:pPr>
            <w:r w:rsidRPr="007E38AD">
              <w:rPr>
                <w:i/>
                <w:sz w:val="20"/>
              </w:rPr>
              <w:t xml:space="preserve">Public Release Document, October 2019 DUSC Meeting </w:t>
            </w:r>
          </w:p>
          <w:p w14:paraId="10292A9A" w14:textId="0620D918" w:rsidR="00957343" w:rsidRDefault="00957343"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3818AF">
              <w:rPr>
                <w:bCs/>
                <w:i/>
                <w:noProof/>
                <w:sz w:val="20"/>
              </w:rPr>
              <w:t>26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3818AF">
              <w:rPr>
                <w:bCs/>
                <w:i/>
                <w:noProof/>
                <w:sz w:val="20"/>
              </w:rPr>
              <w:t>26</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957343" w:rsidRDefault="00957343" w:rsidP="007A5733">
    <w:pPr>
      <w:pStyle w:val="Footer"/>
      <w:jc w:val="center"/>
      <w:rPr>
        <w:rStyle w:val="PageNumber"/>
      </w:rPr>
    </w:pPr>
    <w:r>
      <w:rPr>
        <w:rStyle w:val="PageNumber"/>
      </w:rPr>
      <w:t>Committee-in-Confidence</w:t>
    </w:r>
  </w:p>
  <w:p w14:paraId="3CE6880B" w14:textId="77777777" w:rsidR="00957343" w:rsidRDefault="00957343"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48D5" w14:textId="77777777" w:rsidR="00957343" w:rsidRDefault="00957343" w:rsidP="00A35800">
      <w:r>
        <w:separator/>
      </w:r>
    </w:p>
  </w:footnote>
  <w:footnote w:type="continuationSeparator" w:id="0">
    <w:p w14:paraId="47C83526" w14:textId="77777777" w:rsidR="00957343" w:rsidRDefault="00957343" w:rsidP="00A3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5C65" w14:textId="77777777" w:rsidR="00957343" w:rsidRDefault="00957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45754" w14:textId="77777777" w:rsidR="00957343" w:rsidRDefault="00957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09C23" w14:textId="77777777" w:rsidR="00957343" w:rsidRDefault="0095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multilevel"/>
    <w:tmpl w:val="A322E44E"/>
    <w:lvl w:ilvl="0">
      <w:start w:val="1"/>
      <w:numFmt w:val="decimal"/>
      <w:lvlText w:val="%1"/>
      <w:lvlJc w:val="left"/>
      <w:pPr>
        <w:tabs>
          <w:tab w:val="num" w:pos="643"/>
        </w:tabs>
        <w:ind w:left="643" w:hanging="360"/>
      </w:pPr>
      <w:rPr>
        <w:rFonts w:hint="default"/>
        <w:i w:val="0"/>
      </w:rPr>
    </w:lvl>
    <w:lvl w:ilvl="1">
      <w:start w:val="1"/>
      <w:numFmt w:val="decimal"/>
      <w:isLgl/>
      <w:lvlText w:val="%1.%2"/>
      <w:lvlJc w:val="left"/>
      <w:pPr>
        <w:ind w:left="643" w:hanging="360"/>
      </w:pPr>
      <w:rPr>
        <w:rFonts w:ascii="Arial" w:hAnsi="Arial" w:cs="Arial" w:hint="default"/>
        <w:b w:val="0"/>
        <w:i w:val="0"/>
        <w:color w:val="auto"/>
        <w:sz w:val="22"/>
        <w:szCs w:val="22"/>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04240C69"/>
    <w:multiLevelType w:val="multilevel"/>
    <w:tmpl w:val="AE22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72588"/>
    <w:multiLevelType w:val="hybridMultilevel"/>
    <w:tmpl w:val="B74EE012"/>
    <w:lvl w:ilvl="0" w:tplc="04090001">
      <w:start w:val="1"/>
      <w:numFmt w:val="bullet"/>
      <w:lvlText w:val=""/>
      <w:lvlJc w:val="left"/>
      <w:pPr>
        <w:ind w:left="720" w:hanging="360"/>
      </w:pPr>
      <w:rPr>
        <w:rFonts w:ascii="Symbol" w:hAnsi="Symbol" w:hint="default"/>
      </w:rPr>
    </w:lvl>
    <w:lvl w:ilvl="1" w:tplc="A66E374A">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72903"/>
    <w:multiLevelType w:val="multilevel"/>
    <w:tmpl w:val="04B8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07035"/>
    <w:multiLevelType w:val="multilevel"/>
    <w:tmpl w:val="EBF4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B5D11"/>
    <w:multiLevelType w:val="hybridMultilevel"/>
    <w:tmpl w:val="1C8EEAD2"/>
    <w:lvl w:ilvl="0" w:tplc="A06821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731474"/>
    <w:multiLevelType w:val="multilevel"/>
    <w:tmpl w:val="D466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A6D52"/>
    <w:multiLevelType w:val="hybridMultilevel"/>
    <w:tmpl w:val="4880D70C"/>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E45D43"/>
    <w:multiLevelType w:val="hybridMultilevel"/>
    <w:tmpl w:val="5740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B06D0"/>
    <w:multiLevelType w:val="hybridMultilevel"/>
    <w:tmpl w:val="260E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D269E9"/>
    <w:multiLevelType w:val="multilevel"/>
    <w:tmpl w:val="D704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D5148"/>
    <w:multiLevelType w:val="hybridMultilevel"/>
    <w:tmpl w:val="F50A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07882"/>
    <w:multiLevelType w:val="multilevel"/>
    <w:tmpl w:val="B3F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12131"/>
    <w:multiLevelType w:val="hybridMultilevel"/>
    <w:tmpl w:val="6074DD2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592132"/>
    <w:multiLevelType w:val="hybridMultilevel"/>
    <w:tmpl w:val="807C8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BF2D3C"/>
    <w:multiLevelType w:val="hybridMultilevel"/>
    <w:tmpl w:val="0C48751C"/>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6" w15:restartNumberingAfterBreak="0">
    <w:nsid w:val="285A49FE"/>
    <w:multiLevelType w:val="hybridMultilevel"/>
    <w:tmpl w:val="C9C88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43378D"/>
    <w:multiLevelType w:val="multilevel"/>
    <w:tmpl w:val="9C1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CE094A"/>
    <w:multiLevelType w:val="multilevel"/>
    <w:tmpl w:val="374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17F08"/>
    <w:multiLevelType w:val="multilevel"/>
    <w:tmpl w:val="0AACA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B014C"/>
    <w:multiLevelType w:val="multilevel"/>
    <w:tmpl w:val="C74E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346DD"/>
    <w:multiLevelType w:val="hybridMultilevel"/>
    <w:tmpl w:val="941EE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6552D2"/>
    <w:multiLevelType w:val="hybridMultilevel"/>
    <w:tmpl w:val="3592906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4" w15:restartNumberingAfterBreak="0">
    <w:nsid w:val="4B0F523D"/>
    <w:multiLevelType w:val="hybridMultilevel"/>
    <w:tmpl w:val="545CE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A81973"/>
    <w:multiLevelType w:val="multilevel"/>
    <w:tmpl w:val="F74C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539CE"/>
    <w:multiLevelType w:val="multilevel"/>
    <w:tmpl w:val="86A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05900"/>
    <w:multiLevelType w:val="hybridMultilevel"/>
    <w:tmpl w:val="289EA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1417D6"/>
    <w:multiLevelType w:val="hybridMultilevel"/>
    <w:tmpl w:val="CFFEF05C"/>
    <w:lvl w:ilvl="0" w:tplc="0C090001">
      <w:start w:val="1"/>
      <w:numFmt w:val="bullet"/>
      <w:lvlText w:val=""/>
      <w:lvlJc w:val="left"/>
      <w:pPr>
        <w:ind w:left="360" w:hanging="360"/>
      </w:pPr>
      <w:rPr>
        <w:rFonts w:ascii="Symbol" w:hAnsi="Symbol" w:hint="default"/>
      </w:rPr>
    </w:lvl>
    <w:lvl w:ilvl="1" w:tplc="3CB8D3AC">
      <w:start w:val="3"/>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770315"/>
    <w:multiLevelType w:val="hybridMultilevel"/>
    <w:tmpl w:val="DA1A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9662C8"/>
    <w:multiLevelType w:val="multilevel"/>
    <w:tmpl w:val="974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E03C5"/>
    <w:multiLevelType w:val="hybridMultilevel"/>
    <w:tmpl w:val="A0B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C1A15"/>
    <w:multiLevelType w:val="hybridMultilevel"/>
    <w:tmpl w:val="92DC96B2"/>
    <w:lvl w:ilvl="0" w:tplc="71540A34">
      <w:start w:val="1"/>
      <w:numFmt w:val="bullet"/>
      <w:lvlText w:val=""/>
      <w:lvlJc w:val="left"/>
      <w:pPr>
        <w:ind w:left="720" w:hanging="360"/>
      </w:pPr>
      <w:rPr>
        <w:rFonts w:ascii="Symbol" w:hAnsi="Symbol" w:hint="default"/>
        <w:b w:val="0"/>
        <w:i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150C96"/>
    <w:multiLevelType w:val="multilevel"/>
    <w:tmpl w:val="0D6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A0282"/>
    <w:multiLevelType w:val="multilevel"/>
    <w:tmpl w:val="DC4E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DA177DF"/>
    <w:multiLevelType w:val="hybridMultilevel"/>
    <w:tmpl w:val="FDAEC85E"/>
    <w:lvl w:ilvl="0" w:tplc="0C090001">
      <w:start w:val="1"/>
      <w:numFmt w:val="bullet"/>
      <w:lvlText w:val=""/>
      <w:lvlJc w:val="left"/>
      <w:pPr>
        <w:ind w:left="371" w:hanging="360"/>
      </w:pPr>
      <w:rPr>
        <w:rFonts w:ascii="Symbol" w:hAnsi="Symbol" w:hint="default"/>
      </w:rPr>
    </w:lvl>
    <w:lvl w:ilvl="1" w:tplc="0C090003">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37" w15:restartNumberingAfterBreak="0">
    <w:nsid w:val="72880EB7"/>
    <w:multiLevelType w:val="hybridMultilevel"/>
    <w:tmpl w:val="2EF492EC"/>
    <w:lvl w:ilvl="0" w:tplc="0C090001">
      <w:start w:val="1"/>
      <w:numFmt w:val="bullet"/>
      <w:lvlText w:val=""/>
      <w:lvlJc w:val="left"/>
      <w:pPr>
        <w:ind w:left="360" w:hanging="360"/>
      </w:pPr>
      <w:rPr>
        <w:rFonts w:ascii="Symbol" w:hAnsi="Symbol" w:hint="default"/>
      </w:rPr>
    </w:lvl>
    <w:lvl w:ilvl="1" w:tplc="3CB8D3AC">
      <w:start w:val="3"/>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090493"/>
    <w:multiLevelType w:val="hybridMultilevel"/>
    <w:tmpl w:val="D6424896"/>
    <w:lvl w:ilvl="0" w:tplc="0C090001">
      <w:start w:val="1"/>
      <w:numFmt w:val="bullet"/>
      <w:lvlText w:val=""/>
      <w:lvlJc w:val="left"/>
      <w:pPr>
        <w:ind w:left="720" w:hanging="360"/>
      </w:pPr>
      <w:rPr>
        <w:rFonts w:ascii="Symbol" w:hAnsi="Symbol" w:hint="default"/>
      </w:rPr>
    </w:lvl>
    <w:lvl w:ilvl="1" w:tplc="3CB8D3AC">
      <w:start w:val="3"/>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8527FB"/>
    <w:multiLevelType w:val="hybridMultilevel"/>
    <w:tmpl w:val="6F3231E8"/>
    <w:lvl w:ilvl="0" w:tplc="CE563D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4D033C"/>
    <w:multiLevelType w:val="multilevel"/>
    <w:tmpl w:val="C4F226A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E03180"/>
    <w:multiLevelType w:val="hybridMultilevel"/>
    <w:tmpl w:val="74823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5E29F8"/>
    <w:multiLevelType w:val="multilevel"/>
    <w:tmpl w:val="97C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9234F"/>
    <w:multiLevelType w:val="hybridMultilevel"/>
    <w:tmpl w:val="905235C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7"/>
  </w:num>
  <w:num w:numId="2">
    <w:abstractNumId w:val="35"/>
  </w:num>
  <w:num w:numId="3">
    <w:abstractNumId w:val="17"/>
  </w:num>
  <w:num w:numId="4">
    <w:abstractNumId w:val="8"/>
  </w:num>
  <w:num w:numId="5">
    <w:abstractNumId w:val="2"/>
  </w:num>
  <w:num w:numId="6">
    <w:abstractNumId w:val="31"/>
  </w:num>
  <w:num w:numId="7">
    <w:abstractNumId w:val="43"/>
  </w:num>
  <w:num w:numId="8">
    <w:abstractNumId w:val="40"/>
  </w:num>
  <w:num w:numId="9">
    <w:abstractNumId w:val="14"/>
  </w:num>
  <w:num w:numId="10">
    <w:abstractNumId w:val="27"/>
  </w:num>
  <w:num w:numId="11">
    <w:abstractNumId w:val="36"/>
  </w:num>
  <w:num w:numId="12">
    <w:abstractNumId w:val="22"/>
  </w:num>
  <w:num w:numId="13">
    <w:abstractNumId w:val="39"/>
  </w:num>
  <w:num w:numId="14">
    <w:abstractNumId w:val="5"/>
  </w:num>
  <w:num w:numId="15">
    <w:abstractNumId w:val="23"/>
  </w:num>
  <w:num w:numId="16">
    <w:abstractNumId w:val="15"/>
  </w:num>
  <w:num w:numId="17">
    <w:abstractNumId w:val="11"/>
  </w:num>
  <w:num w:numId="18">
    <w:abstractNumId w:val="29"/>
  </w:num>
  <w:num w:numId="19">
    <w:abstractNumId w:val="0"/>
  </w:num>
  <w:num w:numId="20">
    <w:abstractNumId w:val="13"/>
  </w:num>
  <w:num w:numId="21">
    <w:abstractNumId w:val="7"/>
  </w:num>
  <w:num w:numId="22">
    <w:abstractNumId w:val="32"/>
  </w:num>
  <w:num w:numId="23">
    <w:abstractNumId w:val="24"/>
  </w:num>
  <w:num w:numId="24">
    <w:abstractNumId w:val="33"/>
  </w:num>
  <w:num w:numId="25">
    <w:abstractNumId w:val="10"/>
  </w:num>
  <w:num w:numId="26">
    <w:abstractNumId w:val="4"/>
  </w:num>
  <w:num w:numId="27">
    <w:abstractNumId w:val="30"/>
  </w:num>
  <w:num w:numId="28">
    <w:abstractNumId w:val="42"/>
  </w:num>
  <w:num w:numId="29">
    <w:abstractNumId w:val="20"/>
  </w:num>
  <w:num w:numId="30">
    <w:abstractNumId w:val="25"/>
  </w:num>
  <w:num w:numId="31">
    <w:abstractNumId w:val="1"/>
  </w:num>
  <w:num w:numId="32">
    <w:abstractNumId w:val="19"/>
  </w:num>
  <w:num w:numId="33">
    <w:abstractNumId w:val="26"/>
  </w:num>
  <w:num w:numId="34">
    <w:abstractNumId w:val="12"/>
  </w:num>
  <w:num w:numId="35">
    <w:abstractNumId w:val="34"/>
  </w:num>
  <w:num w:numId="36">
    <w:abstractNumId w:val="18"/>
  </w:num>
  <w:num w:numId="37">
    <w:abstractNumId w:val="21"/>
  </w:num>
  <w:num w:numId="38">
    <w:abstractNumId w:val="6"/>
  </w:num>
  <w:num w:numId="39">
    <w:abstractNumId w:val="3"/>
  </w:num>
  <w:num w:numId="40">
    <w:abstractNumId w:val="9"/>
  </w:num>
  <w:num w:numId="41">
    <w:abstractNumId w:val="16"/>
  </w:num>
  <w:num w:numId="42">
    <w:abstractNumId w:val="38"/>
  </w:num>
  <w:num w:numId="43">
    <w:abstractNumId w:val="2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proofState w:spelling="clean" w:grammar="clean"/>
  <w:defaultTabStop w:val="720"/>
  <w:characterSpacingControl w:val="doNotCompress"/>
  <w:hdrShapeDefaults>
    <o:shapedefaults v:ext="edit" spidmax="6451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7E85"/>
    <w:rsid w:val="00013465"/>
    <w:rsid w:val="000212F8"/>
    <w:rsid w:val="000226B3"/>
    <w:rsid w:val="00024549"/>
    <w:rsid w:val="00031ACD"/>
    <w:rsid w:val="00047D2F"/>
    <w:rsid w:val="00050D0D"/>
    <w:rsid w:val="000544B6"/>
    <w:rsid w:val="000604AF"/>
    <w:rsid w:val="00073B32"/>
    <w:rsid w:val="000746DE"/>
    <w:rsid w:val="00086C11"/>
    <w:rsid w:val="00086FC3"/>
    <w:rsid w:val="000939C9"/>
    <w:rsid w:val="00094DCF"/>
    <w:rsid w:val="000A6CFD"/>
    <w:rsid w:val="000A7148"/>
    <w:rsid w:val="000B0982"/>
    <w:rsid w:val="000B796C"/>
    <w:rsid w:val="000C3066"/>
    <w:rsid w:val="000C46BB"/>
    <w:rsid w:val="000C4D9D"/>
    <w:rsid w:val="000C7C4B"/>
    <w:rsid w:val="000C7D8B"/>
    <w:rsid w:val="000E2B52"/>
    <w:rsid w:val="000E485D"/>
    <w:rsid w:val="000E72C6"/>
    <w:rsid w:val="000F1893"/>
    <w:rsid w:val="000F2F51"/>
    <w:rsid w:val="00113CF8"/>
    <w:rsid w:val="00113D74"/>
    <w:rsid w:val="00117C5C"/>
    <w:rsid w:val="00127467"/>
    <w:rsid w:val="001310AE"/>
    <w:rsid w:val="001420B3"/>
    <w:rsid w:val="001430B5"/>
    <w:rsid w:val="001460C4"/>
    <w:rsid w:val="001475DE"/>
    <w:rsid w:val="0015033B"/>
    <w:rsid w:val="001532EC"/>
    <w:rsid w:val="0015691C"/>
    <w:rsid w:val="001621F7"/>
    <w:rsid w:val="001624D7"/>
    <w:rsid w:val="001703A8"/>
    <w:rsid w:val="00175366"/>
    <w:rsid w:val="0017639A"/>
    <w:rsid w:val="00177B86"/>
    <w:rsid w:val="0018033D"/>
    <w:rsid w:val="0018186E"/>
    <w:rsid w:val="00182585"/>
    <w:rsid w:val="001871DC"/>
    <w:rsid w:val="00191182"/>
    <w:rsid w:val="0019220F"/>
    <w:rsid w:val="0019664D"/>
    <w:rsid w:val="001978CE"/>
    <w:rsid w:val="001A6103"/>
    <w:rsid w:val="001B0289"/>
    <w:rsid w:val="001B5D37"/>
    <w:rsid w:val="001C2940"/>
    <w:rsid w:val="001C4016"/>
    <w:rsid w:val="001C548D"/>
    <w:rsid w:val="001C6A5D"/>
    <w:rsid w:val="001D5FF7"/>
    <w:rsid w:val="001D726B"/>
    <w:rsid w:val="001D7F42"/>
    <w:rsid w:val="001E31A6"/>
    <w:rsid w:val="001E42C7"/>
    <w:rsid w:val="001E4CAB"/>
    <w:rsid w:val="001F0A4E"/>
    <w:rsid w:val="001F2F3E"/>
    <w:rsid w:val="001F4906"/>
    <w:rsid w:val="001F7C4A"/>
    <w:rsid w:val="002049A6"/>
    <w:rsid w:val="0020578A"/>
    <w:rsid w:val="00207631"/>
    <w:rsid w:val="00213D76"/>
    <w:rsid w:val="00214013"/>
    <w:rsid w:val="00220FC1"/>
    <w:rsid w:val="0022258E"/>
    <w:rsid w:val="00222E9A"/>
    <w:rsid w:val="0023179D"/>
    <w:rsid w:val="00250299"/>
    <w:rsid w:val="00251037"/>
    <w:rsid w:val="0025389D"/>
    <w:rsid w:val="00254E02"/>
    <w:rsid w:val="0026265F"/>
    <w:rsid w:val="00286C3A"/>
    <w:rsid w:val="002877FB"/>
    <w:rsid w:val="002930F5"/>
    <w:rsid w:val="002968C0"/>
    <w:rsid w:val="002A06B7"/>
    <w:rsid w:val="002A74DE"/>
    <w:rsid w:val="002B4409"/>
    <w:rsid w:val="002B7AE0"/>
    <w:rsid w:val="002C42FD"/>
    <w:rsid w:val="002C526A"/>
    <w:rsid w:val="002C6E0C"/>
    <w:rsid w:val="002D144A"/>
    <w:rsid w:val="002E19A3"/>
    <w:rsid w:val="002E212B"/>
    <w:rsid w:val="002E3337"/>
    <w:rsid w:val="002E6D03"/>
    <w:rsid w:val="002F3D4E"/>
    <w:rsid w:val="002F49A8"/>
    <w:rsid w:val="002F5E66"/>
    <w:rsid w:val="002F61CA"/>
    <w:rsid w:val="002F64EA"/>
    <w:rsid w:val="0030010D"/>
    <w:rsid w:val="00323913"/>
    <w:rsid w:val="00333C7F"/>
    <w:rsid w:val="0033504C"/>
    <w:rsid w:val="00336816"/>
    <w:rsid w:val="003370D0"/>
    <w:rsid w:val="00337355"/>
    <w:rsid w:val="003402E4"/>
    <w:rsid w:val="00340F95"/>
    <w:rsid w:val="00343F3A"/>
    <w:rsid w:val="003462CE"/>
    <w:rsid w:val="003515AD"/>
    <w:rsid w:val="0035319A"/>
    <w:rsid w:val="003531ED"/>
    <w:rsid w:val="00360B9A"/>
    <w:rsid w:val="00362BE3"/>
    <w:rsid w:val="00363EE8"/>
    <w:rsid w:val="0037284E"/>
    <w:rsid w:val="00381652"/>
    <w:rsid w:val="003818AF"/>
    <w:rsid w:val="0039017F"/>
    <w:rsid w:val="00394407"/>
    <w:rsid w:val="00394AEE"/>
    <w:rsid w:val="00396DC2"/>
    <w:rsid w:val="003B0061"/>
    <w:rsid w:val="003C2D98"/>
    <w:rsid w:val="003D32FD"/>
    <w:rsid w:val="003D3A96"/>
    <w:rsid w:val="003D3B9C"/>
    <w:rsid w:val="00404F03"/>
    <w:rsid w:val="00412051"/>
    <w:rsid w:val="004121C5"/>
    <w:rsid w:val="004170AC"/>
    <w:rsid w:val="0042291B"/>
    <w:rsid w:val="00423B94"/>
    <w:rsid w:val="00446507"/>
    <w:rsid w:val="00450363"/>
    <w:rsid w:val="0045096C"/>
    <w:rsid w:val="004527AF"/>
    <w:rsid w:val="00453191"/>
    <w:rsid w:val="00455907"/>
    <w:rsid w:val="00463731"/>
    <w:rsid w:val="0046400A"/>
    <w:rsid w:val="00465F15"/>
    <w:rsid w:val="00467B25"/>
    <w:rsid w:val="0047068D"/>
    <w:rsid w:val="0047077F"/>
    <w:rsid w:val="00474BC7"/>
    <w:rsid w:val="00481108"/>
    <w:rsid w:val="00484B40"/>
    <w:rsid w:val="004852A7"/>
    <w:rsid w:val="0049042B"/>
    <w:rsid w:val="00493E46"/>
    <w:rsid w:val="00495473"/>
    <w:rsid w:val="00495DCB"/>
    <w:rsid w:val="004A1E6D"/>
    <w:rsid w:val="004A458E"/>
    <w:rsid w:val="004B23E7"/>
    <w:rsid w:val="004B306F"/>
    <w:rsid w:val="004C23A7"/>
    <w:rsid w:val="004C3186"/>
    <w:rsid w:val="004C5042"/>
    <w:rsid w:val="004C5D1C"/>
    <w:rsid w:val="004D1EAC"/>
    <w:rsid w:val="004D7BE8"/>
    <w:rsid w:val="004E188C"/>
    <w:rsid w:val="004E4422"/>
    <w:rsid w:val="004F328B"/>
    <w:rsid w:val="00503998"/>
    <w:rsid w:val="00504DF8"/>
    <w:rsid w:val="0050623B"/>
    <w:rsid w:val="00511CD1"/>
    <w:rsid w:val="005141CC"/>
    <w:rsid w:val="00522B34"/>
    <w:rsid w:val="00523181"/>
    <w:rsid w:val="00524D13"/>
    <w:rsid w:val="0052513D"/>
    <w:rsid w:val="00526561"/>
    <w:rsid w:val="005339F6"/>
    <w:rsid w:val="005378EE"/>
    <w:rsid w:val="005514F1"/>
    <w:rsid w:val="00573506"/>
    <w:rsid w:val="005745BA"/>
    <w:rsid w:val="0057468D"/>
    <w:rsid w:val="005751C8"/>
    <w:rsid w:val="00576B18"/>
    <w:rsid w:val="0058061E"/>
    <w:rsid w:val="00587724"/>
    <w:rsid w:val="00587741"/>
    <w:rsid w:val="00591512"/>
    <w:rsid w:val="0059497A"/>
    <w:rsid w:val="005A3861"/>
    <w:rsid w:val="005A51F9"/>
    <w:rsid w:val="005B2D91"/>
    <w:rsid w:val="005B47F8"/>
    <w:rsid w:val="005B48B4"/>
    <w:rsid w:val="005C60FD"/>
    <w:rsid w:val="005C6661"/>
    <w:rsid w:val="005C6E3B"/>
    <w:rsid w:val="005D224A"/>
    <w:rsid w:val="005D474B"/>
    <w:rsid w:val="005D6717"/>
    <w:rsid w:val="005D7754"/>
    <w:rsid w:val="005E085C"/>
    <w:rsid w:val="005E147D"/>
    <w:rsid w:val="005E22C2"/>
    <w:rsid w:val="005E57BB"/>
    <w:rsid w:val="005F0017"/>
    <w:rsid w:val="005F384F"/>
    <w:rsid w:val="006014F1"/>
    <w:rsid w:val="00603528"/>
    <w:rsid w:val="00607093"/>
    <w:rsid w:val="006126B1"/>
    <w:rsid w:val="00612A7F"/>
    <w:rsid w:val="0061357B"/>
    <w:rsid w:val="00614A7D"/>
    <w:rsid w:val="00634565"/>
    <w:rsid w:val="0063631C"/>
    <w:rsid w:val="00636354"/>
    <w:rsid w:val="0063757B"/>
    <w:rsid w:val="006377CE"/>
    <w:rsid w:val="0064498A"/>
    <w:rsid w:val="006537D9"/>
    <w:rsid w:val="0065746D"/>
    <w:rsid w:val="006579EA"/>
    <w:rsid w:val="006604E0"/>
    <w:rsid w:val="00663FAF"/>
    <w:rsid w:val="00664A48"/>
    <w:rsid w:val="00665DEF"/>
    <w:rsid w:val="00665FFB"/>
    <w:rsid w:val="0067017A"/>
    <w:rsid w:val="00671662"/>
    <w:rsid w:val="00671C26"/>
    <w:rsid w:val="00675BB1"/>
    <w:rsid w:val="006775F1"/>
    <w:rsid w:val="00687F9D"/>
    <w:rsid w:val="00692AA7"/>
    <w:rsid w:val="00697FEC"/>
    <w:rsid w:val="006A175F"/>
    <w:rsid w:val="006A44F5"/>
    <w:rsid w:val="006B08BA"/>
    <w:rsid w:val="006B09C9"/>
    <w:rsid w:val="006B4537"/>
    <w:rsid w:val="006B5F85"/>
    <w:rsid w:val="006B6929"/>
    <w:rsid w:val="006B709B"/>
    <w:rsid w:val="006C54AF"/>
    <w:rsid w:val="006C5D3F"/>
    <w:rsid w:val="006D10D5"/>
    <w:rsid w:val="006D52BA"/>
    <w:rsid w:val="006E0181"/>
    <w:rsid w:val="006E76F4"/>
    <w:rsid w:val="00700C0E"/>
    <w:rsid w:val="00705DAD"/>
    <w:rsid w:val="00714374"/>
    <w:rsid w:val="007154EC"/>
    <w:rsid w:val="0072089A"/>
    <w:rsid w:val="007247B9"/>
    <w:rsid w:val="00727D85"/>
    <w:rsid w:val="007346C7"/>
    <w:rsid w:val="00734F8E"/>
    <w:rsid w:val="00736041"/>
    <w:rsid w:val="007408C7"/>
    <w:rsid w:val="00742B6B"/>
    <w:rsid w:val="00744AC6"/>
    <w:rsid w:val="007465DA"/>
    <w:rsid w:val="00752C7F"/>
    <w:rsid w:val="0076389B"/>
    <w:rsid w:val="0076520E"/>
    <w:rsid w:val="00773F7A"/>
    <w:rsid w:val="00776598"/>
    <w:rsid w:val="007777AA"/>
    <w:rsid w:val="00780A69"/>
    <w:rsid w:val="00782C7E"/>
    <w:rsid w:val="00792948"/>
    <w:rsid w:val="00795104"/>
    <w:rsid w:val="00796E84"/>
    <w:rsid w:val="007A3ADE"/>
    <w:rsid w:val="007A4774"/>
    <w:rsid w:val="007A5733"/>
    <w:rsid w:val="007A5774"/>
    <w:rsid w:val="007A5DC2"/>
    <w:rsid w:val="007B0BE9"/>
    <w:rsid w:val="007B48FC"/>
    <w:rsid w:val="007C6DDB"/>
    <w:rsid w:val="007E38AD"/>
    <w:rsid w:val="007F467E"/>
    <w:rsid w:val="007F685C"/>
    <w:rsid w:val="00801539"/>
    <w:rsid w:val="00801E74"/>
    <w:rsid w:val="0080485E"/>
    <w:rsid w:val="00807368"/>
    <w:rsid w:val="008142B4"/>
    <w:rsid w:val="008201BC"/>
    <w:rsid w:val="00827A3E"/>
    <w:rsid w:val="00827DCF"/>
    <w:rsid w:val="008303F7"/>
    <w:rsid w:val="00832324"/>
    <w:rsid w:val="00835337"/>
    <w:rsid w:val="0084490F"/>
    <w:rsid w:val="00846DCD"/>
    <w:rsid w:val="00851D85"/>
    <w:rsid w:val="0085643E"/>
    <w:rsid w:val="008607F7"/>
    <w:rsid w:val="00860CCB"/>
    <w:rsid w:val="0086247B"/>
    <w:rsid w:val="008718E1"/>
    <w:rsid w:val="00872654"/>
    <w:rsid w:val="008740A3"/>
    <w:rsid w:val="00875BB5"/>
    <w:rsid w:val="0089297B"/>
    <w:rsid w:val="0089465A"/>
    <w:rsid w:val="0089653B"/>
    <w:rsid w:val="00897C8B"/>
    <w:rsid w:val="008B4ADE"/>
    <w:rsid w:val="008B4C11"/>
    <w:rsid w:val="008C36CA"/>
    <w:rsid w:val="008C51B4"/>
    <w:rsid w:val="008D7782"/>
    <w:rsid w:val="008E3F8C"/>
    <w:rsid w:val="008E44A2"/>
    <w:rsid w:val="008E71E3"/>
    <w:rsid w:val="00902FD0"/>
    <w:rsid w:val="00903E6E"/>
    <w:rsid w:val="009053D3"/>
    <w:rsid w:val="0090691F"/>
    <w:rsid w:val="0091484A"/>
    <w:rsid w:val="00916C40"/>
    <w:rsid w:val="0093111F"/>
    <w:rsid w:val="00935689"/>
    <w:rsid w:val="0095303B"/>
    <w:rsid w:val="00957343"/>
    <w:rsid w:val="009600E1"/>
    <w:rsid w:val="009663B6"/>
    <w:rsid w:val="009719E1"/>
    <w:rsid w:val="00974A47"/>
    <w:rsid w:val="00980286"/>
    <w:rsid w:val="00990DCF"/>
    <w:rsid w:val="009946EE"/>
    <w:rsid w:val="009A4CD6"/>
    <w:rsid w:val="009A537C"/>
    <w:rsid w:val="009C0886"/>
    <w:rsid w:val="009C19EE"/>
    <w:rsid w:val="009C28D0"/>
    <w:rsid w:val="009C35F2"/>
    <w:rsid w:val="009C7782"/>
    <w:rsid w:val="009D1ED5"/>
    <w:rsid w:val="009D2C34"/>
    <w:rsid w:val="009D4C13"/>
    <w:rsid w:val="009E21A7"/>
    <w:rsid w:val="009E27D1"/>
    <w:rsid w:val="009F017C"/>
    <w:rsid w:val="00A103ED"/>
    <w:rsid w:val="00A13533"/>
    <w:rsid w:val="00A13C60"/>
    <w:rsid w:val="00A15134"/>
    <w:rsid w:val="00A23708"/>
    <w:rsid w:val="00A254C1"/>
    <w:rsid w:val="00A341A3"/>
    <w:rsid w:val="00A35800"/>
    <w:rsid w:val="00A37E58"/>
    <w:rsid w:val="00A40B31"/>
    <w:rsid w:val="00A52918"/>
    <w:rsid w:val="00A547B3"/>
    <w:rsid w:val="00A5738E"/>
    <w:rsid w:val="00A601E3"/>
    <w:rsid w:val="00A64FEF"/>
    <w:rsid w:val="00A70E82"/>
    <w:rsid w:val="00A71057"/>
    <w:rsid w:val="00A73193"/>
    <w:rsid w:val="00A84CAD"/>
    <w:rsid w:val="00A90E50"/>
    <w:rsid w:val="00A952BC"/>
    <w:rsid w:val="00A95FA5"/>
    <w:rsid w:val="00A96D92"/>
    <w:rsid w:val="00AA153F"/>
    <w:rsid w:val="00AA4712"/>
    <w:rsid w:val="00AA7770"/>
    <w:rsid w:val="00AB199C"/>
    <w:rsid w:val="00AB3733"/>
    <w:rsid w:val="00AB588C"/>
    <w:rsid w:val="00AB7897"/>
    <w:rsid w:val="00AB7C87"/>
    <w:rsid w:val="00AC5054"/>
    <w:rsid w:val="00AD0544"/>
    <w:rsid w:val="00AD5FC8"/>
    <w:rsid w:val="00AD6C1C"/>
    <w:rsid w:val="00AE4BAC"/>
    <w:rsid w:val="00B009DA"/>
    <w:rsid w:val="00B034FC"/>
    <w:rsid w:val="00B05310"/>
    <w:rsid w:val="00B10A0B"/>
    <w:rsid w:val="00B152D5"/>
    <w:rsid w:val="00B153ED"/>
    <w:rsid w:val="00B27CC6"/>
    <w:rsid w:val="00B27D95"/>
    <w:rsid w:val="00B30D85"/>
    <w:rsid w:val="00B30F04"/>
    <w:rsid w:val="00B35A4A"/>
    <w:rsid w:val="00B40246"/>
    <w:rsid w:val="00B453CF"/>
    <w:rsid w:val="00B63FD7"/>
    <w:rsid w:val="00B72335"/>
    <w:rsid w:val="00B816D9"/>
    <w:rsid w:val="00B9120F"/>
    <w:rsid w:val="00B9216C"/>
    <w:rsid w:val="00B924A4"/>
    <w:rsid w:val="00BA2CF4"/>
    <w:rsid w:val="00BA49A5"/>
    <w:rsid w:val="00BB0D1A"/>
    <w:rsid w:val="00BB1D3B"/>
    <w:rsid w:val="00BB73F1"/>
    <w:rsid w:val="00BC35ED"/>
    <w:rsid w:val="00BD2537"/>
    <w:rsid w:val="00BD32EB"/>
    <w:rsid w:val="00BE205A"/>
    <w:rsid w:val="00BE3802"/>
    <w:rsid w:val="00BE4769"/>
    <w:rsid w:val="00BE55CC"/>
    <w:rsid w:val="00BE621D"/>
    <w:rsid w:val="00BF0842"/>
    <w:rsid w:val="00BF238E"/>
    <w:rsid w:val="00BF2F4A"/>
    <w:rsid w:val="00BF3BD6"/>
    <w:rsid w:val="00BF544D"/>
    <w:rsid w:val="00C0076F"/>
    <w:rsid w:val="00C0301C"/>
    <w:rsid w:val="00C04338"/>
    <w:rsid w:val="00C0478C"/>
    <w:rsid w:val="00C050B6"/>
    <w:rsid w:val="00C10F12"/>
    <w:rsid w:val="00C122B9"/>
    <w:rsid w:val="00C215D1"/>
    <w:rsid w:val="00C231A7"/>
    <w:rsid w:val="00C245EA"/>
    <w:rsid w:val="00C256F6"/>
    <w:rsid w:val="00C300DE"/>
    <w:rsid w:val="00C3097E"/>
    <w:rsid w:val="00C35ECC"/>
    <w:rsid w:val="00C361A8"/>
    <w:rsid w:val="00C41246"/>
    <w:rsid w:val="00C45E5F"/>
    <w:rsid w:val="00C46291"/>
    <w:rsid w:val="00C600F4"/>
    <w:rsid w:val="00C63412"/>
    <w:rsid w:val="00C714D0"/>
    <w:rsid w:val="00C870B5"/>
    <w:rsid w:val="00C90EF4"/>
    <w:rsid w:val="00C94902"/>
    <w:rsid w:val="00CA015A"/>
    <w:rsid w:val="00CA3E8A"/>
    <w:rsid w:val="00CC097D"/>
    <w:rsid w:val="00CC1AA3"/>
    <w:rsid w:val="00CD4486"/>
    <w:rsid w:val="00CE7386"/>
    <w:rsid w:val="00CE7591"/>
    <w:rsid w:val="00CE75E0"/>
    <w:rsid w:val="00CF5E22"/>
    <w:rsid w:val="00D01E78"/>
    <w:rsid w:val="00D06A44"/>
    <w:rsid w:val="00D111CB"/>
    <w:rsid w:val="00D11F84"/>
    <w:rsid w:val="00D13EEA"/>
    <w:rsid w:val="00D151EB"/>
    <w:rsid w:val="00D22B10"/>
    <w:rsid w:val="00D23191"/>
    <w:rsid w:val="00D24E2A"/>
    <w:rsid w:val="00D26591"/>
    <w:rsid w:val="00D2729F"/>
    <w:rsid w:val="00D300E0"/>
    <w:rsid w:val="00D332A7"/>
    <w:rsid w:val="00D374CD"/>
    <w:rsid w:val="00D62462"/>
    <w:rsid w:val="00D650CE"/>
    <w:rsid w:val="00D71719"/>
    <w:rsid w:val="00D776DA"/>
    <w:rsid w:val="00D776E7"/>
    <w:rsid w:val="00D8758B"/>
    <w:rsid w:val="00D9070D"/>
    <w:rsid w:val="00D942B3"/>
    <w:rsid w:val="00D94863"/>
    <w:rsid w:val="00DA0529"/>
    <w:rsid w:val="00DA067A"/>
    <w:rsid w:val="00DA7D09"/>
    <w:rsid w:val="00DB531B"/>
    <w:rsid w:val="00DC2630"/>
    <w:rsid w:val="00DC3F0A"/>
    <w:rsid w:val="00DC49E9"/>
    <w:rsid w:val="00DC55E4"/>
    <w:rsid w:val="00DC7D71"/>
    <w:rsid w:val="00DD188C"/>
    <w:rsid w:val="00DD29A3"/>
    <w:rsid w:val="00DD2F1B"/>
    <w:rsid w:val="00DD48EE"/>
    <w:rsid w:val="00DE0B96"/>
    <w:rsid w:val="00DE10B9"/>
    <w:rsid w:val="00DE18B9"/>
    <w:rsid w:val="00DE61FC"/>
    <w:rsid w:val="00DF04C3"/>
    <w:rsid w:val="00DF0B13"/>
    <w:rsid w:val="00DF2EB8"/>
    <w:rsid w:val="00DF4A94"/>
    <w:rsid w:val="00DF5D08"/>
    <w:rsid w:val="00DF6003"/>
    <w:rsid w:val="00DF79FF"/>
    <w:rsid w:val="00E00095"/>
    <w:rsid w:val="00E066C3"/>
    <w:rsid w:val="00E10D8C"/>
    <w:rsid w:val="00E1353A"/>
    <w:rsid w:val="00E1564B"/>
    <w:rsid w:val="00E1764F"/>
    <w:rsid w:val="00E17D6B"/>
    <w:rsid w:val="00E20525"/>
    <w:rsid w:val="00E208A0"/>
    <w:rsid w:val="00E25B49"/>
    <w:rsid w:val="00E337AB"/>
    <w:rsid w:val="00E371EA"/>
    <w:rsid w:val="00E5701E"/>
    <w:rsid w:val="00E64429"/>
    <w:rsid w:val="00E67280"/>
    <w:rsid w:val="00E677DD"/>
    <w:rsid w:val="00E731C6"/>
    <w:rsid w:val="00E7594B"/>
    <w:rsid w:val="00E85161"/>
    <w:rsid w:val="00E87613"/>
    <w:rsid w:val="00E93EC7"/>
    <w:rsid w:val="00E95723"/>
    <w:rsid w:val="00E957B4"/>
    <w:rsid w:val="00EA04CD"/>
    <w:rsid w:val="00EA2639"/>
    <w:rsid w:val="00EA643C"/>
    <w:rsid w:val="00EB22BC"/>
    <w:rsid w:val="00EB4688"/>
    <w:rsid w:val="00EB6C07"/>
    <w:rsid w:val="00EB709E"/>
    <w:rsid w:val="00EC028D"/>
    <w:rsid w:val="00EC41FE"/>
    <w:rsid w:val="00EC6767"/>
    <w:rsid w:val="00ED633B"/>
    <w:rsid w:val="00EE11F3"/>
    <w:rsid w:val="00EE1434"/>
    <w:rsid w:val="00EE2BBB"/>
    <w:rsid w:val="00EE478C"/>
    <w:rsid w:val="00EE6072"/>
    <w:rsid w:val="00EF6602"/>
    <w:rsid w:val="00F04307"/>
    <w:rsid w:val="00F05752"/>
    <w:rsid w:val="00F1132C"/>
    <w:rsid w:val="00F15DD5"/>
    <w:rsid w:val="00F17D4B"/>
    <w:rsid w:val="00F23139"/>
    <w:rsid w:val="00F34959"/>
    <w:rsid w:val="00F42C14"/>
    <w:rsid w:val="00F44DFA"/>
    <w:rsid w:val="00F60205"/>
    <w:rsid w:val="00F66840"/>
    <w:rsid w:val="00F66CD5"/>
    <w:rsid w:val="00F67A9A"/>
    <w:rsid w:val="00F70F4E"/>
    <w:rsid w:val="00F73113"/>
    <w:rsid w:val="00F75585"/>
    <w:rsid w:val="00F75FC4"/>
    <w:rsid w:val="00F77E19"/>
    <w:rsid w:val="00F81614"/>
    <w:rsid w:val="00F85981"/>
    <w:rsid w:val="00F85E02"/>
    <w:rsid w:val="00F87263"/>
    <w:rsid w:val="00F93725"/>
    <w:rsid w:val="00FA0F15"/>
    <w:rsid w:val="00FA2B02"/>
    <w:rsid w:val="00FA36DE"/>
    <w:rsid w:val="00FA4890"/>
    <w:rsid w:val="00FA53CB"/>
    <w:rsid w:val="00FB3008"/>
    <w:rsid w:val="00FB30BA"/>
    <w:rsid w:val="00FB77FA"/>
    <w:rsid w:val="00FC3C70"/>
    <w:rsid w:val="00FC4A73"/>
    <w:rsid w:val="00FC559C"/>
    <w:rsid w:val="00FC7F0D"/>
    <w:rsid w:val="00FE2D48"/>
    <w:rsid w:val="00FE3693"/>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egend-item1">
    <w:name w:val="legend-item1"/>
    <w:basedOn w:val="DefaultParagraphFont"/>
    <w:rsid w:val="0042291B"/>
    <w:rPr>
      <w:b/>
      <w:bCs/>
      <w:vanish w:val="0"/>
      <w:webHidden w:val="0"/>
      <w:sz w:val="2"/>
      <w:szCs w:val="2"/>
      <w:specVanish w:val="0"/>
    </w:rPr>
  </w:style>
  <w:style w:type="character" w:customStyle="1" w:styleId="drug-name3">
    <w:name w:val="drug-name3"/>
    <w:basedOn w:val="DefaultParagraphFont"/>
    <w:rsid w:val="0042291B"/>
    <w:rPr>
      <w:sz w:val="23"/>
      <w:szCs w:val="23"/>
    </w:rPr>
  </w:style>
  <w:style w:type="character" w:customStyle="1" w:styleId="item-code2">
    <w:name w:val="item-code2"/>
    <w:basedOn w:val="DefaultParagraphFont"/>
    <w:rsid w:val="0042291B"/>
    <w:rPr>
      <w:vanish w:val="0"/>
      <w:webHidden w:val="0"/>
      <w:specVanish w:val="0"/>
    </w:rPr>
  </w:style>
  <w:style w:type="character" w:customStyle="1" w:styleId="form-strength">
    <w:name w:val="form-strength"/>
    <w:basedOn w:val="DefaultParagraphFont"/>
    <w:rsid w:val="0042291B"/>
  </w:style>
  <w:style w:type="paragraph" w:styleId="NormalWeb">
    <w:name w:val="Normal (Web)"/>
    <w:basedOn w:val="Normal"/>
    <w:uiPriority w:val="99"/>
    <w:unhideWhenUsed/>
    <w:rsid w:val="00493E46"/>
    <w:pPr>
      <w:spacing w:after="150"/>
    </w:pPr>
    <w:rPr>
      <w:rFonts w:ascii="Times New Roman" w:eastAsia="Times New Roman" w:hAnsi="Times New Roman" w:cs="Times New Roman"/>
      <w:color w:val="222222"/>
    </w:rPr>
  </w:style>
  <w:style w:type="character" w:customStyle="1" w:styleId="label-">
    <w:name w:val="label-"/>
    <w:basedOn w:val="DefaultParagraphFont"/>
    <w:rsid w:val="00493E46"/>
  </w:style>
  <w:style w:type="paragraph" w:customStyle="1" w:styleId="PBACHeading1">
    <w:name w:val="PBAC Heading 1"/>
    <w:qFormat/>
    <w:rsid w:val="00BE621D"/>
    <w:pPr>
      <w:numPr>
        <w:numId w:val="8"/>
      </w:numPr>
      <w:spacing w:after="0" w:line="240" w:lineRule="auto"/>
    </w:pPr>
    <w:rPr>
      <w:rFonts w:ascii="Arial" w:eastAsia="Times New Roman" w:hAnsi="Arial" w:cs="Arial"/>
      <w:b/>
      <w:snapToGrid w:val="0"/>
      <w:lang w:eastAsia="en-US"/>
    </w:rPr>
  </w:style>
  <w:style w:type="character" w:customStyle="1" w:styleId="ListParagraphChar">
    <w:name w:val="List Paragraph Char"/>
    <w:aliases w:val="BulletPoints Char"/>
    <w:basedOn w:val="DefaultParagraphFont"/>
    <w:link w:val="ListParagraph"/>
    <w:uiPriority w:val="34"/>
    <w:rsid w:val="00BE621D"/>
    <w:rPr>
      <w:sz w:val="24"/>
      <w:szCs w:val="24"/>
    </w:rPr>
  </w:style>
  <w:style w:type="paragraph" w:styleId="BodyText">
    <w:name w:val="Body Text"/>
    <w:basedOn w:val="Normal"/>
    <w:link w:val="BodyTextChar"/>
    <w:qFormat/>
    <w:rsid w:val="00BE621D"/>
    <w:pPr>
      <w:widowControl w:val="0"/>
      <w:spacing w:after="0"/>
    </w:pPr>
    <w:rPr>
      <w:rFonts w:ascii="Arial" w:eastAsia="Times New Roman" w:hAnsi="Arial" w:cs="Arial"/>
      <w:snapToGrid w:val="0"/>
      <w:sz w:val="22"/>
      <w:szCs w:val="20"/>
      <w:lang w:eastAsia="en-US"/>
    </w:rPr>
  </w:style>
  <w:style w:type="character" w:customStyle="1" w:styleId="BodyTextChar">
    <w:name w:val="Body Text Char"/>
    <w:basedOn w:val="DefaultParagraphFont"/>
    <w:link w:val="BodyText"/>
    <w:rsid w:val="00BE621D"/>
    <w:rPr>
      <w:rFonts w:ascii="Arial" w:eastAsia="Times New Roman" w:hAnsi="Arial" w:cs="Arial"/>
      <w:snapToGrid w:val="0"/>
      <w:szCs w:val="20"/>
      <w:lang w:eastAsia="en-US"/>
    </w:rPr>
  </w:style>
  <w:style w:type="paragraph" w:customStyle="1" w:styleId="TableFooter">
    <w:name w:val="Table Footer"/>
    <w:basedOn w:val="Normal"/>
    <w:qFormat/>
    <w:rsid w:val="00BE621D"/>
    <w:pPr>
      <w:widowControl w:val="0"/>
      <w:spacing w:after="0"/>
      <w:jc w:val="both"/>
    </w:pPr>
    <w:rPr>
      <w:rFonts w:ascii="Arial Narrow" w:eastAsia="Times New Roman" w:hAnsi="Arial Narrow" w:cs="Arial"/>
      <w:snapToGrid w:val="0"/>
      <w:sz w:val="18"/>
      <w:szCs w:val="20"/>
      <w:lang w:eastAsia="en-US"/>
    </w:rPr>
  </w:style>
  <w:style w:type="character" w:styleId="Emphasis">
    <w:name w:val="Emphasis"/>
    <w:basedOn w:val="DefaultParagraphFont"/>
    <w:uiPriority w:val="20"/>
    <w:qFormat/>
    <w:rsid w:val="00DF79FF"/>
    <w:rPr>
      <w:b/>
      <w:bCs/>
      <w:i w:val="0"/>
      <w:iCs w:val="0"/>
    </w:rPr>
  </w:style>
  <w:style w:type="character" w:customStyle="1" w:styleId="st1">
    <w:name w:val="st1"/>
    <w:basedOn w:val="DefaultParagraphFont"/>
    <w:rsid w:val="00DF79FF"/>
  </w:style>
  <w:style w:type="character" w:styleId="FollowedHyperlink">
    <w:name w:val="FollowedHyperlink"/>
    <w:basedOn w:val="DefaultParagraphFont"/>
    <w:uiPriority w:val="99"/>
    <w:semiHidden/>
    <w:unhideWhenUsed/>
    <w:rsid w:val="00381652"/>
    <w:rPr>
      <w:color w:val="800080" w:themeColor="followedHyperlink"/>
      <w:u w:val="single"/>
    </w:rPr>
  </w:style>
  <w:style w:type="paragraph" w:styleId="EndnoteText">
    <w:name w:val="endnote text"/>
    <w:basedOn w:val="Normal"/>
    <w:link w:val="EndnoteTextChar"/>
    <w:uiPriority w:val="99"/>
    <w:semiHidden/>
    <w:unhideWhenUsed/>
    <w:rsid w:val="00453191"/>
    <w:pPr>
      <w:spacing w:after="0"/>
    </w:pPr>
    <w:rPr>
      <w:sz w:val="20"/>
      <w:szCs w:val="20"/>
    </w:rPr>
  </w:style>
  <w:style w:type="character" w:customStyle="1" w:styleId="EndnoteTextChar">
    <w:name w:val="Endnote Text Char"/>
    <w:basedOn w:val="DefaultParagraphFont"/>
    <w:link w:val="EndnoteText"/>
    <w:uiPriority w:val="99"/>
    <w:semiHidden/>
    <w:rsid w:val="00453191"/>
    <w:rPr>
      <w:sz w:val="20"/>
      <w:szCs w:val="20"/>
    </w:rPr>
  </w:style>
  <w:style w:type="character" w:styleId="EndnoteReference">
    <w:name w:val="endnote reference"/>
    <w:basedOn w:val="DefaultParagraphFont"/>
    <w:uiPriority w:val="99"/>
    <w:semiHidden/>
    <w:unhideWhenUsed/>
    <w:rsid w:val="004531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9854">
      <w:bodyDiv w:val="1"/>
      <w:marLeft w:val="0"/>
      <w:marRight w:val="0"/>
      <w:marTop w:val="0"/>
      <w:marBottom w:val="0"/>
      <w:divBdr>
        <w:top w:val="none" w:sz="0" w:space="0" w:color="auto"/>
        <w:left w:val="none" w:sz="0" w:space="0" w:color="auto"/>
        <w:bottom w:val="none" w:sz="0" w:space="0" w:color="auto"/>
        <w:right w:val="none" w:sz="0" w:space="0" w:color="auto"/>
      </w:divBdr>
    </w:div>
    <w:div w:id="333728933">
      <w:bodyDiv w:val="1"/>
      <w:marLeft w:val="0"/>
      <w:marRight w:val="0"/>
      <w:marTop w:val="0"/>
      <w:marBottom w:val="0"/>
      <w:divBdr>
        <w:top w:val="none" w:sz="0" w:space="0" w:color="auto"/>
        <w:left w:val="none" w:sz="0" w:space="0" w:color="auto"/>
        <w:bottom w:val="none" w:sz="0" w:space="0" w:color="auto"/>
        <w:right w:val="none" w:sz="0" w:space="0" w:color="auto"/>
      </w:divBdr>
      <w:divsChild>
        <w:div w:id="1626813918">
          <w:marLeft w:val="0"/>
          <w:marRight w:val="1"/>
          <w:marTop w:val="0"/>
          <w:marBottom w:val="0"/>
          <w:divBdr>
            <w:top w:val="none" w:sz="0" w:space="0" w:color="auto"/>
            <w:left w:val="none" w:sz="0" w:space="0" w:color="auto"/>
            <w:bottom w:val="none" w:sz="0" w:space="0" w:color="auto"/>
            <w:right w:val="none" w:sz="0" w:space="0" w:color="auto"/>
          </w:divBdr>
          <w:divsChild>
            <w:div w:id="913323394">
              <w:marLeft w:val="0"/>
              <w:marRight w:val="0"/>
              <w:marTop w:val="0"/>
              <w:marBottom w:val="0"/>
              <w:divBdr>
                <w:top w:val="none" w:sz="0" w:space="0" w:color="auto"/>
                <w:left w:val="none" w:sz="0" w:space="0" w:color="auto"/>
                <w:bottom w:val="none" w:sz="0" w:space="0" w:color="auto"/>
                <w:right w:val="none" w:sz="0" w:space="0" w:color="auto"/>
              </w:divBdr>
              <w:divsChild>
                <w:div w:id="137185937">
                  <w:marLeft w:val="0"/>
                  <w:marRight w:val="1"/>
                  <w:marTop w:val="0"/>
                  <w:marBottom w:val="0"/>
                  <w:divBdr>
                    <w:top w:val="none" w:sz="0" w:space="0" w:color="auto"/>
                    <w:left w:val="none" w:sz="0" w:space="0" w:color="auto"/>
                    <w:bottom w:val="none" w:sz="0" w:space="0" w:color="auto"/>
                    <w:right w:val="none" w:sz="0" w:space="0" w:color="auto"/>
                  </w:divBdr>
                  <w:divsChild>
                    <w:div w:id="253100496">
                      <w:marLeft w:val="0"/>
                      <w:marRight w:val="0"/>
                      <w:marTop w:val="0"/>
                      <w:marBottom w:val="0"/>
                      <w:divBdr>
                        <w:top w:val="none" w:sz="0" w:space="0" w:color="auto"/>
                        <w:left w:val="none" w:sz="0" w:space="0" w:color="auto"/>
                        <w:bottom w:val="none" w:sz="0" w:space="0" w:color="auto"/>
                        <w:right w:val="none" w:sz="0" w:space="0" w:color="auto"/>
                      </w:divBdr>
                      <w:divsChild>
                        <w:div w:id="229926366">
                          <w:marLeft w:val="0"/>
                          <w:marRight w:val="0"/>
                          <w:marTop w:val="0"/>
                          <w:marBottom w:val="0"/>
                          <w:divBdr>
                            <w:top w:val="none" w:sz="0" w:space="0" w:color="auto"/>
                            <w:left w:val="none" w:sz="0" w:space="0" w:color="auto"/>
                            <w:bottom w:val="none" w:sz="0" w:space="0" w:color="auto"/>
                            <w:right w:val="none" w:sz="0" w:space="0" w:color="auto"/>
                          </w:divBdr>
                          <w:divsChild>
                            <w:div w:id="1929540780">
                              <w:marLeft w:val="0"/>
                              <w:marRight w:val="0"/>
                              <w:marTop w:val="120"/>
                              <w:marBottom w:val="360"/>
                              <w:divBdr>
                                <w:top w:val="none" w:sz="0" w:space="0" w:color="auto"/>
                                <w:left w:val="none" w:sz="0" w:space="0" w:color="auto"/>
                                <w:bottom w:val="none" w:sz="0" w:space="0" w:color="auto"/>
                                <w:right w:val="none" w:sz="0" w:space="0" w:color="auto"/>
                              </w:divBdr>
                              <w:divsChild>
                                <w:div w:id="1970622809">
                                  <w:marLeft w:val="0"/>
                                  <w:marRight w:val="0"/>
                                  <w:marTop w:val="0"/>
                                  <w:marBottom w:val="0"/>
                                  <w:divBdr>
                                    <w:top w:val="none" w:sz="0" w:space="0" w:color="auto"/>
                                    <w:left w:val="none" w:sz="0" w:space="0" w:color="auto"/>
                                    <w:bottom w:val="none" w:sz="0" w:space="0" w:color="auto"/>
                                    <w:right w:val="none" w:sz="0" w:space="0" w:color="auto"/>
                                  </w:divBdr>
                                  <w:divsChild>
                                    <w:div w:id="18626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34386681">
      <w:bodyDiv w:val="1"/>
      <w:marLeft w:val="0"/>
      <w:marRight w:val="0"/>
      <w:marTop w:val="0"/>
      <w:marBottom w:val="0"/>
      <w:divBdr>
        <w:top w:val="none" w:sz="0" w:space="0" w:color="auto"/>
        <w:left w:val="none" w:sz="0" w:space="0" w:color="auto"/>
        <w:bottom w:val="none" w:sz="0" w:space="0" w:color="auto"/>
        <w:right w:val="none" w:sz="0" w:space="0" w:color="auto"/>
      </w:divBdr>
    </w:div>
    <w:div w:id="632057664">
      <w:bodyDiv w:val="1"/>
      <w:marLeft w:val="0"/>
      <w:marRight w:val="0"/>
      <w:marTop w:val="0"/>
      <w:marBottom w:val="0"/>
      <w:divBdr>
        <w:top w:val="none" w:sz="0" w:space="0" w:color="auto"/>
        <w:left w:val="none" w:sz="0" w:space="0" w:color="auto"/>
        <w:bottom w:val="none" w:sz="0" w:space="0" w:color="auto"/>
        <w:right w:val="none" w:sz="0" w:space="0" w:color="auto"/>
      </w:divBdr>
      <w:divsChild>
        <w:div w:id="1387995086">
          <w:marLeft w:val="0"/>
          <w:marRight w:val="0"/>
          <w:marTop w:val="0"/>
          <w:marBottom w:val="0"/>
          <w:divBdr>
            <w:top w:val="none" w:sz="0" w:space="0" w:color="auto"/>
            <w:left w:val="none" w:sz="0" w:space="0" w:color="auto"/>
            <w:bottom w:val="none" w:sz="0" w:space="0" w:color="auto"/>
            <w:right w:val="none" w:sz="0" w:space="0" w:color="auto"/>
          </w:divBdr>
          <w:divsChild>
            <w:div w:id="158929393">
              <w:marLeft w:val="0"/>
              <w:marRight w:val="0"/>
              <w:marTop w:val="0"/>
              <w:marBottom w:val="0"/>
              <w:divBdr>
                <w:top w:val="none" w:sz="0" w:space="0" w:color="auto"/>
                <w:left w:val="none" w:sz="0" w:space="0" w:color="auto"/>
                <w:bottom w:val="none" w:sz="0" w:space="0" w:color="auto"/>
                <w:right w:val="none" w:sz="0" w:space="0" w:color="auto"/>
              </w:divBdr>
              <w:divsChild>
                <w:div w:id="880090265">
                  <w:marLeft w:val="0"/>
                  <w:marRight w:val="0"/>
                  <w:marTop w:val="0"/>
                  <w:marBottom w:val="0"/>
                  <w:divBdr>
                    <w:top w:val="none" w:sz="0" w:space="0" w:color="auto"/>
                    <w:left w:val="none" w:sz="0" w:space="0" w:color="auto"/>
                    <w:bottom w:val="none" w:sz="0" w:space="0" w:color="auto"/>
                    <w:right w:val="none" w:sz="0" w:space="0" w:color="auto"/>
                  </w:divBdr>
                  <w:divsChild>
                    <w:div w:id="1269846690">
                      <w:marLeft w:val="0"/>
                      <w:marRight w:val="0"/>
                      <w:marTop w:val="0"/>
                      <w:marBottom w:val="0"/>
                      <w:divBdr>
                        <w:top w:val="none" w:sz="0" w:space="0" w:color="auto"/>
                        <w:left w:val="none" w:sz="0" w:space="0" w:color="auto"/>
                        <w:bottom w:val="none" w:sz="0" w:space="0" w:color="auto"/>
                        <w:right w:val="none" w:sz="0" w:space="0" w:color="auto"/>
                      </w:divBdr>
                      <w:divsChild>
                        <w:div w:id="2041126239">
                          <w:marLeft w:val="0"/>
                          <w:marRight w:val="0"/>
                          <w:marTop w:val="0"/>
                          <w:marBottom w:val="0"/>
                          <w:divBdr>
                            <w:top w:val="none" w:sz="0" w:space="0" w:color="auto"/>
                            <w:left w:val="none" w:sz="0" w:space="0" w:color="auto"/>
                            <w:bottom w:val="none" w:sz="0" w:space="0" w:color="auto"/>
                            <w:right w:val="none" w:sz="0" w:space="0" w:color="auto"/>
                          </w:divBdr>
                          <w:divsChild>
                            <w:div w:id="13960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76179">
      <w:bodyDiv w:val="1"/>
      <w:marLeft w:val="0"/>
      <w:marRight w:val="0"/>
      <w:marTop w:val="0"/>
      <w:marBottom w:val="0"/>
      <w:divBdr>
        <w:top w:val="none" w:sz="0" w:space="0" w:color="auto"/>
        <w:left w:val="none" w:sz="0" w:space="0" w:color="auto"/>
        <w:bottom w:val="none" w:sz="0" w:space="0" w:color="auto"/>
        <w:right w:val="none" w:sz="0" w:space="0" w:color="auto"/>
      </w:divBdr>
      <w:divsChild>
        <w:div w:id="484202470">
          <w:marLeft w:val="0"/>
          <w:marRight w:val="0"/>
          <w:marTop w:val="0"/>
          <w:marBottom w:val="0"/>
          <w:divBdr>
            <w:top w:val="none" w:sz="0" w:space="0" w:color="auto"/>
            <w:left w:val="none" w:sz="0" w:space="0" w:color="auto"/>
            <w:bottom w:val="none" w:sz="0" w:space="0" w:color="auto"/>
            <w:right w:val="none" w:sz="0" w:space="0" w:color="auto"/>
          </w:divBdr>
          <w:divsChild>
            <w:div w:id="2005936322">
              <w:marLeft w:val="0"/>
              <w:marRight w:val="0"/>
              <w:marTop w:val="0"/>
              <w:marBottom w:val="0"/>
              <w:divBdr>
                <w:top w:val="none" w:sz="0" w:space="0" w:color="auto"/>
                <w:left w:val="none" w:sz="0" w:space="0" w:color="auto"/>
                <w:bottom w:val="none" w:sz="0" w:space="0" w:color="auto"/>
                <w:right w:val="none" w:sz="0" w:space="0" w:color="auto"/>
              </w:divBdr>
              <w:divsChild>
                <w:div w:id="39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2458">
      <w:bodyDiv w:val="1"/>
      <w:marLeft w:val="0"/>
      <w:marRight w:val="0"/>
      <w:marTop w:val="0"/>
      <w:marBottom w:val="0"/>
      <w:divBdr>
        <w:top w:val="none" w:sz="0" w:space="0" w:color="auto"/>
        <w:left w:val="none" w:sz="0" w:space="0" w:color="auto"/>
        <w:bottom w:val="none" w:sz="0" w:space="0" w:color="auto"/>
        <w:right w:val="none" w:sz="0" w:space="0" w:color="auto"/>
      </w:divBdr>
    </w:div>
    <w:div w:id="89181701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3882747">
      <w:bodyDiv w:val="1"/>
      <w:marLeft w:val="0"/>
      <w:marRight w:val="0"/>
      <w:marTop w:val="0"/>
      <w:marBottom w:val="0"/>
      <w:divBdr>
        <w:top w:val="none" w:sz="0" w:space="0" w:color="auto"/>
        <w:left w:val="none" w:sz="0" w:space="0" w:color="auto"/>
        <w:bottom w:val="none" w:sz="0" w:space="0" w:color="auto"/>
        <w:right w:val="none" w:sz="0" w:space="0" w:color="auto"/>
      </w:divBdr>
    </w:div>
    <w:div w:id="1297375167">
      <w:bodyDiv w:val="1"/>
      <w:marLeft w:val="0"/>
      <w:marRight w:val="0"/>
      <w:marTop w:val="0"/>
      <w:marBottom w:val="0"/>
      <w:divBdr>
        <w:top w:val="none" w:sz="0" w:space="0" w:color="auto"/>
        <w:left w:val="none" w:sz="0" w:space="0" w:color="auto"/>
        <w:bottom w:val="none" w:sz="0" w:space="0" w:color="auto"/>
        <w:right w:val="none" w:sz="0" w:space="0" w:color="auto"/>
      </w:divBdr>
      <w:divsChild>
        <w:div w:id="1714889362">
          <w:marLeft w:val="0"/>
          <w:marRight w:val="0"/>
          <w:marTop w:val="0"/>
          <w:marBottom w:val="0"/>
          <w:divBdr>
            <w:top w:val="none" w:sz="0" w:space="0" w:color="auto"/>
            <w:left w:val="none" w:sz="0" w:space="0" w:color="auto"/>
            <w:bottom w:val="none" w:sz="0" w:space="0" w:color="auto"/>
            <w:right w:val="none" w:sz="0" w:space="0" w:color="auto"/>
          </w:divBdr>
          <w:divsChild>
            <w:div w:id="1301109105">
              <w:marLeft w:val="0"/>
              <w:marRight w:val="0"/>
              <w:marTop w:val="0"/>
              <w:marBottom w:val="0"/>
              <w:divBdr>
                <w:top w:val="none" w:sz="0" w:space="0" w:color="auto"/>
                <w:left w:val="none" w:sz="0" w:space="0" w:color="auto"/>
                <w:bottom w:val="none" w:sz="0" w:space="0" w:color="auto"/>
                <w:right w:val="none" w:sz="0" w:space="0" w:color="auto"/>
              </w:divBdr>
              <w:divsChild>
                <w:div w:id="18499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9935">
      <w:bodyDiv w:val="1"/>
      <w:marLeft w:val="0"/>
      <w:marRight w:val="0"/>
      <w:marTop w:val="0"/>
      <w:marBottom w:val="0"/>
      <w:divBdr>
        <w:top w:val="none" w:sz="0" w:space="0" w:color="auto"/>
        <w:left w:val="none" w:sz="0" w:space="0" w:color="auto"/>
        <w:bottom w:val="none" w:sz="0" w:space="0" w:color="auto"/>
        <w:right w:val="none" w:sz="0" w:space="0" w:color="auto"/>
      </w:divBdr>
    </w:div>
    <w:div w:id="1571186230">
      <w:bodyDiv w:val="1"/>
      <w:marLeft w:val="0"/>
      <w:marRight w:val="0"/>
      <w:marTop w:val="0"/>
      <w:marBottom w:val="0"/>
      <w:divBdr>
        <w:top w:val="none" w:sz="0" w:space="0" w:color="auto"/>
        <w:left w:val="none" w:sz="0" w:space="0" w:color="auto"/>
        <w:bottom w:val="none" w:sz="0" w:space="0" w:color="auto"/>
        <w:right w:val="none" w:sz="0" w:space="0" w:color="auto"/>
      </w:divBdr>
      <w:divsChild>
        <w:div w:id="331496531">
          <w:marLeft w:val="0"/>
          <w:marRight w:val="0"/>
          <w:marTop w:val="0"/>
          <w:marBottom w:val="0"/>
          <w:divBdr>
            <w:top w:val="none" w:sz="0" w:space="0" w:color="auto"/>
            <w:left w:val="none" w:sz="0" w:space="0" w:color="auto"/>
            <w:bottom w:val="none" w:sz="0" w:space="0" w:color="auto"/>
            <w:right w:val="none" w:sz="0" w:space="0" w:color="auto"/>
          </w:divBdr>
          <w:divsChild>
            <w:div w:id="5658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1520">
      <w:bodyDiv w:val="1"/>
      <w:marLeft w:val="0"/>
      <w:marRight w:val="0"/>
      <w:marTop w:val="0"/>
      <w:marBottom w:val="0"/>
      <w:divBdr>
        <w:top w:val="none" w:sz="0" w:space="0" w:color="auto"/>
        <w:left w:val="none" w:sz="0" w:space="0" w:color="auto"/>
        <w:bottom w:val="none" w:sz="0" w:space="0" w:color="auto"/>
        <w:right w:val="none" w:sz="0" w:space="0" w:color="auto"/>
      </w:divBdr>
    </w:div>
    <w:div w:id="1939218885">
      <w:bodyDiv w:val="1"/>
      <w:marLeft w:val="0"/>
      <w:marRight w:val="0"/>
      <w:marTop w:val="0"/>
      <w:marBottom w:val="0"/>
      <w:divBdr>
        <w:top w:val="none" w:sz="0" w:space="0" w:color="auto"/>
        <w:left w:val="none" w:sz="0" w:space="0" w:color="auto"/>
        <w:bottom w:val="none" w:sz="0" w:space="0" w:color="auto"/>
        <w:right w:val="none" w:sz="0" w:space="0" w:color="auto"/>
      </w:divBdr>
      <w:divsChild>
        <w:div w:id="1499080730">
          <w:marLeft w:val="0"/>
          <w:marRight w:val="1"/>
          <w:marTop w:val="0"/>
          <w:marBottom w:val="0"/>
          <w:divBdr>
            <w:top w:val="none" w:sz="0" w:space="0" w:color="auto"/>
            <w:left w:val="none" w:sz="0" w:space="0" w:color="auto"/>
            <w:bottom w:val="none" w:sz="0" w:space="0" w:color="auto"/>
            <w:right w:val="none" w:sz="0" w:space="0" w:color="auto"/>
          </w:divBdr>
          <w:divsChild>
            <w:div w:id="443158895">
              <w:marLeft w:val="0"/>
              <w:marRight w:val="0"/>
              <w:marTop w:val="0"/>
              <w:marBottom w:val="0"/>
              <w:divBdr>
                <w:top w:val="none" w:sz="0" w:space="0" w:color="auto"/>
                <w:left w:val="none" w:sz="0" w:space="0" w:color="auto"/>
                <w:bottom w:val="none" w:sz="0" w:space="0" w:color="auto"/>
                <w:right w:val="none" w:sz="0" w:space="0" w:color="auto"/>
              </w:divBdr>
              <w:divsChild>
                <w:div w:id="760444263">
                  <w:marLeft w:val="0"/>
                  <w:marRight w:val="1"/>
                  <w:marTop w:val="0"/>
                  <w:marBottom w:val="0"/>
                  <w:divBdr>
                    <w:top w:val="none" w:sz="0" w:space="0" w:color="auto"/>
                    <w:left w:val="none" w:sz="0" w:space="0" w:color="auto"/>
                    <w:bottom w:val="none" w:sz="0" w:space="0" w:color="auto"/>
                    <w:right w:val="none" w:sz="0" w:space="0" w:color="auto"/>
                  </w:divBdr>
                  <w:divsChild>
                    <w:div w:id="948465950">
                      <w:marLeft w:val="0"/>
                      <w:marRight w:val="0"/>
                      <w:marTop w:val="0"/>
                      <w:marBottom w:val="0"/>
                      <w:divBdr>
                        <w:top w:val="none" w:sz="0" w:space="0" w:color="auto"/>
                        <w:left w:val="none" w:sz="0" w:space="0" w:color="auto"/>
                        <w:bottom w:val="none" w:sz="0" w:space="0" w:color="auto"/>
                        <w:right w:val="none" w:sz="0" w:space="0" w:color="auto"/>
                      </w:divBdr>
                      <w:divsChild>
                        <w:div w:id="946230483">
                          <w:marLeft w:val="0"/>
                          <w:marRight w:val="0"/>
                          <w:marTop w:val="0"/>
                          <w:marBottom w:val="0"/>
                          <w:divBdr>
                            <w:top w:val="none" w:sz="0" w:space="0" w:color="auto"/>
                            <w:left w:val="none" w:sz="0" w:space="0" w:color="auto"/>
                            <w:bottom w:val="none" w:sz="0" w:space="0" w:color="auto"/>
                            <w:right w:val="none" w:sz="0" w:space="0" w:color="auto"/>
                          </w:divBdr>
                          <w:divsChild>
                            <w:div w:id="68119648">
                              <w:marLeft w:val="0"/>
                              <w:marRight w:val="0"/>
                              <w:marTop w:val="120"/>
                              <w:marBottom w:val="360"/>
                              <w:divBdr>
                                <w:top w:val="none" w:sz="0" w:space="0" w:color="auto"/>
                                <w:left w:val="none" w:sz="0" w:space="0" w:color="auto"/>
                                <w:bottom w:val="none" w:sz="0" w:space="0" w:color="auto"/>
                                <w:right w:val="none" w:sz="0" w:space="0" w:color="auto"/>
                              </w:divBdr>
                              <w:divsChild>
                                <w:div w:id="739131430">
                                  <w:marLeft w:val="0"/>
                                  <w:marRight w:val="0"/>
                                  <w:marTop w:val="0"/>
                                  <w:marBottom w:val="0"/>
                                  <w:divBdr>
                                    <w:top w:val="none" w:sz="0" w:space="0" w:color="auto"/>
                                    <w:left w:val="none" w:sz="0" w:space="0" w:color="auto"/>
                                    <w:bottom w:val="none" w:sz="0" w:space="0" w:color="auto"/>
                                    <w:right w:val="none" w:sz="0" w:space="0" w:color="auto"/>
                                  </w:divBdr>
                                  <w:divsChild>
                                    <w:div w:id="8490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2526">
      <w:bodyDiv w:val="1"/>
      <w:marLeft w:val="0"/>
      <w:marRight w:val="0"/>
      <w:marTop w:val="0"/>
      <w:marBottom w:val="0"/>
      <w:divBdr>
        <w:top w:val="none" w:sz="0" w:space="0" w:color="auto"/>
        <w:left w:val="none" w:sz="0" w:space="0" w:color="auto"/>
        <w:bottom w:val="none" w:sz="0" w:space="0" w:color="auto"/>
        <w:right w:val="none" w:sz="0" w:space="0" w:color="auto"/>
      </w:divBdr>
      <w:divsChild>
        <w:div w:id="447092924">
          <w:marLeft w:val="0"/>
          <w:marRight w:val="0"/>
          <w:marTop w:val="0"/>
          <w:marBottom w:val="0"/>
          <w:divBdr>
            <w:top w:val="none" w:sz="0" w:space="0" w:color="auto"/>
            <w:left w:val="none" w:sz="0" w:space="0" w:color="auto"/>
            <w:bottom w:val="none" w:sz="0" w:space="0" w:color="auto"/>
            <w:right w:val="none" w:sz="0" w:space="0" w:color="auto"/>
          </w:divBdr>
          <w:divsChild>
            <w:div w:id="1713269148">
              <w:marLeft w:val="0"/>
              <w:marRight w:val="0"/>
              <w:marTop w:val="0"/>
              <w:marBottom w:val="0"/>
              <w:divBdr>
                <w:top w:val="none" w:sz="0" w:space="0" w:color="auto"/>
                <w:left w:val="none" w:sz="0" w:space="0" w:color="auto"/>
                <w:bottom w:val="none" w:sz="0" w:space="0" w:color="auto"/>
                <w:right w:val="none" w:sz="0" w:space="0" w:color="auto"/>
              </w:divBdr>
              <w:divsChild>
                <w:div w:id="16222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3426">
      <w:bodyDiv w:val="1"/>
      <w:marLeft w:val="0"/>
      <w:marRight w:val="0"/>
      <w:marTop w:val="0"/>
      <w:marBottom w:val="0"/>
      <w:divBdr>
        <w:top w:val="none" w:sz="0" w:space="0" w:color="auto"/>
        <w:left w:val="none" w:sz="0" w:space="0" w:color="auto"/>
        <w:bottom w:val="none" w:sz="0" w:space="0" w:color="auto"/>
        <w:right w:val="none" w:sz="0" w:space="0" w:color="auto"/>
      </w:divBdr>
    </w:div>
    <w:div w:id="2115781342">
      <w:bodyDiv w:val="1"/>
      <w:marLeft w:val="0"/>
      <w:marRight w:val="0"/>
      <w:marTop w:val="0"/>
      <w:marBottom w:val="0"/>
      <w:divBdr>
        <w:top w:val="none" w:sz="0" w:space="0" w:color="auto"/>
        <w:left w:val="none" w:sz="0" w:space="0" w:color="auto"/>
        <w:bottom w:val="none" w:sz="0" w:space="0" w:color="auto"/>
        <w:right w:val="none" w:sz="0" w:space="0" w:color="auto"/>
      </w:divBdr>
      <w:divsChild>
        <w:div w:id="1540623401">
          <w:marLeft w:val="0"/>
          <w:marRight w:val="0"/>
          <w:marTop w:val="0"/>
          <w:marBottom w:val="0"/>
          <w:divBdr>
            <w:top w:val="none" w:sz="0" w:space="0" w:color="auto"/>
            <w:left w:val="none" w:sz="0" w:space="0" w:color="auto"/>
            <w:bottom w:val="none" w:sz="0" w:space="0" w:color="auto"/>
            <w:right w:val="none" w:sz="0" w:space="0" w:color="auto"/>
          </w:divBdr>
          <w:divsChild>
            <w:div w:id="2037804903">
              <w:marLeft w:val="0"/>
              <w:marRight w:val="0"/>
              <w:marTop w:val="0"/>
              <w:marBottom w:val="0"/>
              <w:divBdr>
                <w:top w:val="none" w:sz="0" w:space="0" w:color="auto"/>
                <w:left w:val="none" w:sz="0" w:space="0" w:color="auto"/>
                <w:bottom w:val="none" w:sz="0" w:space="0" w:color="auto"/>
                <w:right w:val="none" w:sz="0" w:space="0" w:color="auto"/>
              </w:divBdr>
              <w:divsChild>
                <w:div w:id="1284729487">
                  <w:marLeft w:val="0"/>
                  <w:marRight w:val="0"/>
                  <w:marTop w:val="0"/>
                  <w:marBottom w:val="0"/>
                  <w:divBdr>
                    <w:top w:val="none" w:sz="0" w:space="0" w:color="auto"/>
                    <w:left w:val="none" w:sz="0" w:space="0" w:color="auto"/>
                    <w:bottom w:val="none" w:sz="0" w:space="0" w:color="auto"/>
                    <w:right w:val="none" w:sz="0" w:space="0" w:color="auto"/>
                  </w:divBdr>
                  <w:divsChild>
                    <w:div w:id="811943329">
                      <w:marLeft w:val="0"/>
                      <w:marRight w:val="0"/>
                      <w:marTop w:val="0"/>
                      <w:marBottom w:val="0"/>
                      <w:divBdr>
                        <w:top w:val="none" w:sz="0" w:space="0" w:color="auto"/>
                        <w:left w:val="none" w:sz="0" w:space="0" w:color="auto"/>
                        <w:bottom w:val="none" w:sz="0" w:space="0" w:color="auto"/>
                        <w:right w:val="none" w:sz="0" w:space="0" w:color="auto"/>
                      </w:divBdr>
                      <w:divsChild>
                        <w:div w:id="1684628151">
                          <w:marLeft w:val="0"/>
                          <w:marRight w:val="0"/>
                          <w:marTop w:val="0"/>
                          <w:marBottom w:val="0"/>
                          <w:divBdr>
                            <w:top w:val="none" w:sz="0" w:space="0" w:color="auto"/>
                            <w:left w:val="none" w:sz="0" w:space="0" w:color="auto"/>
                            <w:bottom w:val="none" w:sz="0" w:space="0" w:color="auto"/>
                            <w:right w:val="none" w:sz="0" w:space="0" w:color="auto"/>
                          </w:divBdr>
                          <w:divsChild>
                            <w:div w:id="12835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dustry/listing/elements/pbac-meetings/pbac-stakeholder-meetings/Asthma-Stakeholder-Meeting-Dec-2018-Outcome-Statement.pdf" TargetMode="External"/><Relationship Id="rId13" Type="http://schemas.openxmlformats.org/officeDocument/2006/relationships/hyperlink" Target="http://www.pbs.gov.au/pbs/home" TargetMode="External"/><Relationship Id="rId18" Type="http://schemas.openxmlformats.org/officeDocument/2006/relationships/hyperlink" Target="http://www.pbs.gov.au/pbs/industry/listing/elements/pbac-meetings/psd/public-summary-documents-by-product" TargetMode="External"/><Relationship Id="rId26" Type="http://schemas.openxmlformats.org/officeDocument/2006/relationships/hyperlink" Target="http://www.pbs.gov.au/info/industry/listing/elements/pbac-meetings/psd/2016-03/mepolizumab-nucala-psd-03-2016"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bs.gov.au/info/industry/listing/elements/pbac-meetings/psd/2016-07/mepolizumab-psd-july-2016" TargetMode="External"/><Relationship Id="rId34" Type="http://schemas.openxmlformats.org/officeDocument/2006/relationships/chart" Target="charts/chart4.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bs.gov.au/" TargetMode="External"/><Relationship Id="rId17" Type="http://schemas.openxmlformats.org/officeDocument/2006/relationships/hyperlink" Target="http://www.pbs.gov.au/info/industry/listing/participants/public-release-docs/omalizumab/omalizumab" TargetMode="External"/><Relationship Id="rId25" Type="http://schemas.openxmlformats.org/officeDocument/2006/relationships/hyperlink" Target="http://www.pbs.gov.au/industry/listing/elements/pbac-meetings/pbac-stakeholder-meetings/Asthma-Stakeholder-Meeting-Dec-2018-Outcome-Statement.pdf" TargetMode="External"/><Relationship Id="rId33" Type="http://schemas.openxmlformats.org/officeDocument/2006/relationships/chart" Target="charts/chart3.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bs.gov.au" TargetMode="External"/><Relationship Id="rId20" Type="http://schemas.openxmlformats.org/officeDocument/2006/relationships/hyperlink" Target="http://www.pbs.gov.au/info/industry/listing/elements/pbac-meetings/psd/2016-03/mepolizumab-nucala-psd-03-2016" TargetMode="External"/><Relationship Id="rId29" Type="http://schemas.openxmlformats.org/officeDocument/2006/relationships/hyperlink" Target="http://www.pbs.gov.au/info/industry/listing/participants/public-release-docs/omalizumab/omalizumab"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hyperlink" Target="http://www.pbs.gov.au/info/industry/listing/elements/pbac-meetings/psd/2018-03/Mepolizumab-psd-march-2018" TargetMode="External"/><Relationship Id="rId32" Type="http://schemas.openxmlformats.org/officeDocument/2006/relationships/chart" Target="charts/chart2.xml"/><Relationship Id="rId37" Type="http://schemas.openxmlformats.org/officeDocument/2006/relationships/chart" Target="charts/chart6.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s.gov.au" TargetMode="External"/><Relationship Id="rId23" Type="http://schemas.openxmlformats.org/officeDocument/2006/relationships/hyperlink" Target="http://www.pbs.gov.au/info/industry/listing/elements/pbac-meetings/psd/2018-03/Benralizumab-solution-psd-march-2018" TargetMode="External"/><Relationship Id="rId28" Type="http://schemas.openxmlformats.org/officeDocument/2006/relationships/hyperlink" Target="http://www.pbs.gov.au/info/industry/listing/elements/pbac-meetings/psd/2016-07/mepolizumab-psd-july-2016" TargetMode="External"/><Relationship Id="rId36" Type="http://schemas.openxmlformats.org/officeDocument/2006/relationships/image" Target="media/image1.png"/><Relationship Id="rId10" Type="http://schemas.openxmlformats.org/officeDocument/2006/relationships/hyperlink" Target="http://www.tga.gov.au/consumers/information-medicines-cmi.htm" TargetMode="External"/><Relationship Id="rId19" Type="http://schemas.openxmlformats.org/officeDocument/2006/relationships/hyperlink" Target="http://www.pbs.gov.au/pbs/industry/listing/elements/pbac-meetings/psd/2018-03/Benralizumab-injection-psd-march-2018" TargetMode="External"/><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www.pbs.gov.au/pbs/home" TargetMode="External"/><Relationship Id="rId22" Type="http://schemas.openxmlformats.org/officeDocument/2006/relationships/hyperlink" Target="http://www.pbs.gov.au/info/industry/listing/elements/pbac-meetings/psd/2017-11/mepolizumab-psd-november-2017" TargetMode="External"/><Relationship Id="rId27" Type="http://schemas.openxmlformats.org/officeDocument/2006/relationships/hyperlink" Target="http://www.pbs.gov.au/info/industry/listing/elements/pbac-meetings/psd/2016-03/mepolizumab-nucala-psd-03-2016" TargetMode="External"/><Relationship Id="rId30" Type="http://schemas.openxmlformats.org/officeDocument/2006/relationships/hyperlink" Target="http://www.pbs.gov.au/info/industry/listing/participants/public-release-docs/omalizumab/omalizumab" TargetMode="External"/><Relationship Id="rId35" Type="http://schemas.openxmlformats.org/officeDocument/2006/relationships/chart" Target="charts/chart5.xml"/><Relationship Id="rId43"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tga.gov.au/product-information-pi" TargetMode="External"/><Relationship Id="rId3" Type="http://schemas.openxmlformats.org/officeDocument/2006/relationships/hyperlink" Target="https://www.tga.gov.au/consumer-medicines-information-cmi" TargetMode="External"/><Relationship Id="rId7" Type="http://schemas.openxmlformats.org/officeDocument/2006/relationships/hyperlink" Target="https://www.tga.gov.au/product-information-pi" TargetMode="External"/><Relationship Id="rId2" Type="http://schemas.openxmlformats.org/officeDocument/2006/relationships/hyperlink" Target="https://doi.org/10.1016/j.anai.2015.10.027" TargetMode="External"/><Relationship Id="rId1" Type="http://schemas.openxmlformats.org/officeDocument/2006/relationships/hyperlink" Target="http://www.pbs.gov.au/industry/listing/elements/pbac-meetings/pbac-stakeholder-meetings/Asthma-Stakeholder-Meeting-Dec-2018-Outcome-Statement.pdf" TargetMode="External"/><Relationship Id="rId6" Type="http://schemas.openxmlformats.org/officeDocument/2006/relationships/hyperlink" Target="https://www.tga.gov.au/product-information-pi" TargetMode="External"/><Relationship Id="rId11" Type="http://schemas.openxmlformats.org/officeDocument/2006/relationships/hyperlink" Target="http://medicarestatistics.humanservices.gov.au/statistics/pbs_item.jsp" TargetMode="External"/><Relationship Id="rId5" Type="http://schemas.openxmlformats.org/officeDocument/2006/relationships/hyperlink" Target="https://www.tga.gov.au/consumer-medicines-information-cmi" TargetMode="External"/><Relationship Id="rId10" Type="http://schemas.openxmlformats.org/officeDocument/2006/relationships/hyperlink" Target="http://www.pbs.gov.au/industry/listing/participants/public-release-docs/omalizumab/omalizumab-24-month-review.pdf" TargetMode="External"/><Relationship Id="rId4" Type="http://schemas.openxmlformats.org/officeDocument/2006/relationships/hyperlink" Target="https://www.tga.gov.au/consumer-medicines-information-cmi" TargetMode="External"/><Relationship Id="rId9" Type="http://schemas.openxmlformats.org/officeDocument/2006/relationships/hyperlink" Target="http://www.pbs.gov.au/industry/listing/participants/public-release-docs/omalizumab/omalizumab-24-month-review.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[D1171 - PATCNTBY therapy, indication &amp; qtr, v2 - updated to DOS=201906.xlsx]Sheet1!PivotTable1</c:name>
    <c:fmtId val="2"/>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manualLayout>
          <c:layoutTarget val="inner"/>
          <c:xMode val="edge"/>
          <c:yMode val="edge"/>
          <c:x val="0.1212329423430757"/>
          <c:y val="3.7690594483467538E-2"/>
          <c:w val="0.84614276961053647"/>
          <c:h val="0.5920223823315558"/>
        </c:manualLayout>
      </c:layout>
      <c:lineChart>
        <c:grouping val="standard"/>
        <c:varyColors val="0"/>
        <c:ser>
          <c:idx val="0"/>
          <c:order val="0"/>
          <c:tx>
            <c:strRef>
              <c:f>Sheet1!$B$1:$B$3</c:f>
              <c:strCache>
                <c:ptCount val="1"/>
                <c:pt idx="0">
                  <c:v>Allergic asthma - prevalent patients by indication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Sheet1!$B$4:$B$36</c:f>
              <c:numCache>
                <c:formatCode>General</c:formatCode>
                <c:ptCount val="32"/>
                <c:pt idx="0">
                  <c:v>22</c:v>
                </c:pt>
                <c:pt idx="1">
                  <c:v>54</c:v>
                </c:pt>
                <c:pt idx="2">
                  <c:v>81</c:v>
                </c:pt>
                <c:pt idx="3">
                  <c:v>101</c:v>
                </c:pt>
                <c:pt idx="4">
                  <c:v>115</c:v>
                </c:pt>
                <c:pt idx="5">
                  <c:v>128</c:v>
                </c:pt>
                <c:pt idx="6">
                  <c:v>180</c:v>
                </c:pt>
                <c:pt idx="7">
                  <c:v>233</c:v>
                </c:pt>
                <c:pt idx="8">
                  <c:v>261</c:v>
                </c:pt>
                <c:pt idx="9">
                  <c:v>283</c:v>
                </c:pt>
                <c:pt idx="10">
                  <c:v>303</c:v>
                </c:pt>
                <c:pt idx="11">
                  <c:v>312</c:v>
                </c:pt>
                <c:pt idx="12">
                  <c:v>336</c:v>
                </c:pt>
                <c:pt idx="13">
                  <c:v>364</c:v>
                </c:pt>
                <c:pt idx="14">
                  <c:v>370</c:v>
                </c:pt>
                <c:pt idx="15">
                  <c:v>400</c:v>
                </c:pt>
                <c:pt idx="16">
                  <c:v>443</c:v>
                </c:pt>
                <c:pt idx="17">
                  <c:v>475</c:v>
                </c:pt>
                <c:pt idx="18">
                  <c:v>494</c:v>
                </c:pt>
                <c:pt idx="19">
                  <c:v>535</c:v>
                </c:pt>
                <c:pt idx="20">
                  <c:v>576</c:v>
                </c:pt>
                <c:pt idx="21">
                  <c:v>611</c:v>
                </c:pt>
                <c:pt idx="22">
                  <c:v>644</c:v>
                </c:pt>
                <c:pt idx="23">
                  <c:v>698</c:v>
                </c:pt>
                <c:pt idx="24">
                  <c:v>756</c:v>
                </c:pt>
                <c:pt idx="25">
                  <c:v>825</c:v>
                </c:pt>
                <c:pt idx="26">
                  <c:v>859</c:v>
                </c:pt>
                <c:pt idx="27">
                  <c:v>958</c:v>
                </c:pt>
                <c:pt idx="28">
                  <c:v>977</c:v>
                </c:pt>
                <c:pt idx="29">
                  <c:v>1033</c:v>
                </c:pt>
                <c:pt idx="30">
                  <c:v>1069</c:v>
                </c:pt>
                <c:pt idx="31">
                  <c:v>1134</c:v>
                </c:pt>
              </c:numCache>
            </c:numRef>
          </c:val>
          <c:smooth val="0"/>
          <c:extLst>
            <c:ext xmlns:c16="http://schemas.microsoft.com/office/drawing/2014/chart" uri="{C3380CC4-5D6E-409C-BE32-E72D297353CC}">
              <c16:uniqueId val="{00000000-4769-4428-B206-BA5AA243A8B7}"/>
            </c:ext>
          </c:extLst>
        </c:ser>
        <c:ser>
          <c:idx val="1"/>
          <c:order val="1"/>
          <c:tx>
            <c:strRef>
              <c:f>Sheet1!$C$1:$C$3</c:f>
              <c:strCache>
                <c:ptCount val="1"/>
                <c:pt idx="0">
                  <c:v>Allergic asthma - initiating patients by indication - no script since listing in 201107</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Sheet1!$C$4:$C$36</c:f>
              <c:numCache>
                <c:formatCode>General</c:formatCode>
                <c:ptCount val="32"/>
                <c:pt idx="0">
                  <c:v>22</c:v>
                </c:pt>
                <c:pt idx="1">
                  <c:v>33</c:v>
                </c:pt>
                <c:pt idx="2">
                  <c:v>29</c:v>
                </c:pt>
                <c:pt idx="3">
                  <c:v>27</c:v>
                </c:pt>
                <c:pt idx="4">
                  <c:v>29</c:v>
                </c:pt>
                <c:pt idx="5">
                  <c:v>25</c:v>
                </c:pt>
                <c:pt idx="6">
                  <c:v>58</c:v>
                </c:pt>
                <c:pt idx="7">
                  <c:v>59</c:v>
                </c:pt>
                <c:pt idx="8">
                  <c:v>38</c:v>
                </c:pt>
                <c:pt idx="9">
                  <c:v>37</c:v>
                </c:pt>
                <c:pt idx="10">
                  <c:v>37</c:v>
                </c:pt>
                <c:pt idx="11">
                  <c:v>33</c:v>
                </c:pt>
                <c:pt idx="12">
                  <c:v>45</c:v>
                </c:pt>
                <c:pt idx="13">
                  <c:v>49</c:v>
                </c:pt>
                <c:pt idx="14">
                  <c:v>39</c:v>
                </c:pt>
                <c:pt idx="15">
                  <c:v>38</c:v>
                </c:pt>
                <c:pt idx="16">
                  <c:v>54</c:v>
                </c:pt>
                <c:pt idx="17">
                  <c:v>42</c:v>
                </c:pt>
                <c:pt idx="18">
                  <c:v>36</c:v>
                </c:pt>
                <c:pt idx="19">
                  <c:v>65</c:v>
                </c:pt>
                <c:pt idx="20">
                  <c:v>60</c:v>
                </c:pt>
                <c:pt idx="21">
                  <c:v>63</c:v>
                </c:pt>
                <c:pt idx="22">
                  <c:v>61</c:v>
                </c:pt>
                <c:pt idx="23">
                  <c:v>88</c:v>
                </c:pt>
                <c:pt idx="24">
                  <c:v>95</c:v>
                </c:pt>
                <c:pt idx="25">
                  <c:v>96</c:v>
                </c:pt>
                <c:pt idx="26">
                  <c:v>90</c:v>
                </c:pt>
                <c:pt idx="27">
                  <c:v>128</c:v>
                </c:pt>
                <c:pt idx="28">
                  <c:v>102</c:v>
                </c:pt>
                <c:pt idx="29">
                  <c:v>124</c:v>
                </c:pt>
                <c:pt idx="30">
                  <c:v>98</c:v>
                </c:pt>
                <c:pt idx="31">
                  <c:v>131</c:v>
                </c:pt>
              </c:numCache>
            </c:numRef>
          </c:val>
          <c:smooth val="0"/>
          <c:extLst>
            <c:ext xmlns:c16="http://schemas.microsoft.com/office/drawing/2014/chart" uri="{C3380CC4-5D6E-409C-BE32-E72D297353CC}">
              <c16:uniqueId val="{00000001-4769-4428-B206-BA5AA243A8B7}"/>
            </c:ext>
          </c:extLst>
        </c:ser>
        <c:ser>
          <c:idx val="2"/>
          <c:order val="2"/>
          <c:tx>
            <c:strRef>
              <c:f>Sheet1!$E$1:$E$3</c:f>
              <c:strCache>
                <c:ptCount val="1"/>
                <c:pt idx="0">
                  <c:v>Eosinophilic asthma - prevalent patients by indication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Sheet1!$E$4:$E$36</c:f>
              <c:numCache>
                <c:formatCode>General</c:formatCode>
                <c:ptCount val="32"/>
                <c:pt idx="22">
                  <c:v>145</c:v>
                </c:pt>
                <c:pt idx="23">
                  <c:v>299</c:v>
                </c:pt>
                <c:pt idx="24">
                  <c:v>434</c:v>
                </c:pt>
                <c:pt idx="25">
                  <c:v>570</c:v>
                </c:pt>
                <c:pt idx="26">
                  <c:v>673</c:v>
                </c:pt>
                <c:pt idx="27">
                  <c:v>832</c:v>
                </c:pt>
                <c:pt idx="28">
                  <c:v>892</c:v>
                </c:pt>
                <c:pt idx="29">
                  <c:v>1045</c:v>
                </c:pt>
                <c:pt idx="30">
                  <c:v>1597</c:v>
                </c:pt>
                <c:pt idx="31">
                  <c:v>1878</c:v>
                </c:pt>
              </c:numCache>
            </c:numRef>
          </c:val>
          <c:smooth val="0"/>
          <c:extLst>
            <c:ext xmlns:c16="http://schemas.microsoft.com/office/drawing/2014/chart" uri="{C3380CC4-5D6E-409C-BE32-E72D297353CC}">
              <c16:uniqueId val="{00000002-4769-4428-B206-BA5AA243A8B7}"/>
            </c:ext>
          </c:extLst>
        </c:ser>
        <c:ser>
          <c:idx val="3"/>
          <c:order val="3"/>
          <c:tx>
            <c:strRef>
              <c:f>Sheet1!$F$1:$F$3</c:f>
              <c:strCache>
                <c:ptCount val="1"/>
                <c:pt idx="0">
                  <c:v>Eosinophilic asthma - initiating patients by indication - no script since listing in 201107</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Sheet1!$F$4:$F$36</c:f>
              <c:numCache>
                <c:formatCode>General</c:formatCode>
                <c:ptCount val="32"/>
                <c:pt idx="22">
                  <c:v>145</c:v>
                </c:pt>
                <c:pt idx="23">
                  <c:v>157</c:v>
                </c:pt>
                <c:pt idx="24">
                  <c:v>154</c:v>
                </c:pt>
                <c:pt idx="25">
                  <c:v>148</c:v>
                </c:pt>
                <c:pt idx="26">
                  <c:v>131</c:v>
                </c:pt>
                <c:pt idx="27">
                  <c:v>167</c:v>
                </c:pt>
                <c:pt idx="28">
                  <c:v>150</c:v>
                </c:pt>
                <c:pt idx="29">
                  <c:v>217</c:v>
                </c:pt>
                <c:pt idx="30">
                  <c:v>531</c:v>
                </c:pt>
                <c:pt idx="31">
                  <c:v>299</c:v>
                </c:pt>
              </c:numCache>
            </c:numRef>
          </c:val>
          <c:smooth val="0"/>
          <c:extLst>
            <c:ext xmlns:c16="http://schemas.microsoft.com/office/drawing/2014/chart" uri="{C3380CC4-5D6E-409C-BE32-E72D297353CC}">
              <c16:uniqueId val="{00000003-4769-4428-B206-BA5AA243A8B7}"/>
            </c:ext>
          </c:extLst>
        </c:ser>
        <c:dLbls>
          <c:showLegendKey val="0"/>
          <c:showVal val="0"/>
          <c:showCatName val="0"/>
          <c:showSerName val="0"/>
          <c:showPercent val="0"/>
          <c:showBubbleSize val="0"/>
        </c:dLbls>
        <c:marker val="1"/>
        <c:smooth val="0"/>
        <c:axId val="1267148480"/>
        <c:axId val="1267155040"/>
      </c:lineChart>
      <c:catAx>
        <c:axId val="126714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r>
                  <a:rPr lang="en-AU" baseline="0"/>
                  <a:t> of Supply</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155040"/>
        <c:crosses val="autoZero"/>
        <c:auto val="1"/>
        <c:lblAlgn val="ctr"/>
        <c:lblOffset val="100"/>
        <c:noMultiLvlLbl val="0"/>
      </c:catAx>
      <c:valAx>
        <c:axId val="126715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148480"/>
        <c:crosses val="autoZero"/>
        <c:crossBetween val="between"/>
      </c:valAx>
      <c:spPr>
        <a:noFill/>
        <a:ln>
          <a:noFill/>
        </a:ln>
        <a:effectLst/>
      </c:spPr>
    </c:plotArea>
    <c:legend>
      <c:legendPos val="r"/>
      <c:layout>
        <c:manualLayout>
          <c:xMode val="edge"/>
          <c:yMode val="edge"/>
          <c:x val="2.0630149823434595E-2"/>
          <c:y val="0.82465051214152452"/>
          <c:w val="0.96597250731623285"/>
          <c:h val="0.15248044311404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[D1171 - PATCNTBY drug &amp; qtr, v2 - updated to DOS=201906.xlsx]Sheet1 (2)!PivotTable1</c:name>
    <c:fmtId val="3"/>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s>
    <c:plotArea>
      <c:layout>
        <c:manualLayout>
          <c:layoutTarget val="inner"/>
          <c:xMode val="edge"/>
          <c:yMode val="edge"/>
          <c:x val="9.2111479254777195E-2"/>
          <c:y val="2.3084578955952409E-2"/>
          <c:w val="0.87520287216526216"/>
          <c:h val="0.59011885259309027"/>
        </c:manualLayout>
      </c:layout>
      <c:lineChart>
        <c:grouping val="standard"/>
        <c:varyColors val="0"/>
        <c:ser>
          <c:idx val="0"/>
          <c:order val="0"/>
          <c:tx>
            <c:strRef>
              <c:f>'Sheet1 (2)'!$B$1:$B$3</c:f>
              <c:strCache>
                <c:ptCount val="1"/>
                <c:pt idx="0">
                  <c:v>prevalent patients by drug_name - OMALIZUMAB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 (2)'!$B$4:$B$36</c:f>
              <c:numCache>
                <c:formatCode>General</c:formatCode>
                <c:ptCount val="32"/>
                <c:pt idx="0">
                  <c:v>22</c:v>
                </c:pt>
                <c:pt idx="1">
                  <c:v>54</c:v>
                </c:pt>
                <c:pt idx="2">
                  <c:v>81</c:v>
                </c:pt>
                <c:pt idx="3">
                  <c:v>101</c:v>
                </c:pt>
                <c:pt idx="4">
                  <c:v>115</c:v>
                </c:pt>
                <c:pt idx="5">
                  <c:v>128</c:v>
                </c:pt>
                <c:pt idx="6">
                  <c:v>180</c:v>
                </c:pt>
                <c:pt idx="7">
                  <c:v>233</c:v>
                </c:pt>
                <c:pt idx="8">
                  <c:v>261</c:v>
                </c:pt>
                <c:pt idx="9">
                  <c:v>283</c:v>
                </c:pt>
                <c:pt idx="10">
                  <c:v>303</c:v>
                </c:pt>
                <c:pt idx="11">
                  <c:v>312</c:v>
                </c:pt>
                <c:pt idx="12">
                  <c:v>336</c:v>
                </c:pt>
                <c:pt idx="13">
                  <c:v>364</c:v>
                </c:pt>
                <c:pt idx="14">
                  <c:v>370</c:v>
                </c:pt>
                <c:pt idx="15">
                  <c:v>400</c:v>
                </c:pt>
                <c:pt idx="16">
                  <c:v>443</c:v>
                </c:pt>
                <c:pt idx="17">
                  <c:v>475</c:v>
                </c:pt>
                <c:pt idx="18">
                  <c:v>494</c:v>
                </c:pt>
                <c:pt idx="19">
                  <c:v>535</c:v>
                </c:pt>
                <c:pt idx="20">
                  <c:v>576</c:v>
                </c:pt>
                <c:pt idx="21">
                  <c:v>611</c:v>
                </c:pt>
                <c:pt idx="22">
                  <c:v>644</c:v>
                </c:pt>
                <c:pt idx="23">
                  <c:v>698</c:v>
                </c:pt>
                <c:pt idx="24">
                  <c:v>756</c:v>
                </c:pt>
                <c:pt idx="25">
                  <c:v>825</c:v>
                </c:pt>
                <c:pt idx="26">
                  <c:v>859</c:v>
                </c:pt>
                <c:pt idx="27">
                  <c:v>958</c:v>
                </c:pt>
                <c:pt idx="28">
                  <c:v>977</c:v>
                </c:pt>
                <c:pt idx="29">
                  <c:v>1033</c:v>
                </c:pt>
                <c:pt idx="30">
                  <c:v>1069</c:v>
                </c:pt>
                <c:pt idx="31">
                  <c:v>1134</c:v>
                </c:pt>
              </c:numCache>
            </c:numRef>
          </c:val>
          <c:smooth val="0"/>
          <c:extLst>
            <c:ext xmlns:c16="http://schemas.microsoft.com/office/drawing/2014/chart" uri="{C3380CC4-5D6E-409C-BE32-E72D297353CC}">
              <c16:uniqueId val="{00000000-7526-418E-B84E-52B0C26273D4}"/>
            </c:ext>
          </c:extLst>
        </c:ser>
        <c:ser>
          <c:idx val="1"/>
          <c:order val="1"/>
          <c:tx>
            <c:strRef>
              <c:f>'Sheet1 (2)'!$C$1:$C$3</c:f>
              <c:strCache>
                <c:ptCount val="1"/>
                <c:pt idx="0">
                  <c:v>prevalent patients by drug_name - MEPOLIZUMAB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 (2)'!$C$4:$C$36</c:f>
              <c:numCache>
                <c:formatCode>General</c:formatCode>
                <c:ptCount val="32"/>
                <c:pt idx="22">
                  <c:v>145</c:v>
                </c:pt>
                <c:pt idx="23">
                  <c:v>299</c:v>
                </c:pt>
                <c:pt idx="24">
                  <c:v>434</c:v>
                </c:pt>
                <c:pt idx="25">
                  <c:v>570</c:v>
                </c:pt>
                <c:pt idx="26">
                  <c:v>673</c:v>
                </c:pt>
                <c:pt idx="27">
                  <c:v>832</c:v>
                </c:pt>
                <c:pt idx="28">
                  <c:v>892</c:v>
                </c:pt>
                <c:pt idx="29">
                  <c:v>989</c:v>
                </c:pt>
                <c:pt idx="30">
                  <c:v>1057</c:v>
                </c:pt>
                <c:pt idx="31">
                  <c:v>1156</c:v>
                </c:pt>
              </c:numCache>
            </c:numRef>
          </c:val>
          <c:smooth val="0"/>
          <c:extLst>
            <c:ext xmlns:c16="http://schemas.microsoft.com/office/drawing/2014/chart" uri="{C3380CC4-5D6E-409C-BE32-E72D297353CC}">
              <c16:uniqueId val="{00000001-7526-418E-B84E-52B0C26273D4}"/>
            </c:ext>
          </c:extLst>
        </c:ser>
        <c:ser>
          <c:idx val="2"/>
          <c:order val="2"/>
          <c:tx>
            <c:strRef>
              <c:f>'Sheet1 (2)'!$D$1:$D$3</c:f>
              <c:strCache>
                <c:ptCount val="1"/>
                <c:pt idx="0">
                  <c:v>prevalent patients by drug_name - BENRALIZUMAB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 (2)'!$D$4:$D$36</c:f>
              <c:numCache>
                <c:formatCode>General</c:formatCode>
                <c:ptCount val="32"/>
                <c:pt idx="29">
                  <c:v>56</c:v>
                </c:pt>
                <c:pt idx="30">
                  <c:v>540</c:v>
                </c:pt>
                <c:pt idx="31">
                  <c:v>722</c:v>
                </c:pt>
              </c:numCache>
            </c:numRef>
          </c:val>
          <c:smooth val="0"/>
          <c:extLst>
            <c:ext xmlns:c16="http://schemas.microsoft.com/office/drawing/2014/chart" uri="{C3380CC4-5D6E-409C-BE32-E72D297353CC}">
              <c16:uniqueId val="{00000002-7526-418E-B84E-52B0C26273D4}"/>
            </c:ext>
          </c:extLst>
        </c:ser>
        <c:ser>
          <c:idx val="3"/>
          <c:order val="3"/>
          <c:tx>
            <c:strRef>
              <c:f>'Sheet1 (2)'!$F$1:$F$3</c:f>
              <c:strCache>
                <c:ptCount val="1"/>
                <c:pt idx="0">
                  <c:v>initiating patients by drug_name - no script since listing in 201107 - OMALIZUMAB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 (2)'!$F$4:$F$36</c:f>
              <c:numCache>
                <c:formatCode>General</c:formatCode>
                <c:ptCount val="32"/>
                <c:pt idx="0">
                  <c:v>22</c:v>
                </c:pt>
                <c:pt idx="1">
                  <c:v>33</c:v>
                </c:pt>
                <c:pt idx="2">
                  <c:v>29</c:v>
                </c:pt>
                <c:pt idx="3">
                  <c:v>27</c:v>
                </c:pt>
                <c:pt idx="4">
                  <c:v>29</c:v>
                </c:pt>
                <c:pt idx="5">
                  <c:v>25</c:v>
                </c:pt>
                <c:pt idx="6">
                  <c:v>58</c:v>
                </c:pt>
                <c:pt idx="7">
                  <c:v>59</c:v>
                </c:pt>
                <c:pt idx="8">
                  <c:v>38</c:v>
                </c:pt>
                <c:pt idx="9">
                  <c:v>37</c:v>
                </c:pt>
                <c:pt idx="10">
                  <c:v>37</c:v>
                </c:pt>
                <c:pt idx="11">
                  <c:v>33</c:v>
                </c:pt>
                <c:pt idx="12">
                  <c:v>45</c:v>
                </c:pt>
                <c:pt idx="13">
                  <c:v>49</c:v>
                </c:pt>
                <c:pt idx="14">
                  <c:v>39</c:v>
                </c:pt>
                <c:pt idx="15">
                  <c:v>38</c:v>
                </c:pt>
                <c:pt idx="16">
                  <c:v>54</c:v>
                </c:pt>
                <c:pt idx="17">
                  <c:v>42</c:v>
                </c:pt>
                <c:pt idx="18">
                  <c:v>36</c:v>
                </c:pt>
                <c:pt idx="19">
                  <c:v>65</c:v>
                </c:pt>
                <c:pt idx="20">
                  <c:v>60</c:v>
                </c:pt>
                <c:pt idx="21">
                  <c:v>63</c:v>
                </c:pt>
                <c:pt idx="22">
                  <c:v>61</c:v>
                </c:pt>
                <c:pt idx="23">
                  <c:v>88</c:v>
                </c:pt>
                <c:pt idx="24">
                  <c:v>95</c:v>
                </c:pt>
                <c:pt idx="25">
                  <c:v>96</c:v>
                </c:pt>
                <c:pt idx="26">
                  <c:v>90</c:v>
                </c:pt>
                <c:pt idx="27">
                  <c:v>128</c:v>
                </c:pt>
                <c:pt idx="28">
                  <c:v>102</c:v>
                </c:pt>
                <c:pt idx="29">
                  <c:v>124</c:v>
                </c:pt>
                <c:pt idx="30">
                  <c:v>98</c:v>
                </c:pt>
                <c:pt idx="31">
                  <c:v>131</c:v>
                </c:pt>
              </c:numCache>
            </c:numRef>
          </c:val>
          <c:smooth val="0"/>
          <c:extLst>
            <c:ext xmlns:c16="http://schemas.microsoft.com/office/drawing/2014/chart" uri="{C3380CC4-5D6E-409C-BE32-E72D297353CC}">
              <c16:uniqueId val="{00000003-7526-418E-B84E-52B0C26273D4}"/>
            </c:ext>
          </c:extLst>
        </c:ser>
        <c:ser>
          <c:idx val="4"/>
          <c:order val="4"/>
          <c:tx>
            <c:strRef>
              <c:f>'Sheet1 (2)'!$G$1:$G$3</c:f>
              <c:strCache>
                <c:ptCount val="1"/>
                <c:pt idx="0">
                  <c:v>initiating patients by drug_name - no script since listing in 201107 - MEPOLIZUMAB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 (2)'!$G$4:$G$36</c:f>
              <c:numCache>
                <c:formatCode>General</c:formatCode>
                <c:ptCount val="32"/>
                <c:pt idx="22">
                  <c:v>145</c:v>
                </c:pt>
                <c:pt idx="23">
                  <c:v>157</c:v>
                </c:pt>
                <c:pt idx="24">
                  <c:v>154</c:v>
                </c:pt>
                <c:pt idx="25">
                  <c:v>148</c:v>
                </c:pt>
                <c:pt idx="26">
                  <c:v>131</c:v>
                </c:pt>
                <c:pt idx="27">
                  <c:v>167</c:v>
                </c:pt>
                <c:pt idx="28">
                  <c:v>150</c:v>
                </c:pt>
                <c:pt idx="29">
                  <c:v>172</c:v>
                </c:pt>
                <c:pt idx="30">
                  <c:v>125</c:v>
                </c:pt>
                <c:pt idx="31">
                  <c:v>127</c:v>
                </c:pt>
              </c:numCache>
            </c:numRef>
          </c:val>
          <c:smooth val="0"/>
          <c:extLst>
            <c:ext xmlns:c16="http://schemas.microsoft.com/office/drawing/2014/chart" uri="{C3380CC4-5D6E-409C-BE32-E72D297353CC}">
              <c16:uniqueId val="{00000004-7526-418E-B84E-52B0C26273D4}"/>
            </c:ext>
          </c:extLst>
        </c:ser>
        <c:ser>
          <c:idx val="5"/>
          <c:order val="5"/>
          <c:tx>
            <c:strRef>
              <c:f>'Sheet1 (2)'!$H$1:$H$3</c:f>
              <c:strCache>
                <c:ptCount val="1"/>
                <c:pt idx="0">
                  <c:v>initiating patients by drug_name - no script since listing in 201107 - BENRALIZUMAB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(2)'!$A$4:$A$36</c:f>
              <c:strCache>
                <c:ptCount val="32"/>
                <c:pt idx="0">
                  <c:v>2011Q3</c:v>
                </c:pt>
                <c:pt idx="1">
                  <c:v>2011Q4</c:v>
                </c:pt>
                <c:pt idx="2">
                  <c:v>2012Q1</c:v>
                </c:pt>
                <c:pt idx="3">
                  <c:v>2012Q2</c:v>
                </c:pt>
                <c:pt idx="4">
                  <c:v>2012Q3</c:v>
                </c:pt>
                <c:pt idx="5">
                  <c:v>2012Q4</c:v>
                </c:pt>
                <c:pt idx="6">
                  <c:v>2013Q1</c:v>
                </c:pt>
                <c:pt idx="7">
                  <c:v>2013Q2</c:v>
                </c:pt>
                <c:pt idx="8">
                  <c:v>2013Q3</c:v>
                </c:pt>
                <c:pt idx="9">
                  <c:v>2013Q4</c:v>
                </c:pt>
                <c:pt idx="10">
                  <c:v>2014Q1</c:v>
                </c:pt>
                <c:pt idx="11">
                  <c:v>2014Q2</c:v>
                </c:pt>
                <c:pt idx="12">
                  <c:v>2014Q3</c:v>
                </c:pt>
                <c:pt idx="13">
                  <c:v>2014Q4</c:v>
                </c:pt>
                <c:pt idx="14">
                  <c:v>2015Q1</c:v>
                </c:pt>
                <c:pt idx="15">
                  <c:v>2015Q2</c:v>
                </c:pt>
                <c:pt idx="16">
                  <c:v>2015Q3</c:v>
                </c:pt>
                <c:pt idx="17">
                  <c:v>2015Q4</c:v>
                </c:pt>
                <c:pt idx="18">
                  <c:v>2016Q1</c:v>
                </c:pt>
                <c:pt idx="19">
                  <c:v>2016Q2</c:v>
                </c:pt>
                <c:pt idx="20">
                  <c:v>2016Q3</c:v>
                </c:pt>
                <c:pt idx="21">
                  <c:v>2016Q4</c:v>
                </c:pt>
                <c:pt idx="22">
                  <c:v>2017Q1</c:v>
                </c:pt>
                <c:pt idx="23">
                  <c:v>2017Q2</c:v>
                </c:pt>
                <c:pt idx="24">
                  <c:v>2017Q3</c:v>
                </c:pt>
                <c:pt idx="25">
                  <c:v>2017Q4</c:v>
                </c:pt>
                <c:pt idx="26">
                  <c:v>2018Q1</c:v>
                </c:pt>
                <c:pt idx="27">
                  <c:v>2018Q2</c:v>
                </c:pt>
                <c:pt idx="28">
                  <c:v>2018Q3</c:v>
                </c:pt>
                <c:pt idx="29">
                  <c:v>2018Q4</c:v>
                </c:pt>
                <c:pt idx="30">
                  <c:v>2019Q1</c:v>
                </c:pt>
                <c:pt idx="31">
                  <c:v>2019Q2</c:v>
                </c:pt>
              </c:strCache>
            </c:strRef>
          </c:cat>
          <c:val>
            <c:numRef>
              <c:f>'Sheet1 (2)'!$H$4:$H$36</c:f>
              <c:numCache>
                <c:formatCode>General</c:formatCode>
                <c:ptCount val="32"/>
                <c:pt idx="29">
                  <c:v>56</c:v>
                </c:pt>
                <c:pt idx="30">
                  <c:v>489</c:v>
                </c:pt>
                <c:pt idx="31">
                  <c:v>198</c:v>
                </c:pt>
              </c:numCache>
            </c:numRef>
          </c:val>
          <c:smooth val="0"/>
          <c:extLst>
            <c:ext xmlns:c16="http://schemas.microsoft.com/office/drawing/2014/chart" uri="{C3380CC4-5D6E-409C-BE32-E72D297353CC}">
              <c16:uniqueId val="{00000005-7526-418E-B84E-52B0C26273D4}"/>
            </c:ext>
          </c:extLst>
        </c:ser>
        <c:dLbls>
          <c:showLegendKey val="0"/>
          <c:showVal val="0"/>
          <c:showCatName val="0"/>
          <c:showSerName val="0"/>
          <c:showPercent val="0"/>
          <c:showBubbleSize val="0"/>
        </c:dLbls>
        <c:marker val="1"/>
        <c:smooth val="0"/>
        <c:axId val="1267148480"/>
        <c:axId val="1267155040"/>
      </c:lineChart>
      <c:catAx>
        <c:axId val="126714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r>
                  <a:rPr lang="en-AU" baseline="0"/>
                  <a:t> of Supply</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155040"/>
        <c:crosses val="autoZero"/>
        <c:auto val="1"/>
        <c:lblAlgn val="ctr"/>
        <c:lblOffset val="100"/>
        <c:noMultiLvlLbl val="0"/>
      </c:catAx>
      <c:valAx>
        <c:axId val="126715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148480"/>
        <c:crosses val="autoZero"/>
        <c:crossBetween val="between"/>
      </c:valAx>
      <c:spPr>
        <a:noFill/>
        <a:ln>
          <a:noFill/>
        </a:ln>
        <a:effectLst/>
      </c:spPr>
    </c:plotArea>
    <c:legend>
      <c:legendPos val="r"/>
      <c:layout>
        <c:manualLayout>
          <c:xMode val="edge"/>
          <c:yMode val="edge"/>
          <c:x val="0.10530557633628386"/>
          <c:y val="0.78160263524106466"/>
          <c:w val="0.8016395042279868"/>
          <c:h val="0.214114091443267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[D1171 - SCRPT_SUM v2 - updated to DOS=201906.xlsx]Sheet1 (2)!PivotTable1</c:name>
    <c:fmtId val="6"/>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manualLayout>
          <c:layoutTarget val="inner"/>
          <c:xMode val="edge"/>
          <c:yMode val="edge"/>
          <c:x val="0.10291198807249685"/>
          <c:y val="6.0356039534114128E-2"/>
          <c:w val="0.85602867242353875"/>
          <c:h val="0.64113970289796252"/>
        </c:manualLayout>
      </c:layout>
      <c:lineChart>
        <c:grouping val="standard"/>
        <c:varyColors val="0"/>
        <c:ser>
          <c:idx val="0"/>
          <c:order val="0"/>
          <c:tx>
            <c:strRef>
              <c:f>'Sheet1 (2)'!$B$1:$B$2</c:f>
              <c:strCache>
                <c:ptCount val="1"/>
                <c:pt idx="0">
                  <c:v>Allergic asthma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(2)'!$A$3:$A$27</c:f>
              <c:strCache>
                <c:ptCount val="24"/>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strCache>
            </c:strRef>
          </c:cat>
          <c:val>
            <c:numRef>
              <c:f>'Sheet1 (2)'!$B$3:$B$27</c:f>
              <c:numCache>
                <c:formatCode>General</c:formatCode>
                <c:ptCount val="24"/>
                <c:pt idx="0">
                  <c:v>729</c:v>
                </c:pt>
                <c:pt idx="1">
                  <c:v>803</c:v>
                </c:pt>
                <c:pt idx="2">
                  <c:v>817</c:v>
                </c:pt>
                <c:pt idx="3">
                  <c:v>883</c:v>
                </c:pt>
                <c:pt idx="4">
                  <c:v>997</c:v>
                </c:pt>
                <c:pt idx="5">
                  <c:v>1377</c:v>
                </c:pt>
                <c:pt idx="6">
                  <c:v>1580</c:v>
                </c:pt>
                <c:pt idx="7">
                  <c:v>1729</c:v>
                </c:pt>
                <c:pt idx="8">
                  <c:v>1997</c:v>
                </c:pt>
                <c:pt idx="9">
                  <c:v>2217</c:v>
                </c:pt>
                <c:pt idx="10">
                  <c:v>2103</c:v>
                </c:pt>
                <c:pt idx="11">
                  <c:v>2275</c:v>
                </c:pt>
                <c:pt idx="12">
                  <c:v>2371</c:v>
                </c:pt>
                <c:pt idx="13">
                  <c:v>2520</c:v>
                </c:pt>
                <c:pt idx="14">
                  <c:v>2386</c:v>
                </c:pt>
                <c:pt idx="15">
                  <c:v>2633</c:v>
                </c:pt>
                <c:pt idx="16">
                  <c:v>2882</c:v>
                </c:pt>
                <c:pt idx="17">
                  <c:v>3227</c:v>
                </c:pt>
                <c:pt idx="18">
                  <c:v>3207</c:v>
                </c:pt>
                <c:pt idx="19">
                  <c:v>3653</c:v>
                </c:pt>
                <c:pt idx="20">
                  <c:v>3726</c:v>
                </c:pt>
                <c:pt idx="21">
                  <c:v>4034</c:v>
                </c:pt>
                <c:pt idx="22">
                  <c:v>3952</c:v>
                </c:pt>
                <c:pt idx="23">
                  <c:v>4403</c:v>
                </c:pt>
              </c:numCache>
            </c:numRef>
          </c:val>
          <c:smooth val="0"/>
          <c:extLst>
            <c:ext xmlns:c16="http://schemas.microsoft.com/office/drawing/2014/chart" uri="{C3380CC4-5D6E-409C-BE32-E72D297353CC}">
              <c16:uniqueId val="{00000000-92AF-4642-B6F4-C0BA0DC0A5E1}"/>
            </c:ext>
          </c:extLst>
        </c:ser>
        <c:ser>
          <c:idx val="1"/>
          <c:order val="1"/>
          <c:tx>
            <c:strRef>
              <c:f>'Sheet1 (2)'!$C$1:$C$2</c:f>
              <c:strCache>
                <c:ptCount val="1"/>
                <c:pt idx="0">
                  <c:v>Eosinophilic asthma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(2)'!$A$3:$A$27</c:f>
              <c:strCache>
                <c:ptCount val="24"/>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strCache>
            </c:strRef>
          </c:cat>
          <c:val>
            <c:numRef>
              <c:f>'Sheet1 (2)'!$C$3:$C$27</c:f>
              <c:numCache>
                <c:formatCode>General</c:formatCode>
                <c:ptCount val="24"/>
                <c:pt idx="14">
                  <c:v>244</c:v>
                </c:pt>
                <c:pt idx="15">
                  <c:v>766</c:v>
                </c:pt>
                <c:pt idx="16">
                  <c:v>1131</c:v>
                </c:pt>
                <c:pt idx="17">
                  <c:v>1594</c:v>
                </c:pt>
                <c:pt idx="18">
                  <c:v>1838</c:v>
                </c:pt>
                <c:pt idx="19">
                  <c:v>2310</c:v>
                </c:pt>
                <c:pt idx="20">
                  <c:v>2437</c:v>
                </c:pt>
                <c:pt idx="21">
                  <c:v>2888</c:v>
                </c:pt>
                <c:pt idx="22">
                  <c:v>3765</c:v>
                </c:pt>
                <c:pt idx="23">
                  <c:v>4562</c:v>
                </c:pt>
              </c:numCache>
            </c:numRef>
          </c:val>
          <c:smooth val="0"/>
          <c:extLst>
            <c:ext xmlns:c16="http://schemas.microsoft.com/office/drawing/2014/chart" uri="{C3380CC4-5D6E-409C-BE32-E72D297353CC}">
              <c16:uniqueId val="{00000001-92AF-4642-B6F4-C0BA0DC0A5E1}"/>
            </c:ext>
          </c:extLst>
        </c:ser>
        <c:dLbls>
          <c:showLegendKey val="0"/>
          <c:showVal val="0"/>
          <c:showCatName val="0"/>
          <c:showSerName val="0"/>
          <c:showPercent val="0"/>
          <c:showBubbleSize val="0"/>
        </c:dLbls>
        <c:marker val="1"/>
        <c:smooth val="0"/>
        <c:axId val="704684464"/>
        <c:axId val="704687744"/>
      </c:lineChart>
      <c:catAx>
        <c:axId val="70468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r>
                  <a:rPr lang="en-AU" baseline="0"/>
                  <a:t> of Supply</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687744"/>
        <c:crosses val="autoZero"/>
        <c:auto val="1"/>
        <c:lblAlgn val="ctr"/>
        <c:lblOffset val="100"/>
        <c:noMultiLvlLbl val="0"/>
      </c:catAx>
      <c:valAx>
        <c:axId val="70468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684464"/>
        <c:crosses val="autoZero"/>
        <c:crossBetween val="between"/>
      </c:valAx>
      <c:spPr>
        <a:noFill/>
        <a:ln>
          <a:noFill/>
        </a:ln>
        <a:effectLst/>
      </c:spPr>
    </c:plotArea>
    <c:legend>
      <c:legendPos val="r"/>
      <c:layout>
        <c:manualLayout>
          <c:xMode val="edge"/>
          <c:yMode val="edge"/>
          <c:x val="9.1093140542873718E-3"/>
          <c:y val="0.93900922569705358"/>
          <c:w val="0.97302756213193564"/>
          <c:h val="6.08197232155985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[D1171 - SCRPT_SUM v2 - updated to DOS=201906.xlsx]Sheet1!PivotTable1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manualLayout>
          <c:layoutTarget val="inner"/>
          <c:xMode val="edge"/>
          <c:yMode val="edge"/>
          <c:x val="0.10961065950266319"/>
          <c:y val="3.7690594483467538E-2"/>
          <c:w val="0.86832662440584452"/>
          <c:h val="0.67317317303813984"/>
        </c:manualLayout>
      </c:layout>
      <c:lineChart>
        <c:grouping val="standard"/>
        <c:varyColors val="0"/>
        <c:ser>
          <c:idx val="0"/>
          <c:order val="0"/>
          <c:tx>
            <c:strRef>
              <c:f>Sheet1!$B$1:$B$3</c:f>
              <c:strCache>
                <c:ptCount val="1"/>
                <c:pt idx="0">
                  <c:v>Allergic asthma - OMALIZUMAB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Sheet1!$A$4:$A$28</c:f>
              <c:strCache>
                <c:ptCount val="24"/>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strCache>
            </c:strRef>
          </c:cat>
          <c:val>
            <c:numRef>
              <c:f>Sheet1!$B$4:$B$28</c:f>
              <c:numCache>
                <c:formatCode>General</c:formatCode>
                <c:ptCount val="24"/>
                <c:pt idx="0">
                  <c:v>729</c:v>
                </c:pt>
                <c:pt idx="1">
                  <c:v>803</c:v>
                </c:pt>
                <c:pt idx="2">
                  <c:v>817</c:v>
                </c:pt>
                <c:pt idx="3">
                  <c:v>883</c:v>
                </c:pt>
                <c:pt idx="4">
                  <c:v>997</c:v>
                </c:pt>
                <c:pt idx="5">
                  <c:v>1377</c:v>
                </c:pt>
                <c:pt idx="6">
                  <c:v>1580</c:v>
                </c:pt>
                <c:pt idx="7">
                  <c:v>1729</c:v>
                </c:pt>
                <c:pt idx="8">
                  <c:v>1997</c:v>
                </c:pt>
                <c:pt idx="9">
                  <c:v>2217</c:v>
                </c:pt>
                <c:pt idx="10">
                  <c:v>2103</c:v>
                </c:pt>
                <c:pt idx="11">
                  <c:v>2275</c:v>
                </c:pt>
                <c:pt idx="12">
                  <c:v>2371</c:v>
                </c:pt>
                <c:pt idx="13">
                  <c:v>2520</c:v>
                </c:pt>
                <c:pt idx="14">
                  <c:v>2386</c:v>
                </c:pt>
                <c:pt idx="15">
                  <c:v>2633</c:v>
                </c:pt>
                <c:pt idx="16">
                  <c:v>2882</c:v>
                </c:pt>
                <c:pt idx="17">
                  <c:v>3227</c:v>
                </c:pt>
                <c:pt idx="18">
                  <c:v>3207</c:v>
                </c:pt>
                <c:pt idx="19">
                  <c:v>3653</c:v>
                </c:pt>
                <c:pt idx="20">
                  <c:v>3726</c:v>
                </c:pt>
                <c:pt idx="21">
                  <c:v>4034</c:v>
                </c:pt>
                <c:pt idx="22">
                  <c:v>3952</c:v>
                </c:pt>
                <c:pt idx="23">
                  <c:v>4403</c:v>
                </c:pt>
              </c:numCache>
            </c:numRef>
          </c:val>
          <c:smooth val="0"/>
          <c:extLst>
            <c:ext xmlns:c16="http://schemas.microsoft.com/office/drawing/2014/chart" uri="{C3380CC4-5D6E-409C-BE32-E72D297353CC}">
              <c16:uniqueId val="{00000000-0CDE-4391-A224-B91A36F6B866}"/>
            </c:ext>
          </c:extLst>
        </c:ser>
        <c:ser>
          <c:idx val="1"/>
          <c:order val="1"/>
          <c:tx>
            <c:strRef>
              <c:f>Sheet1!$D$1:$D$3</c:f>
              <c:strCache>
                <c:ptCount val="1"/>
                <c:pt idx="0">
                  <c:v>Eosinophilic asthma - BENRALIZUMAB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Sheet1!$A$4:$A$28</c:f>
              <c:strCache>
                <c:ptCount val="24"/>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strCache>
            </c:strRef>
          </c:cat>
          <c:val>
            <c:numRef>
              <c:f>Sheet1!$D$4:$D$28</c:f>
              <c:numCache>
                <c:formatCode>General</c:formatCode>
                <c:ptCount val="24"/>
                <c:pt idx="21">
                  <c:v>58</c:v>
                </c:pt>
                <c:pt idx="22">
                  <c:v>821</c:v>
                </c:pt>
                <c:pt idx="23">
                  <c:v>1176</c:v>
                </c:pt>
              </c:numCache>
            </c:numRef>
          </c:val>
          <c:smooth val="0"/>
          <c:extLst>
            <c:ext xmlns:c16="http://schemas.microsoft.com/office/drawing/2014/chart" uri="{C3380CC4-5D6E-409C-BE32-E72D297353CC}">
              <c16:uniqueId val="{00000001-0CDE-4391-A224-B91A36F6B866}"/>
            </c:ext>
          </c:extLst>
        </c:ser>
        <c:ser>
          <c:idx val="2"/>
          <c:order val="2"/>
          <c:tx>
            <c:strRef>
              <c:f>Sheet1!$E$1:$E$3</c:f>
              <c:strCache>
                <c:ptCount val="1"/>
                <c:pt idx="0">
                  <c:v>Eosinophilic asthma - MEPOLIZUMAB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Sheet1!$A$4:$A$28</c:f>
              <c:strCache>
                <c:ptCount val="24"/>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strCache>
            </c:strRef>
          </c:cat>
          <c:val>
            <c:numRef>
              <c:f>Sheet1!$E$4:$E$28</c:f>
              <c:numCache>
                <c:formatCode>General</c:formatCode>
                <c:ptCount val="24"/>
                <c:pt idx="14">
                  <c:v>244</c:v>
                </c:pt>
                <c:pt idx="15">
                  <c:v>766</c:v>
                </c:pt>
                <c:pt idx="16">
                  <c:v>1131</c:v>
                </c:pt>
                <c:pt idx="17">
                  <c:v>1594</c:v>
                </c:pt>
                <c:pt idx="18">
                  <c:v>1838</c:v>
                </c:pt>
                <c:pt idx="19">
                  <c:v>2310</c:v>
                </c:pt>
                <c:pt idx="20">
                  <c:v>2437</c:v>
                </c:pt>
                <c:pt idx="21">
                  <c:v>2830</c:v>
                </c:pt>
                <c:pt idx="22">
                  <c:v>2944</c:v>
                </c:pt>
                <c:pt idx="23">
                  <c:v>3386</c:v>
                </c:pt>
              </c:numCache>
            </c:numRef>
          </c:val>
          <c:smooth val="0"/>
          <c:extLst>
            <c:ext xmlns:c16="http://schemas.microsoft.com/office/drawing/2014/chart" uri="{C3380CC4-5D6E-409C-BE32-E72D297353CC}">
              <c16:uniqueId val="{00000002-0CDE-4391-A224-B91A36F6B866}"/>
            </c:ext>
          </c:extLst>
        </c:ser>
        <c:dLbls>
          <c:showLegendKey val="0"/>
          <c:showVal val="0"/>
          <c:showCatName val="0"/>
          <c:showSerName val="0"/>
          <c:showPercent val="0"/>
          <c:showBubbleSize val="0"/>
        </c:dLbls>
        <c:marker val="1"/>
        <c:smooth val="0"/>
        <c:axId val="704684464"/>
        <c:axId val="704687744"/>
      </c:lineChart>
      <c:catAx>
        <c:axId val="70468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r>
                  <a:rPr lang="en-AU" baseline="0"/>
                  <a:t> of Supply</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687744"/>
        <c:crosses val="autoZero"/>
        <c:auto val="1"/>
        <c:lblAlgn val="ctr"/>
        <c:lblOffset val="100"/>
        <c:noMultiLvlLbl val="0"/>
      </c:catAx>
      <c:valAx>
        <c:axId val="70468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684464"/>
        <c:crosses val="autoZero"/>
        <c:crossBetween val="between"/>
      </c:valAx>
      <c:spPr>
        <a:noFill/>
        <a:ln>
          <a:noFill/>
        </a:ln>
        <a:effectLst/>
      </c:spPr>
    </c:plotArea>
    <c:legend>
      <c:legendPos val="r"/>
      <c:layout>
        <c:manualLayout>
          <c:xMode val="edge"/>
          <c:yMode val="edge"/>
          <c:x val="0"/>
          <c:y val="0.87818950248145489"/>
          <c:w val="0.99745591140171896"/>
          <c:h val="0.100225145319230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 (2)'!$A$25:$A$39</c:f>
              <c:strCache>
                <c:ptCount val="15"/>
                <c:pt idx="0">
                  <c:v>       0 to 5 months</c:v>
                </c:pt>
                <c:pt idx="1">
                  <c:v>      6 to 11 months</c:v>
                </c:pt>
                <c:pt idx="2">
                  <c:v>     12 to 17 months</c:v>
                </c:pt>
                <c:pt idx="3">
                  <c:v>     18 to 23 months</c:v>
                </c:pt>
                <c:pt idx="4">
                  <c:v>     24 to 29 months</c:v>
                </c:pt>
                <c:pt idx="5">
                  <c:v>     30 to 35 months</c:v>
                </c:pt>
                <c:pt idx="6">
                  <c:v>     36 to 41 months</c:v>
                </c:pt>
                <c:pt idx="7">
                  <c:v>     42 to 47 months</c:v>
                </c:pt>
                <c:pt idx="8">
                  <c:v>     48 to 53 months</c:v>
                </c:pt>
                <c:pt idx="9">
                  <c:v>     54 to 59 months</c:v>
                </c:pt>
                <c:pt idx="10">
                  <c:v>     60 to 65 months</c:v>
                </c:pt>
                <c:pt idx="11">
                  <c:v>     66 to 71 months</c:v>
                </c:pt>
                <c:pt idx="12">
                  <c:v>     72 to 77 months</c:v>
                </c:pt>
                <c:pt idx="13">
                  <c:v>     78 to 83 months</c:v>
                </c:pt>
                <c:pt idx="14">
                  <c:v>     84 months +</c:v>
                </c:pt>
              </c:strCache>
            </c:strRef>
          </c:cat>
          <c:val>
            <c:numRef>
              <c:f>'Sheet1 (2)'!$B$25:$B$39</c:f>
              <c:numCache>
                <c:formatCode>General</c:formatCode>
                <c:ptCount val="15"/>
                <c:pt idx="0">
                  <c:v>5</c:v>
                </c:pt>
                <c:pt idx="1">
                  <c:v>34</c:v>
                </c:pt>
                <c:pt idx="2">
                  <c:v>66</c:v>
                </c:pt>
                <c:pt idx="3">
                  <c:v>100</c:v>
                </c:pt>
                <c:pt idx="4">
                  <c:v>38</c:v>
                </c:pt>
                <c:pt idx="5">
                  <c:v>25</c:v>
                </c:pt>
                <c:pt idx="6">
                  <c:v>15</c:v>
                </c:pt>
                <c:pt idx="7">
                  <c:v>23</c:v>
                </c:pt>
                <c:pt idx="8">
                  <c:v>20</c:v>
                </c:pt>
                <c:pt idx="9">
                  <c:v>14</c:v>
                </c:pt>
                <c:pt idx="10">
                  <c:v>12</c:v>
                </c:pt>
                <c:pt idx="11">
                  <c:v>16</c:v>
                </c:pt>
                <c:pt idx="12">
                  <c:v>15</c:v>
                </c:pt>
                <c:pt idx="13">
                  <c:v>5</c:v>
                </c:pt>
                <c:pt idx="14">
                  <c:v>7</c:v>
                </c:pt>
              </c:numCache>
            </c:numRef>
          </c:val>
          <c:extLst>
            <c:ext xmlns:c16="http://schemas.microsoft.com/office/drawing/2014/chart" uri="{C3380CC4-5D6E-409C-BE32-E72D297353CC}">
              <c16:uniqueId val="{00000000-EA97-4281-8D3C-13E474A42A45}"/>
            </c:ext>
          </c:extLst>
        </c:ser>
        <c:dLbls>
          <c:showLegendKey val="0"/>
          <c:showVal val="0"/>
          <c:showCatName val="0"/>
          <c:showSerName val="0"/>
          <c:showPercent val="0"/>
          <c:showBubbleSize val="0"/>
        </c:dLbls>
        <c:gapWidth val="219"/>
        <c:overlap val="-27"/>
        <c:axId val="586644544"/>
        <c:axId val="586644872"/>
      </c:barChart>
      <c:catAx>
        <c:axId val="586644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Months</a:t>
                </a:r>
                <a:r>
                  <a:rPr lang="en-AU" baseline="0"/>
                  <a:t> from Initiation to Initiation </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644872"/>
        <c:crosses val="autoZero"/>
        <c:auto val="1"/>
        <c:lblAlgn val="ctr"/>
        <c:lblOffset val="100"/>
        <c:noMultiLvlLbl val="0"/>
      </c:catAx>
      <c:valAx>
        <c:axId val="586644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Switches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644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'init &amp; prev by drug &amp; presc (2'!$K$6</c:f>
              <c:strCache>
                <c:ptCount val="1"/>
                <c:pt idx="0">
                  <c:v>OMALIZUMAB</c:v>
                </c:pt>
              </c:strCache>
            </c:strRef>
          </c:tx>
          <c:spPr>
            <a:solidFill>
              <a:schemeClr val="accent1"/>
            </a:solidFill>
            <a:ln>
              <a:noFill/>
            </a:ln>
            <a:effectLst/>
          </c:spPr>
          <c:invertIfNegative val="0"/>
          <c:cat>
            <c:strRef>
              <c:f>'init &amp; prev by drug &amp; presc (2'!$J$7:$J$13</c:f>
              <c:strCache>
                <c:ptCount val="7"/>
                <c:pt idx="0">
                  <c:v>Respiratory and Sleep Medicine</c:v>
                </c:pt>
                <c:pt idx="1">
                  <c:v>Internal Medicine</c:v>
                </c:pt>
                <c:pt idx="2">
                  <c:v>Immunology and Allergy</c:v>
                </c:pt>
                <c:pt idx="3">
                  <c:v>Paediatric Medicine</c:v>
                </c:pt>
                <c:pt idx="4">
                  <c:v>GP</c:v>
                </c:pt>
                <c:pt idx="5">
                  <c:v>Dermatology</c:v>
                </c:pt>
                <c:pt idx="6">
                  <c:v>Other specialist</c:v>
                </c:pt>
              </c:strCache>
            </c:strRef>
          </c:cat>
          <c:val>
            <c:numRef>
              <c:f>'init &amp; prev by drug &amp; presc (2'!$K$7:$K$13</c:f>
              <c:numCache>
                <c:formatCode>General</c:formatCode>
                <c:ptCount val="7"/>
                <c:pt idx="0">
                  <c:v>304</c:v>
                </c:pt>
                <c:pt idx="1">
                  <c:v>46</c:v>
                </c:pt>
                <c:pt idx="2">
                  <c:v>44</c:v>
                </c:pt>
                <c:pt idx="3">
                  <c:v>21</c:v>
                </c:pt>
                <c:pt idx="4">
                  <c:v>9</c:v>
                </c:pt>
                <c:pt idx="5">
                  <c:v>7</c:v>
                </c:pt>
                <c:pt idx="6">
                  <c:v>13</c:v>
                </c:pt>
              </c:numCache>
            </c:numRef>
          </c:val>
          <c:extLst>
            <c:ext xmlns:c16="http://schemas.microsoft.com/office/drawing/2014/chart" uri="{C3380CC4-5D6E-409C-BE32-E72D297353CC}">
              <c16:uniqueId val="{00000000-4D81-4F56-929A-B923EC6D6629}"/>
            </c:ext>
          </c:extLst>
        </c:ser>
        <c:ser>
          <c:idx val="1"/>
          <c:order val="1"/>
          <c:tx>
            <c:strRef>
              <c:f>'init &amp; prev by drug &amp; presc (2'!$L$6</c:f>
              <c:strCache>
                <c:ptCount val="1"/>
                <c:pt idx="0">
                  <c:v>MEPOLIZUMAB</c:v>
                </c:pt>
              </c:strCache>
            </c:strRef>
          </c:tx>
          <c:spPr>
            <a:solidFill>
              <a:schemeClr val="accent2"/>
            </a:solidFill>
            <a:ln>
              <a:noFill/>
            </a:ln>
            <a:effectLst/>
          </c:spPr>
          <c:invertIfNegative val="0"/>
          <c:cat>
            <c:strRef>
              <c:f>'init &amp; prev by drug &amp; presc (2'!$J$7:$J$13</c:f>
              <c:strCache>
                <c:ptCount val="7"/>
                <c:pt idx="0">
                  <c:v>Respiratory and Sleep Medicine</c:v>
                </c:pt>
                <c:pt idx="1">
                  <c:v>Internal Medicine</c:v>
                </c:pt>
                <c:pt idx="2">
                  <c:v>Immunology and Allergy</c:v>
                </c:pt>
                <c:pt idx="3">
                  <c:v>Paediatric Medicine</c:v>
                </c:pt>
                <c:pt idx="4">
                  <c:v>GP</c:v>
                </c:pt>
                <c:pt idx="5">
                  <c:v>Dermatology</c:v>
                </c:pt>
                <c:pt idx="6">
                  <c:v>Other specialist</c:v>
                </c:pt>
              </c:strCache>
            </c:strRef>
          </c:cat>
          <c:val>
            <c:numRef>
              <c:f>'init &amp; prev by drug &amp; presc (2'!$L$7:$L$13</c:f>
              <c:numCache>
                <c:formatCode>General</c:formatCode>
                <c:ptCount val="7"/>
                <c:pt idx="0">
                  <c:v>463</c:v>
                </c:pt>
                <c:pt idx="1">
                  <c:v>89</c:v>
                </c:pt>
                <c:pt idx="2">
                  <c:v>34</c:v>
                </c:pt>
                <c:pt idx="3">
                  <c:v>3</c:v>
                </c:pt>
                <c:pt idx="4">
                  <c:v>14</c:v>
                </c:pt>
                <c:pt idx="6">
                  <c:v>17</c:v>
                </c:pt>
              </c:numCache>
            </c:numRef>
          </c:val>
          <c:extLst>
            <c:ext xmlns:c16="http://schemas.microsoft.com/office/drawing/2014/chart" uri="{C3380CC4-5D6E-409C-BE32-E72D297353CC}">
              <c16:uniqueId val="{00000001-4D81-4F56-929A-B923EC6D6629}"/>
            </c:ext>
          </c:extLst>
        </c:ser>
        <c:ser>
          <c:idx val="2"/>
          <c:order val="2"/>
          <c:tx>
            <c:strRef>
              <c:f>'init &amp; prev by drug &amp; presc (2'!$M$6</c:f>
              <c:strCache>
                <c:ptCount val="1"/>
                <c:pt idx="0">
                  <c:v>BENRALIZUMAB</c:v>
                </c:pt>
              </c:strCache>
            </c:strRef>
          </c:tx>
          <c:spPr>
            <a:solidFill>
              <a:schemeClr val="accent3"/>
            </a:solidFill>
            <a:ln>
              <a:noFill/>
            </a:ln>
            <a:effectLst/>
          </c:spPr>
          <c:invertIfNegative val="0"/>
          <c:cat>
            <c:strRef>
              <c:f>'init &amp; prev by drug &amp; presc (2'!$J$7:$J$13</c:f>
              <c:strCache>
                <c:ptCount val="7"/>
                <c:pt idx="0">
                  <c:v>Respiratory and Sleep Medicine</c:v>
                </c:pt>
                <c:pt idx="1">
                  <c:v>Internal Medicine</c:v>
                </c:pt>
                <c:pt idx="2">
                  <c:v>Immunology and Allergy</c:v>
                </c:pt>
                <c:pt idx="3">
                  <c:v>Paediatric Medicine</c:v>
                </c:pt>
                <c:pt idx="4">
                  <c:v>GP</c:v>
                </c:pt>
                <c:pt idx="5">
                  <c:v>Dermatology</c:v>
                </c:pt>
                <c:pt idx="6">
                  <c:v>Other specialist</c:v>
                </c:pt>
              </c:strCache>
            </c:strRef>
          </c:cat>
          <c:val>
            <c:numRef>
              <c:f>'init &amp; prev by drug &amp; presc (2'!$M$7:$M$13</c:f>
              <c:numCache>
                <c:formatCode>General</c:formatCode>
                <c:ptCount val="7"/>
                <c:pt idx="0">
                  <c:v>38</c:v>
                </c:pt>
                <c:pt idx="1">
                  <c:v>14</c:v>
                </c:pt>
                <c:pt idx="4">
                  <c:v>1</c:v>
                </c:pt>
                <c:pt idx="6">
                  <c:v>3</c:v>
                </c:pt>
              </c:numCache>
            </c:numRef>
          </c:val>
          <c:extLst>
            <c:ext xmlns:c16="http://schemas.microsoft.com/office/drawing/2014/chart" uri="{C3380CC4-5D6E-409C-BE32-E72D297353CC}">
              <c16:uniqueId val="{00000002-4D81-4F56-929A-B923EC6D6629}"/>
            </c:ext>
          </c:extLst>
        </c:ser>
        <c:dLbls>
          <c:showLegendKey val="0"/>
          <c:showVal val="0"/>
          <c:showCatName val="0"/>
          <c:showSerName val="0"/>
          <c:showPercent val="0"/>
          <c:showBubbleSize val="0"/>
        </c:dLbls>
        <c:gapWidth val="150"/>
        <c:overlap val="100"/>
        <c:axId val="752063248"/>
        <c:axId val="752064560"/>
      </c:barChart>
      <c:catAx>
        <c:axId val="752063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064560"/>
        <c:crosses val="autoZero"/>
        <c:auto val="1"/>
        <c:lblAlgn val="ctr"/>
        <c:lblOffset val="100"/>
        <c:noMultiLvlLbl val="0"/>
      </c:catAx>
      <c:valAx>
        <c:axId val="752064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063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3A53-69EB-4C5D-BA66-AAD24B07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2020-01-24T00:53:00Z</dcterms:created>
  <dcterms:modified xsi:type="dcterms:W3CDTF">2020-03-04T00:18:00Z</dcterms:modified>
</cp:coreProperties>
</file>