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322BB" w14:textId="028BC435" w:rsidR="0066467D" w:rsidRDefault="0066467D" w:rsidP="0066467D">
      <w:pPr>
        <w:pStyle w:val="Title"/>
      </w:pPr>
      <w:r w:rsidRPr="00CD19F0">
        <w:t>Tyrosine kinase inhibitors for the</w:t>
      </w:r>
      <w:r w:rsidR="00021599">
        <w:t xml:space="preserve"> </w:t>
      </w:r>
      <w:r>
        <w:t>treatment of Chronic Myeloid</w:t>
      </w:r>
    </w:p>
    <w:p w14:paraId="68A3C130" w14:textId="649D6E82" w:rsidR="00832324" w:rsidRDefault="0066467D" w:rsidP="0066467D">
      <w:pPr>
        <w:pStyle w:val="Title"/>
      </w:pPr>
      <w:r>
        <w:t>Leukaemia (CML)</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3D4185F8" w:rsidR="009053D3" w:rsidRPr="00F73113" w:rsidRDefault="0066467D" w:rsidP="00F73113">
      <w:pPr>
        <w:pStyle w:val="Meetingdate"/>
      </w:pPr>
      <w:r>
        <w:t>October 2019</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411A6AEF" w14:textId="5926F484" w:rsidR="003C6EFE" w:rsidRDefault="003C6EFE" w:rsidP="003C6EFE">
      <w:pPr>
        <w:pStyle w:val="NoSpacing"/>
        <w:spacing w:after="200" w:line="276" w:lineRule="auto"/>
      </w:pPr>
      <w:r>
        <w:t>To analyse</w:t>
      </w:r>
      <w:r w:rsidRPr="003F3347">
        <w:t xml:space="preserve"> </w:t>
      </w:r>
      <w:r>
        <w:t>the utilisation of PBS-listed tyrosine kinase inhibitors</w:t>
      </w:r>
      <w:r w:rsidRPr="003F3347">
        <w:t xml:space="preserve"> </w:t>
      </w:r>
      <w:r>
        <w:t xml:space="preserve">(TKIs), imatinib, dasatinib, nilotinib and ponatinib, </w:t>
      </w:r>
      <w:r w:rsidRPr="003F3347">
        <w:t xml:space="preserve">for the treatment of </w:t>
      </w:r>
      <w:r w:rsidR="0027133D">
        <w:t>chronic myeloid leukaemia (</w:t>
      </w:r>
      <w:r w:rsidRPr="003F3347">
        <w:t>CML</w:t>
      </w:r>
      <w:r w:rsidR="0027133D">
        <w:t>)</w:t>
      </w:r>
      <w:r>
        <w:t>, as requested by DUSC at its June 2019 meeting.</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74B83951" w14:textId="77777777" w:rsidR="0066467D" w:rsidRDefault="0066467D" w:rsidP="00245256">
      <w:pPr>
        <w:spacing w:after="0"/>
      </w:pPr>
      <w:r>
        <w:t>For CML:</w:t>
      </w:r>
    </w:p>
    <w:p w14:paraId="11A4CC15" w14:textId="7CFEE32E" w:rsidR="0066467D" w:rsidRDefault="008773FD" w:rsidP="00245256">
      <w:pPr>
        <w:pStyle w:val="ListParagraph"/>
        <w:numPr>
          <w:ilvl w:val="0"/>
          <w:numId w:val="8"/>
        </w:numPr>
        <w:spacing w:after="0"/>
      </w:pPr>
      <w:r>
        <w:t>Imatinib: December 2001</w:t>
      </w:r>
    </w:p>
    <w:p w14:paraId="7A3605A9" w14:textId="5FD8056D" w:rsidR="0066467D" w:rsidRDefault="008773FD" w:rsidP="00245256">
      <w:pPr>
        <w:pStyle w:val="ListParagraph"/>
        <w:numPr>
          <w:ilvl w:val="0"/>
          <w:numId w:val="8"/>
        </w:numPr>
        <w:spacing w:after="0"/>
      </w:pPr>
      <w:r>
        <w:t>Dasatinib: August 2007</w:t>
      </w:r>
    </w:p>
    <w:p w14:paraId="378E50B7" w14:textId="60F570C7" w:rsidR="002D144A" w:rsidRDefault="008773FD" w:rsidP="00245256">
      <w:pPr>
        <w:pStyle w:val="ListParagraph"/>
        <w:numPr>
          <w:ilvl w:val="0"/>
          <w:numId w:val="8"/>
        </w:numPr>
        <w:spacing w:after="0"/>
      </w:pPr>
      <w:r>
        <w:t>Nilotinib: August 2008</w:t>
      </w:r>
    </w:p>
    <w:p w14:paraId="6DAEBB26" w14:textId="23E9B24B" w:rsidR="0066467D" w:rsidRPr="002D144A" w:rsidRDefault="0066467D" w:rsidP="00245256">
      <w:pPr>
        <w:pStyle w:val="ListParagraph"/>
        <w:numPr>
          <w:ilvl w:val="0"/>
          <w:numId w:val="8"/>
        </w:numPr>
        <w:spacing w:after="0"/>
      </w:pPr>
      <w:r>
        <w:t>Ponatinib</w:t>
      </w:r>
      <w:r w:rsidR="008773FD">
        <w:t>: November 2015</w:t>
      </w:r>
    </w:p>
    <w:p w14:paraId="526743BB" w14:textId="77777777" w:rsidR="005C6661" w:rsidRDefault="005C6661" w:rsidP="00CF5E22">
      <w:pPr>
        <w:pStyle w:val="Heading3"/>
      </w:pPr>
      <w:r>
        <w:t>Data Source / methodology</w:t>
      </w:r>
    </w:p>
    <w:p w14:paraId="58C760D1" w14:textId="34CE34EF" w:rsidR="005B3DC5" w:rsidRDefault="00434E14" w:rsidP="005C6661">
      <w:pPr>
        <w:pStyle w:val="NoSpacing"/>
      </w:pPr>
      <w:r w:rsidRPr="00434E14">
        <w:t xml:space="preserve">Data were extracted from the </w:t>
      </w:r>
      <w:r w:rsidR="00C47594">
        <w:t xml:space="preserve">PBS </w:t>
      </w:r>
      <w:r w:rsidRPr="00434E14">
        <w:t xml:space="preserve">supplied prescription database from the date of first listing </w:t>
      </w:r>
      <w:r>
        <w:t>of imatinib for CML (</w:t>
      </w:r>
      <w:r w:rsidR="00AA7282">
        <w:t>1 December 2001</w:t>
      </w:r>
      <w:r>
        <w:t>)</w:t>
      </w:r>
      <w:r w:rsidR="00AA7282">
        <w:t xml:space="preserve"> to 31 March 2019</w:t>
      </w:r>
      <w:r w:rsidR="00AA7282" w:rsidRPr="00AA7282">
        <w:t xml:space="preserve">. </w:t>
      </w:r>
      <w:r w:rsidR="00AA7282">
        <w:t xml:space="preserve">Authority approvals were extracted from the </w:t>
      </w:r>
      <w:r w:rsidR="00C47594">
        <w:t>PBS authority a</w:t>
      </w:r>
      <w:r w:rsidR="00AA7282" w:rsidRPr="00623E43">
        <w:t>pproval database</w:t>
      </w:r>
      <w:r w:rsidR="00AA7282">
        <w:t xml:space="preserve"> from November 2003 (the earliest time point of the database) to </w:t>
      </w:r>
      <w:r w:rsidR="00AA7282" w:rsidRPr="00477753">
        <w:t>March 2019</w:t>
      </w:r>
      <w:r w:rsidR="00AA7282">
        <w:t xml:space="preserve">. </w:t>
      </w:r>
    </w:p>
    <w:p w14:paraId="7599E7C1" w14:textId="77777777" w:rsidR="005C6661" w:rsidRDefault="005C6661" w:rsidP="00CF5E22">
      <w:pPr>
        <w:pStyle w:val="Heading3"/>
      </w:pPr>
      <w:r>
        <w:t>Key Findings</w:t>
      </w:r>
    </w:p>
    <w:p w14:paraId="013B8A7D" w14:textId="020DDAB0" w:rsidR="005C6661" w:rsidRDefault="00182312" w:rsidP="005C6661">
      <w:pPr>
        <w:pStyle w:val="NoSpacing"/>
        <w:numPr>
          <w:ilvl w:val="0"/>
          <w:numId w:val="1"/>
        </w:numPr>
      </w:pPr>
      <w:r>
        <w:t>The number of prescriptions of imatinib, dasatinib, nilotinib and ponatinib supplied per year for CML ha</w:t>
      </w:r>
      <w:r w:rsidR="00385E05">
        <w:t>d</w:t>
      </w:r>
      <w:r>
        <w:t xml:space="preserve"> continued to grow since the previous analysis</w:t>
      </w:r>
      <w:r w:rsidR="00534BD1">
        <w:t xml:space="preserve"> in 2014</w:t>
      </w:r>
      <w:r>
        <w:t xml:space="preserve">. </w:t>
      </w:r>
      <w:r w:rsidRPr="00182312">
        <w:t>Since the listing of imatinib in 2001, 6,179 patients initiated treatment for</w:t>
      </w:r>
      <w:r>
        <w:t xml:space="preserve"> CML. In 2018, 437 patients initiated treatment, and 3,819 patients were treated.</w:t>
      </w:r>
    </w:p>
    <w:p w14:paraId="339C6794" w14:textId="2C94662E" w:rsidR="00182312" w:rsidRDefault="00182312" w:rsidP="005C6661">
      <w:pPr>
        <w:pStyle w:val="NoSpacing"/>
        <w:numPr>
          <w:ilvl w:val="0"/>
          <w:numId w:val="1"/>
        </w:numPr>
      </w:pPr>
      <w:r>
        <w:t xml:space="preserve">The number of treated patients is growing in a linear manner, similar to the number of supplied prescriptions. </w:t>
      </w:r>
      <w:r w:rsidR="00434E14">
        <w:t>T</w:t>
      </w:r>
      <w:r>
        <w:t xml:space="preserve">he majority of this use </w:t>
      </w:r>
      <w:r w:rsidR="00385E05">
        <w:t>wa</w:t>
      </w:r>
      <w:r>
        <w:t xml:space="preserve">s for </w:t>
      </w:r>
      <w:r w:rsidR="00AD5246">
        <w:t>patients in the chronic phase of disease being treated with their first line medicine. The second highest group is patients in the chronic phase of disease being treated with their second line medicine.</w:t>
      </w:r>
    </w:p>
    <w:p w14:paraId="555B8757" w14:textId="55AC8FB3" w:rsidR="00434E14" w:rsidRDefault="00AD5246" w:rsidP="005C6661">
      <w:pPr>
        <w:pStyle w:val="NoSpacing"/>
        <w:numPr>
          <w:ilvl w:val="0"/>
          <w:numId w:val="1"/>
        </w:numPr>
      </w:pPr>
      <w:r>
        <w:lastRenderedPageBreak/>
        <w:t xml:space="preserve">Imatinib </w:t>
      </w:r>
      <w:r w:rsidR="00385E05">
        <w:t>wa</w:t>
      </w:r>
      <w:r>
        <w:t xml:space="preserve">s the most commonly used TKI for CML, however the use of nilotinib and dasatinib </w:t>
      </w:r>
      <w:r w:rsidR="00156CD0">
        <w:t>increased over the study period</w:t>
      </w:r>
      <w:r>
        <w:t xml:space="preserve">. </w:t>
      </w:r>
      <w:r w:rsidR="00156CD0">
        <w:t>Since 2016, the cost to government decreased d</w:t>
      </w:r>
      <w:r>
        <w:t>ue to price reductio</w:t>
      </w:r>
      <w:r w:rsidR="00156CD0">
        <w:t>ns.</w:t>
      </w:r>
      <w:r>
        <w:t xml:space="preserve">  </w:t>
      </w:r>
    </w:p>
    <w:p w14:paraId="3C61F80C" w14:textId="28D98111" w:rsidR="00AD5246" w:rsidRDefault="00AD5246" w:rsidP="005C6661">
      <w:pPr>
        <w:pStyle w:val="NoSpacing"/>
        <w:numPr>
          <w:ilvl w:val="0"/>
          <w:numId w:val="1"/>
        </w:numPr>
      </w:pPr>
      <w:r>
        <w:t xml:space="preserve">The use of ponatinib </w:t>
      </w:r>
      <w:r w:rsidR="00385E05">
        <w:t>wa</w:t>
      </w:r>
      <w:r>
        <w:t xml:space="preserve">s small in the context of the CML market; 50 patients were treated with ponatinib in 2018. </w:t>
      </w:r>
    </w:p>
    <w:p w14:paraId="0EF63E98" w14:textId="2FA4C054" w:rsidR="00182312" w:rsidRPr="00182312" w:rsidRDefault="00182312" w:rsidP="00AD5246">
      <w:pPr>
        <w:pStyle w:val="NoSpacing"/>
        <w:ind w:left="360"/>
      </w:pPr>
    </w:p>
    <w:p w14:paraId="38B57ECC" w14:textId="77777777" w:rsidR="00BB0D1A" w:rsidRDefault="00BB0D1A">
      <w:pPr>
        <w:spacing w:line="276" w:lineRule="auto"/>
        <w:rPr>
          <w:rFonts w:eastAsiaTheme="majorEastAsia" w:cstheme="majorBidi"/>
          <w:b/>
          <w:bCs/>
          <w:sz w:val="32"/>
          <w:szCs w:val="26"/>
        </w:rPr>
      </w:pPr>
      <w:r>
        <w:br w:type="page"/>
      </w:r>
      <w:bookmarkStart w:id="0" w:name="_GoBack"/>
      <w:bookmarkEnd w:id="0"/>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15B957F2" w14:textId="2A45F2DD" w:rsidR="00990DCF" w:rsidRDefault="00D50D59" w:rsidP="00EB7B6A">
      <w:pPr>
        <w:pStyle w:val="NoSpacing"/>
        <w:spacing w:after="200" w:line="276" w:lineRule="auto"/>
      </w:pPr>
      <w:r>
        <w:t>To analyse</w:t>
      </w:r>
      <w:r w:rsidR="00EB7B6A" w:rsidRPr="003F3347">
        <w:t xml:space="preserve"> </w:t>
      </w:r>
      <w:r w:rsidR="00EB7B6A">
        <w:t>the utilisation of PBS-listed tyrosine kinase inhibitors</w:t>
      </w:r>
      <w:r w:rsidR="00EB7B6A" w:rsidRPr="003F3347">
        <w:t xml:space="preserve"> </w:t>
      </w:r>
      <w:r w:rsidR="00EB7B6A">
        <w:t xml:space="preserve">(TKIs), imatinib, dasatinib, nilotinib and ponatinib, </w:t>
      </w:r>
      <w:r w:rsidR="00EB7B6A" w:rsidRPr="003F3347">
        <w:t xml:space="preserve">for the treatment of </w:t>
      </w:r>
      <w:r w:rsidR="0027133D">
        <w:t>chronic myeloid leukaemia (</w:t>
      </w:r>
      <w:r w:rsidR="00EB7B6A" w:rsidRPr="003F3347">
        <w:t>CML</w:t>
      </w:r>
      <w:r w:rsidR="0027133D">
        <w:t>)</w:t>
      </w:r>
      <w:r>
        <w:t>, as requested by DUSC at its June 2019 meeting</w:t>
      </w:r>
      <w:r w:rsidR="00EB7B6A">
        <w:t>.</w:t>
      </w:r>
    </w:p>
    <w:p w14:paraId="0A7F0B57" w14:textId="034D22D5" w:rsidR="006537D9" w:rsidRPr="005E22C2" w:rsidRDefault="00736041" w:rsidP="00CF5E22">
      <w:pPr>
        <w:pStyle w:val="Heading1"/>
      </w:pPr>
      <w:r w:rsidRPr="005E22C2">
        <w:t>Background</w:t>
      </w:r>
    </w:p>
    <w:p w14:paraId="2C748275" w14:textId="1BD4A0F9" w:rsidR="00EE2BBB" w:rsidRPr="007247B9" w:rsidRDefault="00EE2BBB" w:rsidP="00EE2BBB">
      <w:pPr>
        <w:pStyle w:val="Heading2"/>
      </w:pPr>
      <w:r w:rsidRPr="007247B9">
        <w:t>Clinical situation</w:t>
      </w:r>
      <w:r w:rsidR="00AA7282">
        <w:t xml:space="preserve"> </w:t>
      </w:r>
    </w:p>
    <w:p w14:paraId="45CA19F6" w14:textId="77777777" w:rsidR="00A7211B" w:rsidRDefault="00A7211B" w:rsidP="00A7211B">
      <w:r>
        <w:t>C</w:t>
      </w:r>
      <w:r w:rsidR="00AA7282">
        <w:t>ML is a type of leukaemia in which an abnormal chromosome produces an enzyme that leads to uncontrolled growth of white blood cells.</w:t>
      </w:r>
      <w:r w:rsidR="00AA7282">
        <w:rPr>
          <w:rStyle w:val="FootnoteReference"/>
        </w:rPr>
        <w:footnoteReference w:id="1"/>
      </w:r>
      <w:r w:rsidR="00AA7282" w:rsidRPr="00AA7282">
        <w:rPr>
          <w:vertAlign w:val="superscript"/>
        </w:rPr>
        <w:t>,</w:t>
      </w:r>
      <w:r w:rsidR="00AA7282">
        <w:rPr>
          <w:rStyle w:val="FootnoteReference"/>
        </w:rPr>
        <w:footnoteReference w:id="2"/>
      </w:r>
      <w:r w:rsidRPr="00A7211B">
        <w:t xml:space="preserve"> </w:t>
      </w:r>
    </w:p>
    <w:p w14:paraId="03560737" w14:textId="7F481CF0" w:rsidR="00AA7282" w:rsidRDefault="00A7211B" w:rsidP="00A7211B">
      <w:r>
        <w:t>Under normal circumstances, white blood cells fight infection and maintain the body's immune system. In leukaemia, the uncontrolled growth of white blood cells means that the production of normal red blood cells (oxygen carrying cells), white blood cells (cells which fight infection), and platelets (cells which help blood to clot) is compromised. Therefore patients with leukaemia are at risk of developing serious anaemia, infections and bleeding.</w:t>
      </w:r>
      <w:r>
        <w:rPr>
          <w:rStyle w:val="FootnoteReference"/>
        </w:rPr>
        <w:t xml:space="preserve"> </w:t>
      </w:r>
      <w:r>
        <w:rPr>
          <w:rStyle w:val="FootnoteReference"/>
        </w:rPr>
        <w:footnoteReference w:id="3"/>
      </w:r>
    </w:p>
    <w:p w14:paraId="0183A567" w14:textId="686B9C3F" w:rsidR="007247B9" w:rsidRDefault="007247B9" w:rsidP="00CF5E22">
      <w:pPr>
        <w:pStyle w:val="Heading2"/>
      </w:pPr>
      <w:r>
        <w:t>Pharmacology</w:t>
      </w:r>
    </w:p>
    <w:p w14:paraId="5FB1B314" w14:textId="4BE56A2E" w:rsidR="00CD19F0" w:rsidRPr="00B24DAA" w:rsidRDefault="00CD19F0" w:rsidP="00CD19F0">
      <w:pPr>
        <w:rPr>
          <w:b/>
          <w:vertAlign w:val="superscript"/>
        </w:rPr>
      </w:pPr>
      <w:r>
        <w:t xml:space="preserve">TKIs block </w:t>
      </w:r>
      <w:r w:rsidR="00A7211B">
        <w:t>the</w:t>
      </w:r>
      <w:r>
        <w:t xml:space="preserve"> signal</w:t>
      </w:r>
      <w:r w:rsidR="00A7211B" w:rsidRPr="00A7211B">
        <w:t xml:space="preserve"> </w:t>
      </w:r>
      <w:r w:rsidR="00A7211B">
        <w:t>that tells the body to produce abnormal white blood cells</w:t>
      </w:r>
      <w:r>
        <w:t>, thereby stopping the production of these cells.</w:t>
      </w:r>
      <w:bookmarkStart w:id="1" w:name="_Ref14358791"/>
      <w:r w:rsidRPr="00B24DAA">
        <w:rPr>
          <w:rStyle w:val="FootnoteReference"/>
        </w:rPr>
        <w:footnoteReference w:id="4"/>
      </w:r>
      <w:bookmarkEnd w:id="1"/>
      <w:r w:rsidRPr="00B24DAA">
        <w:rPr>
          <w:vertAlign w:val="superscript"/>
        </w:rPr>
        <w:t>,</w:t>
      </w:r>
      <w:bookmarkStart w:id="2" w:name="_Ref14358798"/>
      <w:r w:rsidRPr="00B24DAA">
        <w:rPr>
          <w:rStyle w:val="FootnoteReference"/>
        </w:rPr>
        <w:footnoteReference w:id="5"/>
      </w:r>
      <w:bookmarkEnd w:id="2"/>
      <w:r w:rsidRPr="00B24DAA">
        <w:rPr>
          <w:vertAlign w:val="superscript"/>
        </w:rPr>
        <w:t>,</w:t>
      </w:r>
      <w:bookmarkStart w:id="3" w:name="_Ref14358803"/>
      <w:r w:rsidRPr="00B24DAA">
        <w:rPr>
          <w:rStyle w:val="FootnoteReference"/>
        </w:rPr>
        <w:footnoteReference w:id="6"/>
      </w:r>
      <w:bookmarkEnd w:id="3"/>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602F82AC" w14:textId="77777777" w:rsidR="00D76099" w:rsidRPr="00D76099" w:rsidRDefault="00D76099" w:rsidP="004428D7">
      <w:pPr>
        <w:rPr>
          <w:b/>
        </w:rPr>
      </w:pPr>
      <w:r w:rsidRPr="00D76099">
        <w:t>Imatinib (Glivec®) is indicated for the treatment of patients with CML.</w:t>
      </w:r>
    </w:p>
    <w:p w14:paraId="19B4E7D0" w14:textId="398EBBD5" w:rsidR="00D76099" w:rsidRPr="00D76099" w:rsidRDefault="00D76099" w:rsidP="004428D7">
      <w:pPr>
        <w:rPr>
          <w:b/>
        </w:rPr>
      </w:pPr>
      <w:r w:rsidRPr="00D76099">
        <w:t>Dasatinib (Sprycel®) is indicated for the treatment of</w:t>
      </w:r>
      <w:r w:rsidR="00F92FC3" w:rsidRPr="00F92FC3">
        <w:t xml:space="preserve"> adults aged 18 years or over with</w:t>
      </w:r>
      <w:r w:rsidRPr="00D76099">
        <w:t>:</w:t>
      </w:r>
    </w:p>
    <w:p w14:paraId="1672B35D" w14:textId="2FF2C8EB" w:rsidR="00D76099" w:rsidRPr="00245256" w:rsidRDefault="00D76099" w:rsidP="00245256">
      <w:pPr>
        <w:pStyle w:val="ListParagraph"/>
        <w:numPr>
          <w:ilvl w:val="0"/>
          <w:numId w:val="9"/>
        </w:numPr>
      </w:pPr>
      <w:r w:rsidRPr="00F92FC3">
        <w:t>newly diagnosed Philadelphia chromosome positive</w:t>
      </w:r>
      <w:r w:rsidR="00F92FC3">
        <w:t xml:space="preserve"> </w:t>
      </w:r>
      <w:r w:rsidRPr="00F92FC3">
        <w:t>(Ph+) CML in the chronic phase; and</w:t>
      </w:r>
    </w:p>
    <w:p w14:paraId="45C95FE1" w14:textId="72AF06EA" w:rsidR="00D76099" w:rsidRPr="00245256" w:rsidRDefault="00D76099" w:rsidP="00245256">
      <w:pPr>
        <w:pStyle w:val="ListParagraph"/>
        <w:numPr>
          <w:ilvl w:val="0"/>
          <w:numId w:val="9"/>
        </w:numPr>
      </w:pPr>
      <w:r w:rsidRPr="00F92FC3">
        <w:t>adults aged 18 years or over with chronic, accelerated or myeloid or lymphoid blast</w:t>
      </w:r>
      <w:r w:rsidR="00F92FC3">
        <w:t xml:space="preserve"> </w:t>
      </w:r>
      <w:r w:rsidRPr="00F92FC3">
        <w:t>phase CML with resistance or intolerance to prior therapy including imatinib.</w:t>
      </w:r>
    </w:p>
    <w:p w14:paraId="59701301" w14:textId="77777777" w:rsidR="00D76099" w:rsidRPr="00D76099" w:rsidRDefault="00D76099" w:rsidP="004428D7">
      <w:pPr>
        <w:rPr>
          <w:b/>
        </w:rPr>
      </w:pPr>
      <w:r w:rsidRPr="00D76099">
        <w:t>Nilotinib (Tasigna®) is indicated for the treatment of:</w:t>
      </w:r>
    </w:p>
    <w:p w14:paraId="0A3ADADC" w14:textId="6D929F8F" w:rsidR="00F92FC3" w:rsidRPr="00245256" w:rsidRDefault="00F92FC3" w:rsidP="00245256">
      <w:pPr>
        <w:pStyle w:val="ListParagraph"/>
        <w:numPr>
          <w:ilvl w:val="0"/>
          <w:numId w:val="9"/>
        </w:numPr>
        <w:rPr>
          <w:b/>
        </w:rPr>
      </w:pPr>
      <w:r w:rsidRPr="00F92FC3">
        <w:t>adult patients with newly diagnosed Ph+</w:t>
      </w:r>
      <w:r>
        <w:t xml:space="preserve"> CML in chronic phase; and</w:t>
      </w:r>
    </w:p>
    <w:p w14:paraId="462AAE3C" w14:textId="346E6EB3" w:rsidR="00D76099" w:rsidRPr="00245256" w:rsidRDefault="00F92FC3" w:rsidP="00245256">
      <w:pPr>
        <w:pStyle w:val="ListParagraph"/>
        <w:numPr>
          <w:ilvl w:val="0"/>
          <w:numId w:val="9"/>
        </w:numPr>
        <w:rPr>
          <w:b/>
        </w:rPr>
      </w:pPr>
      <w:r w:rsidRPr="00F92FC3">
        <w:lastRenderedPageBreak/>
        <w:t>adults with chronic phase and accelerated phase Ph+</w:t>
      </w:r>
      <w:r>
        <w:t xml:space="preserve"> CML </w:t>
      </w:r>
      <w:r w:rsidRPr="00F92FC3">
        <w:t>resistant to or intolerant of prior therapy</w:t>
      </w:r>
      <w:r>
        <w:t xml:space="preserve"> including imatinib.</w:t>
      </w:r>
    </w:p>
    <w:p w14:paraId="127FBF08" w14:textId="48E9BF9B" w:rsidR="00EB7B6A" w:rsidRDefault="00EB7B6A" w:rsidP="004428D7">
      <w:r>
        <w:t>Ponatinib (</w:t>
      </w:r>
      <w:r w:rsidRPr="00EB7B6A">
        <w:t>Iclusig</w:t>
      </w:r>
      <w:r>
        <w:t>®) is indicated for the treatment of:</w:t>
      </w:r>
    </w:p>
    <w:p w14:paraId="0C9BF269" w14:textId="4E672C51" w:rsidR="00EB7B6A" w:rsidRDefault="00EB7B6A" w:rsidP="00245256">
      <w:pPr>
        <w:pStyle w:val="ListParagraph"/>
        <w:numPr>
          <w:ilvl w:val="0"/>
          <w:numId w:val="10"/>
        </w:numPr>
      </w:pPr>
      <w:r>
        <w:t xml:space="preserve">Chronic phase, accelerated phase, or blast phase </w:t>
      </w:r>
      <w:r w:rsidR="00F92FC3">
        <w:t>CML</w:t>
      </w:r>
      <w:r>
        <w:t xml:space="preserve"> whose disease is resistant to, or who are intolerant of at least two prior tyrosine kinase inhibitors;</w:t>
      </w:r>
      <w:r w:rsidR="00F92FC3">
        <w:t xml:space="preserve"> </w:t>
      </w:r>
      <w:r>
        <w:t>or where there is a T315I mutation.</w:t>
      </w:r>
      <w:bookmarkStart w:id="4" w:name="_Ref18404472"/>
      <w:r w:rsidR="00245256">
        <w:rPr>
          <w:rStyle w:val="FootnoteReference"/>
        </w:rPr>
        <w:footnoteReference w:id="7"/>
      </w:r>
      <w:bookmarkEnd w:id="4"/>
    </w:p>
    <w:p w14:paraId="43F6D0F7" w14:textId="007111DA" w:rsidR="00D76099" w:rsidRDefault="00D76099" w:rsidP="004428D7">
      <w:pPr>
        <w:rPr>
          <w:b/>
        </w:rPr>
      </w:pPr>
      <w:r w:rsidRPr="00D76099">
        <w:t>I</w:t>
      </w:r>
      <w:r w:rsidR="00F92FC3">
        <w:t xml:space="preserve">matinib, </w:t>
      </w:r>
      <w:r w:rsidRPr="00D76099">
        <w:t xml:space="preserve">dasatinib </w:t>
      </w:r>
      <w:r w:rsidR="00F92FC3">
        <w:t xml:space="preserve">and ponatinib </w:t>
      </w:r>
      <w:r w:rsidRPr="00D76099">
        <w:t>are registered for indications other than CML. For more information,</w:t>
      </w:r>
      <w:r>
        <w:t xml:space="preserve"> </w:t>
      </w:r>
      <w:r w:rsidRPr="00D76099">
        <w:t>see the Product Information for details (</w:t>
      </w:r>
      <w:hyperlink r:id="rId8" w:history="1">
        <w:r w:rsidRPr="009D1003">
          <w:rPr>
            <w:rStyle w:val="Hyperlink"/>
          </w:rPr>
          <w:t>http://tga.gov.au/hp/information-medicinespi.htm</w:t>
        </w:r>
      </w:hyperlink>
      <w:r w:rsidRPr="00D76099">
        <w:t xml:space="preserve">). </w:t>
      </w:r>
    </w:p>
    <w:p w14:paraId="15E919C1" w14:textId="30639C15" w:rsidR="006B709B" w:rsidRDefault="006B709B" w:rsidP="00D76099">
      <w:pPr>
        <w:pStyle w:val="Heading2"/>
      </w:pPr>
      <w:r>
        <w:t>Dosage and administration</w:t>
      </w:r>
    </w:p>
    <w:p w14:paraId="548F6366" w14:textId="400C1FDA" w:rsidR="00FA7B5D" w:rsidRPr="00FA7B5D" w:rsidRDefault="00FA7B5D" w:rsidP="00FA7B5D">
      <w:pPr>
        <w:pStyle w:val="Tabletitle"/>
      </w:pPr>
      <w:r w:rsidRPr="00FA7B5D">
        <w:t xml:space="preserve">Table </w:t>
      </w:r>
      <w:r w:rsidR="0053415A">
        <w:t>1</w:t>
      </w:r>
      <w:r w:rsidRPr="00FA7B5D">
        <w:t>: Dosage and administration of TKIs for CML</w:t>
      </w:r>
    </w:p>
    <w:tbl>
      <w:tblPr>
        <w:tblStyle w:val="TableGrid1"/>
        <w:tblW w:w="5000" w:type="pct"/>
        <w:tblLook w:val="04A0" w:firstRow="1" w:lastRow="0" w:firstColumn="1" w:lastColumn="0" w:noHBand="0" w:noVBand="1"/>
        <w:tblCaption w:val="Table 1: TGA approved doses of TKIs for CML"/>
        <w:tblDescription w:val="The doses of TKIs for the treatment of CML in the product information apprved by the Therapeutic Goods Administration"/>
      </w:tblPr>
      <w:tblGrid>
        <w:gridCol w:w="1490"/>
        <w:gridCol w:w="1233"/>
        <w:gridCol w:w="6224"/>
      </w:tblGrid>
      <w:tr w:rsidR="006B78C0" w:rsidRPr="00391B61" w14:paraId="70717DEF" w14:textId="77777777" w:rsidTr="00C71CB8">
        <w:trPr>
          <w:tblHeader/>
        </w:trPr>
        <w:tc>
          <w:tcPr>
            <w:tcW w:w="833" w:type="pct"/>
            <w:shd w:val="clear" w:color="auto" w:fill="BFBFBF" w:themeFill="background1" w:themeFillShade="BF"/>
          </w:tcPr>
          <w:p w14:paraId="15191EDE" w14:textId="77777777" w:rsidR="006B78C0" w:rsidRPr="00391B61" w:rsidRDefault="006B78C0" w:rsidP="00C71CB8">
            <w:pPr>
              <w:rPr>
                <w:rFonts w:cs="Times New Roman"/>
                <w:b/>
                <w:sz w:val="20"/>
                <w:szCs w:val="20"/>
              </w:rPr>
            </w:pPr>
            <w:r w:rsidRPr="00391B61">
              <w:rPr>
                <w:rFonts w:cs="Times New Roman"/>
                <w:b/>
                <w:sz w:val="20"/>
                <w:szCs w:val="20"/>
              </w:rPr>
              <w:t>Phase</w:t>
            </w:r>
          </w:p>
        </w:tc>
        <w:tc>
          <w:tcPr>
            <w:tcW w:w="689" w:type="pct"/>
            <w:shd w:val="clear" w:color="auto" w:fill="BFBFBF" w:themeFill="background1" w:themeFillShade="BF"/>
          </w:tcPr>
          <w:p w14:paraId="7FC1E670" w14:textId="77777777" w:rsidR="006B78C0" w:rsidRPr="00391B61" w:rsidRDefault="006B78C0" w:rsidP="00C71CB8">
            <w:pPr>
              <w:rPr>
                <w:rFonts w:cs="Times New Roman"/>
                <w:b/>
                <w:sz w:val="20"/>
                <w:szCs w:val="20"/>
              </w:rPr>
            </w:pPr>
            <w:r w:rsidRPr="00391B61">
              <w:rPr>
                <w:rFonts w:cs="Times New Roman"/>
                <w:b/>
                <w:sz w:val="20"/>
                <w:szCs w:val="20"/>
              </w:rPr>
              <w:t>Drug</w:t>
            </w:r>
          </w:p>
        </w:tc>
        <w:tc>
          <w:tcPr>
            <w:tcW w:w="3478" w:type="pct"/>
            <w:shd w:val="clear" w:color="auto" w:fill="BFBFBF" w:themeFill="background1" w:themeFillShade="BF"/>
          </w:tcPr>
          <w:p w14:paraId="4CB254F1" w14:textId="77777777" w:rsidR="006B78C0" w:rsidRPr="00391B61" w:rsidRDefault="006B78C0" w:rsidP="00C71CB8">
            <w:pPr>
              <w:rPr>
                <w:rFonts w:cs="Times New Roman"/>
                <w:b/>
                <w:sz w:val="20"/>
                <w:szCs w:val="20"/>
              </w:rPr>
            </w:pPr>
            <w:r w:rsidRPr="00391B61">
              <w:rPr>
                <w:rFonts w:cs="Times New Roman"/>
                <w:b/>
                <w:sz w:val="20"/>
                <w:szCs w:val="20"/>
              </w:rPr>
              <w:t>Dose</w:t>
            </w:r>
          </w:p>
        </w:tc>
      </w:tr>
      <w:tr w:rsidR="00245256" w:rsidRPr="00391B61" w14:paraId="2C958367" w14:textId="77777777" w:rsidTr="00245256">
        <w:tc>
          <w:tcPr>
            <w:tcW w:w="833" w:type="pct"/>
            <w:vMerge w:val="restart"/>
            <w:vAlign w:val="center"/>
          </w:tcPr>
          <w:p w14:paraId="4CF9389A" w14:textId="22BB01E6" w:rsidR="00245256" w:rsidRPr="00391B61" w:rsidRDefault="00245256" w:rsidP="00245256">
            <w:pPr>
              <w:rPr>
                <w:rFonts w:cs="Times New Roman"/>
                <w:sz w:val="20"/>
                <w:szCs w:val="20"/>
              </w:rPr>
            </w:pPr>
            <w:r w:rsidRPr="00391B61">
              <w:rPr>
                <w:rFonts w:cs="Times New Roman"/>
                <w:sz w:val="20"/>
                <w:szCs w:val="20"/>
              </w:rPr>
              <w:t>Chronic</w:t>
            </w:r>
            <w:r>
              <w:rPr>
                <w:rFonts w:cs="Times New Roman"/>
                <w:sz w:val="20"/>
                <w:szCs w:val="20"/>
              </w:rPr>
              <w:t xml:space="preserve"> phase</w:t>
            </w:r>
          </w:p>
        </w:tc>
        <w:tc>
          <w:tcPr>
            <w:tcW w:w="689" w:type="pct"/>
          </w:tcPr>
          <w:p w14:paraId="0FFD52AD" w14:textId="4D67FC8F" w:rsidR="00245256" w:rsidRPr="00391B61" w:rsidRDefault="00245256" w:rsidP="00C71CB8">
            <w:pPr>
              <w:rPr>
                <w:rFonts w:cs="Times New Roman"/>
                <w:sz w:val="20"/>
                <w:szCs w:val="20"/>
              </w:rPr>
            </w:pPr>
            <w:r w:rsidRPr="00391B61">
              <w:rPr>
                <w:rFonts w:cs="Times New Roman"/>
                <w:sz w:val="20"/>
                <w:szCs w:val="20"/>
              </w:rPr>
              <w:t>Imatinib</w:t>
            </w:r>
            <w:r w:rsidRPr="00245256">
              <w:rPr>
                <w:rFonts w:cs="Times New Roman"/>
                <w:sz w:val="20"/>
                <w:szCs w:val="20"/>
                <w:vertAlign w:val="superscript"/>
              </w:rPr>
              <w:fldChar w:fldCharType="begin"/>
            </w:r>
            <w:r w:rsidRPr="00245256">
              <w:rPr>
                <w:rFonts w:cs="Times New Roman"/>
                <w:sz w:val="20"/>
                <w:szCs w:val="20"/>
                <w:vertAlign w:val="superscript"/>
              </w:rPr>
              <w:instrText xml:space="preserve"> NOTEREF _Ref14358791 \h </w:instrText>
            </w:r>
            <w:r>
              <w:rPr>
                <w:rFonts w:cs="Times New Roman"/>
                <w:sz w:val="20"/>
                <w:szCs w:val="20"/>
                <w:vertAlign w:val="superscript"/>
              </w:rPr>
              <w:instrText xml:space="preserve"> \* MERGEFORMAT </w:instrText>
            </w:r>
            <w:r w:rsidRPr="00245256">
              <w:rPr>
                <w:rFonts w:cs="Times New Roman"/>
                <w:sz w:val="20"/>
                <w:szCs w:val="20"/>
                <w:vertAlign w:val="superscript"/>
              </w:rPr>
            </w:r>
            <w:r w:rsidRPr="00245256">
              <w:rPr>
                <w:rFonts w:cs="Times New Roman"/>
                <w:sz w:val="20"/>
                <w:szCs w:val="20"/>
                <w:vertAlign w:val="superscript"/>
              </w:rPr>
              <w:fldChar w:fldCharType="separate"/>
            </w:r>
            <w:r w:rsidR="00434E14">
              <w:rPr>
                <w:rFonts w:cs="Times New Roman"/>
                <w:sz w:val="20"/>
                <w:szCs w:val="20"/>
                <w:vertAlign w:val="superscript"/>
              </w:rPr>
              <w:t>4</w:t>
            </w:r>
            <w:r w:rsidRPr="00245256">
              <w:rPr>
                <w:rFonts w:cs="Times New Roman"/>
                <w:sz w:val="20"/>
                <w:szCs w:val="20"/>
                <w:vertAlign w:val="superscript"/>
              </w:rPr>
              <w:fldChar w:fldCharType="end"/>
            </w:r>
          </w:p>
        </w:tc>
        <w:tc>
          <w:tcPr>
            <w:tcW w:w="3478" w:type="pct"/>
          </w:tcPr>
          <w:p w14:paraId="04596B74" w14:textId="77777777" w:rsidR="00245256" w:rsidRPr="00391B61" w:rsidRDefault="00245256" w:rsidP="00C71CB8">
            <w:pPr>
              <w:rPr>
                <w:rFonts w:cs="Times New Roman"/>
                <w:sz w:val="20"/>
                <w:szCs w:val="20"/>
              </w:rPr>
            </w:pPr>
            <w:r w:rsidRPr="00391B61">
              <w:rPr>
                <w:rFonts w:cs="Times New Roman"/>
                <w:sz w:val="20"/>
                <w:szCs w:val="20"/>
              </w:rPr>
              <w:t>Standard: 400 mg/day</w:t>
            </w:r>
          </w:p>
          <w:p w14:paraId="757BE1E2" w14:textId="610524D9" w:rsidR="00245256" w:rsidRPr="00391B61" w:rsidRDefault="00245256" w:rsidP="00AF05C5">
            <w:pPr>
              <w:rPr>
                <w:rFonts w:cs="Times New Roman"/>
                <w:sz w:val="20"/>
                <w:szCs w:val="20"/>
              </w:rPr>
            </w:pPr>
            <w:r>
              <w:rPr>
                <w:rFonts w:cs="Times New Roman"/>
                <w:sz w:val="20"/>
                <w:szCs w:val="20"/>
              </w:rPr>
              <w:t>Increased dose: 600-800</w:t>
            </w:r>
            <w:r w:rsidRPr="00391B61">
              <w:rPr>
                <w:rFonts w:cs="Times New Roman"/>
                <w:sz w:val="20"/>
                <w:szCs w:val="20"/>
              </w:rPr>
              <w:t xml:space="preserve"> mg/day </w:t>
            </w:r>
          </w:p>
        </w:tc>
      </w:tr>
      <w:tr w:rsidR="00245256" w:rsidRPr="00391B61" w14:paraId="040D78D9" w14:textId="77777777" w:rsidTr="00245256">
        <w:tc>
          <w:tcPr>
            <w:tcW w:w="833" w:type="pct"/>
            <w:vMerge/>
            <w:vAlign w:val="center"/>
          </w:tcPr>
          <w:p w14:paraId="7EDEDA42" w14:textId="77777777" w:rsidR="00245256" w:rsidRPr="00391B61" w:rsidRDefault="00245256" w:rsidP="00245256">
            <w:pPr>
              <w:rPr>
                <w:rFonts w:cs="Times New Roman"/>
                <w:sz w:val="20"/>
                <w:szCs w:val="20"/>
              </w:rPr>
            </w:pPr>
          </w:p>
        </w:tc>
        <w:tc>
          <w:tcPr>
            <w:tcW w:w="689" w:type="pct"/>
          </w:tcPr>
          <w:p w14:paraId="46681FFF" w14:textId="200179B7" w:rsidR="00245256" w:rsidRPr="00391B61" w:rsidRDefault="00245256" w:rsidP="00C71CB8">
            <w:pPr>
              <w:rPr>
                <w:rFonts w:cs="Times New Roman"/>
                <w:sz w:val="20"/>
                <w:szCs w:val="20"/>
              </w:rPr>
            </w:pPr>
            <w:r w:rsidRPr="00391B61">
              <w:rPr>
                <w:rFonts w:cs="Times New Roman"/>
                <w:sz w:val="20"/>
                <w:szCs w:val="20"/>
              </w:rPr>
              <w:t>Dasatinib</w:t>
            </w:r>
            <w:r w:rsidRPr="00245256">
              <w:rPr>
                <w:rFonts w:cs="Times New Roman"/>
                <w:sz w:val="20"/>
                <w:szCs w:val="20"/>
                <w:vertAlign w:val="superscript"/>
              </w:rPr>
              <w:fldChar w:fldCharType="begin"/>
            </w:r>
            <w:r w:rsidRPr="00245256">
              <w:rPr>
                <w:rFonts w:cs="Times New Roman"/>
                <w:sz w:val="20"/>
                <w:szCs w:val="20"/>
                <w:vertAlign w:val="superscript"/>
              </w:rPr>
              <w:instrText xml:space="preserve"> NOTEREF _Ref14358798 \h </w:instrText>
            </w:r>
            <w:r>
              <w:rPr>
                <w:rFonts w:cs="Times New Roman"/>
                <w:sz w:val="20"/>
                <w:szCs w:val="20"/>
                <w:vertAlign w:val="superscript"/>
              </w:rPr>
              <w:instrText xml:space="preserve"> \* MERGEFORMAT </w:instrText>
            </w:r>
            <w:r w:rsidRPr="00245256">
              <w:rPr>
                <w:rFonts w:cs="Times New Roman"/>
                <w:sz w:val="20"/>
                <w:szCs w:val="20"/>
                <w:vertAlign w:val="superscript"/>
              </w:rPr>
            </w:r>
            <w:r w:rsidRPr="00245256">
              <w:rPr>
                <w:rFonts w:cs="Times New Roman"/>
                <w:sz w:val="20"/>
                <w:szCs w:val="20"/>
                <w:vertAlign w:val="superscript"/>
              </w:rPr>
              <w:fldChar w:fldCharType="separate"/>
            </w:r>
            <w:r w:rsidR="00434E14">
              <w:rPr>
                <w:rFonts w:cs="Times New Roman"/>
                <w:sz w:val="20"/>
                <w:szCs w:val="20"/>
                <w:vertAlign w:val="superscript"/>
              </w:rPr>
              <w:t>5</w:t>
            </w:r>
            <w:r w:rsidRPr="00245256">
              <w:rPr>
                <w:rFonts w:cs="Times New Roman"/>
                <w:sz w:val="20"/>
                <w:szCs w:val="20"/>
                <w:vertAlign w:val="superscript"/>
              </w:rPr>
              <w:fldChar w:fldCharType="end"/>
            </w:r>
          </w:p>
        </w:tc>
        <w:tc>
          <w:tcPr>
            <w:tcW w:w="3478" w:type="pct"/>
          </w:tcPr>
          <w:p w14:paraId="23A04398" w14:textId="77777777" w:rsidR="00245256" w:rsidRPr="00391B61" w:rsidRDefault="00245256" w:rsidP="00C71CB8">
            <w:pPr>
              <w:rPr>
                <w:rFonts w:cs="Times New Roman"/>
                <w:sz w:val="20"/>
                <w:szCs w:val="20"/>
              </w:rPr>
            </w:pPr>
            <w:r w:rsidRPr="00391B61">
              <w:rPr>
                <w:rFonts w:cs="Times New Roman"/>
                <w:sz w:val="20"/>
                <w:szCs w:val="20"/>
              </w:rPr>
              <w:t>100 mg/day</w:t>
            </w:r>
          </w:p>
          <w:p w14:paraId="564DDC68" w14:textId="77777777" w:rsidR="00245256" w:rsidRPr="00391B61" w:rsidRDefault="00245256" w:rsidP="00C71CB8">
            <w:pPr>
              <w:rPr>
                <w:rFonts w:cs="Times New Roman"/>
                <w:sz w:val="20"/>
                <w:szCs w:val="20"/>
              </w:rPr>
            </w:pPr>
            <w:r w:rsidRPr="00391B61">
              <w:rPr>
                <w:rFonts w:cs="Times New Roman"/>
                <w:sz w:val="20"/>
                <w:szCs w:val="20"/>
              </w:rPr>
              <w:t xml:space="preserve">Increased dose: 140 mg/day (lack of haematological or cytogenic response) </w:t>
            </w:r>
          </w:p>
        </w:tc>
      </w:tr>
      <w:tr w:rsidR="00245256" w:rsidRPr="00391B61" w14:paraId="5DDE78B7" w14:textId="77777777" w:rsidTr="00245256">
        <w:tc>
          <w:tcPr>
            <w:tcW w:w="833" w:type="pct"/>
            <w:vMerge/>
            <w:vAlign w:val="center"/>
          </w:tcPr>
          <w:p w14:paraId="13E1C200" w14:textId="77777777" w:rsidR="00245256" w:rsidRPr="00391B61" w:rsidRDefault="00245256" w:rsidP="00245256">
            <w:pPr>
              <w:rPr>
                <w:rFonts w:cs="Times New Roman"/>
                <w:sz w:val="20"/>
                <w:szCs w:val="20"/>
              </w:rPr>
            </w:pPr>
          </w:p>
        </w:tc>
        <w:tc>
          <w:tcPr>
            <w:tcW w:w="689" w:type="pct"/>
          </w:tcPr>
          <w:p w14:paraId="56DC3112" w14:textId="70793785" w:rsidR="00245256" w:rsidRPr="00391B61" w:rsidRDefault="00245256" w:rsidP="00C71CB8">
            <w:pPr>
              <w:rPr>
                <w:rFonts w:cs="Times New Roman"/>
                <w:sz w:val="20"/>
                <w:szCs w:val="20"/>
              </w:rPr>
            </w:pPr>
            <w:r w:rsidRPr="00391B61">
              <w:rPr>
                <w:rFonts w:cs="Times New Roman"/>
                <w:sz w:val="20"/>
                <w:szCs w:val="20"/>
              </w:rPr>
              <w:t>Nilotinib</w:t>
            </w:r>
            <w:r w:rsidRPr="00245256">
              <w:rPr>
                <w:rFonts w:cs="Times New Roman"/>
                <w:sz w:val="20"/>
                <w:szCs w:val="20"/>
                <w:vertAlign w:val="superscript"/>
              </w:rPr>
              <w:fldChar w:fldCharType="begin"/>
            </w:r>
            <w:r w:rsidRPr="00245256">
              <w:rPr>
                <w:rFonts w:cs="Times New Roman"/>
                <w:sz w:val="20"/>
                <w:szCs w:val="20"/>
                <w:vertAlign w:val="superscript"/>
              </w:rPr>
              <w:instrText xml:space="preserve"> NOTEREF _Ref14358803 \h </w:instrText>
            </w:r>
            <w:r>
              <w:rPr>
                <w:rFonts w:cs="Times New Roman"/>
                <w:sz w:val="20"/>
                <w:szCs w:val="20"/>
                <w:vertAlign w:val="superscript"/>
              </w:rPr>
              <w:instrText xml:space="preserve"> \* MERGEFORMAT </w:instrText>
            </w:r>
            <w:r w:rsidRPr="00245256">
              <w:rPr>
                <w:rFonts w:cs="Times New Roman"/>
                <w:sz w:val="20"/>
                <w:szCs w:val="20"/>
                <w:vertAlign w:val="superscript"/>
              </w:rPr>
            </w:r>
            <w:r w:rsidRPr="00245256">
              <w:rPr>
                <w:rFonts w:cs="Times New Roman"/>
                <w:sz w:val="20"/>
                <w:szCs w:val="20"/>
                <w:vertAlign w:val="superscript"/>
              </w:rPr>
              <w:fldChar w:fldCharType="separate"/>
            </w:r>
            <w:r w:rsidR="00434E14">
              <w:rPr>
                <w:rFonts w:cs="Times New Roman"/>
                <w:sz w:val="20"/>
                <w:szCs w:val="20"/>
                <w:vertAlign w:val="superscript"/>
              </w:rPr>
              <w:t>6</w:t>
            </w:r>
            <w:r w:rsidRPr="00245256">
              <w:rPr>
                <w:rFonts w:cs="Times New Roman"/>
                <w:sz w:val="20"/>
                <w:szCs w:val="20"/>
                <w:vertAlign w:val="superscript"/>
              </w:rPr>
              <w:fldChar w:fldCharType="end"/>
            </w:r>
          </w:p>
        </w:tc>
        <w:tc>
          <w:tcPr>
            <w:tcW w:w="3478" w:type="pct"/>
          </w:tcPr>
          <w:p w14:paraId="58536CC9" w14:textId="263300F0" w:rsidR="00245256" w:rsidRPr="00391B61" w:rsidRDefault="00245256" w:rsidP="00C71CB8">
            <w:pPr>
              <w:rPr>
                <w:rFonts w:cs="Times New Roman"/>
                <w:sz w:val="20"/>
                <w:szCs w:val="20"/>
              </w:rPr>
            </w:pPr>
            <w:r w:rsidRPr="00391B61">
              <w:rPr>
                <w:rFonts w:cs="Times New Roman"/>
                <w:sz w:val="20"/>
                <w:szCs w:val="20"/>
              </w:rPr>
              <w:t>Newly diagnosed:</w:t>
            </w:r>
            <w:r>
              <w:rPr>
                <w:rFonts w:cs="Times New Roman"/>
                <w:sz w:val="20"/>
                <w:szCs w:val="20"/>
              </w:rPr>
              <w:t>600 mg/day (</w:t>
            </w:r>
            <w:r w:rsidRPr="00391B61">
              <w:rPr>
                <w:rFonts w:cs="Times New Roman"/>
                <w:sz w:val="20"/>
                <w:szCs w:val="20"/>
              </w:rPr>
              <w:t>300 mg twice daily</w:t>
            </w:r>
            <w:r>
              <w:rPr>
                <w:rFonts w:cs="Times New Roman"/>
                <w:sz w:val="20"/>
                <w:szCs w:val="20"/>
              </w:rPr>
              <w:t>)</w:t>
            </w:r>
          </w:p>
          <w:p w14:paraId="13812E6B" w14:textId="62D59C22" w:rsidR="00245256" w:rsidRPr="00391B61" w:rsidRDefault="00245256" w:rsidP="00C71CB8">
            <w:pPr>
              <w:rPr>
                <w:rFonts w:cs="Times New Roman"/>
                <w:sz w:val="20"/>
                <w:szCs w:val="20"/>
              </w:rPr>
            </w:pPr>
            <w:r w:rsidRPr="00391B61">
              <w:rPr>
                <w:rFonts w:cs="Times New Roman"/>
                <w:sz w:val="20"/>
                <w:szCs w:val="20"/>
              </w:rPr>
              <w:t xml:space="preserve">Resistant or intolerant to prior therapy: </w:t>
            </w:r>
            <w:r>
              <w:rPr>
                <w:rFonts w:cs="Times New Roman"/>
                <w:sz w:val="20"/>
                <w:szCs w:val="20"/>
              </w:rPr>
              <w:t>800 mg (</w:t>
            </w:r>
            <w:r w:rsidRPr="00391B61">
              <w:rPr>
                <w:rFonts w:cs="Times New Roman"/>
                <w:sz w:val="20"/>
                <w:szCs w:val="20"/>
              </w:rPr>
              <w:t>400 mg twice daily</w:t>
            </w:r>
            <w:r>
              <w:rPr>
                <w:rFonts w:cs="Times New Roman"/>
                <w:sz w:val="20"/>
                <w:szCs w:val="20"/>
              </w:rPr>
              <w:t>)</w:t>
            </w:r>
          </w:p>
        </w:tc>
      </w:tr>
      <w:tr w:rsidR="00245256" w:rsidRPr="00391B61" w14:paraId="5687B19E" w14:textId="77777777" w:rsidTr="00245256">
        <w:tc>
          <w:tcPr>
            <w:tcW w:w="833" w:type="pct"/>
            <w:vMerge/>
            <w:vAlign w:val="center"/>
          </w:tcPr>
          <w:p w14:paraId="1AFA9E74" w14:textId="77777777" w:rsidR="00245256" w:rsidRPr="00391B61" w:rsidRDefault="00245256" w:rsidP="00245256">
            <w:pPr>
              <w:rPr>
                <w:rFonts w:cs="Times New Roman"/>
                <w:sz w:val="20"/>
                <w:szCs w:val="20"/>
              </w:rPr>
            </w:pPr>
          </w:p>
        </w:tc>
        <w:tc>
          <w:tcPr>
            <w:tcW w:w="689" w:type="pct"/>
          </w:tcPr>
          <w:p w14:paraId="1B9D8150" w14:textId="55F9D16A" w:rsidR="00245256" w:rsidRPr="00391B61" w:rsidRDefault="00245256" w:rsidP="00C71CB8">
            <w:pPr>
              <w:rPr>
                <w:rFonts w:cs="Times New Roman"/>
                <w:sz w:val="20"/>
                <w:szCs w:val="20"/>
              </w:rPr>
            </w:pPr>
            <w:r>
              <w:rPr>
                <w:rFonts w:cs="Times New Roman"/>
                <w:sz w:val="20"/>
                <w:szCs w:val="20"/>
              </w:rPr>
              <w:t>Ponatinib</w:t>
            </w:r>
            <w:r w:rsidR="002B1A57" w:rsidRPr="002B1A57">
              <w:rPr>
                <w:rFonts w:cs="Times New Roman"/>
                <w:sz w:val="20"/>
                <w:szCs w:val="20"/>
                <w:vertAlign w:val="superscript"/>
              </w:rPr>
              <w:fldChar w:fldCharType="begin"/>
            </w:r>
            <w:r w:rsidR="002B1A57" w:rsidRPr="002B1A57">
              <w:rPr>
                <w:rFonts w:cs="Times New Roman"/>
                <w:sz w:val="20"/>
                <w:szCs w:val="20"/>
                <w:vertAlign w:val="superscript"/>
              </w:rPr>
              <w:instrText xml:space="preserve"> NOTEREF _Ref18404472 \h </w:instrText>
            </w:r>
            <w:r w:rsidR="002B1A57">
              <w:rPr>
                <w:rFonts w:cs="Times New Roman"/>
                <w:sz w:val="20"/>
                <w:szCs w:val="20"/>
                <w:vertAlign w:val="superscript"/>
              </w:rPr>
              <w:instrText xml:space="preserve"> \* MERGEFORMAT </w:instrText>
            </w:r>
            <w:r w:rsidR="002B1A57" w:rsidRPr="002B1A57">
              <w:rPr>
                <w:rFonts w:cs="Times New Roman"/>
                <w:sz w:val="20"/>
                <w:szCs w:val="20"/>
                <w:vertAlign w:val="superscript"/>
              </w:rPr>
            </w:r>
            <w:r w:rsidR="002B1A57" w:rsidRPr="002B1A57">
              <w:rPr>
                <w:rFonts w:cs="Times New Roman"/>
                <w:sz w:val="20"/>
                <w:szCs w:val="20"/>
                <w:vertAlign w:val="superscript"/>
              </w:rPr>
              <w:fldChar w:fldCharType="separate"/>
            </w:r>
            <w:r w:rsidR="002B1A57" w:rsidRPr="002B1A57">
              <w:rPr>
                <w:rFonts w:cs="Times New Roman"/>
                <w:sz w:val="20"/>
                <w:szCs w:val="20"/>
                <w:vertAlign w:val="superscript"/>
              </w:rPr>
              <w:t>7</w:t>
            </w:r>
            <w:r w:rsidR="002B1A57" w:rsidRPr="002B1A57">
              <w:rPr>
                <w:rFonts w:cs="Times New Roman"/>
                <w:sz w:val="20"/>
                <w:szCs w:val="20"/>
                <w:vertAlign w:val="superscript"/>
              </w:rPr>
              <w:fldChar w:fldCharType="end"/>
            </w:r>
          </w:p>
        </w:tc>
        <w:tc>
          <w:tcPr>
            <w:tcW w:w="3478" w:type="pct"/>
          </w:tcPr>
          <w:p w14:paraId="0476A43F" w14:textId="578554D5" w:rsidR="00245256" w:rsidRPr="00391B61" w:rsidRDefault="00245256" w:rsidP="00AF05C5">
            <w:pPr>
              <w:rPr>
                <w:rFonts w:cs="Times New Roman"/>
                <w:sz w:val="20"/>
                <w:szCs w:val="20"/>
              </w:rPr>
            </w:pPr>
            <w:r>
              <w:rPr>
                <w:rFonts w:cs="Times New Roman"/>
                <w:sz w:val="20"/>
                <w:szCs w:val="20"/>
              </w:rPr>
              <w:t>45 mg/</w:t>
            </w:r>
            <w:r w:rsidRPr="00AF05C5">
              <w:rPr>
                <w:rFonts w:cs="Times New Roman"/>
                <w:sz w:val="20"/>
                <w:szCs w:val="20"/>
              </w:rPr>
              <w:t>daily</w:t>
            </w:r>
          </w:p>
        </w:tc>
      </w:tr>
      <w:tr w:rsidR="00245256" w:rsidRPr="00391B61" w14:paraId="7BBA4464" w14:textId="77777777" w:rsidTr="00245256">
        <w:tc>
          <w:tcPr>
            <w:tcW w:w="833" w:type="pct"/>
            <w:vMerge w:val="restart"/>
            <w:vAlign w:val="center"/>
          </w:tcPr>
          <w:p w14:paraId="3AC9E703" w14:textId="50D03BBB" w:rsidR="00245256" w:rsidRPr="00391B61" w:rsidRDefault="00245256" w:rsidP="00245256">
            <w:pPr>
              <w:rPr>
                <w:rFonts w:cs="Times New Roman"/>
                <w:sz w:val="20"/>
                <w:szCs w:val="20"/>
              </w:rPr>
            </w:pPr>
            <w:r w:rsidRPr="00391B61">
              <w:rPr>
                <w:rFonts w:cs="Times New Roman"/>
                <w:sz w:val="20"/>
                <w:szCs w:val="20"/>
              </w:rPr>
              <w:t xml:space="preserve">Accelerated </w:t>
            </w:r>
            <w:r>
              <w:rPr>
                <w:rFonts w:cs="Times New Roman"/>
                <w:sz w:val="20"/>
                <w:szCs w:val="20"/>
              </w:rPr>
              <w:t>phase</w:t>
            </w:r>
          </w:p>
        </w:tc>
        <w:tc>
          <w:tcPr>
            <w:tcW w:w="689" w:type="pct"/>
          </w:tcPr>
          <w:p w14:paraId="6EB03275" w14:textId="77777777" w:rsidR="00245256" w:rsidRPr="00391B61" w:rsidRDefault="00245256" w:rsidP="00C71CB8">
            <w:pPr>
              <w:rPr>
                <w:rFonts w:cs="Times New Roman"/>
                <w:sz w:val="20"/>
                <w:szCs w:val="20"/>
              </w:rPr>
            </w:pPr>
            <w:r w:rsidRPr="00391B61">
              <w:rPr>
                <w:rFonts w:cs="Times New Roman"/>
                <w:sz w:val="20"/>
                <w:szCs w:val="20"/>
              </w:rPr>
              <w:t>Imatinib</w:t>
            </w:r>
          </w:p>
        </w:tc>
        <w:tc>
          <w:tcPr>
            <w:tcW w:w="3478" w:type="pct"/>
          </w:tcPr>
          <w:p w14:paraId="788CA092" w14:textId="77777777" w:rsidR="00245256" w:rsidRPr="00391B61" w:rsidRDefault="00245256" w:rsidP="00C71CB8">
            <w:pPr>
              <w:rPr>
                <w:rFonts w:cs="Times New Roman"/>
                <w:sz w:val="20"/>
                <w:szCs w:val="20"/>
              </w:rPr>
            </w:pPr>
            <w:r w:rsidRPr="00391B61">
              <w:rPr>
                <w:rFonts w:cs="Times New Roman"/>
                <w:sz w:val="20"/>
                <w:szCs w:val="20"/>
              </w:rPr>
              <w:t>Standard: 600 mg/day</w:t>
            </w:r>
          </w:p>
          <w:p w14:paraId="45F8FACC" w14:textId="77777777" w:rsidR="00245256" w:rsidRPr="00391B61" w:rsidRDefault="00245256" w:rsidP="00C71CB8">
            <w:pPr>
              <w:rPr>
                <w:rFonts w:cs="Times New Roman"/>
                <w:sz w:val="20"/>
                <w:szCs w:val="20"/>
              </w:rPr>
            </w:pPr>
            <w:r w:rsidRPr="00391B61">
              <w:rPr>
                <w:rFonts w:cs="Times New Roman"/>
                <w:sz w:val="20"/>
                <w:szCs w:val="20"/>
              </w:rPr>
              <w:t>Increased dose: 400 mg twice daily</w:t>
            </w:r>
          </w:p>
        </w:tc>
      </w:tr>
      <w:tr w:rsidR="00245256" w:rsidRPr="00391B61" w14:paraId="4C3600F8" w14:textId="77777777" w:rsidTr="00245256">
        <w:tc>
          <w:tcPr>
            <w:tcW w:w="833" w:type="pct"/>
            <w:vMerge/>
            <w:vAlign w:val="center"/>
          </w:tcPr>
          <w:p w14:paraId="33DE99D4" w14:textId="77777777" w:rsidR="00245256" w:rsidRPr="00391B61" w:rsidRDefault="00245256" w:rsidP="00245256">
            <w:pPr>
              <w:rPr>
                <w:rFonts w:cs="Times New Roman"/>
                <w:sz w:val="20"/>
                <w:szCs w:val="20"/>
              </w:rPr>
            </w:pPr>
          </w:p>
        </w:tc>
        <w:tc>
          <w:tcPr>
            <w:tcW w:w="689" w:type="pct"/>
          </w:tcPr>
          <w:p w14:paraId="7DC02A43" w14:textId="77777777" w:rsidR="00245256" w:rsidRPr="00391B61" w:rsidRDefault="00245256" w:rsidP="00C71CB8">
            <w:pPr>
              <w:rPr>
                <w:rFonts w:cs="Times New Roman"/>
                <w:sz w:val="20"/>
                <w:szCs w:val="20"/>
              </w:rPr>
            </w:pPr>
            <w:r w:rsidRPr="00391B61">
              <w:rPr>
                <w:rFonts w:cs="Times New Roman"/>
                <w:sz w:val="20"/>
                <w:szCs w:val="20"/>
              </w:rPr>
              <w:t>Dasatinib</w:t>
            </w:r>
          </w:p>
        </w:tc>
        <w:tc>
          <w:tcPr>
            <w:tcW w:w="3478" w:type="pct"/>
          </w:tcPr>
          <w:p w14:paraId="50223AC9" w14:textId="77777777" w:rsidR="00245256" w:rsidRPr="00391B61" w:rsidRDefault="00245256" w:rsidP="00C71CB8">
            <w:pPr>
              <w:rPr>
                <w:rFonts w:cs="Times New Roman"/>
                <w:sz w:val="20"/>
                <w:szCs w:val="20"/>
              </w:rPr>
            </w:pPr>
            <w:r w:rsidRPr="00391B61">
              <w:rPr>
                <w:rFonts w:cs="Times New Roman"/>
                <w:sz w:val="20"/>
                <w:szCs w:val="20"/>
              </w:rPr>
              <w:t>Standard dose: 140 mg/day</w:t>
            </w:r>
            <w:r w:rsidRPr="00391B61">
              <w:rPr>
                <w:rFonts w:cs="Times New Roman"/>
                <w:sz w:val="20"/>
                <w:szCs w:val="20"/>
              </w:rPr>
              <w:br/>
              <w:t>Increased dose: 180 mg/day (lack of haematological or cytogenic response)</w:t>
            </w:r>
          </w:p>
        </w:tc>
      </w:tr>
      <w:tr w:rsidR="00245256" w:rsidRPr="00391B61" w14:paraId="1562A39A" w14:textId="77777777" w:rsidTr="00245256">
        <w:tc>
          <w:tcPr>
            <w:tcW w:w="833" w:type="pct"/>
            <w:vMerge/>
            <w:vAlign w:val="center"/>
          </w:tcPr>
          <w:p w14:paraId="4ECFFCAA" w14:textId="77777777" w:rsidR="00245256" w:rsidRPr="00391B61" w:rsidRDefault="00245256" w:rsidP="00245256">
            <w:pPr>
              <w:rPr>
                <w:rFonts w:cs="Times New Roman"/>
                <w:sz w:val="20"/>
                <w:szCs w:val="20"/>
              </w:rPr>
            </w:pPr>
          </w:p>
        </w:tc>
        <w:tc>
          <w:tcPr>
            <w:tcW w:w="689" w:type="pct"/>
          </w:tcPr>
          <w:p w14:paraId="1C1CE60B" w14:textId="77777777" w:rsidR="00245256" w:rsidRPr="00391B61" w:rsidRDefault="00245256" w:rsidP="00C71CB8">
            <w:pPr>
              <w:rPr>
                <w:rFonts w:cs="Times New Roman"/>
                <w:sz w:val="20"/>
                <w:szCs w:val="20"/>
              </w:rPr>
            </w:pPr>
            <w:r w:rsidRPr="00391B61">
              <w:rPr>
                <w:rFonts w:cs="Times New Roman"/>
                <w:sz w:val="20"/>
                <w:szCs w:val="20"/>
              </w:rPr>
              <w:t>Nilotinib</w:t>
            </w:r>
          </w:p>
        </w:tc>
        <w:tc>
          <w:tcPr>
            <w:tcW w:w="3478" w:type="pct"/>
          </w:tcPr>
          <w:p w14:paraId="1BB1F722" w14:textId="1BECF99E" w:rsidR="00245256" w:rsidRPr="00391B61" w:rsidRDefault="00245256" w:rsidP="00C71CB8">
            <w:pPr>
              <w:rPr>
                <w:rFonts w:cs="Times New Roman"/>
                <w:sz w:val="20"/>
                <w:szCs w:val="20"/>
              </w:rPr>
            </w:pPr>
            <w:r>
              <w:rPr>
                <w:rFonts w:cs="Times New Roman"/>
                <w:sz w:val="20"/>
                <w:szCs w:val="20"/>
              </w:rPr>
              <w:t>800 mg (</w:t>
            </w:r>
            <w:r w:rsidRPr="00391B61">
              <w:rPr>
                <w:rFonts w:cs="Times New Roman"/>
                <w:sz w:val="20"/>
                <w:szCs w:val="20"/>
              </w:rPr>
              <w:t>400 mg twice daily</w:t>
            </w:r>
            <w:r>
              <w:rPr>
                <w:rFonts w:cs="Times New Roman"/>
                <w:sz w:val="20"/>
                <w:szCs w:val="20"/>
              </w:rPr>
              <w:t>)</w:t>
            </w:r>
          </w:p>
        </w:tc>
      </w:tr>
      <w:tr w:rsidR="00245256" w:rsidRPr="00391B61" w14:paraId="6142CAD8" w14:textId="77777777" w:rsidTr="00245256">
        <w:tc>
          <w:tcPr>
            <w:tcW w:w="833" w:type="pct"/>
            <w:vMerge/>
            <w:vAlign w:val="center"/>
          </w:tcPr>
          <w:p w14:paraId="6BA336C8" w14:textId="77777777" w:rsidR="00245256" w:rsidRPr="00391B61" w:rsidRDefault="00245256" w:rsidP="00245256">
            <w:pPr>
              <w:rPr>
                <w:rFonts w:cs="Times New Roman"/>
                <w:sz w:val="20"/>
                <w:szCs w:val="20"/>
              </w:rPr>
            </w:pPr>
          </w:p>
        </w:tc>
        <w:tc>
          <w:tcPr>
            <w:tcW w:w="689" w:type="pct"/>
          </w:tcPr>
          <w:p w14:paraId="6F7995E2" w14:textId="77777777" w:rsidR="00245256" w:rsidRPr="00391B61" w:rsidRDefault="00245256" w:rsidP="002439D2">
            <w:pPr>
              <w:rPr>
                <w:rFonts w:cs="Times New Roman"/>
                <w:sz w:val="20"/>
                <w:szCs w:val="20"/>
              </w:rPr>
            </w:pPr>
            <w:r>
              <w:rPr>
                <w:rFonts w:cs="Times New Roman"/>
                <w:sz w:val="20"/>
                <w:szCs w:val="20"/>
              </w:rPr>
              <w:t>Ponatinib</w:t>
            </w:r>
          </w:p>
        </w:tc>
        <w:tc>
          <w:tcPr>
            <w:tcW w:w="3478" w:type="pct"/>
          </w:tcPr>
          <w:p w14:paraId="2677E96D" w14:textId="77777777" w:rsidR="00245256" w:rsidRPr="00391B61" w:rsidRDefault="00245256" w:rsidP="002439D2">
            <w:pPr>
              <w:rPr>
                <w:rFonts w:cs="Times New Roman"/>
                <w:sz w:val="20"/>
                <w:szCs w:val="20"/>
              </w:rPr>
            </w:pPr>
            <w:r>
              <w:rPr>
                <w:rFonts w:cs="Times New Roman"/>
                <w:sz w:val="20"/>
                <w:szCs w:val="20"/>
              </w:rPr>
              <w:t>45 mg/</w:t>
            </w:r>
            <w:r w:rsidRPr="00AF05C5">
              <w:rPr>
                <w:rFonts w:cs="Times New Roman"/>
                <w:sz w:val="20"/>
                <w:szCs w:val="20"/>
              </w:rPr>
              <w:t>daily</w:t>
            </w:r>
          </w:p>
        </w:tc>
      </w:tr>
      <w:tr w:rsidR="00245256" w:rsidRPr="00391B61" w14:paraId="1612D359" w14:textId="77777777" w:rsidTr="00245256">
        <w:tc>
          <w:tcPr>
            <w:tcW w:w="833" w:type="pct"/>
            <w:vMerge w:val="restart"/>
            <w:vAlign w:val="center"/>
          </w:tcPr>
          <w:p w14:paraId="042B1308" w14:textId="7B59F48D" w:rsidR="00245256" w:rsidRPr="00391B61" w:rsidRDefault="00245256" w:rsidP="00245256">
            <w:pPr>
              <w:rPr>
                <w:rFonts w:cs="Times New Roman"/>
                <w:sz w:val="20"/>
                <w:szCs w:val="20"/>
              </w:rPr>
            </w:pPr>
            <w:r w:rsidRPr="00391B61">
              <w:rPr>
                <w:rFonts w:cs="Times New Roman"/>
                <w:sz w:val="20"/>
                <w:szCs w:val="20"/>
              </w:rPr>
              <w:t>Blast</w:t>
            </w:r>
            <w:r>
              <w:rPr>
                <w:rFonts w:cs="Times New Roman"/>
                <w:sz w:val="20"/>
                <w:szCs w:val="20"/>
              </w:rPr>
              <w:t xml:space="preserve"> phase</w:t>
            </w:r>
          </w:p>
        </w:tc>
        <w:tc>
          <w:tcPr>
            <w:tcW w:w="689" w:type="pct"/>
          </w:tcPr>
          <w:p w14:paraId="0385C358" w14:textId="77777777" w:rsidR="00245256" w:rsidRPr="00391B61" w:rsidRDefault="00245256" w:rsidP="00C71CB8">
            <w:pPr>
              <w:rPr>
                <w:rFonts w:cs="Times New Roman"/>
                <w:sz w:val="20"/>
                <w:szCs w:val="20"/>
              </w:rPr>
            </w:pPr>
            <w:r w:rsidRPr="00391B61">
              <w:rPr>
                <w:rFonts w:cs="Times New Roman"/>
                <w:sz w:val="20"/>
                <w:szCs w:val="20"/>
              </w:rPr>
              <w:t>Imatinib</w:t>
            </w:r>
          </w:p>
        </w:tc>
        <w:tc>
          <w:tcPr>
            <w:tcW w:w="3478" w:type="pct"/>
          </w:tcPr>
          <w:p w14:paraId="3DA3CB9B" w14:textId="77777777" w:rsidR="00245256" w:rsidRPr="00391B61" w:rsidRDefault="00245256" w:rsidP="00C71CB8">
            <w:pPr>
              <w:rPr>
                <w:rFonts w:cs="Times New Roman"/>
                <w:sz w:val="20"/>
                <w:szCs w:val="20"/>
              </w:rPr>
            </w:pPr>
            <w:r w:rsidRPr="00391B61">
              <w:rPr>
                <w:rFonts w:cs="Times New Roman"/>
                <w:sz w:val="20"/>
                <w:szCs w:val="20"/>
              </w:rPr>
              <w:t>600 mg/day</w:t>
            </w:r>
          </w:p>
          <w:p w14:paraId="4FC6BB78" w14:textId="08493BA7" w:rsidR="00245256" w:rsidRPr="00391B61" w:rsidRDefault="00245256" w:rsidP="00C71CB8">
            <w:pPr>
              <w:rPr>
                <w:rFonts w:cs="Times New Roman"/>
                <w:sz w:val="20"/>
                <w:szCs w:val="20"/>
              </w:rPr>
            </w:pPr>
            <w:r w:rsidRPr="00391B61">
              <w:rPr>
                <w:rFonts w:cs="Times New Roman"/>
                <w:sz w:val="20"/>
                <w:szCs w:val="20"/>
              </w:rPr>
              <w:t xml:space="preserve">Increased dose: </w:t>
            </w:r>
            <w:r>
              <w:rPr>
                <w:rFonts w:cs="Times New Roman"/>
                <w:sz w:val="20"/>
                <w:szCs w:val="20"/>
              </w:rPr>
              <w:t>800 mg (</w:t>
            </w:r>
            <w:r w:rsidRPr="00391B61">
              <w:rPr>
                <w:rFonts w:cs="Times New Roman"/>
                <w:sz w:val="20"/>
                <w:szCs w:val="20"/>
              </w:rPr>
              <w:t>400 mg twice daily</w:t>
            </w:r>
            <w:r>
              <w:rPr>
                <w:rFonts w:cs="Times New Roman"/>
                <w:sz w:val="20"/>
                <w:szCs w:val="20"/>
              </w:rPr>
              <w:t>)</w:t>
            </w:r>
          </w:p>
        </w:tc>
      </w:tr>
      <w:tr w:rsidR="00245256" w:rsidRPr="00391B61" w14:paraId="0716C0D4" w14:textId="77777777" w:rsidTr="00C71CB8">
        <w:tc>
          <w:tcPr>
            <w:tcW w:w="833" w:type="pct"/>
            <w:vMerge/>
          </w:tcPr>
          <w:p w14:paraId="6B42AE42" w14:textId="77777777" w:rsidR="00245256" w:rsidRPr="00391B61" w:rsidRDefault="00245256" w:rsidP="00C71CB8">
            <w:pPr>
              <w:rPr>
                <w:rFonts w:cs="Times New Roman"/>
                <w:sz w:val="20"/>
                <w:szCs w:val="20"/>
              </w:rPr>
            </w:pPr>
          </w:p>
        </w:tc>
        <w:tc>
          <w:tcPr>
            <w:tcW w:w="689" w:type="pct"/>
          </w:tcPr>
          <w:p w14:paraId="78240B44" w14:textId="77777777" w:rsidR="00245256" w:rsidRPr="00391B61" w:rsidRDefault="00245256" w:rsidP="00C71CB8">
            <w:pPr>
              <w:rPr>
                <w:rFonts w:cs="Times New Roman"/>
                <w:sz w:val="20"/>
                <w:szCs w:val="20"/>
              </w:rPr>
            </w:pPr>
            <w:r w:rsidRPr="00391B61">
              <w:rPr>
                <w:rFonts w:cs="Times New Roman"/>
                <w:sz w:val="20"/>
                <w:szCs w:val="20"/>
              </w:rPr>
              <w:t>Dasatinib</w:t>
            </w:r>
          </w:p>
        </w:tc>
        <w:tc>
          <w:tcPr>
            <w:tcW w:w="3478" w:type="pct"/>
          </w:tcPr>
          <w:p w14:paraId="19D1221F" w14:textId="1377FC78" w:rsidR="00245256" w:rsidRPr="00391B61" w:rsidRDefault="00245256" w:rsidP="00C71CB8">
            <w:pPr>
              <w:rPr>
                <w:rFonts w:cs="Times New Roman"/>
                <w:sz w:val="20"/>
                <w:szCs w:val="20"/>
              </w:rPr>
            </w:pPr>
            <w:r w:rsidRPr="00391B61">
              <w:rPr>
                <w:rFonts w:cs="Times New Roman"/>
                <w:sz w:val="20"/>
                <w:szCs w:val="20"/>
              </w:rPr>
              <w:t>Standard dose: 140 mg/day</w:t>
            </w:r>
            <w:r w:rsidRPr="00391B61">
              <w:rPr>
                <w:rFonts w:cs="Times New Roman"/>
                <w:sz w:val="20"/>
                <w:szCs w:val="20"/>
              </w:rPr>
              <w:br/>
              <w:t>Increased dose: 180 mg/day (lack of haematological or cytogenic response)</w:t>
            </w:r>
          </w:p>
        </w:tc>
      </w:tr>
      <w:tr w:rsidR="00245256" w:rsidRPr="00391B61" w14:paraId="58046F5E" w14:textId="77777777" w:rsidTr="00C71CB8">
        <w:tc>
          <w:tcPr>
            <w:tcW w:w="833" w:type="pct"/>
            <w:vMerge/>
          </w:tcPr>
          <w:p w14:paraId="0EF03606" w14:textId="77777777" w:rsidR="00245256" w:rsidRPr="00391B61" w:rsidRDefault="00245256" w:rsidP="00C71CB8">
            <w:pPr>
              <w:rPr>
                <w:rFonts w:cs="Times New Roman"/>
                <w:sz w:val="20"/>
                <w:szCs w:val="20"/>
              </w:rPr>
            </w:pPr>
          </w:p>
        </w:tc>
        <w:tc>
          <w:tcPr>
            <w:tcW w:w="689" w:type="pct"/>
          </w:tcPr>
          <w:p w14:paraId="30552FB7" w14:textId="77777777" w:rsidR="00245256" w:rsidRPr="00391B61" w:rsidRDefault="00245256" w:rsidP="00C71CB8">
            <w:pPr>
              <w:rPr>
                <w:rFonts w:cs="Times New Roman"/>
                <w:sz w:val="20"/>
                <w:szCs w:val="20"/>
              </w:rPr>
            </w:pPr>
            <w:r w:rsidRPr="00391B61">
              <w:rPr>
                <w:rFonts w:cs="Times New Roman"/>
                <w:sz w:val="20"/>
                <w:szCs w:val="20"/>
              </w:rPr>
              <w:t>Nilotinib</w:t>
            </w:r>
          </w:p>
        </w:tc>
        <w:tc>
          <w:tcPr>
            <w:tcW w:w="3478" w:type="pct"/>
          </w:tcPr>
          <w:p w14:paraId="4F144769" w14:textId="77777777" w:rsidR="00245256" w:rsidRPr="00391B61" w:rsidRDefault="00245256" w:rsidP="00C71CB8">
            <w:pPr>
              <w:rPr>
                <w:rFonts w:cs="Times New Roman"/>
                <w:sz w:val="20"/>
                <w:szCs w:val="20"/>
              </w:rPr>
            </w:pPr>
            <w:r w:rsidRPr="00391B61">
              <w:rPr>
                <w:rFonts w:cs="Times New Roman"/>
                <w:sz w:val="20"/>
                <w:szCs w:val="20"/>
              </w:rPr>
              <w:t>-</w:t>
            </w:r>
          </w:p>
        </w:tc>
      </w:tr>
      <w:tr w:rsidR="00245256" w:rsidRPr="00391B61" w14:paraId="5EB573FE" w14:textId="77777777" w:rsidTr="002439D2">
        <w:tc>
          <w:tcPr>
            <w:tcW w:w="833" w:type="pct"/>
            <w:vMerge/>
          </w:tcPr>
          <w:p w14:paraId="3358F6E4" w14:textId="77777777" w:rsidR="00245256" w:rsidRPr="00391B61" w:rsidRDefault="00245256" w:rsidP="002439D2">
            <w:pPr>
              <w:rPr>
                <w:rFonts w:cs="Times New Roman"/>
                <w:sz w:val="20"/>
                <w:szCs w:val="20"/>
              </w:rPr>
            </w:pPr>
          </w:p>
        </w:tc>
        <w:tc>
          <w:tcPr>
            <w:tcW w:w="689" w:type="pct"/>
          </w:tcPr>
          <w:p w14:paraId="77044B83" w14:textId="77777777" w:rsidR="00245256" w:rsidRPr="00391B61" w:rsidRDefault="00245256" w:rsidP="002439D2">
            <w:pPr>
              <w:rPr>
                <w:rFonts w:cs="Times New Roman"/>
                <w:sz w:val="20"/>
                <w:szCs w:val="20"/>
              </w:rPr>
            </w:pPr>
            <w:r>
              <w:rPr>
                <w:rFonts w:cs="Times New Roman"/>
                <w:sz w:val="20"/>
                <w:szCs w:val="20"/>
              </w:rPr>
              <w:t>Ponatinib</w:t>
            </w:r>
          </w:p>
        </w:tc>
        <w:tc>
          <w:tcPr>
            <w:tcW w:w="3478" w:type="pct"/>
          </w:tcPr>
          <w:p w14:paraId="7AD1D3C0" w14:textId="77777777" w:rsidR="00245256" w:rsidRPr="00391B61" w:rsidRDefault="00245256" w:rsidP="002439D2">
            <w:pPr>
              <w:rPr>
                <w:rFonts w:cs="Times New Roman"/>
                <w:sz w:val="20"/>
                <w:szCs w:val="20"/>
              </w:rPr>
            </w:pPr>
            <w:r>
              <w:rPr>
                <w:rFonts w:cs="Times New Roman"/>
                <w:sz w:val="20"/>
                <w:szCs w:val="20"/>
              </w:rPr>
              <w:t>45 mg/</w:t>
            </w:r>
            <w:r w:rsidRPr="00AF05C5">
              <w:rPr>
                <w:rFonts w:cs="Times New Roman"/>
                <w:sz w:val="20"/>
                <w:szCs w:val="20"/>
              </w:rPr>
              <w:t>daily</w:t>
            </w:r>
          </w:p>
        </w:tc>
      </w:tr>
    </w:tbl>
    <w:p w14:paraId="0A84A6F6" w14:textId="77777777" w:rsidR="00245256" w:rsidRDefault="00245256" w:rsidP="00F17D4B"/>
    <w:p w14:paraId="6682A05C" w14:textId="50849CEA" w:rsidR="00F17D4B" w:rsidRPr="002F61CA" w:rsidRDefault="00F17D4B" w:rsidP="00F17D4B">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p>
    <w:p w14:paraId="5A92103B" w14:textId="77777777" w:rsidR="0053415A" w:rsidRDefault="0053415A">
      <w:pPr>
        <w:spacing w:line="276" w:lineRule="auto"/>
        <w:rPr>
          <w:b/>
          <w:sz w:val="28"/>
        </w:rPr>
      </w:pPr>
      <w:r>
        <w:br w:type="page"/>
      </w:r>
    </w:p>
    <w:p w14:paraId="46E2BB42" w14:textId="09C16025" w:rsidR="00DF0B13" w:rsidRPr="007247B9" w:rsidDel="00EE2BBB" w:rsidRDefault="00DF0B13" w:rsidP="00CF5E22">
      <w:pPr>
        <w:pStyle w:val="Heading2"/>
      </w:pPr>
      <w:r w:rsidRPr="007247B9" w:rsidDel="00EE2BBB">
        <w:lastRenderedPageBreak/>
        <w:t>PBS listing details</w:t>
      </w:r>
      <w:r w:rsidR="00D151EB" w:rsidDel="00EE2BBB">
        <w:t xml:space="preserve"> (as at </w:t>
      </w:r>
      <w:r w:rsidR="00FA7B5D">
        <w:t>1 July 2019)</w:t>
      </w:r>
    </w:p>
    <w:p w14:paraId="1D47784A" w14:textId="09C31605" w:rsidR="001420B3" w:rsidRPr="001420B3" w:rsidDel="00EE2BBB" w:rsidRDefault="001420B3" w:rsidP="00CF5E22">
      <w:pPr>
        <w:pStyle w:val="Tabletitle"/>
      </w:pPr>
      <w:r w:rsidRPr="001420B3" w:rsidDel="00EE2BBB">
        <w:t xml:space="preserve">Table </w:t>
      </w:r>
      <w:r w:rsidR="0053415A">
        <w:t>2</w:t>
      </w:r>
      <w:r w:rsidRPr="001420B3" w:rsidDel="00EE2BBB">
        <w:t xml:space="preserve">: </w:t>
      </w:r>
      <w:r w:rsidR="009663B6" w:rsidDel="00EE2BBB">
        <w:t>PB</w:t>
      </w:r>
      <w:r w:rsidR="00FA7B5D">
        <w:t>S listing of imatinib</w:t>
      </w:r>
    </w:p>
    <w:tbl>
      <w:tblPr>
        <w:tblStyle w:val="TableGrid"/>
        <w:tblW w:w="9039" w:type="dxa"/>
        <w:tblLayout w:type="fixed"/>
        <w:tblLook w:val="04A0" w:firstRow="1" w:lastRow="0" w:firstColumn="1" w:lastColumn="0" w:noHBand="0" w:noVBand="1"/>
        <w:tblCaption w:val="PBS listing of imatinib"/>
        <w:tblDescription w:val="PBS listing of imatinib"/>
      </w:tblPr>
      <w:tblGrid>
        <w:gridCol w:w="969"/>
        <w:gridCol w:w="2400"/>
        <w:gridCol w:w="850"/>
        <w:gridCol w:w="851"/>
        <w:gridCol w:w="708"/>
        <w:gridCol w:w="993"/>
        <w:gridCol w:w="2268"/>
      </w:tblGrid>
      <w:tr w:rsidR="00D61047" w:rsidRPr="00A35800" w:rsidDel="00EE2BBB" w14:paraId="6AA19A37" w14:textId="77B518AD" w:rsidTr="00D61047">
        <w:trPr>
          <w:trHeight w:val="694"/>
          <w:tblHeader/>
        </w:trPr>
        <w:tc>
          <w:tcPr>
            <w:tcW w:w="969" w:type="dxa"/>
            <w:shd w:val="clear" w:color="auto" w:fill="BFBFBF" w:themeFill="background1" w:themeFillShade="BF"/>
          </w:tcPr>
          <w:p w14:paraId="56A3DEA0" w14:textId="1A878237" w:rsidR="00D61047" w:rsidRPr="00A35800" w:rsidDel="00EE2BBB" w:rsidRDefault="00D61047"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D61047" w:rsidRPr="00A35800" w:rsidDel="00EE2BBB" w:rsidRDefault="00D61047" w:rsidP="00A35800">
            <w:pPr>
              <w:pStyle w:val="Tableheading"/>
              <w:rPr>
                <w:sz w:val="20"/>
                <w:szCs w:val="20"/>
              </w:rPr>
            </w:pPr>
            <w:r w:rsidRPr="00A35800" w:rsidDel="00EE2BBB">
              <w:rPr>
                <w:sz w:val="20"/>
                <w:szCs w:val="20"/>
              </w:rPr>
              <w:t>Name, form &amp; strength, pack size</w:t>
            </w:r>
          </w:p>
        </w:tc>
        <w:tc>
          <w:tcPr>
            <w:tcW w:w="850" w:type="dxa"/>
            <w:shd w:val="clear" w:color="auto" w:fill="BFBFBF" w:themeFill="background1" w:themeFillShade="BF"/>
          </w:tcPr>
          <w:p w14:paraId="114E9799" w14:textId="7AFADDC0" w:rsidR="00D61047" w:rsidRPr="00A35800" w:rsidDel="00EE2BBB" w:rsidRDefault="00D61047" w:rsidP="00A35800">
            <w:pPr>
              <w:pStyle w:val="Tableheading"/>
              <w:rPr>
                <w:sz w:val="20"/>
                <w:szCs w:val="20"/>
              </w:rPr>
            </w:pPr>
            <w:r w:rsidRPr="00A35800" w:rsidDel="00EE2BBB">
              <w:rPr>
                <w:sz w:val="20"/>
                <w:szCs w:val="20"/>
              </w:rPr>
              <w:t xml:space="preserve">Max. quant. </w:t>
            </w:r>
            <w:r>
              <w:rPr>
                <w:sz w:val="20"/>
                <w:szCs w:val="20"/>
              </w:rPr>
              <w:t>packs</w:t>
            </w:r>
          </w:p>
        </w:tc>
        <w:tc>
          <w:tcPr>
            <w:tcW w:w="851" w:type="dxa"/>
            <w:shd w:val="clear" w:color="auto" w:fill="BFBFBF" w:themeFill="background1" w:themeFillShade="BF"/>
          </w:tcPr>
          <w:p w14:paraId="6B75BA29" w14:textId="46E2AC46" w:rsidR="00D61047" w:rsidRPr="00A35800" w:rsidDel="00EE2BBB" w:rsidRDefault="00D61047" w:rsidP="00A35800">
            <w:pPr>
              <w:pStyle w:val="Tableheading"/>
              <w:rPr>
                <w:sz w:val="20"/>
                <w:szCs w:val="20"/>
              </w:rPr>
            </w:pPr>
            <w:r w:rsidRPr="00A35800" w:rsidDel="00EE2BBB">
              <w:rPr>
                <w:sz w:val="20"/>
                <w:szCs w:val="20"/>
              </w:rPr>
              <w:t>Max. quant.</w:t>
            </w:r>
            <w:r>
              <w:rPr>
                <w:sz w:val="20"/>
                <w:szCs w:val="20"/>
              </w:rPr>
              <w:t xml:space="preserve"> units</w:t>
            </w:r>
          </w:p>
        </w:tc>
        <w:tc>
          <w:tcPr>
            <w:tcW w:w="708" w:type="dxa"/>
            <w:shd w:val="clear" w:color="auto" w:fill="BFBFBF" w:themeFill="background1" w:themeFillShade="BF"/>
          </w:tcPr>
          <w:p w14:paraId="0F1A79F7" w14:textId="4F40291A" w:rsidR="00D61047" w:rsidRPr="00A35800" w:rsidDel="00EE2BBB" w:rsidRDefault="00D61047" w:rsidP="00A35800">
            <w:pPr>
              <w:pStyle w:val="Tableheading"/>
              <w:rPr>
                <w:sz w:val="20"/>
                <w:szCs w:val="20"/>
              </w:rPr>
            </w:pPr>
            <w:r w:rsidRPr="00A35800" w:rsidDel="00EE2BBB">
              <w:rPr>
                <w:sz w:val="20"/>
                <w:szCs w:val="20"/>
              </w:rPr>
              <w:t xml:space="preserve">Rpts </w:t>
            </w:r>
          </w:p>
        </w:tc>
        <w:tc>
          <w:tcPr>
            <w:tcW w:w="993" w:type="dxa"/>
            <w:shd w:val="clear" w:color="auto" w:fill="BFBFBF" w:themeFill="background1" w:themeFillShade="BF"/>
          </w:tcPr>
          <w:p w14:paraId="05C5A0BF" w14:textId="2CFF9AC9" w:rsidR="00D61047" w:rsidRPr="00A35800" w:rsidDel="00EE2BBB" w:rsidRDefault="00D61047" w:rsidP="00A35800">
            <w:pPr>
              <w:pStyle w:val="Tableheading"/>
              <w:rPr>
                <w:sz w:val="20"/>
                <w:szCs w:val="20"/>
              </w:rPr>
            </w:pPr>
            <w:r w:rsidRPr="00A35800" w:rsidDel="00EE2BBB">
              <w:rPr>
                <w:sz w:val="20"/>
                <w:szCs w:val="20"/>
              </w:rPr>
              <w:t>DPMQ</w:t>
            </w:r>
          </w:p>
        </w:tc>
        <w:tc>
          <w:tcPr>
            <w:tcW w:w="2268" w:type="dxa"/>
            <w:shd w:val="clear" w:color="auto" w:fill="BFBFBF" w:themeFill="background1" w:themeFillShade="BF"/>
          </w:tcPr>
          <w:p w14:paraId="09B472B7" w14:textId="479D46E2" w:rsidR="00D61047" w:rsidRPr="00A35800" w:rsidDel="00EE2BBB" w:rsidRDefault="00D61047" w:rsidP="00A35800">
            <w:pPr>
              <w:pStyle w:val="Tableheading"/>
              <w:rPr>
                <w:sz w:val="20"/>
                <w:szCs w:val="20"/>
              </w:rPr>
            </w:pPr>
            <w:r w:rsidRPr="00A35800" w:rsidDel="00EE2BBB">
              <w:rPr>
                <w:sz w:val="20"/>
                <w:szCs w:val="20"/>
              </w:rPr>
              <w:t>Brand name and manufacturer</w:t>
            </w:r>
          </w:p>
        </w:tc>
      </w:tr>
      <w:tr w:rsidR="00CE214F" w:rsidRPr="00A35800" w:rsidDel="00EE2BBB" w14:paraId="2AF9D84B" w14:textId="0D323411" w:rsidTr="00D61047">
        <w:trPr>
          <w:trHeight w:val="552"/>
          <w:tblHeader/>
        </w:trPr>
        <w:tc>
          <w:tcPr>
            <w:tcW w:w="969" w:type="dxa"/>
            <w:shd w:val="clear" w:color="auto" w:fill="auto"/>
          </w:tcPr>
          <w:p w14:paraId="0A3E3442" w14:textId="5F492B88" w:rsidR="00CE214F" w:rsidRPr="00A35800" w:rsidDel="00EE2BBB" w:rsidRDefault="00CE214F" w:rsidP="00A35800">
            <w:pPr>
              <w:pStyle w:val="Tablewriting"/>
            </w:pPr>
            <w:r w:rsidRPr="00CD66B7">
              <w:t>10915L</w:t>
            </w:r>
          </w:p>
        </w:tc>
        <w:tc>
          <w:tcPr>
            <w:tcW w:w="2400" w:type="dxa"/>
            <w:shd w:val="clear" w:color="auto" w:fill="auto"/>
          </w:tcPr>
          <w:p w14:paraId="0F676F51" w14:textId="30BE0B09" w:rsidR="00CE214F" w:rsidRPr="00A35800" w:rsidDel="00EE2BBB" w:rsidRDefault="00CE214F" w:rsidP="00A35800">
            <w:pPr>
              <w:pStyle w:val="Tablewriting"/>
            </w:pPr>
            <w:r w:rsidRPr="00CD66B7">
              <w:t>imatinib 100 mg capsule, 60</w:t>
            </w:r>
          </w:p>
        </w:tc>
        <w:tc>
          <w:tcPr>
            <w:tcW w:w="850" w:type="dxa"/>
            <w:shd w:val="clear" w:color="auto" w:fill="auto"/>
          </w:tcPr>
          <w:p w14:paraId="0E2637C4" w14:textId="355BD04B" w:rsidR="00CE214F" w:rsidRPr="00A35800" w:rsidDel="00EE2BBB" w:rsidRDefault="00CE214F" w:rsidP="00A35800">
            <w:pPr>
              <w:pStyle w:val="Tablewriting"/>
            </w:pPr>
            <w:r>
              <w:t>1</w:t>
            </w:r>
          </w:p>
        </w:tc>
        <w:tc>
          <w:tcPr>
            <w:tcW w:w="851" w:type="dxa"/>
          </w:tcPr>
          <w:p w14:paraId="5744376A" w14:textId="409201AB" w:rsidR="00CE214F" w:rsidRPr="00A35800" w:rsidDel="00EE2BBB" w:rsidRDefault="00CE214F" w:rsidP="00A35800">
            <w:pPr>
              <w:pStyle w:val="Tablewriting"/>
            </w:pPr>
            <w:r>
              <w:t>60</w:t>
            </w:r>
          </w:p>
        </w:tc>
        <w:tc>
          <w:tcPr>
            <w:tcW w:w="708" w:type="dxa"/>
            <w:shd w:val="clear" w:color="auto" w:fill="auto"/>
          </w:tcPr>
          <w:p w14:paraId="6B361CAA" w14:textId="2533D694" w:rsidR="00CE214F" w:rsidRPr="00A35800" w:rsidDel="00EE2BBB" w:rsidRDefault="00CE214F" w:rsidP="00A35800">
            <w:pPr>
              <w:pStyle w:val="Tablewriting"/>
            </w:pPr>
            <w:r>
              <w:t>5</w:t>
            </w:r>
          </w:p>
        </w:tc>
        <w:tc>
          <w:tcPr>
            <w:tcW w:w="993" w:type="dxa"/>
            <w:shd w:val="clear" w:color="auto" w:fill="auto"/>
          </w:tcPr>
          <w:p w14:paraId="15F68405" w14:textId="6ADD08EC" w:rsidR="00CE214F" w:rsidRPr="00A35800" w:rsidDel="00EE2BBB" w:rsidRDefault="00CE214F" w:rsidP="00A35800">
            <w:pPr>
              <w:pStyle w:val="Tablewriting"/>
            </w:pPr>
            <w:r w:rsidRPr="00D61047">
              <w:t>$952.47</w:t>
            </w:r>
          </w:p>
        </w:tc>
        <w:tc>
          <w:tcPr>
            <w:tcW w:w="2268" w:type="dxa"/>
            <w:vMerge w:val="restart"/>
            <w:shd w:val="clear" w:color="auto" w:fill="auto"/>
          </w:tcPr>
          <w:p w14:paraId="59D45E1A" w14:textId="222CA0E5" w:rsidR="00CE214F" w:rsidRDefault="00CE214F" w:rsidP="00D61047">
            <w:pPr>
              <w:pStyle w:val="Tablewriting"/>
            </w:pPr>
            <w:r>
              <w:t xml:space="preserve">CIPLA IMATINIB ADULT, </w:t>
            </w:r>
            <w:r w:rsidRPr="00D61047">
              <w:t>Cipla Australia Pty Ltd</w:t>
            </w:r>
            <w:r>
              <w:t xml:space="preserve"> </w:t>
            </w:r>
          </w:p>
          <w:p w14:paraId="432AF086" w14:textId="5CB172D2" w:rsidR="00CE214F" w:rsidRDefault="00CE214F" w:rsidP="00D61047">
            <w:pPr>
              <w:pStyle w:val="Tablewriting"/>
            </w:pPr>
            <w:r>
              <w:t xml:space="preserve">Glivanib, </w:t>
            </w:r>
            <w:r w:rsidRPr="00D61047">
              <w:t>Juno Pharmaceuticals Pty Ltd</w:t>
            </w:r>
          </w:p>
          <w:p w14:paraId="615A1FCA" w14:textId="53766376" w:rsidR="00CE214F" w:rsidRDefault="00CE214F" w:rsidP="00D61047">
            <w:pPr>
              <w:pStyle w:val="Tablewriting"/>
            </w:pPr>
            <w:r>
              <w:t xml:space="preserve">IMATINIB AN, </w:t>
            </w:r>
            <w:r w:rsidRPr="00D61047">
              <w:t>Juno Pharmaceuticals Pty Ltd</w:t>
            </w:r>
          </w:p>
          <w:p w14:paraId="598283CA" w14:textId="6B6D8AE3" w:rsidR="00CE214F" w:rsidRDefault="00CE214F" w:rsidP="00D61047">
            <w:pPr>
              <w:pStyle w:val="Tablewriting"/>
            </w:pPr>
            <w:r>
              <w:t xml:space="preserve">IMATINIB-DRLA, </w:t>
            </w:r>
            <w:r w:rsidRPr="00D61047">
              <w:t>Dr Reddy's Laboratories (Australia) Pty Ltd</w:t>
            </w:r>
          </w:p>
          <w:p w14:paraId="7F06BC70" w14:textId="4810E766" w:rsidR="00CE214F" w:rsidRDefault="00CE214F" w:rsidP="00D61047">
            <w:pPr>
              <w:pStyle w:val="Tablewriting"/>
            </w:pPr>
            <w:r>
              <w:t xml:space="preserve">Imatinib GH, </w:t>
            </w:r>
            <w:r w:rsidRPr="00D61047">
              <w:t>Generic Health Pty Ltd</w:t>
            </w:r>
          </w:p>
          <w:p w14:paraId="2D337AC6" w14:textId="3CA6B23E" w:rsidR="00CE214F" w:rsidRPr="00A35800" w:rsidDel="00EE2BBB" w:rsidRDefault="00CE214F" w:rsidP="00D61047">
            <w:pPr>
              <w:pStyle w:val="Tablewriting"/>
            </w:pPr>
            <w:r>
              <w:t xml:space="preserve">Imatinib-APOTEX, </w:t>
            </w:r>
            <w:r w:rsidRPr="00D61047">
              <w:t>Apotex Pty Ltd</w:t>
            </w:r>
          </w:p>
        </w:tc>
      </w:tr>
      <w:tr w:rsidR="00CE214F" w:rsidRPr="00A35800" w:rsidDel="00EE2BBB" w14:paraId="0F0EE7EB" w14:textId="77777777" w:rsidTr="00D61047">
        <w:trPr>
          <w:trHeight w:val="552"/>
          <w:tblHeader/>
        </w:trPr>
        <w:tc>
          <w:tcPr>
            <w:tcW w:w="969" w:type="dxa"/>
            <w:shd w:val="clear" w:color="auto" w:fill="auto"/>
          </w:tcPr>
          <w:p w14:paraId="5AFC78C1" w14:textId="2631E473" w:rsidR="00CE214F" w:rsidRPr="00A35800" w:rsidDel="00EE2BBB" w:rsidRDefault="00CE214F" w:rsidP="00CE214F">
            <w:pPr>
              <w:pStyle w:val="Tablewriting"/>
            </w:pPr>
            <w:r w:rsidRPr="00CE214F">
              <w:t>10920R</w:t>
            </w:r>
          </w:p>
        </w:tc>
        <w:tc>
          <w:tcPr>
            <w:tcW w:w="2400" w:type="dxa"/>
            <w:shd w:val="clear" w:color="auto" w:fill="auto"/>
          </w:tcPr>
          <w:p w14:paraId="22B171F6" w14:textId="35AA431C" w:rsidR="00CE214F" w:rsidRPr="00A35800" w:rsidDel="00EE2BBB" w:rsidRDefault="00CE214F" w:rsidP="00CE214F">
            <w:pPr>
              <w:pStyle w:val="Tablewriting"/>
            </w:pPr>
            <w:r w:rsidRPr="00CD66B7">
              <w:t>imatinib 100 mg capsule, 60</w:t>
            </w:r>
          </w:p>
        </w:tc>
        <w:tc>
          <w:tcPr>
            <w:tcW w:w="850" w:type="dxa"/>
            <w:shd w:val="clear" w:color="auto" w:fill="auto"/>
          </w:tcPr>
          <w:p w14:paraId="0C6DA8C9" w14:textId="5FDD68C7" w:rsidR="00CE214F" w:rsidRPr="00A35800" w:rsidDel="00EE2BBB" w:rsidRDefault="00CE214F" w:rsidP="00CE214F">
            <w:pPr>
              <w:pStyle w:val="Tablewriting"/>
            </w:pPr>
            <w:r>
              <w:t>1</w:t>
            </w:r>
          </w:p>
        </w:tc>
        <w:tc>
          <w:tcPr>
            <w:tcW w:w="851" w:type="dxa"/>
          </w:tcPr>
          <w:p w14:paraId="221B48D3" w14:textId="4C0991CE" w:rsidR="00CE214F" w:rsidRPr="00A35800" w:rsidDel="00EE2BBB" w:rsidRDefault="00CE214F" w:rsidP="00CE214F">
            <w:pPr>
              <w:pStyle w:val="Tablewriting"/>
            </w:pPr>
            <w:r>
              <w:t>60</w:t>
            </w:r>
          </w:p>
        </w:tc>
        <w:tc>
          <w:tcPr>
            <w:tcW w:w="708" w:type="dxa"/>
            <w:shd w:val="clear" w:color="auto" w:fill="auto"/>
          </w:tcPr>
          <w:p w14:paraId="65F0E642" w14:textId="262B5AD0" w:rsidR="00CE214F" w:rsidRPr="00A35800" w:rsidDel="00EE2BBB" w:rsidRDefault="00CE214F" w:rsidP="00CE214F">
            <w:pPr>
              <w:pStyle w:val="Tablewriting"/>
            </w:pPr>
            <w:r>
              <w:t>5</w:t>
            </w:r>
          </w:p>
        </w:tc>
        <w:tc>
          <w:tcPr>
            <w:tcW w:w="993" w:type="dxa"/>
            <w:shd w:val="clear" w:color="auto" w:fill="auto"/>
          </w:tcPr>
          <w:p w14:paraId="65BE5781" w14:textId="6847A245" w:rsidR="00CE214F" w:rsidRPr="00A35800" w:rsidDel="00EE2BBB" w:rsidRDefault="00CE214F" w:rsidP="00CE214F">
            <w:pPr>
              <w:pStyle w:val="Tablewriting"/>
            </w:pPr>
            <w:r w:rsidRPr="00D61047">
              <w:t>$952.47</w:t>
            </w:r>
          </w:p>
        </w:tc>
        <w:tc>
          <w:tcPr>
            <w:tcW w:w="2268" w:type="dxa"/>
            <w:vMerge/>
            <w:shd w:val="clear" w:color="auto" w:fill="auto"/>
          </w:tcPr>
          <w:p w14:paraId="522FCE6C" w14:textId="77777777" w:rsidR="00CE214F" w:rsidRPr="00A35800" w:rsidDel="00EE2BBB" w:rsidRDefault="00CE214F" w:rsidP="00CE214F">
            <w:pPr>
              <w:pStyle w:val="Tablewriting"/>
            </w:pPr>
          </w:p>
        </w:tc>
      </w:tr>
      <w:tr w:rsidR="00CE214F" w:rsidRPr="00A35800" w:rsidDel="00EE2BBB" w14:paraId="15C5BFE5" w14:textId="77777777" w:rsidTr="00D61047">
        <w:trPr>
          <w:trHeight w:val="552"/>
          <w:tblHeader/>
        </w:trPr>
        <w:tc>
          <w:tcPr>
            <w:tcW w:w="969" w:type="dxa"/>
            <w:shd w:val="clear" w:color="auto" w:fill="auto"/>
          </w:tcPr>
          <w:p w14:paraId="0E5D6482" w14:textId="155CE0D9" w:rsidR="00CE214F" w:rsidRPr="00A35800" w:rsidDel="00EE2BBB" w:rsidRDefault="00CE214F" w:rsidP="00A35800">
            <w:pPr>
              <w:pStyle w:val="Tablewriting"/>
            </w:pPr>
            <w:r w:rsidRPr="00CE214F">
              <w:t>10916M</w:t>
            </w:r>
          </w:p>
        </w:tc>
        <w:tc>
          <w:tcPr>
            <w:tcW w:w="2400" w:type="dxa"/>
            <w:shd w:val="clear" w:color="auto" w:fill="auto"/>
          </w:tcPr>
          <w:p w14:paraId="2FE5876D" w14:textId="49EAE8A7" w:rsidR="00CE214F" w:rsidRPr="00A35800" w:rsidDel="00EE2BBB" w:rsidRDefault="00CE214F" w:rsidP="00A35800">
            <w:pPr>
              <w:pStyle w:val="Tablewriting"/>
            </w:pPr>
            <w:r w:rsidRPr="00CE214F">
              <w:t>imatinib 400 mg capsule</w:t>
            </w:r>
            <w:r>
              <w:t>, 30</w:t>
            </w:r>
          </w:p>
        </w:tc>
        <w:tc>
          <w:tcPr>
            <w:tcW w:w="850" w:type="dxa"/>
            <w:shd w:val="clear" w:color="auto" w:fill="auto"/>
          </w:tcPr>
          <w:p w14:paraId="1389286B" w14:textId="604D939C" w:rsidR="00CE214F" w:rsidRPr="00A35800" w:rsidDel="00EE2BBB" w:rsidRDefault="00CE214F" w:rsidP="00A35800">
            <w:pPr>
              <w:pStyle w:val="Tablewriting"/>
            </w:pPr>
            <w:r>
              <w:t>1</w:t>
            </w:r>
          </w:p>
        </w:tc>
        <w:tc>
          <w:tcPr>
            <w:tcW w:w="851" w:type="dxa"/>
          </w:tcPr>
          <w:p w14:paraId="36A81F16" w14:textId="4202A8A4" w:rsidR="00CE214F" w:rsidRPr="00A35800" w:rsidDel="00EE2BBB" w:rsidRDefault="00CE214F" w:rsidP="00A35800">
            <w:pPr>
              <w:pStyle w:val="Tablewriting"/>
            </w:pPr>
            <w:r>
              <w:t>30</w:t>
            </w:r>
          </w:p>
        </w:tc>
        <w:tc>
          <w:tcPr>
            <w:tcW w:w="708" w:type="dxa"/>
            <w:shd w:val="clear" w:color="auto" w:fill="auto"/>
          </w:tcPr>
          <w:p w14:paraId="0FE05B77" w14:textId="1FA9F116" w:rsidR="00CE214F" w:rsidRPr="00A35800" w:rsidDel="00EE2BBB" w:rsidRDefault="00CE214F" w:rsidP="00A35800">
            <w:pPr>
              <w:pStyle w:val="Tablewriting"/>
            </w:pPr>
            <w:r>
              <w:t>5</w:t>
            </w:r>
          </w:p>
        </w:tc>
        <w:tc>
          <w:tcPr>
            <w:tcW w:w="993" w:type="dxa"/>
            <w:shd w:val="clear" w:color="auto" w:fill="auto"/>
          </w:tcPr>
          <w:p w14:paraId="2D21A41C" w14:textId="2CE2C769" w:rsidR="00CE214F" w:rsidRPr="00A35800" w:rsidDel="00EE2BBB" w:rsidRDefault="00CE214F" w:rsidP="00A35800">
            <w:pPr>
              <w:pStyle w:val="Tablewriting"/>
            </w:pPr>
            <w:r w:rsidRPr="00CE214F">
              <w:t>$1839.66</w:t>
            </w:r>
          </w:p>
        </w:tc>
        <w:tc>
          <w:tcPr>
            <w:tcW w:w="2268" w:type="dxa"/>
            <w:vMerge/>
            <w:shd w:val="clear" w:color="auto" w:fill="auto"/>
          </w:tcPr>
          <w:p w14:paraId="7EA18705" w14:textId="77777777" w:rsidR="00CE214F" w:rsidRPr="00A35800" w:rsidDel="00EE2BBB" w:rsidRDefault="00CE214F" w:rsidP="00A35800">
            <w:pPr>
              <w:pStyle w:val="Tablewriting"/>
            </w:pPr>
          </w:p>
        </w:tc>
      </w:tr>
      <w:tr w:rsidR="00CE214F" w:rsidRPr="00A35800" w:rsidDel="00EE2BBB" w14:paraId="1A4FFDDA" w14:textId="77777777" w:rsidTr="00D61047">
        <w:trPr>
          <w:trHeight w:val="552"/>
          <w:tblHeader/>
        </w:trPr>
        <w:tc>
          <w:tcPr>
            <w:tcW w:w="969" w:type="dxa"/>
            <w:shd w:val="clear" w:color="auto" w:fill="auto"/>
          </w:tcPr>
          <w:p w14:paraId="7A9C291D" w14:textId="00C7CC48" w:rsidR="00CE214F" w:rsidRPr="00A35800" w:rsidDel="00EE2BBB" w:rsidRDefault="00CE214F" w:rsidP="00CE214F">
            <w:pPr>
              <w:pStyle w:val="Tablewriting"/>
            </w:pPr>
            <w:r w:rsidRPr="00CE214F">
              <w:t>10935M</w:t>
            </w:r>
          </w:p>
        </w:tc>
        <w:tc>
          <w:tcPr>
            <w:tcW w:w="2400" w:type="dxa"/>
            <w:shd w:val="clear" w:color="auto" w:fill="auto"/>
          </w:tcPr>
          <w:p w14:paraId="53E22F6D" w14:textId="1216EA5C" w:rsidR="00CE214F" w:rsidRPr="00A35800" w:rsidDel="00EE2BBB" w:rsidRDefault="00CE214F" w:rsidP="00CE214F">
            <w:pPr>
              <w:pStyle w:val="Tablewriting"/>
            </w:pPr>
            <w:r w:rsidRPr="00CE214F">
              <w:t>imatinib 400 mg capsule</w:t>
            </w:r>
            <w:r>
              <w:t>, 30</w:t>
            </w:r>
          </w:p>
        </w:tc>
        <w:tc>
          <w:tcPr>
            <w:tcW w:w="850" w:type="dxa"/>
            <w:shd w:val="clear" w:color="auto" w:fill="auto"/>
          </w:tcPr>
          <w:p w14:paraId="27424609" w14:textId="14297576" w:rsidR="00CE214F" w:rsidRPr="00A35800" w:rsidDel="00EE2BBB" w:rsidRDefault="00CE214F" w:rsidP="00CE214F">
            <w:pPr>
              <w:pStyle w:val="Tablewriting"/>
            </w:pPr>
            <w:r>
              <w:t>1</w:t>
            </w:r>
          </w:p>
        </w:tc>
        <w:tc>
          <w:tcPr>
            <w:tcW w:w="851" w:type="dxa"/>
          </w:tcPr>
          <w:p w14:paraId="7D719BCF" w14:textId="158BDF86" w:rsidR="00CE214F" w:rsidRPr="00A35800" w:rsidDel="00EE2BBB" w:rsidRDefault="00CE214F" w:rsidP="00CE214F">
            <w:pPr>
              <w:pStyle w:val="Tablewriting"/>
            </w:pPr>
            <w:r>
              <w:t>30</w:t>
            </w:r>
          </w:p>
        </w:tc>
        <w:tc>
          <w:tcPr>
            <w:tcW w:w="708" w:type="dxa"/>
            <w:shd w:val="clear" w:color="auto" w:fill="auto"/>
          </w:tcPr>
          <w:p w14:paraId="34858E27" w14:textId="320ADF3D" w:rsidR="00CE214F" w:rsidRPr="00A35800" w:rsidDel="00EE2BBB" w:rsidRDefault="00CE214F" w:rsidP="00CE214F">
            <w:pPr>
              <w:pStyle w:val="Tablewriting"/>
            </w:pPr>
            <w:r>
              <w:t>5</w:t>
            </w:r>
          </w:p>
        </w:tc>
        <w:tc>
          <w:tcPr>
            <w:tcW w:w="993" w:type="dxa"/>
            <w:shd w:val="clear" w:color="auto" w:fill="auto"/>
          </w:tcPr>
          <w:p w14:paraId="02AB4191" w14:textId="6622EC8B" w:rsidR="00CE214F" w:rsidRPr="00A35800" w:rsidDel="00EE2BBB" w:rsidRDefault="00CE214F" w:rsidP="00CE214F">
            <w:pPr>
              <w:pStyle w:val="Tablewriting"/>
            </w:pPr>
            <w:r w:rsidRPr="00CE214F">
              <w:t>$1839.66</w:t>
            </w:r>
          </w:p>
        </w:tc>
        <w:tc>
          <w:tcPr>
            <w:tcW w:w="2268" w:type="dxa"/>
            <w:vMerge/>
            <w:shd w:val="clear" w:color="auto" w:fill="auto"/>
          </w:tcPr>
          <w:p w14:paraId="7EFF1184" w14:textId="77777777" w:rsidR="00CE214F" w:rsidRPr="00A35800" w:rsidDel="00EE2BBB" w:rsidRDefault="00CE214F" w:rsidP="00CE214F">
            <w:pPr>
              <w:pStyle w:val="Tablewriting"/>
            </w:pPr>
          </w:p>
        </w:tc>
      </w:tr>
      <w:tr w:rsidR="00CE214F" w:rsidRPr="00A35800" w:rsidDel="00EE2BBB" w14:paraId="0C0618A8" w14:textId="77777777" w:rsidTr="00D61047">
        <w:trPr>
          <w:trHeight w:val="552"/>
          <w:tblHeader/>
        </w:trPr>
        <w:tc>
          <w:tcPr>
            <w:tcW w:w="969" w:type="dxa"/>
            <w:shd w:val="clear" w:color="auto" w:fill="auto"/>
          </w:tcPr>
          <w:p w14:paraId="36F7C1FE" w14:textId="34C6AB5F" w:rsidR="00CE214F" w:rsidRPr="00CE214F" w:rsidRDefault="00CE214F" w:rsidP="00CE214F">
            <w:pPr>
              <w:pStyle w:val="Tablewriting"/>
            </w:pPr>
            <w:r w:rsidRPr="00CE214F">
              <w:t>9113P</w:t>
            </w:r>
          </w:p>
        </w:tc>
        <w:tc>
          <w:tcPr>
            <w:tcW w:w="2400" w:type="dxa"/>
            <w:shd w:val="clear" w:color="auto" w:fill="auto"/>
          </w:tcPr>
          <w:p w14:paraId="59D9EF22" w14:textId="31956C99" w:rsidR="00CE214F" w:rsidRPr="00A35800" w:rsidDel="00EE2BBB" w:rsidRDefault="00CE214F" w:rsidP="00CE214F">
            <w:pPr>
              <w:pStyle w:val="Tablewriting"/>
            </w:pPr>
            <w:r w:rsidRPr="00CD66B7">
              <w:t>imatinib 100 mg capsule, 60</w:t>
            </w:r>
          </w:p>
        </w:tc>
        <w:tc>
          <w:tcPr>
            <w:tcW w:w="850" w:type="dxa"/>
            <w:shd w:val="clear" w:color="auto" w:fill="auto"/>
          </w:tcPr>
          <w:p w14:paraId="18B7DE98" w14:textId="15C6052C" w:rsidR="00CE214F" w:rsidRPr="00A35800" w:rsidDel="00EE2BBB" w:rsidRDefault="00CE214F" w:rsidP="00CE214F">
            <w:pPr>
              <w:pStyle w:val="Tablewriting"/>
            </w:pPr>
            <w:r>
              <w:t>1</w:t>
            </w:r>
          </w:p>
        </w:tc>
        <w:tc>
          <w:tcPr>
            <w:tcW w:w="851" w:type="dxa"/>
          </w:tcPr>
          <w:p w14:paraId="60E32EA1" w14:textId="56CC05BD" w:rsidR="00CE214F" w:rsidRPr="00A35800" w:rsidDel="00EE2BBB" w:rsidRDefault="00CE214F" w:rsidP="00CE214F">
            <w:pPr>
              <w:pStyle w:val="Tablewriting"/>
            </w:pPr>
            <w:r>
              <w:t>60</w:t>
            </w:r>
          </w:p>
        </w:tc>
        <w:tc>
          <w:tcPr>
            <w:tcW w:w="708" w:type="dxa"/>
            <w:shd w:val="clear" w:color="auto" w:fill="auto"/>
          </w:tcPr>
          <w:p w14:paraId="0680C649" w14:textId="1ADEF6BD" w:rsidR="00CE214F" w:rsidRPr="00A35800" w:rsidDel="00EE2BBB" w:rsidRDefault="00CE214F" w:rsidP="00CE214F">
            <w:pPr>
              <w:pStyle w:val="Tablewriting"/>
            </w:pPr>
            <w:r>
              <w:t>5</w:t>
            </w:r>
          </w:p>
        </w:tc>
        <w:tc>
          <w:tcPr>
            <w:tcW w:w="993" w:type="dxa"/>
            <w:shd w:val="clear" w:color="auto" w:fill="auto"/>
          </w:tcPr>
          <w:p w14:paraId="1543924C" w14:textId="4F145E2E" w:rsidR="00CE214F" w:rsidRPr="00A35800" w:rsidDel="00EE2BBB" w:rsidRDefault="00CE214F" w:rsidP="00CE214F">
            <w:pPr>
              <w:pStyle w:val="Tablewriting"/>
            </w:pPr>
            <w:r w:rsidRPr="00D61047">
              <w:t>$952.47</w:t>
            </w:r>
          </w:p>
        </w:tc>
        <w:tc>
          <w:tcPr>
            <w:tcW w:w="2268" w:type="dxa"/>
            <w:vMerge w:val="restart"/>
            <w:shd w:val="clear" w:color="auto" w:fill="auto"/>
          </w:tcPr>
          <w:p w14:paraId="546BF91C" w14:textId="1EECE030" w:rsidR="00CE214F" w:rsidRDefault="00CE214F" w:rsidP="00CE214F">
            <w:pPr>
              <w:pStyle w:val="Tablewriting"/>
            </w:pPr>
            <w:r>
              <w:t xml:space="preserve">Glivec, </w:t>
            </w:r>
            <w:r w:rsidRPr="00CE214F">
              <w:t>Alphapharm Pty Ltd</w:t>
            </w:r>
          </w:p>
          <w:p w14:paraId="4D407A31" w14:textId="1132727C" w:rsidR="00CE214F" w:rsidRDefault="00CE214F" w:rsidP="00CE214F">
            <w:pPr>
              <w:pStyle w:val="Tablewriting"/>
            </w:pPr>
            <w:r>
              <w:t xml:space="preserve">IMATINIB RBX, </w:t>
            </w:r>
            <w:r w:rsidRPr="00CE214F">
              <w:t>Sun Pharma ANZ Pty Ltd</w:t>
            </w:r>
          </w:p>
          <w:p w14:paraId="5C5034CA" w14:textId="3730BC66" w:rsidR="00CE214F" w:rsidRPr="00A35800" w:rsidDel="00EE2BBB" w:rsidRDefault="00CE214F" w:rsidP="00CE214F">
            <w:pPr>
              <w:pStyle w:val="Tablewriting"/>
            </w:pPr>
            <w:r>
              <w:t xml:space="preserve">Imatinib-Teva, </w:t>
            </w:r>
            <w:r w:rsidRPr="00CE214F">
              <w:t>Sandoz Pty Ltd</w:t>
            </w:r>
          </w:p>
        </w:tc>
      </w:tr>
      <w:tr w:rsidR="00CE214F" w:rsidRPr="00A35800" w:rsidDel="00EE2BBB" w14:paraId="08C70F64" w14:textId="77777777" w:rsidTr="00D61047">
        <w:trPr>
          <w:trHeight w:val="552"/>
          <w:tblHeader/>
        </w:trPr>
        <w:tc>
          <w:tcPr>
            <w:tcW w:w="969" w:type="dxa"/>
            <w:shd w:val="clear" w:color="auto" w:fill="auto"/>
          </w:tcPr>
          <w:p w14:paraId="7B6E5EBA" w14:textId="5EE42E8D" w:rsidR="00CE214F" w:rsidRPr="00CE214F" w:rsidRDefault="00CE214F" w:rsidP="00CE214F">
            <w:pPr>
              <w:pStyle w:val="Tablewriting"/>
            </w:pPr>
            <w:r w:rsidRPr="00CE214F">
              <w:t>9115R</w:t>
            </w:r>
          </w:p>
        </w:tc>
        <w:tc>
          <w:tcPr>
            <w:tcW w:w="2400" w:type="dxa"/>
            <w:shd w:val="clear" w:color="auto" w:fill="auto"/>
          </w:tcPr>
          <w:p w14:paraId="5434F058" w14:textId="58CBFA05" w:rsidR="00CE214F" w:rsidRPr="00CD66B7" w:rsidRDefault="00CE214F" w:rsidP="00CE214F">
            <w:pPr>
              <w:pStyle w:val="Tablewriting"/>
            </w:pPr>
            <w:r w:rsidRPr="00CD66B7">
              <w:t>imatinib 100 mg capsule, 60</w:t>
            </w:r>
          </w:p>
        </w:tc>
        <w:tc>
          <w:tcPr>
            <w:tcW w:w="850" w:type="dxa"/>
            <w:shd w:val="clear" w:color="auto" w:fill="auto"/>
          </w:tcPr>
          <w:p w14:paraId="0DF533AB" w14:textId="24437F83" w:rsidR="00CE214F" w:rsidRDefault="00CE214F" w:rsidP="00CE214F">
            <w:pPr>
              <w:pStyle w:val="Tablewriting"/>
            </w:pPr>
            <w:r>
              <w:t>1</w:t>
            </w:r>
          </w:p>
        </w:tc>
        <w:tc>
          <w:tcPr>
            <w:tcW w:w="851" w:type="dxa"/>
          </w:tcPr>
          <w:p w14:paraId="12CBD67B" w14:textId="4C7F9B6E" w:rsidR="00CE214F" w:rsidRDefault="00CE214F" w:rsidP="00CE214F">
            <w:pPr>
              <w:pStyle w:val="Tablewriting"/>
            </w:pPr>
            <w:r>
              <w:t>60</w:t>
            </w:r>
          </w:p>
        </w:tc>
        <w:tc>
          <w:tcPr>
            <w:tcW w:w="708" w:type="dxa"/>
            <w:shd w:val="clear" w:color="auto" w:fill="auto"/>
          </w:tcPr>
          <w:p w14:paraId="30EFD85E" w14:textId="173DC51C" w:rsidR="00CE214F" w:rsidRDefault="00CE214F" w:rsidP="00CE214F">
            <w:pPr>
              <w:pStyle w:val="Tablewriting"/>
            </w:pPr>
            <w:r>
              <w:t>2</w:t>
            </w:r>
          </w:p>
        </w:tc>
        <w:tc>
          <w:tcPr>
            <w:tcW w:w="993" w:type="dxa"/>
            <w:shd w:val="clear" w:color="auto" w:fill="auto"/>
          </w:tcPr>
          <w:p w14:paraId="7C4C6403" w14:textId="3D109B9D" w:rsidR="00CE214F" w:rsidRPr="00D61047" w:rsidRDefault="00CE214F" w:rsidP="00CE214F">
            <w:pPr>
              <w:pStyle w:val="Tablewriting"/>
            </w:pPr>
            <w:r w:rsidRPr="00D61047">
              <w:t>$952.47</w:t>
            </w:r>
          </w:p>
        </w:tc>
        <w:tc>
          <w:tcPr>
            <w:tcW w:w="2268" w:type="dxa"/>
            <w:vMerge/>
            <w:shd w:val="clear" w:color="auto" w:fill="auto"/>
          </w:tcPr>
          <w:p w14:paraId="19A5CD70" w14:textId="77777777" w:rsidR="00CE214F" w:rsidRDefault="00CE214F" w:rsidP="00CE214F">
            <w:pPr>
              <w:pStyle w:val="Tablewriting"/>
            </w:pPr>
          </w:p>
        </w:tc>
      </w:tr>
      <w:tr w:rsidR="00CE214F" w:rsidRPr="00A35800" w:rsidDel="00EE2BBB" w14:paraId="5A26F6DA" w14:textId="5F9D4936" w:rsidTr="00D61047">
        <w:trPr>
          <w:trHeight w:val="546"/>
          <w:tblHeader/>
        </w:trPr>
        <w:tc>
          <w:tcPr>
            <w:tcW w:w="969" w:type="dxa"/>
            <w:shd w:val="clear" w:color="auto" w:fill="auto"/>
          </w:tcPr>
          <w:p w14:paraId="76F26606" w14:textId="22B7492F" w:rsidR="00CE214F" w:rsidRPr="00A35800" w:rsidDel="00EE2BBB" w:rsidRDefault="00CE214F" w:rsidP="00CE214F">
            <w:pPr>
              <w:pStyle w:val="Tablewriting"/>
            </w:pPr>
            <w:r w:rsidRPr="00CE214F">
              <w:t>9114Q</w:t>
            </w:r>
          </w:p>
        </w:tc>
        <w:tc>
          <w:tcPr>
            <w:tcW w:w="2400" w:type="dxa"/>
            <w:shd w:val="clear" w:color="auto" w:fill="auto"/>
          </w:tcPr>
          <w:p w14:paraId="4C40F7E7" w14:textId="00429F8D" w:rsidR="00CE214F" w:rsidRPr="00A35800" w:rsidDel="00EE2BBB" w:rsidRDefault="00CE214F" w:rsidP="00CE214F">
            <w:pPr>
              <w:pStyle w:val="Tablewriting"/>
            </w:pPr>
            <w:r w:rsidRPr="00CE214F">
              <w:t>imatinib 400 mg capsule</w:t>
            </w:r>
            <w:r>
              <w:t>, 30</w:t>
            </w:r>
          </w:p>
        </w:tc>
        <w:tc>
          <w:tcPr>
            <w:tcW w:w="850" w:type="dxa"/>
            <w:shd w:val="clear" w:color="auto" w:fill="auto"/>
          </w:tcPr>
          <w:p w14:paraId="73733F58" w14:textId="16EFA6FD" w:rsidR="00CE214F" w:rsidRPr="00A35800" w:rsidDel="00EE2BBB" w:rsidRDefault="00CE214F" w:rsidP="00CE214F">
            <w:pPr>
              <w:pStyle w:val="Tablewriting"/>
            </w:pPr>
            <w:r>
              <w:t>1</w:t>
            </w:r>
          </w:p>
        </w:tc>
        <w:tc>
          <w:tcPr>
            <w:tcW w:w="851" w:type="dxa"/>
          </w:tcPr>
          <w:p w14:paraId="04DE8C27" w14:textId="02E5E552" w:rsidR="00CE214F" w:rsidRPr="00A35800" w:rsidDel="00EE2BBB" w:rsidRDefault="00CE214F" w:rsidP="00CE214F">
            <w:pPr>
              <w:pStyle w:val="Tablewriting"/>
            </w:pPr>
            <w:r>
              <w:t>30</w:t>
            </w:r>
          </w:p>
        </w:tc>
        <w:tc>
          <w:tcPr>
            <w:tcW w:w="708" w:type="dxa"/>
            <w:shd w:val="clear" w:color="auto" w:fill="auto"/>
          </w:tcPr>
          <w:p w14:paraId="2751F86C" w14:textId="489B3F7B" w:rsidR="00CE214F" w:rsidRPr="00A35800" w:rsidDel="00EE2BBB" w:rsidRDefault="00CE214F" w:rsidP="00CE214F">
            <w:pPr>
              <w:pStyle w:val="Tablewriting"/>
            </w:pPr>
            <w:r>
              <w:t>5</w:t>
            </w:r>
          </w:p>
        </w:tc>
        <w:tc>
          <w:tcPr>
            <w:tcW w:w="993" w:type="dxa"/>
            <w:shd w:val="clear" w:color="auto" w:fill="auto"/>
          </w:tcPr>
          <w:p w14:paraId="0EB41EFB" w14:textId="2AEC3FC8" w:rsidR="00CE214F" w:rsidRPr="00A35800" w:rsidDel="00EE2BBB" w:rsidRDefault="00CE214F" w:rsidP="00CE214F">
            <w:pPr>
              <w:pStyle w:val="Tablewriting"/>
            </w:pPr>
            <w:r>
              <w:t>$1839.66</w:t>
            </w:r>
          </w:p>
        </w:tc>
        <w:tc>
          <w:tcPr>
            <w:tcW w:w="2268" w:type="dxa"/>
            <w:vMerge/>
            <w:shd w:val="clear" w:color="auto" w:fill="auto"/>
          </w:tcPr>
          <w:p w14:paraId="2F152B32" w14:textId="53903DBC" w:rsidR="00CE214F" w:rsidRPr="00A35800" w:rsidDel="00EE2BBB" w:rsidRDefault="00CE214F" w:rsidP="00CE214F">
            <w:pPr>
              <w:pStyle w:val="Tablewriting"/>
            </w:pPr>
          </w:p>
        </w:tc>
      </w:tr>
      <w:tr w:rsidR="00CE214F" w:rsidRPr="00A35800" w:rsidDel="00EE2BBB" w14:paraId="7656B636" w14:textId="77777777" w:rsidTr="00D61047">
        <w:trPr>
          <w:trHeight w:val="546"/>
          <w:tblHeader/>
        </w:trPr>
        <w:tc>
          <w:tcPr>
            <w:tcW w:w="969" w:type="dxa"/>
            <w:shd w:val="clear" w:color="auto" w:fill="auto"/>
          </w:tcPr>
          <w:p w14:paraId="30D0AA2B" w14:textId="1C399B05" w:rsidR="00CE214F" w:rsidRPr="00CE214F" w:rsidRDefault="00CE214F" w:rsidP="00CE214F">
            <w:pPr>
              <w:pStyle w:val="Tablewriting"/>
            </w:pPr>
            <w:r w:rsidRPr="00CE214F">
              <w:t>9116T</w:t>
            </w:r>
          </w:p>
        </w:tc>
        <w:tc>
          <w:tcPr>
            <w:tcW w:w="2400" w:type="dxa"/>
            <w:shd w:val="clear" w:color="auto" w:fill="auto"/>
          </w:tcPr>
          <w:p w14:paraId="501D007F" w14:textId="7DA117B2" w:rsidR="00CE214F" w:rsidRPr="00CE214F" w:rsidRDefault="00CE214F" w:rsidP="00CE214F">
            <w:pPr>
              <w:pStyle w:val="Tablewriting"/>
            </w:pPr>
            <w:r w:rsidRPr="00CE214F">
              <w:t>imatinib 400 mg capsule</w:t>
            </w:r>
            <w:r>
              <w:t>, 30</w:t>
            </w:r>
          </w:p>
        </w:tc>
        <w:tc>
          <w:tcPr>
            <w:tcW w:w="850" w:type="dxa"/>
            <w:shd w:val="clear" w:color="auto" w:fill="auto"/>
          </w:tcPr>
          <w:p w14:paraId="03A8EFEB" w14:textId="281706AB" w:rsidR="00CE214F" w:rsidRDefault="00CE214F" w:rsidP="00CE214F">
            <w:pPr>
              <w:pStyle w:val="Tablewriting"/>
            </w:pPr>
            <w:r>
              <w:t>1</w:t>
            </w:r>
          </w:p>
        </w:tc>
        <w:tc>
          <w:tcPr>
            <w:tcW w:w="851" w:type="dxa"/>
          </w:tcPr>
          <w:p w14:paraId="0308AD71" w14:textId="1667A378" w:rsidR="00CE214F" w:rsidRDefault="00CE214F" w:rsidP="00CE214F">
            <w:pPr>
              <w:pStyle w:val="Tablewriting"/>
            </w:pPr>
            <w:r>
              <w:t>30</w:t>
            </w:r>
          </w:p>
        </w:tc>
        <w:tc>
          <w:tcPr>
            <w:tcW w:w="708" w:type="dxa"/>
            <w:shd w:val="clear" w:color="auto" w:fill="auto"/>
          </w:tcPr>
          <w:p w14:paraId="7EF27BD3" w14:textId="4AB05A45" w:rsidR="00CE214F" w:rsidRDefault="00CE214F" w:rsidP="00CE214F">
            <w:pPr>
              <w:pStyle w:val="Tablewriting"/>
            </w:pPr>
            <w:r>
              <w:t>2</w:t>
            </w:r>
          </w:p>
        </w:tc>
        <w:tc>
          <w:tcPr>
            <w:tcW w:w="993" w:type="dxa"/>
            <w:shd w:val="clear" w:color="auto" w:fill="auto"/>
          </w:tcPr>
          <w:p w14:paraId="37853B33" w14:textId="3A413995" w:rsidR="00CE214F" w:rsidRDefault="00CE214F" w:rsidP="00CE214F">
            <w:pPr>
              <w:pStyle w:val="Tablewriting"/>
            </w:pPr>
            <w:r>
              <w:t>$1839.66</w:t>
            </w:r>
          </w:p>
        </w:tc>
        <w:tc>
          <w:tcPr>
            <w:tcW w:w="2268" w:type="dxa"/>
            <w:vMerge/>
            <w:shd w:val="clear" w:color="auto" w:fill="auto"/>
          </w:tcPr>
          <w:p w14:paraId="0D3CF384" w14:textId="77777777" w:rsidR="00CE214F" w:rsidRPr="00A35800" w:rsidDel="00EE2BBB" w:rsidRDefault="00CE214F" w:rsidP="00CE214F">
            <w:pPr>
              <w:pStyle w:val="Tablewriting"/>
            </w:pPr>
          </w:p>
        </w:tc>
      </w:tr>
    </w:tbl>
    <w:p w14:paraId="1183F151" w14:textId="5A9515D6" w:rsidR="007247B9" w:rsidRPr="00A35800" w:rsidDel="00EE2BBB" w:rsidRDefault="007408C7" w:rsidP="00BB1D3B">
      <w:pPr>
        <w:pStyle w:val="Notes"/>
      </w:pPr>
      <w:r w:rsidRPr="00A35800" w:rsidDel="00EE2BBB">
        <w:t xml:space="preserve">Source: </w:t>
      </w:r>
      <w:r w:rsidR="001624D7" w:rsidDel="00EE2BBB">
        <w:t xml:space="preserve">the </w:t>
      </w:r>
      <w:hyperlink r:id="rId11" w:history="1">
        <w:r w:rsidR="001624D7" w:rsidRPr="001624D7" w:rsidDel="00EE2BBB">
          <w:rPr>
            <w:rStyle w:val="Hyperlink"/>
          </w:rPr>
          <w:t>PBS website</w:t>
        </w:r>
      </w:hyperlink>
      <w:r w:rsidR="001624D7" w:rsidDel="00EE2BBB">
        <w:t>.</w:t>
      </w:r>
      <w:r w:rsidR="0080485E" w:rsidDel="00EE2BBB">
        <w:t xml:space="preserve">  </w:t>
      </w:r>
    </w:p>
    <w:p w14:paraId="0E2A571B" w14:textId="6C9C09E2" w:rsidR="00CE214F" w:rsidRPr="001420B3" w:rsidDel="00EE2BBB" w:rsidRDefault="0053415A" w:rsidP="00CE214F">
      <w:pPr>
        <w:pStyle w:val="Tabletitle"/>
      </w:pPr>
      <w:r>
        <w:t>Table 3</w:t>
      </w:r>
      <w:r w:rsidR="00CE214F" w:rsidRPr="001420B3" w:rsidDel="00EE2BBB">
        <w:t xml:space="preserve">: </w:t>
      </w:r>
      <w:r w:rsidR="00CE214F" w:rsidDel="00EE2BBB">
        <w:t>PB</w:t>
      </w:r>
      <w:r w:rsidR="00CE214F">
        <w:t>S listing of nilotinib</w:t>
      </w:r>
    </w:p>
    <w:tbl>
      <w:tblPr>
        <w:tblStyle w:val="TableGrid"/>
        <w:tblW w:w="9039" w:type="dxa"/>
        <w:tblLayout w:type="fixed"/>
        <w:tblLook w:val="04A0" w:firstRow="1" w:lastRow="0" w:firstColumn="1" w:lastColumn="0" w:noHBand="0" w:noVBand="1"/>
        <w:tblCaption w:val="PBS listing of nilotinib"/>
        <w:tblDescription w:val="PBS listing of nilotinib"/>
      </w:tblPr>
      <w:tblGrid>
        <w:gridCol w:w="969"/>
        <w:gridCol w:w="2400"/>
        <w:gridCol w:w="850"/>
        <w:gridCol w:w="851"/>
        <w:gridCol w:w="708"/>
        <w:gridCol w:w="993"/>
        <w:gridCol w:w="2268"/>
      </w:tblGrid>
      <w:tr w:rsidR="00CE214F" w:rsidRPr="00A35800" w:rsidDel="00EE2BBB" w14:paraId="184E19AC" w14:textId="77777777" w:rsidTr="002439D2">
        <w:trPr>
          <w:trHeight w:val="694"/>
          <w:tblHeader/>
        </w:trPr>
        <w:tc>
          <w:tcPr>
            <w:tcW w:w="969" w:type="dxa"/>
            <w:shd w:val="clear" w:color="auto" w:fill="BFBFBF" w:themeFill="background1" w:themeFillShade="BF"/>
          </w:tcPr>
          <w:p w14:paraId="095C50FF" w14:textId="77777777" w:rsidR="00CE214F" w:rsidRPr="00A35800" w:rsidDel="00EE2BBB" w:rsidRDefault="00CE214F" w:rsidP="002439D2">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359C043B" w14:textId="77777777" w:rsidR="00CE214F" w:rsidRPr="00A35800" w:rsidDel="00EE2BBB" w:rsidRDefault="00CE214F" w:rsidP="002439D2">
            <w:pPr>
              <w:pStyle w:val="Tableheading"/>
              <w:rPr>
                <w:sz w:val="20"/>
                <w:szCs w:val="20"/>
              </w:rPr>
            </w:pPr>
            <w:r w:rsidRPr="00A35800" w:rsidDel="00EE2BBB">
              <w:rPr>
                <w:sz w:val="20"/>
                <w:szCs w:val="20"/>
              </w:rPr>
              <w:t>Name, form &amp; strength, pack size</w:t>
            </w:r>
          </w:p>
        </w:tc>
        <w:tc>
          <w:tcPr>
            <w:tcW w:w="850" w:type="dxa"/>
            <w:shd w:val="clear" w:color="auto" w:fill="BFBFBF" w:themeFill="background1" w:themeFillShade="BF"/>
          </w:tcPr>
          <w:p w14:paraId="3D5B0AC0" w14:textId="77777777" w:rsidR="00CE214F" w:rsidRPr="00A35800" w:rsidDel="00EE2BBB" w:rsidRDefault="00CE214F" w:rsidP="002439D2">
            <w:pPr>
              <w:pStyle w:val="Tableheading"/>
              <w:rPr>
                <w:sz w:val="20"/>
                <w:szCs w:val="20"/>
              </w:rPr>
            </w:pPr>
            <w:r w:rsidRPr="00A35800" w:rsidDel="00EE2BBB">
              <w:rPr>
                <w:sz w:val="20"/>
                <w:szCs w:val="20"/>
              </w:rPr>
              <w:t xml:space="preserve">Max. quant. </w:t>
            </w:r>
            <w:r>
              <w:rPr>
                <w:sz w:val="20"/>
                <w:szCs w:val="20"/>
              </w:rPr>
              <w:t>packs</w:t>
            </w:r>
          </w:p>
        </w:tc>
        <w:tc>
          <w:tcPr>
            <w:tcW w:w="851" w:type="dxa"/>
            <w:shd w:val="clear" w:color="auto" w:fill="BFBFBF" w:themeFill="background1" w:themeFillShade="BF"/>
          </w:tcPr>
          <w:p w14:paraId="68B82DE1" w14:textId="77777777" w:rsidR="00CE214F" w:rsidRPr="00A35800" w:rsidDel="00EE2BBB" w:rsidRDefault="00CE214F" w:rsidP="002439D2">
            <w:pPr>
              <w:pStyle w:val="Tableheading"/>
              <w:rPr>
                <w:sz w:val="20"/>
                <w:szCs w:val="20"/>
              </w:rPr>
            </w:pPr>
            <w:r w:rsidRPr="00A35800" w:rsidDel="00EE2BBB">
              <w:rPr>
                <w:sz w:val="20"/>
                <w:szCs w:val="20"/>
              </w:rPr>
              <w:t>Max. quant.</w:t>
            </w:r>
            <w:r>
              <w:rPr>
                <w:sz w:val="20"/>
                <w:szCs w:val="20"/>
              </w:rPr>
              <w:t xml:space="preserve"> units</w:t>
            </w:r>
          </w:p>
        </w:tc>
        <w:tc>
          <w:tcPr>
            <w:tcW w:w="708" w:type="dxa"/>
            <w:shd w:val="clear" w:color="auto" w:fill="BFBFBF" w:themeFill="background1" w:themeFillShade="BF"/>
          </w:tcPr>
          <w:p w14:paraId="7CC51189" w14:textId="77777777" w:rsidR="00CE214F" w:rsidRPr="00A35800" w:rsidDel="00EE2BBB" w:rsidRDefault="00CE214F" w:rsidP="002439D2">
            <w:pPr>
              <w:pStyle w:val="Tableheading"/>
              <w:rPr>
                <w:sz w:val="20"/>
                <w:szCs w:val="20"/>
              </w:rPr>
            </w:pPr>
            <w:r w:rsidRPr="00A35800" w:rsidDel="00EE2BBB">
              <w:rPr>
                <w:sz w:val="20"/>
                <w:szCs w:val="20"/>
              </w:rPr>
              <w:t xml:space="preserve">Rpts </w:t>
            </w:r>
          </w:p>
        </w:tc>
        <w:tc>
          <w:tcPr>
            <w:tcW w:w="993" w:type="dxa"/>
            <w:shd w:val="clear" w:color="auto" w:fill="BFBFBF" w:themeFill="background1" w:themeFillShade="BF"/>
          </w:tcPr>
          <w:p w14:paraId="2F3EBE30" w14:textId="77777777" w:rsidR="00CE214F" w:rsidRPr="00A35800" w:rsidDel="00EE2BBB" w:rsidRDefault="00CE214F" w:rsidP="002439D2">
            <w:pPr>
              <w:pStyle w:val="Tableheading"/>
              <w:rPr>
                <w:sz w:val="20"/>
                <w:szCs w:val="20"/>
              </w:rPr>
            </w:pPr>
            <w:r w:rsidRPr="00A35800" w:rsidDel="00EE2BBB">
              <w:rPr>
                <w:sz w:val="20"/>
                <w:szCs w:val="20"/>
              </w:rPr>
              <w:t>DPMQ</w:t>
            </w:r>
          </w:p>
        </w:tc>
        <w:tc>
          <w:tcPr>
            <w:tcW w:w="2268" w:type="dxa"/>
            <w:shd w:val="clear" w:color="auto" w:fill="BFBFBF" w:themeFill="background1" w:themeFillShade="BF"/>
          </w:tcPr>
          <w:p w14:paraId="15131660" w14:textId="77777777" w:rsidR="00CE214F" w:rsidRPr="00A35800" w:rsidDel="00EE2BBB" w:rsidRDefault="00CE214F" w:rsidP="002439D2">
            <w:pPr>
              <w:pStyle w:val="Tableheading"/>
              <w:rPr>
                <w:sz w:val="20"/>
                <w:szCs w:val="20"/>
              </w:rPr>
            </w:pPr>
            <w:r w:rsidRPr="00A35800" w:rsidDel="00EE2BBB">
              <w:rPr>
                <w:sz w:val="20"/>
                <w:szCs w:val="20"/>
              </w:rPr>
              <w:t>Brand name and manufacturer</w:t>
            </w:r>
          </w:p>
        </w:tc>
      </w:tr>
      <w:tr w:rsidR="00CE214F" w:rsidRPr="00A35800" w:rsidDel="00EE2BBB" w14:paraId="0C2343DE" w14:textId="77777777" w:rsidTr="002439D2">
        <w:trPr>
          <w:trHeight w:val="552"/>
          <w:tblHeader/>
        </w:trPr>
        <w:tc>
          <w:tcPr>
            <w:tcW w:w="969" w:type="dxa"/>
            <w:shd w:val="clear" w:color="auto" w:fill="auto"/>
          </w:tcPr>
          <w:p w14:paraId="073BA930" w14:textId="5EDD7AA1" w:rsidR="00CE214F" w:rsidRPr="00A35800" w:rsidDel="00EE2BBB" w:rsidRDefault="00CE214F" w:rsidP="002439D2">
            <w:pPr>
              <w:pStyle w:val="Tablewriting"/>
            </w:pPr>
            <w:r w:rsidRPr="00CE214F">
              <w:t>1309X</w:t>
            </w:r>
          </w:p>
        </w:tc>
        <w:tc>
          <w:tcPr>
            <w:tcW w:w="2400" w:type="dxa"/>
            <w:shd w:val="clear" w:color="auto" w:fill="auto"/>
          </w:tcPr>
          <w:p w14:paraId="16D657C7" w14:textId="089BAE1A" w:rsidR="00CE214F" w:rsidRPr="00A35800" w:rsidDel="00EE2BBB" w:rsidRDefault="00CE214F" w:rsidP="002439D2">
            <w:pPr>
              <w:pStyle w:val="Tablewriting"/>
            </w:pPr>
            <w:r w:rsidRPr="00CE214F">
              <w:t>nilotinib 150 mg capsule, 120</w:t>
            </w:r>
          </w:p>
        </w:tc>
        <w:tc>
          <w:tcPr>
            <w:tcW w:w="850" w:type="dxa"/>
            <w:shd w:val="clear" w:color="auto" w:fill="auto"/>
          </w:tcPr>
          <w:p w14:paraId="37F22FC1" w14:textId="24865A0E" w:rsidR="00CE214F" w:rsidRPr="00A35800" w:rsidDel="00EE2BBB" w:rsidRDefault="00CE214F" w:rsidP="002439D2">
            <w:pPr>
              <w:pStyle w:val="Tablewriting"/>
            </w:pPr>
            <w:r>
              <w:t>1</w:t>
            </w:r>
          </w:p>
        </w:tc>
        <w:tc>
          <w:tcPr>
            <w:tcW w:w="851" w:type="dxa"/>
          </w:tcPr>
          <w:p w14:paraId="611EDD5F" w14:textId="2060E590" w:rsidR="00CE214F" w:rsidRPr="00A35800" w:rsidDel="00EE2BBB" w:rsidRDefault="00CE214F" w:rsidP="002439D2">
            <w:pPr>
              <w:pStyle w:val="Tablewriting"/>
            </w:pPr>
            <w:r>
              <w:t>120</w:t>
            </w:r>
          </w:p>
        </w:tc>
        <w:tc>
          <w:tcPr>
            <w:tcW w:w="708" w:type="dxa"/>
            <w:shd w:val="clear" w:color="auto" w:fill="auto"/>
          </w:tcPr>
          <w:p w14:paraId="781F72AE" w14:textId="1A43B922" w:rsidR="00CE214F" w:rsidRPr="00A35800" w:rsidDel="00EE2BBB" w:rsidRDefault="00CE214F" w:rsidP="002439D2">
            <w:pPr>
              <w:pStyle w:val="Tablewriting"/>
            </w:pPr>
            <w:r>
              <w:t>5</w:t>
            </w:r>
          </w:p>
        </w:tc>
        <w:tc>
          <w:tcPr>
            <w:tcW w:w="993" w:type="dxa"/>
            <w:shd w:val="clear" w:color="auto" w:fill="auto"/>
          </w:tcPr>
          <w:p w14:paraId="697F7000" w14:textId="3AEF204E" w:rsidR="00CE214F" w:rsidRPr="00A35800" w:rsidDel="00EE2BBB" w:rsidRDefault="00CE214F" w:rsidP="002439D2">
            <w:pPr>
              <w:pStyle w:val="Tablewriting"/>
            </w:pPr>
            <w:r w:rsidRPr="00CE214F">
              <w:t>$3847.01</w:t>
            </w:r>
          </w:p>
        </w:tc>
        <w:tc>
          <w:tcPr>
            <w:tcW w:w="2268" w:type="dxa"/>
            <w:vMerge w:val="restart"/>
            <w:shd w:val="clear" w:color="auto" w:fill="auto"/>
          </w:tcPr>
          <w:p w14:paraId="1FBC0BF4" w14:textId="5AEC434F" w:rsidR="00CE214F" w:rsidRPr="00A35800" w:rsidDel="00EE2BBB" w:rsidRDefault="00CE214F" w:rsidP="002439D2">
            <w:pPr>
              <w:pStyle w:val="Tablewriting"/>
            </w:pPr>
            <w:r>
              <w:t xml:space="preserve">Tasigna, </w:t>
            </w:r>
            <w:r w:rsidRPr="00CE214F">
              <w:t>Novartis Pharmaceuticals Australia Pty Limited</w:t>
            </w:r>
          </w:p>
        </w:tc>
      </w:tr>
      <w:tr w:rsidR="00CE214F" w:rsidRPr="00A35800" w:rsidDel="00EE2BBB" w14:paraId="3F349479" w14:textId="77777777" w:rsidTr="002439D2">
        <w:trPr>
          <w:trHeight w:val="552"/>
          <w:tblHeader/>
        </w:trPr>
        <w:tc>
          <w:tcPr>
            <w:tcW w:w="969" w:type="dxa"/>
            <w:shd w:val="clear" w:color="auto" w:fill="auto"/>
          </w:tcPr>
          <w:p w14:paraId="3FEF6647" w14:textId="0A5166F2" w:rsidR="00CE214F" w:rsidRPr="00A35800" w:rsidDel="00EE2BBB" w:rsidRDefault="00CE214F" w:rsidP="002439D2">
            <w:pPr>
              <w:pStyle w:val="Tablewriting"/>
            </w:pPr>
            <w:r w:rsidRPr="00CE214F">
              <w:t>9171Q</w:t>
            </w:r>
          </w:p>
        </w:tc>
        <w:tc>
          <w:tcPr>
            <w:tcW w:w="2400" w:type="dxa"/>
            <w:shd w:val="clear" w:color="auto" w:fill="auto"/>
          </w:tcPr>
          <w:p w14:paraId="5E338855" w14:textId="4739FEC2" w:rsidR="00CE214F" w:rsidRPr="00A35800" w:rsidDel="00EE2BBB" w:rsidRDefault="00CE214F" w:rsidP="002439D2">
            <w:pPr>
              <w:pStyle w:val="Tablewriting"/>
            </w:pPr>
            <w:r w:rsidRPr="00CE214F">
              <w:t>nilotinib 200 mg capsule, 120</w:t>
            </w:r>
          </w:p>
        </w:tc>
        <w:tc>
          <w:tcPr>
            <w:tcW w:w="850" w:type="dxa"/>
            <w:shd w:val="clear" w:color="auto" w:fill="auto"/>
          </w:tcPr>
          <w:p w14:paraId="7A021D36" w14:textId="31AF7DFF" w:rsidR="00CE214F" w:rsidRPr="00A35800" w:rsidDel="00EE2BBB" w:rsidRDefault="00CE214F" w:rsidP="002439D2">
            <w:pPr>
              <w:pStyle w:val="Tablewriting"/>
            </w:pPr>
            <w:r>
              <w:t>1</w:t>
            </w:r>
          </w:p>
        </w:tc>
        <w:tc>
          <w:tcPr>
            <w:tcW w:w="851" w:type="dxa"/>
          </w:tcPr>
          <w:p w14:paraId="3E2795E1" w14:textId="40E0C9E5" w:rsidR="00CE214F" w:rsidRPr="00A35800" w:rsidDel="00EE2BBB" w:rsidRDefault="00CE214F" w:rsidP="002439D2">
            <w:pPr>
              <w:pStyle w:val="Tablewriting"/>
            </w:pPr>
            <w:r>
              <w:t>120</w:t>
            </w:r>
          </w:p>
        </w:tc>
        <w:tc>
          <w:tcPr>
            <w:tcW w:w="708" w:type="dxa"/>
            <w:shd w:val="clear" w:color="auto" w:fill="auto"/>
          </w:tcPr>
          <w:p w14:paraId="0FADBCEC" w14:textId="1BA538F2" w:rsidR="00CE214F" w:rsidRPr="00A35800" w:rsidDel="00EE2BBB" w:rsidRDefault="00CE214F" w:rsidP="002439D2">
            <w:pPr>
              <w:pStyle w:val="Tablewriting"/>
            </w:pPr>
            <w:r>
              <w:t>5</w:t>
            </w:r>
          </w:p>
        </w:tc>
        <w:tc>
          <w:tcPr>
            <w:tcW w:w="993" w:type="dxa"/>
            <w:shd w:val="clear" w:color="auto" w:fill="auto"/>
          </w:tcPr>
          <w:p w14:paraId="17355798" w14:textId="0FC7FCA9" w:rsidR="00CE214F" w:rsidRPr="00A35800" w:rsidDel="00EE2BBB" w:rsidRDefault="00CE214F" w:rsidP="002439D2">
            <w:pPr>
              <w:pStyle w:val="Tablewriting"/>
            </w:pPr>
            <w:r w:rsidRPr="00CE214F">
              <w:t>$5047.66</w:t>
            </w:r>
          </w:p>
        </w:tc>
        <w:tc>
          <w:tcPr>
            <w:tcW w:w="2268" w:type="dxa"/>
            <w:vMerge/>
            <w:shd w:val="clear" w:color="auto" w:fill="auto"/>
          </w:tcPr>
          <w:p w14:paraId="746E1BFC" w14:textId="77777777" w:rsidR="00CE214F" w:rsidRPr="00A35800" w:rsidDel="00EE2BBB" w:rsidRDefault="00CE214F" w:rsidP="002439D2">
            <w:pPr>
              <w:pStyle w:val="Tablewriting"/>
            </w:pPr>
          </w:p>
        </w:tc>
      </w:tr>
    </w:tbl>
    <w:p w14:paraId="443F9F2D" w14:textId="1D93060B" w:rsidR="00CE214F" w:rsidRPr="00A35800" w:rsidDel="00EE2BBB" w:rsidRDefault="00CE214F" w:rsidP="00CE214F">
      <w:pPr>
        <w:pStyle w:val="Notes"/>
      </w:pPr>
      <w:r w:rsidRPr="00A35800" w:rsidDel="00EE2BBB">
        <w:t xml:space="preserve">Source: </w:t>
      </w:r>
      <w:r w:rsidDel="00EE2BBB">
        <w:t xml:space="preserve">the </w:t>
      </w:r>
      <w:hyperlink r:id="rId12" w:history="1">
        <w:r w:rsidRPr="001624D7" w:rsidDel="00EE2BBB">
          <w:rPr>
            <w:rStyle w:val="Hyperlink"/>
          </w:rPr>
          <w:t>PBS website</w:t>
        </w:r>
      </w:hyperlink>
      <w:r w:rsidDel="00EE2BBB">
        <w:t xml:space="preserve">.  </w:t>
      </w:r>
    </w:p>
    <w:p w14:paraId="5E94697A" w14:textId="77777777" w:rsidR="0053415A" w:rsidRDefault="0053415A">
      <w:pPr>
        <w:spacing w:line="276" w:lineRule="auto"/>
        <w:rPr>
          <w:b/>
        </w:rPr>
      </w:pPr>
      <w:r>
        <w:br w:type="page"/>
      </w:r>
    </w:p>
    <w:p w14:paraId="0A1651A9" w14:textId="725054E1" w:rsidR="00CE214F" w:rsidRPr="001420B3" w:rsidDel="00EE2BBB" w:rsidRDefault="0053415A" w:rsidP="00CE214F">
      <w:pPr>
        <w:pStyle w:val="Tabletitle"/>
      </w:pPr>
      <w:r>
        <w:lastRenderedPageBreak/>
        <w:t>Table 4</w:t>
      </w:r>
      <w:r w:rsidR="00CE214F" w:rsidRPr="001420B3" w:rsidDel="00EE2BBB">
        <w:t xml:space="preserve">: </w:t>
      </w:r>
      <w:r w:rsidR="00CE214F" w:rsidDel="00EE2BBB">
        <w:t>PB</w:t>
      </w:r>
      <w:r w:rsidR="00CE214F">
        <w:t>S listing of dasatinib</w:t>
      </w:r>
    </w:p>
    <w:tbl>
      <w:tblPr>
        <w:tblStyle w:val="TableGrid"/>
        <w:tblW w:w="9039" w:type="dxa"/>
        <w:tblLayout w:type="fixed"/>
        <w:tblLook w:val="04A0" w:firstRow="1" w:lastRow="0" w:firstColumn="1" w:lastColumn="0" w:noHBand="0" w:noVBand="1"/>
        <w:tblCaption w:val="PBS listing of dasatinib"/>
        <w:tblDescription w:val="PBS listing of dasatinib"/>
      </w:tblPr>
      <w:tblGrid>
        <w:gridCol w:w="969"/>
        <w:gridCol w:w="2400"/>
        <w:gridCol w:w="850"/>
        <w:gridCol w:w="851"/>
        <w:gridCol w:w="708"/>
        <w:gridCol w:w="993"/>
        <w:gridCol w:w="2268"/>
      </w:tblGrid>
      <w:tr w:rsidR="00CE214F" w:rsidRPr="00A35800" w:rsidDel="00EE2BBB" w14:paraId="5C3EFF8C" w14:textId="77777777" w:rsidTr="002439D2">
        <w:trPr>
          <w:trHeight w:val="694"/>
          <w:tblHeader/>
        </w:trPr>
        <w:tc>
          <w:tcPr>
            <w:tcW w:w="969" w:type="dxa"/>
            <w:shd w:val="clear" w:color="auto" w:fill="BFBFBF" w:themeFill="background1" w:themeFillShade="BF"/>
          </w:tcPr>
          <w:p w14:paraId="15476988" w14:textId="77777777" w:rsidR="00CE214F" w:rsidRPr="00A35800" w:rsidDel="00EE2BBB" w:rsidRDefault="00CE214F" w:rsidP="002439D2">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FA85587" w14:textId="77777777" w:rsidR="00CE214F" w:rsidRPr="00A35800" w:rsidDel="00EE2BBB" w:rsidRDefault="00CE214F" w:rsidP="002439D2">
            <w:pPr>
              <w:pStyle w:val="Tableheading"/>
              <w:rPr>
                <w:sz w:val="20"/>
                <w:szCs w:val="20"/>
              </w:rPr>
            </w:pPr>
            <w:r w:rsidRPr="00A35800" w:rsidDel="00EE2BBB">
              <w:rPr>
                <w:sz w:val="20"/>
                <w:szCs w:val="20"/>
              </w:rPr>
              <w:t>Name, form &amp; strength, pack size</w:t>
            </w:r>
          </w:p>
        </w:tc>
        <w:tc>
          <w:tcPr>
            <w:tcW w:w="850" w:type="dxa"/>
            <w:shd w:val="clear" w:color="auto" w:fill="BFBFBF" w:themeFill="background1" w:themeFillShade="BF"/>
          </w:tcPr>
          <w:p w14:paraId="27E6150E" w14:textId="77777777" w:rsidR="00CE214F" w:rsidRPr="00A35800" w:rsidDel="00EE2BBB" w:rsidRDefault="00CE214F" w:rsidP="002439D2">
            <w:pPr>
              <w:pStyle w:val="Tableheading"/>
              <w:rPr>
                <w:sz w:val="20"/>
                <w:szCs w:val="20"/>
              </w:rPr>
            </w:pPr>
            <w:r w:rsidRPr="00A35800" w:rsidDel="00EE2BBB">
              <w:rPr>
                <w:sz w:val="20"/>
                <w:szCs w:val="20"/>
              </w:rPr>
              <w:t xml:space="preserve">Max. quant. </w:t>
            </w:r>
            <w:r>
              <w:rPr>
                <w:sz w:val="20"/>
                <w:szCs w:val="20"/>
              </w:rPr>
              <w:t>packs</w:t>
            </w:r>
          </w:p>
        </w:tc>
        <w:tc>
          <w:tcPr>
            <w:tcW w:w="851" w:type="dxa"/>
            <w:shd w:val="clear" w:color="auto" w:fill="BFBFBF" w:themeFill="background1" w:themeFillShade="BF"/>
          </w:tcPr>
          <w:p w14:paraId="40C27B0D" w14:textId="77777777" w:rsidR="00CE214F" w:rsidRPr="00A35800" w:rsidDel="00EE2BBB" w:rsidRDefault="00CE214F" w:rsidP="002439D2">
            <w:pPr>
              <w:pStyle w:val="Tableheading"/>
              <w:rPr>
                <w:sz w:val="20"/>
                <w:szCs w:val="20"/>
              </w:rPr>
            </w:pPr>
            <w:r w:rsidRPr="00A35800" w:rsidDel="00EE2BBB">
              <w:rPr>
                <w:sz w:val="20"/>
                <w:szCs w:val="20"/>
              </w:rPr>
              <w:t>Max. quant.</w:t>
            </w:r>
            <w:r>
              <w:rPr>
                <w:sz w:val="20"/>
                <w:szCs w:val="20"/>
              </w:rPr>
              <w:t xml:space="preserve"> units</w:t>
            </w:r>
          </w:p>
        </w:tc>
        <w:tc>
          <w:tcPr>
            <w:tcW w:w="708" w:type="dxa"/>
            <w:shd w:val="clear" w:color="auto" w:fill="BFBFBF" w:themeFill="background1" w:themeFillShade="BF"/>
          </w:tcPr>
          <w:p w14:paraId="7FF767B4" w14:textId="77777777" w:rsidR="00CE214F" w:rsidRPr="00A35800" w:rsidDel="00EE2BBB" w:rsidRDefault="00CE214F" w:rsidP="002439D2">
            <w:pPr>
              <w:pStyle w:val="Tableheading"/>
              <w:rPr>
                <w:sz w:val="20"/>
                <w:szCs w:val="20"/>
              </w:rPr>
            </w:pPr>
            <w:r w:rsidRPr="00A35800" w:rsidDel="00EE2BBB">
              <w:rPr>
                <w:sz w:val="20"/>
                <w:szCs w:val="20"/>
              </w:rPr>
              <w:t xml:space="preserve">Rpts </w:t>
            </w:r>
          </w:p>
        </w:tc>
        <w:tc>
          <w:tcPr>
            <w:tcW w:w="993" w:type="dxa"/>
            <w:shd w:val="clear" w:color="auto" w:fill="BFBFBF" w:themeFill="background1" w:themeFillShade="BF"/>
          </w:tcPr>
          <w:p w14:paraId="51525741" w14:textId="77777777" w:rsidR="00CE214F" w:rsidRPr="00A35800" w:rsidDel="00EE2BBB" w:rsidRDefault="00CE214F" w:rsidP="002439D2">
            <w:pPr>
              <w:pStyle w:val="Tableheading"/>
              <w:rPr>
                <w:sz w:val="20"/>
                <w:szCs w:val="20"/>
              </w:rPr>
            </w:pPr>
            <w:r w:rsidRPr="00A35800" w:rsidDel="00EE2BBB">
              <w:rPr>
                <w:sz w:val="20"/>
                <w:szCs w:val="20"/>
              </w:rPr>
              <w:t>DPMQ</w:t>
            </w:r>
          </w:p>
        </w:tc>
        <w:tc>
          <w:tcPr>
            <w:tcW w:w="2268" w:type="dxa"/>
            <w:shd w:val="clear" w:color="auto" w:fill="BFBFBF" w:themeFill="background1" w:themeFillShade="BF"/>
          </w:tcPr>
          <w:p w14:paraId="5EEA43FC" w14:textId="77777777" w:rsidR="00CE214F" w:rsidRPr="00A35800" w:rsidDel="00EE2BBB" w:rsidRDefault="00CE214F" w:rsidP="002439D2">
            <w:pPr>
              <w:pStyle w:val="Tableheading"/>
              <w:rPr>
                <w:sz w:val="20"/>
                <w:szCs w:val="20"/>
              </w:rPr>
            </w:pPr>
            <w:r w:rsidRPr="00A35800" w:rsidDel="00EE2BBB">
              <w:rPr>
                <w:sz w:val="20"/>
                <w:szCs w:val="20"/>
              </w:rPr>
              <w:t>Brand name and manufacturer</w:t>
            </w:r>
          </w:p>
        </w:tc>
      </w:tr>
      <w:tr w:rsidR="00544CBC" w:rsidRPr="00A35800" w:rsidDel="00EE2BBB" w14:paraId="67272812" w14:textId="77777777" w:rsidTr="002439D2">
        <w:trPr>
          <w:trHeight w:val="552"/>
          <w:tblHeader/>
        </w:trPr>
        <w:tc>
          <w:tcPr>
            <w:tcW w:w="969" w:type="dxa"/>
            <w:shd w:val="clear" w:color="auto" w:fill="auto"/>
          </w:tcPr>
          <w:p w14:paraId="77DE985D" w14:textId="3DAF1D70" w:rsidR="00544CBC" w:rsidRPr="00A35800" w:rsidDel="00EE2BBB" w:rsidRDefault="00544CBC" w:rsidP="002439D2">
            <w:pPr>
              <w:pStyle w:val="Tablewriting"/>
            </w:pPr>
            <w:r w:rsidRPr="00CE214F">
              <w:t>1354G</w:t>
            </w:r>
          </w:p>
        </w:tc>
        <w:tc>
          <w:tcPr>
            <w:tcW w:w="2400" w:type="dxa"/>
            <w:shd w:val="clear" w:color="auto" w:fill="auto"/>
          </w:tcPr>
          <w:p w14:paraId="31882750" w14:textId="676FED65" w:rsidR="00544CBC" w:rsidRPr="00A35800" w:rsidDel="00EE2BBB" w:rsidRDefault="00544CBC" w:rsidP="002439D2">
            <w:pPr>
              <w:pStyle w:val="Tablewriting"/>
            </w:pPr>
            <w:r w:rsidRPr="00CE214F">
              <w:t>dasatinib 20 mg tablet, 60</w:t>
            </w:r>
          </w:p>
        </w:tc>
        <w:tc>
          <w:tcPr>
            <w:tcW w:w="850" w:type="dxa"/>
            <w:shd w:val="clear" w:color="auto" w:fill="auto"/>
          </w:tcPr>
          <w:p w14:paraId="4F5907E5" w14:textId="6CFEED83" w:rsidR="00544CBC" w:rsidRPr="00A35800" w:rsidDel="00EE2BBB" w:rsidRDefault="00544CBC" w:rsidP="002439D2">
            <w:pPr>
              <w:pStyle w:val="Tablewriting"/>
            </w:pPr>
            <w:r>
              <w:t>1</w:t>
            </w:r>
          </w:p>
        </w:tc>
        <w:tc>
          <w:tcPr>
            <w:tcW w:w="851" w:type="dxa"/>
          </w:tcPr>
          <w:p w14:paraId="2590C23F" w14:textId="68CBA9B1" w:rsidR="00544CBC" w:rsidRPr="00A35800" w:rsidDel="00EE2BBB" w:rsidRDefault="00544CBC" w:rsidP="002439D2">
            <w:pPr>
              <w:pStyle w:val="Tablewriting"/>
            </w:pPr>
            <w:r>
              <w:t>60</w:t>
            </w:r>
          </w:p>
        </w:tc>
        <w:tc>
          <w:tcPr>
            <w:tcW w:w="708" w:type="dxa"/>
            <w:shd w:val="clear" w:color="auto" w:fill="auto"/>
          </w:tcPr>
          <w:p w14:paraId="3D78AD80" w14:textId="5D96C14B" w:rsidR="00544CBC" w:rsidRPr="00A35800" w:rsidDel="00EE2BBB" w:rsidRDefault="00544CBC" w:rsidP="002439D2">
            <w:pPr>
              <w:pStyle w:val="Tablewriting"/>
            </w:pPr>
            <w:r>
              <w:t>5</w:t>
            </w:r>
          </w:p>
        </w:tc>
        <w:tc>
          <w:tcPr>
            <w:tcW w:w="993" w:type="dxa"/>
            <w:shd w:val="clear" w:color="auto" w:fill="auto"/>
          </w:tcPr>
          <w:p w14:paraId="59A4CD55" w14:textId="5AA15A41" w:rsidR="00544CBC" w:rsidRPr="00A35800" w:rsidDel="00EE2BBB" w:rsidRDefault="00544CBC" w:rsidP="002439D2">
            <w:pPr>
              <w:pStyle w:val="Tablewriting"/>
            </w:pPr>
            <w:r>
              <w:t>$2673.60</w:t>
            </w:r>
          </w:p>
        </w:tc>
        <w:tc>
          <w:tcPr>
            <w:tcW w:w="2268" w:type="dxa"/>
            <w:vMerge w:val="restart"/>
            <w:shd w:val="clear" w:color="auto" w:fill="auto"/>
          </w:tcPr>
          <w:p w14:paraId="6B925080" w14:textId="13600F6A" w:rsidR="00544CBC" w:rsidRPr="00A35800" w:rsidDel="00EE2BBB" w:rsidRDefault="00544CBC" w:rsidP="002439D2">
            <w:pPr>
              <w:pStyle w:val="Tablewriting"/>
            </w:pPr>
            <w:r>
              <w:t xml:space="preserve">Sprycel, </w:t>
            </w:r>
            <w:r w:rsidRPr="00CE214F">
              <w:t>Bristol-Myers Squibb Australia Pty Ltd</w:t>
            </w:r>
          </w:p>
        </w:tc>
      </w:tr>
      <w:tr w:rsidR="00544CBC" w:rsidRPr="00A35800" w:rsidDel="00EE2BBB" w14:paraId="00DAEEF2" w14:textId="77777777" w:rsidTr="002439D2">
        <w:trPr>
          <w:trHeight w:val="552"/>
          <w:tblHeader/>
        </w:trPr>
        <w:tc>
          <w:tcPr>
            <w:tcW w:w="969" w:type="dxa"/>
            <w:shd w:val="clear" w:color="auto" w:fill="auto"/>
          </w:tcPr>
          <w:p w14:paraId="20343F4F" w14:textId="1890308E" w:rsidR="00544CBC" w:rsidRPr="00CE214F" w:rsidRDefault="00544CBC" w:rsidP="00544CBC">
            <w:pPr>
              <w:pStyle w:val="Tablewriting"/>
            </w:pPr>
            <w:r w:rsidRPr="00544CBC">
              <w:t>2478K</w:t>
            </w:r>
          </w:p>
        </w:tc>
        <w:tc>
          <w:tcPr>
            <w:tcW w:w="2400" w:type="dxa"/>
            <w:shd w:val="clear" w:color="auto" w:fill="auto"/>
          </w:tcPr>
          <w:p w14:paraId="0F6D7845" w14:textId="524CFFDA" w:rsidR="00544CBC" w:rsidRPr="00CE214F" w:rsidRDefault="00544CBC" w:rsidP="00544CBC">
            <w:pPr>
              <w:pStyle w:val="Tablewriting"/>
            </w:pPr>
            <w:r w:rsidRPr="00CE214F">
              <w:t>dasatinib 20 mg tablet, 60</w:t>
            </w:r>
          </w:p>
        </w:tc>
        <w:tc>
          <w:tcPr>
            <w:tcW w:w="850" w:type="dxa"/>
            <w:shd w:val="clear" w:color="auto" w:fill="auto"/>
          </w:tcPr>
          <w:p w14:paraId="75ABA161" w14:textId="6F002928" w:rsidR="00544CBC" w:rsidRDefault="00544CBC" w:rsidP="00544CBC">
            <w:pPr>
              <w:pStyle w:val="Tablewriting"/>
            </w:pPr>
            <w:r>
              <w:t>1</w:t>
            </w:r>
          </w:p>
        </w:tc>
        <w:tc>
          <w:tcPr>
            <w:tcW w:w="851" w:type="dxa"/>
          </w:tcPr>
          <w:p w14:paraId="545AF22C" w14:textId="7437D100" w:rsidR="00544CBC" w:rsidRDefault="00544CBC" w:rsidP="00544CBC">
            <w:pPr>
              <w:pStyle w:val="Tablewriting"/>
            </w:pPr>
            <w:r>
              <w:t>60</w:t>
            </w:r>
          </w:p>
        </w:tc>
        <w:tc>
          <w:tcPr>
            <w:tcW w:w="708" w:type="dxa"/>
            <w:shd w:val="clear" w:color="auto" w:fill="auto"/>
          </w:tcPr>
          <w:p w14:paraId="400961D1" w14:textId="1C59D561" w:rsidR="00544CBC" w:rsidRDefault="00544CBC" w:rsidP="00544CBC">
            <w:pPr>
              <w:pStyle w:val="Tablewriting"/>
            </w:pPr>
            <w:r>
              <w:t>5</w:t>
            </w:r>
          </w:p>
        </w:tc>
        <w:tc>
          <w:tcPr>
            <w:tcW w:w="993" w:type="dxa"/>
            <w:shd w:val="clear" w:color="auto" w:fill="auto"/>
          </w:tcPr>
          <w:p w14:paraId="42FA74FA" w14:textId="3D5B9EC3" w:rsidR="00544CBC" w:rsidRDefault="00544CBC" w:rsidP="00544CBC">
            <w:pPr>
              <w:pStyle w:val="Tablewriting"/>
            </w:pPr>
            <w:r>
              <w:t>$2673.60</w:t>
            </w:r>
          </w:p>
        </w:tc>
        <w:tc>
          <w:tcPr>
            <w:tcW w:w="2268" w:type="dxa"/>
            <w:vMerge/>
            <w:shd w:val="clear" w:color="auto" w:fill="auto"/>
          </w:tcPr>
          <w:p w14:paraId="1D6683CC" w14:textId="77777777" w:rsidR="00544CBC" w:rsidRDefault="00544CBC" w:rsidP="00544CBC">
            <w:pPr>
              <w:pStyle w:val="Tablewriting"/>
            </w:pPr>
          </w:p>
        </w:tc>
      </w:tr>
      <w:tr w:rsidR="00544CBC" w:rsidRPr="00A35800" w:rsidDel="00EE2BBB" w14:paraId="0531D7DC" w14:textId="77777777" w:rsidTr="002439D2">
        <w:trPr>
          <w:trHeight w:val="552"/>
          <w:tblHeader/>
        </w:trPr>
        <w:tc>
          <w:tcPr>
            <w:tcW w:w="969" w:type="dxa"/>
            <w:shd w:val="clear" w:color="auto" w:fill="auto"/>
          </w:tcPr>
          <w:p w14:paraId="64393831" w14:textId="37E54604" w:rsidR="00544CBC" w:rsidRPr="00A35800" w:rsidDel="00EE2BBB" w:rsidRDefault="00544CBC" w:rsidP="002439D2">
            <w:pPr>
              <w:pStyle w:val="Tablewriting"/>
            </w:pPr>
            <w:r w:rsidRPr="00CE214F">
              <w:t>1381Q</w:t>
            </w:r>
          </w:p>
        </w:tc>
        <w:tc>
          <w:tcPr>
            <w:tcW w:w="2400" w:type="dxa"/>
            <w:shd w:val="clear" w:color="auto" w:fill="auto"/>
          </w:tcPr>
          <w:p w14:paraId="022DA119" w14:textId="54E00B0B" w:rsidR="00544CBC" w:rsidRPr="00A35800" w:rsidDel="00EE2BBB" w:rsidRDefault="00544CBC" w:rsidP="002439D2">
            <w:pPr>
              <w:pStyle w:val="Tablewriting"/>
            </w:pPr>
            <w:r w:rsidRPr="00CE214F">
              <w:t>dasatinib 50 mg tablet, 60</w:t>
            </w:r>
          </w:p>
        </w:tc>
        <w:tc>
          <w:tcPr>
            <w:tcW w:w="850" w:type="dxa"/>
            <w:shd w:val="clear" w:color="auto" w:fill="auto"/>
          </w:tcPr>
          <w:p w14:paraId="2B89E1C6" w14:textId="2C8480EA" w:rsidR="00544CBC" w:rsidRPr="00A35800" w:rsidDel="00EE2BBB" w:rsidRDefault="00544CBC" w:rsidP="002439D2">
            <w:pPr>
              <w:pStyle w:val="Tablewriting"/>
            </w:pPr>
            <w:r>
              <w:t>1</w:t>
            </w:r>
          </w:p>
        </w:tc>
        <w:tc>
          <w:tcPr>
            <w:tcW w:w="851" w:type="dxa"/>
          </w:tcPr>
          <w:p w14:paraId="63A72A6B" w14:textId="694A0BD6" w:rsidR="00544CBC" w:rsidRPr="00A35800" w:rsidDel="00EE2BBB" w:rsidRDefault="00544CBC" w:rsidP="002439D2">
            <w:pPr>
              <w:pStyle w:val="Tablewriting"/>
            </w:pPr>
            <w:r>
              <w:t>60</w:t>
            </w:r>
          </w:p>
        </w:tc>
        <w:tc>
          <w:tcPr>
            <w:tcW w:w="708" w:type="dxa"/>
            <w:shd w:val="clear" w:color="auto" w:fill="auto"/>
          </w:tcPr>
          <w:p w14:paraId="1F133246" w14:textId="376F3C20" w:rsidR="00544CBC" w:rsidRPr="00A35800" w:rsidDel="00EE2BBB" w:rsidRDefault="00544CBC" w:rsidP="002439D2">
            <w:pPr>
              <w:pStyle w:val="Tablewriting"/>
            </w:pPr>
            <w:r>
              <w:t>5</w:t>
            </w:r>
          </w:p>
        </w:tc>
        <w:tc>
          <w:tcPr>
            <w:tcW w:w="993" w:type="dxa"/>
            <w:shd w:val="clear" w:color="auto" w:fill="auto"/>
          </w:tcPr>
          <w:p w14:paraId="3E7C7462" w14:textId="7D9D777C" w:rsidR="00544CBC" w:rsidRPr="00A35800" w:rsidDel="00EE2BBB" w:rsidRDefault="00544CBC" w:rsidP="002439D2">
            <w:pPr>
              <w:pStyle w:val="Tablewriting"/>
            </w:pPr>
            <w:r w:rsidRPr="00CE214F">
              <w:t>$4305.23</w:t>
            </w:r>
          </w:p>
        </w:tc>
        <w:tc>
          <w:tcPr>
            <w:tcW w:w="2268" w:type="dxa"/>
            <w:vMerge/>
            <w:shd w:val="clear" w:color="auto" w:fill="auto"/>
          </w:tcPr>
          <w:p w14:paraId="47899BFB" w14:textId="77777777" w:rsidR="00544CBC" w:rsidRPr="00A35800" w:rsidDel="00EE2BBB" w:rsidRDefault="00544CBC" w:rsidP="002439D2">
            <w:pPr>
              <w:pStyle w:val="Tablewriting"/>
            </w:pPr>
          </w:p>
        </w:tc>
      </w:tr>
      <w:tr w:rsidR="00544CBC" w:rsidRPr="00A35800" w:rsidDel="00EE2BBB" w14:paraId="15A04BFE" w14:textId="77777777" w:rsidTr="002439D2">
        <w:trPr>
          <w:trHeight w:val="552"/>
          <w:tblHeader/>
        </w:trPr>
        <w:tc>
          <w:tcPr>
            <w:tcW w:w="969" w:type="dxa"/>
            <w:shd w:val="clear" w:color="auto" w:fill="auto"/>
          </w:tcPr>
          <w:p w14:paraId="072473B1" w14:textId="68FB1AC1" w:rsidR="00544CBC" w:rsidRPr="00CE214F" w:rsidRDefault="00544CBC" w:rsidP="00544CBC">
            <w:pPr>
              <w:pStyle w:val="Tablewriting"/>
            </w:pPr>
            <w:r w:rsidRPr="00544CBC">
              <w:t>2482P</w:t>
            </w:r>
          </w:p>
        </w:tc>
        <w:tc>
          <w:tcPr>
            <w:tcW w:w="2400" w:type="dxa"/>
            <w:shd w:val="clear" w:color="auto" w:fill="auto"/>
          </w:tcPr>
          <w:p w14:paraId="1C7700EE" w14:textId="5265CDCF" w:rsidR="00544CBC" w:rsidRPr="00CE214F" w:rsidRDefault="00544CBC" w:rsidP="00544CBC">
            <w:pPr>
              <w:pStyle w:val="Tablewriting"/>
            </w:pPr>
            <w:r w:rsidRPr="00CE214F">
              <w:t>dasatinib 50 mg tablet, 60</w:t>
            </w:r>
          </w:p>
        </w:tc>
        <w:tc>
          <w:tcPr>
            <w:tcW w:w="850" w:type="dxa"/>
            <w:shd w:val="clear" w:color="auto" w:fill="auto"/>
          </w:tcPr>
          <w:p w14:paraId="1C6B63B5" w14:textId="26956035" w:rsidR="00544CBC" w:rsidRDefault="00544CBC" w:rsidP="00544CBC">
            <w:pPr>
              <w:pStyle w:val="Tablewriting"/>
            </w:pPr>
            <w:r>
              <w:t>1</w:t>
            </w:r>
          </w:p>
        </w:tc>
        <w:tc>
          <w:tcPr>
            <w:tcW w:w="851" w:type="dxa"/>
          </w:tcPr>
          <w:p w14:paraId="5EDCE7E6" w14:textId="4B989B35" w:rsidR="00544CBC" w:rsidRDefault="00544CBC" w:rsidP="00544CBC">
            <w:pPr>
              <w:pStyle w:val="Tablewriting"/>
            </w:pPr>
            <w:r>
              <w:t>60</w:t>
            </w:r>
          </w:p>
        </w:tc>
        <w:tc>
          <w:tcPr>
            <w:tcW w:w="708" w:type="dxa"/>
            <w:shd w:val="clear" w:color="auto" w:fill="auto"/>
          </w:tcPr>
          <w:p w14:paraId="5BB957E4" w14:textId="388724CF" w:rsidR="00544CBC" w:rsidRDefault="00544CBC" w:rsidP="00544CBC">
            <w:pPr>
              <w:pStyle w:val="Tablewriting"/>
            </w:pPr>
            <w:r>
              <w:t>5</w:t>
            </w:r>
          </w:p>
        </w:tc>
        <w:tc>
          <w:tcPr>
            <w:tcW w:w="993" w:type="dxa"/>
            <w:shd w:val="clear" w:color="auto" w:fill="auto"/>
          </w:tcPr>
          <w:p w14:paraId="706DB0E6" w14:textId="339BE9E6" w:rsidR="00544CBC" w:rsidRPr="00CE214F" w:rsidRDefault="00544CBC" w:rsidP="00544CBC">
            <w:pPr>
              <w:pStyle w:val="Tablewriting"/>
            </w:pPr>
            <w:r w:rsidRPr="00CE214F">
              <w:t>$4305.23</w:t>
            </w:r>
          </w:p>
        </w:tc>
        <w:tc>
          <w:tcPr>
            <w:tcW w:w="2268" w:type="dxa"/>
            <w:vMerge/>
            <w:shd w:val="clear" w:color="auto" w:fill="auto"/>
          </w:tcPr>
          <w:p w14:paraId="3B28570C" w14:textId="77777777" w:rsidR="00544CBC" w:rsidRPr="00A35800" w:rsidDel="00EE2BBB" w:rsidRDefault="00544CBC" w:rsidP="00544CBC">
            <w:pPr>
              <w:pStyle w:val="Tablewriting"/>
            </w:pPr>
          </w:p>
        </w:tc>
      </w:tr>
      <w:tr w:rsidR="00544CBC" w:rsidRPr="00A35800" w:rsidDel="00EE2BBB" w14:paraId="69E10214" w14:textId="77777777" w:rsidTr="002439D2">
        <w:trPr>
          <w:trHeight w:val="552"/>
          <w:tblHeader/>
        </w:trPr>
        <w:tc>
          <w:tcPr>
            <w:tcW w:w="969" w:type="dxa"/>
            <w:shd w:val="clear" w:color="auto" w:fill="auto"/>
          </w:tcPr>
          <w:p w14:paraId="6432C712" w14:textId="13314245" w:rsidR="00544CBC" w:rsidRPr="00A35800" w:rsidDel="00EE2BBB" w:rsidRDefault="00544CBC" w:rsidP="00CE214F">
            <w:pPr>
              <w:pStyle w:val="Tablewriting"/>
            </w:pPr>
            <w:r w:rsidRPr="00CE214F">
              <w:t>1415L</w:t>
            </w:r>
          </w:p>
        </w:tc>
        <w:tc>
          <w:tcPr>
            <w:tcW w:w="2400" w:type="dxa"/>
            <w:shd w:val="clear" w:color="auto" w:fill="auto"/>
          </w:tcPr>
          <w:p w14:paraId="0B0BE791" w14:textId="4A21365C" w:rsidR="00544CBC" w:rsidRPr="00A35800" w:rsidDel="00EE2BBB" w:rsidRDefault="00544CBC" w:rsidP="00CE214F">
            <w:pPr>
              <w:pStyle w:val="Tablewriting"/>
            </w:pPr>
            <w:r w:rsidRPr="00CE214F">
              <w:t>dasatinib 70 mg tablet, 60</w:t>
            </w:r>
          </w:p>
        </w:tc>
        <w:tc>
          <w:tcPr>
            <w:tcW w:w="850" w:type="dxa"/>
            <w:shd w:val="clear" w:color="auto" w:fill="auto"/>
          </w:tcPr>
          <w:p w14:paraId="62BF59F9" w14:textId="582DC93D" w:rsidR="00544CBC" w:rsidRPr="00A35800" w:rsidDel="00EE2BBB" w:rsidRDefault="00544CBC" w:rsidP="00CE214F">
            <w:pPr>
              <w:pStyle w:val="Tablewriting"/>
            </w:pPr>
            <w:r>
              <w:t>1</w:t>
            </w:r>
          </w:p>
        </w:tc>
        <w:tc>
          <w:tcPr>
            <w:tcW w:w="851" w:type="dxa"/>
          </w:tcPr>
          <w:p w14:paraId="61EB9D6A" w14:textId="6F8E0A31" w:rsidR="00544CBC" w:rsidRPr="00A35800" w:rsidDel="00EE2BBB" w:rsidRDefault="00544CBC" w:rsidP="00CE214F">
            <w:pPr>
              <w:pStyle w:val="Tablewriting"/>
            </w:pPr>
            <w:r>
              <w:t>60</w:t>
            </w:r>
          </w:p>
        </w:tc>
        <w:tc>
          <w:tcPr>
            <w:tcW w:w="708" w:type="dxa"/>
            <w:shd w:val="clear" w:color="auto" w:fill="auto"/>
          </w:tcPr>
          <w:p w14:paraId="2702E44B" w14:textId="3729DC42" w:rsidR="00544CBC" w:rsidRPr="00A35800" w:rsidDel="00EE2BBB" w:rsidRDefault="00544CBC" w:rsidP="00CE214F">
            <w:pPr>
              <w:pStyle w:val="Tablewriting"/>
            </w:pPr>
            <w:r>
              <w:t>5</w:t>
            </w:r>
          </w:p>
        </w:tc>
        <w:tc>
          <w:tcPr>
            <w:tcW w:w="993" w:type="dxa"/>
            <w:shd w:val="clear" w:color="auto" w:fill="auto"/>
          </w:tcPr>
          <w:p w14:paraId="34FCE398" w14:textId="4CD7CB4A" w:rsidR="00544CBC" w:rsidRPr="00A35800" w:rsidDel="00EE2BBB" w:rsidRDefault="00544CBC" w:rsidP="00CE214F">
            <w:pPr>
              <w:pStyle w:val="Tablewriting"/>
            </w:pPr>
            <w:r>
              <w:t>$5293.95</w:t>
            </w:r>
          </w:p>
        </w:tc>
        <w:tc>
          <w:tcPr>
            <w:tcW w:w="2268" w:type="dxa"/>
            <w:vMerge/>
            <w:shd w:val="clear" w:color="auto" w:fill="auto"/>
          </w:tcPr>
          <w:p w14:paraId="64B40998" w14:textId="77777777" w:rsidR="00544CBC" w:rsidRPr="00A35800" w:rsidDel="00EE2BBB" w:rsidRDefault="00544CBC" w:rsidP="00CE214F">
            <w:pPr>
              <w:pStyle w:val="Tablewriting"/>
            </w:pPr>
          </w:p>
        </w:tc>
      </w:tr>
      <w:tr w:rsidR="00544CBC" w:rsidRPr="00A35800" w:rsidDel="00EE2BBB" w14:paraId="2E41C269" w14:textId="77777777" w:rsidTr="002439D2">
        <w:trPr>
          <w:trHeight w:val="552"/>
          <w:tblHeader/>
        </w:trPr>
        <w:tc>
          <w:tcPr>
            <w:tcW w:w="969" w:type="dxa"/>
            <w:shd w:val="clear" w:color="auto" w:fill="auto"/>
          </w:tcPr>
          <w:p w14:paraId="24072D63" w14:textId="7712DE99" w:rsidR="00544CBC" w:rsidRPr="00CE214F" w:rsidRDefault="00544CBC" w:rsidP="00544CBC">
            <w:pPr>
              <w:pStyle w:val="Tablewriting"/>
            </w:pPr>
            <w:r w:rsidRPr="00544CBC">
              <w:t>2485T</w:t>
            </w:r>
          </w:p>
        </w:tc>
        <w:tc>
          <w:tcPr>
            <w:tcW w:w="2400" w:type="dxa"/>
            <w:shd w:val="clear" w:color="auto" w:fill="auto"/>
          </w:tcPr>
          <w:p w14:paraId="4264E8CF" w14:textId="0AE231DE" w:rsidR="00544CBC" w:rsidRPr="00CE214F" w:rsidRDefault="00544CBC" w:rsidP="00544CBC">
            <w:pPr>
              <w:pStyle w:val="Tablewriting"/>
            </w:pPr>
            <w:r w:rsidRPr="00CE214F">
              <w:t>dasatinib 70 mg tablet, 60</w:t>
            </w:r>
          </w:p>
        </w:tc>
        <w:tc>
          <w:tcPr>
            <w:tcW w:w="850" w:type="dxa"/>
            <w:shd w:val="clear" w:color="auto" w:fill="auto"/>
          </w:tcPr>
          <w:p w14:paraId="34442FBB" w14:textId="229FCABF" w:rsidR="00544CBC" w:rsidRDefault="00544CBC" w:rsidP="00544CBC">
            <w:pPr>
              <w:pStyle w:val="Tablewriting"/>
            </w:pPr>
            <w:r>
              <w:t>1</w:t>
            </w:r>
          </w:p>
        </w:tc>
        <w:tc>
          <w:tcPr>
            <w:tcW w:w="851" w:type="dxa"/>
          </w:tcPr>
          <w:p w14:paraId="36E7ED4E" w14:textId="6731C498" w:rsidR="00544CBC" w:rsidRDefault="00544CBC" w:rsidP="00544CBC">
            <w:pPr>
              <w:pStyle w:val="Tablewriting"/>
            </w:pPr>
            <w:r>
              <w:t>60</w:t>
            </w:r>
          </w:p>
        </w:tc>
        <w:tc>
          <w:tcPr>
            <w:tcW w:w="708" w:type="dxa"/>
            <w:shd w:val="clear" w:color="auto" w:fill="auto"/>
          </w:tcPr>
          <w:p w14:paraId="7A87910A" w14:textId="7B4FF8CC" w:rsidR="00544CBC" w:rsidRDefault="00544CBC" w:rsidP="00544CBC">
            <w:pPr>
              <w:pStyle w:val="Tablewriting"/>
            </w:pPr>
            <w:r>
              <w:t>5</w:t>
            </w:r>
          </w:p>
        </w:tc>
        <w:tc>
          <w:tcPr>
            <w:tcW w:w="993" w:type="dxa"/>
            <w:shd w:val="clear" w:color="auto" w:fill="auto"/>
          </w:tcPr>
          <w:p w14:paraId="3DD42651" w14:textId="4608946F" w:rsidR="00544CBC" w:rsidRDefault="00544CBC" w:rsidP="00544CBC">
            <w:pPr>
              <w:pStyle w:val="Tablewriting"/>
            </w:pPr>
            <w:r>
              <w:t>$5293.95</w:t>
            </w:r>
          </w:p>
        </w:tc>
        <w:tc>
          <w:tcPr>
            <w:tcW w:w="2268" w:type="dxa"/>
            <w:vMerge/>
            <w:shd w:val="clear" w:color="auto" w:fill="auto"/>
          </w:tcPr>
          <w:p w14:paraId="0ECECAAB" w14:textId="77777777" w:rsidR="00544CBC" w:rsidRPr="00A35800" w:rsidDel="00EE2BBB" w:rsidRDefault="00544CBC" w:rsidP="00544CBC">
            <w:pPr>
              <w:pStyle w:val="Tablewriting"/>
            </w:pPr>
          </w:p>
        </w:tc>
      </w:tr>
      <w:tr w:rsidR="00544CBC" w:rsidRPr="00A35800" w:rsidDel="00EE2BBB" w14:paraId="613660E9" w14:textId="77777777" w:rsidTr="002439D2">
        <w:trPr>
          <w:trHeight w:val="552"/>
          <w:tblHeader/>
        </w:trPr>
        <w:tc>
          <w:tcPr>
            <w:tcW w:w="969" w:type="dxa"/>
            <w:shd w:val="clear" w:color="auto" w:fill="auto"/>
          </w:tcPr>
          <w:p w14:paraId="7819AEC0" w14:textId="6FC65681" w:rsidR="00544CBC" w:rsidRPr="00A35800" w:rsidDel="00EE2BBB" w:rsidRDefault="00544CBC" w:rsidP="00544CBC">
            <w:pPr>
              <w:pStyle w:val="Tablewriting"/>
            </w:pPr>
            <w:r w:rsidRPr="00CE214F">
              <w:t>1416M</w:t>
            </w:r>
          </w:p>
        </w:tc>
        <w:tc>
          <w:tcPr>
            <w:tcW w:w="2400" w:type="dxa"/>
            <w:shd w:val="clear" w:color="auto" w:fill="auto"/>
          </w:tcPr>
          <w:p w14:paraId="0C51F4C3" w14:textId="2225CE8B" w:rsidR="00544CBC" w:rsidRPr="00A35800" w:rsidDel="00EE2BBB" w:rsidRDefault="00544CBC" w:rsidP="00544CBC">
            <w:pPr>
              <w:pStyle w:val="Tablewriting"/>
            </w:pPr>
            <w:r w:rsidRPr="00CE214F">
              <w:t>dasatinib 100 mg tablet, 30</w:t>
            </w:r>
          </w:p>
        </w:tc>
        <w:tc>
          <w:tcPr>
            <w:tcW w:w="850" w:type="dxa"/>
            <w:shd w:val="clear" w:color="auto" w:fill="auto"/>
          </w:tcPr>
          <w:p w14:paraId="3F279DCE" w14:textId="2BEF1DCF" w:rsidR="00544CBC" w:rsidRPr="00A35800" w:rsidDel="00EE2BBB" w:rsidRDefault="00544CBC" w:rsidP="00544CBC">
            <w:pPr>
              <w:pStyle w:val="Tablewriting"/>
            </w:pPr>
            <w:r>
              <w:t>1</w:t>
            </w:r>
          </w:p>
        </w:tc>
        <w:tc>
          <w:tcPr>
            <w:tcW w:w="851" w:type="dxa"/>
          </w:tcPr>
          <w:p w14:paraId="6DDDADD1" w14:textId="40DB3371" w:rsidR="00544CBC" w:rsidRPr="00A35800" w:rsidDel="00EE2BBB" w:rsidRDefault="00544CBC" w:rsidP="00544CBC">
            <w:pPr>
              <w:pStyle w:val="Tablewriting"/>
            </w:pPr>
            <w:r>
              <w:t>30</w:t>
            </w:r>
          </w:p>
        </w:tc>
        <w:tc>
          <w:tcPr>
            <w:tcW w:w="708" w:type="dxa"/>
            <w:shd w:val="clear" w:color="auto" w:fill="auto"/>
          </w:tcPr>
          <w:p w14:paraId="6C621DCA" w14:textId="24FA736E" w:rsidR="00544CBC" w:rsidRPr="00A35800" w:rsidDel="00EE2BBB" w:rsidRDefault="00544CBC" w:rsidP="00544CBC">
            <w:pPr>
              <w:pStyle w:val="Tablewriting"/>
            </w:pPr>
            <w:r>
              <w:t>5</w:t>
            </w:r>
          </w:p>
        </w:tc>
        <w:tc>
          <w:tcPr>
            <w:tcW w:w="993" w:type="dxa"/>
            <w:shd w:val="clear" w:color="auto" w:fill="auto"/>
          </w:tcPr>
          <w:p w14:paraId="0B1DB9C2" w14:textId="47CD7831" w:rsidR="00544CBC" w:rsidRPr="00A35800" w:rsidDel="00EE2BBB" w:rsidRDefault="00544CBC" w:rsidP="00544CBC">
            <w:pPr>
              <w:pStyle w:val="Tablewriting"/>
            </w:pPr>
            <w:r>
              <w:t>$4305.23</w:t>
            </w:r>
          </w:p>
        </w:tc>
        <w:tc>
          <w:tcPr>
            <w:tcW w:w="2268" w:type="dxa"/>
            <w:vMerge/>
            <w:shd w:val="clear" w:color="auto" w:fill="auto"/>
          </w:tcPr>
          <w:p w14:paraId="0E6C0632" w14:textId="77777777" w:rsidR="00544CBC" w:rsidRPr="00A35800" w:rsidDel="00EE2BBB" w:rsidRDefault="00544CBC" w:rsidP="00544CBC">
            <w:pPr>
              <w:pStyle w:val="Tablewriting"/>
            </w:pPr>
          </w:p>
        </w:tc>
      </w:tr>
      <w:tr w:rsidR="00544CBC" w:rsidRPr="00A35800" w:rsidDel="00EE2BBB" w14:paraId="029BA505" w14:textId="77777777" w:rsidTr="002439D2">
        <w:trPr>
          <w:trHeight w:val="552"/>
          <w:tblHeader/>
        </w:trPr>
        <w:tc>
          <w:tcPr>
            <w:tcW w:w="969" w:type="dxa"/>
            <w:shd w:val="clear" w:color="auto" w:fill="auto"/>
          </w:tcPr>
          <w:p w14:paraId="7E30C60C" w14:textId="35BAA166" w:rsidR="00544CBC" w:rsidRPr="00CE214F" w:rsidRDefault="00544CBC" w:rsidP="00544CBC">
            <w:pPr>
              <w:pStyle w:val="Tablewriting"/>
            </w:pPr>
            <w:r w:rsidRPr="00544CBC">
              <w:t>9342Q</w:t>
            </w:r>
          </w:p>
        </w:tc>
        <w:tc>
          <w:tcPr>
            <w:tcW w:w="2400" w:type="dxa"/>
            <w:shd w:val="clear" w:color="auto" w:fill="auto"/>
          </w:tcPr>
          <w:p w14:paraId="302AC0C8" w14:textId="6426F2ED" w:rsidR="00544CBC" w:rsidRPr="00A35800" w:rsidDel="00EE2BBB" w:rsidRDefault="00544CBC" w:rsidP="00544CBC">
            <w:pPr>
              <w:pStyle w:val="Tablewriting"/>
            </w:pPr>
            <w:r w:rsidRPr="00CE214F">
              <w:t>dasatinib 100 mg tablet, 30</w:t>
            </w:r>
          </w:p>
        </w:tc>
        <w:tc>
          <w:tcPr>
            <w:tcW w:w="850" w:type="dxa"/>
            <w:shd w:val="clear" w:color="auto" w:fill="auto"/>
          </w:tcPr>
          <w:p w14:paraId="73328D66" w14:textId="45425845" w:rsidR="00544CBC" w:rsidRPr="00A35800" w:rsidDel="00EE2BBB" w:rsidRDefault="00544CBC" w:rsidP="00544CBC">
            <w:pPr>
              <w:pStyle w:val="Tablewriting"/>
            </w:pPr>
            <w:r>
              <w:t>1</w:t>
            </w:r>
          </w:p>
        </w:tc>
        <w:tc>
          <w:tcPr>
            <w:tcW w:w="851" w:type="dxa"/>
          </w:tcPr>
          <w:p w14:paraId="75676C9A" w14:textId="1D4137AB" w:rsidR="00544CBC" w:rsidRPr="00A35800" w:rsidDel="00EE2BBB" w:rsidRDefault="00544CBC" w:rsidP="00544CBC">
            <w:pPr>
              <w:pStyle w:val="Tablewriting"/>
            </w:pPr>
            <w:r>
              <w:t>30</w:t>
            </w:r>
          </w:p>
        </w:tc>
        <w:tc>
          <w:tcPr>
            <w:tcW w:w="708" w:type="dxa"/>
            <w:shd w:val="clear" w:color="auto" w:fill="auto"/>
          </w:tcPr>
          <w:p w14:paraId="1BBE352D" w14:textId="6A016479" w:rsidR="00544CBC" w:rsidRPr="00A35800" w:rsidDel="00EE2BBB" w:rsidRDefault="00544CBC" w:rsidP="00544CBC">
            <w:pPr>
              <w:pStyle w:val="Tablewriting"/>
            </w:pPr>
            <w:r>
              <w:t>5</w:t>
            </w:r>
          </w:p>
        </w:tc>
        <w:tc>
          <w:tcPr>
            <w:tcW w:w="993" w:type="dxa"/>
            <w:shd w:val="clear" w:color="auto" w:fill="auto"/>
          </w:tcPr>
          <w:p w14:paraId="6B0AC21B" w14:textId="52786F7D" w:rsidR="00544CBC" w:rsidRPr="00A35800" w:rsidDel="00EE2BBB" w:rsidRDefault="00544CBC" w:rsidP="00544CBC">
            <w:pPr>
              <w:pStyle w:val="Tablewriting"/>
            </w:pPr>
            <w:r>
              <w:t>$4305.23</w:t>
            </w:r>
          </w:p>
        </w:tc>
        <w:tc>
          <w:tcPr>
            <w:tcW w:w="2268" w:type="dxa"/>
            <w:vMerge/>
            <w:shd w:val="clear" w:color="auto" w:fill="auto"/>
          </w:tcPr>
          <w:p w14:paraId="31D63AD4" w14:textId="492CED92" w:rsidR="00544CBC" w:rsidRPr="00A35800" w:rsidDel="00EE2BBB" w:rsidRDefault="00544CBC" w:rsidP="00544CBC">
            <w:pPr>
              <w:pStyle w:val="Tablewriting"/>
            </w:pPr>
          </w:p>
        </w:tc>
      </w:tr>
    </w:tbl>
    <w:p w14:paraId="14B5A0B7" w14:textId="00E72507" w:rsidR="00CE214F" w:rsidRPr="00A35800" w:rsidDel="00EE2BBB" w:rsidRDefault="00CE214F" w:rsidP="00CE214F">
      <w:pPr>
        <w:pStyle w:val="Notes"/>
      </w:pPr>
      <w:r w:rsidRPr="00A35800" w:rsidDel="00EE2BBB">
        <w:t xml:space="preserve">Source: </w:t>
      </w:r>
      <w:r w:rsidDel="00EE2BBB">
        <w:t xml:space="preserve">the </w:t>
      </w:r>
      <w:hyperlink r:id="rId13" w:history="1">
        <w:r w:rsidRPr="001624D7" w:rsidDel="00EE2BBB">
          <w:rPr>
            <w:rStyle w:val="Hyperlink"/>
          </w:rPr>
          <w:t>PBS website</w:t>
        </w:r>
      </w:hyperlink>
      <w:r w:rsidDel="00EE2BBB">
        <w:t xml:space="preserve">.  </w:t>
      </w:r>
    </w:p>
    <w:p w14:paraId="3ED532F8" w14:textId="77DEC595" w:rsidR="00CE214F" w:rsidRPr="001420B3" w:rsidDel="00EE2BBB" w:rsidRDefault="00CE214F" w:rsidP="00CE214F">
      <w:pPr>
        <w:pStyle w:val="Tabletitle"/>
      </w:pPr>
      <w:r w:rsidRPr="001420B3" w:rsidDel="00EE2BBB">
        <w:t xml:space="preserve">Table </w:t>
      </w:r>
      <w:r w:rsidR="0053415A">
        <w:t>5</w:t>
      </w:r>
      <w:r w:rsidRPr="001420B3" w:rsidDel="00EE2BBB">
        <w:t xml:space="preserve">: </w:t>
      </w:r>
      <w:r w:rsidDel="00EE2BBB">
        <w:t>PB</w:t>
      </w:r>
      <w:r>
        <w:t>S listing of ponatinib</w:t>
      </w:r>
    </w:p>
    <w:tbl>
      <w:tblPr>
        <w:tblStyle w:val="TableGrid"/>
        <w:tblW w:w="9039" w:type="dxa"/>
        <w:tblLayout w:type="fixed"/>
        <w:tblLook w:val="04A0" w:firstRow="1" w:lastRow="0" w:firstColumn="1" w:lastColumn="0" w:noHBand="0" w:noVBand="1"/>
        <w:tblCaption w:val="PBS listing of ponatinib"/>
        <w:tblDescription w:val="PBS listing of ponatinib"/>
      </w:tblPr>
      <w:tblGrid>
        <w:gridCol w:w="969"/>
        <w:gridCol w:w="2400"/>
        <w:gridCol w:w="850"/>
        <w:gridCol w:w="851"/>
        <w:gridCol w:w="708"/>
        <w:gridCol w:w="993"/>
        <w:gridCol w:w="2268"/>
      </w:tblGrid>
      <w:tr w:rsidR="00CE214F" w:rsidRPr="00A35800" w:rsidDel="00EE2BBB" w14:paraId="6D3E4CFE" w14:textId="77777777" w:rsidTr="002439D2">
        <w:trPr>
          <w:trHeight w:val="694"/>
          <w:tblHeader/>
        </w:trPr>
        <w:tc>
          <w:tcPr>
            <w:tcW w:w="969" w:type="dxa"/>
            <w:shd w:val="clear" w:color="auto" w:fill="BFBFBF" w:themeFill="background1" w:themeFillShade="BF"/>
          </w:tcPr>
          <w:p w14:paraId="1411373A" w14:textId="77777777" w:rsidR="00CE214F" w:rsidRPr="00A35800" w:rsidDel="00EE2BBB" w:rsidRDefault="00CE214F" w:rsidP="002439D2">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73806B75" w14:textId="77777777" w:rsidR="00CE214F" w:rsidRPr="00A35800" w:rsidDel="00EE2BBB" w:rsidRDefault="00CE214F" w:rsidP="002439D2">
            <w:pPr>
              <w:pStyle w:val="Tableheading"/>
              <w:rPr>
                <w:sz w:val="20"/>
                <w:szCs w:val="20"/>
              </w:rPr>
            </w:pPr>
            <w:r w:rsidRPr="00A35800" w:rsidDel="00EE2BBB">
              <w:rPr>
                <w:sz w:val="20"/>
                <w:szCs w:val="20"/>
              </w:rPr>
              <w:t>Name, form &amp; strength, pack size</w:t>
            </w:r>
          </w:p>
        </w:tc>
        <w:tc>
          <w:tcPr>
            <w:tcW w:w="850" w:type="dxa"/>
            <w:shd w:val="clear" w:color="auto" w:fill="BFBFBF" w:themeFill="background1" w:themeFillShade="BF"/>
          </w:tcPr>
          <w:p w14:paraId="20A75AF8" w14:textId="77777777" w:rsidR="00CE214F" w:rsidRPr="00A35800" w:rsidDel="00EE2BBB" w:rsidRDefault="00CE214F" w:rsidP="002439D2">
            <w:pPr>
              <w:pStyle w:val="Tableheading"/>
              <w:rPr>
                <w:sz w:val="20"/>
                <w:szCs w:val="20"/>
              </w:rPr>
            </w:pPr>
            <w:r w:rsidRPr="00A35800" w:rsidDel="00EE2BBB">
              <w:rPr>
                <w:sz w:val="20"/>
                <w:szCs w:val="20"/>
              </w:rPr>
              <w:t xml:space="preserve">Max. quant. </w:t>
            </w:r>
            <w:r>
              <w:rPr>
                <w:sz w:val="20"/>
                <w:szCs w:val="20"/>
              </w:rPr>
              <w:t>packs</w:t>
            </w:r>
          </w:p>
        </w:tc>
        <w:tc>
          <w:tcPr>
            <w:tcW w:w="851" w:type="dxa"/>
            <w:shd w:val="clear" w:color="auto" w:fill="BFBFBF" w:themeFill="background1" w:themeFillShade="BF"/>
          </w:tcPr>
          <w:p w14:paraId="4F59B27C" w14:textId="77777777" w:rsidR="00CE214F" w:rsidRPr="00A35800" w:rsidDel="00EE2BBB" w:rsidRDefault="00CE214F" w:rsidP="002439D2">
            <w:pPr>
              <w:pStyle w:val="Tableheading"/>
              <w:rPr>
                <w:sz w:val="20"/>
                <w:szCs w:val="20"/>
              </w:rPr>
            </w:pPr>
            <w:r w:rsidRPr="00A35800" w:rsidDel="00EE2BBB">
              <w:rPr>
                <w:sz w:val="20"/>
                <w:szCs w:val="20"/>
              </w:rPr>
              <w:t>Max. quant.</w:t>
            </w:r>
            <w:r>
              <w:rPr>
                <w:sz w:val="20"/>
                <w:szCs w:val="20"/>
              </w:rPr>
              <w:t xml:space="preserve"> units</w:t>
            </w:r>
          </w:p>
        </w:tc>
        <w:tc>
          <w:tcPr>
            <w:tcW w:w="708" w:type="dxa"/>
            <w:shd w:val="clear" w:color="auto" w:fill="BFBFBF" w:themeFill="background1" w:themeFillShade="BF"/>
          </w:tcPr>
          <w:p w14:paraId="3F212972" w14:textId="77777777" w:rsidR="00CE214F" w:rsidRPr="00A35800" w:rsidDel="00EE2BBB" w:rsidRDefault="00CE214F" w:rsidP="002439D2">
            <w:pPr>
              <w:pStyle w:val="Tableheading"/>
              <w:rPr>
                <w:sz w:val="20"/>
                <w:szCs w:val="20"/>
              </w:rPr>
            </w:pPr>
            <w:r w:rsidRPr="00A35800" w:rsidDel="00EE2BBB">
              <w:rPr>
                <w:sz w:val="20"/>
                <w:szCs w:val="20"/>
              </w:rPr>
              <w:t xml:space="preserve">Rpts </w:t>
            </w:r>
          </w:p>
        </w:tc>
        <w:tc>
          <w:tcPr>
            <w:tcW w:w="993" w:type="dxa"/>
            <w:shd w:val="clear" w:color="auto" w:fill="BFBFBF" w:themeFill="background1" w:themeFillShade="BF"/>
          </w:tcPr>
          <w:p w14:paraId="763FD18D" w14:textId="77777777" w:rsidR="00CE214F" w:rsidRPr="00A35800" w:rsidDel="00EE2BBB" w:rsidRDefault="00CE214F" w:rsidP="002439D2">
            <w:pPr>
              <w:pStyle w:val="Tableheading"/>
              <w:rPr>
                <w:sz w:val="20"/>
                <w:szCs w:val="20"/>
              </w:rPr>
            </w:pPr>
            <w:r w:rsidRPr="00A35800" w:rsidDel="00EE2BBB">
              <w:rPr>
                <w:sz w:val="20"/>
                <w:szCs w:val="20"/>
              </w:rPr>
              <w:t>DPMQ</w:t>
            </w:r>
          </w:p>
        </w:tc>
        <w:tc>
          <w:tcPr>
            <w:tcW w:w="2268" w:type="dxa"/>
            <w:shd w:val="clear" w:color="auto" w:fill="BFBFBF" w:themeFill="background1" w:themeFillShade="BF"/>
          </w:tcPr>
          <w:p w14:paraId="095717F2" w14:textId="77777777" w:rsidR="00CE214F" w:rsidRPr="00A35800" w:rsidDel="00EE2BBB" w:rsidRDefault="00CE214F" w:rsidP="002439D2">
            <w:pPr>
              <w:pStyle w:val="Tableheading"/>
              <w:rPr>
                <w:sz w:val="20"/>
                <w:szCs w:val="20"/>
              </w:rPr>
            </w:pPr>
            <w:r w:rsidRPr="00A35800" w:rsidDel="00EE2BBB">
              <w:rPr>
                <w:sz w:val="20"/>
                <w:szCs w:val="20"/>
              </w:rPr>
              <w:t>Brand name and manufacturer</w:t>
            </w:r>
          </w:p>
        </w:tc>
      </w:tr>
      <w:tr w:rsidR="00544CBC" w:rsidRPr="00A35800" w:rsidDel="00EE2BBB" w14:paraId="588E3052" w14:textId="77777777" w:rsidTr="002439D2">
        <w:trPr>
          <w:trHeight w:val="552"/>
          <w:tblHeader/>
        </w:trPr>
        <w:tc>
          <w:tcPr>
            <w:tcW w:w="969" w:type="dxa"/>
            <w:shd w:val="clear" w:color="auto" w:fill="auto"/>
          </w:tcPr>
          <w:p w14:paraId="0A1CA151" w14:textId="787E2F7C" w:rsidR="00544CBC" w:rsidRPr="00A35800" w:rsidDel="00EE2BBB" w:rsidRDefault="00544CBC" w:rsidP="002439D2">
            <w:pPr>
              <w:pStyle w:val="Tablewriting"/>
            </w:pPr>
            <w:r w:rsidRPr="00544CBC">
              <w:t>10520Q</w:t>
            </w:r>
          </w:p>
        </w:tc>
        <w:tc>
          <w:tcPr>
            <w:tcW w:w="2400" w:type="dxa"/>
            <w:shd w:val="clear" w:color="auto" w:fill="auto"/>
          </w:tcPr>
          <w:p w14:paraId="0765496A" w14:textId="178BC549" w:rsidR="00544CBC" w:rsidRPr="00A35800" w:rsidDel="00EE2BBB" w:rsidRDefault="00544CBC" w:rsidP="002439D2">
            <w:pPr>
              <w:pStyle w:val="Tablewriting"/>
            </w:pPr>
            <w:r w:rsidRPr="00544CBC">
              <w:t>ponatinib 15 mg tablet, 60</w:t>
            </w:r>
          </w:p>
        </w:tc>
        <w:tc>
          <w:tcPr>
            <w:tcW w:w="850" w:type="dxa"/>
            <w:shd w:val="clear" w:color="auto" w:fill="auto"/>
          </w:tcPr>
          <w:p w14:paraId="53BE28B2" w14:textId="04C44A39" w:rsidR="00544CBC" w:rsidRPr="00A35800" w:rsidDel="00EE2BBB" w:rsidRDefault="00544CBC" w:rsidP="002439D2">
            <w:pPr>
              <w:pStyle w:val="Tablewriting"/>
            </w:pPr>
            <w:r>
              <w:t>1</w:t>
            </w:r>
          </w:p>
        </w:tc>
        <w:tc>
          <w:tcPr>
            <w:tcW w:w="851" w:type="dxa"/>
          </w:tcPr>
          <w:p w14:paraId="412C0F8D" w14:textId="0463FDC7" w:rsidR="00544CBC" w:rsidRPr="00A35800" w:rsidDel="00EE2BBB" w:rsidRDefault="00544CBC" w:rsidP="002439D2">
            <w:pPr>
              <w:pStyle w:val="Tablewriting"/>
            </w:pPr>
            <w:r>
              <w:t>60</w:t>
            </w:r>
          </w:p>
        </w:tc>
        <w:tc>
          <w:tcPr>
            <w:tcW w:w="708" w:type="dxa"/>
            <w:shd w:val="clear" w:color="auto" w:fill="auto"/>
          </w:tcPr>
          <w:p w14:paraId="525D7AB9" w14:textId="1E812A14" w:rsidR="00544CBC" w:rsidRPr="00A35800" w:rsidDel="00EE2BBB" w:rsidRDefault="00544CBC" w:rsidP="002439D2">
            <w:pPr>
              <w:pStyle w:val="Tablewriting"/>
            </w:pPr>
            <w:r>
              <w:t>5</w:t>
            </w:r>
          </w:p>
        </w:tc>
        <w:tc>
          <w:tcPr>
            <w:tcW w:w="993" w:type="dxa"/>
            <w:shd w:val="clear" w:color="auto" w:fill="auto"/>
          </w:tcPr>
          <w:p w14:paraId="6739F7A0" w14:textId="165784A6" w:rsidR="00544CBC" w:rsidRPr="00A35800" w:rsidDel="00EE2BBB" w:rsidRDefault="00544CBC" w:rsidP="002439D2">
            <w:pPr>
              <w:pStyle w:val="Tablewriting"/>
            </w:pPr>
            <w:r w:rsidRPr="00544CBC">
              <w:t>$5760.73</w:t>
            </w:r>
          </w:p>
        </w:tc>
        <w:tc>
          <w:tcPr>
            <w:tcW w:w="2268" w:type="dxa"/>
            <w:vMerge w:val="restart"/>
            <w:shd w:val="clear" w:color="auto" w:fill="auto"/>
          </w:tcPr>
          <w:p w14:paraId="15EA4CBA" w14:textId="344C38CA" w:rsidR="00544CBC" w:rsidRPr="00A35800" w:rsidDel="00EE2BBB" w:rsidRDefault="00544CBC" w:rsidP="002439D2">
            <w:pPr>
              <w:pStyle w:val="Tablewriting"/>
            </w:pPr>
            <w:r w:rsidRPr="00544CBC">
              <w:t>Iclusig</w:t>
            </w:r>
            <w:r>
              <w:t xml:space="preserve">, </w:t>
            </w:r>
            <w:r w:rsidRPr="00544CBC">
              <w:t>Specialised Therapeutics Australia Pty Ltd</w:t>
            </w:r>
          </w:p>
        </w:tc>
      </w:tr>
      <w:tr w:rsidR="00544CBC" w:rsidRPr="00A35800" w:rsidDel="00EE2BBB" w14:paraId="0B20950F" w14:textId="77777777" w:rsidTr="002439D2">
        <w:trPr>
          <w:trHeight w:val="552"/>
          <w:tblHeader/>
        </w:trPr>
        <w:tc>
          <w:tcPr>
            <w:tcW w:w="969" w:type="dxa"/>
            <w:shd w:val="clear" w:color="auto" w:fill="auto"/>
          </w:tcPr>
          <w:p w14:paraId="61E08ED5" w14:textId="0A55E9DB" w:rsidR="00544CBC" w:rsidRPr="00A35800" w:rsidDel="00EE2BBB" w:rsidRDefault="00544CBC" w:rsidP="002439D2">
            <w:pPr>
              <w:pStyle w:val="Tablewriting"/>
            </w:pPr>
            <w:r w:rsidRPr="00544CBC">
              <w:t>10530F</w:t>
            </w:r>
          </w:p>
        </w:tc>
        <w:tc>
          <w:tcPr>
            <w:tcW w:w="2400" w:type="dxa"/>
            <w:shd w:val="clear" w:color="auto" w:fill="auto"/>
          </w:tcPr>
          <w:p w14:paraId="7ED4616F" w14:textId="37C0B553" w:rsidR="00544CBC" w:rsidRPr="00A35800" w:rsidDel="00EE2BBB" w:rsidRDefault="00544CBC" w:rsidP="002439D2">
            <w:pPr>
              <w:pStyle w:val="Tablewriting"/>
            </w:pPr>
            <w:r w:rsidRPr="00544CBC">
              <w:t>ponatinib 45 mg tablet, 30</w:t>
            </w:r>
          </w:p>
        </w:tc>
        <w:tc>
          <w:tcPr>
            <w:tcW w:w="850" w:type="dxa"/>
            <w:shd w:val="clear" w:color="auto" w:fill="auto"/>
          </w:tcPr>
          <w:p w14:paraId="34AADA48" w14:textId="68D13B7F" w:rsidR="00544CBC" w:rsidRPr="00A35800" w:rsidDel="00EE2BBB" w:rsidRDefault="00544CBC" w:rsidP="002439D2">
            <w:pPr>
              <w:pStyle w:val="Tablewriting"/>
            </w:pPr>
            <w:r>
              <w:t>1</w:t>
            </w:r>
          </w:p>
        </w:tc>
        <w:tc>
          <w:tcPr>
            <w:tcW w:w="851" w:type="dxa"/>
          </w:tcPr>
          <w:p w14:paraId="1984D8D8" w14:textId="2D1B0BD2" w:rsidR="00544CBC" w:rsidRPr="00A35800" w:rsidDel="00EE2BBB" w:rsidRDefault="00544CBC" w:rsidP="002439D2">
            <w:pPr>
              <w:pStyle w:val="Tablewriting"/>
            </w:pPr>
            <w:r>
              <w:t>30</w:t>
            </w:r>
          </w:p>
        </w:tc>
        <w:tc>
          <w:tcPr>
            <w:tcW w:w="708" w:type="dxa"/>
            <w:shd w:val="clear" w:color="auto" w:fill="auto"/>
          </w:tcPr>
          <w:p w14:paraId="187FA466" w14:textId="77FFEC28" w:rsidR="00544CBC" w:rsidRPr="00A35800" w:rsidDel="00EE2BBB" w:rsidRDefault="00544CBC" w:rsidP="002439D2">
            <w:pPr>
              <w:pStyle w:val="Tablewriting"/>
            </w:pPr>
            <w:r>
              <w:t>5</w:t>
            </w:r>
          </w:p>
        </w:tc>
        <w:tc>
          <w:tcPr>
            <w:tcW w:w="993" w:type="dxa"/>
            <w:shd w:val="clear" w:color="auto" w:fill="auto"/>
          </w:tcPr>
          <w:p w14:paraId="73D28CEE" w14:textId="5213765C" w:rsidR="00544CBC" w:rsidRPr="00A35800" w:rsidDel="00EE2BBB" w:rsidRDefault="00544CBC" w:rsidP="002439D2">
            <w:pPr>
              <w:pStyle w:val="Tablewriting"/>
            </w:pPr>
            <w:r w:rsidRPr="00544CBC">
              <w:t>$6480.17</w:t>
            </w:r>
          </w:p>
        </w:tc>
        <w:tc>
          <w:tcPr>
            <w:tcW w:w="2268" w:type="dxa"/>
            <w:vMerge/>
            <w:shd w:val="clear" w:color="auto" w:fill="auto"/>
          </w:tcPr>
          <w:p w14:paraId="6F758948" w14:textId="77777777" w:rsidR="00544CBC" w:rsidRPr="00A35800" w:rsidDel="00EE2BBB" w:rsidRDefault="00544CBC" w:rsidP="002439D2">
            <w:pPr>
              <w:pStyle w:val="Tablewriting"/>
            </w:pPr>
          </w:p>
        </w:tc>
      </w:tr>
    </w:tbl>
    <w:p w14:paraId="6052EB37" w14:textId="6C07FE28" w:rsidR="00CE214F" w:rsidRPr="00A35800" w:rsidDel="00EE2BBB" w:rsidRDefault="00CE214F" w:rsidP="00CE214F">
      <w:pPr>
        <w:pStyle w:val="Notes"/>
      </w:pPr>
      <w:r w:rsidRPr="00A35800" w:rsidDel="00EE2BBB">
        <w:t xml:space="preserve">Source: </w:t>
      </w:r>
      <w:r w:rsidDel="00EE2BBB">
        <w:t xml:space="preserve">the </w:t>
      </w:r>
      <w:hyperlink r:id="rId14" w:history="1">
        <w:r w:rsidRPr="001624D7" w:rsidDel="00EE2BBB">
          <w:rPr>
            <w:rStyle w:val="Hyperlink"/>
          </w:rPr>
          <w:t>PBS website</w:t>
        </w:r>
      </w:hyperlink>
      <w:r w:rsidDel="00EE2BBB">
        <w:t xml:space="preserve">.  </w:t>
      </w:r>
    </w:p>
    <w:p w14:paraId="1AFA1485" w14:textId="227FEED1" w:rsidR="004C3186" w:rsidDel="00EE2BBB" w:rsidRDefault="004C3186" w:rsidP="00CF5E22">
      <w:pPr>
        <w:pStyle w:val="Heading3"/>
      </w:pPr>
      <w:r w:rsidDel="00EE2BBB">
        <w:t>Restriction</w:t>
      </w:r>
    </w:p>
    <w:p w14:paraId="5DA8EA58" w14:textId="0A0F300C" w:rsidR="0015231A" w:rsidRDefault="006A5381" w:rsidP="00A35800">
      <w:r w:rsidRPr="008C1802">
        <w:t xml:space="preserve">The PBS restrictions for the TKIs for CML are complex and have evolved over time. The full restriction wording is available at </w:t>
      </w:r>
      <w:hyperlink r:id="rId15" w:history="1">
        <w:r w:rsidRPr="00D1727F">
          <w:rPr>
            <w:rStyle w:val="Hyperlink"/>
          </w:rPr>
          <w:t>pbs.gov.au</w:t>
        </w:r>
      </w:hyperlink>
      <w:r w:rsidRPr="008C1802">
        <w:t xml:space="preserve">. </w:t>
      </w:r>
      <w:r w:rsidR="00D354E1">
        <w:t xml:space="preserve">The TKIs are Authority Required General Schedule listings. </w:t>
      </w:r>
      <w:r w:rsidRPr="008C1802">
        <w:t xml:space="preserve">The restriction history is summarised </w:t>
      </w:r>
      <w:r w:rsidRPr="0053415A">
        <w:t xml:space="preserve">in </w:t>
      </w:r>
      <w:r w:rsidR="0053415A">
        <w:t>T</w:t>
      </w:r>
      <w:r w:rsidR="0053415A" w:rsidRPr="0053415A">
        <w:t>able 6</w:t>
      </w:r>
      <w:r w:rsidRPr="0053415A">
        <w:t>.</w:t>
      </w:r>
    </w:p>
    <w:p w14:paraId="7C51EDC3" w14:textId="36F1C9BB" w:rsidR="00ED5FE2" w:rsidRDefault="0050327D" w:rsidP="0050327D">
      <w:r>
        <w:t xml:space="preserve">For initial treatment, imatinib, dasatinib and nilotinib </w:t>
      </w:r>
      <w:r w:rsidR="00ED5FE2">
        <w:t>are listed for patients with CML in the chronic phase</w:t>
      </w:r>
      <w:r w:rsidR="00954398">
        <w:t xml:space="preserve">. Each restriction states that the patient </w:t>
      </w:r>
      <w:r w:rsidR="00954398" w:rsidRPr="00954398">
        <w:t xml:space="preserve">must not have previously experienced a failure to respond to the PBS-subsidised first line treatment with </w:t>
      </w:r>
      <w:r w:rsidR="00954398">
        <w:t>this drug for this condition; or the p</w:t>
      </w:r>
      <w:r w:rsidR="00954398" w:rsidRPr="00954398">
        <w:t xml:space="preserve">atient must have experienced intolerance, not a failure to respond, to initial PBS-subsidised treatment with </w:t>
      </w:r>
      <w:r w:rsidR="00954398">
        <w:t>either of the other two drugs</w:t>
      </w:r>
      <w:r w:rsidR="00954398" w:rsidRPr="00954398">
        <w:t xml:space="preserve"> as a first line therapy for this condition</w:t>
      </w:r>
      <w:r w:rsidR="00954398">
        <w:t>.</w:t>
      </w:r>
      <w:r>
        <w:t xml:space="preserve"> </w:t>
      </w:r>
    </w:p>
    <w:p w14:paraId="44A208B1" w14:textId="11855F9E" w:rsidR="0050327D" w:rsidRDefault="00ED5FE2" w:rsidP="0050327D">
      <w:r>
        <w:t xml:space="preserve">The PBS restrictions state that the treatment must not exceed a </w:t>
      </w:r>
      <w:r w:rsidR="0050327D" w:rsidRPr="0050327D">
        <w:t xml:space="preserve">total maximum of 18 months of therapy with a PBS-subsidised treatment with a tyrosine kinase inhibitor for this </w:t>
      </w:r>
      <w:r w:rsidR="0050327D">
        <w:t>CML</w:t>
      </w:r>
      <w:r w:rsidR="00D354E1">
        <w:t>.</w:t>
      </w:r>
    </w:p>
    <w:p w14:paraId="6A870C4C" w14:textId="77777777" w:rsidR="00954398" w:rsidRDefault="00954398" w:rsidP="00954398">
      <w:r>
        <w:lastRenderedPageBreak/>
        <w:t>The PBS restriction for ponatinib states that the patient must have failed an adequate trial of dasatinib; or the patient must have developed intolerance to dasatinib of a severity necessitating permanent treatment withdrawal. The patient must have also either:</w:t>
      </w:r>
    </w:p>
    <w:p w14:paraId="7BEB807B" w14:textId="77777777" w:rsidR="00954398" w:rsidRDefault="00954398" w:rsidP="00560680">
      <w:pPr>
        <w:pStyle w:val="ListParagraph"/>
        <w:numPr>
          <w:ilvl w:val="0"/>
          <w:numId w:val="7"/>
        </w:numPr>
      </w:pPr>
      <w:r>
        <w:t>failed an adequate trial of nilotinib; or</w:t>
      </w:r>
    </w:p>
    <w:p w14:paraId="55E8F07A" w14:textId="0DAF251E" w:rsidR="00954398" w:rsidRDefault="00954398" w:rsidP="00560680">
      <w:pPr>
        <w:pStyle w:val="ListParagraph"/>
        <w:numPr>
          <w:ilvl w:val="0"/>
          <w:numId w:val="7"/>
        </w:numPr>
      </w:pPr>
      <w:r>
        <w:t xml:space="preserve">developed intolerance to nilotinib of a severity necessitating permanent treatment withdrawal; </w:t>
      </w:r>
      <w:r w:rsidR="00D354E1">
        <w:t>or</w:t>
      </w:r>
    </w:p>
    <w:p w14:paraId="553B52B4" w14:textId="587D31B6" w:rsidR="00954398" w:rsidRPr="0050327D" w:rsidRDefault="00954398" w:rsidP="00560680">
      <w:pPr>
        <w:pStyle w:val="ListParagraph"/>
        <w:numPr>
          <w:ilvl w:val="0"/>
          <w:numId w:val="7"/>
        </w:numPr>
      </w:pPr>
      <w:r>
        <w:t>be eligible for PBS-subsidised treatment with nilotinib because the patient has a blast crisis.</w:t>
      </w:r>
    </w:p>
    <w:p w14:paraId="0E8D4460" w14:textId="3B369BD8" w:rsidR="0050327D" w:rsidRDefault="00954398" w:rsidP="00A35800">
      <w:r>
        <w:t xml:space="preserve">Ponatinib is also listed for patients with CML that are expressing the </w:t>
      </w:r>
      <w:r w:rsidRPr="00954398">
        <w:t>T315I mutation,</w:t>
      </w:r>
      <w:r>
        <w:t xml:space="preserve"> and have failed an adequate trial of either imatinib, dasatinib or nilotinib.</w:t>
      </w:r>
    </w:p>
    <w:p w14:paraId="36AA5EE6" w14:textId="77777777" w:rsidR="00B6569C" w:rsidRDefault="00B6569C" w:rsidP="00B6569C">
      <w:r>
        <w:t>For initial and first continuing treatment, applications must be made in writing, and first continuing applications must include a pathology report</w:t>
      </w:r>
      <w:r w:rsidRPr="00B6569C">
        <w:t xml:space="preserve"> demonstrating the patient has responded to the initial course of treatment.</w:t>
      </w:r>
      <w:r>
        <w:t xml:space="preserve"> Subsequent continuing treatment</w:t>
      </w:r>
      <w:r w:rsidRPr="00B6569C">
        <w:t xml:space="preserve"> </w:t>
      </w:r>
      <w:r>
        <w:t>applications may be made by telephone.</w:t>
      </w:r>
    </w:p>
    <w:p w14:paraId="41077106" w14:textId="77777777" w:rsidR="00B6569C" w:rsidRDefault="00B6569C" w:rsidP="00B6569C">
      <w:r>
        <w:t>Patients are eligible for PBS-subsidised treatment with only one of imatinib, dasatinib, nilotinib or ponatinib at any one time and must not be receiving concomitant interferon alfa therapy.</w:t>
      </w:r>
    </w:p>
    <w:p w14:paraId="22433632" w14:textId="60F70893" w:rsidR="006775F1" w:rsidRPr="006775F1" w:rsidDel="00EE2BBB" w:rsidRDefault="006775F1" w:rsidP="00A35800">
      <w:r w:rsidRPr="006775F1" w:rsidDel="00EE2BBB">
        <w:t xml:space="preserve">For </w:t>
      </w:r>
      <w:r w:rsidR="00835337" w:rsidDel="00EE2BBB">
        <w:t xml:space="preserve">details of the current PBS listing refer to the </w:t>
      </w:r>
      <w:hyperlink r:id="rId16" w:history="1">
        <w:r w:rsidR="00835337" w:rsidRPr="00645D51" w:rsidDel="00EE2BBB">
          <w:rPr>
            <w:rStyle w:val="Hyperlink"/>
          </w:rPr>
          <w:t>PBS website</w:t>
        </w:r>
      </w:hyperlink>
      <w:r w:rsidR="00835337" w:rsidDel="00EE2BBB">
        <w:rPr>
          <w:rStyle w:val="Hyperlink"/>
        </w:rPr>
        <w:t>.</w:t>
      </w:r>
    </w:p>
    <w:p w14:paraId="509ADFEB" w14:textId="201634E9" w:rsidR="009C35F2" w:rsidRDefault="009C35F2" w:rsidP="00CF5E22">
      <w:pPr>
        <w:pStyle w:val="Heading3"/>
      </w:pPr>
      <w:r w:rsidRPr="00675BB1" w:rsidDel="00EE2BBB">
        <w:t>Date of listing on PBS</w:t>
      </w:r>
    </w:p>
    <w:p w14:paraId="3D008E43" w14:textId="4841652B" w:rsidR="00245256" w:rsidRDefault="00245256" w:rsidP="00245256">
      <w:pPr>
        <w:spacing w:after="0"/>
      </w:pPr>
      <w:r>
        <w:t>The four medicines were listed on the PBS for CML:</w:t>
      </w:r>
    </w:p>
    <w:p w14:paraId="595E6CB1" w14:textId="77777777" w:rsidR="00245256" w:rsidRDefault="00245256" w:rsidP="00245256">
      <w:pPr>
        <w:pStyle w:val="ListParagraph"/>
        <w:numPr>
          <w:ilvl w:val="0"/>
          <w:numId w:val="8"/>
        </w:numPr>
        <w:spacing w:after="0"/>
      </w:pPr>
      <w:r>
        <w:t>Imatinib: December 2001</w:t>
      </w:r>
    </w:p>
    <w:p w14:paraId="167C9FAA" w14:textId="77777777" w:rsidR="00245256" w:rsidRDefault="00245256" w:rsidP="00245256">
      <w:pPr>
        <w:pStyle w:val="ListParagraph"/>
        <w:numPr>
          <w:ilvl w:val="0"/>
          <w:numId w:val="8"/>
        </w:numPr>
        <w:spacing w:after="0"/>
      </w:pPr>
      <w:r>
        <w:t>Dasatinib: August 2007</w:t>
      </w:r>
    </w:p>
    <w:p w14:paraId="4605FCAC" w14:textId="77777777" w:rsidR="00245256" w:rsidRDefault="00245256" w:rsidP="00245256">
      <w:pPr>
        <w:pStyle w:val="ListParagraph"/>
        <w:numPr>
          <w:ilvl w:val="0"/>
          <w:numId w:val="8"/>
        </w:numPr>
        <w:spacing w:after="0"/>
      </w:pPr>
      <w:r>
        <w:t>Nilotinib: August 2008</w:t>
      </w:r>
    </w:p>
    <w:p w14:paraId="6EBB2A00" w14:textId="77777777" w:rsidR="00245256" w:rsidRPr="002D144A" w:rsidRDefault="00245256" w:rsidP="00245256">
      <w:pPr>
        <w:pStyle w:val="ListParagraph"/>
        <w:numPr>
          <w:ilvl w:val="0"/>
          <w:numId w:val="8"/>
        </w:numPr>
        <w:spacing w:after="0"/>
      </w:pPr>
      <w:r>
        <w:t>Ponatinib: November 2015</w:t>
      </w:r>
    </w:p>
    <w:p w14:paraId="39EF75ED" w14:textId="73256AB5" w:rsidR="00675BB1" w:rsidRPr="00675BB1" w:rsidDel="00EE2BBB" w:rsidRDefault="00675BB1" w:rsidP="00CF5E22">
      <w:pPr>
        <w:pStyle w:val="Heading3"/>
      </w:pPr>
      <w:r w:rsidRPr="00675BB1" w:rsidDel="00EE2BBB">
        <w:t>Changes to listing</w:t>
      </w:r>
    </w:p>
    <w:p w14:paraId="39C4EF5A" w14:textId="1407156B" w:rsidR="00A96BD7" w:rsidRDefault="00A96BD7" w:rsidP="00A96BD7">
      <w:r w:rsidRPr="00040719">
        <w:t xml:space="preserve">The restriction changes for the CML indications of the </w:t>
      </w:r>
      <w:r w:rsidR="0053415A">
        <w:t>four</w:t>
      </w:r>
      <w:r w:rsidRPr="00040719">
        <w:t xml:space="preserve"> dru</w:t>
      </w:r>
      <w:r w:rsidR="009152B0">
        <w:t>gs can be summarised as follows.</w:t>
      </w:r>
    </w:p>
    <w:p w14:paraId="18A0DDCB" w14:textId="77777777" w:rsidR="0053415A" w:rsidRDefault="0053415A">
      <w:pPr>
        <w:spacing w:line="276" w:lineRule="auto"/>
        <w:rPr>
          <w:b/>
        </w:rPr>
      </w:pPr>
      <w:r>
        <w:br w:type="page"/>
      </w:r>
    </w:p>
    <w:p w14:paraId="2185C38B" w14:textId="06196E15" w:rsidR="009152B0" w:rsidRDefault="009152B0" w:rsidP="00702092">
      <w:pPr>
        <w:pStyle w:val="Tabletitle"/>
      </w:pPr>
      <w:r>
        <w:lastRenderedPageBreak/>
        <w:t xml:space="preserve">Table </w:t>
      </w:r>
      <w:r w:rsidR="0053415A">
        <w:t>6</w:t>
      </w:r>
      <w:r>
        <w:t>: Restriction changes to CML listings</w:t>
      </w:r>
    </w:p>
    <w:tbl>
      <w:tblPr>
        <w:tblStyle w:val="TableGrid"/>
        <w:tblW w:w="0" w:type="auto"/>
        <w:tblLook w:val="04A0" w:firstRow="1" w:lastRow="0" w:firstColumn="1" w:lastColumn="0" w:noHBand="0" w:noVBand="1"/>
        <w:tblCaption w:val="Restriction changes to CML listings"/>
        <w:tblDescription w:val="Restriction changes to CML listings"/>
      </w:tblPr>
      <w:tblGrid>
        <w:gridCol w:w="1922"/>
        <w:gridCol w:w="7025"/>
      </w:tblGrid>
      <w:tr w:rsidR="0053415A" w:rsidRPr="0053415A" w14:paraId="5BE9759F" w14:textId="77777777" w:rsidTr="00575C98">
        <w:trPr>
          <w:tblHeader/>
        </w:trPr>
        <w:tc>
          <w:tcPr>
            <w:tcW w:w="1951" w:type="dxa"/>
            <w:shd w:val="clear" w:color="auto" w:fill="BFBFBF" w:themeFill="background1" w:themeFillShade="BF"/>
          </w:tcPr>
          <w:p w14:paraId="5EBA546B" w14:textId="05EF8780" w:rsidR="0053415A" w:rsidRPr="0053415A" w:rsidRDefault="0053415A" w:rsidP="00611C42">
            <w:pPr>
              <w:rPr>
                <w:b/>
                <w:sz w:val="20"/>
                <w:szCs w:val="20"/>
              </w:rPr>
            </w:pPr>
            <w:r w:rsidRPr="0053415A">
              <w:rPr>
                <w:b/>
                <w:sz w:val="20"/>
                <w:szCs w:val="20"/>
              </w:rPr>
              <w:t>Date</w:t>
            </w:r>
          </w:p>
        </w:tc>
        <w:tc>
          <w:tcPr>
            <w:tcW w:w="7222" w:type="dxa"/>
            <w:shd w:val="clear" w:color="auto" w:fill="BFBFBF" w:themeFill="background1" w:themeFillShade="BF"/>
          </w:tcPr>
          <w:p w14:paraId="2D457014" w14:textId="4DFD50AE" w:rsidR="0053415A" w:rsidRPr="0053415A" w:rsidRDefault="0053415A" w:rsidP="00611C42">
            <w:pPr>
              <w:rPr>
                <w:b/>
                <w:sz w:val="20"/>
                <w:szCs w:val="20"/>
              </w:rPr>
            </w:pPr>
            <w:r w:rsidRPr="0053415A">
              <w:rPr>
                <w:b/>
                <w:sz w:val="20"/>
                <w:szCs w:val="20"/>
              </w:rPr>
              <w:t>Restriction change</w:t>
            </w:r>
          </w:p>
        </w:tc>
      </w:tr>
      <w:tr w:rsidR="009152B0" w:rsidRPr="009152B0" w14:paraId="7264964D" w14:textId="77777777" w:rsidTr="00702092">
        <w:tc>
          <w:tcPr>
            <w:tcW w:w="1951" w:type="dxa"/>
          </w:tcPr>
          <w:p w14:paraId="7CAC16E9" w14:textId="661724D1" w:rsidR="009152B0" w:rsidRPr="00702092" w:rsidRDefault="009152B0" w:rsidP="009152B0">
            <w:pPr>
              <w:rPr>
                <w:sz w:val="20"/>
                <w:szCs w:val="20"/>
              </w:rPr>
            </w:pPr>
            <w:r w:rsidRPr="00702092">
              <w:rPr>
                <w:sz w:val="20"/>
                <w:szCs w:val="20"/>
              </w:rPr>
              <w:t>1 December</w:t>
            </w:r>
            <w:r w:rsidR="0063664C">
              <w:rPr>
                <w:sz w:val="20"/>
                <w:szCs w:val="20"/>
              </w:rPr>
              <w:t xml:space="preserve"> </w:t>
            </w:r>
            <w:r w:rsidRPr="00702092">
              <w:rPr>
                <w:sz w:val="20"/>
                <w:szCs w:val="20"/>
              </w:rPr>
              <w:t>2001</w:t>
            </w:r>
          </w:p>
        </w:tc>
        <w:tc>
          <w:tcPr>
            <w:tcW w:w="7222" w:type="dxa"/>
          </w:tcPr>
          <w:p w14:paraId="70F7EDA4" w14:textId="3A51C252" w:rsidR="009152B0" w:rsidRPr="00702092" w:rsidRDefault="009152B0" w:rsidP="009152B0">
            <w:pPr>
              <w:rPr>
                <w:sz w:val="20"/>
                <w:szCs w:val="20"/>
              </w:rPr>
            </w:pPr>
            <w:r w:rsidRPr="00702092">
              <w:rPr>
                <w:sz w:val="20"/>
                <w:szCs w:val="20"/>
              </w:rPr>
              <w:t xml:space="preserve">Imatinib was listed (S85) for first line treatment of CML in the </w:t>
            </w:r>
            <w:r w:rsidRPr="00702092">
              <w:rPr>
                <w:b/>
                <w:sz w:val="20"/>
                <w:szCs w:val="20"/>
              </w:rPr>
              <w:t>accelerated</w:t>
            </w:r>
            <w:r w:rsidRPr="00702092">
              <w:rPr>
                <w:sz w:val="20"/>
                <w:szCs w:val="20"/>
              </w:rPr>
              <w:t xml:space="preserve"> or </w:t>
            </w:r>
            <w:r w:rsidRPr="00702092">
              <w:rPr>
                <w:b/>
                <w:sz w:val="20"/>
                <w:szCs w:val="20"/>
              </w:rPr>
              <w:t>blast</w:t>
            </w:r>
            <w:r w:rsidRPr="00702092">
              <w:rPr>
                <w:sz w:val="20"/>
                <w:szCs w:val="20"/>
              </w:rPr>
              <w:t xml:space="preserve"> phases. </w:t>
            </w:r>
          </w:p>
        </w:tc>
      </w:tr>
      <w:tr w:rsidR="009152B0" w:rsidRPr="009152B0" w14:paraId="12D42871" w14:textId="77777777" w:rsidTr="00702092">
        <w:tc>
          <w:tcPr>
            <w:tcW w:w="1951" w:type="dxa"/>
          </w:tcPr>
          <w:p w14:paraId="17E6ED34" w14:textId="6DD2D249" w:rsidR="009152B0" w:rsidRPr="00702092" w:rsidRDefault="009152B0" w:rsidP="0063664C">
            <w:pPr>
              <w:rPr>
                <w:sz w:val="20"/>
                <w:szCs w:val="20"/>
              </w:rPr>
            </w:pPr>
            <w:r w:rsidRPr="007C6914">
              <w:rPr>
                <w:sz w:val="20"/>
                <w:szCs w:val="20"/>
              </w:rPr>
              <w:t>1</w:t>
            </w:r>
            <w:r w:rsidRPr="00702092">
              <w:rPr>
                <w:sz w:val="20"/>
                <w:szCs w:val="20"/>
              </w:rPr>
              <w:t xml:space="preserve"> </w:t>
            </w:r>
            <w:r w:rsidR="0063664C">
              <w:rPr>
                <w:sz w:val="20"/>
                <w:szCs w:val="20"/>
              </w:rPr>
              <w:t>November</w:t>
            </w:r>
            <w:r w:rsidR="0063664C" w:rsidRPr="00702092">
              <w:rPr>
                <w:sz w:val="20"/>
                <w:szCs w:val="20"/>
              </w:rPr>
              <w:t xml:space="preserve"> </w:t>
            </w:r>
            <w:r w:rsidRPr="00702092">
              <w:rPr>
                <w:sz w:val="20"/>
                <w:szCs w:val="20"/>
              </w:rPr>
              <w:t>2002</w:t>
            </w:r>
          </w:p>
        </w:tc>
        <w:tc>
          <w:tcPr>
            <w:tcW w:w="7222" w:type="dxa"/>
          </w:tcPr>
          <w:p w14:paraId="1126A6A8" w14:textId="2D79A8A3" w:rsidR="009152B0" w:rsidRPr="00702092" w:rsidRDefault="009152B0" w:rsidP="009152B0">
            <w:pPr>
              <w:rPr>
                <w:sz w:val="20"/>
                <w:szCs w:val="20"/>
              </w:rPr>
            </w:pPr>
            <w:r w:rsidRPr="00702092">
              <w:rPr>
                <w:sz w:val="20"/>
                <w:szCs w:val="20"/>
              </w:rPr>
              <w:t xml:space="preserve">The listing of imatinib was extended to first line treatment in the </w:t>
            </w:r>
            <w:r w:rsidRPr="00702092">
              <w:rPr>
                <w:b/>
                <w:sz w:val="20"/>
                <w:szCs w:val="20"/>
              </w:rPr>
              <w:t>chronic</w:t>
            </w:r>
            <w:r w:rsidRPr="00702092">
              <w:rPr>
                <w:sz w:val="20"/>
                <w:szCs w:val="20"/>
              </w:rPr>
              <w:t xml:space="preserve"> phase and the listing changed to S100, Special Authority Program.</w:t>
            </w:r>
          </w:p>
        </w:tc>
      </w:tr>
      <w:tr w:rsidR="009152B0" w:rsidRPr="009152B0" w14:paraId="5AA853B7" w14:textId="77777777" w:rsidTr="00702092">
        <w:tc>
          <w:tcPr>
            <w:tcW w:w="1951" w:type="dxa"/>
          </w:tcPr>
          <w:p w14:paraId="70202D5F" w14:textId="17F400B5" w:rsidR="009152B0" w:rsidRPr="00702092" w:rsidRDefault="009152B0" w:rsidP="009152B0">
            <w:pPr>
              <w:rPr>
                <w:sz w:val="20"/>
                <w:szCs w:val="20"/>
              </w:rPr>
            </w:pPr>
            <w:r w:rsidRPr="00702092">
              <w:rPr>
                <w:sz w:val="20"/>
                <w:szCs w:val="20"/>
              </w:rPr>
              <w:t>1 August 2007</w:t>
            </w:r>
          </w:p>
        </w:tc>
        <w:tc>
          <w:tcPr>
            <w:tcW w:w="7222" w:type="dxa"/>
          </w:tcPr>
          <w:p w14:paraId="1D7989CE" w14:textId="2E6C3B3B" w:rsidR="009152B0" w:rsidRPr="00702092" w:rsidRDefault="009152B0" w:rsidP="009152B0">
            <w:pPr>
              <w:rPr>
                <w:sz w:val="20"/>
                <w:szCs w:val="20"/>
              </w:rPr>
            </w:pPr>
            <w:r w:rsidRPr="00702092">
              <w:rPr>
                <w:sz w:val="20"/>
                <w:szCs w:val="20"/>
              </w:rPr>
              <w:t xml:space="preserve">Dasatinib was listed (S85) for second line treatment (i.e. failed an adequate trial of imatinib) in </w:t>
            </w:r>
            <w:r w:rsidRPr="00702092">
              <w:rPr>
                <w:b/>
                <w:sz w:val="20"/>
                <w:szCs w:val="20"/>
              </w:rPr>
              <w:t>any</w:t>
            </w:r>
            <w:r w:rsidRPr="00702092">
              <w:rPr>
                <w:sz w:val="20"/>
                <w:szCs w:val="20"/>
              </w:rPr>
              <w:t xml:space="preserve"> disease phase.</w:t>
            </w:r>
          </w:p>
        </w:tc>
      </w:tr>
      <w:tr w:rsidR="009152B0" w:rsidRPr="009152B0" w14:paraId="384E666E" w14:textId="77777777" w:rsidTr="00702092">
        <w:tc>
          <w:tcPr>
            <w:tcW w:w="1951" w:type="dxa"/>
          </w:tcPr>
          <w:p w14:paraId="06A06FF2" w14:textId="2417DFCE" w:rsidR="009152B0" w:rsidRPr="00702092" w:rsidRDefault="009152B0" w:rsidP="009152B0">
            <w:pPr>
              <w:rPr>
                <w:sz w:val="20"/>
                <w:szCs w:val="20"/>
              </w:rPr>
            </w:pPr>
            <w:r w:rsidRPr="00702092">
              <w:rPr>
                <w:sz w:val="20"/>
                <w:szCs w:val="20"/>
              </w:rPr>
              <w:t>1 November 2007</w:t>
            </w:r>
          </w:p>
        </w:tc>
        <w:tc>
          <w:tcPr>
            <w:tcW w:w="7222" w:type="dxa"/>
          </w:tcPr>
          <w:p w14:paraId="53F34FEF" w14:textId="275CE96A" w:rsidR="009152B0" w:rsidRPr="00702092" w:rsidRDefault="009152B0" w:rsidP="009152B0">
            <w:pPr>
              <w:rPr>
                <w:sz w:val="20"/>
                <w:szCs w:val="20"/>
              </w:rPr>
            </w:pPr>
            <w:r w:rsidRPr="00702092">
              <w:rPr>
                <w:sz w:val="20"/>
                <w:szCs w:val="20"/>
              </w:rPr>
              <w:t>All imatinib items were changed from S100 to S85 to be consistent with the dasatinib listings.</w:t>
            </w:r>
          </w:p>
        </w:tc>
      </w:tr>
      <w:tr w:rsidR="009152B0" w:rsidRPr="009152B0" w14:paraId="55E087A5" w14:textId="77777777" w:rsidTr="00702092">
        <w:tc>
          <w:tcPr>
            <w:tcW w:w="1951" w:type="dxa"/>
          </w:tcPr>
          <w:p w14:paraId="32BC654D" w14:textId="165CFF22" w:rsidR="009152B0" w:rsidRPr="00702092" w:rsidRDefault="009152B0" w:rsidP="009152B0">
            <w:pPr>
              <w:rPr>
                <w:sz w:val="20"/>
                <w:szCs w:val="20"/>
              </w:rPr>
            </w:pPr>
            <w:r w:rsidRPr="00702092">
              <w:rPr>
                <w:sz w:val="20"/>
                <w:szCs w:val="20"/>
              </w:rPr>
              <w:t>1 August 2008</w:t>
            </w:r>
          </w:p>
        </w:tc>
        <w:tc>
          <w:tcPr>
            <w:tcW w:w="7222" w:type="dxa"/>
          </w:tcPr>
          <w:p w14:paraId="0086FE90" w14:textId="3F12D3FE" w:rsidR="009152B0" w:rsidRPr="00702092" w:rsidRDefault="009152B0" w:rsidP="009152B0">
            <w:pPr>
              <w:rPr>
                <w:sz w:val="20"/>
                <w:szCs w:val="20"/>
              </w:rPr>
            </w:pPr>
            <w:r w:rsidRPr="00702092">
              <w:rPr>
                <w:sz w:val="20"/>
                <w:szCs w:val="20"/>
              </w:rPr>
              <w:t xml:space="preserve">Nilotinib was listed (S85) for second line treatment (i.e. failed an adequate trial of imatinib) in </w:t>
            </w:r>
            <w:r w:rsidRPr="00702092">
              <w:rPr>
                <w:b/>
                <w:sz w:val="20"/>
                <w:szCs w:val="20"/>
              </w:rPr>
              <w:t>chronic</w:t>
            </w:r>
            <w:r w:rsidRPr="00702092">
              <w:rPr>
                <w:sz w:val="20"/>
                <w:szCs w:val="20"/>
              </w:rPr>
              <w:t xml:space="preserve"> or </w:t>
            </w:r>
            <w:r w:rsidRPr="00702092">
              <w:rPr>
                <w:b/>
                <w:sz w:val="20"/>
                <w:szCs w:val="20"/>
              </w:rPr>
              <w:t>accelerated</w:t>
            </w:r>
            <w:r w:rsidRPr="00702092">
              <w:rPr>
                <w:sz w:val="20"/>
                <w:szCs w:val="20"/>
              </w:rPr>
              <w:t xml:space="preserve"> phases.</w:t>
            </w:r>
          </w:p>
        </w:tc>
      </w:tr>
      <w:tr w:rsidR="009152B0" w:rsidRPr="009152B0" w14:paraId="3B19EC22" w14:textId="77777777" w:rsidTr="00702092">
        <w:tc>
          <w:tcPr>
            <w:tcW w:w="1951" w:type="dxa"/>
          </w:tcPr>
          <w:p w14:paraId="21C09AAA" w14:textId="7FCFC65F" w:rsidR="009152B0" w:rsidRPr="00702092" w:rsidRDefault="009152B0" w:rsidP="009152B0">
            <w:pPr>
              <w:rPr>
                <w:sz w:val="20"/>
                <w:szCs w:val="20"/>
              </w:rPr>
            </w:pPr>
            <w:r w:rsidRPr="00702092">
              <w:rPr>
                <w:sz w:val="20"/>
                <w:szCs w:val="20"/>
              </w:rPr>
              <w:t>1 April 2012</w:t>
            </w:r>
          </w:p>
        </w:tc>
        <w:tc>
          <w:tcPr>
            <w:tcW w:w="7222" w:type="dxa"/>
          </w:tcPr>
          <w:p w14:paraId="74FA22E7" w14:textId="38B41E62" w:rsidR="009152B0" w:rsidRPr="00702092" w:rsidRDefault="009152B0" w:rsidP="009152B0">
            <w:pPr>
              <w:rPr>
                <w:sz w:val="20"/>
                <w:szCs w:val="20"/>
              </w:rPr>
            </w:pPr>
            <w:r w:rsidRPr="00702092">
              <w:rPr>
                <w:sz w:val="20"/>
                <w:szCs w:val="20"/>
              </w:rPr>
              <w:t xml:space="preserve">Dasatinib and nilotinib restrictions were extended to first line treatment in </w:t>
            </w:r>
            <w:r w:rsidRPr="00702092">
              <w:rPr>
                <w:b/>
                <w:sz w:val="20"/>
                <w:szCs w:val="20"/>
              </w:rPr>
              <w:t>chronic</w:t>
            </w:r>
            <w:r w:rsidRPr="00702092">
              <w:rPr>
                <w:sz w:val="20"/>
                <w:szCs w:val="20"/>
              </w:rPr>
              <w:t xml:space="preserve"> phase. Dasatinib retained the restriction for second line treatment (i.e. failed an adequate trial of imatinib or nilotinib) for </w:t>
            </w:r>
            <w:r w:rsidRPr="00702092">
              <w:rPr>
                <w:b/>
                <w:sz w:val="20"/>
                <w:szCs w:val="20"/>
              </w:rPr>
              <w:t>any</w:t>
            </w:r>
            <w:r w:rsidRPr="00702092">
              <w:rPr>
                <w:sz w:val="20"/>
                <w:szCs w:val="20"/>
              </w:rPr>
              <w:t xml:space="preserve"> disease phase and nilotinib retained second line treatment (i.e. failed an adequate trial of imatinib or dasatinib) for </w:t>
            </w:r>
            <w:r w:rsidRPr="00702092">
              <w:rPr>
                <w:b/>
                <w:sz w:val="20"/>
                <w:szCs w:val="20"/>
              </w:rPr>
              <w:t>chronic</w:t>
            </w:r>
            <w:r w:rsidRPr="00702092">
              <w:rPr>
                <w:sz w:val="20"/>
                <w:szCs w:val="20"/>
              </w:rPr>
              <w:t xml:space="preserve"> or </w:t>
            </w:r>
            <w:r w:rsidRPr="00702092">
              <w:rPr>
                <w:b/>
                <w:sz w:val="20"/>
                <w:szCs w:val="20"/>
              </w:rPr>
              <w:t>accelerated</w:t>
            </w:r>
            <w:r w:rsidRPr="00702092">
              <w:rPr>
                <w:sz w:val="20"/>
                <w:szCs w:val="20"/>
              </w:rPr>
              <w:t xml:space="preserve"> phases. </w:t>
            </w:r>
          </w:p>
        </w:tc>
      </w:tr>
      <w:tr w:rsidR="009152B0" w:rsidRPr="009152B0" w14:paraId="1BA895CE" w14:textId="77777777" w:rsidTr="00702092">
        <w:tc>
          <w:tcPr>
            <w:tcW w:w="1951" w:type="dxa"/>
          </w:tcPr>
          <w:p w14:paraId="6C84A3B3" w14:textId="7F0BEA28" w:rsidR="009152B0" w:rsidRPr="00702092" w:rsidRDefault="009152B0" w:rsidP="009152B0">
            <w:pPr>
              <w:rPr>
                <w:sz w:val="20"/>
                <w:szCs w:val="20"/>
              </w:rPr>
            </w:pPr>
            <w:r w:rsidRPr="00702092">
              <w:rPr>
                <w:sz w:val="20"/>
                <w:szCs w:val="20"/>
              </w:rPr>
              <w:t>1 April 2012</w:t>
            </w:r>
          </w:p>
        </w:tc>
        <w:tc>
          <w:tcPr>
            <w:tcW w:w="7222" w:type="dxa"/>
          </w:tcPr>
          <w:p w14:paraId="3788F194" w14:textId="2CCAC7B2" w:rsidR="009152B0" w:rsidRPr="00702092" w:rsidRDefault="009152B0" w:rsidP="009152B0">
            <w:pPr>
              <w:rPr>
                <w:sz w:val="20"/>
                <w:szCs w:val="20"/>
              </w:rPr>
            </w:pPr>
            <w:r w:rsidRPr="00702092">
              <w:rPr>
                <w:sz w:val="20"/>
                <w:szCs w:val="20"/>
              </w:rPr>
              <w:t>The wording of the first line restrictions were modified to include dose guidance. Patients should be commenced on a dose of imatinib mesylate 400 mg (base) daily, dasatinib of at least 100 mg (base) daily and nilotinib of 300 mg twice daily.</w:t>
            </w:r>
          </w:p>
        </w:tc>
      </w:tr>
      <w:tr w:rsidR="0053415A" w:rsidRPr="009152B0" w14:paraId="46CF8B2A" w14:textId="77777777" w:rsidTr="00702092">
        <w:tc>
          <w:tcPr>
            <w:tcW w:w="1951" w:type="dxa"/>
          </w:tcPr>
          <w:p w14:paraId="0320FEA2" w14:textId="0F733683" w:rsidR="0053415A" w:rsidRPr="00702092" w:rsidRDefault="0053415A" w:rsidP="009152B0">
            <w:pPr>
              <w:rPr>
                <w:sz w:val="20"/>
                <w:szCs w:val="20"/>
              </w:rPr>
            </w:pPr>
            <w:r>
              <w:rPr>
                <w:sz w:val="20"/>
                <w:szCs w:val="20"/>
              </w:rPr>
              <w:t>1 November 2015</w:t>
            </w:r>
          </w:p>
        </w:tc>
        <w:tc>
          <w:tcPr>
            <w:tcW w:w="7222" w:type="dxa"/>
          </w:tcPr>
          <w:p w14:paraId="23D53E9B" w14:textId="1DB752AC" w:rsidR="0053415A" w:rsidRPr="00702092" w:rsidRDefault="0053415A" w:rsidP="0053415A">
            <w:pPr>
              <w:rPr>
                <w:sz w:val="20"/>
                <w:szCs w:val="20"/>
              </w:rPr>
            </w:pPr>
            <w:r>
              <w:rPr>
                <w:sz w:val="20"/>
                <w:szCs w:val="20"/>
              </w:rPr>
              <w:t>Ponatinib</w:t>
            </w:r>
            <w:r w:rsidRPr="00702092">
              <w:rPr>
                <w:sz w:val="20"/>
                <w:szCs w:val="20"/>
              </w:rPr>
              <w:t xml:space="preserve"> was listed (S85) for </w:t>
            </w:r>
            <w:r>
              <w:rPr>
                <w:sz w:val="20"/>
                <w:szCs w:val="20"/>
              </w:rPr>
              <w:t>treatment after failure or intolerance to dasatinib and nilotinib, or in patients expressing the T315I mutation who have failed either imatinib, nilotinib or dasatinib,</w:t>
            </w:r>
            <w:r w:rsidRPr="00702092">
              <w:rPr>
                <w:sz w:val="20"/>
                <w:szCs w:val="20"/>
              </w:rPr>
              <w:t xml:space="preserve"> in </w:t>
            </w:r>
            <w:r w:rsidRPr="0053415A">
              <w:rPr>
                <w:sz w:val="20"/>
                <w:szCs w:val="20"/>
              </w:rPr>
              <w:t>any</w:t>
            </w:r>
            <w:r w:rsidRPr="00702092">
              <w:rPr>
                <w:sz w:val="20"/>
                <w:szCs w:val="20"/>
              </w:rPr>
              <w:t xml:space="preserve"> disease phase</w:t>
            </w:r>
            <w:r>
              <w:rPr>
                <w:sz w:val="20"/>
                <w:szCs w:val="20"/>
              </w:rPr>
              <w:t>.</w:t>
            </w:r>
          </w:p>
        </w:tc>
      </w:tr>
      <w:tr w:rsidR="009152B0" w:rsidRPr="009152B0" w14:paraId="09173DE0" w14:textId="77777777" w:rsidTr="00702092">
        <w:tc>
          <w:tcPr>
            <w:tcW w:w="1951" w:type="dxa"/>
          </w:tcPr>
          <w:p w14:paraId="2D87CDEA" w14:textId="27C21CD1" w:rsidR="009152B0" w:rsidRPr="00702092" w:rsidRDefault="009152B0" w:rsidP="009152B0">
            <w:pPr>
              <w:rPr>
                <w:sz w:val="20"/>
                <w:szCs w:val="20"/>
              </w:rPr>
            </w:pPr>
            <w:r w:rsidRPr="00702092">
              <w:rPr>
                <w:sz w:val="20"/>
                <w:szCs w:val="20"/>
              </w:rPr>
              <w:t>1 October 2016 and 1 November 2016</w:t>
            </w:r>
          </w:p>
        </w:tc>
        <w:tc>
          <w:tcPr>
            <w:tcW w:w="7222" w:type="dxa"/>
          </w:tcPr>
          <w:p w14:paraId="4DF347D3" w14:textId="75E9F559" w:rsidR="009152B0" w:rsidRPr="00702092" w:rsidRDefault="009152B0" w:rsidP="009152B0">
            <w:pPr>
              <w:rPr>
                <w:sz w:val="20"/>
                <w:szCs w:val="20"/>
              </w:rPr>
            </w:pPr>
            <w:r w:rsidRPr="00702092">
              <w:rPr>
                <w:sz w:val="20"/>
                <w:szCs w:val="20"/>
              </w:rPr>
              <w:t>New brands of imatinib were listed, triggering price reductions</w:t>
            </w:r>
            <w:r>
              <w:rPr>
                <w:sz w:val="20"/>
                <w:szCs w:val="20"/>
              </w:rPr>
              <w:t>.</w:t>
            </w:r>
          </w:p>
        </w:tc>
      </w:tr>
      <w:tr w:rsidR="009152B0" w:rsidRPr="009152B0" w14:paraId="777D035F" w14:textId="77777777" w:rsidTr="009152B0">
        <w:tc>
          <w:tcPr>
            <w:tcW w:w="1951" w:type="dxa"/>
          </w:tcPr>
          <w:p w14:paraId="40083D65" w14:textId="41555B49" w:rsidR="009152B0" w:rsidRPr="00702092" w:rsidRDefault="009152B0" w:rsidP="009152B0">
            <w:pPr>
              <w:rPr>
                <w:sz w:val="20"/>
                <w:szCs w:val="20"/>
              </w:rPr>
            </w:pPr>
            <w:r w:rsidRPr="00702092">
              <w:rPr>
                <w:sz w:val="20"/>
                <w:szCs w:val="20"/>
              </w:rPr>
              <w:t>1 February 2017</w:t>
            </w:r>
          </w:p>
        </w:tc>
        <w:tc>
          <w:tcPr>
            <w:tcW w:w="7222" w:type="dxa"/>
          </w:tcPr>
          <w:p w14:paraId="17281367" w14:textId="2A7A5ED0" w:rsidR="009152B0" w:rsidRPr="00702092" w:rsidRDefault="009152B0" w:rsidP="00702092">
            <w:pPr>
              <w:contextualSpacing/>
              <w:rPr>
                <w:sz w:val="20"/>
                <w:szCs w:val="20"/>
              </w:rPr>
            </w:pPr>
            <w:r w:rsidRPr="00702092">
              <w:rPr>
                <w:sz w:val="20"/>
                <w:szCs w:val="20"/>
              </w:rPr>
              <w:t xml:space="preserve">The restrictions for second continuing and subsequent treatment applications for imatinib, dasatinib and nilotinib were changed </w:t>
            </w:r>
            <w:r>
              <w:rPr>
                <w:sz w:val="20"/>
                <w:szCs w:val="20"/>
              </w:rPr>
              <w:t>from</w:t>
            </w:r>
            <w:r w:rsidRPr="00702092">
              <w:rPr>
                <w:sz w:val="20"/>
                <w:szCs w:val="20"/>
              </w:rPr>
              <w:t xml:space="preserve"> Au</w:t>
            </w:r>
            <w:r w:rsidRPr="009152B0">
              <w:rPr>
                <w:sz w:val="20"/>
                <w:szCs w:val="20"/>
              </w:rPr>
              <w:t>thority Required (Written)</w:t>
            </w:r>
            <w:r w:rsidRPr="00702092">
              <w:rPr>
                <w:sz w:val="20"/>
                <w:szCs w:val="20"/>
              </w:rPr>
              <w:t xml:space="preserve"> to Authority Required (Telephone).</w:t>
            </w:r>
          </w:p>
        </w:tc>
      </w:tr>
    </w:tbl>
    <w:p w14:paraId="34D4C67D" w14:textId="77777777" w:rsidR="009152B0" w:rsidRPr="00040719" w:rsidRDefault="009152B0" w:rsidP="00A96BD7"/>
    <w:p w14:paraId="64C94A85" w14:textId="0279637B" w:rsidR="00BF544D" w:rsidRPr="002F61CA" w:rsidDel="00EE2BBB" w:rsidRDefault="00BF544D" w:rsidP="00BF544D">
      <w:r w:rsidRPr="002F61CA" w:rsidDel="00EE2BBB">
        <w:t xml:space="preserve">Current PBS listing details are available from </w:t>
      </w:r>
      <w:r w:rsidDel="00EE2BBB">
        <w:t xml:space="preserve">the </w:t>
      </w:r>
      <w:hyperlink r:id="rId17" w:history="1">
        <w:r w:rsidRPr="00645D51" w:rsidDel="00EE2BBB">
          <w:rPr>
            <w:rStyle w:val="Hyperlink"/>
          </w:rPr>
          <w:t>PBS website</w:t>
        </w:r>
      </w:hyperlink>
      <w:r w:rsidDel="00EE2BBB">
        <w:t>.</w:t>
      </w:r>
    </w:p>
    <w:p w14:paraId="0DEBD50F" w14:textId="69B931E7" w:rsidR="00094DCF" w:rsidRDefault="00ED633B" w:rsidP="00CF5E22">
      <w:pPr>
        <w:pStyle w:val="Heading2"/>
      </w:pPr>
      <w:r>
        <w:t xml:space="preserve">Previous reviews by </w:t>
      </w:r>
      <w:r w:rsidR="00177B86">
        <w:t xml:space="preserve">the </w:t>
      </w:r>
      <w:r>
        <w:t>DUSC</w:t>
      </w:r>
    </w:p>
    <w:p w14:paraId="6F7F16FD" w14:textId="2F42CC35" w:rsidR="0066467D" w:rsidRDefault="0066467D" w:rsidP="0066467D">
      <w:r>
        <w:t xml:space="preserve">DUSC reviewed imatinib utilisation for CML at its August 2003 meeting for the period December 2001 to April 2003. At that time, actual usage was slightly lower than that estimated in the submission. The DUSC considered that the trend indicated that the number of imatinib prescriptions could continue to increase and if so could result in slightly higher utilisation than estimated in the submission. Neither dasatinib nor nilotinib have </w:t>
      </w:r>
      <w:r w:rsidR="00F27F07">
        <w:t>b</w:t>
      </w:r>
      <w:r>
        <w:t>een reviewed by DUSC previously.</w:t>
      </w:r>
    </w:p>
    <w:p w14:paraId="3D849320" w14:textId="05A477B6" w:rsidR="0066467D" w:rsidRDefault="0066467D" w:rsidP="0066467D">
      <w:r>
        <w:t xml:space="preserve">DUSC reviewed utilisation of imatinib, dasatinib and nilotinib for CML at its </w:t>
      </w:r>
      <w:r w:rsidR="00B6569C">
        <w:t xml:space="preserve">February </w:t>
      </w:r>
      <w:r>
        <w:t>2014 meeting. The report found:</w:t>
      </w:r>
    </w:p>
    <w:p w14:paraId="2FA1A214" w14:textId="4F78F170" w:rsidR="0066467D" w:rsidRDefault="0066467D" w:rsidP="0066467D">
      <w:pPr>
        <w:pStyle w:val="ListParagraph"/>
        <w:numPr>
          <w:ilvl w:val="0"/>
          <w:numId w:val="4"/>
        </w:numPr>
      </w:pPr>
      <w:r>
        <w:t>The number of patients on treatment, number of prescriptions and expenditu</w:t>
      </w:r>
      <w:r w:rsidR="004428D7">
        <w:t>re of TKIs for CML had</w:t>
      </w:r>
      <w:r>
        <w:t xml:space="preserve"> increased steadily (i.e. linear tread) over a 12 year period </w:t>
      </w:r>
      <w:r w:rsidR="004428D7">
        <w:t>from 2001 to 2013. This reflected</w:t>
      </w:r>
      <w:r>
        <w:t xml:space="preserve"> the increasing prevalence of CML as mortality from CML declines and p</w:t>
      </w:r>
      <w:r w:rsidR="004428D7">
        <w:t>atients continue on treatment. U</w:t>
      </w:r>
      <w:r>
        <w:t xml:space="preserve">tilisation </w:t>
      </w:r>
      <w:r w:rsidR="004428D7">
        <w:t>was</w:t>
      </w:r>
      <w:r>
        <w:t xml:space="preserve"> expected to continue to increase in the future. </w:t>
      </w:r>
    </w:p>
    <w:p w14:paraId="69C36E67" w14:textId="77233C07" w:rsidR="0066467D" w:rsidRDefault="004428D7" w:rsidP="0066467D">
      <w:pPr>
        <w:pStyle w:val="ListParagraph"/>
        <w:numPr>
          <w:ilvl w:val="0"/>
          <w:numId w:val="4"/>
        </w:numPr>
      </w:pPr>
      <w:r>
        <w:t>T</w:t>
      </w:r>
      <w:r w:rsidR="0066467D">
        <w:t>he steadily increasi</w:t>
      </w:r>
      <w:r>
        <w:t>ng expenditure for TKIs in CML wa</w:t>
      </w:r>
      <w:r w:rsidR="0066467D">
        <w:t xml:space="preserve">s explicable entirely on the basis of increased survival. </w:t>
      </w:r>
    </w:p>
    <w:p w14:paraId="7AA1CF72" w14:textId="0F7479DD" w:rsidR="0066467D" w:rsidRDefault="0066467D" w:rsidP="0066467D">
      <w:pPr>
        <w:pStyle w:val="ListParagraph"/>
        <w:numPr>
          <w:ilvl w:val="0"/>
          <w:numId w:val="4"/>
        </w:numPr>
      </w:pPr>
      <w:r>
        <w:lastRenderedPageBreak/>
        <w:t>The number of new p</w:t>
      </w:r>
      <w:r w:rsidR="004428D7">
        <w:t>atients commencing treatment had</w:t>
      </w:r>
      <w:r>
        <w:t xml:space="preserve"> remained stable</w:t>
      </w:r>
      <w:r w:rsidR="004428D7">
        <w:t>, which was</w:t>
      </w:r>
      <w:r>
        <w:t xml:space="preserve"> consistent with incidence of CML reported by the AIHW. </w:t>
      </w:r>
    </w:p>
    <w:p w14:paraId="0EE3D69E" w14:textId="092E92C0" w:rsidR="0066467D" w:rsidRDefault="0066467D" w:rsidP="0066467D">
      <w:pPr>
        <w:pStyle w:val="ListParagraph"/>
        <w:numPr>
          <w:ilvl w:val="0"/>
          <w:numId w:val="4"/>
        </w:numPr>
      </w:pPr>
      <w:r>
        <w:t>Listing of dasatinib and nilotinib for chronic phase CML after failure of imatinib, and subsequ</w:t>
      </w:r>
      <w:r w:rsidR="004428D7">
        <w:t>ently as first line therapy, had</w:t>
      </w:r>
      <w:r>
        <w:t xml:space="preserve"> not had a noticeable impact on the steady upward trend in prevalent patients, prescription utilisation and expenditure for CML drugs.</w:t>
      </w:r>
    </w:p>
    <w:p w14:paraId="62386286" w14:textId="0B3F7163" w:rsidR="00FD344A" w:rsidRPr="00365188" w:rsidRDefault="00B6569C" w:rsidP="00FD344A">
      <w:r>
        <w:t>A</w:t>
      </w:r>
      <w:r w:rsidRPr="00B6569C">
        <w:t>t the February</w:t>
      </w:r>
      <w:r w:rsidR="00FD344A">
        <w:t xml:space="preserve"> 2014</w:t>
      </w:r>
      <w:r w:rsidRPr="00B6569C">
        <w:t xml:space="preserve"> meeting, DUSC requested a further analysis to </w:t>
      </w:r>
      <w:r>
        <w:t>assess</w:t>
      </w:r>
      <w:r w:rsidRPr="00B6569C">
        <w:t xml:space="preserve"> the predicted </w:t>
      </w:r>
      <w:r>
        <w:t>equi</w:t>
      </w:r>
      <w:r w:rsidR="00474A06">
        <w:t>-</w:t>
      </w:r>
      <w:r>
        <w:t xml:space="preserve">effective doses </w:t>
      </w:r>
      <w:r w:rsidRPr="00B6569C">
        <w:t xml:space="preserve">versus actual dosing of each of imatinib, dasatinib and nilotinib for first and second line treatment. </w:t>
      </w:r>
      <w:r w:rsidR="00D6434B">
        <w:t>DUSC considered an analysis to address this request at its October 2014 meeting.</w:t>
      </w:r>
      <w:r w:rsidR="00D6434B" w:rsidRPr="00365188">
        <w:t xml:space="preserve"> </w:t>
      </w:r>
      <w:r w:rsidR="00FD344A" w:rsidRPr="00365188">
        <w:t>The calculated dose relativities of imatinib versus dasatinib and imatinib versus nilotinib in the first line treatme</w:t>
      </w:r>
      <w:r w:rsidR="00FD344A">
        <w:t>nt of newly diagnosed patients we</w:t>
      </w:r>
      <w:r w:rsidR="00FD344A" w:rsidRPr="00365188">
        <w:t xml:space="preserve">re </w:t>
      </w:r>
      <w:r w:rsidR="00FD344A">
        <w:t xml:space="preserve">found to be </w:t>
      </w:r>
      <w:r w:rsidR="00FD344A" w:rsidRPr="00365188">
        <w:t>consistent with the values assumed by the PBAC when these drugs were recommended.</w:t>
      </w:r>
    </w:p>
    <w:p w14:paraId="5C143877" w14:textId="4B3F8963" w:rsidR="00E371EA" w:rsidRPr="00ED633B" w:rsidRDefault="009D1ED5" w:rsidP="0066467D">
      <w:r>
        <w:t>For deta</w:t>
      </w:r>
      <w:r w:rsidR="002439D2">
        <w:t>ils of the DUSC consideration of TKIs for CML</w:t>
      </w:r>
      <w:r>
        <w:t xml:space="preserve"> refe</w:t>
      </w:r>
      <w:r w:rsidR="002439D2">
        <w:t xml:space="preserve">r to the </w:t>
      </w:r>
      <w:hyperlink r:id="rId18" w:history="1">
        <w:r w:rsidRPr="002439D2">
          <w:rPr>
            <w:rStyle w:val="Hyperlink"/>
          </w:rPr>
          <w:t>Public Release Document</w:t>
        </w:r>
      </w:hyperlink>
      <w:r w:rsidR="002439D2">
        <w:t xml:space="preserve"> </w:t>
      </w:r>
      <w:r w:rsidR="00277BF5">
        <w:t>from the February 2014</w:t>
      </w:r>
      <w:r>
        <w:t xml:space="preserve"> DUSC meeting.</w:t>
      </w:r>
    </w:p>
    <w:p w14:paraId="0312FFEC" w14:textId="5C6A9662" w:rsidR="00E677DD" w:rsidRPr="005E22C2" w:rsidRDefault="00E677DD" w:rsidP="00CF5E22">
      <w:pPr>
        <w:pStyle w:val="Heading1"/>
      </w:pPr>
      <w:r w:rsidRPr="005E22C2">
        <w:t>Method</w:t>
      </w:r>
      <w:r w:rsidR="001B5D37" w:rsidRPr="005E22C2">
        <w:t>s</w:t>
      </w:r>
    </w:p>
    <w:p w14:paraId="6DFD0376" w14:textId="371764EE" w:rsidR="00B607AC" w:rsidRDefault="00245256" w:rsidP="00245256">
      <w:r>
        <w:t>PBS prescription data for the medicines included in this review that were dispensed from 1 December 2001 to 31 March 2019 were extracted from the</w:t>
      </w:r>
      <w:r w:rsidR="0053415A" w:rsidRPr="0053415A">
        <w:t xml:space="preserve"> </w:t>
      </w:r>
      <w:r w:rsidR="00C47594">
        <w:t>PBS supplied prescriptions d</w:t>
      </w:r>
      <w:r w:rsidR="00C47594" w:rsidRPr="00C47594">
        <w:t>atabase managed by Services Australi</w:t>
      </w:r>
      <w:r w:rsidR="00021599">
        <w:t>a.</w:t>
      </w:r>
      <w:r>
        <w:t xml:space="preserve"> </w:t>
      </w:r>
      <w:r w:rsidR="00B607AC" w:rsidRPr="00B607AC">
        <w:t xml:space="preserve">The </w:t>
      </w:r>
      <w:r w:rsidR="00C47594">
        <w:t>PBS</w:t>
      </w:r>
      <w:r w:rsidR="00B607AC" w:rsidRPr="00B607AC">
        <w:t xml:space="preserve"> supplied prescriptions database includes data submitted to </w:t>
      </w:r>
      <w:r w:rsidR="00C47594">
        <w:t>Services Australia</w:t>
      </w:r>
      <w:r w:rsidR="00B607AC" w:rsidRPr="00B607AC">
        <w:t xml:space="preserve"> for payment of a PBS or RPBS subsidy by the Government by all approved pharmacies in Australia. This dataset contains de-identified information that includes a unique patient identification number (PIN), dates and quantities of supply of all PBS listed drugs, prescriber and pharmacy information.</w:t>
      </w:r>
    </w:p>
    <w:p w14:paraId="7359A312" w14:textId="5F19707B" w:rsidR="004428D7" w:rsidRDefault="00245256" w:rsidP="00245256">
      <w:r>
        <w:t>PBS prescription data were used to determine the number of prescriptions supplied</w:t>
      </w:r>
      <w:r w:rsidR="006B1470">
        <w:t xml:space="preserve">, </w:t>
      </w:r>
      <w:r>
        <w:t>the number of incident and prevalent patients</w:t>
      </w:r>
      <w:r w:rsidR="006B1470">
        <w:t xml:space="preserve">, the number of male and female patients, and the cost </w:t>
      </w:r>
      <w:r w:rsidR="0053415A">
        <w:t>to</w:t>
      </w:r>
      <w:r w:rsidR="006B1470">
        <w:t xml:space="preserve"> government of these medicines</w:t>
      </w:r>
      <w:r>
        <w:t>.</w:t>
      </w:r>
      <w:r w:rsidR="002D5048" w:rsidRPr="002D5048">
        <w:t xml:space="preserve"> </w:t>
      </w:r>
      <w:r w:rsidR="002D5048">
        <w:t>This report includes a predicted versus actual review of ponatinib for CML.</w:t>
      </w:r>
    </w:p>
    <w:p w14:paraId="7C50C6D5" w14:textId="17CAAD87" w:rsidR="002D5048" w:rsidRDefault="002D5048" w:rsidP="002D5048">
      <w:r>
        <w:t xml:space="preserve">Where </w:t>
      </w:r>
      <w:r w:rsidR="008A2448">
        <w:t>the result of an analysis was</w:t>
      </w:r>
      <w:r>
        <w:t xml:space="preserve"> a small number of patients (</w:t>
      </w:r>
      <w:r>
        <w:rPr>
          <w:rFonts w:cstheme="minorHAnsi"/>
        </w:rPr>
        <w:t>≤</w:t>
      </w:r>
      <w:r>
        <w:t xml:space="preserve">5) the number has been replaced </w:t>
      </w:r>
      <w:r w:rsidR="008A2448">
        <w:t>with “</w:t>
      </w:r>
      <w:r w:rsidR="008A2448">
        <w:rPr>
          <w:rFonts w:cstheme="minorHAnsi"/>
        </w:rPr>
        <w:t>≤</w:t>
      </w:r>
      <w:r>
        <w:t>5</w:t>
      </w:r>
      <w:r w:rsidR="008A2448">
        <w:t>”</w:t>
      </w:r>
      <w:r w:rsidR="00E74BB2">
        <w:t xml:space="preserve"> to confidentialise the data</w:t>
      </w:r>
      <w:r>
        <w:t>.</w:t>
      </w:r>
    </w:p>
    <w:p w14:paraId="439F875D" w14:textId="0D350664" w:rsidR="00886732" w:rsidRDefault="00886732" w:rsidP="00886732">
      <w:pPr>
        <w:pStyle w:val="Heading2"/>
      </w:pPr>
      <w:r>
        <w:t>Medicine sequence</w:t>
      </w:r>
    </w:p>
    <w:p w14:paraId="55B14C04" w14:textId="224B708E" w:rsidR="002D5048" w:rsidRDefault="002D5048" w:rsidP="002D5048">
      <w:r>
        <w:t>An analysis of medicine sequence was completed for all prescriptions from the listing of imatinib in 2001, and a second analysis was completed for patients who initiated on or after the listing of ponatinib on 1 November 2015.</w:t>
      </w:r>
    </w:p>
    <w:p w14:paraId="48A1F928" w14:textId="75EB5133" w:rsidR="00886732" w:rsidRDefault="00886732" w:rsidP="00886732">
      <w:pPr>
        <w:pStyle w:val="Heading2"/>
      </w:pPr>
      <w:r>
        <w:t>Length of treatment</w:t>
      </w:r>
    </w:p>
    <w:p w14:paraId="66698418" w14:textId="5DE141D0" w:rsidR="008A2448" w:rsidRPr="00042910" w:rsidRDefault="002D5048" w:rsidP="008A2448">
      <w:r w:rsidRPr="00E53FB9">
        <w:t>The length of treatment was estimated using the Kaplan Meier method</w:t>
      </w:r>
      <w:r w:rsidR="008A2448">
        <w:t xml:space="preserve">. </w:t>
      </w:r>
      <w:r w:rsidR="008A2448" w:rsidRPr="00042910">
        <w:t xml:space="preserve">Two ways of measuring length of treatment were undertaken to account for patients stopping medicine for periods of time (called a ‘break’ in therapy). One analysis excluded the time of any </w:t>
      </w:r>
      <w:r w:rsidR="008A2448" w:rsidRPr="00042910">
        <w:lastRenderedPageBreak/>
        <w:t xml:space="preserve">breaks in treatment (i.e. reports the total time a patient is actually receiving regular supplies of the medicine) and the other did not. A patient was deemed to have a break in treatment if the time between two of their supplied prescriptions was more than 3 times the median time to resupply (i.e. 3 x </w:t>
      </w:r>
      <w:r w:rsidR="008A2448">
        <w:t>31</w:t>
      </w:r>
      <w:r w:rsidR="008A2448" w:rsidRPr="00042910">
        <w:t xml:space="preserve"> days), which is an estimated break in treatment of at least </w:t>
      </w:r>
      <w:r w:rsidR="008A2448">
        <w:t>two</w:t>
      </w:r>
      <w:r w:rsidR="008A2448" w:rsidRPr="00042910">
        <w:t xml:space="preserve"> times the median time to resupply. </w:t>
      </w:r>
    </w:p>
    <w:p w14:paraId="55D74783" w14:textId="79952F09" w:rsidR="008A2448" w:rsidRDefault="008A2448" w:rsidP="008A2448">
      <w:r w:rsidRPr="00EA5C2D">
        <w:t>A censoring definition was applied in the length of treatment analysis, to account for the end of the data observation period where patients who might be continuing supply appear to stop treatment (because there is no further data for supplies). A patient was deemed to be continuing treatment at the end of the data period if their last prescription was</w:t>
      </w:r>
      <w:r>
        <w:t xml:space="preserve"> supplied</w:t>
      </w:r>
      <w:r w:rsidRPr="00EA5C2D">
        <w:t xml:space="preserve"> within </w:t>
      </w:r>
      <w:r>
        <w:t>three</w:t>
      </w:r>
      <w:r w:rsidRPr="00EA5C2D">
        <w:t xml:space="preserve"> times the median time to resupply of this end date. Otherwise, the patient was deemed to have ceased treatment with the treatment coverage end date being the supply date of their last prescription plus a median time </w:t>
      </w:r>
      <w:r>
        <w:t xml:space="preserve">(31 days) </w:t>
      </w:r>
      <w:r w:rsidRPr="00EA5C2D">
        <w:t>to resupply.</w:t>
      </w:r>
    </w:p>
    <w:p w14:paraId="78FF3CA3" w14:textId="233475C1" w:rsidR="008A2448" w:rsidRDefault="008A2448" w:rsidP="008A2448">
      <w:pPr>
        <w:pStyle w:val="Heading2"/>
      </w:pPr>
      <w:r>
        <w:t>Analysis of Authority Approvals</w:t>
      </w:r>
    </w:p>
    <w:p w14:paraId="6D14CFB8" w14:textId="57A309EA" w:rsidR="008A2448" w:rsidRDefault="008A2448" w:rsidP="008A2448">
      <w:r>
        <w:t xml:space="preserve">The </w:t>
      </w:r>
      <w:r w:rsidR="00C47594">
        <w:t>PBS a</w:t>
      </w:r>
      <w:r w:rsidRPr="00623E43">
        <w:t xml:space="preserve">uthority </w:t>
      </w:r>
      <w:r w:rsidR="00C47594">
        <w:t>a</w:t>
      </w:r>
      <w:r w:rsidRPr="00623E43">
        <w:t>pproval database</w:t>
      </w:r>
      <w:r w:rsidR="00C47594">
        <w:t>, managed by Services Australia,</w:t>
      </w:r>
      <w:r w:rsidRPr="00623E43">
        <w:t xml:space="preserve"> was used</w:t>
      </w:r>
      <w:r>
        <w:t xml:space="preserve"> to determine the reason for each prescription. Authorities were extracted from the </w:t>
      </w:r>
      <w:r w:rsidR="00C47594">
        <w:t>authority a</w:t>
      </w:r>
      <w:r w:rsidRPr="00623E43">
        <w:t>pproval database</w:t>
      </w:r>
      <w:r>
        <w:t xml:space="preserve"> from November 2003 (the earliest time point of the database) to </w:t>
      </w:r>
      <w:r w:rsidRPr="00420E6C">
        <w:t>March 2019</w:t>
      </w:r>
      <w:r>
        <w:t>. Of the prescriptions dispensed from 1 December 2001 to 31 March 2</w:t>
      </w:r>
      <w:r w:rsidR="00C47594">
        <w:t>019, 99.07% were matched to an a</w:t>
      </w:r>
      <w:r>
        <w:t>uthority approval.</w:t>
      </w:r>
    </w:p>
    <w:p w14:paraId="2E963E43" w14:textId="6499ACD7" w:rsidR="008A2448" w:rsidRDefault="00B607AC" w:rsidP="002D5048">
      <w:r>
        <w:t>Th</w:t>
      </w:r>
      <w:r w:rsidR="00C47594">
        <w:t>e prescriptions matched to the authority a</w:t>
      </w:r>
      <w:r>
        <w:t>pproval database were used to summarise the number of supplied prescriptions by disease phase (i.e. chronic, accelerated or blast), line of therapy and medicine. The</w:t>
      </w:r>
      <w:r w:rsidR="00C47594">
        <w:t xml:space="preserve"> phase was determined from the authority a</w:t>
      </w:r>
      <w:r>
        <w:t xml:space="preserve">pproval code and the line of therapy was determined by the number of medicines the patient had been supplied for CML.  </w:t>
      </w:r>
    </w:p>
    <w:p w14:paraId="670A5434" w14:textId="77777777" w:rsidR="00B607AC" w:rsidRDefault="00B607AC" w:rsidP="00B607AC">
      <w:pPr>
        <w:pStyle w:val="Heading2"/>
        <w:keepNext/>
      </w:pPr>
      <w:r>
        <w:t>Prescribed dose</w:t>
      </w:r>
    </w:p>
    <w:p w14:paraId="0E0A83BC" w14:textId="3A686E9C" w:rsidR="00B607AC" w:rsidRPr="008D6E67" w:rsidRDefault="00B607AC" w:rsidP="00B607AC">
      <w:r>
        <w:t>Th</w:t>
      </w:r>
      <w:r w:rsidR="00C47594">
        <w:t>e prescriptions matched to the authority a</w:t>
      </w:r>
      <w:r>
        <w:t>pproval database were used to analyse the prescribed dose of these medicines by disease phase.</w:t>
      </w:r>
      <w:r w:rsidRPr="00B607AC">
        <w:t xml:space="preserve"> </w:t>
      </w:r>
      <w:r w:rsidRPr="008D6E67">
        <w:t xml:space="preserve">The actual prescribed dose is not recorded in the </w:t>
      </w:r>
      <w:r>
        <w:t xml:space="preserve">PBS prescription </w:t>
      </w:r>
      <w:r w:rsidRPr="008D6E67">
        <w:t xml:space="preserve">database. The prescribed dose was estimated from the </w:t>
      </w:r>
      <w:r>
        <w:t>PBS prescription</w:t>
      </w:r>
      <w:r w:rsidRPr="008D6E67">
        <w:t xml:space="preserve"> data by </w:t>
      </w:r>
      <w:r>
        <w:t>calculating the total number of milligrams of the medicine that was supplied, and dividing this by the number of days each prescription was intended to treat for (in most cases 30 days). Where a patient received more than one prescription on a day, the total quantity dispensed was calculated.</w:t>
      </w:r>
    </w:p>
    <w:p w14:paraId="446C84EF" w14:textId="71DC2B7A" w:rsidR="00B607AC" w:rsidRDefault="00B607AC" w:rsidP="00B607AC">
      <w:r>
        <w:t>The results are presented as being for l</w:t>
      </w:r>
      <w:r w:rsidRPr="004B5BF9">
        <w:t>ine of treatment (</w:t>
      </w:r>
      <w:r>
        <w:t>determined from medicine sequence</w:t>
      </w:r>
      <w:r w:rsidRPr="004B5BF9">
        <w:t xml:space="preserve">), disease phase and </w:t>
      </w:r>
      <w:r>
        <w:t>whether it was supplied for initial or continuing treatment (determined from authority approval codes).</w:t>
      </w:r>
    </w:p>
    <w:p w14:paraId="41DE42EA" w14:textId="524C32C6" w:rsidR="00245256" w:rsidRDefault="00245256" w:rsidP="00524D13"/>
    <w:p w14:paraId="60631096" w14:textId="77777777" w:rsidR="00623E43" w:rsidRDefault="00623E43">
      <w:pPr>
        <w:spacing w:line="276" w:lineRule="auto"/>
        <w:rPr>
          <w:rFonts w:eastAsiaTheme="majorEastAsia" w:cstheme="majorBidi"/>
          <w:b/>
          <w:bCs/>
          <w:sz w:val="32"/>
          <w:szCs w:val="32"/>
        </w:rPr>
      </w:pPr>
      <w:r>
        <w:br w:type="page"/>
      </w:r>
    </w:p>
    <w:p w14:paraId="4F91A98A" w14:textId="65A0AEE9"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59024C43" w:rsidR="006A44F5" w:rsidRDefault="00736041" w:rsidP="00CF5E22">
      <w:pPr>
        <w:pStyle w:val="Heading3"/>
      </w:pPr>
      <w:r w:rsidRPr="005E22C2">
        <w:t>Overall utilisation</w:t>
      </w:r>
    </w:p>
    <w:p w14:paraId="5BDAF8D1" w14:textId="256806D3" w:rsidR="001B2335" w:rsidRDefault="006B0971" w:rsidP="0066467D">
      <w:r>
        <w:rPr>
          <w:noProof/>
        </w:rPr>
        <w:drawing>
          <wp:inline distT="0" distB="0" distL="0" distR="0" wp14:anchorId="22DA9CD4" wp14:editId="4FE22099">
            <wp:extent cx="5615305" cy="3231931"/>
            <wp:effectExtent l="0" t="0" r="4445" b="6985"/>
            <wp:docPr id="1" name="Chart 1" descr="Patients supplied TKIs for CML by quarter" title="Patients supplied TKIs for CML b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2BEBB9" w14:textId="091F3F25" w:rsidR="001B2335" w:rsidRDefault="00B607AC" w:rsidP="00F60600">
      <w:pPr>
        <w:pStyle w:val="Tabletitle"/>
      </w:pPr>
      <w:r>
        <w:t>Figure</w:t>
      </w:r>
      <w:r w:rsidR="00F60600">
        <w:t xml:space="preserve"> </w:t>
      </w:r>
      <w:r>
        <w:t>1</w:t>
      </w:r>
      <w:r w:rsidR="00F60600">
        <w:t>: Patients supplied TKIs for CML by quarter</w:t>
      </w:r>
    </w:p>
    <w:p w14:paraId="579F1FB9" w14:textId="0B6DEA4E" w:rsidR="001B2335" w:rsidRDefault="001B2335" w:rsidP="0066467D">
      <w:pPr>
        <w:rPr>
          <w:noProof/>
        </w:rPr>
      </w:pPr>
    </w:p>
    <w:p w14:paraId="12C267C3" w14:textId="2B7F980E" w:rsidR="00F60600" w:rsidRDefault="00F60600" w:rsidP="0066467D">
      <w:r>
        <w:rPr>
          <w:noProof/>
        </w:rPr>
        <w:drawing>
          <wp:inline distT="0" distB="0" distL="0" distR="0" wp14:anchorId="58F923BB" wp14:editId="640FA70F">
            <wp:extent cx="5615353" cy="3106615"/>
            <wp:effectExtent l="0" t="0" r="4445" b="17780"/>
            <wp:docPr id="4" name="Chart 4" descr="Supplied prescriptions for CML by medicine " title="Supplied prescriptions for CML by medicin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964E6D1" w14:textId="1BD7ED15" w:rsidR="0066467D" w:rsidRDefault="00B607AC" w:rsidP="002A1128">
      <w:pPr>
        <w:pStyle w:val="Tabletitle"/>
      </w:pPr>
      <w:r>
        <w:t>Figure</w:t>
      </w:r>
      <w:r w:rsidR="002A1128">
        <w:t xml:space="preserve"> </w:t>
      </w:r>
      <w:r>
        <w:t>2</w:t>
      </w:r>
      <w:r w:rsidR="002A1128">
        <w:t xml:space="preserve">: </w:t>
      </w:r>
      <w:r w:rsidR="0066467D" w:rsidRPr="0066467D">
        <w:t xml:space="preserve">Supplied prescriptions </w:t>
      </w:r>
      <w:r w:rsidR="002A1128">
        <w:t>for CML by medicine</w:t>
      </w:r>
      <w:r w:rsidR="0066467D" w:rsidRPr="0066467D">
        <w:t xml:space="preserve"> </w:t>
      </w:r>
    </w:p>
    <w:p w14:paraId="03C34192" w14:textId="003EF57B" w:rsidR="002A1128" w:rsidRDefault="00874A15" w:rsidP="0066467D">
      <w:r>
        <w:lastRenderedPageBreak/>
        <w:t xml:space="preserve">The use of TKIs for CML </w:t>
      </w:r>
      <w:r w:rsidR="00E74184">
        <w:t xml:space="preserve">is summarised from the first listing of imatinib for CML in December 2001. The use of these medicines </w:t>
      </w:r>
      <w:r>
        <w:t>is continuing to grow in a</w:t>
      </w:r>
      <w:r w:rsidR="00E74184">
        <w:t xml:space="preserve"> steady and</w:t>
      </w:r>
      <w:r>
        <w:t xml:space="preserve"> linear manner. The addition of new medicines, including ponatinib in November 2015</w:t>
      </w:r>
      <w:r w:rsidR="00137232">
        <w:t>,</w:t>
      </w:r>
      <w:r w:rsidR="00123C9C">
        <w:t xml:space="preserve"> does not appear to have affected the overall </w:t>
      </w:r>
      <w:r w:rsidR="00FE5F05">
        <w:t xml:space="preserve">market </w:t>
      </w:r>
      <w:r w:rsidR="00123C9C">
        <w:t>trend of growing use of these medicines.</w:t>
      </w:r>
    </w:p>
    <w:p w14:paraId="74335CFC" w14:textId="5961EC57" w:rsidR="0066467D" w:rsidRDefault="0066467D" w:rsidP="0066467D"/>
    <w:p w14:paraId="4C8BB9E2" w14:textId="65469317" w:rsidR="00071B9F" w:rsidRDefault="00071B9F" w:rsidP="00071B9F">
      <w:pPr>
        <w:pStyle w:val="Heading3"/>
      </w:pPr>
      <w:r>
        <w:t>P</w:t>
      </w:r>
      <w:r w:rsidRPr="005E22C2">
        <w:t>atient level analysis</w:t>
      </w:r>
    </w:p>
    <w:p w14:paraId="7AD23A57" w14:textId="66030F9D" w:rsidR="00A83840" w:rsidRDefault="00406E8C" w:rsidP="0066467D">
      <w:r>
        <w:rPr>
          <w:noProof/>
        </w:rPr>
        <w:drawing>
          <wp:inline distT="0" distB="0" distL="0" distR="0" wp14:anchorId="1E7ADE97" wp14:editId="54996C76">
            <wp:extent cx="5687695" cy="4033520"/>
            <wp:effectExtent l="0" t="0" r="8255" b="5080"/>
            <wp:docPr id="2" name="Chart 2" descr="Age of patients at initiation" title="Age of patients at initi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FF0B4F" w14:textId="54975017" w:rsidR="00071B9F" w:rsidRDefault="00B607AC" w:rsidP="00406E8C">
      <w:pPr>
        <w:pStyle w:val="Tabletitle"/>
      </w:pPr>
      <w:r>
        <w:t>Figure 3</w:t>
      </w:r>
      <w:r w:rsidR="00071B9F">
        <w:t>: Age of patients at initiation</w:t>
      </w:r>
    </w:p>
    <w:p w14:paraId="74743881" w14:textId="11274ACA" w:rsidR="00406E8C" w:rsidRDefault="00406E8C" w:rsidP="00406E8C">
      <w:pPr>
        <w:pStyle w:val="Notes"/>
      </w:pPr>
      <w:r>
        <w:t xml:space="preserve">Note: Groups </w:t>
      </w:r>
      <w:r w:rsidR="008410EE">
        <w:t>less than or equal to</w:t>
      </w:r>
      <w:r>
        <w:t xml:space="preserve"> five have been adjusted to five.</w:t>
      </w:r>
    </w:p>
    <w:p w14:paraId="2B6CD40B" w14:textId="1F210CF4" w:rsidR="009D10C2" w:rsidRDefault="00E74184" w:rsidP="009D10C2">
      <w:r>
        <w:t>The analysis of initiating CML patients by age and gender shows that a</w:t>
      </w:r>
      <w:r w:rsidR="009D10C2">
        <w:t xml:space="preserve"> higher proportion of </w:t>
      </w:r>
      <w:r>
        <w:t xml:space="preserve">CML </w:t>
      </w:r>
      <w:r w:rsidR="009D10C2">
        <w:t xml:space="preserve">patients are </w:t>
      </w:r>
      <w:r w:rsidR="00F67B60">
        <w:t>male</w:t>
      </w:r>
      <w:r w:rsidR="009D10C2">
        <w:t>.</w:t>
      </w:r>
      <w:r w:rsidR="00F67B60">
        <w:t xml:space="preserve"> </w:t>
      </w:r>
      <w:r w:rsidR="009D10C2">
        <w:t>The</w:t>
      </w:r>
      <w:r w:rsidR="002C7E36">
        <w:t xml:space="preserve"> proportion of men and women </w:t>
      </w:r>
      <w:r w:rsidR="006E3F73">
        <w:t>wa</w:t>
      </w:r>
      <w:r w:rsidR="002C7E36">
        <w:t xml:space="preserve">s </w:t>
      </w:r>
      <w:r w:rsidR="009D10C2">
        <w:t>similar across most age groups</w:t>
      </w:r>
      <w:r>
        <w:t>, the only difference may be in the group aged 65 to 69 years old</w:t>
      </w:r>
      <w:r w:rsidR="009D10C2">
        <w:t xml:space="preserve">. </w:t>
      </w:r>
      <w:r w:rsidR="00B66B2E">
        <w:t xml:space="preserve">Since 2001, 3,557 (58%) male patients initiated treatment for CML with one of these medicines, compared with 2,616 (42%) female patients. </w:t>
      </w:r>
      <w:r w:rsidR="00346AE2">
        <w:t xml:space="preserve">In 2018, 250 </w:t>
      </w:r>
      <w:r w:rsidR="00B66B2E">
        <w:t xml:space="preserve">(57%) </w:t>
      </w:r>
      <w:r w:rsidR="00346AE2">
        <w:t xml:space="preserve">male patients initiated treatment for CML with one of these medicines, compared with 186 </w:t>
      </w:r>
      <w:r w:rsidR="00B66B2E">
        <w:t xml:space="preserve">(43%) </w:t>
      </w:r>
      <w:r w:rsidR="00346AE2">
        <w:t>female patients.</w:t>
      </w:r>
      <w:r w:rsidR="00B66B2E">
        <w:t xml:space="preserve"> </w:t>
      </w:r>
    </w:p>
    <w:p w14:paraId="73AA10F3" w14:textId="051F7F5D" w:rsidR="00874A15" w:rsidRDefault="00874A15" w:rsidP="00874A15">
      <w:pPr>
        <w:pStyle w:val="Heading3"/>
      </w:pPr>
      <w:r>
        <w:t>Medicine sequence</w:t>
      </w:r>
    </w:p>
    <w:p w14:paraId="140B1EBA" w14:textId="135F5496" w:rsidR="00F86FFB" w:rsidRPr="00874A15" w:rsidRDefault="002C7E36" w:rsidP="00F86FFB">
      <w:r>
        <w:t>T</w:t>
      </w:r>
      <w:r w:rsidR="00874A15">
        <w:t xml:space="preserve">he top ten </w:t>
      </w:r>
      <w:r w:rsidR="004D7E96">
        <w:t xml:space="preserve">medicine sequences </w:t>
      </w:r>
      <w:r>
        <w:t>for all prescriptions</w:t>
      </w:r>
      <w:r w:rsidR="00C47594">
        <w:t xml:space="preserve"> from December 2001 until March </w:t>
      </w:r>
      <w:r>
        <w:t xml:space="preserve">2019, </w:t>
      </w:r>
      <w:r w:rsidR="00B607AC">
        <w:t xml:space="preserve">are shown in </w:t>
      </w:r>
      <w:r w:rsidR="006E3F73">
        <w:t>T</w:t>
      </w:r>
      <w:r w:rsidR="00B607AC">
        <w:t>able 4</w:t>
      </w:r>
      <w:r w:rsidR="004D7E96">
        <w:t xml:space="preserve">. </w:t>
      </w:r>
      <w:r>
        <w:t xml:space="preserve">The top ten medicine sequences </w:t>
      </w:r>
      <w:r w:rsidR="004D7E96">
        <w:t>for all medicines</w:t>
      </w:r>
      <w:r w:rsidR="00C014A3">
        <w:t xml:space="preserve"> for patients who initiated on or after</w:t>
      </w:r>
      <w:r w:rsidR="004D7E96">
        <w:t xml:space="preserve"> the listing of ponatinib in Nov</w:t>
      </w:r>
      <w:r w:rsidR="001B4FEB">
        <w:t xml:space="preserve">ember 2015, are shown in </w:t>
      </w:r>
      <w:r w:rsidR="006E3F73">
        <w:t>T</w:t>
      </w:r>
      <w:r w:rsidR="001B4FEB">
        <w:t>able 8</w:t>
      </w:r>
      <w:r w:rsidR="004D7E96">
        <w:t>.</w:t>
      </w:r>
      <w:r w:rsidR="00F86FFB" w:rsidRPr="00F86FFB">
        <w:t xml:space="preserve"> </w:t>
      </w:r>
      <w:r>
        <w:t xml:space="preserve">Table </w:t>
      </w:r>
      <w:r w:rsidR="00B607AC">
        <w:t>7</w:t>
      </w:r>
      <w:r>
        <w:t xml:space="preserve"> includes several years of data when imatinib was the only medicine listed </w:t>
      </w:r>
      <w:r>
        <w:lastRenderedPageBreak/>
        <w:t xml:space="preserve">for CML. </w:t>
      </w:r>
      <w:r w:rsidR="00B607AC">
        <w:t>Table 8</w:t>
      </w:r>
      <w:r w:rsidR="000543B7">
        <w:t xml:space="preserve"> suggests more recently a lower proportion of patients have initiated on imatinib. Between November 2015 and March 2019, 589 patients have initiated on dasatinib, 544 on imatinib, and 235 on nilotinib.</w:t>
      </w:r>
      <w:r>
        <w:t xml:space="preserve"> </w:t>
      </w:r>
      <w:r w:rsidR="00F86FFB">
        <w:t xml:space="preserve">The number of patients </w:t>
      </w:r>
      <w:r>
        <w:t xml:space="preserve">who were supplied </w:t>
      </w:r>
      <w:r w:rsidR="00F86FFB">
        <w:t xml:space="preserve">ponatinib prior to other TKIs was less than six. </w:t>
      </w:r>
      <w:r w:rsidR="00ED024B">
        <w:t>In total 1,371 patients were included in t</w:t>
      </w:r>
      <w:r w:rsidR="00B607AC">
        <w:t xml:space="preserve">he analysis presented in </w:t>
      </w:r>
      <w:r w:rsidR="00D30ECE">
        <w:t>T</w:t>
      </w:r>
      <w:r w:rsidR="00B607AC">
        <w:t>able 8</w:t>
      </w:r>
      <w:r w:rsidR="00ED024B">
        <w:t xml:space="preserve">. Of these, approximately 80% have been supplied one TKI for CML. </w:t>
      </w:r>
    </w:p>
    <w:p w14:paraId="04C4D9E2" w14:textId="126D4140" w:rsidR="004D7E96" w:rsidRDefault="004D7E96" w:rsidP="004D7E96"/>
    <w:p w14:paraId="1FE5914E" w14:textId="35391790" w:rsidR="004D7E96" w:rsidRDefault="00B607AC" w:rsidP="00123C9C">
      <w:pPr>
        <w:pStyle w:val="Tabletitle"/>
        <w:keepNext/>
      </w:pPr>
      <w:r>
        <w:t>Table 7</w:t>
      </w:r>
      <w:r w:rsidR="004D7E96">
        <w:t xml:space="preserve">: </w:t>
      </w:r>
      <w:r w:rsidR="00C014A3">
        <w:t>Top ten</w:t>
      </w:r>
      <w:r w:rsidR="004D7E96">
        <w:t xml:space="preserve"> medicine sequences since 2001</w:t>
      </w:r>
    </w:p>
    <w:tbl>
      <w:tblPr>
        <w:tblStyle w:val="TableGrid"/>
        <w:tblW w:w="0" w:type="auto"/>
        <w:tblLook w:val="04A0" w:firstRow="1" w:lastRow="0" w:firstColumn="1" w:lastColumn="0" w:noHBand="0" w:noVBand="1"/>
        <w:tblCaption w:val="Top ten medicine sequences since 2001"/>
        <w:tblDescription w:val="Top ten medicine sequences since 2001"/>
      </w:tblPr>
      <w:tblGrid>
        <w:gridCol w:w="4361"/>
        <w:gridCol w:w="1919"/>
      </w:tblGrid>
      <w:tr w:rsidR="004D7E96" w:rsidRPr="004D7E96" w14:paraId="60D1E336" w14:textId="77777777" w:rsidTr="00575C98">
        <w:trPr>
          <w:trHeight w:val="300"/>
          <w:tblHeader/>
        </w:trPr>
        <w:tc>
          <w:tcPr>
            <w:tcW w:w="4361" w:type="dxa"/>
            <w:shd w:val="clear" w:color="auto" w:fill="BFBFBF" w:themeFill="background1" w:themeFillShade="BF"/>
            <w:noWrap/>
            <w:vAlign w:val="center"/>
            <w:hideMark/>
          </w:tcPr>
          <w:p w14:paraId="57824A3F" w14:textId="6C6D8C34" w:rsidR="004D7E96" w:rsidRPr="004D7E96" w:rsidRDefault="004D7E96" w:rsidP="00123C9C">
            <w:pPr>
              <w:keepNext/>
              <w:rPr>
                <w:b/>
                <w:sz w:val="20"/>
                <w:szCs w:val="20"/>
              </w:rPr>
            </w:pPr>
            <w:r w:rsidRPr="004D7E96">
              <w:rPr>
                <w:b/>
                <w:sz w:val="20"/>
                <w:szCs w:val="20"/>
              </w:rPr>
              <w:t>Sequence</w:t>
            </w:r>
          </w:p>
        </w:tc>
        <w:tc>
          <w:tcPr>
            <w:tcW w:w="1919" w:type="dxa"/>
            <w:shd w:val="clear" w:color="auto" w:fill="BFBFBF" w:themeFill="background1" w:themeFillShade="BF"/>
            <w:noWrap/>
            <w:vAlign w:val="center"/>
            <w:hideMark/>
          </w:tcPr>
          <w:p w14:paraId="3C674514" w14:textId="319602E1" w:rsidR="004D7E96" w:rsidRPr="004D7E96" w:rsidRDefault="004D7E96" w:rsidP="00123C9C">
            <w:pPr>
              <w:keepNext/>
              <w:jc w:val="center"/>
              <w:rPr>
                <w:b/>
                <w:sz w:val="20"/>
                <w:szCs w:val="20"/>
              </w:rPr>
            </w:pPr>
            <w:r w:rsidRPr="004D7E96">
              <w:rPr>
                <w:b/>
                <w:sz w:val="20"/>
                <w:szCs w:val="20"/>
              </w:rPr>
              <w:t>Patient count</w:t>
            </w:r>
          </w:p>
        </w:tc>
      </w:tr>
      <w:tr w:rsidR="004D7E96" w:rsidRPr="004D7E96" w14:paraId="4200138C" w14:textId="77777777" w:rsidTr="00C014A3">
        <w:trPr>
          <w:trHeight w:val="300"/>
        </w:trPr>
        <w:tc>
          <w:tcPr>
            <w:tcW w:w="4361" w:type="dxa"/>
            <w:noWrap/>
            <w:hideMark/>
          </w:tcPr>
          <w:p w14:paraId="6F066B60" w14:textId="77777777" w:rsidR="004D7E96" w:rsidRPr="004D7E96" w:rsidRDefault="004D7E96" w:rsidP="00123C9C">
            <w:pPr>
              <w:keepNext/>
              <w:rPr>
                <w:sz w:val="20"/>
                <w:szCs w:val="20"/>
              </w:rPr>
            </w:pPr>
            <w:r w:rsidRPr="004D7E96">
              <w:rPr>
                <w:sz w:val="20"/>
                <w:szCs w:val="20"/>
              </w:rPr>
              <w:t>IMATINIB</w:t>
            </w:r>
          </w:p>
        </w:tc>
        <w:tc>
          <w:tcPr>
            <w:tcW w:w="1919" w:type="dxa"/>
            <w:noWrap/>
            <w:vAlign w:val="center"/>
            <w:hideMark/>
          </w:tcPr>
          <w:p w14:paraId="64523D21" w14:textId="5BAB00BC" w:rsidR="004D7E96" w:rsidRPr="004D7E96" w:rsidRDefault="004D7E96" w:rsidP="00123C9C">
            <w:pPr>
              <w:keepNext/>
              <w:jc w:val="right"/>
              <w:rPr>
                <w:sz w:val="20"/>
                <w:szCs w:val="20"/>
              </w:rPr>
            </w:pPr>
            <w:r w:rsidRPr="004D7E96">
              <w:rPr>
                <w:sz w:val="20"/>
                <w:szCs w:val="20"/>
              </w:rPr>
              <w:t>3</w:t>
            </w:r>
            <w:r>
              <w:rPr>
                <w:sz w:val="20"/>
                <w:szCs w:val="20"/>
              </w:rPr>
              <w:t>,</w:t>
            </w:r>
            <w:r w:rsidRPr="004D7E96">
              <w:rPr>
                <w:sz w:val="20"/>
                <w:szCs w:val="20"/>
              </w:rPr>
              <w:t>040</w:t>
            </w:r>
          </w:p>
        </w:tc>
      </w:tr>
      <w:tr w:rsidR="004D7E96" w:rsidRPr="004D7E96" w14:paraId="1A6716E1" w14:textId="77777777" w:rsidTr="00C014A3">
        <w:trPr>
          <w:trHeight w:val="300"/>
        </w:trPr>
        <w:tc>
          <w:tcPr>
            <w:tcW w:w="4361" w:type="dxa"/>
            <w:noWrap/>
            <w:vAlign w:val="center"/>
            <w:hideMark/>
          </w:tcPr>
          <w:p w14:paraId="17FAC5AB" w14:textId="77777777" w:rsidR="004D7E96" w:rsidRPr="004D7E96" w:rsidRDefault="004D7E96" w:rsidP="00123C9C">
            <w:pPr>
              <w:keepNext/>
              <w:rPr>
                <w:sz w:val="20"/>
                <w:szCs w:val="20"/>
              </w:rPr>
            </w:pPr>
            <w:r w:rsidRPr="004D7E96">
              <w:rPr>
                <w:sz w:val="20"/>
                <w:szCs w:val="20"/>
              </w:rPr>
              <w:t>DASATINIB</w:t>
            </w:r>
          </w:p>
        </w:tc>
        <w:tc>
          <w:tcPr>
            <w:tcW w:w="1919" w:type="dxa"/>
            <w:noWrap/>
            <w:vAlign w:val="center"/>
            <w:hideMark/>
          </w:tcPr>
          <w:p w14:paraId="0A7DE281" w14:textId="77777777" w:rsidR="004D7E96" w:rsidRPr="004D7E96" w:rsidRDefault="004D7E96" w:rsidP="00123C9C">
            <w:pPr>
              <w:keepNext/>
              <w:jc w:val="right"/>
              <w:rPr>
                <w:sz w:val="20"/>
                <w:szCs w:val="20"/>
              </w:rPr>
            </w:pPr>
            <w:r w:rsidRPr="004D7E96">
              <w:rPr>
                <w:sz w:val="20"/>
                <w:szCs w:val="20"/>
              </w:rPr>
              <w:t>802</w:t>
            </w:r>
          </w:p>
        </w:tc>
      </w:tr>
      <w:tr w:rsidR="004D7E96" w:rsidRPr="004D7E96" w14:paraId="561DF046" w14:textId="77777777" w:rsidTr="00C014A3">
        <w:trPr>
          <w:trHeight w:val="300"/>
        </w:trPr>
        <w:tc>
          <w:tcPr>
            <w:tcW w:w="4361" w:type="dxa"/>
            <w:noWrap/>
            <w:vAlign w:val="center"/>
            <w:hideMark/>
          </w:tcPr>
          <w:p w14:paraId="7FE56910" w14:textId="74C27F5C" w:rsidR="004D7E96" w:rsidRPr="004D7E96" w:rsidRDefault="004D7E96" w:rsidP="00123C9C">
            <w:pPr>
              <w:keepNext/>
              <w:rPr>
                <w:sz w:val="20"/>
                <w:szCs w:val="20"/>
              </w:rPr>
            </w:pPr>
            <w:r w:rsidRPr="004D7E96">
              <w:rPr>
                <w:sz w:val="20"/>
                <w:szCs w:val="20"/>
              </w:rPr>
              <w:t>IMATINIB</w:t>
            </w:r>
            <w:r w:rsidR="001A5FE3">
              <w:rPr>
                <w:sz w:val="20"/>
                <w:szCs w:val="20"/>
              </w:rPr>
              <w:t>-</w:t>
            </w:r>
            <w:r w:rsidRPr="004D7E96">
              <w:rPr>
                <w:sz w:val="20"/>
                <w:szCs w:val="20"/>
              </w:rPr>
              <w:t>&gt;DASATINIB</w:t>
            </w:r>
          </w:p>
        </w:tc>
        <w:tc>
          <w:tcPr>
            <w:tcW w:w="1919" w:type="dxa"/>
            <w:noWrap/>
            <w:vAlign w:val="center"/>
            <w:hideMark/>
          </w:tcPr>
          <w:p w14:paraId="1EFC74EA" w14:textId="77777777" w:rsidR="004D7E96" w:rsidRPr="004D7E96" w:rsidRDefault="004D7E96" w:rsidP="00123C9C">
            <w:pPr>
              <w:keepNext/>
              <w:jc w:val="right"/>
              <w:rPr>
                <w:sz w:val="20"/>
                <w:szCs w:val="20"/>
              </w:rPr>
            </w:pPr>
            <w:r w:rsidRPr="004D7E96">
              <w:rPr>
                <w:sz w:val="20"/>
                <w:szCs w:val="20"/>
              </w:rPr>
              <w:t>661</w:t>
            </w:r>
          </w:p>
        </w:tc>
      </w:tr>
      <w:tr w:rsidR="004D7E96" w:rsidRPr="004D7E96" w14:paraId="27983B1D" w14:textId="77777777" w:rsidTr="00C014A3">
        <w:trPr>
          <w:trHeight w:val="300"/>
        </w:trPr>
        <w:tc>
          <w:tcPr>
            <w:tcW w:w="4361" w:type="dxa"/>
            <w:noWrap/>
            <w:vAlign w:val="center"/>
            <w:hideMark/>
          </w:tcPr>
          <w:p w14:paraId="5597A145" w14:textId="77777777" w:rsidR="004D7E96" w:rsidRPr="004D7E96" w:rsidRDefault="004D7E96" w:rsidP="00123C9C">
            <w:pPr>
              <w:keepNext/>
              <w:rPr>
                <w:sz w:val="20"/>
                <w:szCs w:val="20"/>
              </w:rPr>
            </w:pPr>
            <w:r w:rsidRPr="004D7E96">
              <w:rPr>
                <w:sz w:val="20"/>
                <w:szCs w:val="20"/>
              </w:rPr>
              <w:t>NILOTINIB</w:t>
            </w:r>
          </w:p>
        </w:tc>
        <w:tc>
          <w:tcPr>
            <w:tcW w:w="1919" w:type="dxa"/>
            <w:noWrap/>
            <w:vAlign w:val="center"/>
            <w:hideMark/>
          </w:tcPr>
          <w:p w14:paraId="3512A6DD" w14:textId="77777777" w:rsidR="004D7E96" w:rsidRPr="004D7E96" w:rsidRDefault="004D7E96" w:rsidP="00123C9C">
            <w:pPr>
              <w:keepNext/>
              <w:jc w:val="right"/>
              <w:rPr>
                <w:sz w:val="20"/>
                <w:szCs w:val="20"/>
              </w:rPr>
            </w:pPr>
            <w:r w:rsidRPr="004D7E96">
              <w:rPr>
                <w:sz w:val="20"/>
                <w:szCs w:val="20"/>
              </w:rPr>
              <w:t>443</w:t>
            </w:r>
          </w:p>
        </w:tc>
      </w:tr>
      <w:tr w:rsidR="004D7E96" w:rsidRPr="004D7E96" w14:paraId="7A7D8C6A" w14:textId="77777777" w:rsidTr="00C014A3">
        <w:trPr>
          <w:trHeight w:val="300"/>
        </w:trPr>
        <w:tc>
          <w:tcPr>
            <w:tcW w:w="4361" w:type="dxa"/>
            <w:noWrap/>
            <w:vAlign w:val="center"/>
            <w:hideMark/>
          </w:tcPr>
          <w:p w14:paraId="16207E50" w14:textId="332FBEF0" w:rsidR="004D7E96" w:rsidRPr="004D7E96" w:rsidRDefault="004D7E96" w:rsidP="00123C9C">
            <w:pPr>
              <w:keepNext/>
              <w:rPr>
                <w:sz w:val="20"/>
                <w:szCs w:val="20"/>
              </w:rPr>
            </w:pPr>
            <w:r w:rsidRPr="004D7E96">
              <w:rPr>
                <w:sz w:val="20"/>
                <w:szCs w:val="20"/>
              </w:rPr>
              <w:t>IMATINIB</w:t>
            </w:r>
            <w:r w:rsidR="001A5FE3">
              <w:rPr>
                <w:sz w:val="20"/>
                <w:szCs w:val="20"/>
              </w:rPr>
              <w:t>-</w:t>
            </w:r>
            <w:r w:rsidRPr="004D7E96">
              <w:rPr>
                <w:sz w:val="20"/>
                <w:szCs w:val="20"/>
              </w:rPr>
              <w:t>&gt;NILOTINIB</w:t>
            </w:r>
          </w:p>
        </w:tc>
        <w:tc>
          <w:tcPr>
            <w:tcW w:w="1919" w:type="dxa"/>
            <w:noWrap/>
            <w:vAlign w:val="center"/>
            <w:hideMark/>
          </w:tcPr>
          <w:p w14:paraId="779A6E11" w14:textId="77777777" w:rsidR="004D7E96" w:rsidRPr="004D7E96" w:rsidRDefault="004D7E96" w:rsidP="00123C9C">
            <w:pPr>
              <w:keepNext/>
              <w:jc w:val="right"/>
              <w:rPr>
                <w:sz w:val="20"/>
                <w:szCs w:val="20"/>
              </w:rPr>
            </w:pPr>
            <w:r w:rsidRPr="004D7E96">
              <w:rPr>
                <w:sz w:val="20"/>
                <w:szCs w:val="20"/>
              </w:rPr>
              <w:t>326</w:t>
            </w:r>
          </w:p>
        </w:tc>
      </w:tr>
      <w:tr w:rsidR="004D7E96" w:rsidRPr="004D7E96" w14:paraId="72AAD46D" w14:textId="77777777" w:rsidTr="00C014A3">
        <w:trPr>
          <w:trHeight w:val="300"/>
        </w:trPr>
        <w:tc>
          <w:tcPr>
            <w:tcW w:w="4361" w:type="dxa"/>
            <w:noWrap/>
            <w:vAlign w:val="center"/>
            <w:hideMark/>
          </w:tcPr>
          <w:p w14:paraId="3D80C3A8" w14:textId="6EA37B97" w:rsidR="004D7E96" w:rsidRPr="004D7E96" w:rsidRDefault="004D7E96" w:rsidP="00123C9C">
            <w:pPr>
              <w:keepNext/>
              <w:rPr>
                <w:sz w:val="20"/>
                <w:szCs w:val="20"/>
              </w:rPr>
            </w:pPr>
            <w:r w:rsidRPr="004D7E96">
              <w:rPr>
                <w:sz w:val="20"/>
                <w:szCs w:val="20"/>
              </w:rPr>
              <w:t>IMATINIB</w:t>
            </w:r>
            <w:r w:rsidR="001A5FE3">
              <w:rPr>
                <w:sz w:val="20"/>
                <w:szCs w:val="20"/>
              </w:rPr>
              <w:t>-</w:t>
            </w:r>
            <w:r w:rsidRPr="004D7E96">
              <w:rPr>
                <w:sz w:val="20"/>
                <w:szCs w:val="20"/>
              </w:rPr>
              <w:t>&gt;DASATINIB</w:t>
            </w:r>
            <w:r w:rsidR="001A5FE3">
              <w:rPr>
                <w:sz w:val="20"/>
                <w:szCs w:val="20"/>
              </w:rPr>
              <w:t>-</w:t>
            </w:r>
            <w:r w:rsidRPr="004D7E96">
              <w:rPr>
                <w:sz w:val="20"/>
                <w:szCs w:val="20"/>
              </w:rPr>
              <w:t>&gt;NILOTINIB</w:t>
            </w:r>
          </w:p>
        </w:tc>
        <w:tc>
          <w:tcPr>
            <w:tcW w:w="1919" w:type="dxa"/>
            <w:noWrap/>
            <w:vAlign w:val="center"/>
            <w:hideMark/>
          </w:tcPr>
          <w:p w14:paraId="0FDED555" w14:textId="77777777" w:rsidR="004D7E96" w:rsidRPr="004D7E96" w:rsidRDefault="004D7E96" w:rsidP="00123C9C">
            <w:pPr>
              <w:keepNext/>
              <w:jc w:val="right"/>
              <w:rPr>
                <w:sz w:val="20"/>
                <w:szCs w:val="20"/>
              </w:rPr>
            </w:pPr>
            <w:r w:rsidRPr="004D7E96">
              <w:rPr>
                <w:sz w:val="20"/>
                <w:szCs w:val="20"/>
              </w:rPr>
              <w:t>186</w:t>
            </w:r>
          </w:p>
        </w:tc>
      </w:tr>
      <w:tr w:rsidR="004D7E96" w:rsidRPr="004D7E96" w14:paraId="604F228F" w14:textId="77777777" w:rsidTr="00C014A3">
        <w:trPr>
          <w:trHeight w:val="300"/>
        </w:trPr>
        <w:tc>
          <w:tcPr>
            <w:tcW w:w="4361" w:type="dxa"/>
            <w:noWrap/>
            <w:vAlign w:val="center"/>
            <w:hideMark/>
          </w:tcPr>
          <w:p w14:paraId="1EA43C6E" w14:textId="04FBA9E8" w:rsidR="004D7E96" w:rsidRPr="004D7E96" w:rsidRDefault="004D7E96" w:rsidP="00123C9C">
            <w:pPr>
              <w:keepNext/>
              <w:rPr>
                <w:sz w:val="20"/>
                <w:szCs w:val="20"/>
              </w:rPr>
            </w:pPr>
            <w:r w:rsidRPr="004D7E96">
              <w:rPr>
                <w:sz w:val="20"/>
                <w:szCs w:val="20"/>
              </w:rPr>
              <w:t>DASATINIB</w:t>
            </w:r>
            <w:r w:rsidR="001A5FE3">
              <w:rPr>
                <w:sz w:val="20"/>
                <w:szCs w:val="20"/>
              </w:rPr>
              <w:t>-</w:t>
            </w:r>
            <w:r w:rsidRPr="004D7E96">
              <w:rPr>
                <w:sz w:val="20"/>
                <w:szCs w:val="20"/>
              </w:rPr>
              <w:t>&gt;NILOTINIB</w:t>
            </w:r>
          </w:p>
        </w:tc>
        <w:tc>
          <w:tcPr>
            <w:tcW w:w="1919" w:type="dxa"/>
            <w:noWrap/>
            <w:vAlign w:val="center"/>
            <w:hideMark/>
          </w:tcPr>
          <w:p w14:paraId="1DAF11EB" w14:textId="77777777" w:rsidR="004D7E96" w:rsidRPr="004D7E96" w:rsidRDefault="004D7E96" w:rsidP="00123C9C">
            <w:pPr>
              <w:keepNext/>
              <w:jc w:val="right"/>
              <w:rPr>
                <w:sz w:val="20"/>
                <w:szCs w:val="20"/>
              </w:rPr>
            </w:pPr>
            <w:r w:rsidRPr="004D7E96">
              <w:rPr>
                <w:sz w:val="20"/>
                <w:szCs w:val="20"/>
              </w:rPr>
              <w:t>119</w:t>
            </w:r>
          </w:p>
        </w:tc>
      </w:tr>
      <w:tr w:rsidR="004D7E96" w:rsidRPr="004D7E96" w14:paraId="2DD607D6" w14:textId="77777777" w:rsidTr="00C014A3">
        <w:trPr>
          <w:trHeight w:val="300"/>
        </w:trPr>
        <w:tc>
          <w:tcPr>
            <w:tcW w:w="4361" w:type="dxa"/>
            <w:noWrap/>
            <w:vAlign w:val="center"/>
            <w:hideMark/>
          </w:tcPr>
          <w:p w14:paraId="56EDBF02" w14:textId="6BAB6037" w:rsidR="004D7E96" w:rsidRPr="004D7E96" w:rsidRDefault="004D7E96" w:rsidP="00123C9C">
            <w:pPr>
              <w:keepNext/>
              <w:rPr>
                <w:sz w:val="20"/>
                <w:szCs w:val="20"/>
              </w:rPr>
            </w:pPr>
            <w:r w:rsidRPr="004D7E96">
              <w:rPr>
                <w:sz w:val="20"/>
                <w:szCs w:val="20"/>
              </w:rPr>
              <w:t>IMATINIB</w:t>
            </w:r>
            <w:r w:rsidR="001A5FE3">
              <w:rPr>
                <w:sz w:val="20"/>
                <w:szCs w:val="20"/>
              </w:rPr>
              <w:t>-</w:t>
            </w:r>
            <w:r w:rsidRPr="004D7E96">
              <w:rPr>
                <w:sz w:val="20"/>
                <w:szCs w:val="20"/>
              </w:rPr>
              <w:t>&gt;NILOTINIB</w:t>
            </w:r>
            <w:r w:rsidR="001A5FE3">
              <w:rPr>
                <w:sz w:val="20"/>
                <w:szCs w:val="20"/>
              </w:rPr>
              <w:t>-</w:t>
            </w:r>
            <w:r w:rsidRPr="004D7E96">
              <w:rPr>
                <w:sz w:val="20"/>
                <w:szCs w:val="20"/>
              </w:rPr>
              <w:t>&gt;DASATINIB</w:t>
            </w:r>
          </w:p>
        </w:tc>
        <w:tc>
          <w:tcPr>
            <w:tcW w:w="1919" w:type="dxa"/>
            <w:noWrap/>
            <w:vAlign w:val="center"/>
            <w:hideMark/>
          </w:tcPr>
          <w:p w14:paraId="79C5A19D" w14:textId="77777777" w:rsidR="004D7E96" w:rsidRPr="004D7E96" w:rsidRDefault="004D7E96" w:rsidP="00123C9C">
            <w:pPr>
              <w:keepNext/>
              <w:jc w:val="right"/>
              <w:rPr>
                <w:sz w:val="20"/>
                <w:szCs w:val="20"/>
              </w:rPr>
            </w:pPr>
            <w:r w:rsidRPr="004D7E96">
              <w:rPr>
                <w:sz w:val="20"/>
                <w:szCs w:val="20"/>
              </w:rPr>
              <w:t>106</w:t>
            </w:r>
          </w:p>
        </w:tc>
      </w:tr>
      <w:tr w:rsidR="004D7E96" w:rsidRPr="004D7E96" w14:paraId="55876C6A" w14:textId="77777777" w:rsidTr="00C014A3">
        <w:trPr>
          <w:trHeight w:val="300"/>
        </w:trPr>
        <w:tc>
          <w:tcPr>
            <w:tcW w:w="4361" w:type="dxa"/>
            <w:noWrap/>
            <w:vAlign w:val="center"/>
            <w:hideMark/>
          </w:tcPr>
          <w:p w14:paraId="06F763B4" w14:textId="41A22BE1" w:rsidR="004D7E96" w:rsidRPr="004D7E96" w:rsidRDefault="004D7E96" w:rsidP="00123C9C">
            <w:pPr>
              <w:keepNext/>
              <w:rPr>
                <w:sz w:val="20"/>
                <w:szCs w:val="20"/>
              </w:rPr>
            </w:pPr>
            <w:r w:rsidRPr="004D7E96">
              <w:rPr>
                <w:sz w:val="20"/>
                <w:szCs w:val="20"/>
              </w:rPr>
              <w:t>DASATINIB</w:t>
            </w:r>
            <w:r w:rsidR="001A5FE3">
              <w:rPr>
                <w:sz w:val="20"/>
                <w:szCs w:val="20"/>
              </w:rPr>
              <w:t>-</w:t>
            </w:r>
            <w:r w:rsidRPr="004D7E96">
              <w:rPr>
                <w:sz w:val="20"/>
                <w:szCs w:val="20"/>
              </w:rPr>
              <w:t>&gt;IMATINIB</w:t>
            </w:r>
          </w:p>
        </w:tc>
        <w:tc>
          <w:tcPr>
            <w:tcW w:w="1919" w:type="dxa"/>
            <w:noWrap/>
            <w:vAlign w:val="center"/>
            <w:hideMark/>
          </w:tcPr>
          <w:p w14:paraId="5BB8A464" w14:textId="77777777" w:rsidR="004D7E96" w:rsidRPr="004D7E96" w:rsidRDefault="004D7E96" w:rsidP="00123C9C">
            <w:pPr>
              <w:keepNext/>
              <w:jc w:val="right"/>
              <w:rPr>
                <w:sz w:val="20"/>
                <w:szCs w:val="20"/>
              </w:rPr>
            </w:pPr>
            <w:r w:rsidRPr="004D7E96">
              <w:rPr>
                <w:sz w:val="20"/>
                <w:szCs w:val="20"/>
              </w:rPr>
              <w:t>84</w:t>
            </w:r>
          </w:p>
        </w:tc>
      </w:tr>
      <w:tr w:rsidR="004D7E96" w:rsidRPr="004D7E96" w14:paraId="35264C86" w14:textId="77777777" w:rsidTr="00C014A3">
        <w:trPr>
          <w:trHeight w:val="300"/>
        </w:trPr>
        <w:tc>
          <w:tcPr>
            <w:tcW w:w="4361" w:type="dxa"/>
            <w:noWrap/>
            <w:vAlign w:val="center"/>
            <w:hideMark/>
          </w:tcPr>
          <w:p w14:paraId="4757016A" w14:textId="1A41FBCB" w:rsidR="004D7E96" w:rsidRPr="004D7E96" w:rsidRDefault="004D7E96" w:rsidP="00C014A3">
            <w:pPr>
              <w:rPr>
                <w:sz w:val="20"/>
                <w:szCs w:val="20"/>
              </w:rPr>
            </w:pPr>
            <w:r w:rsidRPr="004D7E96">
              <w:rPr>
                <w:sz w:val="20"/>
                <w:szCs w:val="20"/>
              </w:rPr>
              <w:t>NILOTINIB</w:t>
            </w:r>
            <w:r w:rsidR="001A5FE3">
              <w:rPr>
                <w:sz w:val="20"/>
                <w:szCs w:val="20"/>
              </w:rPr>
              <w:t>-</w:t>
            </w:r>
            <w:r w:rsidRPr="004D7E96">
              <w:rPr>
                <w:sz w:val="20"/>
                <w:szCs w:val="20"/>
              </w:rPr>
              <w:t>&gt;DASATINIB</w:t>
            </w:r>
          </w:p>
        </w:tc>
        <w:tc>
          <w:tcPr>
            <w:tcW w:w="1919" w:type="dxa"/>
            <w:noWrap/>
            <w:vAlign w:val="center"/>
            <w:hideMark/>
          </w:tcPr>
          <w:p w14:paraId="6FDE105A" w14:textId="77777777" w:rsidR="004D7E96" w:rsidRPr="004D7E96" w:rsidRDefault="004D7E96" w:rsidP="00C014A3">
            <w:pPr>
              <w:jc w:val="right"/>
              <w:rPr>
                <w:sz w:val="20"/>
                <w:szCs w:val="20"/>
              </w:rPr>
            </w:pPr>
            <w:r w:rsidRPr="004D7E96">
              <w:rPr>
                <w:sz w:val="20"/>
                <w:szCs w:val="20"/>
              </w:rPr>
              <w:t>61</w:t>
            </w:r>
          </w:p>
        </w:tc>
      </w:tr>
    </w:tbl>
    <w:p w14:paraId="1E8799D5" w14:textId="4A0276B7" w:rsidR="004D7E96" w:rsidRDefault="004D7E96" w:rsidP="00874A15"/>
    <w:p w14:paraId="5B9126DE" w14:textId="2414C2BA" w:rsidR="00C014A3" w:rsidRDefault="00C014A3" w:rsidP="00123C9C">
      <w:pPr>
        <w:pStyle w:val="Tabletitle"/>
        <w:keepNext/>
      </w:pPr>
      <w:r>
        <w:t xml:space="preserve">Table </w:t>
      </w:r>
      <w:r w:rsidR="00B607AC">
        <w:t>8</w:t>
      </w:r>
      <w:r>
        <w:t>: Top ten medicine sequences for patients who initiated after November 2015</w:t>
      </w:r>
    </w:p>
    <w:tbl>
      <w:tblPr>
        <w:tblStyle w:val="TableGrid"/>
        <w:tblW w:w="0" w:type="auto"/>
        <w:tblLook w:val="04A0" w:firstRow="1" w:lastRow="0" w:firstColumn="1" w:lastColumn="0" w:noHBand="0" w:noVBand="1"/>
        <w:tblCaption w:val="Top ten medicine sequences for patients who initiated after November 2015"/>
        <w:tblDescription w:val="Top ten medicine sequences for patients who initiated after November 2015"/>
      </w:tblPr>
      <w:tblGrid>
        <w:gridCol w:w="4361"/>
        <w:gridCol w:w="1984"/>
      </w:tblGrid>
      <w:tr w:rsidR="00C014A3" w:rsidRPr="004D7E96" w14:paraId="3254383B" w14:textId="77777777" w:rsidTr="00575C98">
        <w:trPr>
          <w:trHeight w:val="300"/>
          <w:tblHeader/>
        </w:trPr>
        <w:tc>
          <w:tcPr>
            <w:tcW w:w="4361" w:type="dxa"/>
            <w:shd w:val="clear" w:color="auto" w:fill="BFBFBF" w:themeFill="background1" w:themeFillShade="BF"/>
            <w:noWrap/>
            <w:vAlign w:val="center"/>
            <w:hideMark/>
          </w:tcPr>
          <w:p w14:paraId="07003508" w14:textId="77777777" w:rsidR="00C014A3" w:rsidRPr="004D7E96" w:rsidRDefault="00C014A3" w:rsidP="00123C9C">
            <w:pPr>
              <w:keepNext/>
              <w:rPr>
                <w:b/>
                <w:sz w:val="20"/>
                <w:szCs w:val="20"/>
              </w:rPr>
            </w:pPr>
            <w:r w:rsidRPr="004D7E96">
              <w:rPr>
                <w:b/>
                <w:sz w:val="20"/>
                <w:szCs w:val="20"/>
              </w:rPr>
              <w:t>Sequence</w:t>
            </w:r>
          </w:p>
        </w:tc>
        <w:tc>
          <w:tcPr>
            <w:tcW w:w="1984" w:type="dxa"/>
            <w:shd w:val="clear" w:color="auto" w:fill="BFBFBF" w:themeFill="background1" w:themeFillShade="BF"/>
            <w:noWrap/>
            <w:vAlign w:val="center"/>
            <w:hideMark/>
          </w:tcPr>
          <w:p w14:paraId="2DFF32FF" w14:textId="77777777" w:rsidR="00C014A3" w:rsidRPr="004D7E96" w:rsidRDefault="00C014A3" w:rsidP="00123C9C">
            <w:pPr>
              <w:keepNext/>
              <w:jc w:val="center"/>
              <w:rPr>
                <w:b/>
                <w:sz w:val="20"/>
                <w:szCs w:val="20"/>
              </w:rPr>
            </w:pPr>
            <w:r w:rsidRPr="004D7E96">
              <w:rPr>
                <w:b/>
                <w:sz w:val="20"/>
                <w:szCs w:val="20"/>
              </w:rPr>
              <w:t>Patient count</w:t>
            </w:r>
          </w:p>
        </w:tc>
      </w:tr>
      <w:tr w:rsidR="00C014A3" w:rsidRPr="00C014A3" w14:paraId="1CEC2E56" w14:textId="77777777" w:rsidTr="00C014A3">
        <w:trPr>
          <w:trHeight w:val="300"/>
        </w:trPr>
        <w:tc>
          <w:tcPr>
            <w:tcW w:w="4361" w:type="dxa"/>
            <w:noWrap/>
            <w:vAlign w:val="center"/>
            <w:hideMark/>
          </w:tcPr>
          <w:p w14:paraId="4B2B20F7" w14:textId="77777777" w:rsidR="00C014A3" w:rsidRPr="00C014A3" w:rsidRDefault="00C014A3" w:rsidP="00123C9C">
            <w:pPr>
              <w:keepNext/>
              <w:rPr>
                <w:sz w:val="20"/>
                <w:szCs w:val="20"/>
              </w:rPr>
            </w:pPr>
            <w:r w:rsidRPr="00C014A3">
              <w:rPr>
                <w:sz w:val="20"/>
                <w:szCs w:val="20"/>
              </w:rPr>
              <w:t>DASATINIB</w:t>
            </w:r>
          </w:p>
        </w:tc>
        <w:tc>
          <w:tcPr>
            <w:tcW w:w="1984" w:type="dxa"/>
            <w:noWrap/>
            <w:vAlign w:val="center"/>
            <w:hideMark/>
          </w:tcPr>
          <w:p w14:paraId="509C72C7" w14:textId="77777777" w:rsidR="00C014A3" w:rsidRPr="00C014A3" w:rsidRDefault="00C014A3" w:rsidP="00123C9C">
            <w:pPr>
              <w:keepNext/>
              <w:jc w:val="right"/>
              <w:rPr>
                <w:sz w:val="20"/>
                <w:szCs w:val="20"/>
              </w:rPr>
            </w:pPr>
            <w:r w:rsidRPr="00C014A3">
              <w:rPr>
                <w:sz w:val="20"/>
                <w:szCs w:val="20"/>
              </w:rPr>
              <w:t>477</w:t>
            </w:r>
          </w:p>
        </w:tc>
      </w:tr>
      <w:tr w:rsidR="00C014A3" w:rsidRPr="00C014A3" w14:paraId="57636BC2" w14:textId="77777777" w:rsidTr="00C014A3">
        <w:trPr>
          <w:trHeight w:val="300"/>
        </w:trPr>
        <w:tc>
          <w:tcPr>
            <w:tcW w:w="4361" w:type="dxa"/>
            <w:noWrap/>
            <w:vAlign w:val="center"/>
            <w:hideMark/>
          </w:tcPr>
          <w:p w14:paraId="2BBA5E41" w14:textId="77777777" w:rsidR="00C014A3" w:rsidRPr="00C014A3" w:rsidRDefault="00C014A3" w:rsidP="00123C9C">
            <w:pPr>
              <w:keepNext/>
              <w:rPr>
                <w:sz w:val="20"/>
                <w:szCs w:val="20"/>
              </w:rPr>
            </w:pPr>
            <w:r w:rsidRPr="00C014A3">
              <w:rPr>
                <w:sz w:val="20"/>
                <w:szCs w:val="20"/>
              </w:rPr>
              <w:t>IMATINIB</w:t>
            </w:r>
          </w:p>
        </w:tc>
        <w:tc>
          <w:tcPr>
            <w:tcW w:w="1984" w:type="dxa"/>
            <w:noWrap/>
            <w:vAlign w:val="center"/>
            <w:hideMark/>
          </w:tcPr>
          <w:p w14:paraId="27BEA241" w14:textId="77777777" w:rsidR="00C014A3" w:rsidRPr="00C014A3" w:rsidRDefault="00C014A3" w:rsidP="00123C9C">
            <w:pPr>
              <w:keepNext/>
              <w:jc w:val="right"/>
              <w:rPr>
                <w:sz w:val="20"/>
                <w:szCs w:val="20"/>
              </w:rPr>
            </w:pPr>
            <w:r w:rsidRPr="00C014A3">
              <w:rPr>
                <w:sz w:val="20"/>
                <w:szCs w:val="20"/>
              </w:rPr>
              <w:t>408</w:t>
            </w:r>
          </w:p>
        </w:tc>
      </w:tr>
      <w:tr w:rsidR="00C014A3" w:rsidRPr="00C014A3" w14:paraId="33B54375" w14:textId="77777777" w:rsidTr="00C014A3">
        <w:trPr>
          <w:trHeight w:val="300"/>
        </w:trPr>
        <w:tc>
          <w:tcPr>
            <w:tcW w:w="4361" w:type="dxa"/>
            <w:noWrap/>
            <w:vAlign w:val="center"/>
            <w:hideMark/>
          </w:tcPr>
          <w:p w14:paraId="1C29CAA5" w14:textId="77777777" w:rsidR="00C014A3" w:rsidRPr="00C014A3" w:rsidRDefault="00C014A3" w:rsidP="00123C9C">
            <w:pPr>
              <w:keepNext/>
              <w:rPr>
                <w:sz w:val="20"/>
                <w:szCs w:val="20"/>
              </w:rPr>
            </w:pPr>
            <w:r w:rsidRPr="00C014A3">
              <w:rPr>
                <w:sz w:val="20"/>
                <w:szCs w:val="20"/>
              </w:rPr>
              <w:t>NILOTINIB</w:t>
            </w:r>
          </w:p>
        </w:tc>
        <w:tc>
          <w:tcPr>
            <w:tcW w:w="1984" w:type="dxa"/>
            <w:noWrap/>
            <w:vAlign w:val="center"/>
            <w:hideMark/>
          </w:tcPr>
          <w:p w14:paraId="0A4FD544" w14:textId="77777777" w:rsidR="00C014A3" w:rsidRPr="00C014A3" w:rsidRDefault="00C014A3" w:rsidP="00123C9C">
            <w:pPr>
              <w:keepNext/>
              <w:jc w:val="right"/>
              <w:rPr>
                <w:sz w:val="20"/>
                <w:szCs w:val="20"/>
              </w:rPr>
            </w:pPr>
            <w:r w:rsidRPr="00C014A3">
              <w:rPr>
                <w:sz w:val="20"/>
                <w:szCs w:val="20"/>
              </w:rPr>
              <w:t>192</w:t>
            </w:r>
          </w:p>
        </w:tc>
      </w:tr>
      <w:tr w:rsidR="00C014A3" w:rsidRPr="00C014A3" w14:paraId="57D250D5" w14:textId="77777777" w:rsidTr="00C014A3">
        <w:trPr>
          <w:trHeight w:val="300"/>
        </w:trPr>
        <w:tc>
          <w:tcPr>
            <w:tcW w:w="4361" w:type="dxa"/>
            <w:noWrap/>
            <w:vAlign w:val="center"/>
            <w:hideMark/>
          </w:tcPr>
          <w:p w14:paraId="4BE9AA5B" w14:textId="12EE093B" w:rsidR="00C014A3" w:rsidRPr="00C014A3" w:rsidRDefault="00C014A3" w:rsidP="00123C9C">
            <w:pPr>
              <w:keepNext/>
              <w:rPr>
                <w:sz w:val="20"/>
                <w:szCs w:val="20"/>
              </w:rPr>
            </w:pPr>
            <w:r w:rsidRPr="00C014A3">
              <w:rPr>
                <w:sz w:val="20"/>
                <w:szCs w:val="20"/>
              </w:rPr>
              <w:t>IMATINIB</w:t>
            </w:r>
            <w:r w:rsidR="00050069">
              <w:rPr>
                <w:sz w:val="20"/>
                <w:szCs w:val="20"/>
              </w:rPr>
              <w:t>-</w:t>
            </w:r>
            <w:r w:rsidRPr="00C014A3">
              <w:rPr>
                <w:sz w:val="20"/>
                <w:szCs w:val="20"/>
              </w:rPr>
              <w:t>&gt;DASATINIB</w:t>
            </w:r>
          </w:p>
        </w:tc>
        <w:tc>
          <w:tcPr>
            <w:tcW w:w="1984" w:type="dxa"/>
            <w:noWrap/>
            <w:vAlign w:val="center"/>
            <w:hideMark/>
          </w:tcPr>
          <w:p w14:paraId="5E395081" w14:textId="77777777" w:rsidR="00C014A3" w:rsidRPr="00C014A3" w:rsidRDefault="00C014A3" w:rsidP="00123C9C">
            <w:pPr>
              <w:keepNext/>
              <w:jc w:val="right"/>
              <w:rPr>
                <w:sz w:val="20"/>
                <w:szCs w:val="20"/>
              </w:rPr>
            </w:pPr>
            <w:r w:rsidRPr="00C014A3">
              <w:rPr>
                <w:sz w:val="20"/>
                <w:szCs w:val="20"/>
              </w:rPr>
              <w:t>68</w:t>
            </w:r>
          </w:p>
        </w:tc>
      </w:tr>
      <w:tr w:rsidR="00C014A3" w:rsidRPr="00C014A3" w14:paraId="0AC4E630" w14:textId="77777777" w:rsidTr="00C014A3">
        <w:trPr>
          <w:trHeight w:val="300"/>
        </w:trPr>
        <w:tc>
          <w:tcPr>
            <w:tcW w:w="4361" w:type="dxa"/>
            <w:noWrap/>
            <w:vAlign w:val="center"/>
            <w:hideMark/>
          </w:tcPr>
          <w:p w14:paraId="3A73F1C4" w14:textId="0A22A668" w:rsidR="00C014A3" w:rsidRPr="00C014A3" w:rsidRDefault="00C014A3" w:rsidP="00123C9C">
            <w:pPr>
              <w:keepNext/>
              <w:rPr>
                <w:sz w:val="20"/>
                <w:szCs w:val="20"/>
              </w:rPr>
            </w:pPr>
            <w:r w:rsidRPr="00C014A3">
              <w:rPr>
                <w:sz w:val="20"/>
                <w:szCs w:val="20"/>
              </w:rPr>
              <w:t>DASATINIB</w:t>
            </w:r>
            <w:r w:rsidR="00050069">
              <w:rPr>
                <w:sz w:val="20"/>
                <w:szCs w:val="20"/>
              </w:rPr>
              <w:t>-</w:t>
            </w:r>
            <w:r w:rsidRPr="00C014A3">
              <w:rPr>
                <w:sz w:val="20"/>
                <w:szCs w:val="20"/>
              </w:rPr>
              <w:t>&gt;NILOTINIB</w:t>
            </w:r>
          </w:p>
        </w:tc>
        <w:tc>
          <w:tcPr>
            <w:tcW w:w="1984" w:type="dxa"/>
            <w:noWrap/>
            <w:vAlign w:val="center"/>
            <w:hideMark/>
          </w:tcPr>
          <w:p w14:paraId="0D0EC5BF" w14:textId="77777777" w:rsidR="00C014A3" w:rsidRPr="00C014A3" w:rsidRDefault="00C014A3" w:rsidP="00123C9C">
            <w:pPr>
              <w:keepNext/>
              <w:jc w:val="right"/>
              <w:rPr>
                <w:sz w:val="20"/>
                <w:szCs w:val="20"/>
              </w:rPr>
            </w:pPr>
            <w:r w:rsidRPr="00C014A3">
              <w:rPr>
                <w:sz w:val="20"/>
                <w:szCs w:val="20"/>
              </w:rPr>
              <w:t>47</w:t>
            </w:r>
          </w:p>
        </w:tc>
      </w:tr>
      <w:tr w:rsidR="00C014A3" w:rsidRPr="00C014A3" w14:paraId="6F6F0D33" w14:textId="77777777" w:rsidTr="00C014A3">
        <w:trPr>
          <w:trHeight w:val="300"/>
        </w:trPr>
        <w:tc>
          <w:tcPr>
            <w:tcW w:w="4361" w:type="dxa"/>
            <w:noWrap/>
            <w:vAlign w:val="center"/>
            <w:hideMark/>
          </w:tcPr>
          <w:p w14:paraId="3EBF82F3" w14:textId="39C00145" w:rsidR="00C014A3" w:rsidRPr="00C014A3" w:rsidRDefault="00C014A3" w:rsidP="00123C9C">
            <w:pPr>
              <w:keepNext/>
              <w:rPr>
                <w:sz w:val="20"/>
                <w:szCs w:val="20"/>
              </w:rPr>
            </w:pPr>
            <w:r w:rsidRPr="00C014A3">
              <w:rPr>
                <w:sz w:val="20"/>
                <w:szCs w:val="20"/>
              </w:rPr>
              <w:t>DASATINIB</w:t>
            </w:r>
            <w:r w:rsidR="00050069">
              <w:rPr>
                <w:sz w:val="20"/>
                <w:szCs w:val="20"/>
              </w:rPr>
              <w:t>-</w:t>
            </w:r>
            <w:r w:rsidRPr="00C014A3">
              <w:rPr>
                <w:sz w:val="20"/>
                <w:szCs w:val="20"/>
              </w:rPr>
              <w:t>&gt;IMATINIB</w:t>
            </w:r>
          </w:p>
        </w:tc>
        <w:tc>
          <w:tcPr>
            <w:tcW w:w="1984" w:type="dxa"/>
            <w:noWrap/>
            <w:vAlign w:val="center"/>
            <w:hideMark/>
          </w:tcPr>
          <w:p w14:paraId="540F7101" w14:textId="77777777" w:rsidR="00C014A3" w:rsidRPr="00C014A3" w:rsidRDefault="00C014A3" w:rsidP="00123C9C">
            <w:pPr>
              <w:keepNext/>
              <w:jc w:val="right"/>
              <w:rPr>
                <w:sz w:val="20"/>
                <w:szCs w:val="20"/>
              </w:rPr>
            </w:pPr>
            <w:r w:rsidRPr="00C014A3">
              <w:rPr>
                <w:sz w:val="20"/>
                <w:szCs w:val="20"/>
              </w:rPr>
              <w:t>38</w:t>
            </w:r>
          </w:p>
        </w:tc>
      </w:tr>
      <w:tr w:rsidR="00C014A3" w:rsidRPr="00C014A3" w14:paraId="178ADD5C" w14:textId="77777777" w:rsidTr="00C014A3">
        <w:trPr>
          <w:trHeight w:val="300"/>
        </w:trPr>
        <w:tc>
          <w:tcPr>
            <w:tcW w:w="4361" w:type="dxa"/>
            <w:noWrap/>
            <w:vAlign w:val="center"/>
            <w:hideMark/>
          </w:tcPr>
          <w:p w14:paraId="125A5591" w14:textId="54F62164" w:rsidR="00C014A3" w:rsidRPr="00C014A3" w:rsidRDefault="00C014A3" w:rsidP="00123C9C">
            <w:pPr>
              <w:keepNext/>
              <w:rPr>
                <w:sz w:val="20"/>
                <w:szCs w:val="20"/>
              </w:rPr>
            </w:pPr>
            <w:r w:rsidRPr="00C014A3">
              <w:rPr>
                <w:sz w:val="20"/>
                <w:szCs w:val="20"/>
              </w:rPr>
              <w:t>IMATINIB</w:t>
            </w:r>
            <w:r w:rsidR="00050069">
              <w:rPr>
                <w:sz w:val="20"/>
                <w:szCs w:val="20"/>
              </w:rPr>
              <w:t>-</w:t>
            </w:r>
            <w:r w:rsidRPr="00C014A3">
              <w:rPr>
                <w:sz w:val="20"/>
                <w:szCs w:val="20"/>
              </w:rPr>
              <w:t>&gt;NILOTINIB</w:t>
            </w:r>
          </w:p>
        </w:tc>
        <w:tc>
          <w:tcPr>
            <w:tcW w:w="1984" w:type="dxa"/>
            <w:noWrap/>
            <w:vAlign w:val="center"/>
            <w:hideMark/>
          </w:tcPr>
          <w:p w14:paraId="2E914EDA" w14:textId="77777777" w:rsidR="00C014A3" w:rsidRPr="00C014A3" w:rsidRDefault="00C014A3" w:rsidP="00123C9C">
            <w:pPr>
              <w:keepNext/>
              <w:jc w:val="right"/>
              <w:rPr>
                <w:sz w:val="20"/>
                <w:szCs w:val="20"/>
              </w:rPr>
            </w:pPr>
            <w:r w:rsidRPr="00C014A3">
              <w:rPr>
                <w:sz w:val="20"/>
                <w:szCs w:val="20"/>
              </w:rPr>
              <w:t>32</w:t>
            </w:r>
          </w:p>
        </w:tc>
      </w:tr>
      <w:tr w:rsidR="00C014A3" w:rsidRPr="00C014A3" w14:paraId="21AB4110" w14:textId="77777777" w:rsidTr="00C014A3">
        <w:trPr>
          <w:trHeight w:val="300"/>
        </w:trPr>
        <w:tc>
          <w:tcPr>
            <w:tcW w:w="4361" w:type="dxa"/>
            <w:noWrap/>
            <w:vAlign w:val="center"/>
            <w:hideMark/>
          </w:tcPr>
          <w:p w14:paraId="455AD5EF" w14:textId="6FC4BC8E" w:rsidR="00C014A3" w:rsidRPr="00C014A3" w:rsidRDefault="00C014A3" w:rsidP="00123C9C">
            <w:pPr>
              <w:keepNext/>
              <w:rPr>
                <w:sz w:val="20"/>
                <w:szCs w:val="20"/>
              </w:rPr>
            </w:pPr>
            <w:r w:rsidRPr="00C014A3">
              <w:rPr>
                <w:sz w:val="20"/>
                <w:szCs w:val="20"/>
              </w:rPr>
              <w:t>NILOTINIB</w:t>
            </w:r>
            <w:r w:rsidR="00050069">
              <w:rPr>
                <w:sz w:val="20"/>
                <w:szCs w:val="20"/>
              </w:rPr>
              <w:t>-</w:t>
            </w:r>
            <w:r w:rsidRPr="00C014A3">
              <w:rPr>
                <w:sz w:val="20"/>
                <w:szCs w:val="20"/>
              </w:rPr>
              <w:t>&gt;DASATINIB</w:t>
            </w:r>
          </w:p>
        </w:tc>
        <w:tc>
          <w:tcPr>
            <w:tcW w:w="1984" w:type="dxa"/>
            <w:noWrap/>
            <w:vAlign w:val="center"/>
            <w:hideMark/>
          </w:tcPr>
          <w:p w14:paraId="48CDFE8D" w14:textId="77777777" w:rsidR="00C014A3" w:rsidRPr="00C014A3" w:rsidRDefault="00C014A3" w:rsidP="00123C9C">
            <w:pPr>
              <w:keepNext/>
              <w:jc w:val="right"/>
              <w:rPr>
                <w:sz w:val="20"/>
                <w:szCs w:val="20"/>
              </w:rPr>
            </w:pPr>
            <w:r w:rsidRPr="00C014A3">
              <w:rPr>
                <w:sz w:val="20"/>
                <w:szCs w:val="20"/>
              </w:rPr>
              <w:t>17</w:t>
            </w:r>
          </w:p>
        </w:tc>
      </w:tr>
      <w:tr w:rsidR="00C014A3" w:rsidRPr="00C014A3" w14:paraId="298A00EA" w14:textId="77777777" w:rsidTr="00C014A3">
        <w:trPr>
          <w:trHeight w:val="300"/>
        </w:trPr>
        <w:tc>
          <w:tcPr>
            <w:tcW w:w="4361" w:type="dxa"/>
            <w:noWrap/>
            <w:vAlign w:val="center"/>
            <w:hideMark/>
          </w:tcPr>
          <w:p w14:paraId="41EBD47C" w14:textId="625DDB65" w:rsidR="00C014A3" w:rsidRPr="00C014A3" w:rsidRDefault="00C014A3" w:rsidP="00123C9C">
            <w:pPr>
              <w:keepNext/>
              <w:rPr>
                <w:sz w:val="20"/>
                <w:szCs w:val="20"/>
              </w:rPr>
            </w:pPr>
            <w:r w:rsidRPr="00C014A3">
              <w:rPr>
                <w:sz w:val="20"/>
                <w:szCs w:val="20"/>
              </w:rPr>
              <w:t>NILOTINIB</w:t>
            </w:r>
            <w:r w:rsidR="00050069">
              <w:rPr>
                <w:sz w:val="20"/>
                <w:szCs w:val="20"/>
              </w:rPr>
              <w:t>-</w:t>
            </w:r>
            <w:r w:rsidRPr="00C014A3">
              <w:rPr>
                <w:sz w:val="20"/>
                <w:szCs w:val="20"/>
              </w:rPr>
              <w:t>&gt;IMATINIB</w:t>
            </w:r>
          </w:p>
        </w:tc>
        <w:tc>
          <w:tcPr>
            <w:tcW w:w="1984" w:type="dxa"/>
            <w:noWrap/>
            <w:vAlign w:val="center"/>
            <w:hideMark/>
          </w:tcPr>
          <w:p w14:paraId="0F437271" w14:textId="77777777" w:rsidR="00C014A3" w:rsidRPr="00C014A3" w:rsidRDefault="00C014A3" w:rsidP="00123C9C">
            <w:pPr>
              <w:keepNext/>
              <w:jc w:val="right"/>
              <w:rPr>
                <w:sz w:val="20"/>
                <w:szCs w:val="20"/>
              </w:rPr>
            </w:pPr>
            <w:r w:rsidRPr="00C014A3">
              <w:rPr>
                <w:sz w:val="20"/>
                <w:szCs w:val="20"/>
              </w:rPr>
              <w:t>12</w:t>
            </w:r>
          </w:p>
        </w:tc>
      </w:tr>
      <w:tr w:rsidR="00C014A3" w:rsidRPr="00C014A3" w14:paraId="27B962CF" w14:textId="77777777" w:rsidTr="00C014A3">
        <w:trPr>
          <w:trHeight w:val="300"/>
        </w:trPr>
        <w:tc>
          <w:tcPr>
            <w:tcW w:w="4361" w:type="dxa"/>
            <w:noWrap/>
            <w:vAlign w:val="center"/>
            <w:hideMark/>
          </w:tcPr>
          <w:p w14:paraId="2E51DCC3" w14:textId="6CB74EFA" w:rsidR="00C014A3" w:rsidRPr="00C014A3" w:rsidRDefault="00C014A3" w:rsidP="00C014A3">
            <w:pPr>
              <w:rPr>
                <w:sz w:val="20"/>
                <w:szCs w:val="20"/>
              </w:rPr>
            </w:pPr>
            <w:r w:rsidRPr="00C014A3">
              <w:rPr>
                <w:sz w:val="20"/>
                <w:szCs w:val="20"/>
              </w:rPr>
              <w:t>IMATINIB</w:t>
            </w:r>
            <w:r w:rsidR="00050069">
              <w:rPr>
                <w:sz w:val="20"/>
                <w:szCs w:val="20"/>
              </w:rPr>
              <w:t>-</w:t>
            </w:r>
            <w:r w:rsidRPr="00C014A3">
              <w:rPr>
                <w:sz w:val="20"/>
                <w:szCs w:val="20"/>
              </w:rPr>
              <w:t>&gt;DASATINIB</w:t>
            </w:r>
            <w:r w:rsidR="00050069">
              <w:rPr>
                <w:sz w:val="20"/>
                <w:szCs w:val="20"/>
              </w:rPr>
              <w:t>-</w:t>
            </w:r>
            <w:r w:rsidRPr="00C014A3">
              <w:rPr>
                <w:sz w:val="20"/>
                <w:szCs w:val="20"/>
              </w:rPr>
              <w:t>&gt;NILOTINIB</w:t>
            </w:r>
          </w:p>
        </w:tc>
        <w:tc>
          <w:tcPr>
            <w:tcW w:w="1984" w:type="dxa"/>
            <w:noWrap/>
            <w:vAlign w:val="center"/>
            <w:hideMark/>
          </w:tcPr>
          <w:p w14:paraId="158EF0D2" w14:textId="77777777" w:rsidR="00C014A3" w:rsidRPr="00C014A3" w:rsidRDefault="00C014A3" w:rsidP="00C014A3">
            <w:pPr>
              <w:jc w:val="right"/>
              <w:rPr>
                <w:sz w:val="20"/>
                <w:szCs w:val="20"/>
              </w:rPr>
            </w:pPr>
            <w:r w:rsidRPr="00C014A3">
              <w:rPr>
                <w:sz w:val="20"/>
                <w:szCs w:val="20"/>
              </w:rPr>
              <w:t>11</w:t>
            </w:r>
          </w:p>
        </w:tc>
      </w:tr>
    </w:tbl>
    <w:p w14:paraId="4E4B0690" w14:textId="140497AA" w:rsidR="00C014A3" w:rsidRDefault="00C014A3" w:rsidP="00874A15"/>
    <w:p w14:paraId="10F5BAF4" w14:textId="7D8CD988" w:rsidR="00A83840" w:rsidRDefault="00A83840" w:rsidP="00A03F9A">
      <w:pPr>
        <w:pStyle w:val="Heading3"/>
        <w:keepNext/>
      </w:pPr>
      <w:r>
        <w:lastRenderedPageBreak/>
        <w:t>Length of treatment</w:t>
      </w:r>
    </w:p>
    <w:p w14:paraId="7F7A22A6" w14:textId="24B0868C" w:rsidR="00A83840" w:rsidRDefault="00406E8C" w:rsidP="0066467D">
      <w:r>
        <w:rPr>
          <w:rFonts w:ascii="Arial" w:hAnsi="Arial" w:cs="Arial"/>
          <w:noProof/>
          <w:color w:val="000000"/>
          <w:sz w:val="20"/>
          <w:szCs w:val="20"/>
        </w:rPr>
        <w:drawing>
          <wp:inline distT="0" distB="0" distL="0" distR="0" wp14:anchorId="6810CC75" wp14:editId="1D553976">
            <wp:extent cx="5687695" cy="4265771"/>
            <wp:effectExtent l="0" t="0" r="8255" b="1905"/>
            <wp:docPr id="3" name="Picture 3" descr="Length of treatment with TKIs for CML" title="Length of treatment with TKIs for C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p>
    <w:p w14:paraId="3BE20B5F" w14:textId="49DBE688" w:rsidR="00137232" w:rsidRPr="00A820B4" w:rsidRDefault="00F67B60" w:rsidP="00CA25DB">
      <w:r w:rsidRPr="00A820B4">
        <w:rPr>
          <w:b/>
        </w:rPr>
        <w:t xml:space="preserve">Figure </w:t>
      </w:r>
      <w:r w:rsidR="00B607AC">
        <w:rPr>
          <w:b/>
        </w:rPr>
        <w:t>4</w:t>
      </w:r>
      <w:r w:rsidRPr="00A820B4">
        <w:rPr>
          <w:b/>
        </w:rPr>
        <w:t xml:space="preserve">: </w:t>
      </w:r>
      <w:r w:rsidR="00257697" w:rsidRPr="00A820B4">
        <w:rPr>
          <w:b/>
        </w:rPr>
        <w:t>L</w:t>
      </w:r>
      <w:r w:rsidRPr="00A820B4">
        <w:rPr>
          <w:b/>
        </w:rPr>
        <w:t xml:space="preserve">ength of treatment </w:t>
      </w:r>
      <w:r w:rsidR="00257697" w:rsidRPr="00A820B4">
        <w:rPr>
          <w:b/>
        </w:rPr>
        <w:t>with TKIs for CML</w:t>
      </w:r>
    </w:p>
    <w:p w14:paraId="6AFF82B8" w14:textId="0C308933" w:rsidR="00A83840" w:rsidRDefault="00F67B60" w:rsidP="0066467D">
      <w:r>
        <w:t xml:space="preserve">The length of treatment for patients treated for CML without </w:t>
      </w:r>
      <w:r w:rsidR="00B607AC">
        <w:t>excluding</w:t>
      </w:r>
      <w:r>
        <w:t xml:space="preserve"> breaks is </w:t>
      </w:r>
      <w:r w:rsidR="00257697">
        <w:t xml:space="preserve">shown in Figure </w:t>
      </w:r>
      <w:r w:rsidR="00B607AC">
        <w:t>4</w:t>
      </w:r>
      <w:r w:rsidR="00257697">
        <w:t xml:space="preserve">. </w:t>
      </w:r>
      <w:r w:rsidR="00874A15">
        <w:t>This analysis includes 6,179</w:t>
      </w:r>
      <w:r>
        <w:t xml:space="preserve"> patients who were treated for CML between December 2001 and March 2019 inclusive. </w:t>
      </w:r>
    </w:p>
    <w:p w14:paraId="01357D33" w14:textId="2B150D00" w:rsidR="00F67B60" w:rsidRDefault="008B73E9" w:rsidP="00F67B60">
      <w:r>
        <w:t xml:space="preserve">The drop off in treatment after initiation </w:t>
      </w:r>
      <w:r w:rsidR="00D30ECE">
        <w:t>wa</w:t>
      </w:r>
      <w:r>
        <w:t>s small for CML medicines, 4% of</w:t>
      </w:r>
      <w:r w:rsidR="00FD0A73">
        <w:t xml:space="preserve"> the 6,179</w:t>
      </w:r>
      <w:r>
        <w:t xml:space="preserve"> patients</w:t>
      </w:r>
      <w:r w:rsidR="00FD0A73">
        <w:t xml:space="preserve"> treated</w:t>
      </w:r>
      <w:r>
        <w:t xml:space="preserve"> received </w:t>
      </w:r>
      <w:r w:rsidR="00FD0A73">
        <w:t xml:space="preserve">only </w:t>
      </w:r>
      <w:r>
        <w:t xml:space="preserve">one prescription. </w:t>
      </w:r>
    </w:p>
    <w:p w14:paraId="509985AC" w14:textId="2DB77CAA" w:rsidR="008B73E9" w:rsidRDefault="00B607AC" w:rsidP="00AE3562">
      <w:pPr>
        <w:pStyle w:val="Tabletitle"/>
      </w:pPr>
      <w:r>
        <w:t>Table 9</w:t>
      </w:r>
      <w:r w:rsidR="00E15F5D">
        <w:t xml:space="preserve">: Kaplan Meier </w:t>
      </w:r>
      <w:r w:rsidR="001C1D0B">
        <w:t>estimate of length of treatment</w:t>
      </w:r>
    </w:p>
    <w:tbl>
      <w:tblPr>
        <w:tblStyle w:val="TableGrid"/>
        <w:tblW w:w="0" w:type="auto"/>
        <w:tblLook w:val="04A0" w:firstRow="1" w:lastRow="0" w:firstColumn="1" w:lastColumn="0" w:noHBand="0" w:noVBand="1"/>
        <w:tblCaption w:val="Kaplan Meier estimate of length of treatment"/>
        <w:tblDescription w:val="Kaplan Meier estimate of length of treatment"/>
      </w:tblPr>
      <w:tblGrid>
        <w:gridCol w:w="1809"/>
        <w:gridCol w:w="1180"/>
        <w:gridCol w:w="1180"/>
        <w:gridCol w:w="1180"/>
        <w:gridCol w:w="1180"/>
        <w:gridCol w:w="1180"/>
      </w:tblGrid>
      <w:tr w:rsidR="00FD0A73" w:rsidRPr="008B73E9" w14:paraId="131B2B8D" w14:textId="77777777" w:rsidTr="00575C98">
        <w:trPr>
          <w:trHeight w:val="300"/>
          <w:tblHeader/>
        </w:trPr>
        <w:tc>
          <w:tcPr>
            <w:tcW w:w="1809" w:type="dxa"/>
            <w:shd w:val="clear" w:color="auto" w:fill="BFBFBF" w:themeFill="background1" w:themeFillShade="BF"/>
            <w:noWrap/>
            <w:hideMark/>
          </w:tcPr>
          <w:p w14:paraId="63E7C6F5" w14:textId="77777777" w:rsidR="00FD0A73" w:rsidRPr="008B73E9" w:rsidRDefault="00FD0A73" w:rsidP="00626E3F">
            <w:pPr>
              <w:rPr>
                <w:sz w:val="20"/>
                <w:szCs w:val="20"/>
              </w:rPr>
            </w:pPr>
            <w:r w:rsidRPr="008B73E9">
              <w:rPr>
                <w:sz w:val="20"/>
                <w:szCs w:val="20"/>
              </w:rPr>
              <w:t> </w:t>
            </w:r>
          </w:p>
        </w:tc>
        <w:tc>
          <w:tcPr>
            <w:tcW w:w="1180" w:type="dxa"/>
            <w:shd w:val="clear" w:color="auto" w:fill="BFBFBF" w:themeFill="background1" w:themeFillShade="BF"/>
            <w:noWrap/>
            <w:hideMark/>
          </w:tcPr>
          <w:p w14:paraId="4DC88330" w14:textId="77777777" w:rsidR="00FD0A73" w:rsidRPr="007C6914" w:rsidRDefault="00FD0A73" w:rsidP="00626E3F">
            <w:pPr>
              <w:rPr>
                <w:b/>
                <w:sz w:val="20"/>
                <w:szCs w:val="20"/>
              </w:rPr>
            </w:pPr>
            <w:r w:rsidRPr="007C6914">
              <w:rPr>
                <w:b/>
                <w:sz w:val="20"/>
                <w:szCs w:val="20"/>
              </w:rPr>
              <w:t>Mean</w:t>
            </w:r>
          </w:p>
        </w:tc>
        <w:tc>
          <w:tcPr>
            <w:tcW w:w="1180" w:type="dxa"/>
            <w:shd w:val="clear" w:color="auto" w:fill="BFBFBF" w:themeFill="background1" w:themeFillShade="BF"/>
            <w:noWrap/>
            <w:hideMark/>
          </w:tcPr>
          <w:p w14:paraId="205DAEA4" w14:textId="77777777" w:rsidR="00FD0A73" w:rsidRPr="007C6914" w:rsidRDefault="00FD0A73" w:rsidP="00626E3F">
            <w:pPr>
              <w:rPr>
                <w:b/>
                <w:sz w:val="20"/>
                <w:szCs w:val="20"/>
              </w:rPr>
            </w:pPr>
            <w:r w:rsidRPr="007C6914">
              <w:rPr>
                <w:b/>
                <w:sz w:val="20"/>
                <w:szCs w:val="20"/>
              </w:rPr>
              <w:t>Std Err</w:t>
            </w:r>
          </w:p>
        </w:tc>
        <w:tc>
          <w:tcPr>
            <w:tcW w:w="1180" w:type="dxa"/>
            <w:shd w:val="clear" w:color="auto" w:fill="BFBFBF" w:themeFill="background1" w:themeFillShade="BF"/>
            <w:noWrap/>
            <w:hideMark/>
          </w:tcPr>
          <w:p w14:paraId="45019A20" w14:textId="77777777" w:rsidR="00FD0A73" w:rsidRPr="007C6914" w:rsidRDefault="00FD0A73" w:rsidP="00626E3F">
            <w:pPr>
              <w:rPr>
                <w:b/>
                <w:sz w:val="20"/>
                <w:szCs w:val="20"/>
              </w:rPr>
            </w:pPr>
            <w:r w:rsidRPr="007C6914">
              <w:rPr>
                <w:b/>
                <w:sz w:val="20"/>
                <w:szCs w:val="20"/>
              </w:rPr>
              <w:t>Median</w:t>
            </w:r>
          </w:p>
        </w:tc>
        <w:tc>
          <w:tcPr>
            <w:tcW w:w="1180" w:type="dxa"/>
            <w:shd w:val="clear" w:color="auto" w:fill="BFBFBF" w:themeFill="background1" w:themeFillShade="BF"/>
            <w:noWrap/>
            <w:hideMark/>
          </w:tcPr>
          <w:p w14:paraId="6982A194" w14:textId="77777777" w:rsidR="00FD0A73" w:rsidRPr="007C6914" w:rsidRDefault="00FD0A73" w:rsidP="00626E3F">
            <w:pPr>
              <w:rPr>
                <w:b/>
                <w:sz w:val="20"/>
                <w:szCs w:val="20"/>
              </w:rPr>
            </w:pPr>
            <w:r w:rsidRPr="007C6914">
              <w:rPr>
                <w:b/>
                <w:sz w:val="20"/>
                <w:szCs w:val="20"/>
              </w:rPr>
              <w:t>Lower Limit</w:t>
            </w:r>
          </w:p>
        </w:tc>
        <w:tc>
          <w:tcPr>
            <w:tcW w:w="1180" w:type="dxa"/>
            <w:shd w:val="clear" w:color="auto" w:fill="BFBFBF" w:themeFill="background1" w:themeFillShade="BF"/>
            <w:noWrap/>
            <w:hideMark/>
          </w:tcPr>
          <w:p w14:paraId="537D9071" w14:textId="77777777" w:rsidR="00FD0A73" w:rsidRPr="007C6914" w:rsidRDefault="00FD0A73" w:rsidP="00626E3F">
            <w:pPr>
              <w:rPr>
                <w:b/>
                <w:sz w:val="20"/>
                <w:szCs w:val="20"/>
              </w:rPr>
            </w:pPr>
            <w:r w:rsidRPr="007C6914">
              <w:rPr>
                <w:b/>
                <w:sz w:val="20"/>
                <w:szCs w:val="20"/>
              </w:rPr>
              <w:t>Upper Limit</w:t>
            </w:r>
          </w:p>
        </w:tc>
      </w:tr>
      <w:tr w:rsidR="008B73E9" w:rsidRPr="008B73E9" w14:paraId="2545E784" w14:textId="77777777" w:rsidTr="00626E3F">
        <w:trPr>
          <w:trHeight w:val="300"/>
        </w:trPr>
        <w:tc>
          <w:tcPr>
            <w:tcW w:w="7709" w:type="dxa"/>
            <w:gridSpan w:val="6"/>
            <w:noWrap/>
            <w:hideMark/>
          </w:tcPr>
          <w:p w14:paraId="3C0EF7D1" w14:textId="2F15206B" w:rsidR="008B73E9" w:rsidRPr="008B73E9" w:rsidRDefault="008B73E9" w:rsidP="001B4FEB">
            <w:pPr>
              <w:rPr>
                <w:sz w:val="20"/>
                <w:szCs w:val="20"/>
              </w:rPr>
            </w:pPr>
            <w:r w:rsidRPr="008B73E9">
              <w:rPr>
                <w:sz w:val="20"/>
                <w:szCs w:val="20"/>
              </w:rPr>
              <w:t xml:space="preserve">Without </w:t>
            </w:r>
            <w:r w:rsidR="001B4FEB">
              <w:rPr>
                <w:sz w:val="20"/>
                <w:szCs w:val="20"/>
              </w:rPr>
              <w:t>excluding</w:t>
            </w:r>
            <w:r w:rsidRPr="008B73E9">
              <w:rPr>
                <w:sz w:val="20"/>
                <w:szCs w:val="20"/>
              </w:rPr>
              <w:t xml:space="preserve"> breaks</w:t>
            </w:r>
          </w:p>
        </w:tc>
      </w:tr>
      <w:tr w:rsidR="008B73E9" w:rsidRPr="008B73E9" w14:paraId="3BB7C17E" w14:textId="77777777" w:rsidTr="008B73E9">
        <w:trPr>
          <w:trHeight w:val="300"/>
        </w:trPr>
        <w:tc>
          <w:tcPr>
            <w:tcW w:w="1809" w:type="dxa"/>
            <w:noWrap/>
            <w:hideMark/>
          </w:tcPr>
          <w:p w14:paraId="437B3FD1" w14:textId="77777777" w:rsidR="008B73E9" w:rsidRPr="008B73E9" w:rsidRDefault="008B73E9">
            <w:pPr>
              <w:rPr>
                <w:sz w:val="20"/>
                <w:szCs w:val="20"/>
              </w:rPr>
            </w:pPr>
            <w:r w:rsidRPr="008B73E9">
              <w:rPr>
                <w:sz w:val="20"/>
                <w:szCs w:val="20"/>
              </w:rPr>
              <w:t>Years</w:t>
            </w:r>
          </w:p>
        </w:tc>
        <w:tc>
          <w:tcPr>
            <w:tcW w:w="1180" w:type="dxa"/>
            <w:noWrap/>
            <w:hideMark/>
          </w:tcPr>
          <w:p w14:paraId="6A4C1EDF" w14:textId="77777777" w:rsidR="008B73E9" w:rsidRPr="008B73E9" w:rsidRDefault="008B73E9" w:rsidP="008B73E9">
            <w:pPr>
              <w:rPr>
                <w:sz w:val="20"/>
                <w:szCs w:val="20"/>
              </w:rPr>
            </w:pPr>
            <w:r w:rsidRPr="008B73E9">
              <w:rPr>
                <w:sz w:val="20"/>
                <w:szCs w:val="20"/>
              </w:rPr>
              <w:t>9.44</w:t>
            </w:r>
          </w:p>
        </w:tc>
        <w:tc>
          <w:tcPr>
            <w:tcW w:w="1180" w:type="dxa"/>
            <w:noWrap/>
            <w:hideMark/>
          </w:tcPr>
          <w:p w14:paraId="05494B13" w14:textId="77777777" w:rsidR="008B73E9" w:rsidRPr="008B73E9" w:rsidRDefault="008B73E9" w:rsidP="008B73E9">
            <w:pPr>
              <w:rPr>
                <w:sz w:val="20"/>
                <w:szCs w:val="20"/>
              </w:rPr>
            </w:pPr>
            <w:r w:rsidRPr="008B73E9">
              <w:rPr>
                <w:sz w:val="20"/>
                <w:szCs w:val="20"/>
              </w:rPr>
              <w:t>0.10</w:t>
            </w:r>
          </w:p>
        </w:tc>
        <w:tc>
          <w:tcPr>
            <w:tcW w:w="1180" w:type="dxa"/>
            <w:noWrap/>
            <w:hideMark/>
          </w:tcPr>
          <w:p w14:paraId="67D1C741" w14:textId="77777777" w:rsidR="008B73E9" w:rsidRPr="008B73E9" w:rsidRDefault="008B73E9" w:rsidP="008B73E9">
            <w:pPr>
              <w:rPr>
                <w:sz w:val="20"/>
                <w:szCs w:val="20"/>
              </w:rPr>
            </w:pPr>
            <w:r w:rsidRPr="008B73E9">
              <w:rPr>
                <w:sz w:val="20"/>
                <w:szCs w:val="20"/>
              </w:rPr>
              <w:t>9.72</w:t>
            </w:r>
          </w:p>
        </w:tc>
        <w:tc>
          <w:tcPr>
            <w:tcW w:w="1180" w:type="dxa"/>
            <w:noWrap/>
            <w:hideMark/>
          </w:tcPr>
          <w:p w14:paraId="75D60105" w14:textId="77777777" w:rsidR="008B73E9" w:rsidRPr="008B73E9" w:rsidRDefault="008B73E9" w:rsidP="008B73E9">
            <w:pPr>
              <w:rPr>
                <w:sz w:val="20"/>
                <w:szCs w:val="20"/>
              </w:rPr>
            </w:pPr>
            <w:r w:rsidRPr="008B73E9">
              <w:rPr>
                <w:sz w:val="20"/>
                <w:szCs w:val="20"/>
              </w:rPr>
              <w:t>9.38</w:t>
            </w:r>
          </w:p>
        </w:tc>
        <w:tc>
          <w:tcPr>
            <w:tcW w:w="1180" w:type="dxa"/>
            <w:noWrap/>
            <w:hideMark/>
          </w:tcPr>
          <w:p w14:paraId="2DF2190D" w14:textId="77777777" w:rsidR="008B73E9" w:rsidRPr="008B73E9" w:rsidRDefault="008B73E9" w:rsidP="008B73E9">
            <w:pPr>
              <w:rPr>
                <w:sz w:val="20"/>
                <w:szCs w:val="20"/>
              </w:rPr>
            </w:pPr>
            <w:r w:rsidRPr="008B73E9">
              <w:rPr>
                <w:sz w:val="20"/>
                <w:szCs w:val="20"/>
              </w:rPr>
              <w:t>10.13</w:t>
            </w:r>
          </w:p>
        </w:tc>
      </w:tr>
      <w:tr w:rsidR="008B73E9" w:rsidRPr="008B73E9" w14:paraId="586C0321" w14:textId="77777777" w:rsidTr="00626E3F">
        <w:trPr>
          <w:trHeight w:val="300"/>
        </w:trPr>
        <w:tc>
          <w:tcPr>
            <w:tcW w:w="7709" w:type="dxa"/>
            <w:gridSpan w:val="6"/>
            <w:noWrap/>
            <w:hideMark/>
          </w:tcPr>
          <w:p w14:paraId="112BCD34" w14:textId="7ABE2125" w:rsidR="008B73E9" w:rsidRPr="008B73E9" w:rsidRDefault="001B4FEB" w:rsidP="001B4FEB">
            <w:pPr>
              <w:rPr>
                <w:sz w:val="20"/>
                <w:szCs w:val="20"/>
              </w:rPr>
            </w:pPr>
            <w:r>
              <w:rPr>
                <w:sz w:val="20"/>
                <w:szCs w:val="20"/>
              </w:rPr>
              <w:t>Excluding</w:t>
            </w:r>
            <w:r w:rsidR="008B73E9" w:rsidRPr="008B73E9">
              <w:rPr>
                <w:sz w:val="20"/>
                <w:szCs w:val="20"/>
              </w:rPr>
              <w:t xml:space="preserve"> breaks </w:t>
            </w:r>
          </w:p>
        </w:tc>
      </w:tr>
      <w:tr w:rsidR="008B73E9" w:rsidRPr="008B73E9" w14:paraId="038EA4B2" w14:textId="77777777" w:rsidTr="008B73E9">
        <w:trPr>
          <w:trHeight w:val="300"/>
        </w:trPr>
        <w:tc>
          <w:tcPr>
            <w:tcW w:w="1809" w:type="dxa"/>
            <w:noWrap/>
            <w:hideMark/>
          </w:tcPr>
          <w:p w14:paraId="7BF06C2B" w14:textId="77777777" w:rsidR="008B73E9" w:rsidRPr="008B73E9" w:rsidRDefault="008B73E9">
            <w:pPr>
              <w:rPr>
                <w:sz w:val="20"/>
                <w:szCs w:val="20"/>
              </w:rPr>
            </w:pPr>
            <w:r w:rsidRPr="008B73E9">
              <w:rPr>
                <w:sz w:val="20"/>
                <w:szCs w:val="20"/>
              </w:rPr>
              <w:t>Years</w:t>
            </w:r>
          </w:p>
        </w:tc>
        <w:tc>
          <w:tcPr>
            <w:tcW w:w="1180" w:type="dxa"/>
            <w:noWrap/>
            <w:hideMark/>
          </w:tcPr>
          <w:p w14:paraId="5172971F" w14:textId="77777777" w:rsidR="008B73E9" w:rsidRPr="008B73E9" w:rsidRDefault="008B73E9" w:rsidP="008B73E9">
            <w:pPr>
              <w:rPr>
                <w:sz w:val="20"/>
                <w:szCs w:val="20"/>
              </w:rPr>
            </w:pPr>
            <w:r w:rsidRPr="008B73E9">
              <w:rPr>
                <w:sz w:val="20"/>
                <w:szCs w:val="20"/>
              </w:rPr>
              <w:t>8.68</w:t>
            </w:r>
          </w:p>
        </w:tc>
        <w:tc>
          <w:tcPr>
            <w:tcW w:w="1180" w:type="dxa"/>
            <w:noWrap/>
            <w:hideMark/>
          </w:tcPr>
          <w:p w14:paraId="341C5083" w14:textId="77777777" w:rsidR="008B73E9" w:rsidRPr="008B73E9" w:rsidRDefault="008B73E9" w:rsidP="008B73E9">
            <w:pPr>
              <w:rPr>
                <w:sz w:val="20"/>
                <w:szCs w:val="20"/>
              </w:rPr>
            </w:pPr>
            <w:r w:rsidRPr="008B73E9">
              <w:rPr>
                <w:sz w:val="20"/>
                <w:szCs w:val="20"/>
              </w:rPr>
              <w:t>0.09</w:t>
            </w:r>
          </w:p>
        </w:tc>
        <w:tc>
          <w:tcPr>
            <w:tcW w:w="1180" w:type="dxa"/>
            <w:noWrap/>
            <w:hideMark/>
          </w:tcPr>
          <w:p w14:paraId="3D4979AC" w14:textId="77777777" w:rsidR="008B73E9" w:rsidRPr="008B73E9" w:rsidRDefault="008B73E9" w:rsidP="008B73E9">
            <w:pPr>
              <w:rPr>
                <w:sz w:val="20"/>
                <w:szCs w:val="20"/>
              </w:rPr>
            </w:pPr>
            <w:r w:rsidRPr="008B73E9">
              <w:rPr>
                <w:sz w:val="20"/>
                <w:szCs w:val="20"/>
              </w:rPr>
              <w:t>8.87</w:t>
            </w:r>
          </w:p>
        </w:tc>
        <w:tc>
          <w:tcPr>
            <w:tcW w:w="1180" w:type="dxa"/>
            <w:noWrap/>
            <w:hideMark/>
          </w:tcPr>
          <w:p w14:paraId="46CD8B48" w14:textId="77777777" w:rsidR="008B73E9" w:rsidRPr="008B73E9" w:rsidRDefault="008B73E9" w:rsidP="008B73E9">
            <w:pPr>
              <w:rPr>
                <w:sz w:val="20"/>
                <w:szCs w:val="20"/>
              </w:rPr>
            </w:pPr>
            <w:r w:rsidRPr="008B73E9">
              <w:rPr>
                <w:sz w:val="20"/>
                <w:szCs w:val="20"/>
              </w:rPr>
              <w:t>8.50</w:t>
            </w:r>
          </w:p>
        </w:tc>
        <w:tc>
          <w:tcPr>
            <w:tcW w:w="1180" w:type="dxa"/>
            <w:noWrap/>
            <w:hideMark/>
          </w:tcPr>
          <w:p w14:paraId="56653427" w14:textId="77777777" w:rsidR="008B73E9" w:rsidRPr="008B73E9" w:rsidRDefault="008B73E9" w:rsidP="008B73E9">
            <w:pPr>
              <w:rPr>
                <w:sz w:val="20"/>
                <w:szCs w:val="20"/>
              </w:rPr>
            </w:pPr>
            <w:r w:rsidRPr="008B73E9">
              <w:rPr>
                <w:sz w:val="20"/>
                <w:szCs w:val="20"/>
              </w:rPr>
              <w:t>9.26</w:t>
            </w:r>
          </w:p>
        </w:tc>
      </w:tr>
    </w:tbl>
    <w:p w14:paraId="28A060DB" w14:textId="77777777" w:rsidR="008B73E9" w:rsidRDefault="008B73E9" w:rsidP="00F67B60"/>
    <w:p w14:paraId="379CAC3C" w14:textId="17D3867A" w:rsidR="00137232" w:rsidRDefault="00CA0D6B" w:rsidP="00137232">
      <w:r>
        <w:rPr>
          <w:rFonts w:ascii="Arial" w:hAnsi="Arial" w:cs="Arial"/>
          <w:noProof/>
          <w:color w:val="000000"/>
          <w:sz w:val="20"/>
          <w:szCs w:val="20"/>
        </w:rPr>
        <w:lastRenderedPageBreak/>
        <w:drawing>
          <wp:inline distT="0" distB="0" distL="0" distR="0" wp14:anchorId="7EEF4DB2" wp14:editId="72C08DF0">
            <wp:extent cx="5687695" cy="4268439"/>
            <wp:effectExtent l="0" t="0" r="8255" b="0"/>
            <wp:docPr id="9" name="Picture 9" descr="Length of treatment with TKIs for CML by line of therapy" title="Length of treatment with TKIs for CML by line of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7695" cy="4268439"/>
                    </a:xfrm>
                    <a:prstGeom prst="rect">
                      <a:avLst/>
                    </a:prstGeom>
                    <a:noFill/>
                    <a:ln>
                      <a:noFill/>
                    </a:ln>
                  </pic:spPr>
                </pic:pic>
              </a:graphicData>
            </a:graphic>
          </wp:inline>
        </w:drawing>
      </w:r>
    </w:p>
    <w:p w14:paraId="10885C55" w14:textId="77D79318" w:rsidR="00137232" w:rsidRDefault="00137232" w:rsidP="00137232">
      <w:pPr>
        <w:pStyle w:val="Figuretitle"/>
      </w:pPr>
      <w:r>
        <w:t xml:space="preserve">Figure </w:t>
      </w:r>
      <w:r w:rsidR="001B4FEB">
        <w:t>5</w:t>
      </w:r>
      <w:r>
        <w:t>: Length of treatment with TKIs for CML</w:t>
      </w:r>
      <w:r w:rsidRPr="0021068F">
        <w:t xml:space="preserve"> </w:t>
      </w:r>
      <w:r>
        <w:t>by line of therapy</w:t>
      </w:r>
    </w:p>
    <w:p w14:paraId="5A4AD6E2" w14:textId="5BC1FEF5" w:rsidR="00137232" w:rsidRDefault="00137232" w:rsidP="00137232"/>
    <w:p w14:paraId="0B0361F1" w14:textId="7432D35E" w:rsidR="00137232" w:rsidRDefault="00137232" w:rsidP="00137232">
      <w:r>
        <w:t xml:space="preserve">The length of treatment for patients treated for CML by line of therapy is shown in Figure </w:t>
      </w:r>
      <w:r w:rsidR="001B4FEB">
        <w:t>5</w:t>
      </w:r>
      <w:r>
        <w:t>.</w:t>
      </w:r>
      <w:r w:rsidR="009D1707">
        <w:t xml:space="preserve"> First line includes all 6,179 patients in their first line of treatment.</w:t>
      </w:r>
      <w:r w:rsidR="00581AF8">
        <w:t xml:space="preserve"> Most patients (around 70%)</w:t>
      </w:r>
      <w:r w:rsidR="009D1707">
        <w:t xml:space="preserve"> were not supplied a second medicine for CML, and </w:t>
      </w:r>
      <w:r w:rsidR="00581AF8">
        <w:t xml:space="preserve">relatively few </w:t>
      </w:r>
      <w:r w:rsidR="009D1707">
        <w:t xml:space="preserve">patients </w:t>
      </w:r>
      <w:r w:rsidR="00581AF8">
        <w:t xml:space="preserve">(around 8%) </w:t>
      </w:r>
      <w:r w:rsidR="009D1707">
        <w:t>received a third or later line medicine. The estimate of length of treatment in first line appears similar to the overall length of treatment, which may be because the majority of patients did not receive second line treatment, partly because imatinib was the only medicine listed for chronic CML for 11 years.</w:t>
      </w:r>
    </w:p>
    <w:p w14:paraId="0E3435A7" w14:textId="6BAB699F" w:rsidR="009D1707" w:rsidRDefault="009D1707" w:rsidP="009D1707">
      <w:pPr>
        <w:pStyle w:val="Tabletitle"/>
      </w:pPr>
      <w:r>
        <w:t xml:space="preserve">Table </w:t>
      </w:r>
      <w:r w:rsidR="001B4FEB">
        <w:t>10</w:t>
      </w:r>
      <w:r>
        <w:t>: Kaplan Meier estimate of length of treatment by line of therapy</w:t>
      </w:r>
    </w:p>
    <w:tbl>
      <w:tblPr>
        <w:tblStyle w:val="TableGrid"/>
        <w:tblW w:w="0" w:type="auto"/>
        <w:tblLayout w:type="fixed"/>
        <w:tblLook w:val="04A0" w:firstRow="1" w:lastRow="0" w:firstColumn="1" w:lastColumn="0" w:noHBand="0" w:noVBand="1"/>
        <w:tblCaption w:val="Kaplan Meier estimate of length of treatment by line of therapy"/>
        <w:tblDescription w:val="Kaplan Meier estimate of length of treatment by line of therapy"/>
      </w:tblPr>
      <w:tblGrid>
        <w:gridCol w:w="2451"/>
        <w:gridCol w:w="1204"/>
        <w:gridCol w:w="1204"/>
        <w:gridCol w:w="1204"/>
        <w:gridCol w:w="1204"/>
        <w:gridCol w:w="1205"/>
      </w:tblGrid>
      <w:tr w:rsidR="007C6914" w:rsidRPr="007C6914" w14:paraId="6E708FD9" w14:textId="77777777" w:rsidTr="00575C98">
        <w:trPr>
          <w:trHeight w:val="300"/>
          <w:tblHeader/>
        </w:trPr>
        <w:tc>
          <w:tcPr>
            <w:tcW w:w="2451" w:type="dxa"/>
            <w:tcBorders>
              <w:bottom w:val="single" w:sz="4" w:space="0" w:color="auto"/>
            </w:tcBorders>
            <w:shd w:val="clear" w:color="auto" w:fill="BFBFBF" w:themeFill="background1" w:themeFillShade="BF"/>
            <w:noWrap/>
            <w:hideMark/>
          </w:tcPr>
          <w:p w14:paraId="5CDDB919" w14:textId="77777777" w:rsidR="007C6914" w:rsidRPr="007C6914" w:rsidRDefault="007C6914" w:rsidP="009D1707">
            <w:pPr>
              <w:rPr>
                <w:b/>
                <w:sz w:val="20"/>
                <w:szCs w:val="20"/>
              </w:rPr>
            </w:pPr>
            <w:r w:rsidRPr="007C6914">
              <w:rPr>
                <w:b/>
                <w:sz w:val="20"/>
                <w:szCs w:val="20"/>
              </w:rPr>
              <w:t> </w:t>
            </w:r>
          </w:p>
        </w:tc>
        <w:tc>
          <w:tcPr>
            <w:tcW w:w="1204" w:type="dxa"/>
            <w:tcBorders>
              <w:bottom w:val="single" w:sz="4" w:space="0" w:color="auto"/>
            </w:tcBorders>
            <w:shd w:val="clear" w:color="auto" w:fill="BFBFBF" w:themeFill="background1" w:themeFillShade="BF"/>
            <w:noWrap/>
            <w:hideMark/>
          </w:tcPr>
          <w:p w14:paraId="0C9D43F1" w14:textId="77777777" w:rsidR="007C6914" w:rsidRPr="007C6914" w:rsidRDefault="007C6914" w:rsidP="009D1707">
            <w:pPr>
              <w:rPr>
                <w:b/>
                <w:sz w:val="20"/>
                <w:szCs w:val="20"/>
              </w:rPr>
            </w:pPr>
            <w:r w:rsidRPr="007C6914">
              <w:rPr>
                <w:b/>
                <w:sz w:val="20"/>
                <w:szCs w:val="20"/>
              </w:rPr>
              <w:t>Mean</w:t>
            </w:r>
          </w:p>
        </w:tc>
        <w:tc>
          <w:tcPr>
            <w:tcW w:w="1204" w:type="dxa"/>
            <w:tcBorders>
              <w:bottom w:val="single" w:sz="4" w:space="0" w:color="auto"/>
            </w:tcBorders>
            <w:shd w:val="clear" w:color="auto" w:fill="BFBFBF" w:themeFill="background1" w:themeFillShade="BF"/>
            <w:noWrap/>
            <w:hideMark/>
          </w:tcPr>
          <w:p w14:paraId="08441C57" w14:textId="77777777" w:rsidR="007C6914" w:rsidRPr="007C6914" w:rsidRDefault="007C6914" w:rsidP="009D1707">
            <w:pPr>
              <w:rPr>
                <w:b/>
                <w:sz w:val="20"/>
                <w:szCs w:val="20"/>
              </w:rPr>
            </w:pPr>
            <w:r w:rsidRPr="007C6914">
              <w:rPr>
                <w:b/>
                <w:sz w:val="20"/>
                <w:szCs w:val="20"/>
              </w:rPr>
              <w:t>Std Err</w:t>
            </w:r>
          </w:p>
        </w:tc>
        <w:tc>
          <w:tcPr>
            <w:tcW w:w="1204" w:type="dxa"/>
            <w:tcBorders>
              <w:bottom w:val="single" w:sz="4" w:space="0" w:color="auto"/>
            </w:tcBorders>
            <w:shd w:val="clear" w:color="auto" w:fill="BFBFBF" w:themeFill="background1" w:themeFillShade="BF"/>
            <w:noWrap/>
            <w:hideMark/>
          </w:tcPr>
          <w:p w14:paraId="37FFFA64" w14:textId="77777777" w:rsidR="007C6914" w:rsidRPr="007C6914" w:rsidRDefault="007C6914" w:rsidP="009D1707">
            <w:pPr>
              <w:rPr>
                <w:b/>
                <w:sz w:val="20"/>
                <w:szCs w:val="20"/>
              </w:rPr>
            </w:pPr>
            <w:r w:rsidRPr="007C6914">
              <w:rPr>
                <w:b/>
                <w:sz w:val="20"/>
                <w:szCs w:val="20"/>
              </w:rPr>
              <w:t>Median</w:t>
            </w:r>
          </w:p>
        </w:tc>
        <w:tc>
          <w:tcPr>
            <w:tcW w:w="1204" w:type="dxa"/>
            <w:tcBorders>
              <w:bottom w:val="single" w:sz="4" w:space="0" w:color="auto"/>
            </w:tcBorders>
            <w:shd w:val="clear" w:color="auto" w:fill="BFBFBF" w:themeFill="background1" w:themeFillShade="BF"/>
            <w:noWrap/>
            <w:hideMark/>
          </w:tcPr>
          <w:p w14:paraId="72359E6C" w14:textId="77777777" w:rsidR="007C6914" w:rsidRPr="007C6914" w:rsidRDefault="007C6914" w:rsidP="009D1707">
            <w:pPr>
              <w:rPr>
                <w:b/>
                <w:sz w:val="20"/>
                <w:szCs w:val="20"/>
              </w:rPr>
            </w:pPr>
            <w:r w:rsidRPr="007C6914">
              <w:rPr>
                <w:b/>
                <w:sz w:val="20"/>
                <w:szCs w:val="20"/>
              </w:rPr>
              <w:t>Lower Limit</w:t>
            </w:r>
          </w:p>
        </w:tc>
        <w:tc>
          <w:tcPr>
            <w:tcW w:w="1205" w:type="dxa"/>
            <w:tcBorders>
              <w:bottom w:val="single" w:sz="4" w:space="0" w:color="auto"/>
            </w:tcBorders>
            <w:shd w:val="clear" w:color="auto" w:fill="BFBFBF" w:themeFill="background1" w:themeFillShade="BF"/>
            <w:noWrap/>
            <w:hideMark/>
          </w:tcPr>
          <w:p w14:paraId="0E0B9C1C" w14:textId="77777777" w:rsidR="007C6914" w:rsidRPr="007C6914" w:rsidRDefault="007C6914" w:rsidP="009D1707">
            <w:pPr>
              <w:rPr>
                <w:b/>
                <w:sz w:val="20"/>
                <w:szCs w:val="20"/>
              </w:rPr>
            </w:pPr>
            <w:r w:rsidRPr="007C6914">
              <w:rPr>
                <w:b/>
                <w:sz w:val="20"/>
                <w:szCs w:val="20"/>
              </w:rPr>
              <w:t>Upper Limit</w:t>
            </w:r>
          </w:p>
        </w:tc>
      </w:tr>
      <w:tr w:rsidR="001B4FEB" w:rsidRPr="00E37CA0" w14:paraId="16E3464C" w14:textId="77777777" w:rsidTr="00611C42">
        <w:trPr>
          <w:trHeight w:val="300"/>
        </w:trPr>
        <w:tc>
          <w:tcPr>
            <w:tcW w:w="8472" w:type="dxa"/>
            <w:gridSpan w:val="6"/>
            <w:tcBorders>
              <w:top w:val="single" w:sz="4" w:space="0" w:color="auto"/>
              <w:left w:val="single" w:sz="4" w:space="0" w:color="auto"/>
              <w:bottom w:val="single" w:sz="4" w:space="0" w:color="auto"/>
              <w:right w:val="single" w:sz="4" w:space="0" w:color="auto"/>
            </w:tcBorders>
            <w:noWrap/>
            <w:hideMark/>
          </w:tcPr>
          <w:p w14:paraId="79A054D4" w14:textId="76B301F2" w:rsidR="001B4FEB" w:rsidRPr="00E37CA0" w:rsidRDefault="001B4FEB" w:rsidP="001B4FEB">
            <w:pPr>
              <w:rPr>
                <w:sz w:val="20"/>
                <w:szCs w:val="20"/>
              </w:rPr>
            </w:pPr>
            <w:r w:rsidRPr="00E37CA0">
              <w:rPr>
                <w:sz w:val="20"/>
                <w:szCs w:val="20"/>
              </w:rPr>
              <w:t xml:space="preserve">Without </w:t>
            </w:r>
            <w:r>
              <w:rPr>
                <w:sz w:val="20"/>
                <w:szCs w:val="20"/>
              </w:rPr>
              <w:t>excluding</w:t>
            </w:r>
            <w:r w:rsidRPr="00E37CA0">
              <w:rPr>
                <w:sz w:val="20"/>
                <w:szCs w:val="20"/>
              </w:rPr>
              <w:t xml:space="preserve"> breaks </w:t>
            </w:r>
          </w:p>
        </w:tc>
      </w:tr>
      <w:tr w:rsidR="007C6914" w:rsidRPr="00E37CA0" w14:paraId="1F19CE59" w14:textId="77777777" w:rsidTr="00D86ED5">
        <w:trPr>
          <w:trHeight w:val="300"/>
        </w:trPr>
        <w:tc>
          <w:tcPr>
            <w:tcW w:w="2451" w:type="dxa"/>
            <w:tcBorders>
              <w:top w:val="single" w:sz="4" w:space="0" w:color="auto"/>
            </w:tcBorders>
            <w:noWrap/>
            <w:hideMark/>
          </w:tcPr>
          <w:p w14:paraId="280CA010" w14:textId="77777777" w:rsidR="007C6914" w:rsidRPr="00E37CA0" w:rsidRDefault="007C6914">
            <w:pPr>
              <w:rPr>
                <w:sz w:val="20"/>
                <w:szCs w:val="20"/>
              </w:rPr>
            </w:pPr>
            <w:r w:rsidRPr="00E37CA0">
              <w:rPr>
                <w:sz w:val="20"/>
                <w:szCs w:val="20"/>
              </w:rPr>
              <w:t>First line</w:t>
            </w:r>
          </w:p>
        </w:tc>
        <w:tc>
          <w:tcPr>
            <w:tcW w:w="1204" w:type="dxa"/>
            <w:tcBorders>
              <w:top w:val="single" w:sz="4" w:space="0" w:color="auto"/>
            </w:tcBorders>
            <w:noWrap/>
            <w:hideMark/>
          </w:tcPr>
          <w:p w14:paraId="525931C9" w14:textId="77777777" w:rsidR="007C6914" w:rsidRPr="00E37CA0" w:rsidRDefault="007C6914" w:rsidP="009D1707">
            <w:pPr>
              <w:rPr>
                <w:sz w:val="20"/>
                <w:szCs w:val="20"/>
              </w:rPr>
            </w:pPr>
            <w:r w:rsidRPr="00E37CA0">
              <w:rPr>
                <w:sz w:val="20"/>
                <w:szCs w:val="20"/>
              </w:rPr>
              <w:t>8.49</w:t>
            </w:r>
          </w:p>
        </w:tc>
        <w:tc>
          <w:tcPr>
            <w:tcW w:w="1204" w:type="dxa"/>
            <w:tcBorders>
              <w:top w:val="single" w:sz="4" w:space="0" w:color="auto"/>
            </w:tcBorders>
            <w:noWrap/>
            <w:hideMark/>
          </w:tcPr>
          <w:p w14:paraId="42D7CE07" w14:textId="77777777" w:rsidR="007C6914" w:rsidRPr="00E37CA0" w:rsidRDefault="007C6914" w:rsidP="009D1707">
            <w:pPr>
              <w:rPr>
                <w:sz w:val="20"/>
                <w:szCs w:val="20"/>
              </w:rPr>
            </w:pPr>
            <w:r w:rsidRPr="00E37CA0">
              <w:rPr>
                <w:sz w:val="20"/>
                <w:szCs w:val="20"/>
              </w:rPr>
              <w:t>0.10</w:t>
            </w:r>
          </w:p>
        </w:tc>
        <w:tc>
          <w:tcPr>
            <w:tcW w:w="1204" w:type="dxa"/>
            <w:tcBorders>
              <w:top w:val="single" w:sz="4" w:space="0" w:color="auto"/>
            </w:tcBorders>
            <w:noWrap/>
            <w:hideMark/>
          </w:tcPr>
          <w:p w14:paraId="6C07AC7F" w14:textId="77777777" w:rsidR="007C6914" w:rsidRPr="00E37CA0" w:rsidRDefault="007C6914" w:rsidP="009D1707">
            <w:pPr>
              <w:rPr>
                <w:sz w:val="20"/>
                <w:szCs w:val="20"/>
              </w:rPr>
            </w:pPr>
            <w:r w:rsidRPr="00E37CA0">
              <w:rPr>
                <w:sz w:val="20"/>
                <w:szCs w:val="20"/>
              </w:rPr>
              <w:t>7.65</w:t>
            </w:r>
          </w:p>
        </w:tc>
        <w:tc>
          <w:tcPr>
            <w:tcW w:w="1204" w:type="dxa"/>
            <w:tcBorders>
              <w:top w:val="single" w:sz="4" w:space="0" w:color="auto"/>
            </w:tcBorders>
            <w:noWrap/>
            <w:hideMark/>
          </w:tcPr>
          <w:p w14:paraId="7D7168B0" w14:textId="77777777" w:rsidR="007C6914" w:rsidRPr="00E37CA0" w:rsidRDefault="007C6914" w:rsidP="009D1707">
            <w:pPr>
              <w:rPr>
                <w:sz w:val="20"/>
                <w:szCs w:val="20"/>
              </w:rPr>
            </w:pPr>
            <w:r w:rsidRPr="00E37CA0">
              <w:rPr>
                <w:sz w:val="20"/>
                <w:szCs w:val="20"/>
              </w:rPr>
              <w:t>7.16</w:t>
            </w:r>
          </w:p>
        </w:tc>
        <w:tc>
          <w:tcPr>
            <w:tcW w:w="1205" w:type="dxa"/>
            <w:tcBorders>
              <w:top w:val="single" w:sz="4" w:space="0" w:color="auto"/>
            </w:tcBorders>
            <w:noWrap/>
            <w:hideMark/>
          </w:tcPr>
          <w:p w14:paraId="02CA1F27" w14:textId="77777777" w:rsidR="007C6914" w:rsidRPr="00E37CA0" w:rsidRDefault="007C6914" w:rsidP="009D1707">
            <w:pPr>
              <w:rPr>
                <w:sz w:val="20"/>
                <w:szCs w:val="20"/>
              </w:rPr>
            </w:pPr>
            <w:r w:rsidRPr="00E37CA0">
              <w:rPr>
                <w:sz w:val="20"/>
                <w:szCs w:val="20"/>
              </w:rPr>
              <w:t>8.19</w:t>
            </w:r>
          </w:p>
        </w:tc>
      </w:tr>
      <w:tr w:rsidR="007C6914" w:rsidRPr="00E37CA0" w14:paraId="550DA1CA" w14:textId="77777777" w:rsidTr="007C6914">
        <w:trPr>
          <w:trHeight w:val="300"/>
        </w:trPr>
        <w:tc>
          <w:tcPr>
            <w:tcW w:w="2451" w:type="dxa"/>
            <w:noWrap/>
            <w:hideMark/>
          </w:tcPr>
          <w:p w14:paraId="3C0DE222" w14:textId="77777777" w:rsidR="007C6914" w:rsidRPr="00E37CA0" w:rsidRDefault="007C6914">
            <w:pPr>
              <w:rPr>
                <w:sz w:val="20"/>
                <w:szCs w:val="20"/>
              </w:rPr>
            </w:pPr>
            <w:r w:rsidRPr="00E37CA0">
              <w:rPr>
                <w:sz w:val="20"/>
                <w:szCs w:val="20"/>
              </w:rPr>
              <w:t>Second line</w:t>
            </w:r>
          </w:p>
        </w:tc>
        <w:tc>
          <w:tcPr>
            <w:tcW w:w="1204" w:type="dxa"/>
            <w:noWrap/>
            <w:hideMark/>
          </w:tcPr>
          <w:p w14:paraId="1F5F6450" w14:textId="77777777" w:rsidR="007C6914" w:rsidRPr="00E37CA0" w:rsidRDefault="007C6914" w:rsidP="009D1707">
            <w:pPr>
              <w:rPr>
                <w:sz w:val="20"/>
                <w:szCs w:val="20"/>
              </w:rPr>
            </w:pPr>
            <w:r w:rsidRPr="00E37CA0">
              <w:rPr>
                <w:sz w:val="20"/>
                <w:szCs w:val="20"/>
              </w:rPr>
              <w:t>6.22</w:t>
            </w:r>
          </w:p>
        </w:tc>
        <w:tc>
          <w:tcPr>
            <w:tcW w:w="1204" w:type="dxa"/>
            <w:noWrap/>
            <w:hideMark/>
          </w:tcPr>
          <w:p w14:paraId="29980570" w14:textId="77777777" w:rsidR="007C6914" w:rsidRPr="00E37CA0" w:rsidRDefault="007C6914" w:rsidP="009D1707">
            <w:pPr>
              <w:rPr>
                <w:sz w:val="20"/>
                <w:szCs w:val="20"/>
              </w:rPr>
            </w:pPr>
            <w:r w:rsidRPr="00E37CA0">
              <w:rPr>
                <w:sz w:val="20"/>
                <w:szCs w:val="20"/>
              </w:rPr>
              <w:t>0.13</w:t>
            </w:r>
          </w:p>
        </w:tc>
        <w:tc>
          <w:tcPr>
            <w:tcW w:w="1204" w:type="dxa"/>
            <w:noWrap/>
            <w:hideMark/>
          </w:tcPr>
          <w:p w14:paraId="48157241" w14:textId="77777777" w:rsidR="007C6914" w:rsidRPr="00E37CA0" w:rsidRDefault="007C6914" w:rsidP="009D1707">
            <w:pPr>
              <w:rPr>
                <w:sz w:val="20"/>
                <w:szCs w:val="20"/>
              </w:rPr>
            </w:pPr>
            <w:r w:rsidRPr="00E37CA0">
              <w:rPr>
                <w:sz w:val="20"/>
                <w:szCs w:val="20"/>
              </w:rPr>
              <w:t>6.08</w:t>
            </w:r>
          </w:p>
        </w:tc>
        <w:tc>
          <w:tcPr>
            <w:tcW w:w="1204" w:type="dxa"/>
            <w:noWrap/>
            <w:hideMark/>
          </w:tcPr>
          <w:p w14:paraId="79CCF5E9" w14:textId="77777777" w:rsidR="007C6914" w:rsidRPr="00E37CA0" w:rsidRDefault="007C6914" w:rsidP="009D1707">
            <w:pPr>
              <w:rPr>
                <w:sz w:val="20"/>
                <w:szCs w:val="20"/>
              </w:rPr>
            </w:pPr>
            <w:r w:rsidRPr="00E37CA0">
              <w:rPr>
                <w:sz w:val="20"/>
                <w:szCs w:val="20"/>
              </w:rPr>
              <w:t>5.45</w:t>
            </w:r>
          </w:p>
        </w:tc>
        <w:tc>
          <w:tcPr>
            <w:tcW w:w="1205" w:type="dxa"/>
            <w:noWrap/>
            <w:hideMark/>
          </w:tcPr>
          <w:p w14:paraId="4702E4BB" w14:textId="77777777" w:rsidR="007C6914" w:rsidRPr="00E37CA0" w:rsidRDefault="007C6914" w:rsidP="009D1707">
            <w:pPr>
              <w:rPr>
                <w:sz w:val="20"/>
                <w:szCs w:val="20"/>
              </w:rPr>
            </w:pPr>
            <w:r w:rsidRPr="00E37CA0">
              <w:rPr>
                <w:sz w:val="20"/>
                <w:szCs w:val="20"/>
              </w:rPr>
              <w:t>6.52</w:t>
            </w:r>
          </w:p>
        </w:tc>
      </w:tr>
      <w:tr w:rsidR="007C6914" w:rsidRPr="00E37CA0" w14:paraId="1E167479" w14:textId="77777777" w:rsidTr="00D86ED5">
        <w:trPr>
          <w:trHeight w:val="300"/>
        </w:trPr>
        <w:tc>
          <w:tcPr>
            <w:tcW w:w="2451" w:type="dxa"/>
            <w:tcBorders>
              <w:bottom w:val="single" w:sz="4" w:space="0" w:color="auto"/>
            </w:tcBorders>
            <w:noWrap/>
            <w:hideMark/>
          </w:tcPr>
          <w:p w14:paraId="0704A3A5" w14:textId="77777777" w:rsidR="007C6914" w:rsidRPr="00E37CA0" w:rsidRDefault="007C6914">
            <w:pPr>
              <w:rPr>
                <w:sz w:val="20"/>
                <w:szCs w:val="20"/>
              </w:rPr>
            </w:pPr>
            <w:r w:rsidRPr="00E37CA0">
              <w:rPr>
                <w:sz w:val="20"/>
                <w:szCs w:val="20"/>
              </w:rPr>
              <w:t>Third or later line</w:t>
            </w:r>
          </w:p>
        </w:tc>
        <w:tc>
          <w:tcPr>
            <w:tcW w:w="1204" w:type="dxa"/>
            <w:tcBorders>
              <w:bottom w:val="single" w:sz="4" w:space="0" w:color="auto"/>
            </w:tcBorders>
            <w:noWrap/>
            <w:hideMark/>
          </w:tcPr>
          <w:p w14:paraId="108B3DCE" w14:textId="77777777" w:rsidR="007C6914" w:rsidRPr="00E37CA0" w:rsidRDefault="007C6914" w:rsidP="009D1707">
            <w:pPr>
              <w:rPr>
                <w:sz w:val="20"/>
                <w:szCs w:val="20"/>
              </w:rPr>
            </w:pPr>
            <w:r w:rsidRPr="00E37CA0">
              <w:rPr>
                <w:sz w:val="20"/>
                <w:szCs w:val="20"/>
              </w:rPr>
              <w:t>5.06</w:t>
            </w:r>
          </w:p>
        </w:tc>
        <w:tc>
          <w:tcPr>
            <w:tcW w:w="1204" w:type="dxa"/>
            <w:tcBorders>
              <w:bottom w:val="single" w:sz="4" w:space="0" w:color="auto"/>
            </w:tcBorders>
            <w:noWrap/>
            <w:hideMark/>
          </w:tcPr>
          <w:p w14:paraId="48CED4C9" w14:textId="77777777" w:rsidR="007C6914" w:rsidRPr="00E37CA0" w:rsidRDefault="007C6914" w:rsidP="009D1707">
            <w:pPr>
              <w:rPr>
                <w:sz w:val="20"/>
                <w:szCs w:val="20"/>
              </w:rPr>
            </w:pPr>
            <w:r w:rsidRPr="00E37CA0">
              <w:rPr>
                <w:sz w:val="20"/>
                <w:szCs w:val="20"/>
              </w:rPr>
              <w:t>0.21</w:t>
            </w:r>
          </w:p>
        </w:tc>
        <w:tc>
          <w:tcPr>
            <w:tcW w:w="1204" w:type="dxa"/>
            <w:tcBorders>
              <w:bottom w:val="single" w:sz="4" w:space="0" w:color="auto"/>
            </w:tcBorders>
            <w:noWrap/>
            <w:hideMark/>
          </w:tcPr>
          <w:p w14:paraId="41C611C4" w14:textId="77777777" w:rsidR="007C6914" w:rsidRPr="00E37CA0" w:rsidRDefault="007C6914" w:rsidP="009D1707">
            <w:pPr>
              <w:rPr>
                <w:sz w:val="20"/>
                <w:szCs w:val="20"/>
              </w:rPr>
            </w:pPr>
            <w:r w:rsidRPr="00E37CA0">
              <w:rPr>
                <w:sz w:val="20"/>
                <w:szCs w:val="20"/>
              </w:rPr>
              <w:t>4.79</w:t>
            </w:r>
          </w:p>
        </w:tc>
        <w:tc>
          <w:tcPr>
            <w:tcW w:w="1204" w:type="dxa"/>
            <w:tcBorders>
              <w:bottom w:val="single" w:sz="4" w:space="0" w:color="auto"/>
            </w:tcBorders>
            <w:noWrap/>
            <w:hideMark/>
          </w:tcPr>
          <w:p w14:paraId="66A45182" w14:textId="77777777" w:rsidR="007C6914" w:rsidRPr="00E37CA0" w:rsidRDefault="007C6914" w:rsidP="009D1707">
            <w:pPr>
              <w:rPr>
                <w:sz w:val="20"/>
                <w:szCs w:val="20"/>
              </w:rPr>
            </w:pPr>
            <w:r w:rsidRPr="00E37CA0">
              <w:rPr>
                <w:sz w:val="20"/>
                <w:szCs w:val="20"/>
              </w:rPr>
              <w:t>4.04</w:t>
            </w:r>
          </w:p>
        </w:tc>
        <w:tc>
          <w:tcPr>
            <w:tcW w:w="1205" w:type="dxa"/>
            <w:tcBorders>
              <w:bottom w:val="single" w:sz="4" w:space="0" w:color="auto"/>
            </w:tcBorders>
            <w:noWrap/>
            <w:hideMark/>
          </w:tcPr>
          <w:p w14:paraId="48D7E91A" w14:textId="77777777" w:rsidR="007C6914" w:rsidRPr="00E37CA0" w:rsidRDefault="007C6914" w:rsidP="009D1707">
            <w:pPr>
              <w:rPr>
                <w:sz w:val="20"/>
                <w:szCs w:val="20"/>
              </w:rPr>
            </w:pPr>
            <w:r w:rsidRPr="00E37CA0">
              <w:rPr>
                <w:sz w:val="20"/>
                <w:szCs w:val="20"/>
              </w:rPr>
              <w:t>5.52</w:t>
            </w:r>
          </w:p>
        </w:tc>
      </w:tr>
      <w:tr w:rsidR="001B4FEB" w:rsidRPr="00E37CA0" w14:paraId="0183329D" w14:textId="77777777" w:rsidTr="00611C42">
        <w:trPr>
          <w:trHeight w:val="300"/>
        </w:trPr>
        <w:tc>
          <w:tcPr>
            <w:tcW w:w="8472" w:type="dxa"/>
            <w:gridSpan w:val="6"/>
            <w:tcBorders>
              <w:top w:val="single" w:sz="4" w:space="0" w:color="auto"/>
              <w:left w:val="single" w:sz="4" w:space="0" w:color="auto"/>
              <w:bottom w:val="single" w:sz="4" w:space="0" w:color="auto"/>
              <w:right w:val="single" w:sz="4" w:space="0" w:color="auto"/>
            </w:tcBorders>
            <w:noWrap/>
            <w:hideMark/>
          </w:tcPr>
          <w:p w14:paraId="6572D5DB" w14:textId="2896F268" w:rsidR="001B4FEB" w:rsidRPr="00E37CA0" w:rsidRDefault="001B4FEB" w:rsidP="001B4FEB">
            <w:pPr>
              <w:rPr>
                <w:sz w:val="20"/>
                <w:szCs w:val="20"/>
              </w:rPr>
            </w:pPr>
            <w:r>
              <w:rPr>
                <w:sz w:val="20"/>
                <w:szCs w:val="20"/>
              </w:rPr>
              <w:t>Excluding</w:t>
            </w:r>
            <w:r w:rsidRPr="00E37CA0">
              <w:rPr>
                <w:sz w:val="20"/>
                <w:szCs w:val="20"/>
              </w:rPr>
              <w:t xml:space="preserve"> breaks </w:t>
            </w:r>
          </w:p>
        </w:tc>
      </w:tr>
      <w:tr w:rsidR="007C6914" w:rsidRPr="00E37CA0" w14:paraId="516AB3B4" w14:textId="77777777" w:rsidTr="00D86ED5">
        <w:trPr>
          <w:trHeight w:val="300"/>
        </w:trPr>
        <w:tc>
          <w:tcPr>
            <w:tcW w:w="2451" w:type="dxa"/>
            <w:tcBorders>
              <w:top w:val="single" w:sz="4" w:space="0" w:color="auto"/>
            </w:tcBorders>
            <w:noWrap/>
            <w:hideMark/>
          </w:tcPr>
          <w:p w14:paraId="213974C6" w14:textId="77777777" w:rsidR="007C6914" w:rsidRPr="00E37CA0" w:rsidRDefault="007C6914">
            <w:pPr>
              <w:rPr>
                <w:sz w:val="20"/>
                <w:szCs w:val="20"/>
              </w:rPr>
            </w:pPr>
            <w:r w:rsidRPr="00E37CA0">
              <w:rPr>
                <w:sz w:val="20"/>
                <w:szCs w:val="20"/>
              </w:rPr>
              <w:t>First line</w:t>
            </w:r>
          </w:p>
        </w:tc>
        <w:tc>
          <w:tcPr>
            <w:tcW w:w="1204" w:type="dxa"/>
            <w:tcBorders>
              <w:top w:val="single" w:sz="4" w:space="0" w:color="auto"/>
            </w:tcBorders>
            <w:noWrap/>
            <w:hideMark/>
          </w:tcPr>
          <w:p w14:paraId="5185FC81" w14:textId="77777777" w:rsidR="007C6914" w:rsidRPr="00E37CA0" w:rsidRDefault="007C6914" w:rsidP="009D1707">
            <w:pPr>
              <w:rPr>
                <w:sz w:val="20"/>
                <w:szCs w:val="20"/>
              </w:rPr>
            </w:pPr>
            <w:r w:rsidRPr="00E37CA0">
              <w:rPr>
                <w:sz w:val="20"/>
                <w:szCs w:val="20"/>
              </w:rPr>
              <w:t>7.89</w:t>
            </w:r>
          </w:p>
        </w:tc>
        <w:tc>
          <w:tcPr>
            <w:tcW w:w="1204" w:type="dxa"/>
            <w:tcBorders>
              <w:top w:val="single" w:sz="4" w:space="0" w:color="auto"/>
            </w:tcBorders>
            <w:noWrap/>
            <w:hideMark/>
          </w:tcPr>
          <w:p w14:paraId="1C34C24F" w14:textId="77777777" w:rsidR="007C6914" w:rsidRPr="00E37CA0" w:rsidRDefault="007C6914" w:rsidP="009D1707">
            <w:pPr>
              <w:rPr>
                <w:sz w:val="20"/>
                <w:szCs w:val="20"/>
              </w:rPr>
            </w:pPr>
            <w:r w:rsidRPr="00E37CA0">
              <w:rPr>
                <w:sz w:val="20"/>
                <w:szCs w:val="20"/>
              </w:rPr>
              <w:t>0.10</w:t>
            </w:r>
          </w:p>
        </w:tc>
        <w:tc>
          <w:tcPr>
            <w:tcW w:w="1204" w:type="dxa"/>
            <w:tcBorders>
              <w:top w:val="single" w:sz="4" w:space="0" w:color="auto"/>
            </w:tcBorders>
            <w:noWrap/>
            <w:hideMark/>
          </w:tcPr>
          <w:p w14:paraId="2F0F1FFA" w14:textId="77777777" w:rsidR="007C6914" w:rsidRPr="00E37CA0" w:rsidRDefault="007C6914" w:rsidP="009D1707">
            <w:pPr>
              <w:rPr>
                <w:sz w:val="20"/>
                <w:szCs w:val="20"/>
              </w:rPr>
            </w:pPr>
            <w:r w:rsidRPr="00E37CA0">
              <w:rPr>
                <w:sz w:val="20"/>
                <w:szCs w:val="20"/>
              </w:rPr>
              <w:t>7.08</w:t>
            </w:r>
          </w:p>
        </w:tc>
        <w:tc>
          <w:tcPr>
            <w:tcW w:w="1204" w:type="dxa"/>
            <w:tcBorders>
              <w:top w:val="single" w:sz="4" w:space="0" w:color="auto"/>
            </w:tcBorders>
            <w:noWrap/>
            <w:hideMark/>
          </w:tcPr>
          <w:p w14:paraId="724A7409" w14:textId="77777777" w:rsidR="007C6914" w:rsidRPr="00E37CA0" w:rsidRDefault="007C6914" w:rsidP="009D1707">
            <w:pPr>
              <w:rPr>
                <w:sz w:val="20"/>
                <w:szCs w:val="20"/>
              </w:rPr>
            </w:pPr>
            <w:r w:rsidRPr="00E37CA0">
              <w:rPr>
                <w:sz w:val="20"/>
                <w:szCs w:val="20"/>
              </w:rPr>
              <w:t>6.49</w:t>
            </w:r>
          </w:p>
        </w:tc>
        <w:tc>
          <w:tcPr>
            <w:tcW w:w="1205" w:type="dxa"/>
            <w:tcBorders>
              <w:top w:val="single" w:sz="4" w:space="0" w:color="auto"/>
            </w:tcBorders>
            <w:noWrap/>
            <w:hideMark/>
          </w:tcPr>
          <w:p w14:paraId="2D5282A5" w14:textId="77777777" w:rsidR="007C6914" w:rsidRPr="00E37CA0" w:rsidRDefault="007C6914" w:rsidP="009D1707">
            <w:pPr>
              <w:rPr>
                <w:sz w:val="20"/>
                <w:szCs w:val="20"/>
              </w:rPr>
            </w:pPr>
            <w:r w:rsidRPr="00E37CA0">
              <w:rPr>
                <w:sz w:val="20"/>
                <w:szCs w:val="20"/>
              </w:rPr>
              <w:t>7.57</w:t>
            </w:r>
          </w:p>
        </w:tc>
      </w:tr>
      <w:tr w:rsidR="007C6914" w:rsidRPr="00E37CA0" w14:paraId="40A36158" w14:textId="77777777" w:rsidTr="007C6914">
        <w:trPr>
          <w:trHeight w:val="300"/>
        </w:trPr>
        <w:tc>
          <w:tcPr>
            <w:tcW w:w="2451" w:type="dxa"/>
            <w:noWrap/>
            <w:hideMark/>
          </w:tcPr>
          <w:p w14:paraId="057CF056" w14:textId="77777777" w:rsidR="007C6914" w:rsidRPr="00E37CA0" w:rsidRDefault="007C6914">
            <w:pPr>
              <w:rPr>
                <w:sz w:val="20"/>
                <w:szCs w:val="20"/>
              </w:rPr>
            </w:pPr>
            <w:r w:rsidRPr="00E37CA0">
              <w:rPr>
                <w:sz w:val="20"/>
                <w:szCs w:val="20"/>
              </w:rPr>
              <w:t>Second line</w:t>
            </w:r>
          </w:p>
        </w:tc>
        <w:tc>
          <w:tcPr>
            <w:tcW w:w="1204" w:type="dxa"/>
            <w:noWrap/>
            <w:hideMark/>
          </w:tcPr>
          <w:p w14:paraId="5E2279F1" w14:textId="77777777" w:rsidR="007C6914" w:rsidRPr="00E37CA0" w:rsidRDefault="007C6914" w:rsidP="009D1707">
            <w:pPr>
              <w:rPr>
                <w:sz w:val="20"/>
                <w:szCs w:val="20"/>
              </w:rPr>
            </w:pPr>
            <w:r w:rsidRPr="00E37CA0">
              <w:rPr>
                <w:sz w:val="20"/>
                <w:szCs w:val="20"/>
              </w:rPr>
              <w:t>5.90</w:t>
            </w:r>
          </w:p>
        </w:tc>
        <w:tc>
          <w:tcPr>
            <w:tcW w:w="1204" w:type="dxa"/>
            <w:noWrap/>
            <w:hideMark/>
          </w:tcPr>
          <w:p w14:paraId="6BAD0291" w14:textId="77777777" w:rsidR="007C6914" w:rsidRPr="00E37CA0" w:rsidRDefault="007C6914" w:rsidP="009D1707">
            <w:pPr>
              <w:rPr>
                <w:sz w:val="20"/>
                <w:szCs w:val="20"/>
              </w:rPr>
            </w:pPr>
            <w:r w:rsidRPr="00E37CA0">
              <w:rPr>
                <w:sz w:val="20"/>
                <w:szCs w:val="20"/>
              </w:rPr>
              <w:t>0.14</w:t>
            </w:r>
          </w:p>
        </w:tc>
        <w:tc>
          <w:tcPr>
            <w:tcW w:w="1204" w:type="dxa"/>
            <w:noWrap/>
            <w:hideMark/>
          </w:tcPr>
          <w:p w14:paraId="674863B8" w14:textId="77777777" w:rsidR="007C6914" w:rsidRPr="00E37CA0" w:rsidRDefault="007C6914" w:rsidP="009D1707">
            <w:pPr>
              <w:rPr>
                <w:sz w:val="20"/>
                <w:szCs w:val="20"/>
              </w:rPr>
            </w:pPr>
            <w:r w:rsidRPr="00E37CA0">
              <w:rPr>
                <w:sz w:val="20"/>
                <w:szCs w:val="20"/>
              </w:rPr>
              <w:t>5.31</w:t>
            </w:r>
          </w:p>
        </w:tc>
        <w:tc>
          <w:tcPr>
            <w:tcW w:w="1204" w:type="dxa"/>
            <w:noWrap/>
            <w:hideMark/>
          </w:tcPr>
          <w:p w14:paraId="5F266B2D" w14:textId="77777777" w:rsidR="007C6914" w:rsidRPr="00E37CA0" w:rsidRDefault="007C6914" w:rsidP="009D1707">
            <w:pPr>
              <w:rPr>
                <w:sz w:val="20"/>
                <w:szCs w:val="20"/>
              </w:rPr>
            </w:pPr>
            <w:r w:rsidRPr="00E37CA0">
              <w:rPr>
                <w:sz w:val="20"/>
                <w:szCs w:val="20"/>
              </w:rPr>
              <w:t>4.79</w:t>
            </w:r>
          </w:p>
        </w:tc>
        <w:tc>
          <w:tcPr>
            <w:tcW w:w="1205" w:type="dxa"/>
            <w:noWrap/>
            <w:hideMark/>
          </w:tcPr>
          <w:p w14:paraId="5FEA7550" w14:textId="77777777" w:rsidR="007C6914" w:rsidRPr="00E37CA0" w:rsidRDefault="007C6914" w:rsidP="009D1707">
            <w:pPr>
              <w:rPr>
                <w:sz w:val="20"/>
                <w:szCs w:val="20"/>
              </w:rPr>
            </w:pPr>
            <w:r w:rsidRPr="00E37CA0">
              <w:rPr>
                <w:sz w:val="20"/>
                <w:szCs w:val="20"/>
              </w:rPr>
              <w:t>5.95</w:t>
            </w:r>
          </w:p>
        </w:tc>
      </w:tr>
      <w:tr w:rsidR="007C6914" w:rsidRPr="00E37CA0" w14:paraId="6CF80F3A" w14:textId="77777777" w:rsidTr="007C6914">
        <w:trPr>
          <w:trHeight w:val="300"/>
        </w:trPr>
        <w:tc>
          <w:tcPr>
            <w:tcW w:w="2451" w:type="dxa"/>
            <w:noWrap/>
            <w:hideMark/>
          </w:tcPr>
          <w:p w14:paraId="56DA3A4B" w14:textId="77777777" w:rsidR="007C6914" w:rsidRPr="00E37CA0" w:rsidRDefault="007C6914">
            <w:pPr>
              <w:rPr>
                <w:sz w:val="20"/>
                <w:szCs w:val="20"/>
              </w:rPr>
            </w:pPr>
            <w:r w:rsidRPr="00E37CA0">
              <w:rPr>
                <w:sz w:val="20"/>
                <w:szCs w:val="20"/>
              </w:rPr>
              <w:t>Third or later line</w:t>
            </w:r>
          </w:p>
        </w:tc>
        <w:tc>
          <w:tcPr>
            <w:tcW w:w="1204" w:type="dxa"/>
            <w:noWrap/>
            <w:hideMark/>
          </w:tcPr>
          <w:p w14:paraId="1CFEE4AA" w14:textId="77777777" w:rsidR="007C6914" w:rsidRPr="00E37CA0" w:rsidRDefault="007C6914" w:rsidP="009D1707">
            <w:pPr>
              <w:rPr>
                <w:sz w:val="20"/>
                <w:szCs w:val="20"/>
              </w:rPr>
            </w:pPr>
            <w:r w:rsidRPr="00E37CA0">
              <w:rPr>
                <w:sz w:val="20"/>
                <w:szCs w:val="20"/>
              </w:rPr>
              <w:t>4.45</w:t>
            </w:r>
          </w:p>
        </w:tc>
        <w:tc>
          <w:tcPr>
            <w:tcW w:w="1204" w:type="dxa"/>
            <w:noWrap/>
            <w:hideMark/>
          </w:tcPr>
          <w:p w14:paraId="799703C7" w14:textId="77777777" w:rsidR="007C6914" w:rsidRPr="00E37CA0" w:rsidRDefault="007C6914" w:rsidP="009D1707">
            <w:pPr>
              <w:rPr>
                <w:sz w:val="20"/>
                <w:szCs w:val="20"/>
              </w:rPr>
            </w:pPr>
            <w:r w:rsidRPr="00E37CA0">
              <w:rPr>
                <w:sz w:val="20"/>
                <w:szCs w:val="20"/>
              </w:rPr>
              <w:t>0.19</w:t>
            </w:r>
          </w:p>
        </w:tc>
        <w:tc>
          <w:tcPr>
            <w:tcW w:w="1204" w:type="dxa"/>
            <w:noWrap/>
            <w:hideMark/>
          </w:tcPr>
          <w:p w14:paraId="3178E813" w14:textId="77777777" w:rsidR="007C6914" w:rsidRPr="00E37CA0" w:rsidRDefault="007C6914" w:rsidP="009D1707">
            <w:pPr>
              <w:rPr>
                <w:sz w:val="20"/>
                <w:szCs w:val="20"/>
              </w:rPr>
            </w:pPr>
            <w:r w:rsidRPr="00E37CA0">
              <w:rPr>
                <w:sz w:val="20"/>
                <w:szCs w:val="20"/>
              </w:rPr>
              <w:t>4.01</w:t>
            </w:r>
          </w:p>
        </w:tc>
        <w:tc>
          <w:tcPr>
            <w:tcW w:w="1204" w:type="dxa"/>
            <w:noWrap/>
            <w:hideMark/>
          </w:tcPr>
          <w:p w14:paraId="066BE145" w14:textId="77777777" w:rsidR="007C6914" w:rsidRPr="00E37CA0" w:rsidRDefault="007C6914" w:rsidP="009D1707">
            <w:pPr>
              <w:rPr>
                <w:sz w:val="20"/>
                <w:szCs w:val="20"/>
              </w:rPr>
            </w:pPr>
            <w:r w:rsidRPr="00E37CA0">
              <w:rPr>
                <w:sz w:val="20"/>
                <w:szCs w:val="20"/>
              </w:rPr>
              <w:t>3.33</w:t>
            </w:r>
          </w:p>
        </w:tc>
        <w:tc>
          <w:tcPr>
            <w:tcW w:w="1205" w:type="dxa"/>
            <w:noWrap/>
            <w:hideMark/>
          </w:tcPr>
          <w:p w14:paraId="73ADC8AA" w14:textId="77777777" w:rsidR="007C6914" w:rsidRPr="00E37CA0" w:rsidRDefault="007C6914" w:rsidP="009D1707">
            <w:pPr>
              <w:rPr>
                <w:sz w:val="20"/>
                <w:szCs w:val="20"/>
              </w:rPr>
            </w:pPr>
            <w:r w:rsidRPr="00E37CA0">
              <w:rPr>
                <w:sz w:val="20"/>
                <w:szCs w:val="20"/>
              </w:rPr>
              <w:t>5.00</w:t>
            </w:r>
          </w:p>
        </w:tc>
      </w:tr>
    </w:tbl>
    <w:p w14:paraId="6321F045" w14:textId="77777777" w:rsidR="00CC73BF" w:rsidRDefault="00CC73BF" w:rsidP="00123C9C">
      <w:pPr>
        <w:pStyle w:val="Heading2"/>
        <w:keepNext/>
      </w:pPr>
      <w:r w:rsidRPr="0066467D">
        <w:lastRenderedPageBreak/>
        <w:t>Analysis of Authority Approvals</w:t>
      </w:r>
    </w:p>
    <w:p w14:paraId="280B67BA" w14:textId="3AD12C0A" w:rsidR="00CC73BF" w:rsidRDefault="000543B7" w:rsidP="00CC73BF">
      <w:r>
        <w:t>This section uses authority approvals to determine the number of supplied prescriptions</w:t>
      </w:r>
      <w:r w:rsidR="00CC73BF" w:rsidRPr="0066467D">
        <w:t xml:space="preserve"> for TKIs in CML by disease phase, line of therapy and drug</w:t>
      </w:r>
      <w:r>
        <w:t xml:space="preserve">. The majority of prescriptions in CML is chronic CML, the use of first line chronic CML is higher than second or later line chronic CML, although second or later line chronic CML may be growing. </w:t>
      </w:r>
      <w:r w:rsidR="00B95567">
        <w:t xml:space="preserve">Figure </w:t>
      </w:r>
      <w:r w:rsidR="001B4FEB">
        <w:t>7</w:t>
      </w:r>
      <w:r w:rsidR="00B95567">
        <w:t xml:space="preserve"> suggests the use of first line imatinib in chronic CML patients appears to be stable since 2012, when</w:t>
      </w:r>
      <w:r w:rsidR="009152B0">
        <w:t xml:space="preserve"> the restrictions of </w:t>
      </w:r>
      <w:r w:rsidR="009152B0" w:rsidRPr="00C46ED6">
        <w:t>dasatinib and nilotinib were extended</w:t>
      </w:r>
      <w:r w:rsidR="009152B0">
        <w:t xml:space="preserve"> from second line treatment</w:t>
      </w:r>
      <w:r w:rsidR="009152B0" w:rsidRPr="00C46ED6">
        <w:t xml:space="preserve"> to first line treatment.</w:t>
      </w:r>
    </w:p>
    <w:p w14:paraId="643C10DF" w14:textId="77777777" w:rsidR="00302F21" w:rsidRPr="009152B0" w:rsidRDefault="00302F21" w:rsidP="00CC73BF"/>
    <w:p w14:paraId="53C88898" w14:textId="52308C0A" w:rsidR="00B21580" w:rsidRDefault="003A6438" w:rsidP="00CC73BF">
      <w:r>
        <w:rPr>
          <w:noProof/>
        </w:rPr>
        <w:drawing>
          <wp:inline distT="0" distB="0" distL="0" distR="0" wp14:anchorId="2B792FC7" wp14:editId="66FD449B">
            <wp:extent cx="5580993" cy="3862070"/>
            <wp:effectExtent l="0" t="0" r="1270" b="5080"/>
            <wp:docPr id="11" name="Chart 11" descr="Authority approval reasons by time" title="Authority approval reasons by ti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82EF5C2" w14:textId="2EF337C9" w:rsidR="00B21580" w:rsidRDefault="00B21580" w:rsidP="00B21580">
      <w:pPr>
        <w:pStyle w:val="Figuretitle"/>
      </w:pPr>
      <w:r>
        <w:t xml:space="preserve">Figure </w:t>
      </w:r>
      <w:r w:rsidR="001B4FEB">
        <w:t>6</w:t>
      </w:r>
      <w:r>
        <w:t>: Authority approval reasons by time</w:t>
      </w:r>
    </w:p>
    <w:p w14:paraId="2341195E" w14:textId="77777777" w:rsidR="00B21580" w:rsidRDefault="00B21580" w:rsidP="00CC73BF"/>
    <w:p w14:paraId="4C7F17A6" w14:textId="3CAB129B" w:rsidR="00123C9C" w:rsidRDefault="003A6438" w:rsidP="00123C9C">
      <w:pPr>
        <w:pStyle w:val="Figuretitle"/>
      </w:pPr>
      <w:r>
        <w:rPr>
          <w:noProof/>
          <w:lang w:val="en-AU"/>
        </w:rPr>
        <w:lastRenderedPageBreak/>
        <w:drawing>
          <wp:inline distT="0" distB="0" distL="0" distR="0" wp14:anchorId="46B079D6" wp14:editId="5BDA7E5E">
            <wp:extent cx="5360035" cy="6132786"/>
            <wp:effectExtent l="0" t="0" r="12065" b="1905"/>
            <wp:docPr id="10" name="Chart 10" descr="Authority approval reasons and medicine by time" title="Authority approval reasons and medicine by ti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123C9C">
        <w:t xml:space="preserve">Figure </w:t>
      </w:r>
      <w:r w:rsidR="001B4FEB">
        <w:t>7</w:t>
      </w:r>
      <w:r w:rsidR="00123C9C">
        <w:t xml:space="preserve">: Authority approval reasons </w:t>
      </w:r>
      <w:r w:rsidR="00B21580">
        <w:t xml:space="preserve">and medicine </w:t>
      </w:r>
      <w:r w:rsidR="00123C9C">
        <w:t>by time</w:t>
      </w:r>
    </w:p>
    <w:p w14:paraId="0C14800B" w14:textId="38650499" w:rsidR="00AA7282" w:rsidRDefault="00B21580" w:rsidP="00B21580">
      <w:pPr>
        <w:pStyle w:val="Heading3"/>
      </w:pPr>
      <w:r>
        <w:t xml:space="preserve">Prescribed dose </w:t>
      </w:r>
    </w:p>
    <w:p w14:paraId="72C3F650" w14:textId="4BB31E6D" w:rsidR="00B95567" w:rsidRDefault="00B95567" w:rsidP="00F14184">
      <w:r>
        <w:t xml:space="preserve">The analysis of prescribed </w:t>
      </w:r>
      <w:r w:rsidR="00B21580">
        <w:t xml:space="preserve">dose </w:t>
      </w:r>
      <w:r>
        <w:t>uses authority approvals to determine the number of supplied prescriptions</w:t>
      </w:r>
      <w:r w:rsidRPr="0066467D">
        <w:t xml:space="preserve"> for TKIs in CML by disease phase, line of therapy and drug</w:t>
      </w:r>
      <w:r>
        <w:t>.</w:t>
      </w:r>
    </w:p>
    <w:p w14:paraId="31A327F2" w14:textId="77777777" w:rsidR="001B4FEB" w:rsidRDefault="001B4FEB" w:rsidP="00F14184"/>
    <w:p w14:paraId="7B37EEDE" w14:textId="77777777" w:rsidR="000E2CBA" w:rsidRDefault="000E2CBA" w:rsidP="00F14184">
      <w:pPr>
        <w:sectPr w:rsidR="000E2CBA" w:rsidSect="00DD188C">
          <w:headerReference w:type="even" r:id="rId26"/>
          <w:headerReference w:type="default" r:id="rId27"/>
          <w:footerReference w:type="even" r:id="rId28"/>
          <w:footerReference w:type="default" r:id="rId29"/>
          <w:headerReference w:type="first" r:id="rId30"/>
          <w:footerReference w:type="first" r:id="rId31"/>
          <w:pgSz w:w="11906" w:h="16838"/>
          <w:pgMar w:top="1644" w:right="1361" w:bottom="1644" w:left="1588" w:header="709" w:footer="709" w:gutter="0"/>
          <w:cols w:space="708"/>
          <w:docGrid w:linePitch="360"/>
        </w:sectPr>
      </w:pPr>
    </w:p>
    <w:p w14:paraId="41843457" w14:textId="40EA2915" w:rsidR="006E387B" w:rsidRDefault="001B4FEB" w:rsidP="000E2CBA">
      <w:pPr>
        <w:pStyle w:val="Tabletitle"/>
        <w:keepNext/>
      </w:pPr>
      <w:r>
        <w:lastRenderedPageBreak/>
        <w:t>Table 11:</w:t>
      </w:r>
      <w:r w:rsidR="006E387B">
        <w:t xml:space="preserve"> Estimated dose per day by reason for patients who initiated between April 2017 and March 2018</w:t>
      </w:r>
    </w:p>
    <w:tbl>
      <w:tblPr>
        <w:tblStyle w:val="TableGrid"/>
        <w:tblW w:w="11025" w:type="dxa"/>
        <w:tblLook w:val="04A0" w:firstRow="1" w:lastRow="0" w:firstColumn="1" w:lastColumn="0" w:noHBand="0" w:noVBand="1"/>
        <w:tblCaption w:val="Estimated dose per day by reason for patients who initiated between April 2017 and March 2018, using first 12 months of prescriptions"/>
        <w:tblDescription w:val="Estimated dose per day by reason for patients who initiated between April 2017 and March 2018, using first 12 months of prescriptions"/>
      </w:tblPr>
      <w:tblGrid>
        <w:gridCol w:w="1066"/>
        <w:gridCol w:w="1183"/>
        <w:gridCol w:w="1243"/>
        <w:gridCol w:w="913"/>
        <w:gridCol w:w="936"/>
        <w:gridCol w:w="1002"/>
        <w:gridCol w:w="1019"/>
        <w:gridCol w:w="913"/>
        <w:gridCol w:w="936"/>
        <w:gridCol w:w="1002"/>
        <w:gridCol w:w="1019"/>
      </w:tblGrid>
      <w:tr w:rsidR="006E387B" w:rsidRPr="00CB7FC2" w14:paraId="2ADE7D58" w14:textId="77777777" w:rsidTr="00575C98">
        <w:trPr>
          <w:trHeight w:val="300"/>
          <w:tblHeader/>
        </w:trPr>
        <w:tc>
          <w:tcPr>
            <w:tcW w:w="1047" w:type="dxa"/>
            <w:shd w:val="clear" w:color="auto" w:fill="BFBFBF" w:themeFill="background1" w:themeFillShade="BF"/>
            <w:noWrap/>
            <w:vAlign w:val="center"/>
            <w:hideMark/>
          </w:tcPr>
          <w:p w14:paraId="424EDA51" w14:textId="0DC8CCBE" w:rsidR="00575C98" w:rsidRPr="00CB7FC2" w:rsidRDefault="006E387B" w:rsidP="000E2CBA">
            <w:pPr>
              <w:keepNext/>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 </w:t>
            </w:r>
          </w:p>
        </w:tc>
        <w:tc>
          <w:tcPr>
            <w:tcW w:w="1183" w:type="dxa"/>
            <w:shd w:val="clear" w:color="auto" w:fill="BFBFBF" w:themeFill="background1" w:themeFillShade="BF"/>
            <w:noWrap/>
            <w:vAlign w:val="center"/>
            <w:hideMark/>
          </w:tcPr>
          <w:p w14:paraId="661A38EE" w14:textId="77777777" w:rsidR="006E387B" w:rsidRPr="00CB7FC2" w:rsidRDefault="006E387B" w:rsidP="000E2CBA">
            <w:pPr>
              <w:keepNext/>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 </w:t>
            </w:r>
          </w:p>
        </w:tc>
        <w:tc>
          <w:tcPr>
            <w:tcW w:w="1243" w:type="dxa"/>
            <w:shd w:val="clear" w:color="auto" w:fill="BFBFBF" w:themeFill="background1" w:themeFillShade="BF"/>
            <w:noWrap/>
            <w:vAlign w:val="center"/>
            <w:hideMark/>
          </w:tcPr>
          <w:p w14:paraId="1706E4B2" w14:textId="77777777" w:rsidR="006E387B" w:rsidRPr="00CB7FC2" w:rsidRDefault="006E387B" w:rsidP="000E2CBA">
            <w:pPr>
              <w:keepNext/>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 </w:t>
            </w:r>
          </w:p>
        </w:tc>
        <w:tc>
          <w:tcPr>
            <w:tcW w:w="3776" w:type="dxa"/>
            <w:gridSpan w:val="4"/>
            <w:shd w:val="clear" w:color="auto" w:fill="BFBFBF" w:themeFill="background1" w:themeFillShade="BF"/>
            <w:noWrap/>
            <w:vAlign w:val="center"/>
            <w:hideMark/>
          </w:tcPr>
          <w:p w14:paraId="7E803928" w14:textId="77777777" w:rsidR="006E387B" w:rsidRPr="00CB7FC2" w:rsidRDefault="006E387B" w:rsidP="000E2CBA">
            <w:pPr>
              <w:keepNext/>
              <w:jc w:val="center"/>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Mean estimated mass amount per day</w:t>
            </w:r>
          </w:p>
        </w:tc>
        <w:tc>
          <w:tcPr>
            <w:tcW w:w="3776" w:type="dxa"/>
            <w:gridSpan w:val="4"/>
            <w:tcBorders>
              <w:bottom w:val="single" w:sz="4" w:space="0" w:color="auto"/>
            </w:tcBorders>
            <w:shd w:val="clear" w:color="auto" w:fill="BFBFBF" w:themeFill="background1" w:themeFillShade="BF"/>
            <w:noWrap/>
            <w:vAlign w:val="center"/>
            <w:hideMark/>
          </w:tcPr>
          <w:p w14:paraId="1CD823B4" w14:textId="02D37547" w:rsidR="006E387B" w:rsidRPr="00CB7FC2" w:rsidRDefault="006E387B" w:rsidP="000E2CBA">
            <w:pPr>
              <w:keepNext/>
              <w:jc w:val="center"/>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Number of prescriptions</w:t>
            </w:r>
          </w:p>
        </w:tc>
      </w:tr>
      <w:tr w:rsidR="006E387B" w:rsidRPr="00CB7FC2" w14:paraId="2C7C6921" w14:textId="77777777" w:rsidTr="009E7616">
        <w:trPr>
          <w:trHeight w:val="300"/>
        </w:trPr>
        <w:tc>
          <w:tcPr>
            <w:tcW w:w="1047" w:type="dxa"/>
            <w:shd w:val="clear" w:color="auto" w:fill="BFBFBF" w:themeFill="background1" w:themeFillShade="BF"/>
            <w:noWrap/>
            <w:vAlign w:val="center"/>
            <w:hideMark/>
          </w:tcPr>
          <w:p w14:paraId="347B615A" w14:textId="77777777" w:rsidR="00B82AF4" w:rsidRPr="00CB7FC2" w:rsidRDefault="00B82AF4" w:rsidP="000E2CBA">
            <w:pPr>
              <w:keepNext/>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Line of treatment</w:t>
            </w:r>
          </w:p>
        </w:tc>
        <w:tc>
          <w:tcPr>
            <w:tcW w:w="1183" w:type="dxa"/>
            <w:shd w:val="clear" w:color="auto" w:fill="BFBFBF" w:themeFill="background1" w:themeFillShade="BF"/>
            <w:noWrap/>
            <w:vAlign w:val="center"/>
            <w:hideMark/>
          </w:tcPr>
          <w:p w14:paraId="7C527F00" w14:textId="77777777" w:rsidR="00B82AF4" w:rsidRPr="00CB7FC2" w:rsidRDefault="00B82AF4" w:rsidP="000E2CBA">
            <w:pPr>
              <w:keepNext/>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Phase</w:t>
            </w:r>
          </w:p>
        </w:tc>
        <w:tc>
          <w:tcPr>
            <w:tcW w:w="1243" w:type="dxa"/>
            <w:tcBorders>
              <w:bottom w:val="single" w:sz="4" w:space="0" w:color="auto"/>
            </w:tcBorders>
            <w:shd w:val="clear" w:color="auto" w:fill="BFBFBF" w:themeFill="background1" w:themeFillShade="BF"/>
            <w:noWrap/>
            <w:vAlign w:val="center"/>
            <w:hideMark/>
          </w:tcPr>
          <w:p w14:paraId="03DF23E1" w14:textId="77777777" w:rsidR="00B82AF4" w:rsidRPr="00CB7FC2" w:rsidRDefault="00B82AF4" w:rsidP="000E2CBA">
            <w:pPr>
              <w:keepNext/>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Initial or Continuing approval</w:t>
            </w:r>
          </w:p>
        </w:tc>
        <w:tc>
          <w:tcPr>
            <w:tcW w:w="891" w:type="dxa"/>
            <w:tcBorders>
              <w:bottom w:val="single" w:sz="4" w:space="0" w:color="auto"/>
            </w:tcBorders>
            <w:shd w:val="clear" w:color="auto" w:fill="BFBFBF" w:themeFill="background1" w:themeFillShade="BF"/>
            <w:noWrap/>
            <w:vAlign w:val="center"/>
            <w:hideMark/>
          </w:tcPr>
          <w:p w14:paraId="22703267" w14:textId="786FDF97" w:rsidR="00B82AF4" w:rsidRPr="00CB7FC2" w:rsidRDefault="00B82AF4" w:rsidP="000E2CBA">
            <w:pPr>
              <w:keepNext/>
              <w:jc w:val="center"/>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Imatinib</w:t>
            </w:r>
          </w:p>
        </w:tc>
        <w:tc>
          <w:tcPr>
            <w:tcW w:w="912" w:type="dxa"/>
            <w:tcBorders>
              <w:bottom w:val="single" w:sz="4" w:space="0" w:color="auto"/>
            </w:tcBorders>
            <w:shd w:val="clear" w:color="auto" w:fill="BFBFBF" w:themeFill="background1" w:themeFillShade="BF"/>
            <w:noWrap/>
            <w:vAlign w:val="center"/>
            <w:hideMark/>
          </w:tcPr>
          <w:p w14:paraId="454A4DB8" w14:textId="4A7398C8" w:rsidR="00B82AF4" w:rsidRPr="00CB7FC2" w:rsidRDefault="00B82AF4" w:rsidP="000E2CBA">
            <w:pPr>
              <w:keepNext/>
              <w:jc w:val="center"/>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Nilotinib</w:t>
            </w:r>
          </w:p>
        </w:tc>
        <w:tc>
          <w:tcPr>
            <w:tcW w:w="978" w:type="dxa"/>
            <w:tcBorders>
              <w:bottom w:val="single" w:sz="4" w:space="0" w:color="auto"/>
            </w:tcBorders>
            <w:shd w:val="clear" w:color="auto" w:fill="BFBFBF" w:themeFill="background1" w:themeFillShade="BF"/>
            <w:noWrap/>
            <w:vAlign w:val="center"/>
            <w:hideMark/>
          </w:tcPr>
          <w:p w14:paraId="4E945D71" w14:textId="08058520" w:rsidR="00B82AF4" w:rsidRPr="00CB7FC2" w:rsidRDefault="00B82AF4" w:rsidP="000E2CBA">
            <w:pPr>
              <w:keepNext/>
              <w:jc w:val="center"/>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Dasatinib</w:t>
            </w:r>
          </w:p>
        </w:tc>
        <w:tc>
          <w:tcPr>
            <w:tcW w:w="995" w:type="dxa"/>
            <w:tcBorders>
              <w:bottom w:val="single" w:sz="4" w:space="0" w:color="auto"/>
            </w:tcBorders>
            <w:shd w:val="clear" w:color="auto" w:fill="BFBFBF" w:themeFill="background1" w:themeFillShade="BF"/>
            <w:noWrap/>
            <w:vAlign w:val="center"/>
            <w:hideMark/>
          </w:tcPr>
          <w:p w14:paraId="2CD18A79" w14:textId="2234197C" w:rsidR="00B82AF4" w:rsidRPr="00CB7FC2" w:rsidRDefault="00B82AF4" w:rsidP="000E2CBA">
            <w:pPr>
              <w:keepNext/>
              <w:jc w:val="center"/>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Ponatinib</w:t>
            </w:r>
          </w:p>
        </w:tc>
        <w:tc>
          <w:tcPr>
            <w:tcW w:w="891" w:type="dxa"/>
            <w:tcBorders>
              <w:bottom w:val="single" w:sz="4" w:space="0" w:color="auto"/>
            </w:tcBorders>
            <w:shd w:val="clear" w:color="auto" w:fill="BFBFBF" w:themeFill="background1" w:themeFillShade="BF"/>
            <w:noWrap/>
            <w:vAlign w:val="center"/>
            <w:hideMark/>
          </w:tcPr>
          <w:p w14:paraId="7DBA164D" w14:textId="13EF1F51" w:rsidR="00B82AF4" w:rsidRPr="00CB7FC2" w:rsidRDefault="00B82AF4" w:rsidP="000E2CBA">
            <w:pPr>
              <w:keepNext/>
              <w:jc w:val="center"/>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Imatinib</w:t>
            </w:r>
          </w:p>
        </w:tc>
        <w:tc>
          <w:tcPr>
            <w:tcW w:w="912" w:type="dxa"/>
            <w:tcBorders>
              <w:bottom w:val="single" w:sz="4" w:space="0" w:color="auto"/>
            </w:tcBorders>
            <w:shd w:val="clear" w:color="auto" w:fill="BFBFBF" w:themeFill="background1" w:themeFillShade="BF"/>
            <w:noWrap/>
            <w:vAlign w:val="center"/>
            <w:hideMark/>
          </w:tcPr>
          <w:p w14:paraId="66F679B6" w14:textId="7872985B" w:rsidR="00B82AF4" w:rsidRPr="00CB7FC2" w:rsidRDefault="00B82AF4" w:rsidP="000E2CBA">
            <w:pPr>
              <w:keepNext/>
              <w:jc w:val="center"/>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Nilotinib</w:t>
            </w:r>
          </w:p>
        </w:tc>
        <w:tc>
          <w:tcPr>
            <w:tcW w:w="978" w:type="dxa"/>
            <w:tcBorders>
              <w:bottom w:val="single" w:sz="4" w:space="0" w:color="auto"/>
            </w:tcBorders>
            <w:shd w:val="clear" w:color="auto" w:fill="BFBFBF" w:themeFill="background1" w:themeFillShade="BF"/>
            <w:noWrap/>
            <w:vAlign w:val="center"/>
            <w:hideMark/>
          </w:tcPr>
          <w:p w14:paraId="18A83122" w14:textId="7D975A88" w:rsidR="00B82AF4" w:rsidRPr="00CB7FC2" w:rsidRDefault="00B82AF4" w:rsidP="000E2CBA">
            <w:pPr>
              <w:keepNext/>
              <w:jc w:val="center"/>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Dasatinib</w:t>
            </w:r>
          </w:p>
        </w:tc>
        <w:tc>
          <w:tcPr>
            <w:tcW w:w="995" w:type="dxa"/>
            <w:tcBorders>
              <w:bottom w:val="single" w:sz="4" w:space="0" w:color="auto"/>
            </w:tcBorders>
            <w:shd w:val="clear" w:color="auto" w:fill="BFBFBF" w:themeFill="background1" w:themeFillShade="BF"/>
            <w:noWrap/>
            <w:vAlign w:val="center"/>
            <w:hideMark/>
          </w:tcPr>
          <w:p w14:paraId="07719C0E" w14:textId="669C5FE7" w:rsidR="00B82AF4" w:rsidRPr="00CB7FC2" w:rsidRDefault="00B82AF4" w:rsidP="000E2CBA">
            <w:pPr>
              <w:keepNext/>
              <w:jc w:val="center"/>
              <w:rPr>
                <w:rFonts w:ascii="Calibri" w:eastAsia="Times New Roman" w:hAnsi="Calibri" w:cs="Calibri"/>
                <w:b/>
                <w:color w:val="000000"/>
                <w:sz w:val="20"/>
                <w:szCs w:val="20"/>
              </w:rPr>
            </w:pPr>
            <w:r w:rsidRPr="00CB7FC2">
              <w:rPr>
                <w:rFonts w:ascii="Calibri" w:eastAsia="Times New Roman" w:hAnsi="Calibri" w:cs="Calibri"/>
                <w:b/>
                <w:color w:val="000000"/>
                <w:sz w:val="20"/>
                <w:szCs w:val="20"/>
              </w:rPr>
              <w:t>Ponatinib</w:t>
            </w:r>
          </w:p>
        </w:tc>
      </w:tr>
      <w:tr w:rsidR="006E387B" w:rsidRPr="00B82AF4" w14:paraId="00E87341" w14:textId="77777777" w:rsidTr="009E7616">
        <w:trPr>
          <w:trHeight w:val="300"/>
        </w:trPr>
        <w:tc>
          <w:tcPr>
            <w:tcW w:w="1047" w:type="dxa"/>
            <w:vMerge w:val="restart"/>
            <w:noWrap/>
            <w:vAlign w:val="center"/>
            <w:hideMark/>
          </w:tcPr>
          <w:p w14:paraId="3BD9D8A0" w14:textId="6324B5D2"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 xml:space="preserve">First line </w:t>
            </w:r>
          </w:p>
        </w:tc>
        <w:tc>
          <w:tcPr>
            <w:tcW w:w="1183" w:type="dxa"/>
            <w:vMerge w:val="restart"/>
            <w:noWrap/>
            <w:vAlign w:val="center"/>
            <w:hideMark/>
          </w:tcPr>
          <w:p w14:paraId="2F585076"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Accelerated</w:t>
            </w:r>
          </w:p>
        </w:tc>
        <w:tc>
          <w:tcPr>
            <w:tcW w:w="1243" w:type="dxa"/>
            <w:tcBorders>
              <w:bottom w:val="nil"/>
            </w:tcBorders>
            <w:noWrap/>
            <w:vAlign w:val="center"/>
            <w:hideMark/>
          </w:tcPr>
          <w:p w14:paraId="6A138CA4"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Continuing</w:t>
            </w:r>
          </w:p>
        </w:tc>
        <w:tc>
          <w:tcPr>
            <w:tcW w:w="891" w:type="dxa"/>
            <w:tcBorders>
              <w:bottom w:val="nil"/>
              <w:right w:val="nil"/>
            </w:tcBorders>
            <w:noWrap/>
            <w:vAlign w:val="center"/>
            <w:hideMark/>
          </w:tcPr>
          <w:p w14:paraId="0B075E40"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800</w:t>
            </w:r>
          </w:p>
        </w:tc>
        <w:tc>
          <w:tcPr>
            <w:tcW w:w="912" w:type="dxa"/>
            <w:tcBorders>
              <w:left w:val="nil"/>
              <w:bottom w:val="nil"/>
              <w:right w:val="nil"/>
            </w:tcBorders>
            <w:noWrap/>
            <w:vAlign w:val="center"/>
            <w:hideMark/>
          </w:tcPr>
          <w:p w14:paraId="34B77B97"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78" w:type="dxa"/>
            <w:tcBorders>
              <w:left w:val="nil"/>
              <w:bottom w:val="nil"/>
              <w:right w:val="nil"/>
            </w:tcBorders>
            <w:noWrap/>
            <w:vAlign w:val="center"/>
            <w:hideMark/>
          </w:tcPr>
          <w:p w14:paraId="7E0D2E7D"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95" w:type="dxa"/>
            <w:tcBorders>
              <w:left w:val="nil"/>
              <w:bottom w:val="nil"/>
              <w:right w:val="single" w:sz="4" w:space="0" w:color="auto"/>
            </w:tcBorders>
            <w:noWrap/>
            <w:vAlign w:val="center"/>
            <w:hideMark/>
          </w:tcPr>
          <w:p w14:paraId="5ABD5B0F"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top w:val="single" w:sz="4" w:space="0" w:color="auto"/>
              <w:left w:val="single" w:sz="4" w:space="0" w:color="auto"/>
              <w:bottom w:val="nil"/>
              <w:right w:val="nil"/>
            </w:tcBorders>
            <w:noWrap/>
            <w:vAlign w:val="center"/>
            <w:hideMark/>
          </w:tcPr>
          <w:p w14:paraId="2D5B2CC9"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7</w:t>
            </w:r>
          </w:p>
        </w:tc>
        <w:tc>
          <w:tcPr>
            <w:tcW w:w="912" w:type="dxa"/>
            <w:tcBorders>
              <w:top w:val="single" w:sz="4" w:space="0" w:color="auto"/>
              <w:left w:val="nil"/>
              <w:bottom w:val="nil"/>
              <w:right w:val="nil"/>
            </w:tcBorders>
            <w:noWrap/>
            <w:vAlign w:val="center"/>
            <w:hideMark/>
          </w:tcPr>
          <w:p w14:paraId="1DD1E8CC"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78" w:type="dxa"/>
            <w:tcBorders>
              <w:top w:val="single" w:sz="4" w:space="0" w:color="auto"/>
              <w:left w:val="nil"/>
              <w:bottom w:val="nil"/>
              <w:right w:val="nil"/>
            </w:tcBorders>
            <w:noWrap/>
            <w:vAlign w:val="center"/>
            <w:hideMark/>
          </w:tcPr>
          <w:p w14:paraId="18DCA26B"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95" w:type="dxa"/>
            <w:tcBorders>
              <w:top w:val="single" w:sz="4" w:space="0" w:color="auto"/>
              <w:left w:val="nil"/>
              <w:bottom w:val="nil"/>
              <w:right w:val="single" w:sz="4" w:space="0" w:color="auto"/>
            </w:tcBorders>
            <w:noWrap/>
            <w:vAlign w:val="center"/>
            <w:hideMark/>
          </w:tcPr>
          <w:p w14:paraId="634FA136"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05BF9EAE" w14:textId="77777777" w:rsidTr="009E7616">
        <w:trPr>
          <w:trHeight w:val="300"/>
        </w:trPr>
        <w:tc>
          <w:tcPr>
            <w:tcW w:w="1047" w:type="dxa"/>
            <w:vMerge/>
            <w:noWrap/>
            <w:vAlign w:val="center"/>
            <w:hideMark/>
          </w:tcPr>
          <w:p w14:paraId="709A47E5" w14:textId="36C30EA3" w:rsidR="006E387B" w:rsidRPr="00B82AF4" w:rsidRDefault="006E387B" w:rsidP="000E2CBA">
            <w:pPr>
              <w:keepNext/>
              <w:rPr>
                <w:rFonts w:ascii="Calibri" w:eastAsia="Times New Roman" w:hAnsi="Calibri" w:cs="Calibri"/>
                <w:color w:val="000000"/>
                <w:sz w:val="20"/>
                <w:szCs w:val="20"/>
              </w:rPr>
            </w:pPr>
          </w:p>
        </w:tc>
        <w:tc>
          <w:tcPr>
            <w:tcW w:w="1183" w:type="dxa"/>
            <w:vMerge/>
            <w:vAlign w:val="center"/>
            <w:hideMark/>
          </w:tcPr>
          <w:p w14:paraId="69C520BD" w14:textId="77777777" w:rsidR="006E387B" w:rsidRPr="00B82AF4" w:rsidRDefault="006E387B" w:rsidP="000E2CBA">
            <w:pPr>
              <w:keepNext/>
              <w:rPr>
                <w:rFonts w:ascii="Calibri" w:eastAsia="Times New Roman" w:hAnsi="Calibri" w:cs="Calibri"/>
                <w:color w:val="000000"/>
                <w:sz w:val="20"/>
                <w:szCs w:val="20"/>
              </w:rPr>
            </w:pPr>
          </w:p>
        </w:tc>
        <w:tc>
          <w:tcPr>
            <w:tcW w:w="1243" w:type="dxa"/>
            <w:tcBorders>
              <w:top w:val="nil"/>
            </w:tcBorders>
            <w:noWrap/>
            <w:vAlign w:val="center"/>
            <w:hideMark/>
          </w:tcPr>
          <w:p w14:paraId="4A85E47A"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Initial</w:t>
            </w:r>
          </w:p>
        </w:tc>
        <w:tc>
          <w:tcPr>
            <w:tcW w:w="891" w:type="dxa"/>
            <w:tcBorders>
              <w:top w:val="nil"/>
              <w:right w:val="nil"/>
            </w:tcBorders>
            <w:noWrap/>
            <w:vAlign w:val="center"/>
            <w:hideMark/>
          </w:tcPr>
          <w:p w14:paraId="0D9AF2CA"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629</w:t>
            </w:r>
          </w:p>
        </w:tc>
        <w:tc>
          <w:tcPr>
            <w:tcW w:w="912" w:type="dxa"/>
            <w:tcBorders>
              <w:top w:val="nil"/>
              <w:left w:val="nil"/>
              <w:right w:val="nil"/>
            </w:tcBorders>
            <w:noWrap/>
            <w:vAlign w:val="center"/>
            <w:hideMark/>
          </w:tcPr>
          <w:p w14:paraId="0C60FA64"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800</w:t>
            </w:r>
          </w:p>
        </w:tc>
        <w:tc>
          <w:tcPr>
            <w:tcW w:w="978" w:type="dxa"/>
            <w:tcBorders>
              <w:top w:val="nil"/>
              <w:left w:val="nil"/>
              <w:right w:val="nil"/>
            </w:tcBorders>
            <w:noWrap/>
            <w:vAlign w:val="center"/>
            <w:hideMark/>
          </w:tcPr>
          <w:p w14:paraId="7F727AFB"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95" w:type="dxa"/>
            <w:tcBorders>
              <w:top w:val="nil"/>
              <w:left w:val="nil"/>
              <w:right w:val="single" w:sz="4" w:space="0" w:color="auto"/>
            </w:tcBorders>
            <w:noWrap/>
            <w:vAlign w:val="center"/>
            <w:hideMark/>
          </w:tcPr>
          <w:p w14:paraId="65E4F946"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top w:val="nil"/>
              <w:left w:val="single" w:sz="4" w:space="0" w:color="auto"/>
              <w:right w:val="nil"/>
            </w:tcBorders>
            <w:noWrap/>
            <w:vAlign w:val="center"/>
            <w:hideMark/>
          </w:tcPr>
          <w:p w14:paraId="1C3BE9A5"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7</w:t>
            </w:r>
          </w:p>
        </w:tc>
        <w:tc>
          <w:tcPr>
            <w:tcW w:w="912" w:type="dxa"/>
            <w:tcBorders>
              <w:top w:val="nil"/>
              <w:left w:val="nil"/>
              <w:right w:val="nil"/>
            </w:tcBorders>
            <w:noWrap/>
            <w:vAlign w:val="center"/>
            <w:hideMark/>
          </w:tcPr>
          <w:p w14:paraId="417F120B" w14:textId="2A32E28C" w:rsidR="006E387B" w:rsidRPr="00B82AF4" w:rsidRDefault="001B4FEB" w:rsidP="000E2CBA">
            <w:pPr>
              <w:keepNext/>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978" w:type="dxa"/>
            <w:tcBorders>
              <w:top w:val="nil"/>
              <w:left w:val="nil"/>
              <w:right w:val="nil"/>
            </w:tcBorders>
            <w:noWrap/>
            <w:vAlign w:val="center"/>
            <w:hideMark/>
          </w:tcPr>
          <w:p w14:paraId="42E40531"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95" w:type="dxa"/>
            <w:tcBorders>
              <w:top w:val="nil"/>
              <w:left w:val="nil"/>
              <w:right w:val="single" w:sz="4" w:space="0" w:color="auto"/>
            </w:tcBorders>
            <w:noWrap/>
            <w:vAlign w:val="center"/>
            <w:hideMark/>
          </w:tcPr>
          <w:p w14:paraId="40A7F06F"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3A564293" w14:textId="77777777" w:rsidTr="009E7616">
        <w:trPr>
          <w:trHeight w:val="300"/>
        </w:trPr>
        <w:tc>
          <w:tcPr>
            <w:tcW w:w="1047" w:type="dxa"/>
            <w:vMerge/>
            <w:noWrap/>
            <w:vAlign w:val="center"/>
            <w:hideMark/>
          </w:tcPr>
          <w:p w14:paraId="23373036" w14:textId="685EDDC6" w:rsidR="006E387B" w:rsidRPr="00B82AF4" w:rsidRDefault="006E387B" w:rsidP="000E2CBA">
            <w:pPr>
              <w:keepNext/>
              <w:rPr>
                <w:rFonts w:ascii="Calibri" w:eastAsia="Times New Roman" w:hAnsi="Calibri" w:cs="Calibri"/>
                <w:color w:val="000000"/>
                <w:sz w:val="20"/>
                <w:szCs w:val="20"/>
              </w:rPr>
            </w:pPr>
          </w:p>
        </w:tc>
        <w:tc>
          <w:tcPr>
            <w:tcW w:w="2426" w:type="dxa"/>
            <w:gridSpan w:val="2"/>
            <w:noWrap/>
            <w:vAlign w:val="center"/>
            <w:hideMark/>
          </w:tcPr>
          <w:p w14:paraId="17414789"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Accelerated Total</w:t>
            </w:r>
          </w:p>
        </w:tc>
        <w:tc>
          <w:tcPr>
            <w:tcW w:w="891" w:type="dxa"/>
            <w:tcBorders>
              <w:bottom w:val="single" w:sz="4" w:space="0" w:color="auto"/>
              <w:right w:val="nil"/>
            </w:tcBorders>
            <w:noWrap/>
            <w:vAlign w:val="center"/>
            <w:hideMark/>
          </w:tcPr>
          <w:p w14:paraId="3E6203EC"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715</w:t>
            </w:r>
          </w:p>
        </w:tc>
        <w:tc>
          <w:tcPr>
            <w:tcW w:w="912" w:type="dxa"/>
            <w:tcBorders>
              <w:left w:val="nil"/>
              <w:bottom w:val="single" w:sz="4" w:space="0" w:color="auto"/>
              <w:right w:val="nil"/>
            </w:tcBorders>
            <w:noWrap/>
            <w:vAlign w:val="center"/>
            <w:hideMark/>
          </w:tcPr>
          <w:p w14:paraId="513D5491"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800</w:t>
            </w:r>
          </w:p>
        </w:tc>
        <w:tc>
          <w:tcPr>
            <w:tcW w:w="978" w:type="dxa"/>
            <w:tcBorders>
              <w:left w:val="nil"/>
              <w:bottom w:val="single" w:sz="4" w:space="0" w:color="auto"/>
              <w:right w:val="nil"/>
            </w:tcBorders>
            <w:noWrap/>
            <w:vAlign w:val="center"/>
            <w:hideMark/>
          </w:tcPr>
          <w:p w14:paraId="38E224BB"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95" w:type="dxa"/>
            <w:tcBorders>
              <w:left w:val="nil"/>
              <w:bottom w:val="single" w:sz="4" w:space="0" w:color="auto"/>
              <w:right w:val="single" w:sz="4" w:space="0" w:color="auto"/>
            </w:tcBorders>
            <w:noWrap/>
            <w:vAlign w:val="center"/>
            <w:hideMark/>
          </w:tcPr>
          <w:p w14:paraId="56A7DC8B"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left w:val="single" w:sz="4" w:space="0" w:color="auto"/>
              <w:bottom w:val="single" w:sz="4" w:space="0" w:color="auto"/>
              <w:right w:val="nil"/>
            </w:tcBorders>
            <w:noWrap/>
            <w:vAlign w:val="center"/>
            <w:hideMark/>
          </w:tcPr>
          <w:p w14:paraId="00C4ACB2"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14</w:t>
            </w:r>
          </w:p>
        </w:tc>
        <w:tc>
          <w:tcPr>
            <w:tcW w:w="912" w:type="dxa"/>
            <w:tcBorders>
              <w:left w:val="nil"/>
              <w:bottom w:val="single" w:sz="4" w:space="0" w:color="auto"/>
              <w:right w:val="nil"/>
            </w:tcBorders>
            <w:noWrap/>
            <w:vAlign w:val="center"/>
            <w:hideMark/>
          </w:tcPr>
          <w:p w14:paraId="1421E73B" w14:textId="78FCAC01" w:rsidR="006E387B" w:rsidRPr="00B82AF4" w:rsidRDefault="001B4FEB" w:rsidP="000E2CBA">
            <w:pPr>
              <w:keepNext/>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978" w:type="dxa"/>
            <w:tcBorders>
              <w:left w:val="nil"/>
              <w:bottom w:val="single" w:sz="4" w:space="0" w:color="auto"/>
              <w:right w:val="nil"/>
            </w:tcBorders>
            <w:noWrap/>
            <w:vAlign w:val="center"/>
            <w:hideMark/>
          </w:tcPr>
          <w:p w14:paraId="73B08F9C"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95" w:type="dxa"/>
            <w:tcBorders>
              <w:left w:val="nil"/>
              <w:bottom w:val="single" w:sz="4" w:space="0" w:color="auto"/>
              <w:right w:val="single" w:sz="4" w:space="0" w:color="auto"/>
            </w:tcBorders>
            <w:noWrap/>
            <w:vAlign w:val="center"/>
            <w:hideMark/>
          </w:tcPr>
          <w:p w14:paraId="57823C75"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2FD2BA95" w14:textId="77777777" w:rsidTr="009E7616">
        <w:trPr>
          <w:trHeight w:val="300"/>
        </w:trPr>
        <w:tc>
          <w:tcPr>
            <w:tcW w:w="1047" w:type="dxa"/>
            <w:vMerge/>
            <w:noWrap/>
            <w:vAlign w:val="center"/>
            <w:hideMark/>
          </w:tcPr>
          <w:p w14:paraId="1A44D4BA" w14:textId="63E13366" w:rsidR="006E387B" w:rsidRPr="00B82AF4" w:rsidRDefault="006E387B" w:rsidP="000E2CBA">
            <w:pPr>
              <w:keepNext/>
              <w:rPr>
                <w:rFonts w:ascii="Calibri" w:eastAsia="Times New Roman" w:hAnsi="Calibri" w:cs="Calibri"/>
                <w:color w:val="000000"/>
                <w:sz w:val="20"/>
                <w:szCs w:val="20"/>
              </w:rPr>
            </w:pPr>
          </w:p>
        </w:tc>
        <w:tc>
          <w:tcPr>
            <w:tcW w:w="1183" w:type="dxa"/>
            <w:vMerge w:val="restart"/>
            <w:noWrap/>
            <w:vAlign w:val="center"/>
            <w:hideMark/>
          </w:tcPr>
          <w:p w14:paraId="5DA19672"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Blast</w:t>
            </w:r>
          </w:p>
        </w:tc>
        <w:tc>
          <w:tcPr>
            <w:tcW w:w="1243" w:type="dxa"/>
            <w:tcBorders>
              <w:bottom w:val="nil"/>
            </w:tcBorders>
            <w:noWrap/>
            <w:vAlign w:val="center"/>
            <w:hideMark/>
          </w:tcPr>
          <w:p w14:paraId="1B157A12"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Continuing</w:t>
            </w:r>
          </w:p>
        </w:tc>
        <w:tc>
          <w:tcPr>
            <w:tcW w:w="891" w:type="dxa"/>
            <w:tcBorders>
              <w:bottom w:val="nil"/>
              <w:right w:val="nil"/>
            </w:tcBorders>
            <w:noWrap/>
            <w:vAlign w:val="center"/>
            <w:hideMark/>
          </w:tcPr>
          <w:p w14:paraId="21F8B22C"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600</w:t>
            </w:r>
          </w:p>
        </w:tc>
        <w:tc>
          <w:tcPr>
            <w:tcW w:w="912" w:type="dxa"/>
            <w:tcBorders>
              <w:left w:val="nil"/>
              <w:bottom w:val="nil"/>
              <w:right w:val="nil"/>
            </w:tcBorders>
            <w:noWrap/>
            <w:vAlign w:val="center"/>
            <w:hideMark/>
          </w:tcPr>
          <w:p w14:paraId="5CD80D36" w14:textId="77777777" w:rsidR="006E387B" w:rsidRPr="00B82AF4" w:rsidRDefault="006E387B" w:rsidP="000E2CBA">
            <w:pPr>
              <w:keepNext/>
              <w:jc w:val="right"/>
              <w:rPr>
                <w:rFonts w:ascii="Calibri" w:eastAsia="Times New Roman" w:hAnsi="Calibri" w:cs="Calibri"/>
                <w:color w:val="000000"/>
                <w:sz w:val="20"/>
                <w:szCs w:val="20"/>
              </w:rPr>
            </w:pPr>
          </w:p>
        </w:tc>
        <w:tc>
          <w:tcPr>
            <w:tcW w:w="978" w:type="dxa"/>
            <w:tcBorders>
              <w:left w:val="nil"/>
              <w:bottom w:val="nil"/>
              <w:right w:val="nil"/>
            </w:tcBorders>
            <w:noWrap/>
            <w:vAlign w:val="center"/>
            <w:hideMark/>
          </w:tcPr>
          <w:p w14:paraId="677FB88A" w14:textId="77777777" w:rsidR="006E387B" w:rsidRPr="00B82AF4" w:rsidRDefault="006E387B" w:rsidP="000E2CBA">
            <w:pPr>
              <w:keepNext/>
              <w:jc w:val="right"/>
              <w:rPr>
                <w:rFonts w:ascii="Calibri" w:eastAsia="Times New Roman" w:hAnsi="Calibri" w:cs="Calibri"/>
                <w:color w:val="000000"/>
                <w:sz w:val="20"/>
                <w:szCs w:val="20"/>
              </w:rPr>
            </w:pPr>
          </w:p>
        </w:tc>
        <w:tc>
          <w:tcPr>
            <w:tcW w:w="995" w:type="dxa"/>
            <w:tcBorders>
              <w:left w:val="nil"/>
              <w:bottom w:val="nil"/>
              <w:right w:val="single" w:sz="4" w:space="0" w:color="auto"/>
            </w:tcBorders>
            <w:noWrap/>
            <w:vAlign w:val="center"/>
            <w:hideMark/>
          </w:tcPr>
          <w:p w14:paraId="29D783DD"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left w:val="single" w:sz="4" w:space="0" w:color="auto"/>
              <w:bottom w:val="nil"/>
              <w:right w:val="nil"/>
            </w:tcBorders>
            <w:noWrap/>
            <w:vAlign w:val="center"/>
            <w:hideMark/>
          </w:tcPr>
          <w:p w14:paraId="4BEA872E" w14:textId="4EECE86F" w:rsidR="006E387B" w:rsidRPr="00B82AF4" w:rsidRDefault="001B4FEB" w:rsidP="000E2CBA">
            <w:pPr>
              <w:keepNext/>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912" w:type="dxa"/>
            <w:tcBorders>
              <w:left w:val="nil"/>
              <w:bottom w:val="nil"/>
              <w:right w:val="nil"/>
            </w:tcBorders>
            <w:noWrap/>
            <w:vAlign w:val="center"/>
            <w:hideMark/>
          </w:tcPr>
          <w:p w14:paraId="7F50DE00" w14:textId="77777777" w:rsidR="006E387B" w:rsidRPr="00B82AF4" w:rsidRDefault="006E387B" w:rsidP="000E2CBA">
            <w:pPr>
              <w:keepNext/>
              <w:jc w:val="right"/>
              <w:rPr>
                <w:rFonts w:ascii="Calibri" w:eastAsia="Times New Roman" w:hAnsi="Calibri" w:cs="Calibri"/>
                <w:color w:val="000000"/>
                <w:sz w:val="20"/>
                <w:szCs w:val="20"/>
              </w:rPr>
            </w:pPr>
          </w:p>
        </w:tc>
        <w:tc>
          <w:tcPr>
            <w:tcW w:w="978" w:type="dxa"/>
            <w:tcBorders>
              <w:left w:val="nil"/>
              <w:bottom w:val="nil"/>
              <w:right w:val="nil"/>
            </w:tcBorders>
            <w:noWrap/>
            <w:vAlign w:val="center"/>
            <w:hideMark/>
          </w:tcPr>
          <w:p w14:paraId="5C61B496" w14:textId="77777777" w:rsidR="006E387B" w:rsidRPr="00B82AF4" w:rsidRDefault="006E387B" w:rsidP="000E2CBA">
            <w:pPr>
              <w:keepNext/>
              <w:jc w:val="right"/>
              <w:rPr>
                <w:rFonts w:ascii="Calibri" w:eastAsia="Times New Roman" w:hAnsi="Calibri" w:cs="Calibri"/>
                <w:color w:val="000000"/>
                <w:sz w:val="20"/>
                <w:szCs w:val="20"/>
              </w:rPr>
            </w:pPr>
          </w:p>
        </w:tc>
        <w:tc>
          <w:tcPr>
            <w:tcW w:w="995" w:type="dxa"/>
            <w:tcBorders>
              <w:left w:val="nil"/>
              <w:bottom w:val="nil"/>
              <w:right w:val="single" w:sz="4" w:space="0" w:color="auto"/>
            </w:tcBorders>
            <w:noWrap/>
            <w:vAlign w:val="center"/>
            <w:hideMark/>
          </w:tcPr>
          <w:p w14:paraId="2B59D1CF"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601CF143" w14:textId="77777777" w:rsidTr="009E7616">
        <w:trPr>
          <w:trHeight w:val="300"/>
        </w:trPr>
        <w:tc>
          <w:tcPr>
            <w:tcW w:w="1047" w:type="dxa"/>
            <w:vMerge/>
            <w:noWrap/>
            <w:vAlign w:val="center"/>
            <w:hideMark/>
          </w:tcPr>
          <w:p w14:paraId="424CAB70" w14:textId="35D8D8FA" w:rsidR="006E387B" w:rsidRPr="00B82AF4" w:rsidRDefault="006E387B" w:rsidP="000E2CBA">
            <w:pPr>
              <w:keepNext/>
              <w:rPr>
                <w:rFonts w:ascii="Calibri" w:eastAsia="Times New Roman" w:hAnsi="Calibri" w:cs="Calibri"/>
                <w:color w:val="000000"/>
                <w:sz w:val="20"/>
                <w:szCs w:val="20"/>
              </w:rPr>
            </w:pPr>
          </w:p>
        </w:tc>
        <w:tc>
          <w:tcPr>
            <w:tcW w:w="1183" w:type="dxa"/>
            <w:vMerge/>
            <w:vAlign w:val="center"/>
            <w:hideMark/>
          </w:tcPr>
          <w:p w14:paraId="1259C234" w14:textId="77777777" w:rsidR="006E387B" w:rsidRPr="00B82AF4" w:rsidRDefault="006E387B" w:rsidP="000E2CBA">
            <w:pPr>
              <w:keepNext/>
              <w:rPr>
                <w:rFonts w:ascii="Calibri" w:eastAsia="Times New Roman" w:hAnsi="Calibri" w:cs="Calibri"/>
                <w:color w:val="000000"/>
                <w:sz w:val="20"/>
                <w:szCs w:val="20"/>
              </w:rPr>
            </w:pPr>
          </w:p>
        </w:tc>
        <w:tc>
          <w:tcPr>
            <w:tcW w:w="1243" w:type="dxa"/>
            <w:tcBorders>
              <w:top w:val="nil"/>
            </w:tcBorders>
            <w:noWrap/>
            <w:vAlign w:val="center"/>
            <w:hideMark/>
          </w:tcPr>
          <w:p w14:paraId="187C088E"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Initial</w:t>
            </w:r>
          </w:p>
        </w:tc>
        <w:tc>
          <w:tcPr>
            <w:tcW w:w="891" w:type="dxa"/>
            <w:tcBorders>
              <w:top w:val="nil"/>
              <w:right w:val="nil"/>
            </w:tcBorders>
            <w:noWrap/>
            <w:vAlign w:val="center"/>
            <w:hideMark/>
          </w:tcPr>
          <w:p w14:paraId="6960E3E2"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600</w:t>
            </w:r>
          </w:p>
        </w:tc>
        <w:tc>
          <w:tcPr>
            <w:tcW w:w="912" w:type="dxa"/>
            <w:tcBorders>
              <w:top w:val="nil"/>
              <w:left w:val="nil"/>
              <w:right w:val="nil"/>
            </w:tcBorders>
            <w:noWrap/>
            <w:vAlign w:val="center"/>
            <w:hideMark/>
          </w:tcPr>
          <w:p w14:paraId="45134D10" w14:textId="77777777" w:rsidR="006E387B" w:rsidRPr="00B82AF4" w:rsidRDefault="006E387B" w:rsidP="000E2CBA">
            <w:pPr>
              <w:keepNext/>
              <w:jc w:val="right"/>
              <w:rPr>
                <w:rFonts w:ascii="Calibri" w:eastAsia="Times New Roman" w:hAnsi="Calibri" w:cs="Calibri"/>
                <w:color w:val="000000"/>
                <w:sz w:val="20"/>
                <w:szCs w:val="20"/>
              </w:rPr>
            </w:pPr>
          </w:p>
        </w:tc>
        <w:tc>
          <w:tcPr>
            <w:tcW w:w="978" w:type="dxa"/>
            <w:tcBorders>
              <w:top w:val="nil"/>
              <w:left w:val="nil"/>
              <w:right w:val="nil"/>
            </w:tcBorders>
            <w:noWrap/>
            <w:vAlign w:val="center"/>
            <w:hideMark/>
          </w:tcPr>
          <w:p w14:paraId="1080313D" w14:textId="77777777" w:rsidR="006E387B" w:rsidRPr="00B82AF4" w:rsidRDefault="006E387B" w:rsidP="000E2CBA">
            <w:pPr>
              <w:keepNext/>
              <w:jc w:val="right"/>
              <w:rPr>
                <w:rFonts w:ascii="Calibri" w:eastAsia="Times New Roman" w:hAnsi="Calibri" w:cs="Calibri"/>
                <w:color w:val="000000"/>
                <w:sz w:val="20"/>
                <w:szCs w:val="20"/>
              </w:rPr>
            </w:pPr>
          </w:p>
        </w:tc>
        <w:tc>
          <w:tcPr>
            <w:tcW w:w="995" w:type="dxa"/>
            <w:tcBorders>
              <w:top w:val="nil"/>
              <w:left w:val="nil"/>
              <w:right w:val="single" w:sz="4" w:space="0" w:color="auto"/>
            </w:tcBorders>
            <w:noWrap/>
            <w:vAlign w:val="center"/>
            <w:hideMark/>
          </w:tcPr>
          <w:p w14:paraId="20ED9D25"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top w:val="nil"/>
              <w:left w:val="single" w:sz="4" w:space="0" w:color="auto"/>
              <w:right w:val="nil"/>
            </w:tcBorders>
            <w:noWrap/>
            <w:vAlign w:val="center"/>
            <w:hideMark/>
          </w:tcPr>
          <w:p w14:paraId="56B25FD1"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w:t>
            </w:r>
          </w:p>
        </w:tc>
        <w:tc>
          <w:tcPr>
            <w:tcW w:w="912" w:type="dxa"/>
            <w:tcBorders>
              <w:top w:val="nil"/>
              <w:left w:val="nil"/>
              <w:right w:val="nil"/>
            </w:tcBorders>
            <w:noWrap/>
            <w:vAlign w:val="center"/>
            <w:hideMark/>
          </w:tcPr>
          <w:p w14:paraId="1412CACA" w14:textId="77777777" w:rsidR="006E387B" w:rsidRPr="00B82AF4" w:rsidRDefault="006E387B" w:rsidP="000E2CBA">
            <w:pPr>
              <w:keepNext/>
              <w:jc w:val="right"/>
              <w:rPr>
                <w:rFonts w:ascii="Calibri" w:eastAsia="Times New Roman" w:hAnsi="Calibri" w:cs="Calibri"/>
                <w:color w:val="000000"/>
                <w:sz w:val="20"/>
                <w:szCs w:val="20"/>
              </w:rPr>
            </w:pPr>
          </w:p>
        </w:tc>
        <w:tc>
          <w:tcPr>
            <w:tcW w:w="978" w:type="dxa"/>
            <w:tcBorders>
              <w:top w:val="nil"/>
              <w:left w:val="nil"/>
              <w:right w:val="nil"/>
            </w:tcBorders>
            <w:noWrap/>
            <w:vAlign w:val="center"/>
            <w:hideMark/>
          </w:tcPr>
          <w:p w14:paraId="2FFA7682" w14:textId="77777777" w:rsidR="006E387B" w:rsidRPr="00B82AF4" w:rsidRDefault="006E387B" w:rsidP="000E2CBA">
            <w:pPr>
              <w:keepNext/>
              <w:jc w:val="right"/>
              <w:rPr>
                <w:rFonts w:ascii="Calibri" w:eastAsia="Times New Roman" w:hAnsi="Calibri" w:cs="Calibri"/>
                <w:color w:val="000000"/>
                <w:sz w:val="20"/>
                <w:szCs w:val="20"/>
              </w:rPr>
            </w:pPr>
          </w:p>
        </w:tc>
        <w:tc>
          <w:tcPr>
            <w:tcW w:w="995" w:type="dxa"/>
            <w:tcBorders>
              <w:top w:val="nil"/>
              <w:left w:val="nil"/>
              <w:right w:val="single" w:sz="4" w:space="0" w:color="auto"/>
            </w:tcBorders>
            <w:noWrap/>
            <w:vAlign w:val="center"/>
            <w:hideMark/>
          </w:tcPr>
          <w:p w14:paraId="36A12BE0"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50F3C3C0" w14:textId="77777777" w:rsidTr="009E7616">
        <w:trPr>
          <w:trHeight w:val="300"/>
        </w:trPr>
        <w:tc>
          <w:tcPr>
            <w:tcW w:w="1047" w:type="dxa"/>
            <w:vMerge/>
            <w:noWrap/>
            <w:vAlign w:val="center"/>
            <w:hideMark/>
          </w:tcPr>
          <w:p w14:paraId="51607CB8" w14:textId="42640426" w:rsidR="006E387B" w:rsidRPr="00B82AF4" w:rsidRDefault="006E387B" w:rsidP="000E2CBA">
            <w:pPr>
              <w:keepNext/>
              <w:rPr>
                <w:rFonts w:ascii="Calibri" w:eastAsia="Times New Roman" w:hAnsi="Calibri" w:cs="Calibri"/>
                <w:color w:val="000000"/>
                <w:sz w:val="20"/>
                <w:szCs w:val="20"/>
              </w:rPr>
            </w:pPr>
          </w:p>
        </w:tc>
        <w:tc>
          <w:tcPr>
            <w:tcW w:w="1183" w:type="dxa"/>
            <w:noWrap/>
            <w:vAlign w:val="center"/>
            <w:hideMark/>
          </w:tcPr>
          <w:p w14:paraId="7D9D6F77"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Blast Total</w:t>
            </w:r>
          </w:p>
        </w:tc>
        <w:tc>
          <w:tcPr>
            <w:tcW w:w="1243" w:type="dxa"/>
            <w:tcBorders>
              <w:bottom w:val="single" w:sz="4" w:space="0" w:color="auto"/>
            </w:tcBorders>
            <w:noWrap/>
            <w:vAlign w:val="center"/>
            <w:hideMark/>
          </w:tcPr>
          <w:p w14:paraId="1BCA1328"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bottom w:val="single" w:sz="4" w:space="0" w:color="auto"/>
              <w:right w:val="nil"/>
            </w:tcBorders>
            <w:noWrap/>
            <w:vAlign w:val="center"/>
            <w:hideMark/>
          </w:tcPr>
          <w:p w14:paraId="324DA0CD"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600</w:t>
            </w:r>
          </w:p>
        </w:tc>
        <w:tc>
          <w:tcPr>
            <w:tcW w:w="912" w:type="dxa"/>
            <w:tcBorders>
              <w:left w:val="nil"/>
              <w:bottom w:val="single" w:sz="4" w:space="0" w:color="auto"/>
              <w:right w:val="nil"/>
            </w:tcBorders>
            <w:noWrap/>
            <w:vAlign w:val="center"/>
            <w:hideMark/>
          </w:tcPr>
          <w:p w14:paraId="671EA5F2"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78" w:type="dxa"/>
            <w:tcBorders>
              <w:left w:val="nil"/>
              <w:bottom w:val="single" w:sz="4" w:space="0" w:color="auto"/>
              <w:right w:val="nil"/>
            </w:tcBorders>
            <w:noWrap/>
            <w:vAlign w:val="center"/>
            <w:hideMark/>
          </w:tcPr>
          <w:p w14:paraId="1DD12E13"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95" w:type="dxa"/>
            <w:tcBorders>
              <w:left w:val="nil"/>
              <w:bottom w:val="single" w:sz="4" w:space="0" w:color="auto"/>
              <w:right w:val="single" w:sz="4" w:space="0" w:color="auto"/>
            </w:tcBorders>
            <w:noWrap/>
            <w:vAlign w:val="center"/>
            <w:hideMark/>
          </w:tcPr>
          <w:p w14:paraId="7CE15DB9"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left w:val="single" w:sz="4" w:space="0" w:color="auto"/>
              <w:bottom w:val="single" w:sz="4" w:space="0" w:color="auto"/>
              <w:right w:val="nil"/>
            </w:tcBorders>
            <w:noWrap/>
            <w:vAlign w:val="center"/>
            <w:hideMark/>
          </w:tcPr>
          <w:p w14:paraId="6CD585B4" w14:textId="7337050E" w:rsidR="006E387B" w:rsidRPr="00B82AF4" w:rsidRDefault="009E7616" w:rsidP="000E2CBA">
            <w:pPr>
              <w:keepNext/>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912" w:type="dxa"/>
            <w:tcBorders>
              <w:left w:val="nil"/>
              <w:bottom w:val="single" w:sz="4" w:space="0" w:color="auto"/>
              <w:right w:val="nil"/>
            </w:tcBorders>
            <w:noWrap/>
            <w:vAlign w:val="center"/>
            <w:hideMark/>
          </w:tcPr>
          <w:p w14:paraId="56774233"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78" w:type="dxa"/>
            <w:tcBorders>
              <w:left w:val="nil"/>
              <w:bottom w:val="single" w:sz="4" w:space="0" w:color="auto"/>
              <w:right w:val="nil"/>
            </w:tcBorders>
            <w:noWrap/>
            <w:vAlign w:val="center"/>
            <w:hideMark/>
          </w:tcPr>
          <w:p w14:paraId="38338973"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95" w:type="dxa"/>
            <w:tcBorders>
              <w:left w:val="nil"/>
              <w:bottom w:val="single" w:sz="4" w:space="0" w:color="auto"/>
              <w:right w:val="single" w:sz="4" w:space="0" w:color="auto"/>
            </w:tcBorders>
            <w:noWrap/>
            <w:vAlign w:val="center"/>
            <w:hideMark/>
          </w:tcPr>
          <w:p w14:paraId="2C2CE256"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1698931F" w14:textId="77777777" w:rsidTr="009E7616">
        <w:trPr>
          <w:trHeight w:val="300"/>
        </w:trPr>
        <w:tc>
          <w:tcPr>
            <w:tcW w:w="1047" w:type="dxa"/>
            <w:vMerge/>
            <w:noWrap/>
            <w:vAlign w:val="center"/>
            <w:hideMark/>
          </w:tcPr>
          <w:p w14:paraId="32A973AB" w14:textId="0B0DD945" w:rsidR="006E387B" w:rsidRPr="00B82AF4" w:rsidRDefault="006E387B" w:rsidP="000E2CBA">
            <w:pPr>
              <w:keepNext/>
              <w:rPr>
                <w:rFonts w:ascii="Calibri" w:eastAsia="Times New Roman" w:hAnsi="Calibri" w:cs="Calibri"/>
                <w:color w:val="000000"/>
                <w:sz w:val="20"/>
                <w:szCs w:val="20"/>
              </w:rPr>
            </w:pPr>
          </w:p>
        </w:tc>
        <w:tc>
          <w:tcPr>
            <w:tcW w:w="1183" w:type="dxa"/>
            <w:vMerge w:val="restart"/>
            <w:noWrap/>
            <w:vAlign w:val="center"/>
            <w:hideMark/>
          </w:tcPr>
          <w:p w14:paraId="29C73593"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Chronic</w:t>
            </w:r>
          </w:p>
        </w:tc>
        <w:tc>
          <w:tcPr>
            <w:tcW w:w="1243" w:type="dxa"/>
            <w:tcBorders>
              <w:bottom w:val="nil"/>
            </w:tcBorders>
            <w:noWrap/>
            <w:vAlign w:val="center"/>
            <w:hideMark/>
          </w:tcPr>
          <w:p w14:paraId="5A5F02B2"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Continuing</w:t>
            </w:r>
          </w:p>
        </w:tc>
        <w:tc>
          <w:tcPr>
            <w:tcW w:w="891" w:type="dxa"/>
            <w:tcBorders>
              <w:bottom w:val="nil"/>
              <w:right w:val="nil"/>
            </w:tcBorders>
            <w:noWrap/>
            <w:vAlign w:val="center"/>
            <w:hideMark/>
          </w:tcPr>
          <w:p w14:paraId="09F74CA5"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427</w:t>
            </w:r>
          </w:p>
        </w:tc>
        <w:tc>
          <w:tcPr>
            <w:tcW w:w="912" w:type="dxa"/>
            <w:tcBorders>
              <w:left w:val="nil"/>
              <w:bottom w:val="nil"/>
              <w:right w:val="nil"/>
            </w:tcBorders>
            <w:noWrap/>
            <w:vAlign w:val="center"/>
            <w:hideMark/>
          </w:tcPr>
          <w:p w14:paraId="6F441195"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603</w:t>
            </w:r>
          </w:p>
        </w:tc>
        <w:tc>
          <w:tcPr>
            <w:tcW w:w="978" w:type="dxa"/>
            <w:tcBorders>
              <w:left w:val="nil"/>
              <w:bottom w:val="nil"/>
              <w:right w:val="nil"/>
            </w:tcBorders>
            <w:noWrap/>
            <w:vAlign w:val="center"/>
            <w:hideMark/>
          </w:tcPr>
          <w:p w14:paraId="21637173"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106</w:t>
            </w:r>
          </w:p>
        </w:tc>
        <w:tc>
          <w:tcPr>
            <w:tcW w:w="995" w:type="dxa"/>
            <w:tcBorders>
              <w:left w:val="nil"/>
              <w:bottom w:val="nil"/>
              <w:right w:val="single" w:sz="4" w:space="0" w:color="auto"/>
            </w:tcBorders>
            <w:noWrap/>
            <w:vAlign w:val="center"/>
            <w:hideMark/>
          </w:tcPr>
          <w:p w14:paraId="7F04070A"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left w:val="single" w:sz="4" w:space="0" w:color="auto"/>
              <w:bottom w:val="nil"/>
              <w:right w:val="nil"/>
            </w:tcBorders>
            <w:noWrap/>
            <w:vAlign w:val="center"/>
            <w:hideMark/>
          </w:tcPr>
          <w:p w14:paraId="588F08A9"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461</w:t>
            </w:r>
          </w:p>
        </w:tc>
        <w:tc>
          <w:tcPr>
            <w:tcW w:w="912" w:type="dxa"/>
            <w:tcBorders>
              <w:left w:val="nil"/>
              <w:bottom w:val="nil"/>
              <w:right w:val="nil"/>
            </w:tcBorders>
            <w:noWrap/>
            <w:vAlign w:val="center"/>
            <w:hideMark/>
          </w:tcPr>
          <w:p w14:paraId="024C2952"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235</w:t>
            </w:r>
          </w:p>
        </w:tc>
        <w:tc>
          <w:tcPr>
            <w:tcW w:w="978" w:type="dxa"/>
            <w:tcBorders>
              <w:left w:val="nil"/>
              <w:bottom w:val="nil"/>
              <w:right w:val="nil"/>
            </w:tcBorders>
            <w:noWrap/>
            <w:vAlign w:val="center"/>
            <w:hideMark/>
          </w:tcPr>
          <w:p w14:paraId="3ED9CDCF"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649</w:t>
            </w:r>
          </w:p>
        </w:tc>
        <w:tc>
          <w:tcPr>
            <w:tcW w:w="995" w:type="dxa"/>
            <w:tcBorders>
              <w:left w:val="nil"/>
              <w:bottom w:val="nil"/>
              <w:right w:val="single" w:sz="4" w:space="0" w:color="auto"/>
            </w:tcBorders>
            <w:noWrap/>
            <w:vAlign w:val="center"/>
            <w:hideMark/>
          </w:tcPr>
          <w:p w14:paraId="44B95FAF"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489778A4" w14:textId="77777777" w:rsidTr="009E7616">
        <w:trPr>
          <w:trHeight w:val="300"/>
        </w:trPr>
        <w:tc>
          <w:tcPr>
            <w:tcW w:w="1047" w:type="dxa"/>
            <w:vMerge/>
            <w:noWrap/>
            <w:vAlign w:val="center"/>
            <w:hideMark/>
          </w:tcPr>
          <w:p w14:paraId="7650B7DE" w14:textId="2DCCFBAF" w:rsidR="006E387B" w:rsidRPr="00B82AF4" w:rsidRDefault="006E387B" w:rsidP="000E2CBA">
            <w:pPr>
              <w:keepNext/>
              <w:rPr>
                <w:rFonts w:ascii="Calibri" w:eastAsia="Times New Roman" w:hAnsi="Calibri" w:cs="Calibri"/>
                <w:color w:val="000000"/>
                <w:sz w:val="20"/>
                <w:szCs w:val="20"/>
              </w:rPr>
            </w:pPr>
          </w:p>
        </w:tc>
        <w:tc>
          <w:tcPr>
            <w:tcW w:w="1183" w:type="dxa"/>
            <w:vMerge/>
            <w:vAlign w:val="center"/>
            <w:hideMark/>
          </w:tcPr>
          <w:p w14:paraId="11AAB4EA" w14:textId="77777777" w:rsidR="006E387B" w:rsidRPr="00B82AF4" w:rsidRDefault="006E387B" w:rsidP="000E2CBA">
            <w:pPr>
              <w:keepNext/>
              <w:rPr>
                <w:rFonts w:ascii="Calibri" w:eastAsia="Times New Roman" w:hAnsi="Calibri" w:cs="Calibri"/>
                <w:color w:val="000000"/>
                <w:sz w:val="20"/>
                <w:szCs w:val="20"/>
              </w:rPr>
            </w:pPr>
          </w:p>
        </w:tc>
        <w:tc>
          <w:tcPr>
            <w:tcW w:w="1243" w:type="dxa"/>
            <w:tcBorders>
              <w:top w:val="nil"/>
            </w:tcBorders>
            <w:noWrap/>
            <w:vAlign w:val="center"/>
            <w:hideMark/>
          </w:tcPr>
          <w:p w14:paraId="5CEB32D2"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Initial</w:t>
            </w:r>
          </w:p>
        </w:tc>
        <w:tc>
          <w:tcPr>
            <w:tcW w:w="891" w:type="dxa"/>
            <w:tcBorders>
              <w:top w:val="nil"/>
              <w:right w:val="nil"/>
            </w:tcBorders>
            <w:noWrap/>
            <w:vAlign w:val="center"/>
            <w:hideMark/>
          </w:tcPr>
          <w:p w14:paraId="46099CDF"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414</w:t>
            </w:r>
          </w:p>
        </w:tc>
        <w:tc>
          <w:tcPr>
            <w:tcW w:w="912" w:type="dxa"/>
            <w:tcBorders>
              <w:top w:val="nil"/>
              <w:left w:val="nil"/>
              <w:right w:val="nil"/>
            </w:tcBorders>
            <w:noWrap/>
            <w:vAlign w:val="center"/>
            <w:hideMark/>
          </w:tcPr>
          <w:p w14:paraId="79D3F724"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613</w:t>
            </w:r>
          </w:p>
        </w:tc>
        <w:tc>
          <w:tcPr>
            <w:tcW w:w="978" w:type="dxa"/>
            <w:tcBorders>
              <w:top w:val="nil"/>
              <w:left w:val="nil"/>
              <w:right w:val="nil"/>
            </w:tcBorders>
            <w:noWrap/>
            <w:vAlign w:val="center"/>
            <w:hideMark/>
          </w:tcPr>
          <w:p w14:paraId="53BD2201"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106</w:t>
            </w:r>
          </w:p>
        </w:tc>
        <w:tc>
          <w:tcPr>
            <w:tcW w:w="995" w:type="dxa"/>
            <w:tcBorders>
              <w:top w:val="nil"/>
              <w:left w:val="nil"/>
              <w:right w:val="single" w:sz="4" w:space="0" w:color="auto"/>
            </w:tcBorders>
            <w:noWrap/>
            <w:vAlign w:val="center"/>
            <w:hideMark/>
          </w:tcPr>
          <w:p w14:paraId="19CE5902"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top w:val="nil"/>
              <w:left w:val="single" w:sz="4" w:space="0" w:color="auto"/>
              <w:right w:val="nil"/>
            </w:tcBorders>
            <w:noWrap/>
            <w:vAlign w:val="center"/>
            <w:hideMark/>
          </w:tcPr>
          <w:p w14:paraId="1C3950A2"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747</w:t>
            </w:r>
          </w:p>
        </w:tc>
        <w:tc>
          <w:tcPr>
            <w:tcW w:w="912" w:type="dxa"/>
            <w:tcBorders>
              <w:top w:val="nil"/>
              <w:left w:val="nil"/>
              <w:right w:val="nil"/>
            </w:tcBorders>
            <w:noWrap/>
            <w:vAlign w:val="center"/>
            <w:hideMark/>
          </w:tcPr>
          <w:p w14:paraId="5DD72573"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272</w:t>
            </w:r>
          </w:p>
        </w:tc>
        <w:tc>
          <w:tcPr>
            <w:tcW w:w="978" w:type="dxa"/>
            <w:tcBorders>
              <w:top w:val="nil"/>
              <w:left w:val="nil"/>
              <w:right w:val="nil"/>
            </w:tcBorders>
            <w:noWrap/>
            <w:vAlign w:val="center"/>
            <w:hideMark/>
          </w:tcPr>
          <w:p w14:paraId="21C49B60"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873</w:t>
            </w:r>
          </w:p>
        </w:tc>
        <w:tc>
          <w:tcPr>
            <w:tcW w:w="995" w:type="dxa"/>
            <w:tcBorders>
              <w:top w:val="nil"/>
              <w:left w:val="nil"/>
              <w:right w:val="single" w:sz="4" w:space="0" w:color="auto"/>
            </w:tcBorders>
            <w:noWrap/>
            <w:vAlign w:val="center"/>
            <w:hideMark/>
          </w:tcPr>
          <w:p w14:paraId="0E896940"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39FFB3FD" w14:textId="77777777" w:rsidTr="009E7616">
        <w:trPr>
          <w:trHeight w:val="300"/>
        </w:trPr>
        <w:tc>
          <w:tcPr>
            <w:tcW w:w="1047" w:type="dxa"/>
            <w:vMerge/>
            <w:noWrap/>
            <w:vAlign w:val="center"/>
            <w:hideMark/>
          </w:tcPr>
          <w:p w14:paraId="75FC14D9" w14:textId="3A1123AD" w:rsidR="006E387B" w:rsidRPr="00B82AF4" w:rsidRDefault="006E387B" w:rsidP="000E2CBA">
            <w:pPr>
              <w:keepNext/>
              <w:rPr>
                <w:rFonts w:ascii="Calibri" w:eastAsia="Times New Roman" w:hAnsi="Calibri" w:cs="Calibri"/>
                <w:color w:val="000000"/>
                <w:sz w:val="20"/>
                <w:szCs w:val="20"/>
              </w:rPr>
            </w:pPr>
          </w:p>
        </w:tc>
        <w:tc>
          <w:tcPr>
            <w:tcW w:w="2426" w:type="dxa"/>
            <w:gridSpan w:val="2"/>
            <w:noWrap/>
            <w:vAlign w:val="center"/>
            <w:hideMark/>
          </w:tcPr>
          <w:p w14:paraId="62B8D0E6"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Chronic Total</w:t>
            </w:r>
          </w:p>
        </w:tc>
        <w:tc>
          <w:tcPr>
            <w:tcW w:w="891" w:type="dxa"/>
            <w:tcBorders>
              <w:right w:val="nil"/>
            </w:tcBorders>
            <w:noWrap/>
            <w:vAlign w:val="center"/>
            <w:hideMark/>
          </w:tcPr>
          <w:p w14:paraId="6733025C"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419</w:t>
            </w:r>
          </w:p>
        </w:tc>
        <w:tc>
          <w:tcPr>
            <w:tcW w:w="912" w:type="dxa"/>
            <w:tcBorders>
              <w:left w:val="nil"/>
              <w:right w:val="nil"/>
            </w:tcBorders>
            <w:noWrap/>
            <w:vAlign w:val="center"/>
            <w:hideMark/>
          </w:tcPr>
          <w:p w14:paraId="2AEE7876"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608</w:t>
            </w:r>
          </w:p>
        </w:tc>
        <w:tc>
          <w:tcPr>
            <w:tcW w:w="978" w:type="dxa"/>
            <w:tcBorders>
              <w:left w:val="nil"/>
              <w:right w:val="nil"/>
            </w:tcBorders>
            <w:noWrap/>
            <w:vAlign w:val="center"/>
            <w:hideMark/>
          </w:tcPr>
          <w:p w14:paraId="19901612"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106</w:t>
            </w:r>
          </w:p>
        </w:tc>
        <w:tc>
          <w:tcPr>
            <w:tcW w:w="995" w:type="dxa"/>
            <w:tcBorders>
              <w:left w:val="nil"/>
              <w:right w:val="single" w:sz="4" w:space="0" w:color="auto"/>
            </w:tcBorders>
            <w:noWrap/>
            <w:vAlign w:val="center"/>
            <w:hideMark/>
          </w:tcPr>
          <w:p w14:paraId="47AB63CA"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left w:val="single" w:sz="4" w:space="0" w:color="auto"/>
              <w:right w:val="nil"/>
            </w:tcBorders>
            <w:noWrap/>
            <w:vAlign w:val="center"/>
            <w:hideMark/>
          </w:tcPr>
          <w:p w14:paraId="15201F84" w14:textId="57276C70"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B82AF4">
              <w:rPr>
                <w:rFonts w:ascii="Calibri" w:eastAsia="Times New Roman" w:hAnsi="Calibri" w:cs="Calibri"/>
                <w:color w:val="000000"/>
                <w:sz w:val="20"/>
                <w:szCs w:val="20"/>
              </w:rPr>
              <w:t>208</w:t>
            </w:r>
          </w:p>
        </w:tc>
        <w:tc>
          <w:tcPr>
            <w:tcW w:w="912" w:type="dxa"/>
            <w:tcBorders>
              <w:left w:val="nil"/>
              <w:right w:val="nil"/>
            </w:tcBorders>
            <w:noWrap/>
            <w:vAlign w:val="center"/>
            <w:hideMark/>
          </w:tcPr>
          <w:p w14:paraId="0C65CA59"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507</w:t>
            </w:r>
          </w:p>
        </w:tc>
        <w:tc>
          <w:tcPr>
            <w:tcW w:w="978" w:type="dxa"/>
            <w:tcBorders>
              <w:left w:val="nil"/>
              <w:right w:val="nil"/>
            </w:tcBorders>
            <w:noWrap/>
            <w:vAlign w:val="center"/>
            <w:hideMark/>
          </w:tcPr>
          <w:p w14:paraId="38105F12" w14:textId="2B862D88"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w:t>
            </w:r>
            <w:r w:rsidR="00A04F95">
              <w:rPr>
                <w:rFonts w:ascii="Calibri" w:eastAsia="Times New Roman" w:hAnsi="Calibri" w:cs="Calibri"/>
                <w:color w:val="000000"/>
                <w:sz w:val="20"/>
                <w:szCs w:val="20"/>
              </w:rPr>
              <w:t>,</w:t>
            </w:r>
            <w:r w:rsidRPr="00B82AF4">
              <w:rPr>
                <w:rFonts w:ascii="Calibri" w:eastAsia="Times New Roman" w:hAnsi="Calibri" w:cs="Calibri"/>
                <w:color w:val="000000"/>
                <w:sz w:val="20"/>
                <w:szCs w:val="20"/>
              </w:rPr>
              <w:t>522</w:t>
            </w:r>
          </w:p>
        </w:tc>
        <w:tc>
          <w:tcPr>
            <w:tcW w:w="995" w:type="dxa"/>
            <w:tcBorders>
              <w:left w:val="nil"/>
              <w:right w:val="single" w:sz="4" w:space="0" w:color="auto"/>
            </w:tcBorders>
            <w:noWrap/>
            <w:vAlign w:val="center"/>
            <w:hideMark/>
          </w:tcPr>
          <w:p w14:paraId="671C0BDB"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35322A21" w14:textId="77777777" w:rsidTr="009E7616">
        <w:trPr>
          <w:trHeight w:val="300"/>
        </w:trPr>
        <w:tc>
          <w:tcPr>
            <w:tcW w:w="1047" w:type="dxa"/>
            <w:vMerge/>
            <w:tcBorders>
              <w:bottom w:val="double" w:sz="4" w:space="0" w:color="auto"/>
            </w:tcBorders>
            <w:noWrap/>
            <w:vAlign w:val="center"/>
            <w:hideMark/>
          </w:tcPr>
          <w:p w14:paraId="21A8CC2D" w14:textId="73D5700C" w:rsidR="006E387B" w:rsidRPr="00B82AF4" w:rsidRDefault="006E387B" w:rsidP="000E2CBA">
            <w:pPr>
              <w:keepNext/>
              <w:rPr>
                <w:rFonts w:ascii="Calibri" w:eastAsia="Times New Roman" w:hAnsi="Calibri" w:cs="Calibri"/>
                <w:color w:val="000000"/>
                <w:sz w:val="20"/>
                <w:szCs w:val="20"/>
              </w:rPr>
            </w:pPr>
          </w:p>
        </w:tc>
        <w:tc>
          <w:tcPr>
            <w:tcW w:w="1183" w:type="dxa"/>
            <w:tcBorders>
              <w:bottom w:val="double" w:sz="4" w:space="0" w:color="auto"/>
            </w:tcBorders>
            <w:noWrap/>
            <w:vAlign w:val="center"/>
            <w:hideMark/>
          </w:tcPr>
          <w:p w14:paraId="63AD96F6"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Not specified</w:t>
            </w:r>
          </w:p>
        </w:tc>
        <w:tc>
          <w:tcPr>
            <w:tcW w:w="1243" w:type="dxa"/>
            <w:tcBorders>
              <w:bottom w:val="double" w:sz="4" w:space="0" w:color="auto"/>
            </w:tcBorders>
            <w:noWrap/>
            <w:vAlign w:val="center"/>
            <w:hideMark/>
          </w:tcPr>
          <w:p w14:paraId="1585598D" w14:textId="77777777" w:rsidR="006E387B" w:rsidRPr="00B82AF4" w:rsidRDefault="006E387B" w:rsidP="000E2CBA">
            <w:pPr>
              <w:keepNext/>
              <w:rPr>
                <w:rFonts w:ascii="Calibri" w:eastAsia="Times New Roman" w:hAnsi="Calibri" w:cs="Calibri"/>
                <w:color w:val="000000"/>
                <w:sz w:val="20"/>
                <w:szCs w:val="20"/>
              </w:rPr>
            </w:pPr>
            <w:r w:rsidRPr="00B82AF4">
              <w:rPr>
                <w:rFonts w:ascii="Calibri" w:eastAsia="Times New Roman" w:hAnsi="Calibri" w:cs="Calibri"/>
                <w:color w:val="000000"/>
                <w:sz w:val="20"/>
                <w:szCs w:val="20"/>
              </w:rPr>
              <w:t>Continuing</w:t>
            </w:r>
          </w:p>
        </w:tc>
        <w:tc>
          <w:tcPr>
            <w:tcW w:w="891" w:type="dxa"/>
            <w:tcBorders>
              <w:bottom w:val="double" w:sz="4" w:space="0" w:color="auto"/>
              <w:right w:val="nil"/>
            </w:tcBorders>
            <w:noWrap/>
            <w:vAlign w:val="center"/>
            <w:hideMark/>
          </w:tcPr>
          <w:p w14:paraId="37C92534"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12" w:type="dxa"/>
            <w:tcBorders>
              <w:left w:val="nil"/>
              <w:bottom w:val="double" w:sz="4" w:space="0" w:color="auto"/>
              <w:right w:val="nil"/>
            </w:tcBorders>
            <w:noWrap/>
            <w:vAlign w:val="center"/>
            <w:hideMark/>
          </w:tcPr>
          <w:p w14:paraId="3AA51176"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914</w:t>
            </w:r>
          </w:p>
        </w:tc>
        <w:tc>
          <w:tcPr>
            <w:tcW w:w="978" w:type="dxa"/>
            <w:tcBorders>
              <w:left w:val="nil"/>
              <w:bottom w:val="double" w:sz="4" w:space="0" w:color="auto"/>
              <w:right w:val="nil"/>
            </w:tcBorders>
            <w:noWrap/>
            <w:vAlign w:val="center"/>
            <w:hideMark/>
          </w:tcPr>
          <w:p w14:paraId="699B9FFA"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140</w:t>
            </w:r>
          </w:p>
        </w:tc>
        <w:tc>
          <w:tcPr>
            <w:tcW w:w="995" w:type="dxa"/>
            <w:tcBorders>
              <w:left w:val="nil"/>
              <w:bottom w:val="double" w:sz="4" w:space="0" w:color="auto"/>
              <w:right w:val="single" w:sz="4" w:space="0" w:color="auto"/>
            </w:tcBorders>
            <w:noWrap/>
            <w:vAlign w:val="center"/>
            <w:hideMark/>
          </w:tcPr>
          <w:p w14:paraId="125517EF"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left w:val="single" w:sz="4" w:space="0" w:color="auto"/>
              <w:bottom w:val="double" w:sz="4" w:space="0" w:color="auto"/>
              <w:right w:val="nil"/>
            </w:tcBorders>
            <w:noWrap/>
            <w:vAlign w:val="center"/>
            <w:hideMark/>
          </w:tcPr>
          <w:p w14:paraId="6583E4B1"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12" w:type="dxa"/>
            <w:tcBorders>
              <w:left w:val="nil"/>
              <w:bottom w:val="double" w:sz="4" w:space="0" w:color="auto"/>
              <w:right w:val="nil"/>
            </w:tcBorders>
            <w:noWrap/>
            <w:vAlign w:val="center"/>
            <w:hideMark/>
          </w:tcPr>
          <w:p w14:paraId="0FE95556"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7</w:t>
            </w:r>
          </w:p>
        </w:tc>
        <w:tc>
          <w:tcPr>
            <w:tcW w:w="978" w:type="dxa"/>
            <w:tcBorders>
              <w:left w:val="nil"/>
              <w:bottom w:val="double" w:sz="4" w:space="0" w:color="auto"/>
              <w:right w:val="nil"/>
            </w:tcBorders>
            <w:noWrap/>
            <w:vAlign w:val="center"/>
            <w:hideMark/>
          </w:tcPr>
          <w:p w14:paraId="057B8176"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9</w:t>
            </w:r>
          </w:p>
        </w:tc>
        <w:tc>
          <w:tcPr>
            <w:tcW w:w="995" w:type="dxa"/>
            <w:tcBorders>
              <w:left w:val="nil"/>
              <w:bottom w:val="double" w:sz="4" w:space="0" w:color="auto"/>
              <w:right w:val="single" w:sz="4" w:space="0" w:color="auto"/>
            </w:tcBorders>
            <w:noWrap/>
            <w:vAlign w:val="center"/>
            <w:hideMark/>
          </w:tcPr>
          <w:p w14:paraId="6E224EB3" w14:textId="77777777" w:rsidR="006E387B" w:rsidRPr="00B82AF4" w:rsidRDefault="006E387B" w:rsidP="000E2CBA">
            <w:pPr>
              <w:keepNext/>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4FB839FD" w14:textId="77777777" w:rsidTr="009E7616">
        <w:trPr>
          <w:trHeight w:val="300"/>
        </w:trPr>
        <w:tc>
          <w:tcPr>
            <w:tcW w:w="1047" w:type="dxa"/>
            <w:tcBorders>
              <w:top w:val="double" w:sz="4" w:space="0" w:color="auto"/>
              <w:bottom w:val="double" w:sz="4" w:space="0" w:color="auto"/>
            </w:tcBorders>
            <w:noWrap/>
            <w:vAlign w:val="center"/>
            <w:hideMark/>
          </w:tcPr>
          <w:p w14:paraId="60870CA0" w14:textId="77777777" w:rsidR="00B82AF4" w:rsidRPr="00B82AF4" w:rsidRDefault="00B82AF4"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First line Total</w:t>
            </w:r>
          </w:p>
        </w:tc>
        <w:tc>
          <w:tcPr>
            <w:tcW w:w="1183" w:type="dxa"/>
            <w:tcBorders>
              <w:top w:val="double" w:sz="4" w:space="0" w:color="auto"/>
              <w:bottom w:val="double" w:sz="4" w:space="0" w:color="auto"/>
            </w:tcBorders>
            <w:noWrap/>
            <w:vAlign w:val="center"/>
            <w:hideMark/>
          </w:tcPr>
          <w:p w14:paraId="37FC51C2" w14:textId="77777777" w:rsidR="00B82AF4" w:rsidRPr="00B82AF4" w:rsidRDefault="00B82AF4"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1243" w:type="dxa"/>
            <w:tcBorders>
              <w:top w:val="double" w:sz="4" w:space="0" w:color="auto"/>
              <w:bottom w:val="double" w:sz="4" w:space="0" w:color="auto"/>
            </w:tcBorders>
            <w:noWrap/>
            <w:vAlign w:val="center"/>
            <w:hideMark/>
          </w:tcPr>
          <w:p w14:paraId="65D94E13" w14:textId="77777777" w:rsidR="00B82AF4" w:rsidRPr="00B82AF4" w:rsidRDefault="00B82AF4"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top w:val="double" w:sz="4" w:space="0" w:color="auto"/>
              <w:bottom w:val="double" w:sz="4" w:space="0" w:color="auto"/>
              <w:right w:val="nil"/>
            </w:tcBorders>
            <w:noWrap/>
            <w:vAlign w:val="center"/>
            <w:hideMark/>
          </w:tcPr>
          <w:p w14:paraId="5C951D7F" w14:textId="77777777" w:rsidR="00B82AF4" w:rsidRPr="00B82AF4" w:rsidRDefault="00B82AF4"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424</w:t>
            </w:r>
          </w:p>
        </w:tc>
        <w:tc>
          <w:tcPr>
            <w:tcW w:w="912" w:type="dxa"/>
            <w:tcBorders>
              <w:top w:val="double" w:sz="4" w:space="0" w:color="auto"/>
              <w:left w:val="nil"/>
              <w:bottom w:val="double" w:sz="4" w:space="0" w:color="auto"/>
              <w:right w:val="nil"/>
            </w:tcBorders>
            <w:noWrap/>
            <w:vAlign w:val="center"/>
            <w:hideMark/>
          </w:tcPr>
          <w:p w14:paraId="5F996EDF" w14:textId="77777777" w:rsidR="00B82AF4" w:rsidRPr="00B82AF4" w:rsidRDefault="00B82AF4"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614</w:t>
            </w:r>
          </w:p>
        </w:tc>
        <w:tc>
          <w:tcPr>
            <w:tcW w:w="978" w:type="dxa"/>
            <w:tcBorders>
              <w:top w:val="double" w:sz="4" w:space="0" w:color="auto"/>
              <w:left w:val="nil"/>
              <w:bottom w:val="double" w:sz="4" w:space="0" w:color="auto"/>
              <w:right w:val="nil"/>
            </w:tcBorders>
            <w:noWrap/>
            <w:vAlign w:val="center"/>
            <w:hideMark/>
          </w:tcPr>
          <w:p w14:paraId="1C3F43C5" w14:textId="77777777" w:rsidR="00B82AF4" w:rsidRPr="00B82AF4" w:rsidRDefault="00B82AF4"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106</w:t>
            </w:r>
          </w:p>
        </w:tc>
        <w:tc>
          <w:tcPr>
            <w:tcW w:w="995" w:type="dxa"/>
            <w:tcBorders>
              <w:top w:val="double" w:sz="4" w:space="0" w:color="auto"/>
              <w:left w:val="nil"/>
              <w:bottom w:val="double" w:sz="4" w:space="0" w:color="auto"/>
              <w:right w:val="single" w:sz="4" w:space="0" w:color="auto"/>
            </w:tcBorders>
            <w:noWrap/>
            <w:vAlign w:val="center"/>
            <w:hideMark/>
          </w:tcPr>
          <w:p w14:paraId="42179F7A" w14:textId="77777777" w:rsidR="00B82AF4" w:rsidRPr="00B82AF4" w:rsidRDefault="00B82AF4"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top w:val="double" w:sz="4" w:space="0" w:color="auto"/>
              <w:left w:val="single" w:sz="4" w:space="0" w:color="auto"/>
              <w:bottom w:val="double" w:sz="4" w:space="0" w:color="auto"/>
              <w:right w:val="nil"/>
            </w:tcBorders>
            <w:noWrap/>
            <w:vAlign w:val="center"/>
            <w:hideMark/>
          </w:tcPr>
          <w:p w14:paraId="1F4DED07" w14:textId="36B1892D" w:rsidR="00B82AF4" w:rsidRPr="00B82AF4" w:rsidRDefault="00B82AF4" w:rsidP="009E7616">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w:t>
            </w:r>
            <w:r w:rsidR="006E387B">
              <w:rPr>
                <w:rFonts w:ascii="Calibri" w:eastAsia="Times New Roman" w:hAnsi="Calibri" w:cs="Calibri"/>
                <w:color w:val="000000"/>
                <w:sz w:val="20"/>
                <w:szCs w:val="20"/>
              </w:rPr>
              <w:t>,</w:t>
            </w:r>
            <w:r w:rsidRPr="00B82AF4">
              <w:rPr>
                <w:rFonts w:ascii="Calibri" w:eastAsia="Times New Roman" w:hAnsi="Calibri" w:cs="Calibri"/>
                <w:color w:val="000000"/>
                <w:sz w:val="20"/>
                <w:szCs w:val="20"/>
              </w:rPr>
              <w:t>2</w:t>
            </w:r>
            <w:r w:rsidR="009E7616">
              <w:rPr>
                <w:rFonts w:ascii="Calibri" w:eastAsia="Times New Roman" w:hAnsi="Calibri" w:cs="Calibri"/>
                <w:color w:val="000000"/>
                <w:sz w:val="20"/>
                <w:szCs w:val="20"/>
              </w:rPr>
              <w:t>28+</w:t>
            </w:r>
          </w:p>
        </w:tc>
        <w:tc>
          <w:tcPr>
            <w:tcW w:w="912" w:type="dxa"/>
            <w:tcBorders>
              <w:top w:val="double" w:sz="4" w:space="0" w:color="auto"/>
              <w:left w:val="nil"/>
              <w:bottom w:val="double" w:sz="4" w:space="0" w:color="auto"/>
              <w:right w:val="nil"/>
            </w:tcBorders>
            <w:noWrap/>
            <w:vAlign w:val="center"/>
            <w:hideMark/>
          </w:tcPr>
          <w:p w14:paraId="0B8AF9FE" w14:textId="081D6171" w:rsidR="00B82AF4" w:rsidRPr="00B82AF4" w:rsidRDefault="009E7616" w:rsidP="006E387B">
            <w:pPr>
              <w:jc w:val="right"/>
              <w:rPr>
                <w:rFonts w:ascii="Calibri" w:eastAsia="Times New Roman" w:hAnsi="Calibri" w:cs="Calibri"/>
                <w:color w:val="000000"/>
                <w:sz w:val="20"/>
                <w:szCs w:val="20"/>
              </w:rPr>
            </w:pPr>
            <w:r>
              <w:rPr>
                <w:rFonts w:ascii="Calibri" w:eastAsia="Times New Roman" w:hAnsi="Calibri" w:cs="Calibri"/>
                <w:color w:val="000000"/>
                <w:sz w:val="20"/>
                <w:szCs w:val="20"/>
              </w:rPr>
              <w:t>514+</w:t>
            </w:r>
          </w:p>
        </w:tc>
        <w:tc>
          <w:tcPr>
            <w:tcW w:w="978" w:type="dxa"/>
            <w:tcBorders>
              <w:top w:val="double" w:sz="4" w:space="0" w:color="auto"/>
              <w:left w:val="nil"/>
              <w:bottom w:val="double" w:sz="4" w:space="0" w:color="auto"/>
              <w:right w:val="nil"/>
            </w:tcBorders>
            <w:noWrap/>
            <w:vAlign w:val="center"/>
            <w:hideMark/>
          </w:tcPr>
          <w:p w14:paraId="6DA52D95" w14:textId="3D590770" w:rsidR="00B82AF4" w:rsidRPr="00B82AF4" w:rsidRDefault="00B82AF4"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w:t>
            </w:r>
            <w:r w:rsidR="00A04F95">
              <w:rPr>
                <w:rFonts w:ascii="Calibri" w:eastAsia="Times New Roman" w:hAnsi="Calibri" w:cs="Calibri"/>
                <w:color w:val="000000"/>
                <w:sz w:val="20"/>
                <w:szCs w:val="20"/>
              </w:rPr>
              <w:t>,</w:t>
            </w:r>
            <w:r w:rsidRPr="00B82AF4">
              <w:rPr>
                <w:rFonts w:ascii="Calibri" w:eastAsia="Times New Roman" w:hAnsi="Calibri" w:cs="Calibri"/>
                <w:color w:val="000000"/>
                <w:sz w:val="20"/>
                <w:szCs w:val="20"/>
              </w:rPr>
              <w:t>531</w:t>
            </w:r>
          </w:p>
        </w:tc>
        <w:tc>
          <w:tcPr>
            <w:tcW w:w="995" w:type="dxa"/>
            <w:tcBorders>
              <w:top w:val="double" w:sz="4" w:space="0" w:color="auto"/>
              <w:left w:val="nil"/>
              <w:bottom w:val="double" w:sz="4" w:space="0" w:color="auto"/>
              <w:right w:val="single" w:sz="4" w:space="0" w:color="auto"/>
            </w:tcBorders>
            <w:noWrap/>
            <w:vAlign w:val="center"/>
            <w:hideMark/>
          </w:tcPr>
          <w:p w14:paraId="74D2A2B0" w14:textId="77777777" w:rsidR="00B82AF4" w:rsidRPr="00B82AF4" w:rsidRDefault="00B82AF4"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629BD2D2" w14:textId="77777777" w:rsidTr="009E7616">
        <w:trPr>
          <w:trHeight w:val="300"/>
        </w:trPr>
        <w:tc>
          <w:tcPr>
            <w:tcW w:w="1047" w:type="dxa"/>
            <w:vMerge w:val="restart"/>
            <w:tcBorders>
              <w:top w:val="double" w:sz="4" w:space="0" w:color="auto"/>
            </w:tcBorders>
            <w:noWrap/>
            <w:vAlign w:val="center"/>
            <w:hideMark/>
          </w:tcPr>
          <w:p w14:paraId="69958915" w14:textId="55743D7D" w:rsidR="006E387B" w:rsidRPr="00B82AF4" w:rsidRDefault="006E387B"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Second or later line</w:t>
            </w:r>
          </w:p>
        </w:tc>
        <w:tc>
          <w:tcPr>
            <w:tcW w:w="1183" w:type="dxa"/>
            <w:vMerge w:val="restart"/>
            <w:tcBorders>
              <w:top w:val="double" w:sz="4" w:space="0" w:color="auto"/>
            </w:tcBorders>
            <w:noWrap/>
            <w:vAlign w:val="center"/>
            <w:hideMark/>
          </w:tcPr>
          <w:p w14:paraId="28B8D33B" w14:textId="77777777" w:rsidR="006E387B" w:rsidRPr="00B82AF4" w:rsidRDefault="006E387B"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Accelerated</w:t>
            </w:r>
          </w:p>
        </w:tc>
        <w:tc>
          <w:tcPr>
            <w:tcW w:w="1243" w:type="dxa"/>
            <w:tcBorders>
              <w:top w:val="double" w:sz="4" w:space="0" w:color="auto"/>
              <w:bottom w:val="nil"/>
            </w:tcBorders>
            <w:noWrap/>
            <w:vAlign w:val="center"/>
            <w:hideMark/>
          </w:tcPr>
          <w:p w14:paraId="558C47CA" w14:textId="77777777" w:rsidR="006E387B" w:rsidRPr="00B82AF4" w:rsidRDefault="006E387B"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Continuing</w:t>
            </w:r>
          </w:p>
        </w:tc>
        <w:tc>
          <w:tcPr>
            <w:tcW w:w="891" w:type="dxa"/>
            <w:tcBorders>
              <w:top w:val="double" w:sz="4" w:space="0" w:color="auto"/>
              <w:bottom w:val="nil"/>
              <w:right w:val="nil"/>
            </w:tcBorders>
            <w:noWrap/>
            <w:vAlign w:val="center"/>
            <w:hideMark/>
          </w:tcPr>
          <w:p w14:paraId="01AAE38F"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12" w:type="dxa"/>
            <w:tcBorders>
              <w:top w:val="double" w:sz="4" w:space="0" w:color="auto"/>
              <w:left w:val="nil"/>
              <w:bottom w:val="nil"/>
              <w:right w:val="nil"/>
            </w:tcBorders>
            <w:noWrap/>
            <w:vAlign w:val="center"/>
            <w:hideMark/>
          </w:tcPr>
          <w:p w14:paraId="13E889E4"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800</w:t>
            </w:r>
          </w:p>
        </w:tc>
        <w:tc>
          <w:tcPr>
            <w:tcW w:w="978" w:type="dxa"/>
            <w:tcBorders>
              <w:top w:val="double" w:sz="4" w:space="0" w:color="auto"/>
              <w:left w:val="nil"/>
              <w:bottom w:val="nil"/>
              <w:right w:val="nil"/>
            </w:tcBorders>
            <w:noWrap/>
            <w:vAlign w:val="center"/>
            <w:hideMark/>
          </w:tcPr>
          <w:p w14:paraId="5AFEB85C" w14:textId="77777777" w:rsidR="006E387B" w:rsidRPr="00B82AF4" w:rsidRDefault="006E387B" w:rsidP="006E387B">
            <w:pPr>
              <w:jc w:val="right"/>
              <w:rPr>
                <w:rFonts w:ascii="Calibri" w:eastAsia="Times New Roman" w:hAnsi="Calibri" w:cs="Calibri"/>
                <w:color w:val="000000"/>
                <w:sz w:val="20"/>
                <w:szCs w:val="20"/>
              </w:rPr>
            </w:pPr>
          </w:p>
        </w:tc>
        <w:tc>
          <w:tcPr>
            <w:tcW w:w="995" w:type="dxa"/>
            <w:tcBorders>
              <w:top w:val="double" w:sz="4" w:space="0" w:color="auto"/>
              <w:left w:val="nil"/>
              <w:bottom w:val="nil"/>
              <w:right w:val="single" w:sz="4" w:space="0" w:color="auto"/>
            </w:tcBorders>
            <w:noWrap/>
            <w:vAlign w:val="center"/>
            <w:hideMark/>
          </w:tcPr>
          <w:p w14:paraId="78F38BAB"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45</w:t>
            </w:r>
          </w:p>
        </w:tc>
        <w:tc>
          <w:tcPr>
            <w:tcW w:w="891" w:type="dxa"/>
            <w:tcBorders>
              <w:top w:val="double" w:sz="4" w:space="0" w:color="auto"/>
              <w:left w:val="single" w:sz="4" w:space="0" w:color="auto"/>
              <w:bottom w:val="nil"/>
              <w:right w:val="nil"/>
            </w:tcBorders>
            <w:noWrap/>
            <w:vAlign w:val="center"/>
            <w:hideMark/>
          </w:tcPr>
          <w:p w14:paraId="32420EB1"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12" w:type="dxa"/>
            <w:tcBorders>
              <w:top w:val="double" w:sz="4" w:space="0" w:color="auto"/>
              <w:left w:val="nil"/>
              <w:bottom w:val="nil"/>
              <w:right w:val="nil"/>
            </w:tcBorders>
            <w:noWrap/>
            <w:vAlign w:val="center"/>
            <w:hideMark/>
          </w:tcPr>
          <w:p w14:paraId="2B3A619C" w14:textId="10925C44" w:rsidR="006E387B" w:rsidRPr="00B82AF4" w:rsidRDefault="001B4FEB" w:rsidP="006E387B">
            <w:pPr>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978" w:type="dxa"/>
            <w:tcBorders>
              <w:top w:val="double" w:sz="4" w:space="0" w:color="auto"/>
              <w:left w:val="nil"/>
              <w:bottom w:val="nil"/>
              <w:right w:val="nil"/>
            </w:tcBorders>
            <w:noWrap/>
            <w:vAlign w:val="center"/>
            <w:hideMark/>
          </w:tcPr>
          <w:p w14:paraId="79BF782F" w14:textId="77777777" w:rsidR="006E387B" w:rsidRPr="00B82AF4" w:rsidRDefault="006E387B" w:rsidP="006E387B">
            <w:pPr>
              <w:jc w:val="right"/>
              <w:rPr>
                <w:rFonts w:ascii="Calibri" w:eastAsia="Times New Roman" w:hAnsi="Calibri" w:cs="Calibri"/>
                <w:color w:val="000000"/>
                <w:sz w:val="20"/>
                <w:szCs w:val="20"/>
              </w:rPr>
            </w:pPr>
          </w:p>
        </w:tc>
        <w:tc>
          <w:tcPr>
            <w:tcW w:w="995" w:type="dxa"/>
            <w:tcBorders>
              <w:top w:val="double" w:sz="4" w:space="0" w:color="auto"/>
              <w:left w:val="nil"/>
              <w:bottom w:val="nil"/>
              <w:right w:val="single" w:sz="4" w:space="0" w:color="auto"/>
            </w:tcBorders>
            <w:noWrap/>
            <w:vAlign w:val="center"/>
            <w:hideMark/>
          </w:tcPr>
          <w:p w14:paraId="41728D19" w14:textId="64C01EC2" w:rsidR="006E387B" w:rsidRPr="00B82AF4" w:rsidRDefault="001B4FEB" w:rsidP="006E387B">
            <w:pPr>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r>
      <w:tr w:rsidR="006E387B" w:rsidRPr="00B82AF4" w14:paraId="03E9A130" w14:textId="77777777" w:rsidTr="009E7616">
        <w:trPr>
          <w:trHeight w:val="300"/>
        </w:trPr>
        <w:tc>
          <w:tcPr>
            <w:tcW w:w="1047" w:type="dxa"/>
            <w:vMerge/>
            <w:noWrap/>
            <w:vAlign w:val="center"/>
            <w:hideMark/>
          </w:tcPr>
          <w:p w14:paraId="0EF39ADC" w14:textId="008521F3" w:rsidR="006E387B" w:rsidRPr="00B82AF4" w:rsidRDefault="006E387B" w:rsidP="006E387B">
            <w:pPr>
              <w:rPr>
                <w:rFonts w:ascii="Calibri" w:eastAsia="Times New Roman" w:hAnsi="Calibri" w:cs="Calibri"/>
                <w:color w:val="000000"/>
                <w:sz w:val="20"/>
                <w:szCs w:val="20"/>
              </w:rPr>
            </w:pPr>
          </w:p>
        </w:tc>
        <w:tc>
          <w:tcPr>
            <w:tcW w:w="1183" w:type="dxa"/>
            <w:vMerge/>
            <w:vAlign w:val="center"/>
            <w:hideMark/>
          </w:tcPr>
          <w:p w14:paraId="328891DC" w14:textId="77777777" w:rsidR="006E387B" w:rsidRPr="00B82AF4" w:rsidRDefault="006E387B" w:rsidP="006E387B">
            <w:pPr>
              <w:rPr>
                <w:rFonts w:ascii="Calibri" w:eastAsia="Times New Roman" w:hAnsi="Calibri" w:cs="Calibri"/>
                <w:color w:val="000000"/>
                <w:sz w:val="20"/>
                <w:szCs w:val="20"/>
              </w:rPr>
            </w:pPr>
          </w:p>
        </w:tc>
        <w:tc>
          <w:tcPr>
            <w:tcW w:w="1243" w:type="dxa"/>
            <w:tcBorders>
              <w:top w:val="nil"/>
            </w:tcBorders>
            <w:noWrap/>
            <w:vAlign w:val="center"/>
            <w:hideMark/>
          </w:tcPr>
          <w:p w14:paraId="3C5077A5" w14:textId="77777777" w:rsidR="006E387B" w:rsidRPr="00B82AF4" w:rsidRDefault="006E387B"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Initial</w:t>
            </w:r>
          </w:p>
        </w:tc>
        <w:tc>
          <w:tcPr>
            <w:tcW w:w="891" w:type="dxa"/>
            <w:tcBorders>
              <w:top w:val="nil"/>
              <w:right w:val="nil"/>
            </w:tcBorders>
            <w:noWrap/>
            <w:vAlign w:val="center"/>
            <w:hideMark/>
          </w:tcPr>
          <w:p w14:paraId="760ABCCB"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12" w:type="dxa"/>
            <w:tcBorders>
              <w:top w:val="nil"/>
              <w:left w:val="nil"/>
              <w:right w:val="nil"/>
            </w:tcBorders>
            <w:noWrap/>
            <w:vAlign w:val="center"/>
            <w:hideMark/>
          </w:tcPr>
          <w:p w14:paraId="14F9BF5F"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800</w:t>
            </w:r>
          </w:p>
        </w:tc>
        <w:tc>
          <w:tcPr>
            <w:tcW w:w="978" w:type="dxa"/>
            <w:tcBorders>
              <w:top w:val="nil"/>
              <w:left w:val="nil"/>
              <w:right w:val="nil"/>
            </w:tcBorders>
            <w:noWrap/>
            <w:vAlign w:val="center"/>
            <w:hideMark/>
          </w:tcPr>
          <w:p w14:paraId="4C2F4A4C" w14:textId="77777777" w:rsidR="006E387B" w:rsidRPr="00B82AF4" w:rsidRDefault="006E387B" w:rsidP="006E387B">
            <w:pPr>
              <w:jc w:val="right"/>
              <w:rPr>
                <w:rFonts w:ascii="Calibri" w:eastAsia="Times New Roman" w:hAnsi="Calibri" w:cs="Calibri"/>
                <w:color w:val="000000"/>
                <w:sz w:val="20"/>
                <w:szCs w:val="20"/>
              </w:rPr>
            </w:pPr>
          </w:p>
        </w:tc>
        <w:tc>
          <w:tcPr>
            <w:tcW w:w="995" w:type="dxa"/>
            <w:tcBorders>
              <w:top w:val="nil"/>
              <w:left w:val="nil"/>
              <w:right w:val="single" w:sz="4" w:space="0" w:color="auto"/>
            </w:tcBorders>
            <w:noWrap/>
            <w:vAlign w:val="center"/>
            <w:hideMark/>
          </w:tcPr>
          <w:p w14:paraId="4D421495"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49</w:t>
            </w:r>
          </w:p>
        </w:tc>
        <w:tc>
          <w:tcPr>
            <w:tcW w:w="891" w:type="dxa"/>
            <w:tcBorders>
              <w:top w:val="nil"/>
              <w:left w:val="single" w:sz="4" w:space="0" w:color="auto"/>
              <w:right w:val="nil"/>
            </w:tcBorders>
            <w:noWrap/>
            <w:vAlign w:val="center"/>
            <w:hideMark/>
          </w:tcPr>
          <w:p w14:paraId="7B1C8333"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12" w:type="dxa"/>
            <w:tcBorders>
              <w:top w:val="nil"/>
              <w:left w:val="nil"/>
              <w:right w:val="nil"/>
            </w:tcBorders>
            <w:noWrap/>
            <w:vAlign w:val="center"/>
            <w:hideMark/>
          </w:tcPr>
          <w:p w14:paraId="0FE22B06" w14:textId="5BB68920" w:rsidR="006E387B" w:rsidRPr="00B82AF4" w:rsidRDefault="001B4FEB" w:rsidP="006E387B">
            <w:pPr>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978" w:type="dxa"/>
            <w:tcBorders>
              <w:top w:val="nil"/>
              <w:left w:val="nil"/>
              <w:right w:val="nil"/>
            </w:tcBorders>
            <w:noWrap/>
            <w:vAlign w:val="center"/>
            <w:hideMark/>
          </w:tcPr>
          <w:p w14:paraId="72994371" w14:textId="77777777" w:rsidR="006E387B" w:rsidRPr="00B82AF4" w:rsidRDefault="006E387B" w:rsidP="006E387B">
            <w:pPr>
              <w:jc w:val="right"/>
              <w:rPr>
                <w:rFonts w:ascii="Calibri" w:eastAsia="Times New Roman" w:hAnsi="Calibri" w:cs="Calibri"/>
                <w:color w:val="000000"/>
                <w:sz w:val="20"/>
                <w:szCs w:val="20"/>
              </w:rPr>
            </w:pPr>
          </w:p>
        </w:tc>
        <w:tc>
          <w:tcPr>
            <w:tcW w:w="995" w:type="dxa"/>
            <w:tcBorders>
              <w:top w:val="nil"/>
              <w:left w:val="nil"/>
              <w:right w:val="single" w:sz="4" w:space="0" w:color="auto"/>
            </w:tcBorders>
            <w:noWrap/>
            <w:vAlign w:val="center"/>
            <w:hideMark/>
          </w:tcPr>
          <w:p w14:paraId="7CBD4414"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11</w:t>
            </w:r>
          </w:p>
        </w:tc>
      </w:tr>
      <w:tr w:rsidR="006E387B" w:rsidRPr="00B82AF4" w14:paraId="533751A8" w14:textId="77777777" w:rsidTr="009E7616">
        <w:trPr>
          <w:trHeight w:val="300"/>
        </w:trPr>
        <w:tc>
          <w:tcPr>
            <w:tcW w:w="1047" w:type="dxa"/>
            <w:vMerge/>
            <w:noWrap/>
            <w:vAlign w:val="center"/>
            <w:hideMark/>
          </w:tcPr>
          <w:p w14:paraId="34D973E6" w14:textId="67DFD7EE" w:rsidR="006E387B" w:rsidRPr="00B82AF4" w:rsidRDefault="006E387B" w:rsidP="006E387B">
            <w:pPr>
              <w:rPr>
                <w:rFonts w:ascii="Calibri" w:eastAsia="Times New Roman" w:hAnsi="Calibri" w:cs="Calibri"/>
                <w:color w:val="000000"/>
                <w:sz w:val="20"/>
                <w:szCs w:val="20"/>
              </w:rPr>
            </w:pPr>
          </w:p>
        </w:tc>
        <w:tc>
          <w:tcPr>
            <w:tcW w:w="2426" w:type="dxa"/>
            <w:gridSpan w:val="2"/>
            <w:noWrap/>
            <w:vAlign w:val="center"/>
            <w:hideMark/>
          </w:tcPr>
          <w:p w14:paraId="154000A5" w14:textId="77777777" w:rsidR="006E387B" w:rsidRPr="00B82AF4" w:rsidRDefault="006E387B"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Accelerated Total</w:t>
            </w:r>
          </w:p>
        </w:tc>
        <w:tc>
          <w:tcPr>
            <w:tcW w:w="891" w:type="dxa"/>
            <w:tcBorders>
              <w:bottom w:val="single" w:sz="4" w:space="0" w:color="auto"/>
              <w:right w:val="nil"/>
            </w:tcBorders>
            <w:noWrap/>
            <w:vAlign w:val="center"/>
            <w:hideMark/>
          </w:tcPr>
          <w:p w14:paraId="5365755C"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12" w:type="dxa"/>
            <w:tcBorders>
              <w:left w:val="nil"/>
              <w:bottom w:val="single" w:sz="4" w:space="0" w:color="auto"/>
              <w:right w:val="nil"/>
            </w:tcBorders>
            <w:noWrap/>
            <w:vAlign w:val="center"/>
            <w:hideMark/>
          </w:tcPr>
          <w:p w14:paraId="765425D5"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800</w:t>
            </w:r>
          </w:p>
        </w:tc>
        <w:tc>
          <w:tcPr>
            <w:tcW w:w="978" w:type="dxa"/>
            <w:tcBorders>
              <w:left w:val="nil"/>
              <w:bottom w:val="single" w:sz="4" w:space="0" w:color="auto"/>
              <w:right w:val="nil"/>
            </w:tcBorders>
            <w:noWrap/>
            <w:vAlign w:val="center"/>
            <w:hideMark/>
          </w:tcPr>
          <w:p w14:paraId="153C4D4C"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95" w:type="dxa"/>
            <w:tcBorders>
              <w:left w:val="nil"/>
              <w:bottom w:val="single" w:sz="4" w:space="0" w:color="auto"/>
              <w:right w:val="single" w:sz="4" w:space="0" w:color="auto"/>
            </w:tcBorders>
            <w:noWrap/>
            <w:vAlign w:val="center"/>
            <w:hideMark/>
          </w:tcPr>
          <w:p w14:paraId="456E2C42"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48</w:t>
            </w:r>
          </w:p>
        </w:tc>
        <w:tc>
          <w:tcPr>
            <w:tcW w:w="891" w:type="dxa"/>
            <w:tcBorders>
              <w:left w:val="single" w:sz="4" w:space="0" w:color="auto"/>
              <w:bottom w:val="single" w:sz="4" w:space="0" w:color="auto"/>
              <w:right w:val="nil"/>
            </w:tcBorders>
            <w:noWrap/>
            <w:vAlign w:val="center"/>
            <w:hideMark/>
          </w:tcPr>
          <w:p w14:paraId="2EA4BD0A"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12" w:type="dxa"/>
            <w:tcBorders>
              <w:left w:val="nil"/>
              <w:bottom w:val="single" w:sz="4" w:space="0" w:color="auto"/>
              <w:right w:val="nil"/>
            </w:tcBorders>
            <w:noWrap/>
            <w:vAlign w:val="center"/>
            <w:hideMark/>
          </w:tcPr>
          <w:p w14:paraId="00F4F30A" w14:textId="4BB8B62A" w:rsidR="006E387B" w:rsidRPr="00B82AF4" w:rsidRDefault="001B4FEB" w:rsidP="006E387B">
            <w:pPr>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978" w:type="dxa"/>
            <w:tcBorders>
              <w:left w:val="nil"/>
              <w:bottom w:val="single" w:sz="4" w:space="0" w:color="auto"/>
              <w:right w:val="nil"/>
            </w:tcBorders>
            <w:noWrap/>
            <w:vAlign w:val="center"/>
            <w:hideMark/>
          </w:tcPr>
          <w:p w14:paraId="501C8845"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95" w:type="dxa"/>
            <w:tcBorders>
              <w:left w:val="nil"/>
              <w:bottom w:val="single" w:sz="4" w:space="0" w:color="auto"/>
              <w:right w:val="single" w:sz="4" w:space="0" w:color="auto"/>
            </w:tcBorders>
            <w:noWrap/>
            <w:vAlign w:val="center"/>
            <w:hideMark/>
          </w:tcPr>
          <w:p w14:paraId="71A49D66" w14:textId="6C3D5AF7" w:rsidR="006E387B" w:rsidRPr="00B82AF4" w:rsidRDefault="001B4FEB" w:rsidP="006E387B">
            <w:pPr>
              <w:jc w:val="right"/>
              <w:rPr>
                <w:rFonts w:ascii="Calibri" w:eastAsia="Times New Roman" w:hAnsi="Calibri" w:cs="Calibri"/>
                <w:color w:val="000000"/>
                <w:sz w:val="20"/>
                <w:szCs w:val="20"/>
              </w:rPr>
            </w:pPr>
            <w:r>
              <w:rPr>
                <w:rFonts w:ascii="Calibri" w:eastAsia="Times New Roman" w:hAnsi="Calibri" w:cs="Calibri"/>
                <w:color w:val="000000"/>
                <w:sz w:val="20"/>
                <w:szCs w:val="20"/>
              </w:rPr>
              <w:t>11+</w:t>
            </w:r>
          </w:p>
        </w:tc>
      </w:tr>
      <w:tr w:rsidR="006E387B" w:rsidRPr="00B82AF4" w14:paraId="67FA6628" w14:textId="77777777" w:rsidTr="009E7616">
        <w:trPr>
          <w:trHeight w:val="300"/>
        </w:trPr>
        <w:tc>
          <w:tcPr>
            <w:tcW w:w="1047" w:type="dxa"/>
            <w:vMerge/>
            <w:noWrap/>
            <w:vAlign w:val="center"/>
            <w:hideMark/>
          </w:tcPr>
          <w:p w14:paraId="0C4480C3" w14:textId="3579FA7E" w:rsidR="006E387B" w:rsidRPr="00B82AF4" w:rsidRDefault="006E387B" w:rsidP="006E387B">
            <w:pPr>
              <w:rPr>
                <w:rFonts w:ascii="Calibri" w:eastAsia="Times New Roman" w:hAnsi="Calibri" w:cs="Calibri"/>
                <w:color w:val="000000"/>
                <w:sz w:val="20"/>
                <w:szCs w:val="20"/>
              </w:rPr>
            </w:pPr>
          </w:p>
        </w:tc>
        <w:tc>
          <w:tcPr>
            <w:tcW w:w="1183" w:type="dxa"/>
            <w:noWrap/>
            <w:vAlign w:val="center"/>
            <w:hideMark/>
          </w:tcPr>
          <w:p w14:paraId="3B0C6D71" w14:textId="77777777" w:rsidR="006E387B" w:rsidRPr="00B82AF4" w:rsidRDefault="006E387B"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Chronic</w:t>
            </w:r>
          </w:p>
        </w:tc>
        <w:tc>
          <w:tcPr>
            <w:tcW w:w="1243" w:type="dxa"/>
            <w:tcBorders>
              <w:bottom w:val="nil"/>
            </w:tcBorders>
            <w:noWrap/>
            <w:vAlign w:val="center"/>
            <w:hideMark/>
          </w:tcPr>
          <w:p w14:paraId="66CF4F28" w14:textId="77777777" w:rsidR="006E387B" w:rsidRPr="00B82AF4" w:rsidRDefault="006E387B"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Continuing</w:t>
            </w:r>
          </w:p>
        </w:tc>
        <w:tc>
          <w:tcPr>
            <w:tcW w:w="891" w:type="dxa"/>
            <w:tcBorders>
              <w:bottom w:val="nil"/>
              <w:right w:val="nil"/>
            </w:tcBorders>
            <w:noWrap/>
            <w:vAlign w:val="center"/>
            <w:hideMark/>
          </w:tcPr>
          <w:p w14:paraId="3A1C99D5"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411</w:t>
            </w:r>
          </w:p>
        </w:tc>
        <w:tc>
          <w:tcPr>
            <w:tcW w:w="912" w:type="dxa"/>
            <w:tcBorders>
              <w:left w:val="nil"/>
              <w:bottom w:val="nil"/>
              <w:right w:val="nil"/>
            </w:tcBorders>
            <w:noWrap/>
            <w:vAlign w:val="center"/>
            <w:hideMark/>
          </w:tcPr>
          <w:p w14:paraId="76465438"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636</w:t>
            </w:r>
          </w:p>
        </w:tc>
        <w:tc>
          <w:tcPr>
            <w:tcW w:w="978" w:type="dxa"/>
            <w:tcBorders>
              <w:left w:val="nil"/>
              <w:bottom w:val="nil"/>
              <w:right w:val="nil"/>
            </w:tcBorders>
            <w:noWrap/>
            <w:vAlign w:val="center"/>
            <w:hideMark/>
          </w:tcPr>
          <w:p w14:paraId="0319F25E"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110</w:t>
            </w:r>
          </w:p>
        </w:tc>
        <w:tc>
          <w:tcPr>
            <w:tcW w:w="995" w:type="dxa"/>
            <w:tcBorders>
              <w:left w:val="nil"/>
              <w:bottom w:val="nil"/>
              <w:right w:val="single" w:sz="4" w:space="0" w:color="auto"/>
            </w:tcBorders>
            <w:noWrap/>
            <w:vAlign w:val="center"/>
            <w:hideMark/>
          </w:tcPr>
          <w:p w14:paraId="1573A3BE"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left w:val="single" w:sz="4" w:space="0" w:color="auto"/>
              <w:bottom w:val="nil"/>
              <w:right w:val="nil"/>
            </w:tcBorders>
            <w:noWrap/>
            <w:vAlign w:val="center"/>
            <w:hideMark/>
          </w:tcPr>
          <w:p w14:paraId="105D6E38"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38</w:t>
            </w:r>
          </w:p>
        </w:tc>
        <w:tc>
          <w:tcPr>
            <w:tcW w:w="912" w:type="dxa"/>
            <w:tcBorders>
              <w:left w:val="nil"/>
              <w:bottom w:val="nil"/>
              <w:right w:val="nil"/>
            </w:tcBorders>
            <w:noWrap/>
            <w:vAlign w:val="center"/>
            <w:hideMark/>
          </w:tcPr>
          <w:p w14:paraId="6B5A1BAE"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67</w:t>
            </w:r>
          </w:p>
        </w:tc>
        <w:tc>
          <w:tcPr>
            <w:tcW w:w="978" w:type="dxa"/>
            <w:tcBorders>
              <w:left w:val="nil"/>
              <w:bottom w:val="nil"/>
              <w:right w:val="nil"/>
            </w:tcBorders>
            <w:noWrap/>
            <w:vAlign w:val="center"/>
            <w:hideMark/>
          </w:tcPr>
          <w:p w14:paraId="7AE4CB08"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83</w:t>
            </w:r>
          </w:p>
        </w:tc>
        <w:tc>
          <w:tcPr>
            <w:tcW w:w="995" w:type="dxa"/>
            <w:tcBorders>
              <w:left w:val="nil"/>
              <w:bottom w:val="nil"/>
              <w:right w:val="single" w:sz="4" w:space="0" w:color="auto"/>
            </w:tcBorders>
            <w:noWrap/>
            <w:vAlign w:val="center"/>
            <w:hideMark/>
          </w:tcPr>
          <w:p w14:paraId="364DF69B"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68F7D4C9" w14:textId="77777777" w:rsidTr="009E7616">
        <w:trPr>
          <w:trHeight w:val="300"/>
        </w:trPr>
        <w:tc>
          <w:tcPr>
            <w:tcW w:w="1047" w:type="dxa"/>
            <w:vMerge/>
            <w:noWrap/>
            <w:vAlign w:val="center"/>
            <w:hideMark/>
          </w:tcPr>
          <w:p w14:paraId="0C2E022C" w14:textId="318187F7" w:rsidR="006E387B" w:rsidRPr="00B82AF4" w:rsidRDefault="006E387B" w:rsidP="006E387B">
            <w:pPr>
              <w:rPr>
                <w:rFonts w:ascii="Calibri" w:eastAsia="Times New Roman" w:hAnsi="Calibri" w:cs="Calibri"/>
                <w:color w:val="000000"/>
                <w:sz w:val="20"/>
                <w:szCs w:val="20"/>
              </w:rPr>
            </w:pPr>
          </w:p>
        </w:tc>
        <w:tc>
          <w:tcPr>
            <w:tcW w:w="1183" w:type="dxa"/>
            <w:noWrap/>
            <w:vAlign w:val="center"/>
            <w:hideMark/>
          </w:tcPr>
          <w:p w14:paraId="5C160C34" w14:textId="77777777" w:rsidR="006E387B" w:rsidRPr="00B82AF4" w:rsidRDefault="006E387B"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1243" w:type="dxa"/>
            <w:tcBorders>
              <w:top w:val="nil"/>
            </w:tcBorders>
            <w:noWrap/>
            <w:vAlign w:val="center"/>
            <w:hideMark/>
          </w:tcPr>
          <w:p w14:paraId="54DF05E6" w14:textId="77777777" w:rsidR="006E387B" w:rsidRPr="00B82AF4" w:rsidRDefault="006E387B"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Initial</w:t>
            </w:r>
          </w:p>
        </w:tc>
        <w:tc>
          <w:tcPr>
            <w:tcW w:w="891" w:type="dxa"/>
            <w:tcBorders>
              <w:top w:val="nil"/>
              <w:right w:val="nil"/>
            </w:tcBorders>
            <w:noWrap/>
            <w:vAlign w:val="center"/>
            <w:hideMark/>
          </w:tcPr>
          <w:p w14:paraId="0AF22EAF"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422</w:t>
            </w:r>
          </w:p>
        </w:tc>
        <w:tc>
          <w:tcPr>
            <w:tcW w:w="912" w:type="dxa"/>
            <w:tcBorders>
              <w:top w:val="nil"/>
              <w:left w:val="nil"/>
              <w:right w:val="nil"/>
            </w:tcBorders>
            <w:noWrap/>
            <w:vAlign w:val="center"/>
            <w:hideMark/>
          </w:tcPr>
          <w:p w14:paraId="07F5B928"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610</w:t>
            </w:r>
          </w:p>
        </w:tc>
        <w:tc>
          <w:tcPr>
            <w:tcW w:w="978" w:type="dxa"/>
            <w:tcBorders>
              <w:top w:val="nil"/>
              <w:left w:val="nil"/>
              <w:right w:val="nil"/>
            </w:tcBorders>
            <w:noWrap/>
            <w:vAlign w:val="center"/>
            <w:hideMark/>
          </w:tcPr>
          <w:p w14:paraId="78CCF53D"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115</w:t>
            </w:r>
          </w:p>
        </w:tc>
        <w:tc>
          <w:tcPr>
            <w:tcW w:w="995" w:type="dxa"/>
            <w:tcBorders>
              <w:top w:val="nil"/>
              <w:left w:val="nil"/>
              <w:right w:val="single" w:sz="4" w:space="0" w:color="auto"/>
            </w:tcBorders>
            <w:noWrap/>
            <w:vAlign w:val="center"/>
            <w:hideMark/>
          </w:tcPr>
          <w:p w14:paraId="69E930D3"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top w:val="nil"/>
              <w:left w:val="single" w:sz="4" w:space="0" w:color="auto"/>
              <w:right w:val="nil"/>
            </w:tcBorders>
            <w:noWrap/>
            <w:vAlign w:val="center"/>
            <w:hideMark/>
          </w:tcPr>
          <w:p w14:paraId="3202FEAC"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36</w:t>
            </w:r>
          </w:p>
        </w:tc>
        <w:tc>
          <w:tcPr>
            <w:tcW w:w="912" w:type="dxa"/>
            <w:tcBorders>
              <w:top w:val="nil"/>
              <w:left w:val="nil"/>
              <w:right w:val="nil"/>
            </w:tcBorders>
            <w:noWrap/>
            <w:vAlign w:val="center"/>
            <w:hideMark/>
          </w:tcPr>
          <w:p w14:paraId="37F0D52A"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62</w:t>
            </w:r>
          </w:p>
        </w:tc>
        <w:tc>
          <w:tcPr>
            <w:tcW w:w="978" w:type="dxa"/>
            <w:tcBorders>
              <w:top w:val="nil"/>
              <w:left w:val="nil"/>
              <w:right w:val="nil"/>
            </w:tcBorders>
            <w:noWrap/>
            <w:vAlign w:val="center"/>
            <w:hideMark/>
          </w:tcPr>
          <w:p w14:paraId="2D2E8D71"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84</w:t>
            </w:r>
          </w:p>
        </w:tc>
        <w:tc>
          <w:tcPr>
            <w:tcW w:w="995" w:type="dxa"/>
            <w:tcBorders>
              <w:top w:val="nil"/>
              <w:left w:val="nil"/>
              <w:right w:val="single" w:sz="4" w:space="0" w:color="auto"/>
            </w:tcBorders>
            <w:noWrap/>
            <w:vAlign w:val="center"/>
            <w:hideMark/>
          </w:tcPr>
          <w:p w14:paraId="6DF4F214"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637FE7FE" w14:textId="77777777" w:rsidTr="009E7616">
        <w:trPr>
          <w:trHeight w:val="300"/>
        </w:trPr>
        <w:tc>
          <w:tcPr>
            <w:tcW w:w="1047" w:type="dxa"/>
            <w:vMerge/>
            <w:noWrap/>
            <w:vAlign w:val="center"/>
            <w:hideMark/>
          </w:tcPr>
          <w:p w14:paraId="06AB160A" w14:textId="0C79BF9A" w:rsidR="006E387B" w:rsidRPr="00B82AF4" w:rsidRDefault="006E387B" w:rsidP="006E387B">
            <w:pPr>
              <w:rPr>
                <w:rFonts w:ascii="Calibri" w:eastAsia="Times New Roman" w:hAnsi="Calibri" w:cs="Calibri"/>
                <w:color w:val="000000"/>
                <w:sz w:val="20"/>
                <w:szCs w:val="20"/>
              </w:rPr>
            </w:pPr>
          </w:p>
        </w:tc>
        <w:tc>
          <w:tcPr>
            <w:tcW w:w="2426" w:type="dxa"/>
            <w:gridSpan w:val="2"/>
            <w:noWrap/>
            <w:vAlign w:val="center"/>
            <w:hideMark/>
          </w:tcPr>
          <w:p w14:paraId="6C792A23" w14:textId="77777777" w:rsidR="006E387B" w:rsidRPr="00B82AF4" w:rsidRDefault="006E387B"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Chronic Total</w:t>
            </w:r>
          </w:p>
        </w:tc>
        <w:tc>
          <w:tcPr>
            <w:tcW w:w="891" w:type="dxa"/>
            <w:tcBorders>
              <w:right w:val="nil"/>
            </w:tcBorders>
            <w:noWrap/>
            <w:vAlign w:val="center"/>
            <w:hideMark/>
          </w:tcPr>
          <w:p w14:paraId="7F527CDE"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416</w:t>
            </w:r>
          </w:p>
        </w:tc>
        <w:tc>
          <w:tcPr>
            <w:tcW w:w="912" w:type="dxa"/>
            <w:tcBorders>
              <w:left w:val="nil"/>
              <w:right w:val="nil"/>
            </w:tcBorders>
            <w:noWrap/>
            <w:vAlign w:val="center"/>
            <w:hideMark/>
          </w:tcPr>
          <w:p w14:paraId="1A8D501B"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624</w:t>
            </w:r>
          </w:p>
        </w:tc>
        <w:tc>
          <w:tcPr>
            <w:tcW w:w="978" w:type="dxa"/>
            <w:tcBorders>
              <w:left w:val="nil"/>
              <w:right w:val="nil"/>
            </w:tcBorders>
            <w:noWrap/>
            <w:vAlign w:val="center"/>
            <w:hideMark/>
          </w:tcPr>
          <w:p w14:paraId="3A46CE3C"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113</w:t>
            </w:r>
          </w:p>
        </w:tc>
        <w:tc>
          <w:tcPr>
            <w:tcW w:w="995" w:type="dxa"/>
            <w:tcBorders>
              <w:left w:val="nil"/>
              <w:right w:val="single" w:sz="4" w:space="0" w:color="auto"/>
            </w:tcBorders>
            <w:noWrap/>
            <w:vAlign w:val="center"/>
            <w:hideMark/>
          </w:tcPr>
          <w:p w14:paraId="4962B700"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891" w:type="dxa"/>
            <w:tcBorders>
              <w:left w:val="single" w:sz="4" w:space="0" w:color="auto"/>
              <w:right w:val="nil"/>
            </w:tcBorders>
            <w:noWrap/>
            <w:vAlign w:val="center"/>
            <w:hideMark/>
          </w:tcPr>
          <w:p w14:paraId="6B1367B8"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74</w:t>
            </w:r>
          </w:p>
        </w:tc>
        <w:tc>
          <w:tcPr>
            <w:tcW w:w="912" w:type="dxa"/>
            <w:tcBorders>
              <w:left w:val="nil"/>
              <w:right w:val="nil"/>
            </w:tcBorders>
            <w:noWrap/>
            <w:vAlign w:val="center"/>
            <w:hideMark/>
          </w:tcPr>
          <w:p w14:paraId="627EED2F"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129</w:t>
            </w:r>
          </w:p>
        </w:tc>
        <w:tc>
          <w:tcPr>
            <w:tcW w:w="978" w:type="dxa"/>
            <w:tcBorders>
              <w:left w:val="nil"/>
              <w:right w:val="nil"/>
            </w:tcBorders>
            <w:noWrap/>
            <w:vAlign w:val="center"/>
            <w:hideMark/>
          </w:tcPr>
          <w:p w14:paraId="3A5E2148"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167</w:t>
            </w:r>
          </w:p>
        </w:tc>
        <w:tc>
          <w:tcPr>
            <w:tcW w:w="995" w:type="dxa"/>
            <w:tcBorders>
              <w:left w:val="nil"/>
              <w:right w:val="single" w:sz="4" w:space="0" w:color="auto"/>
            </w:tcBorders>
            <w:noWrap/>
            <w:vAlign w:val="center"/>
            <w:hideMark/>
          </w:tcPr>
          <w:p w14:paraId="482F8EA3"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r>
      <w:tr w:rsidR="006E387B" w:rsidRPr="00B82AF4" w14:paraId="536424DB" w14:textId="77777777" w:rsidTr="009E7616">
        <w:trPr>
          <w:trHeight w:val="300"/>
        </w:trPr>
        <w:tc>
          <w:tcPr>
            <w:tcW w:w="1047" w:type="dxa"/>
            <w:vMerge/>
            <w:tcBorders>
              <w:bottom w:val="double" w:sz="4" w:space="0" w:color="auto"/>
            </w:tcBorders>
            <w:noWrap/>
            <w:vAlign w:val="center"/>
            <w:hideMark/>
          </w:tcPr>
          <w:p w14:paraId="3CF3E0E0" w14:textId="754AEFB1" w:rsidR="006E387B" w:rsidRPr="00B82AF4" w:rsidRDefault="006E387B" w:rsidP="006E387B">
            <w:pPr>
              <w:rPr>
                <w:rFonts w:ascii="Calibri" w:eastAsia="Times New Roman" w:hAnsi="Calibri" w:cs="Calibri"/>
                <w:color w:val="000000"/>
                <w:sz w:val="20"/>
                <w:szCs w:val="20"/>
              </w:rPr>
            </w:pPr>
          </w:p>
        </w:tc>
        <w:tc>
          <w:tcPr>
            <w:tcW w:w="1183" w:type="dxa"/>
            <w:tcBorders>
              <w:bottom w:val="double" w:sz="4" w:space="0" w:color="auto"/>
            </w:tcBorders>
            <w:noWrap/>
            <w:vAlign w:val="center"/>
            <w:hideMark/>
          </w:tcPr>
          <w:p w14:paraId="7306D6E6" w14:textId="77777777" w:rsidR="006E387B" w:rsidRPr="00B82AF4" w:rsidRDefault="006E387B"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Not specified</w:t>
            </w:r>
          </w:p>
        </w:tc>
        <w:tc>
          <w:tcPr>
            <w:tcW w:w="1243" w:type="dxa"/>
            <w:tcBorders>
              <w:bottom w:val="double" w:sz="4" w:space="0" w:color="auto"/>
            </w:tcBorders>
            <w:noWrap/>
            <w:vAlign w:val="center"/>
            <w:hideMark/>
          </w:tcPr>
          <w:p w14:paraId="686F3A7A" w14:textId="77777777" w:rsidR="006E387B" w:rsidRPr="00B82AF4" w:rsidRDefault="006E387B"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Continuing</w:t>
            </w:r>
          </w:p>
        </w:tc>
        <w:tc>
          <w:tcPr>
            <w:tcW w:w="891" w:type="dxa"/>
            <w:tcBorders>
              <w:bottom w:val="double" w:sz="4" w:space="0" w:color="auto"/>
              <w:right w:val="nil"/>
            </w:tcBorders>
            <w:noWrap/>
            <w:vAlign w:val="center"/>
            <w:hideMark/>
          </w:tcPr>
          <w:p w14:paraId="0E233D27"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12" w:type="dxa"/>
            <w:tcBorders>
              <w:left w:val="nil"/>
              <w:bottom w:val="double" w:sz="4" w:space="0" w:color="auto"/>
              <w:right w:val="nil"/>
            </w:tcBorders>
            <w:noWrap/>
            <w:vAlign w:val="center"/>
            <w:hideMark/>
          </w:tcPr>
          <w:p w14:paraId="78EDCB0B"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400</w:t>
            </w:r>
          </w:p>
        </w:tc>
        <w:tc>
          <w:tcPr>
            <w:tcW w:w="978" w:type="dxa"/>
            <w:tcBorders>
              <w:left w:val="nil"/>
              <w:bottom w:val="double" w:sz="4" w:space="0" w:color="auto"/>
              <w:right w:val="nil"/>
            </w:tcBorders>
            <w:noWrap/>
            <w:vAlign w:val="center"/>
            <w:hideMark/>
          </w:tcPr>
          <w:p w14:paraId="559368F2" w14:textId="77777777" w:rsidR="006E387B" w:rsidRPr="00B82AF4" w:rsidRDefault="006E387B" w:rsidP="006E387B">
            <w:pPr>
              <w:jc w:val="right"/>
              <w:rPr>
                <w:rFonts w:ascii="Calibri" w:eastAsia="Times New Roman" w:hAnsi="Calibri" w:cs="Calibri"/>
                <w:color w:val="000000"/>
                <w:sz w:val="20"/>
                <w:szCs w:val="20"/>
              </w:rPr>
            </w:pPr>
          </w:p>
        </w:tc>
        <w:tc>
          <w:tcPr>
            <w:tcW w:w="995" w:type="dxa"/>
            <w:tcBorders>
              <w:left w:val="nil"/>
              <w:bottom w:val="double" w:sz="4" w:space="0" w:color="auto"/>
              <w:right w:val="single" w:sz="4" w:space="0" w:color="auto"/>
            </w:tcBorders>
            <w:noWrap/>
            <w:vAlign w:val="center"/>
            <w:hideMark/>
          </w:tcPr>
          <w:p w14:paraId="132DE0D0"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45</w:t>
            </w:r>
          </w:p>
        </w:tc>
        <w:tc>
          <w:tcPr>
            <w:tcW w:w="891" w:type="dxa"/>
            <w:tcBorders>
              <w:left w:val="single" w:sz="4" w:space="0" w:color="auto"/>
              <w:bottom w:val="double" w:sz="4" w:space="0" w:color="auto"/>
              <w:right w:val="nil"/>
            </w:tcBorders>
            <w:noWrap/>
            <w:vAlign w:val="center"/>
            <w:hideMark/>
          </w:tcPr>
          <w:p w14:paraId="62163752" w14:textId="77777777" w:rsidR="006E387B" w:rsidRPr="00B82AF4" w:rsidRDefault="006E387B"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 </w:t>
            </w:r>
          </w:p>
        </w:tc>
        <w:tc>
          <w:tcPr>
            <w:tcW w:w="912" w:type="dxa"/>
            <w:tcBorders>
              <w:left w:val="nil"/>
              <w:bottom w:val="double" w:sz="4" w:space="0" w:color="auto"/>
              <w:right w:val="nil"/>
            </w:tcBorders>
            <w:noWrap/>
            <w:vAlign w:val="center"/>
            <w:hideMark/>
          </w:tcPr>
          <w:p w14:paraId="095521A1" w14:textId="395A38B0" w:rsidR="006E387B" w:rsidRPr="00B82AF4" w:rsidRDefault="001B4FEB" w:rsidP="006E387B">
            <w:pPr>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978" w:type="dxa"/>
            <w:tcBorders>
              <w:left w:val="nil"/>
              <w:bottom w:val="double" w:sz="4" w:space="0" w:color="auto"/>
              <w:right w:val="nil"/>
            </w:tcBorders>
            <w:noWrap/>
            <w:vAlign w:val="center"/>
            <w:hideMark/>
          </w:tcPr>
          <w:p w14:paraId="21F7D2FD" w14:textId="77777777" w:rsidR="006E387B" w:rsidRPr="00B82AF4" w:rsidRDefault="006E387B" w:rsidP="006E387B">
            <w:pPr>
              <w:jc w:val="right"/>
              <w:rPr>
                <w:rFonts w:ascii="Calibri" w:eastAsia="Times New Roman" w:hAnsi="Calibri" w:cs="Calibri"/>
                <w:color w:val="000000"/>
                <w:sz w:val="20"/>
                <w:szCs w:val="20"/>
              </w:rPr>
            </w:pPr>
          </w:p>
        </w:tc>
        <w:tc>
          <w:tcPr>
            <w:tcW w:w="995" w:type="dxa"/>
            <w:tcBorders>
              <w:left w:val="nil"/>
              <w:bottom w:val="double" w:sz="4" w:space="0" w:color="auto"/>
              <w:right w:val="single" w:sz="4" w:space="0" w:color="auto"/>
            </w:tcBorders>
            <w:noWrap/>
            <w:vAlign w:val="center"/>
            <w:hideMark/>
          </w:tcPr>
          <w:p w14:paraId="3B6601E9" w14:textId="5E795367" w:rsidR="006E387B" w:rsidRPr="00B82AF4" w:rsidRDefault="001B4FEB" w:rsidP="006E387B">
            <w:pPr>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r>
      <w:tr w:rsidR="006E387B" w:rsidRPr="00B82AF4" w14:paraId="06245FFA" w14:textId="77777777" w:rsidTr="009E7616">
        <w:trPr>
          <w:trHeight w:val="300"/>
        </w:trPr>
        <w:tc>
          <w:tcPr>
            <w:tcW w:w="3473" w:type="dxa"/>
            <w:gridSpan w:val="3"/>
            <w:tcBorders>
              <w:top w:val="double" w:sz="4" w:space="0" w:color="auto"/>
              <w:bottom w:val="double" w:sz="4" w:space="0" w:color="auto"/>
            </w:tcBorders>
            <w:noWrap/>
            <w:vAlign w:val="center"/>
            <w:hideMark/>
          </w:tcPr>
          <w:p w14:paraId="43E6BDE6" w14:textId="77777777" w:rsidR="00B82AF4" w:rsidRPr="00B82AF4" w:rsidRDefault="00B82AF4" w:rsidP="006E387B">
            <w:pPr>
              <w:rPr>
                <w:rFonts w:ascii="Calibri" w:eastAsia="Times New Roman" w:hAnsi="Calibri" w:cs="Calibri"/>
                <w:color w:val="000000"/>
                <w:sz w:val="20"/>
                <w:szCs w:val="20"/>
              </w:rPr>
            </w:pPr>
            <w:r w:rsidRPr="00B82AF4">
              <w:rPr>
                <w:rFonts w:ascii="Calibri" w:eastAsia="Times New Roman" w:hAnsi="Calibri" w:cs="Calibri"/>
                <w:color w:val="000000"/>
                <w:sz w:val="20"/>
                <w:szCs w:val="20"/>
              </w:rPr>
              <w:t>Second or later line Total</w:t>
            </w:r>
          </w:p>
        </w:tc>
        <w:tc>
          <w:tcPr>
            <w:tcW w:w="891" w:type="dxa"/>
            <w:tcBorders>
              <w:top w:val="double" w:sz="4" w:space="0" w:color="auto"/>
              <w:bottom w:val="double" w:sz="4" w:space="0" w:color="auto"/>
              <w:right w:val="nil"/>
            </w:tcBorders>
            <w:noWrap/>
            <w:vAlign w:val="center"/>
            <w:hideMark/>
          </w:tcPr>
          <w:p w14:paraId="06100051" w14:textId="77777777" w:rsidR="00B82AF4" w:rsidRPr="00B82AF4" w:rsidRDefault="00B82AF4"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416</w:t>
            </w:r>
          </w:p>
        </w:tc>
        <w:tc>
          <w:tcPr>
            <w:tcW w:w="912" w:type="dxa"/>
            <w:tcBorders>
              <w:top w:val="double" w:sz="4" w:space="0" w:color="auto"/>
              <w:left w:val="nil"/>
              <w:bottom w:val="double" w:sz="4" w:space="0" w:color="auto"/>
              <w:right w:val="nil"/>
            </w:tcBorders>
            <w:noWrap/>
            <w:vAlign w:val="center"/>
            <w:hideMark/>
          </w:tcPr>
          <w:p w14:paraId="2EE8DC26" w14:textId="77777777" w:rsidR="00B82AF4" w:rsidRPr="00B82AF4" w:rsidRDefault="00B82AF4"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626</w:t>
            </w:r>
          </w:p>
        </w:tc>
        <w:tc>
          <w:tcPr>
            <w:tcW w:w="978" w:type="dxa"/>
            <w:tcBorders>
              <w:top w:val="double" w:sz="4" w:space="0" w:color="auto"/>
              <w:left w:val="nil"/>
              <w:bottom w:val="double" w:sz="4" w:space="0" w:color="auto"/>
              <w:right w:val="nil"/>
            </w:tcBorders>
            <w:noWrap/>
            <w:vAlign w:val="center"/>
            <w:hideMark/>
          </w:tcPr>
          <w:p w14:paraId="3652648A" w14:textId="77777777" w:rsidR="00B82AF4" w:rsidRPr="00B82AF4" w:rsidRDefault="00B82AF4"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113</w:t>
            </w:r>
          </w:p>
        </w:tc>
        <w:tc>
          <w:tcPr>
            <w:tcW w:w="995" w:type="dxa"/>
            <w:tcBorders>
              <w:top w:val="double" w:sz="4" w:space="0" w:color="auto"/>
              <w:left w:val="nil"/>
              <w:bottom w:val="double" w:sz="4" w:space="0" w:color="auto"/>
              <w:right w:val="single" w:sz="4" w:space="0" w:color="auto"/>
            </w:tcBorders>
            <w:noWrap/>
            <w:vAlign w:val="center"/>
            <w:hideMark/>
          </w:tcPr>
          <w:p w14:paraId="11E7C798" w14:textId="77777777" w:rsidR="00B82AF4" w:rsidRPr="00B82AF4" w:rsidRDefault="00B82AF4"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48</w:t>
            </w:r>
          </w:p>
        </w:tc>
        <w:tc>
          <w:tcPr>
            <w:tcW w:w="891" w:type="dxa"/>
            <w:tcBorders>
              <w:top w:val="double" w:sz="4" w:space="0" w:color="auto"/>
              <w:left w:val="single" w:sz="4" w:space="0" w:color="auto"/>
              <w:bottom w:val="double" w:sz="4" w:space="0" w:color="auto"/>
              <w:right w:val="nil"/>
            </w:tcBorders>
            <w:noWrap/>
            <w:vAlign w:val="center"/>
            <w:hideMark/>
          </w:tcPr>
          <w:p w14:paraId="03E0D44F" w14:textId="77777777" w:rsidR="00B82AF4" w:rsidRPr="00B82AF4" w:rsidRDefault="00B82AF4"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74</w:t>
            </w:r>
          </w:p>
        </w:tc>
        <w:tc>
          <w:tcPr>
            <w:tcW w:w="912" w:type="dxa"/>
            <w:tcBorders>
              <w:top w:val="double" w:sz="4" w:space="0" w:color="auto"/>
              <w:left w:val="nil"/>
              <w:bottom w:val="double" w:sz="4" w:space="0" w:color="auto"/>
              <w:right w:val="nil"/>
            </w:tcBorders>
            <w:noWrap/>
            <w:vAlign w:val="center"/>
            <w:hideMark/>
          </w:tcPr>
          <w:p w14:paraId="633D961E" w14:textId="7F75B40E" w:rsidR="00B82AF4" w:rsidRPr="00B82AF4" w:rsidRDefault="001B4FEB" w:rsidP="006E387B">
            <w:pPr>
              <w:jc w:val="right"/>
              <w:rPr>
                <w:rFonts w:ascii="Calibri" w:eastAsia="Times New Roman" w:hAnsi="Calibri" w:cs="Calibri"/>
                <w:color w:val="000000"/>
                <w:sz w:val="20"/>
                <w:szCs w:val="20"/>
              </w:rPr>
            </w:pPr>
            <w:r>
              <w:rPr>
                <w:rFonts w:ascii="Calibri" w:eastAsia="Times New Roman" w:hAnsi="Calibri" w:cs="Calibri"/>
                <w:color w:val="000000"/>
                <w:sz w:val="20"/>
                <w:szCs w:val="20"/>
              </w:rPr>
              <w:t>129+</w:t>
            </w:r>
          </w:p>
        </w:tc>
        <w:tc>
          <w:tcPr>
            <w:tcW w:w="978" w:type="dxa"/>
            <w:tcBorders>
              <w:top w:val="double" w:sz="4" w:space="0" w:color="auto"/>
              <w:left w:val="nil"/>
              <w:bottom w:val="double" w:sz="4" w:space="0" w:color="auto"/>
              <w:right w:val="nil"/>
            </w:tcBorders>
            <w:noWrap/>
            <w:vAlign w:val="center"/>
            <w:hideMark/>
          </w:tcPr>
          <w:p w14:paraId="4CB4D84F" w14:textId="77777777" w:rsidR="00B82AF4" w:rsidRPr="00B82AF4" w:rsidRDefault="00B82AF4" w:rsidP="006E387B">
            <w:pPr>
              <w:jc w:val="right"/>
              <w:rPr>
                <w:rFonts w:ascii="Calibri" w:eastAsia="Times New Roman" w:hAnsi="Calibri" w:cs="Calibri"/>
                <w:color w:val="000000"/>
                <w:sz w:val="20"/>
                <w:szCs w:val="20"/>
              </w:rPr>
            </w:pPr>
            <w:r w:rsidRPr="00B82AF4">
              <w:rPr>
                <w:rFonts w:ascii="Calibri" w:eastAsia="Times New Roman" w:hAnsi="Calibri" w:cs="Calibri"/>
                <w:color w:val="000000"/>
                <w:sz w:val="20"/>
                <w:szCs w:val="20"/>
              </w:rPr>
              <w:t>167</w:t>
            </w:r>
          </w:p>
        </w:tc>
        <w:tc>
          <w:tcPr>
            <w:tcW w:w="995" w:type="dxa"/>
            <w:tcBorders>
              <w:top w:val="double" w:sz="4" w:space="0" w:color="auto"/>
              <w:left w:val="nil"/>
              <w:bottom w:val="double" w:sz="4" w:space="0" w:color="auto"/>
              <w:right w:val="single" w:sz="4" w:space="0" w:color="auto"/>
            </w:tcBorders>
            <w:noWrap/>
            <w:vAlign w:val="center"/>
            <w:hideMark/>
          </w:tcPr>
          <w:p w14:paraId="50DB3F9E" w14:textId="70C8EAD4" w:rsidR="00B82AF4" w:rsidRPr="00B82AF4" w:rsidRDefault="001B4FEB" w:rsidP="006E387B">
            <w:pPr>
              <w:jc w:val="right"/>
              <w:rPr>
                <w:rFonts w:ascii="Calibri" w:eastAsia="Times New Roman" w:hAnsi="Calibri" w:cs="Calibri"/>
                <w:color w:val="000000"/>
                <w:sz w:val="20"/>
                <w:szCs w:val="20"/>
              </w:rPr>
            </w:pPr>
            <w:r>
              <w:rPr>
                <w:rFonts w:ascii="Calibri" w:eastAsia="Times New Roman" w:hAnsi="Calibri" w:cs="Calibri"/>
                <w:color w:val="000000"/>
                <w:sz w:val="20"/>
                <w:szCs w:val="20"/>
              </w:rPr>
              <w:t>11+</w:t>
            </w:r>
          </w:p>
        </w:tc>
      </w:tr>
    </w:tbl>
    <w:p w14:paraId="34D155A5" w14:textId="7EEE2440" w:rsidR="00B82AF4" w:rsidRDefault="009D4676" w:rsidP="00D843D0">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Note: using first 12 months of prescriptions</w:t>
      </w:r>
    </w:p>
    <w:p w14:paraId="5219BB67" w14:textId="58B23D1D" w:rsidR="008F487D" w:rsidRDefault="008F487D" w:rsidP="0066467D"/>
    <w:p w14:paraId="471ED021" w14:textId="77777777" w:rsidR="000E2CBA" w:rsidRDefault="000E2CBA" w:rsidP="0066467D">
      <w:pPr>
        <w:sectPr w:rsidR="000E2CBA" w:rsidSect="000E2CBA">
          <w:pgSz w:w="16838" w:h="11906" w:orient="landscape"/>
          <w:pgMar w:top="1588" w:right="1644" w:bottom="1361" w:left="1644" w:header="709" w:footer="709" w:gutter="0"/>
          <w:cols w:space="708"/>
          <w:docGrid w:linePitch="360"/>
        </w:sectPr>
      </w:pPr>
    </w:p>
    <w:p w14:paraId="48DF61AB" w14:textId="1AC72EFF" w:rsidR="007B53E5" w:rsidRDefault="007B53E5" w:rsidP="0066467D">
      <w:r>
        <w:lastRenderedPageBreak/>
        <w:t xml:space="preserve">The doses for initiating patients in their first 12 months of treatment </w:t>
      </w:r>
      <w:r w:rsidR="00F67F52">
        <w:t>we</w:t>
      </w:r>
      <w:r>
        <w:t>re similar to those reported previously for patients who initiated between April 2012 and March 2013</w:t>
      </w:r>
      <w:r w:rsidR="006F60F0">
        <w:t xml:space="preserve"> (DUSC October 2014)</w:t>
      </w:r>
      <w:r>
        <w:t xml:space="preserve">. On 1 April 2012 the PBS restrictions of dasatinib and nilotinib were extended to first line treatment, and the first line restrictions were modified to include dose guidance. Despite this, the doses used in first line chronic treatment </w:t>
      </w:r>
      <w:r w:rsidR="00F67F52">
        <w:t>we</w:t>
      </w:r>
      <w:r>
        <w:t>re almost identical to the previous analysis. The main difference between these analyses was that the doses of imatinib appear</w:t>
      </w:r>
      <w:r w:rsidR="00F67F52">
        <w:t>ed to</w:t>
      </w:r>
      <w:r>
        <w:t xml:space="preserve"> be higher for continuing patients in the accelerated phase of CML. Additionally, due to administrative changes in some listings, patients may have previously been recorded as treatment for an unknown phase where now the phase </w:t>
      </w:r>
      <w:r w:rsidR="00C16878">
        <w:t>wa</w:t>
      </w:r>
      <w:r>
        <w:t>s clear</w:t>
      </w:r>
      <w:r w:rsidR="006F60F0">
        <w:t>er</w:t>
      </w:r>
      <w:r>
        <w:t xml:space="preserve"> in the restriction.</w:t>
      </w:r>
    </w:p>
    <w:p w14:paraId="782FA2A2" w14:textId="106915BB" w:rsidR="005D47EC" w:rsidRDefault="005D47EC" w:rsidP="0066467D">
      <w:r w:rsidRPr="005D47EC">
        <w:t xml:space="preserve">The calculated average doses for imatinib and dasatinib </w:t>
      </w:r>
      <w:r>
        <w:t>in chronic first line patients were</w:t>
      </w:r>
      <w:r w:rsidRPr="005D47EC">
        <w:t xml:space="preserve"> </w:t>
      </w:r>
      <w:r w:rsidR="00CB7FC2">
        <w:t>419</w:t>
      </w:r>
      <w:r w:rsidRPr="005D47EC">
        <w:t xml:space="preserve"> mg and </w:t>
      </w:r>
      <w:r w:rsidR="00CB7FC2">
        <w:t>106</w:t>
      </w:r>
      <w:r>
        <w:t xml:space="preserve"> mg respectively. </w:t>
      </w:r>
      <w:r w:rsidRPr="005D47EC">
        <w:t>This gives a dose relativity (ima</w:t>
      </w:r>
      <w:r w:rsidR="00474A06">
        <w:t>tinib</w:t>
      </w:r>
      <w:r w:rsidRPr="005D47EC">
        <w:t xml:space="preserve">:dasatinib) of </w:t>
      </w:r>
      <w:r w:rsidR="00CB7FC2">
        <w:t>3.95</w:t>
      </w:r>
      <w:r w:rsidRPr="005D47EC">
        <w:t xml:space="preserve">:1 which </w:t>
      </w:r>
      <w:r w:rsidR="00C16878">
        <w:t>wa</w:t>
      </w:r>
      <w:r w:rsidRPr="005D47EC">
        <w:t xml:space="preserve">s </w:t>
      </w:r>
      <w:r w:rsidR="005412D0">
        <w:t>similar to</w:t>
      </w:r>
      <w:r w:rsidRPr="005D47EC">
        <w:t xml:space="preserve"> the</w:t>
      </w:r>
      <w:r w:rsidR="00695EE6">
        <w:t xml:space="preserve"> July 2011</w:t>
      </w:r>
      <w:r w:rsidRPr="005D47EC">
        <w:t xml:space="preserve"> PBAC</w:t>
      </w:r>
      <w:r w:rsidR="00695EE6">
        <w:rPr>
          <w:rStyle w:val="FootnoteReference"/>
        </w:rPr>
        <w:footnoteReference w:id="8"/>
      </w:r>
      <w:r w:rsidRPr="005D47EC">
        <w:t xml:space="preserve"> </w:t>
      </w:r>
      <w:r w:rsidR="00695EE6">
        <w:t xml:space="preserve">recommended </w:t>
      </w:r>
      <w:r w:rsidR="00474A06">
        <w:t>assumed relativity of 395.77</w:t>
      </w:r>
      <w:r w:rsidR="00021599">
        <w:t> </w:t>
      </w:r>
      <w:r w:rsidR="00474A06">
        <w:t>mg</w:t>
      </w:r>
      <w:r w:rsidRPr="005D47EC">
        <w:t>:93.88</w:t>
      </w:r>
      <w:r w:rsidR="00021599">
        <w:t> </w:t>
      </w:r>
      <w:r w:rsidRPr="005D47EC">
        <w:t xml:space="preserve">mg = 4.22:1. The average doses for imatinib and dasatinib </w:t>
      </w:r>
      <w:r w:rsidR="00C16878">
        <w:t>we</w:t>
      </w:r>
      <w:r w:rsidRPr="005D47EC">
        <w:t xml:space="preserve">re both higher than those assumed by the PBAC, but the relativity </w:t>
      </w:r>
      <w:r w:rsidR="00C16878">
        <w:t>wa</w:t>
      </w:r>
      <w:r w:rsidRPr="005D47EC">
        <w:t>s approximately the same.</w:t>
      </w:r>
    </w:p>
    <w:p w14:paraId="67C4319D" w14:textId="0AD51A57" w:rsidR="00A04F95" w:rsidRDefault="004655EA" w:rsidP="0066467D">
      <w:r>
        <w:t>The recommended dosages for i</w:t>
      </w:r>
      <w:r w:rsidR="00A04F95">
        <w:t>matinib</w:t>
      </w:r>
      <w:r>
        <w:t xml:space="preserve"> are 400 mg for chronic phase, and 600</w:t>
      </w:r>
      <w:r w:rsidR="001062F4">
        <w:t xml:space="preserve"> </w:t>
      </w:r>
      <w:r>
        <w:t xml:space="preserve">mg for accelerated and blast phase. </w:t>
      </w:r>
      <w:r w:rsidR="00FE3E50">
        <w:t xml:space="preserve"> P</w:t>
      </w:r>
      <w:r w:rsidR="00A04F95">
        <w:t xml:space="preserve">atients </w:t>
      </w:r>
      <w:r w:rsidR="00FE3E50">
        <w:t xml:space="preserve">supplied imatinib </w:t>
      </w:r>
      <w:r w:rsidR="008D752C">
        <w:t>we</w:t>
      </w:r>
      <w:r w:rsidR="00A04F95">
        <w:t xml:space="preserve">re using approximately 400 mg in the chronic phase, </w:t>
      </w:r>
      <w:r w:rsidR="00FE3E50">
        <w:t xml:space="preserve">which </w:t>
      </w:r>
      <w:r w:rsidR="00A04F95">
        <w:t xml:space="preserve">matches </w:t>
      </w:r>
      <w:r w:rsidR="00FE3E50">
        <w:t xml:space="preserve">the </w:t>
      </w:r>
      <w:r w:rsidR="00A04F95">
        <w:t>recommend</w:t>
      </w:r>
      <w:r w:rsidR="00FE3E50">
        <w:t>ed dose for this indication</w:t>
      </w:r>
      <w:r w:rsidR="00A04F95">
        <w:t xml:space="preserve">. Patients </w:t>
      </w:r>
      <w:r w:rsidR="008D752C">
        <w:t>we</w:t>
      </w:r>
      <w:r w:rsidR="00FE3E50">
        <w:t xml:space="preserve">re </w:t>
      </w:r>
      <w:r w:rsidR="00A04F95">
        <w:t xml:space="preserve">using </w:t>
      </w:r>
      <w:r w:rsidR="00FE3E50">
        <w:t xml:space="preserve">mean doses of </w:t>
      </w:r>
      <w:r w:rsidR="00A04F95">
        <w:t>600</w:t>
      </w:r>
      <w:r w:rsidR="00A426B4">
        <w:t xml:space="preserve"> mg</w:t>
      </w:r>
      <w:r w:rsidR="00A04F95">
        <w:t xml:space="preserve"> in blast phase and 700 </w:t>
      </w:r>
      <w:r w:rsidR="00A426B4">
        <w:t xml:space="preserve">mg </w:t>
      </w:r>
      <w:r w:rsidR="00A04F95">
        <w:t>in accelerated phase. In the accelerated phase</w:t>
      </w:r>
      <w:r w:rsidR="00A426B4">
        <w:t>,</w:t>
      </w:r>
      <w:r w:rsidR="00A04F95">
        <w:t xml:space="preserve"> continuing patients </w:t>
      </w:r>
      <w:r w:rsidR="008D752C">
        <w:t>we</w:t>
      </w:r>
      <w:r w:rsidR="00A04F95">
        <w:t>re using higher doses than</w:t>
      </w:r>
      <w:r w:rsidR="00AF0B3C">
        <w:t xml:space="preserve"> patients</w:t>
      </w:r>
      <w:r w:rsidR="00A04F95">
        <w:t xml:space="preserve"> in the initial phase. These match</w:t>
      </w:r>
      <w:r w:rsidR="008D752C">
        <w:t>ed</w:t>
      </w:r>
      <w:r w:rsidR="00A04F95">
        <w:t xml:space="preserve"> the recommended doses of 400 mg in chronic phase, and 600 mg per day in accelerated and blast phases, with possible dose increases to 800 mg per day.</w:t>
      </w:r>
    </w:p>
    <w:p w14:paraId="61B9DB31" w14:textId="2C6039CC" w:rsidR="008D6E67" w:rsidRDefault="008D6E67" w:rsidP="0066467D">
      <w:r>
        <w:t xml:space="preserve">Nilotinib is recommended to be used as 600 mg per day in the chronic phase, with possible dose escalations to 800 mg per day. In the accelerated phase it is recommended to be used as 800 mg per day. It is not listed for patients in the blast phase. The estimated prescribed dose </w:t>
      </w:r>
      <w:r w:rsidR="00AF0B3C">
        <w:t xml:space="preserve">of nilotinib </w:t>
      </w:r>
      <w:r w:rsidR="00327C64">
        <w:t>wa</w:t>
      </w:r>
      <w:r w:rsidR="00AF0B3C">
        <w:t>s approximately 60</w:t>
      </w:r>
      <w:r>
        <w:t xml:space="preserve">0 mg in both initiating and </w:t>
      </w:r>
      <w:r w:rsidR="00AF0B3C">
        <w:t>continuing</w:t>
      </w:r>
      <w:r>
        <w:t xml:space="preserve"> patients</w:t>
      </w:r>
      <w:r w:rsidR="00AF0B3C">
        <w:t xml:space="preserve"> in the chronic phase</w:t>
      </w:r>
      <w:r>
        <w:t xml:space="preserve">, and 800 mg per day for patients in the accelerated phase. </w:t>
      </w:r>
    </w:p>
    <w:p w14:paraId="4F3A7E8B" w14:textId="145B0437" w:rsidR="00A04F95" w:rsidRDefault="008D6E67" w:rsidP="0066467D">
      <w:r>
        <w:t>Dasatinib</w:t>
      </w:r>
      <w:r w:rsidR="00A04F95">
        <w:t xml:space="preserve"> is recommended to be used as 100 mg per day for patients in the chronic phase of treatment, with possible dose escalation to 140 mg per day due to a lack of </w:t>
      </w:r>
      <w:r w:rsidR="00A04F95" w:rsidRPr="00A04F95">
        <w:t>haematological or cytogenic response</w:t>
      </w:r>
      <w:r w:rsidR="00A04F95">
        <w:t xml:space="preserve">. </w:t>
      </w:r>
      <w:r>
        <w:t>In the accelerated and blast phases patients are recommended to take 140 mg per day, with possible dose escalation to 180 mg per day. The prescribed doses in new and prevalent patients match</w:t>
      </w:r>
      <w:r w:rsidR="00327C64">
        <w:t>ed</w:t>
      </w:r>
      <w:r>
        <w:t xml:space="preserve"> these dose recommendations.</w:t>
      </w:r>
    </w:p>
    <w:p w14:paraId="00E535E2" w14:textId="187FC3AF" w:rsidR="00AF0B3C" w:rsidRDefault="00A13477" w:rsidP="00AF0B3C">
      <w:r>
        <w:t>The prescribed dose of ponatinib appear</w:t>
      </w:r>
      <w:r w:rsidR="007D1619">
        <w:t>ed</w:t>
      </w:r>
      <w:r>
        <w:t xml:space="preserve"> to be </w:t>
      </w:r>
      <w:r w:rsidR="00AF0B3C">
        <w:t>similar to</w:t>
      </w:r>
      <w:r w:rsidR="00C47594">
        <w:t xml:space="preserve"> the recommended dose of 45 </w:t>
      </w:r>
      <w:r>
        <w:t>mg daily in all phases of treatment.</w:t>
      </w:r>
      <w:r w:rsidR="00AF0B3C" w:rsidRPr="00AF0B3C">
        <w:t xml:space="preserve"> </w:t>
      </w:r>
    </w:p>
    <w:p w14:paraId="504CD643" w14:textId="531C2BBA" w:rsidR="00AF0B3C" w:rsidRDefault="00AF0B3C" w:rsidP="00AF0B3C">
      <w:r>
        <w:t xml:space="preserve">The prescribed dose in second line patients </w:t>
      </w:r>
      <w:r w:rsidR="007D1619">
        <w:t>was</w:t>
      </w:r>
      <w:r>
        <w:t xml:space="preserve"> generally lower than in first line patients. </w:t>
      </w:r>
    </w:p>
    <w:p w14:paraId="4F8723A6" w14:textId="409ACCEE" w:rsidR="00736041" w:rsidRPr="005E22C2" w:rsidRDefault="001B5D37" w:rsidP="00123C9C">
      <w:pPr>
        <w:pStyle w:val="Heading2"/>
        <w:keepNext/>
      </w:pPr>
      <w:r w:rsidRPr="005E22C2">
        <w:lastRenderedPageBreak/>
        <w:t xml:space="preserve">Analysis </w:t>
      </w:r>
      <w:r w:rsidR="00481108" w:rsidRPr="005E22C2">
        <w:t xml:space="preserve">of </w:t>
      </w:r>
      <w:r w:rsidR="0063631C">
        <w:t>e</w:t>
      </w:r>
      <w:r w:rsidR="00736041" w:rsidRPr="005E22C2">
        <w:t>xpenditure</w:t>
      </w:r>
    </w:p>
    <w:p w14:paraId="542A1596" w14:textId="15AED9FA" w:rsidR="001B2335" w:rsidRDefault="00F60600" w:rsidP="000F38FD">
      <w:r>
        <w:rPr>
          <w:noProof/>
        </w:rPr>
        <w:drawing>
          <wp:inline distT="0" distB="0" distL="0" distR="0" wp14:anchorId="346A91DE" wp14:editId="4B2B6A6C">
            <wp:extent cx="5687695" cy="3175635"/>
            <wp:effectExtent l="0" t="0" r="8255" b="5715"/>
            <wp:docPr id="5" name="Chart 5" descr="Cost to government for TKIs for CML since December 2001" title="Cost to government for TKIs for CML since December 200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B9915E9" w14:textId="109AEC82" w:rsidR="00AA7282" w:rsidRDefault="00AA7282" w:rsidP="00AA7282">
      <w:pPr>
        <w:pStyle w:val="Figuretitle"/>
      </w:pPr>
      <w:r>
        <w:t xml:space="preserve">Figure </w:t>
      </w:r>
      <w:r w:rsidR="001B4FEB">
        <w:t>8</w:t>
      </w:r>
      <w:r>
        <w:t>: Cost to government for TKIs for CML since December 2001</w:t>
      </w:r>
    </w:p>
    <w:p w14:paraId="6FC634DB" w14:textId="77777777" w:rsidR="00B95567" w:rsidRDefault="00B95567" w:rsidP="00623E43"/>
    <w:p w14:paraId="0909EFEF" w14:textId="586CE3B0" w:rsidR="00623E43" w:rsidRDefault="00B95567" w:rsidP="00623E43">
      <w:r>
        <w:t>Despite the growing use of TKIs for CML the</w:t>
      </w:r>
      <w:r w:rsidR="00623E43">
        <w:t xml:space="preserve"> net cost to government </w:t>
      </w:r>
      <w:r>
        <w:t>appear</w:t>
      </w:r>
      <w:r w:rsidR="00E23077">
        <w:t>ed</w:t>
      </w:r>
      <w:r>
        <w:t xml:space="preserve"> to be decreasing. The decrease appear</w:t>
      </w:r>
      <w:r w:rsidR="00E23077">
        <w:t>ed</w:t>
      </w:r>
      <w:r>
        <w:t xml:space="preserve"> to begin i</w:t>
      </w:r>
      <w:r w:rsidR="00623E43">
        <w:t xml:space="preserve">n 2016, </w:t>
      </w:r>
      <w:r>
        <w:t xml:space="preserve">and </w:t>
      </w:r>
      <w:r w:rsidR="00E23077">
        <w:t>wa</w:t>
      </w:r>
      <w:r>
        <w:t xml:space="preserve">s </w:t>
      </w:r>
      <w:r w:rsidR="00623E43">
        <w:t>due to several price reductions of</w:t>
      </w:r>
      <w:r w:rsidR="0056578F">
        <w:t xml:space="preserve"> imatinib in 2016, 2017 and 2018. A fifth price reduction </w:t>
      </w:r>
      <w:r w:rsidR="008D1723">
        <w:t>wa</w:t>
      </w:r>
      <w:r w:rsidR="0056578F">
        <w:t xml:space="preserve">s due to apply </w:t>
      </w:r>
      <w:r w:rsidR="00123C9C">
        <w:t xml:space="preserve">to imatinib </w:t>
      </w:r>
      <w:r w:rsidR="0056578F">
        <w:t>on 1 October 2019.</w:t>
      </w:r>
    </w:p>
    <w:p w14:paraId="6FED0BBB" w14:textId="524205FF" w:rsidR="00623E43" w:rsidRDefault="00A03F9A" w:rsidP="000E2CBA">
      <w:pPr>
        <w:pStyle w:val="Tabletitle"/>
        <w:keepNext/>
      </w:pPr>
      <w:r>
        <w:t xml:space="preserve">Table </w:t>
      </w:r>
      <w:r w:rsidR="001B4FEB">
        <w:t>12</w:t>
      </w:r>
      <w:r>
        <w:t xml:space="preserve">: Price reductions applied to </w:t>
      </w:r>
      <w:r w:rsidR="00AF0B3C">
        <w:t>TKIs for CML</w:t>
      </w:r>
    </w:p>
    <w:tbl>
      <w:tblPr>
        <w:tblW w:w="917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6"/>
        <w:gridCol w:w="1471"/>
        <w:gridCol w:w="2268"/>
        <w:gridCol w:w="3625"/>
      </w:tblGrid>
      <w:tr w:rsidR="00AF0B3C" w:rsidRPr="00623E43" w14:paraId="674457DD" w14:textId="77777777" w:rsidTr="00763870">
        <w:trPr>
          <w:trHeight w:val="596"/>
        </w:trPr>
        <w:tc>
          <w:tcPr>
            <w:tcW w:w="1806" w:type="dxa"/>
            <w:shd w:val="clear" w:color="auto" w:fill="BFBFBF" w:themeFill="background1" w:themeFillShade="BF"/>
            <w:noWrap/>
            <w:tcMar>
              <w:top w:w="0" w:type="dxa"/>
              <w:left w:w="108" w:type="dxa"/>
              <w:bottom w:w="0" w:type="dxa"/>
              <w:right w:w="108" w:type="dxa"/>
            </w:tcMar>
            <w:vAlign w:val="center"/>
            <w:hideMark/>
          </w:tcPr>
          <w:p w14:paraId="76C3085C" w14:textId="49A1D83E" w:rsidR="00AF0B3C" w:rsidRPr="00623E43" w:rsidRDefault="00AF0B3C" w:rsidP="00763870">
            <w:pPr>
              <w:keepNext/>
              <w:spacing w:after="0"/>
              <w:jc w:val="center"/>
              <w:rPr>
                <w:b/>
                <w:bCs/>
                <w:sz w:val="20"/>
                <w:szCs w:val="20"/>
              </w:rPr>
            </w:pPr>
            <w:r>
              <w:rPr>
                <w:b/>
                <w:bCs/>
                <w:sz w:val="20"/>
                <w:szCs w:val="20"/>
              </w:rPr>
              <w:t xml:space="preserve">Date of Price </w:t>
            </w:r>
            <w:r w:rsidRPr="00623E43">
              <w:rPr>
                <w:b/>
                <w:bCs/>
                <w:sz w:val="20"/>
                <w:szCs w:val="20"/>
              </w:rPr>
              <w:t>Reduction Day</w:t>
            </w:r>
          </w:p>
        </w:tc>
        <w:tc>
          <w:tcPr>
            <w:tcW w:w="1471" w:type="dxa"/>
            <w:shd w:val="clear" w:color="auto" w:fill="BFBFBF" w:themeFill="background1" w:themeFillShade="BF"/>
            <w:vAlign w:val="center"/>
          </w:tcPr>
          <w:p w14:paraId="537ADB7B" w14:textId="77BEF9F4" w:rsidR="00AF0B3C" w:rsidRPr="00623E43" w:rsidRDefault="00AF0B3C" w:rsidP="00763870">
            <w:pPr>
              <w:keepNext/>
              <w:spacing w:after="0"/>
              <w:ind w:left="144"/>
              <w:jc w:val="center"/>
              <w:rPr>
                <w:b/>
                <w:bCs/>
                <w:sz w:val="20"/>
                <w:szCs w:val="20"/>
              </w:rPr>
            </w:pPr>
            <w:r>
              <w:rPr>
                <w:b/>
                <w:bCs/>
                <w:sz w:val="20"/>
                <w:szCs w:val="20"/>
              </w:rPr>
              <w:t>Medicine</w:t>
            </w:r>
          </w:p>
        </w:tc>
        <w:tc>
          <w:tcPr>
            <w:tcW w:w="2268" w:type="dxa"/>
            <w:shd w:val="clear" w:color="auto" w:fill="BFBFBF" w:themeFill="background1" w:themeFillShade="BF"/>
            <w:noWrap/>
            <w:tcMar>
              <w:top w:w="0" w:type="dxa"/>
              <w:left w:w="108" w:type="dxa"/>
              <w:bottom w:w="0" w:type="dxa"/>
              <w:right w:w="108" w:type="dxa"/>
            </w:tcMar>
            <w:vAlign w:val="center"/>
            <w:hideMark/>
          </w:tcPr>
          <w:p w14:paraId="332497DA" w14:textId="44357FF6" w:rsidR="00AF0B3C" w:rsidRPr="00623E43" w:rsidRDefault="00AF0B3C" w:rsidP="00763870">
            <w:pPr>
              <w:keepNext/>
              <w:spacing w:after="0"/>
              <w:jc w:val="center"/>
              <w:rPr>
                <w:b/>
                <w:bCs/>
                <w:sz w:val="20"/>
                <w:szCs w:val="20"/>
              </w:rPr>
            </w:pPr>
            <w:r w:rsidRPr="00623E43">
              <w:rPr>
                <w:b/>
                <w:bCs/>
                <w:sz w:val="20"/>
                <w:szCs w:val="20"/>
              </w:rPr>
              <w:t>Percentage Difference</w:t>
            </w:r>
          </w:p>
        </w:tc>
        <w:tc>
          <w:tcPr>
            <w:tcW w:w="3625" w:type="dxa"/>
            <w:shd w:val="clear" w:color="auto" w:fill="BFBFBF" w:themeFill="background1" w:themeFillShade="BF"/>
            <w:tcMar>
              <w:top w:w="0" w:type="dxa"/>
              <w:left w:w="108" w:type="dxa"/>
              <w:bottom w:w="0" w:type="dxa"/>
              <w:right w:w="108" w:type="dxa"/>
            </w:tcMar>
            <w:vAlign w:val="center"/>
            <w:hideMark/>
          </w:tcPr>
          <w:p w14:paraId="0C8BB8FC" w14:textId="77777777" w:rsidR="00AF0B3C" w:rsidRPr="00623E43" w:rsidRDefault="00AF0B3C" w:rsidP="00763870">
            <w:pPr>
              <w:keepNext/>
              <w:spacing w:after="0"/>
              <w:jc w:val="center"/>
              <w:rPr>
                <w:b/>
                <w:bCs/>
                <w:sz w:val="20"/>
                <w:szCs w:val="20"/>
              </w:rPr>
            </w:pPr>
            <w:r w:rsidRPr="00623E43">
              <w:rPr>
                <w:b/>
                <w:bCs/>
                <w:sz w:val="20"/>
                <w:szCs w:val="20"/>
              </w:rPr>
              <w:t>Reason</w:t>
            </w:r>
          </w:p>
        </w:tc>
      </w:tr>
      <w:tr w:rsidR="00763870" w:rsidRPr="00623E43" w14:paraId="792737D2" w14:textId="77777777" w:rsidTr="00763870">
        <w:trPr>
          <w:trHeight w:val="300"/>
        </w:trPr>
        <w:tc>
          <w:tcPr>
            <w:tcW w:w="1806" w:type="dxa"/>
            <w:noWrap/>
            <w:tcMar>
              <w:top w:w="0" w:type="dxa"/>
              <w:left w:w="108" w:type="dxa"/>
              <w:bottom w:w="0" w:type="dxa"/>
              <w:right w:w="108" w:type="dxa"/>
            </w:tcMar>
            <w:vAlign w:val="center"/>
            <w:hideMark/>
          </w:tcPr>
          <w:p w14:paraId="275E6EA5" w14:textId="097FD76D" w:rsidR="00763870" w:rsidRPr="00623E43" w:rsidRDefault="00763870" w:rsidP="00763870">
            <w:pPr>
              <w:spacing w:after="0"/>
              <w:rPr>
                <w:sz w:val="20"/>
                <w:szCs w:val="20"/>
              </w:rPr>
            </w:pPr>
            <w:r>
              <w:rPr>
                <w:rFonts w:ascii="Calibri" w:hAnsi="Calibri" w:cs="Calibri"/>
                <w:color w:val="000000"/>
                <w:sz w:val="20"/>
                <w:szCs w:val="20"/>
              </w:rPr>
              <w:t>01 April 2016</w:t>
            </w:r>
          </w:p>
        </w:tc>
        <w:tc>
          <w:tcPr>
            <w:tcW w:w="1471" w:type="dxa"/>
            <w:vAlign w:val="center"/>
          </w:tcPr>
          <w:p w14:paraId="3D9B09A1" w14:textId="2E9DE6B9" w:rsidR="00763870" w:rsidRPr="00623E43" w:rsidRDefault="00763870" w:rsidP="00763870">
            <w:pPr>
              <w:spacing w:after="0"/>
              <w:ind w:left="144"/>
              <w:rPr>
                <w:sz w:val="20"/>
                <w:szCs w:val="20"/>
              </w:rPr>
            </w:pPr>
            <w:r>
              <w:rPr>
                <w:sz w:val="20"/>
                <w:szCs w:val="20"/>
              </w:rPr>
              <w:t>Imatinib</w:t>
            </w:r>
          </w:p>
        </w:tc>
        <w:tc>
          <w:tcPr>
            <w:tcW w:w="2268" w:type="dxa"/>
            <w:noWrap/>
            <w:tcMar>
              <w:top w:w="0" w:type="dxa"/>
              <w:left w:w="108" w:type="dxa"/>
              <w:bottom w:w="0" w:type="dxa"/>
              <w:right w:w="108" w:type="dxa"/>
            </w:tcMar>
            <w:vAlign w:val="center"/>
            <w:hideMark/>
          </w:tcPr>
          <w:p w14:paraId="6CC78223" w14:textId="2B42D2BB" w:rsidR="00763870" w:rsidRPr="00623E43" w:rsidRDefault="00763870" w:rsidP="00763870">
            <w:pPr>
              <w:spacing w:after="0"/>
              <w:jc w:val="right"/>
              <w:rPr>
                <w:sz w:val="20"/>
                <w:szCs w:val="20"/>
              </w:rPr>
            </w:pPr>
            <w:r w:rsidRPr="00623E43">
              <w:rPr>
                <w:sz w:val="20"/>
                <w:szCs w:val="20"/>
              </w:rPr>
              <w:t>5%</w:t>
            </w:r>
          </w:p>
        </w:tc>
        <w:tc>
          <w:tcPr>
            <w:tcW w:w="3625" w:type="dxa"/>
            <w:tcMar>
              <w:top w:w="0" w:type="dxa"/>
              <w:left w:w="108" w:type="dxa"/>
              <w:bottom w:w="0" w:type="dxa"/>
              <w:right w:w="108" w:type="dxa"/>
            </w:tcMar>
            <w:vAlign w:val="center"/>
            <w:hideMark/>
          </w:tcPr>
          <w:p w14:paraId="5362320E" w14:textId="77777777" w:rsidR="00763870" w:rsidRPr="00623E43" w:rsidRDefault="00763870" w:rsidP="00763870">
            <w:pPr>
              <w:spacing w:after="0"/>
              <w:rPr>
                <w:sz w:val="20"/>
                <w:szCs w:val="20"/>
              </w:rPr>
            </w:pPr>
            <w:r w:rsidRPr="00623E43">
              <w:rPr>
                <w:sz w:val="20"/>
                <w:szCs w:val="20"/>
              </w:rPr>
              <w:t>Five Year Anniversary Price Reduction</w:t>
            </w:r>
          </w:p>
        </w:tc>
      </w:tr>
      <w:tr w:rsidR="00763870" w:rsidRPr="00623E43" w14:paraId="7BAB7064" w14:textId="77777777" w:rsidTr="00763870">
        <w:trPr>
          <w:trHeight w:val="300"/>
        </w:trPr>
        <w:tc>
          <w:tcPr>
            <w:tcW w:w="1806" w:type="dxa"/>
            <w:noWrap/>
            <w:tcMar>
              <w:top w:w="0" w:type="dxa"/>
              <w:left w:w="108" w:type="dxa"/>
              <w:bottom w:w="0" w:type="dxa"/>
              <w:right w:w="108" w:type="dxa"/>
            </w:tcMar>
            <w:vAlign w:val="center"/>
          </w:tcPr>
          <w:p w14:paraId="1C23D63D" w14:textId="556A3D72" w:rsidR="00763870" w:rsidRPr="00623E43" w:rsidRDefault="00763870" w:rsidP="00763870">
            <w:pPr>
              <w:spacing w:after="0"/>
              <w:rPr>
                <w:sz w:val="20"/>
                <w:szCs w:val="20"/>
              </w:rPr>
            </w:pPr>
            <w:r>
              <w:rPr>
                <w:rFonts w:ascii="Calibri" w:hAnsi="Calibri" w:cs="Calibri"/>
                <w:color w:val="000000"/>
                <w:sz w:val="20"/>
                <w:szCs w:val="20"/>
              </w:rPr>
              <w:t>01 April 2016</w:t>
            </w:r>
          </w:p>
        </w:tc>
        <w:tc>
          <w:tcPr>
            <w:tcW w:w="1471" w:type="dxa"/>
            <w:vAlign w:val="center"/>
          </w:tcPr>
          <w:p w14:paraId="25DE95DD" w14:textId="189E65CA" w:rsidR="00763870" w:rsidRDefault="00763870" w:rsidP="00763870">
            <w:pPr>
              <w:spacing w:after="0"/>
              <w:ind w:left="144"/>
              <w:rPr>
                <w:sz w:val="20"/>
                <w:szCs w:val="20"/>
              </w:rPr>
            </w:pPr>
            <w:r>
              <w:rPr>
                <w:sz w:val="20"/>
                <w:szCs w:val="20"/>
              </w:rPr>
              <w:t>Nilotinib</w:t>
            </w:r>
          </w:p>
        </w:tc>
        <w:tc>
          <w:tcPr>
            <w:tcW w:w="2268" w:type="dxa"/>
            <w:noWrap/>
            <w:tcMar>
              <w:top w:w="0" w:type="dxa"/>
              <w:left w:w="108" w:type="dxa"/>
              <w:bottom w:w="0" w:type="dxa"/>
              <w:right w:w="108" w:type="dxa"/>
            </w:tcMar>
            <w:vAlign w:val="center"/>
          </w:tcPr>
          <w:p w14:paraId="6727FF7F" w14:textId="5F75BFC1" w:rsidR="00763870" w:rsidRPr="00623E43" w:rsidRDefault="00763870" w:rsidP="00763870">
            <w:pPr>
              <w:spacing w:after="0"/>
              <w:jc w:val="right"/>
              <w:rPr>
                <w:sz w:val="20"/>
                <w:szCs w:val="20"/>
              </w:rPr>
            </w:pPr>
            <w:r w:rsidRPr="00623E43">
              <w:rPr>
                <w:sz w:val="20"/>
                <w:szCs w:val="20"/>
              </w:rPr>
              <w:t>5%</w:t>
            </w:r>
          </w:p>
        </w:tc>
        <w:tc>
          <w:tcPr>
            <w:tcW w:w="3625" w:type="dxa"/>
            <w:tcMar>
              <w:top w:w="0" w:type="dxa"/>
              <w:left w:w="108" w:type="dxa"/>
              <w:bottom w:w="0" w:type="dxa"/>
              <w:right w:w="108" w:type="dxa"/>
            </w:tcMar>
            <w:vAlign w:val="center"/>
          </w:tcPr>
          <w:p w14:paraId="04819E88" w14:textId="434A2E33" w:rsidR="00763870" w:rsidRPr="00623E43" w:rsidRDefault="00763870" w:rsidP="00763870">
            <w:pPr>
              <w:spacing w:after="0"/>
              <w:rPr>
                <w:sz w:val="20"/>
                <w:szCs w:val="20"/>
              </w:rPr>
            </w:pPr>
            <w:r w:rsidRPr="00623E43">
              <w:rPr>
                <w:sz w:val="20"/>
                <w:szCs w:val="20"/>
              </w:rPr>
              <w:t>Five Year Anniversary Price Reduction</w:t>
            </w:r>
          </w:p>
        </w:tc>
      </w:tr>
      <w:tr w:rsidR="00763870" w:rsidRPr="00623E43" w14:paraId="0C13EB1E" w14:textId="77777777" w:rsidTr="00763870">
        <w:trPr>
          <w:trHeight w:val="300"/>
        </w:trPr>
        <w:tc>
          <w:tcPr>
            <w:tcW w:w="1806" w:type="dxa"/>
            <w:noWrap/>
            <w:tcMar>
              <w:top w:w="0" w:type="dxa"/>
              <w:left w:w="108" w:type="dxa"/>
              <w:bottom w:w="0" w:type="dxa"/>
              <w:right w:w="108" w:type="dxa"/>
            </w:tcMar>
            <w:vAlign w:val="center"/>
          </w:tcPr>
          <w:p w14:paraId="07092D20" w14:textId="1E143CE4" w:rsidR="00763870" w:rsidRPr="00623E43" w:rsidRDefault="00763870" w:rsidP="00763870">
            <w:pPr>
              <w:spacing w:after="0"/>
              <w:rPr>
                <w:sz w:val="20"/>
                <w:szCs w:val="20"/>
              </w:rPr>
            </w:pPr>
            <w:r>
              <w:rPr>
                <w:rFonts w:ascii="Calibri" w:hAnsi="Calibri" w:cs="Calibri"/>
                <w:color w:val="000000"/>
                <w:sz w:val="20"/>
                <w:szCs w:val="20"/>
              </w:rPr>
              <w:t>01 April 2016</w:t>
            </w:r>
          </w:p>
        </w:tc>
        <w:tc>
          <w:tcPr>
            <w:tcW w:w="1471" w:type="dxa"/>
            <w:vAlign w:val="center"/>
          </w:tcPr>
          <w:p w14:paraId="0614E67E" w14:textId="156DE10C" w:rsidR="00763870" w:rsidRDefault="00763870" w:rsidP="00763870">
            <w:pPr>
              <w:spacing w:after="0"/>
              <w:ind w:left="144"/>
              <w:rPr>
                <w:sz w:val="20"/>
                <w:szCs w:val="20"/>
              </w:rPr>
            </w:pPr>
            <w:r>
              <w:rPr>
                <w:sz w:val="20"/>
                <w:szCs w:val="20"/>
              </w:rPr>
              <w:t>Dasatinib</w:t>
            </w:r>
          </w:p>
        </w:tc>
        <w:tc>
          <w:tcPr>
            <w:tcW w:w="2268" w:type="dxa"/>
            <w:noWrap/>
            <w:tcMar>
              <w:top w:w="0" w:type="dxa"/>
              <w:left w:w="108" w:type="dxa"/>
              <w:bottom w:w="0" w:type="dxa"/>
              <w:right w:w="108" w:type="dxa"/>
            </w:tcMar>
            <w:vAlign w:val="center"/>
          </w:tcPr>
          <w:p w14:paraId="6ADB1649" w14:textId="317E75C7" w:rsidR="00763870" w:rsidRPr="00623E43" w:rsidRDefault="00763870" w:rsidP="00763870">
            <w:pPr>
              <w:spacing w:after="0"/>
              <w:jc w:val="right"/>
              <w:rPr>
                <w:sz w:val="20"/>
                <w:szCs w:val="20"/>
              </w:rPr>
            </w:pPr>
            <w:r w:rsidRPr="00623E43">
              <w:rPr>
                <w:sz w:val="20"/>
                <w:szCs w:val="20"/>
              </w:rPr>
              <w:t>5%</w:t>
            </w:r>
          </w:p>
        </w:tc>
        <w:tc>
          <w:tcPr>
            <w:tcW w:w="3625" w:type="dxa"/>
            <w:tcMar>
              <w:top w:w="0" w:type="dxa"/>
              <w:left w:w="108" w:type="dxa"/>
              <w:bottom w:w="0" w:type="dxa"/>
              <w:right w:w="108" w:type="dxa"/>
            </w:tcMar>
            <w:vAlign w:val="center"/>
          </w:tcPr>
          <w:p w14:paraId="71F2D64B" w14:textId="5B792C3B" w:rsidR="00763870" w:rsidRPr="00623E43" w:rsidRDefault="00763870" w:rsidP="00763870">
            <w:pPr>
              <w:spacing w:after="0"/>
              <w:rPr>
                <w:sz w:val="20"/>
                <w:szCs w:val="20"/>
              </w:rPr>
            </w:pPr>
            <w:r w:rsidRPr="00623E43">
              <w:rPr>
                <w:sz w:val="20"/>
                <w:szCs w:val="20"/>
              </w:rPr>
              <w:t>Five Year Anniversary Price Reduction</w:t>
            </w:r>
          </w:p>
        </w:tc>
      </w:tr>
      <w:tr w:rsidR="00763870" w:rsidRPr="00623E43" w14:paraId="59954984" w14:textId="77777777" w:rsidTr="00763870">
        <w:trPr>
          <w:trHeight w:val="300"/>
        </w:trPr>
        <w:tc>
          <w:tcPr>
            <w:tcW w:w="1806" w:type="dxa"/>
            <w:noWrap/>
            <w:tcMar>
              <w:top w:w="0" w:type="dxa"/>
              <w:left w:w="108" w:type="dxa"/>
              <w:bottom w:w="0" w:type="dxa"/>
              <w:right w:w="108" w:type="dxa"/>
            </w:tcMar>
            <w:vAlign w:val="center"/>
            <w:hideMark/>
          </w:tcPr>
          <w:p w14:paraId="55E84CF7" w14:textId="1724E6DE" w:rsidR="00763870" w:rsidRPr="00623E43" w:rsidRDefault="00763870" w:rsidP="00763870">
            <w:pPr>
              <w:spacing w:after="0"/>
              <w:rPr>
                <w:sz w:val="20"/>
                <w:szCs w:val="20"/>
              </w:rPr>
            </w:pPr>
            <w:r>
              <w:rPr>
                <w:rFonts w:ascii="Calibri" w:hAnsi="Calibri" w:cs="Calibri"/>
                <w:color w:val="000000"/>
                <w:sz w:val="20"/>
                <w:szCs w:val="20"/>
              </w:rPr>
              <w:t>01 October 2016</w:t>
            </w:r>
          </w:p>
        </w:tc>
        <w:tc>
          <w:tcPr>
            <w:tcW w:w="1471" w:type="dxa"/>
            <w:vAlign w:val="center"/>
          </w:tcPr>
          <w:p w14:paraId="7F3A143D" w14:textId="5CC80286" w:rsidR="00763870" w:rsidRPr="00623E43" w:rsidRDefault="00763870" w:rsidP="00763870">
            <w:pPr>
              <w:spacing w:after="0"/>
              <w:ind w:left="144"/>
              <w:rPr>
                <w:sz w:val="20"/>
                <w:szCs w:val="20"/>
              </w:rPr>
            </w:pPr>
            <w:r>
              <w:rPr>
                <w:sz w:val="20"/>
                <w:szCs w:val="20"/>
              </w:rPr>
              <w:t>Imatinib</w:t>
            </w:r>
          </w:p>
        </w:tc>
        <w:tc>
          <w:tcPr>
            <w:tcW w:w="2268" w:type="dxa"/>
            <w:noWrap/>
            <w:tcMar>
              <w:top w:w="0" w:type="dxa"/>
              <w:left w:w="108" w:type="dxa"/>
              <w:bottom w:w="0" w:type="dxa"/>
              <w:right w:w="108" w:type="dxa"/>
            </w:tcMar>
            <w:vAlign w:val="center"/>
            <w:hideMark/>
          </w:tcPr>
          <w:p w14:paraId="4BDD966B" w14:textId="7FCD3A14" w:rsidR="00763870" w:rsidRPr="00623E43" w:rsidRDefault="00763870" w:rsidP="00763870">
            <w:pPr>
              <w:spacing w:after="0"/>
              <w:jc w:val="right"/>
              <w:rPr>
                <w:sz w:val="20"/>
                <w:szCs w:val="20"/>
              </w:rPr>
            </w:pPr>
            <w:r w:rsidRPr="00623E43">
              <w:rPr>
                <w:sz w:val="20"/>
                <w:szCs w:val="20"/>
              </w:rPr>
              <w:t>16%</w:t>
            </w:r>
          </w:p>
        </w:tc>
        <w:tc>
          <w:tcPr>
            <w:tcW w:w="3625" w:type="dxa"/>
            <w:tcMar>
              <w:top w:w="0" w:type="dxa"/>
              <w:left w:w="108" w:type="dxa"/>
              <w:bottom w:w="0" w:type="dxa"/>
              <w:right w:w="108" w:type="dxa"/>
            </w:tcMar>
            <w:vAlign w:val="center"/>
            <w:hideMark/>
          </w:tcPr>
          <w:p w14:paraId="4F4D0A69" w14:textId="77777777" w:rsidR="00763870" w:rsidRPr="00623E43" w:rsidRDefault="00763870" w:rsidP="00763870">
            <w:pPr>
              <w:spacing w:after="0"/>
              <w:rPr>
                <w:sz w:val="20"/>
                <w:szCs w:val="20"/>
              </w:rPr>
            </w:pPr>
            <w:r w:rsidRPr="00623E43">
              <w:rPr>
                <w:sz w:val="20"/>
                <w:szCs w:val="20"/>
              </w:rPr>
              <w:t>First New Brand Price Reduction</w:t>
            </w:r>
          </w:p>
        </w:tc>
      </w:tr>
      <w:tr w:rsidR="00763870" w:rsidRPr="00623E43" w14:paraId="35C89916" w14:textId="77777777" w:rsidTr="00763870">
        <w:trPr>
          <w:trHeight w:val="300"/>
        </w:trPr>
        <w:tc>
          <w:tcPr>
            <w:tcW w:w="1806" w:type="dxa"/>
            <w:noWrap/>
            <w:tcMar>
              <w:top w:w="0" w:type="dxa"/>
              <w:left w:w="108" w:type="dxa"/>
              <w:bottom w:w="0" w:type="dxa"/>
              <w:right w:w="108" w:type="dxa"/>
            </w:tcMar>
            <w:vAlign w:val="center"/>
            <w:hideMark/>
          </w:tcPr>
          <w:p w14:paraId="224982F9" w14:textId="01C25C7A" w:rsidR="00763870" w:rsidRPr="00623E43" w:rsidRDefault="00763870" w:rsidP="00763870">
            <w:pPr>
              <w:spacing w:after="0"/>
              <w:rPr>
                <w:sz w:val="20"/>
                <w:szCs w:val="20"/>
              </w:rPr>
            </w:pPr>
            <w:r>
              <w:rPr>
                <w:rFonts w:ascii="Calibri" w:hAnsi="Calibri" w:cs="Calibri"/>
                <w:color w:val="000000"/>
                <w:sz w:val="20"/>
                <w:szCs w:val="20"/>
              </w:rPr>
              <w:t>01 October 2017</w:t>
            </w:r>
          </w:p>
        </w:tc>
        <w:tc>
          <w:tcPr>
            <w:tcW w:w="1471" w:type="dxa"/>
            <w:vAlign w:val="center"/>
          </w:tcPr>
          <w:p w14:paraId="6A072A1F" w14:textId="1E5FAEED" w:rsidR="00763870" w:rsidRPr="00623E43" w:rsidRDefault="00763870" w:rsidP="00763870">
            <w:pPr>
              <w:spacing w:after="0"/>
              <w:ind w:left="144"/>
              <w:rPr>
                <w:sz w:val="20"/>
                <w:szCs w:val="20"/>
              </w:rPr>
            </w:pPr>
            <w:r>
              <w:rPr>
                <w:sz w:val="20"/>
                <w:szCs w:val="20"/>
              </w:rPr>
              <w:t>Imatinib</w:t>
            </w:r>
          </w:p>
        </w:tc>
        <w:tc>
          <w:tcPr>
            <w:tcW w:w="2268" w:type="dxa"/>
            <w:noWrap/>
            <w:tcMar>
              <w:top w:w="0" w:type="dxa"/>
              <w:left w:w="108" w:type="dxa"/>
              <w:bottom w:w="0" w:type="dxa"/>
              <w:right w:w="108" w:type="dxa"/>
            </w:tcMar>
            <w:vAlign w:val="center"/>
            <w:hideMark/>
          </w:tcPr>
          <w:p w14:paraId="793243C6" w14:textId="7227557A" w:rsidR="00763870" w:rsidRPr="00623E43" w:rsidRDefault="00763870" w:rsidP="00763870">
            <w:pPr>
              <w:spacing w:after="0"/>
              <w:jc w:val="right"/>
              <w:rPr>
                <w:sz w:val="20"/>
                <w:szCs w:val="20"/>
              </w:rPr>
            </w:pPr>
            <w:r w:rsidRPr="00623E43">
              <w:rPr>
                <w:sz w:val="20"/>
                <w:szCs w:val="20"/>
              </w:rPr>
              <w:t>19.39%</w:t>
            </w:r>
          </w:p>
        </w:tc>
        <w:tc>
          <w:tcPr>
            <w:tcW w:w="3625" w:type="dxa"/>
            <w:tcMar>
              <w:top w:w="0" w:type="dxa"/>
              <w:left w:w="108" w:type="dxa"/>
              <w:bottom w:w="0" w:type="dxa"/>
              <w:right w:w="108" w:type="dxa"/>
            </w:tcMar>
            <w:vAlign w:val="center"/>
            <w:hideMark/>
          </w:tcPr>
          <w:p w14:paraId="0FC5E400" w14:textId="77777777" w:rsidR="00763870" w:rsidRPr="00623E43" w:rsidRDefault="00763870" w:rsidP="00763870">
            <w:pPr>
              <w:spacing w:after="0"/>
              <w:rPr>
                <w:sz w:val="20"/>
                <w:szCs w:val="20"/>
              </w:rPr>
            </w:pPr>
            <w:r w:rsidRPr="00623E43">
              <w:rPr>
                <w:sz w:val="20"/>
                <w:szCs w:val="20"/>
              </w:rPr>
              <w:t>Price Disclosure Reduction</w:t>
            </w:r>
          </w:p>
        </w:tc>
      </w:tr>
      <w:tr w:rsidR="004676B1" w:rsidRPr="00623E43" w14:paraId="1854F9F8" w14:textId="77777777" w:rsidTr="008D1878">
        <w:trPr>
          <w:trHeight w:val="300"/>
        </w:trPr>
        <w:tc>
          <w:tcPr>
            <w:tcW w:w="1806" w:type="dxa"/>
            <w:noWrap/>
            <w:tcMar>
              <w:top w:w="0" w:type="dxa"/>
              <w:left w:w="108" w:type="dxa"/>
              <w:bottom w:w="0" w:type="dxa"/>
              <w:right w:w="108" w:type="dxa"/>
            </w:tcMar>
            <w:vAlign w:val="center"/>
          </w:tcPr>
          <w:p w14:paraId="6A5118CF" w14:textId="77777777" w:rsidR="004676B1" w:rsidRPr="00623E43" w:rsidRDefault="004676B1" w:rsidP="008D1878">
            <w:pPr>
              <w:spacing w:after="0"/>
              <w:rPr>
                <w:sz w:val="20"/>
                <w:szCs w:val="20"/>
              </w:rPr>
            </w:pPr>
            <w:r>
              <w:rPr>
                <w:rFonts w:ascii="Calibri" w:hAnsi="Calibri" w:cs="Calibri"/>
                <w:color w:val="000000"/>
                <w:sz w:val="20"/>
                <w:szCs w:val="20"/>
              </w:rPr>
              <w:t>01 June 2018</w:t>
            </w:r>
          </w:p>
        </w:tc>
        <w:tc>
          <w:tcPr>
            <w:tcW w:w="1471" w:type="dxa"/>
            <w:vAlign w:val="center"/>
          </w:tcPr>
          <w:p w14:paraId="4431A114" w14:textId="77777777" w:rsidR="004676B1" w:rsidRDefault="004676B1" w:rsidP="008D1878">
            <w:pPr>
              <w:spacing w:after="0"/>
              <w:ind w:left="144"/>
              <w:rPr>
                <w:sz w:val="20"/>
                <w:szCs w:val="20"/>
              </w:rPr>
            </w:pPr>
            <w:r>
              <w:rPr>
                <w:sz w:val="20"/>
                <w:szCs w:val="20"/>
              </w:rPr>
              <w:t>Dasatinib</w:t>
            </w:r>
          </w:p>
        </w:tc>
        <w:tc>
          <w:tcPr>
            <w:tcW w:w="2268" w:type="dxa"/>
            <w:noWrap/>
            <w:tcMar>
              <w:top w:w="0" w:type="dxa"/>
              <w:left w:w="108" w:type="dxa"/>
              <w:bottom w:w="0" w:type="dxa"/>
              <w:right w:w="108" w:type="dxa"/>
            </w:tcMar>
            <w:vAlign w:val="center"/>
          </w:tcPr>
          <w:p w14:paraId="3EFD5AFA" w14:textId="77777777" w:rsidR="004676B1" w:rsidRPr="00623E43" w:rsidRDefault="004676B1" w:rsidP="008D1878">
            <w:pPr>
              <w:spacing w:after="0"/>
              <w:jc w:val="right"/>
              <w:rPr>
                <w:sz w:val="20"/>
                <w:szCs w:val="20"/>
              </w:rPr>
            </w:pPr>
            <w:r>
              <w:rPr>
                <w:sz w:val="20"/>
                <w:szCs w:val="20"/>
              </w:rPr>
              <w:t>10</w:t>
            </w:r>
            <w:r w:rsidRPr="00623E43">
              <w:rPr>
                <w:sz w:val="20"/>
                <w:szCs w:val="20"/>
              </w:rPr>
              <w:t>%</w:t>
            </w:r>
          </w:p>
        </w:tc>
        <w:tc>
          <w:tcPr>
            <w:tcW w:w="3625" w:type="dxa"/>
            <w:tcMar>
              <w:top w:w="0" w:type="dxa"/>
              <w:left w:w="108" w:type="dxa"/>
              <w:bottom w:w="0" w:type="dxa"/>
              <w:right w:w="108" w:type="dxa"/>
            </w:tcMar>
            <w:vAlign w:val="center"/>
          </w:tcPr>
          <w:p w14:paraId="1897F314" w14:textId="77777777" w:rsidR="004676B1" w:rsidRPr="00623E43" w:rsidRDefault="004676B1" w:rsidP="008D1878">
            <w:pPr>
              <w:spacing w:after="0"/>
              <w:rPr>
                <w:sz w:val="20"/>
                <w:szCs w:val="20"/>
              </w:rPr>
            </w:pPr>
            <w:r>
              <w:rPr>
                <w:sz w:val="20"/>
                <w:szCs w:val="20"/>
              </w:rPr>
              <w:t>Ten</w:t>
            </w:r>
            <w:r w:rsidRPr="00623E43">
              <w:rPr>
                <w:sz w:val="20"/>
                <w:szCs w:val="20"/>
              </w:rPr>
              <w:t xml:space="preserve"> Year Anniversary Price Reduction</w:t>
            </w:r>
          </w:p>
        </w:tc>
      </w:tr>
      <w:tr w:rsidR="004676B1" w:rsidRPr="00623E43" w14:paraId="4FD80804" w14:textId="77777777" w:rsidTr="00611C42">
        <w:trPr>
          <w:trHeight w:val="300"/>
        </w:trPr>
        <w:tc>
          <w:tcPr>
            <w:tcW w:w="1806" w:type="dxa"/>
            <w:noWrap/>
            <w:tcMar>
              <w:top w:w="0" w:type="dxa"/>
              <w:left w:w="108" w:type="dxa"/>
              <w:bottom w:w="0" w:type="dxa"/>
              <w:right w:w="108" w:type="dxa"/>
            </w:tcMar>
            <w:vAlign w:val="center"/>
          </w:tcPr>
          <w:p w14:paraId="7F1AB34F" w14:textId="0F0E37E8" w:rsidR="004676B1" w:rsidRPr="00623E43" w:rsidRDefault="004676B1" w:rsidP="004676B1">
            <w:pPr>
              <w:spacing w:after="0"/>
              <w:rPr>
                <w:sz w:val="20"/>
                <w:szCs w:val="20"/>
              </w:rPr>
            </w:pPr>
            <w:r>
              <w:rPr>
                <w:rFonts w:ascii="Calibri" w:hAnsi="Calibri" w:cs="Calibri"/>
                <w:color w:val="000000"/>
                <w:sz w:val="20"/>
                <w:szCs w:val="20"/>
              </w:rPr>
              <w:t>01 October 2018</w:t>
            </w:r>
          </w:p>
        </w:tc>
        <w:tc>
          <w:tcPr>
            <w:tcW w:w="1471" w:type="dxa"/>
            <w:vAlign w:val="center"/>
          </w:tcPr>
          <w:p w14:paraId="3E5DCE04" w14:textId="2F8389B0" w:rsidR="004676B1" w:rsidRDefault="004676B1" w:rsidP="004676B1">
            <w:pPr>
              <w:spacing w:after="0"/>
              <w:ind w:left="144"/>
              <w:rPr>
                <w:sz w:val="20"/>
                <w:szCs w:val="20"/>
              </w:rPr>
            </w:pPr>
            <w:r>
              <w:rPr>
                <w:sz w:val="20"/>
                <w:szCs w:val="20"/>
              </w:rPr>
              <w:t>Imatinib</w:t>
            </w:r>
          </w:p>
        </w:tc>
        <w:tc>
          <w:tcPr>
            <w:tcW w:w="2268" w:type="dxa"/>
            <w:noWrap/>
            <w:tcMar>
              <w:top w:w="0" w:type="dxa"/>
              <w:left w:w="108" w:type="dxa"/>
              <w:bottom w:w="0" w:type="dxa"/>
              <w:right w:w="108" w:type="dxa"/>
            </w:tcMar>
            <w:vAlign w:val="center"/>
          </w:tcPr>
          <w:p w14:paraId="2FB55415" w14:textId="6445E693" w:rsidR="004676B1" w:rsidRPr="00623E43" w:rsidRDefault="004676B1" w:rsidP="004676B1">
            <w:pPr>
              <w:spacing w:after="0"/>
              <w:jc w:val="right"/>
              <w:rPr>
                <w:sz w:val="20"/>
                <w:szCs w:val="20"/>
              </w:rPr>
            </w:pPr>
            <w:r w:rsidRPr="00623E43">
              <w:rPr>
                <w:sz w:val="20"/>
                <w:szCs w:val="20"/>
              </w:rPr>
              <w:t>27.15%</w:t>
            </w:r>
          </w:p>
        </w:tc>
        <w:tc>
          <w:tcPr>
            <w:tcW w:w="3625" w:type="dxa"/>
            <w:tcMar>
              <w:top w:w="0" w:type="dxa"/>
              <w:left w:w="108" w:type="dxa"/>
              <w:bottom w:w="0" w:type="dxa"/>
              <w:right w:w="108" w:type="dxa"/>
            </w:tcMar>
            <w:vAlign w:val="center"/>
          </w:tcPr>
          <w:p w14:paraId="5A67814B" w14:textId="68AB73BC" w:rsidR="004676B1" w:rsidRPr="00623E43" w:rsidRDefault="004676B1" w:rsidP="004676B1">
            <w:pPr>
              <w:spacing w:after="0"/>
              <w:rPr>
                <w:sz w:val="20"/>
                <w:szCs w:val="20"/>
              </w:rPr>
            </w:pPr>
            <w:r w:rsidRPr="00623E43">
              <w:rPr>
                <w:sz w:val="20"/>
                <w:szCs w:val="20"/>
              </w:rPr>
              <w:t>Price Disclosure Reduction</w:t>
            </w:r>
          </w:p>
        </w:tc>
      </w:tr>
      <w:tr w:rsidR="004676B1" w:rsidRPr="00623E43" w14:paraId="324C9E35" w14:textId="77777777" w:rsidTr="00611C42">
        <w:trPr>
          <w:trHeight w:val="300"/>
        </w:trPr>
        <w:tc>
          <w:tcPr>
            <w:tcW w:w="1806" w:type="dxa"/>
            <w:noWrap/>
            <w:tcMar>
              <w:top w:w="0" w:type="dxa"/>
              <w:left w:w="108" w:type="dxa"/>
              <w:bottom w:w="0" w:type="dxa"/>
              <w:right w:w="108" w:type="dxa"/>
            </w:tcMar>
            <w:vAlign w:val="center"/>
          </w:tcPr>
          <w:p w14:paraId="4D483C50" w14:textId="46A49808" w:rsidR="004676B1" w:rsidRDefault="004676B1" w:rsidP="004676B1">
            <w:pPr>
              <w:spacing w:after="0"/>
              <w:rPr>
                <w:rFonts w:ascii="Calibri" w:hAnsi="Calibri" w:cs="Calibri"/>
                <w:color w:val="000000"/>
                <w:sz w:val="20"/>
                <w:szCs w:val="20"/>
              </w:rPr>
            </w:pPr>
            <w:r>
              <w:rPr>
                <w:rFonts w:ascii="Calibri" w:hAnsi="Calibri" w:cs="Calibri"/>
                <w:color w:val="000000"/>
                <w:sz w:val="20"/>
                <w:szCs w:val="20"/>
              </w:rPr>
              <w:t>01 April 2019</w:t>
            </w:r>
          </w:p>
        </w:tc>
        <w:tc>
          <w:tcPr>
            <w:tcW w:w="1471" w:type="dxa"/>
            <w:vAlign w:val="center"/>
          </w:tcPr>
          <w:p w14:paraId="673EB914" w14:textId="33695648" w:rsidR="004676B1" w:rsidRDefault="004676B1" w:rsidP="004676B1">
            <w:pPr>
              <w:spacing w:after="0"/>
              <w:ind w:left="144"/>
              <w:rPr>
                <w:sz w:val="20"/>
                <w:szCs w:val="20"/>
              </w:rPr>
            </w:pPr>
            <w:r>
              <w:rPr>
                <w:sz w:val="20"/>
                <w:szCs w:val="20"/>
              </w:rPr>
              <w:t>Nilotinib</w:t>
            </w:r>
          </w:p>
        </w:tc>
        <w:tc>
          <w:tcPr>
            <w:tcW w:w="2268" w:type="dxa"/>
            <w:noWrap/>
            <w:tcMar>
              <w:top w:w="0" w:type="dxa"/>
              <w:left w:w="108" w:type="dxa"/>
              <w:bottom w:w="0" w:type="dxa"/>
              <w:right w:w="108" w:type="dxa"/>
            </w:tcMar>
            <w:vAlign w:val="center"/>
          </w:tcPr>
          <w:p w14:paraId="6C4F234F" w14:textId="6B1FC6CB" w:rsidR="004676B1" w:rsidRPr="00623E43" w:rsidRDefault="004676B1" w:rsidP="004676B1">
            <w:pPr>
              <w:spacing w:after="0"/>
              <w:jc w:val="right"/>
              <w:rPr>
                <w:sz w:val="20"/>
                <w:szCs w:val="20"/>
              </w:rPr>
            </w:pPr>
            <w:r>
              <w:rPr>
                <w:sz w:val="20"/>
                <w:szCs w:val="20"/>
              </w:rPr>
              <w:t>10</w:t>
            </w:r>
            <w:r w:rsidRPr="00623E43">
              <w:rPr>
                <w:sz w:val="20"/>
                <w:szCs w:val="20"/>
              </w:rPr>
              <w:t>%</w:t>
            </w:r>
          </w:p>
        </w:tc>
        <w:tc>
          <w:tcPr>
            <w:tcW w:w="3625" w:type="dxa"/>
            <w:tcMar>
              <w:top w:w="0" w:type="dxa"/>
              <w:left w:w="108" w:type="dxa"/>
              <w:bottom w:w="0" w:type="dxa"/>
              <w:right w:w="108" w:type="dxa"/>
            </w:tcMar>
            <w:vAlign w:val="center"/>
          </w:tcPr>
          <w:p w14:paraId="330A6EE2" w14:textId="3D1A5441" w:rsidR="004676B1" w:rsidRPr="00623E43" w:rsidRDefault="004676B1" w:rsidP="004676B1">
            <w:pPr>
              <w:spacing w:after="0"/>
              <w:rPr>
                <w:sz w:val="20"/>
                <w:szCs w:val="20"/>
              </w:rPr>
            </w:pPr>
            <w:r>
              <w:rPr>
                <w:sz w:val="20"/>
                <w:szCs w:val="20"/>
              </w:rPr>
              <w:t>Ten</w:t>
            </w:r>
            <w:r w:rsidRPr="00623E43">
              <w:rPr>
                <w:sz w:val="20"/>
                <w:szCs w:val="20"/>
              </w:rPr>
              <w:t xml:space="preserve"> Year Anniversary Price Reduction</w:t>
            </w:r>
          </w:p>
        </w:tc>
      </w:tr>
      <w:tr w:rsidR="004676B1" w:rsidRPr="00623E43" w14:paraId="7433FAAB" w14:textId="77777777" w:rsidTr="00763870">
        <w:trPr>
          <w:trHeight w:val="300"/>
        </w:trPr>
        <w:tc>
          <w:tcPr>
            <w:tcW w:w="1806" w:type="dxa"/>
            <w:noWrap/>
            <w:tcMar>
              <w:top w:w="0" w:type="dxa"/>
              <w:left w:w="108" w:type="dxa"/>
              <w:bottom w:w="0" w:type="dxa"/>
              <w:right w:w="108" w:type="dxa"/>
            </w:tcMar>
            <w:vAlign w:val="center"/>
            <w:hideMark/>
          </w:tcPr>
          <w:p w14:paraId="6CB9EE6D" w14:textId="0469FF26" w:rsidR="004676B1" w:rsidRPr="00623E43" w:rsidRDefault="004676B1" w:rsidP="004676B1">
            <w:pPr>
              <w:spacing w:after="0"/>
              <w:rPr>
                <w:sz w:val="20"/>
                <w:szCs w:val="20"/>
              </w:rPr>
            </w:pPr>
            <w:r>
              <w:rPr>
                <w:rFonts w:ascii="Calibri" w:hAnsi="Calibri" w:cs="Calibri"/>
                <w:color w:val="000000"/>
                <w:sz w:val="20"/>
                <w:szCs w:val="20"/>
              </w:rPr>
              <w:t>01 October 2019</w:t>
            </w:r>
          </w:p>
        </w:tc>
        <w:tc>
          <w:tcPr>
            <w:tcW w:w="1471" w:type="dxa"/>
            <w:vAlign w:val="center"/>
          </w:tcPr>
          <w:p w14:paraId="4DF52A40" w14:textId="1D133160" w:rsidR="004676B1" w:rsidRPr="00623E43" w:rsidRDefault="004676B1" w:rsidP="004676B1">
            <w:pPr>
              <w:spacing w:after="0"/>
              <w:ind w:left="144"/>
              <w:rPr>
                <w:sz w:val="20"/>
                <w:szCs w:val="20"/>
              </w:rPr>
            </w:pPr>
            <w:r>
              <w:rPr>
                <w:sz w:val="20"/>
                <w:szCs w:val="20"/>
              </w:rPr>
              <w:t>Imatinib</w:t>
            </w:r>
          </w:p>
        </w:tc>
        <w:tc>
          <w:tcPr>
            <w:tcW w:w="2268" w:type="dxa"/>
            <w:noWrap/>
            <w:tcMar>
              <w:top w:w="0" w:type="dxa"/>
              <w:left w:w="108" w:type="dxa"/>
              <w:bottom w:w="0" w:type="dxa"/>
              <w:right w:w="108" w:type="dxa"/>
            </w:tcMar>
            <w:vAlign w:val="center"/>
            <w:hideMark/>
          </w:tcPr>
          <w:p w14:paraId="33FCBADE" w14:textId="0ADCA6BC" w:rsidR="004676B1" w:rsidRPr="00623E43" w:rsidRDefault="004676B1" w:rsidP="004676B1">
            <w:pPr>
              <w:spacing w:after="0"/>
              <w:jc w:val="right"/>
              <w:rPr>
                <w:sz w:val="20"/>
                <w:szCs w:val="20"/>
              </w:rPr>
            </w:pPr>
            <w:r w:rsidRPr="00623E43">
              <w:rPr>
                <w:sz w:val="20"/>
                <w:szCs w:val="20"/>
              </w:rPr>
              <w:t>21.71%</w:t>
            </w:r>
          </w:p>
        </w:tc>
        <w:tc>
          <w:tcPr>
            <w:tcW w:w="3625" w:type="dxa"/>
            <w:tcMar>
              <w:top w:w="0" w:type="dxa"/>
              <w:left w:w="108" w:type="dxa"/>
              <w:bottom w:w="0" w:type="dxa"/>
              <w:right w:w="108" w:type="dxa"/>
            </w:tcMar>
            <w:vAlign w:val="center"/>
            <w:hideMark/>
          </w:tcPr>
          <w:p w14:paraId="7E934E68" w14:textId="77777777" w:rsidR="004676B1" w:rsidRPr="00623E43" w:rsidRDefault="004676B1" w:rsidP="004676B1">
            <w:pPr>
              <w:spacing w:after="0"/>
              <w:rPr>
                <w:sz w:val="20"/>
                <w:szCs w:val="20"/>
              </w:rPr>
            </w:pPr>
            <w:r w:rsidRPr="00623E43">
              <w:rPr>
                <w:sz w:val="20"/>
                <w:szCs w:val="20"/>
              </w:rPr>
              <w:t>Price Disclosure Reduction</w:t>
            </w:r>
          </w:p>
        </w:tc>
      </w:tr>
    </w:tbl>
    <w:p w14:paraId="324760B8" w14:textId="7C7F7571" w:rsidR="00623E43" w:rsidRDefault="0056578F" w:rsidP="0056578F">
      <w:pPr>
        <w:pStyle w:val="Notes"/>
      </w:pPr>
      <w:r>
        <w:t xml:space="preserve">Source: </w:t>
      </w:r>
      <w:r w:rsidRPr="0056578F">
        <w:t>PBS Price Changes Section</w:t>
      </w:r>
      <w:r>
        <w:t>, Pricing and PBS Policy Branch,</w:t>
      </w:r>
      <w:r w:rsidRPr="0056578F">
        <w:t xml:space="preserve"> Technology Assessment and Access Division</w:t>
      </w:r>
      <w:r>
        <w:t>, Department of Health</w:t>
      </w:r>
    </w:p>
    <w:p w14:paraId="7595D1DF" w14:textId="77777777" w:rsidR="00874A15" w:rsidRDefault="00874A15">
      <w:pPr>
        <w:spacing w:line="276" w:lineRule="auto"/>
        <w:rPr>
          <w:b/>
          <w:sz w:val="28"/>
        </w:rPr>
      </w:pPr>
      <w:r>
        <w:br w:type="page"/>
      </w:r>
    </w:p>
    <w:p w14:paraId="7B7933E9" w14:textId="0201926B" w:rsidR="00123C9C" w:rsidRPr="00123C9C" w:rsidRDefault="00D151EB" w:rsidP="00123C9C">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6AA7523F" w14:textId="6C96B780" w:rsidR="00277BF5" w:rsidRDefault="00277BF5" w:rsidP="00277BF5">
      <w:pPr>
        <w:pStyle w:val="Heading3"/>
      </w:pPr>
      <w:r>
        <w:t>Approach taken to estimate utilisation</w:t>
      </w:r>
      <w:r w:rsidR="00114C5C">
        <w:t xml:space="preserve"> of ponatinib</w:t>
      </w:r>
    </w:p>
    <w:p w14:paraId="4F4FA735" w14:textId="7C8A6AB1" w:rsidR="00DC49E9" w:rsidRDefault="005E3A54" w:rsidP="00A35800">
      <w:r>
        <w:t xml:space="preserve">The submission used a </w:t>
      </w:r>
      <w:r w:rsidR="003D7A0A">
        <w:t xml:space="preserve">mixed epidemiological and </w:t>
      </w:r>
      <w:r>
        <w:t xml:space="preserve">market share </w:t>
      </w:r>
      <w:r w:rsidR="00560680" w:rsidRPr="00560680">
        <w:t xml:space="preserve">approach to </w:t>
      </w:r>
      <w:r w:rsidR="00560680">
        <w:t xml:space="preserve">estimate the </w:t>
      </w:r>
      <w:r>
        <w:t>utilisation and cost</w:t>
      </w:r>
      <w:r w:rsidR="00560680">
        <w:t xml:space="preserve"> of the ponatinib. </w:t>
      </w:r>
      <w:r w:rsidR="00CA2F99">
        <w:t xml:space="preserve">The submission used PBS prescription data published by </w:t>
      </w:r>
      <w:r w:rsidR="00733564">
        <w:t>the Department of Human Services</w:t>
      </w:r>
      <w:r w:rsidR="00114C5C">
        <w:t xml:space="preserve"> </w:t>
      </w:r>
      <w:r w:rsidR="00CA2F99">
        <w:t>to predict which first line therapy patients receive. The number of patients who failed previous lines of therapy, had the T315I mutation, and the number who were resistant or intolerant were estimated using published sources.</w:t>
      </w:r>
    </w:p>
    <w:p w14:paraId="20A3A560" w14:textId="2580C447" w:rsidR="00874A15" w:rsidRPr="00560680" w:rsidRDefault="00874A15" w:rsidP="00A35800">
      <w:r>
        <w:t xml:space="preserve">The estimates for ponatinib were presented in calendar years, so although it </w:t>
      </w:r>
      <w:r w:rsidR="00957556">
        <w:t xml:space="preserve">was PBS </w:t>
      </w:r>
      <w:r>
        <w:t xml:space="preserve">listed </w:t>
      </w:r>
      <w:r w:rsidR="00957556">
        <w:t>on 1 </w:t>
      </w:r>
      <w:r>
        <w:t>November 2015 the predicted versus actual review compares calendar years from 2016.</w:t>
      </w:r>
    </w:p>
    <w:p w14:paraId="55A21E91" w14:textId="6F3F1071" w:rsidR="00277BF5" w:rsidRDefault="00277BF5" w:rsidP="00277BF5">
      <w:pPr>
        <w:pStyle w:val="Heading3"/>
      </w:pPr>
      <w:r>
        <w:t>A</w:t>
      </w:r>
      <w:r w:rsidRPr="005E22C2">
        <w:t xml:space="preserve">ctual versus </w:t>
      </w:r>
      <w:r>
        <w:t>p</w:t>
      </w:r>
      <w:r w:rsidRPr="005E22C2">
        <w:t xml:space="preserve">redicted </w:t>
      </w:r>
      <w:r>
        <w:t>u</w:t>
      </w:r>
      <w:r w:rsidRPr="005E22C2">
        <w:t>tilisation</w:t>
      </w:r>
    </w:p>
    <w:p w14:paraId="41E14FE5" w14:textId="01C218C3" w:rsidR="00AA7282" w:rsidRPr="00AA7282" w:rsidRDefault="00AA7282" w:rsidP="00AA7282">
      <w:pPr>
        <w:pStyle w:val="Tabletitle"/>
      </w:pPr>
      <w:r w:rsidRPr="00AA7282">
        <w:t xml:space="preserve">Table </w:t>
      </w:r>
      <w:r w:rsidR="001B4FEB">
        <w:t>13</w:t>
      </w:r>
      <w:r w:rsidRPr="00AA7282">
        <w:t>: Predicted versus actual utilisation of ponatinib</w:t>
      </w:r>
    </w:p>
    <w:tbl>
      <w:tblPr>
        <w:tblStyle w:val="TableGrid"/>
        <w:tblW w:w="0" w:type="auto"/>
        <w:tblLook w:val="04A0" w:firstRow="1" w:lastRow="0" w:firstColumn="1" w:lastColumn="0" w:noHBand="0" w:noVBand="1"/>
        <w:tblCaption w:val="Predicted versus actual utilisation of ponatinib"/>
        <w:tblDescription w:val="Predicted versus actual utilisation of ponatinib"/>
      </w:tblPr>
      <w:tblGrid>
        <w:gridCol w:w="1924"/>
        <w:gridCol w:w="1731"/>
        <w:gridCol w:w="1764"/>
        <w:gridCol w:w="1764"/>
        <w:gridCol w:w="1764"/>
      </w:tblGrid>
      <w:tr w:rsidR="00560680" w:rsidRPr="0056578F" w14:paraId="553102FB" w14:textId="77777777" w:rsidTr="00575C98">
        <w:trPr>
          <w:trHeight w:val="300"/>
          <w:tblHeader/>
        </w:trPr>
        <w:tc>
          <w:tcPr>
            <w:tcW w:w="1974" w:type="dxa"/>
            <w:shd w:val="clear" w:color="auto" w:fill="BFBFBF" w:themeFill="background1" w:themeFillShade="BF"/>
            <w:noWrap/>
            <w:vAlign w:val="center"/>
            <w:hideMark/>
          </w:tcPr>
          <w:p w14:paraId="6F016C13" w14:textId="77777777" w:rsidR="00560680" w:rsidRPr="0056578F" w:rsidRDefault="00560680" w:rsidP="00A03F9A">
            <w:pPr>
              <w:jc w:val="center"/>
              <w:rPr>
                <w:b/>
                <w:sz w:val="20"/>
                <w:szCs w:val="20"/>
              </w:rPr>
            </w:pPr>
          </w:p>
        </w:tc>
        <w:tc>
          <w:tcPr>
            <w:tcW w:w="1775" w:type="dxa"/>
            <w:shd w:val="clear" w:color="auto" w:fill="BFBFBF" w:themeFill="background1" w:themeFillShade="BF"/>
            <w:noWrap/>
            <w:vAlign w:val="center"/>
            <w:hideMark/>
          </w:tcPr>
          <w:p w14:paraId="249BFEC7" w14:textId="77777777" w:rsidR="00560680" w:rsidRPr="0056578F" w:rsidRDefault="00560680" w:rsidP="00A03F9A">
            <w:pPr>
              <w:jc w:val="center"/>
              <w:rPr>
                <w:b/>
                <w:sz w:val="20"/>
                <w:szCs w:val="20"/>
              </w:rPr>
            </w:pPr>
          </w:p>
        </w:tc>
        <w:tc>
          <w:tcPr>
            <w:tcW w:w="1808" w:type="dxa"/>
            <w:shd w:val="clear" w:color="auto" w:fill="BFBFBF" w:themeFill="background1" w:themeFillShade="BF"/>
            <w:noWrap/>
            <w:vAlign w:val="center"/>
            <w:hideMark/>
          </w:tcPr>
          <w:p w14:paraId="0F89E519" w14:textId="77777777" w:rsidR="00560680" w:rsidRPr="0056578F" w:rsidRDefault="00560680" w:rsidP="00A03F9A">
            <w:pPr>
              <w:jc w:val="center"/>
              <w:rPr>
                <w:b/>
                <w:sz w:val="20"/>
                <w:szCs w:val="20"/>
              </w:rPr>
            </w:pPr>
            <w:r w:rsidRPr="0056578F">
              <w:rPr>
                <w:b/>
                <w:sz w:val="20"/>
                <w:szCs w:val="20"/>
              </w:rPr>
              <w:t>Year 1 (2016)</w:t>
            </w:r>
          </w:p>
        </w:tc>
        <w:tc>
          <w:tcPr>
            <w:tcW w:w="1808" w:type="dxa"/>
            <w:shd w:val="clear" w:color="auto" w:fill="BFBFBF" w:themeFill="background1" w:themeFillShade="BF"/>
            <w:noWrap/>
            <w:vAlign w:val="center"/>
            <w:hideMark/>
          </w:tcPr>
          <w:p w14:paraId="3826AA87" w14:textId="77777777" w:rsidR="00560680" w:rsidRPr="0056578F" w:rsidRDefault="00560680" w:rsidP="00A03F9A">
            <w:pPr>
              <w:jc w:val="center"/>
              <w:rPr>
                <w:b/>
                <w:sz w:val="20"/>
                <w:szCs w:val="20"/>
              </w:rPr>
            </w:pPr>
            <w:r w:rsidRPr="0056578F">
              <w:rPr>
                <w:b/>
                <w:sz w:val="20"/>
                <w:szCs w:val="20"/>
              </w:rPr>
              <w:t>Year 2 (2017)</w:t>
            </w:r>
          </w:p>
        </w:tc>
        <w:tc>
          <w:tcPr>
            <w:tcW w:w="1808" w:type="dxa"/>
            <w:shd w:val="clear" w:color="auto" w:fill="BFBFBF" w:themeFill="background1" w:themeFillShade="BF"/>
            <w:noWrap/>
            <w:vAlign w:val="center"/>
            <w:hideMark/>
          </w:tcPr>
          <w:p w14:paraId="3E68CA98" w14:textId="77777777" w:rsidR="00560680" w:rsidRPr="0056578F" w:rsidRDefault="00560680" w:rsidP="00A03F9A">
            <w:pPr>
              <w:jc w:val="center"/>
              <w:rPr>
                <w:b/>
                <w:sz w:val="20"/>
                <w:szCs w:val="20"/>
              </w:rPr>
            </w:pPr>
            <w:r w:rsidRPr="0056578F">
              <w:rPr>
                <w:b/>
                <w:sz w:val="20"/>
                <w:szCs w:val="20"/>
              </w:rPr>
              <w:t>Year 3 (2018)</w:t>
            </w:r>
          </w:p>
        </w:tc>
      </w:tr>
      <w:tr w:rsidR="00560680" w:rsidRPr="0056578F" w14:paraId="5FCED00E" w14:textId="77777777" w:rsidTr="00A03F9A">
        <w:trPr>
          <w:trHeight w:val="300"/>
        </w:trPr>
        <w:tc>
          <w:tcPr>
            <w:tcW w:w="1974" w:type="dxa"/>
            <w:vMerge w:val="restart"/>
            <w:noWrap/>
            <w:vAlign w:val="center"/>
            <w:hideMark/>
          </w:tcPr>
          <w:p w14:paraId="544C4840" w14:textId="77777777" w:rsidR="00560680" w:rsidRPr="0056578F" w:rsidRDefault="00560680" w:rsidP="00A03F9A">
            <w:pPr>
              <w:rPr>
                <w:sz w:val="20"/>
                <w:szCs w:val="20"/>
              </w:rPr>
            </w:pPr>
            <w:r w:rsidRPr="0056578F">
              <w:rPr>
                <w:sz w:val="20"/>
                <w:szCs w:val="20"/>
              </w:rPr>
              <w:t>Treated patients</w:t>
            </w:r>
          </w:p>
        </w:tc>
        <w:tc>
          <w:tcPr>
            <w:tcW w:w="1775" w:type="dxa"/>
            <w:noWrap/>
            <w:vAlign w:val="center"/>
            <w:hideMark/>
          </w:tcPr>
          <w:p w14:paraId="0D7C9CC4" w14:textId="77777777" w:rsidR="00560680" w:rsidRPr="0056578F" w:rsidRDefault="00560680" w:rsidP="00A03F9A">
            <w:pPr>
              <w:rPr>
                <w:sz w:val="20"/>
                <w:szCs w:val="20"/>
              </w:rPr>
            </w:pPr>
            <w:r w:rsidRPr="0056578F">
              <w:rPr>
                <w:sz w:val="20"/>
                <w:szCs w:val="20"/>
              </w:rPr>
              <w:t>Predicted</w:t>
            </w:r>
          </w:p>
        </w:tc>
        <w:tc>
          <w:tcPr>
            <w:tcW w:w="1808" w:type="dxa"/>
            <w:noWrap/>
            <w:vAlign w:val="center"/>
            <w:hideMark/>
          </w:tcPr>
          <w:p w14:paraId="0096B2B2" w14:textId="77777777" w:rsidR="00560680" w:rsidRPr="0056578F" w:rsidRDefault="00560680" w:rsidP="00A03F9A">
            <w:pPr>
              <w:jc w:val="center"/>
              <w:rPr>
                <w:sz w:val="20"/>
                <w:szCs w:val="20"/>
              </w:rPr>
            </w:pPr>
            <w:r w:rsidRPr="0056578F">
              <w:rPr>
                <w:sz w:val="20"/>
                <w:szCs w:val="20"/>
              </w:rPr>
              <w:t>116</w:t>
            </w:r>
          </w:p>
        </w:tc>
        <w:tc>
          <w:tcPr>
            <w:tcW w:w="1808" w:type="dxa"/>
            <w:noWrap/>
            <w:vAlign w:val="center"/>
            <w:hideMark/>
          </w:tcPr>
          <w:p w14:paraId="3051FF94" w14:textId="77777777" w:rsidR="00560680" w:rsidRPr="0056578F" w:rsidRDefault="00560680" w:rsidP="00A03F9A">
            <w:pPr>
              <w:jc w:val="center"/>
              <w:rPr>
                <w:sz w:val="20"/>
                <w:szCs w:val="20"/>
              </w:rPr>
            </w:pPr>
            <w:r w:rsidRPr="0056578F">
              <w:rPr>
                <w:sz w:val="20"/>
                <w:szCs w:val="20"/>
              </w:rPr>
              <w:t>115</w:t>
            </w:r>
          </w:p>
        </w:tc>
        <w:tc>
          <w:tcPr>
            <w:tcW w:w="1808" w:type="dxa"/>
            <w:noWrap/>
            <w:vAlign w:val="center"/>
            <w:hideMark/>
          </w:tcPr>
          <w:p w14:paraId="54C68AFC" w14:textId="77777777" w:rsidR="00560680" w:rsidRPr="0056578F" w:rsidRDefault="00560680" w:rsidP="00A03F9A">
            <w:pPr>
              <w:jc w:val="center"/>
              <w:rPr>
                <w:sz w:val="20"/>
                <w:szCs w:val="20"/>
              </w:rPr>
            </w:pPr>
            <w:r w:rsidRPr="0056578F">
              <w:rPr>
                <w:sz w:val="20"/>
                <w:szCs w:val="20"/>
              </w:rPr>
              <w:t>123</w:t>
            </w:r>
          </w:p>
        </w:tc>
      </w:tr>
      <w:tr w:rsidR="00560680" w:rsidRPr="0056578F" w14:paraId="2A4909FB" w14:textId="77777777" w:rsidTr="00A03F9A">
        <w:trPr>
          <w:trHeight w:val="300"/>
        </w:trPr>
        <w:tc>
          <w:tcPr>
            <w:tcW w:w="1974" w:type="dxa"/>
            <w:vMerge/>
            <w:vAlign w:val="center"/>
            <w:hideMark/>
          </w:tcPr>
          <w:p w14:paraId="1C109DD4" w14:textId="77777777" w:rsidR="00560680" w:rsidRPr="0056578F" w:rsidRDefault="00560680" w:rsidP="00A03F9A">
            <w:pPr>
              <w:rPr>
                <w:sz w:val="20"/>
                <w:szCs w:val="20"/>
              </w:rPr>
            </w:pPr>
          </w:p>
        </w:tc>
        <w:tc>
          <w:tcPr>
            <w:tcW w:w="1775" w:type="dxa"/>
            <w:noWrap/>
            <w:vAlign w:val="center"/>
            <w:hideMark/>
          </w:tcPr>
          <w:p w14:paraId="44838157" w14:textId="77777777" w:rsidR="00560680" w:rsidRPr="0056578F" w:rsidRDefault="00560680" w:rsidP="00A03F9A">
            <w:pPr>
              <w:rPr>
                <w:sz w:val="20"/>
                <w:szCs w:val="20"/>
              </w:rPr>
            </w:pPr>
            <w:r w:rsidRPr="0056578F">
              <w:rPr>
                <w:sz w:val="20"/>
                <w:szCs w:val="20"/>
              </w:rPr>
              <w:t>Actual</w:t>
            </w:r>
          </w:p>
        </w:tc>
        <w:tc>
          <w:tcPr>
            <w:tcW w:w="1808" w:type="dxa"/>
            <w:noWrap/>
            <w:vAlign w:val="center"/>
            <w:hideMark/>
          </w:tcPr>
          <w:p w14:paraId="0405D0B5" w14:textId="77777777" w:rsidR="00560680" w:rsidRPr="0056578F" w:rsidRDefault="00560680" w:rsidP="00A03F9A">
            <w:pPr>
              <w:jc w:val="center"/>
              <w:rPr>
                <w:sz w:val="20"/>
                <w:szCs w:val="20"/>
              </w:rPr>
            </w:pPr>
            <w:r w:rsidRPr="0056578F">
              <w:rPr>
                <w:sz w:val="20"/>
                <w:szCs w:val="20"/>
              </w:rPr>
              <w:t>40</w:t>
            </w:r>
          </w:p>
        </w:tc>
        <w:tc>
          <w:tcPr>
            <w:tcW w:w="1808" w:type="dxa"/>
            <w:noWrap/>
            <w:vAlign w:val="center"/>
            <w:hideMark/>
          </w:tcPr>
          <w:p w14:paraId="6E246B05" w14:textId="77777777" w:rsidR="00560680" w:rsidRPr="0056578F" w:rsidRDefault="00560680" w:rsidP="00A03F9A">
            <w:pPr>
              <w:jc w:val="center"/>
              <w:rPr>
                <w:sz w:val="20"/>
                <w:szCs w:val="20"/>
              </w:rPr>
            </w:pPr>
            <w:r w:rsidRPr="0056578F">
              <w:rPr>
                <w:sz w:val="20"/>
                <w:szCs w:val="20"/>
              </w:rPr>
              <w:t>45</w:t>
            </w:r>
          </w:p>
        </w:tc>
        <w:tc>
          <w:tcPr>
            <w:tcW w:w="1808" w:type="dxa"/>
            <w:noWrap/>
            <w:vAlign w:val="center"/>
            <w:hideMark/>
          </w:tcPr>
          <w:p w14:paraId="062A92A9" w14:textId="77777777" w:rsidR="00560680" w:rsidRPr="0056578F" w:rsidRDefault="00560680" w:rsidP="00A03F9A">
            <w:pPr>
              <w:jc w:val="center"/>
              <w:rPr>
                <w:sz w:val="20"/>
                <w:szCs w:val="20"/>
              </w:rPr>
            </w:pPr>
            <w:r w:rsidRPr="0056578F">
              <w:rPr>
                <w:sz w:val="20"/>
                <w:szCs w:val="20"/>
              </w:rPr>
              <w:t>50</w:t>
            </w:r>
          </w:p>
        </w:tc>
      </w:tr>
      <w:tr w:rsidR="00560680" w:rsidRPr="0056578F" w14:paraId="6713AFAE" w14:textId="77777777" w:rsidTr="00A03F9A">
        <w:trPr>
          <w:trHeight w:val="300"/>
        </w:trPr>
        <w:tc>
          <w:tcPr>
            <w:tcW w:w="1974" w:type="dxa"/>
            <w:vMerge/>
            <w:vAlign w:val="center"/>
            <w:hideMark/>
          </w:tcPr>
          <w:p w14:paraId="4F109895" w14:textId="77777777" w:rsidR="00560680" w:rsidRPr="0056578F" w:rsidRDefault="00560680" w:rsidP="00A03F9A">
            <w:pPr>
              <w:rPr>
                <w:sz w:val="20"/>
                <w:szCs w:val="20"/>
              </w:rPr>
            </w:pPr>
          </w:p>
        </w:tc>
        <w:tc>
          <w:tcPr>
            <w:tcW w:w="1775" w:type="dxa"/>
            <w:noWrap/>
            <w:vAlign w:val="center"/>
            <w:hideMark/>
          </w:tcPr>
          <w:p w14:paraId="4ABA6106" w14:textId="77777777" w:rsidR="00560680" w:rsidRPr="0056578F" w:rsidRDefault="00560680" w:rsidP="00A03F9A">
            <w:pPr>
              <w:rPr>
                <w:sz w:val="20"/>
                <w:szCs w:val="20"/>
              </w:rPr>
            </w:pPr>
            <w:r w:rsidRPr="0056578F">
              <w:rPr>
                <w:sz w:val="20"/>
                <w:szCs w:val="20"/>
              </w:rPr>
              <w:t>Difference</w:t>
            </w:r>
          </w:p>
        </w:tc>
        <w:tc>
          <w:tcPr>
            <w:tcW w:w="1808" w:type="dxa"/>
            <w:noWrap/>
            <w:vAlign w:val="center"/>
            <w:hideMark/>
          </w:tcPr>
          <w:p w14:paraId="6B28F54C" w14:textId="77777777" w:rsidR="00560680" w:rsidRPr="0056578F" w:rsidRDefault="00560680" w:rsidP="00A03F9A">
            <w:pPr>
              <w:jc w:val="center"/>
              <w:rPr>
                <w:sz w:val="20"/>
                <w:szCs w:val="20"/>
              </w:rPr>
            </w:pPr>
            <w:r w:rsidRPr="0056578F">
              <w:rPr>
                <w:sz w:val="20"/>
                <w:szCs w:val="20"/>
              </w:rPr>
              <w:t>-66%</w:t>
            </w:r>
          </w:p>
        </w:tc>
        <w:tc>
          <w:tcPr>
            <w:tcW w:w="1808" w:type="dxa"/>
            <w:noWrap/>
            <w:vAlign w:val="center"/>
            <w:hideMark/>
          </w:tcPr>
          <w:p w14:paraId="1D5767D0" w14:textId="77777777" w:rsidR="00560680" w:rsidRPr="0056578F" w:rsidRDefault="00560680" w:rsidP="00A03F9A">
            <w:pPr>
              <w:jc w:val="center"/>
              <w:rPr>
                <w:sz w:val="20"/>
                <w:szCs w:val="20"/>
              </w:rPr>
            </w:pPr>
            <w:r w:rsidRPr="0056578F">
              <w:rPr>
                <w:sz w:val="20"/>
                <w:szCs w:val="20"/>
              </w:rPr>
              <w:t>-61%</w:t>
            </w:r>
          </w:p>
        </w:tc>
        <w:tc>
          <w:tcPr>
            <w:tcW w:w="1808" w:type="dxa"/>
            <w:noWrap/>
            <w:vAlign w:val="center"/>
            <w:hideMark/>
          </w:tcPr>
          <w:p w14:paraId="3D364C23" w14:textId="77777777" w:rsidR="00560680" w:rsidRPr="0056578F" w:rsidRDefault="00560680" w:rsidP="00A03F9A">
            <w:pPr>
              <w:jc w:val="center"/>
              <w:rPr>
                <w:sz w:val="20"/>
                <w:szCs w:val="20"/>
              </w:rPr>
            </w:pPr>
            <w:r w:rsidRPr="0056578F">
              <w:rPr>
                <w:sz w:val="20"/>
                <w:szCs w:val="20"/>
              </w:rPr>
              <w:t>-59%</w:t>
            </w:r>
          </w:p>
        </w:tc>
      </w:tr>
      <w:tr w:rsidR="00560680" w:rsidRPr="0056578F" w14:paraId="74F44012" w14:textId="77777777" w:rsidTr="00A03F9A">
        <w:trPr>
          <w:trHeight w:val="300"/>
        </w:trPr>
        <w:tc>
          <w:tcPr>
            <w:tcW w:w="1974" w:type="dxa"/>
            <w:vMerge w:val="restart"/>
            <w:noWrap/>
            <w:vAlign w:val="center"/>
            <w:hideMark/>
          </w:tcPr>
          <w:p w14:paraId="7947A5A9" w14:textId="77777777" w:rsidR="00560680" w:rsidRPr="0056578F" w:rsidRDefault="00560680" w:rsidP="00A03F9A">
            <w:pPr>
              <w:rPr>
                <w:sz w:val="20"/>
                <w:szCs w:val="20"/>
              </w:rPr>
            </w:pPr>
            <w:r w:rsidRPr="0056578F">
              <w:rPr>
                <w:sz w:val="20"/>
                <w:szCs w:val="20"/>
              </w:rPr>
              <w:t>Packs of 15 mg</w:t>
            </w:r>
          </w:p>
        </w:tc>
        <w:tc>
          <w:tcPr>
            <w:tcW w:w="1775" w:type="dxa"/>
            <w:noWrap/>
            <w:vAlign w:val="center"/>
            <w:hideMark/>
          </w:tcPr>
          <w:p w14:paraId="4CAB4379" w14:textId="77777777" w:rsidR="00560680" w:rsidRPr="0056578F" w:rsidRDefault="00560680" w:rsidP="00A03F9A">
            <w:pPr>
              <w:rPr>
                <w:sz w:val="20"/>
                <w:szCs w:val="20"/>
              </w:rPr>
            </w:pPr>
            <w:r w:rsidRPr="0056578F">
              <w:rPr>
                <w:sz w:val="20"/>
                <w:szCs w:val="20"/>
              </w:rPr>
              <w:t>Predicted</w:t>
            </w:r>
          </w:p>
        </w:tc>
        <w:tc>
          <w:tcPr>
            <w:tcW w:w="1808" w:type="dxa"/>
            <w:noWrap/>
            <w:vAlign w:val="center"/>
            <w:hideMark/>
          </w:tcPr>
          <w:p w14:paraId="61485531" w14:textId="2325C104" w:rsidR="00560680" w:rsidRPr="0056578F" w:rsidRDefault="00560680" w:rsidP="00A03F9A">
            <w:pPr>
              <w:jc w:val="center"/>
              <w:rPr>
                <w:sz w:val="20"/>
                <w:szCs w:val="20"/>
              </w:rPr>
            </w:pPr>
            <w:r w:rsidRPr="0056578F">
              <w:rPr>
                <w:sz w:val="20"/>
                <w:szCs w:val="20"/>
              </w:rPr>
              <w:t>1</w:t>
            </w:r>
            <w:r w:rsidR="000F38FD" w:rsidRPr="0056578F">
              <w:rPr>
                <w:sz w:val="20"/>
                <w:szCs w:val="20"/>
              </w:rPr>
              <w:t>,</w:t>
            </w:r>
            <w:r w:rsidRPr="0056578F">
              <w:rPr>
                <w:sz w:val="20"/>
                <w:szCs w:val="20"/>
              </w:rPr>
              <w:t>101</w:t>
            </w:r>
          </w:p>
        </w:tc>
        <w:tc>
          <w:tcPr>
            <w:tcW w:w="1808" w:type="dxa"/>
            <w:noWrap/>
            <w:vAlign w:val="center"/>
            <w:hideMark/>
          </w:tcPr>
          <w:p w14:paraId="2EF929A5" w14:textId="3CF50CA4" w:rsidR="00560680" w:rsidRPr="0056578F" w:rsidRDefault="00560680" w:rsidP="00A03F9A">
            <w:pPr>
              <w:jc w:val="center"/>
              <w:rPr>
                <w:sz w:val="20"/>
                <w:szCs w:val="20"/>
              </w:rPr>
            </w:pPr>
            <w:r w:rsidRPr="0056578F">
              <w:rPr>
                <w:sz w:val="20"/>
                <w:szCs w:val="20"/>
              </w:rPr>
              <w:t>1</w:t>
            </w:r>
            <w:r w:rsidR="000F38FD" w:rsidRPr="0056578F">
              <w:rPr>
                <w:sz w:val="20"/>
                <w:szCs w:val="20"/>
              </w:rPr>
              <w:t>,</w:t>
            </w:r>
            <w:r w:rsidRPr="0056578F">
              <w:rPr>
                <w:sz w:val="20"/>
                <w:szCs w:val="20"/>
              </w:rPr>
              <w:t>094</w:t>
            </w:r>
          </w:p>
        </w:tc>
        <w:tc>
          <w:tcPr>
            <w:tcW w:w="1808" w:type="dxa"/>
            <w:noWrap/>
            <w:vAlign w:val="center"/>
            <w:hideMark/>
          </w:tcPr>
          <w:p w14:paraId="27BF678C" w14:textId="1D424114" w:rsidR="00560680" w:rsidRPr="0056578F" w:rsidRDefault="00560680" w:rsidP="00A03F9A">
            <w:pPr>
              <w:jc w:val="center"/>
              <w:rPr>
                <w:sz w:val="20"/>
                <w:szCs w:val="20"/>
              </w:rPr>
            </w:pPr>
            <w:r w:rsidRPr="0056578F">
              <w:rPr>
                <w:sz w:val="20"/>
                <w:szCs w:val="20"/>
              </w:rPr>
              <w:t>1</w:t>
            </w:r>
            <w:r w:rsidR="000F38FD" w:rsidRPr="0056578F">
              <w:rPr>
                <w:sz w:val="20"/>
                <w:szCs w:val="20"/>
              </w:rPr>
              <w:t>,</w:t>
            </w:r>
            <w:r w:rsidRPr="0056578F">
              <w:rPr>
                <w:sz w:val="20"/>
                <w:szCs w:val="20"/>
              </w:rPr>
              <w:t>167</w:t>
            </w:r>
          </w:p>
        </w:tc>
      </w:tr>
      <w:tr w:rsidR="00560680" w:rsidRPr="0056578F" w14:paraId="357648DE" w14:textId="77777777" w:rsidTr="00A03F9A">
        <w:trPr>
          <w:trHeight w:val="300"/>
        </w:trPr>
        <w:tc>
          <w:tcPr>
            <w:tcW w:w="1974" w:type="dxa"/>
            <w:vMerge/>
            <w:vAlign w:val="center"/>
            <w:hideMark/>
          </w:tcPr>
          <w:p w14:paraId="594AE70D" w14:textId="77777777" w:rsidR="00560680" w:rsidRPr="0056578F" w:rsidRDefault="00560680" w:rsidP="00A03F9A">
            <w:pPr>
              <w:rPr>
                <w:sz w:val="20"/>
                <w:szCs w:val="20"/>
              </w:rPr>
            </w:pPr>
          </w:p>
        </w:tc>
        <w:tc>
          <w:tcPr>
            <w:tcW w:w="1775" w:type="dxa"/>
            <w:noWrap/>
            <w:vAlign w:val="center"/>
            <w:hideMark/>
          </w:tcPr>
          <w:p w14:paraId="298EC8F2" w14:textId="77777777" w:rsidR="00560680" w:rsidRPr="0056578F" w:rsidRDefault="00560680" w:rsidP="00A03F9A">
            <w:pPr>
              <w:rPr>
                <w:sz w:val="20"/>
                <w:szCs w:val="20"/>
              </w:rPr>
            </w:pPr>
            <w:r w:rsidRPr="0056578F">
              <w:rPr>
                <w:sz w:val="20"/>
                <w:szCs w:val="20"/>
              </w:rPr>
              <w:t>Actual</w:t>
            </w:r>
          </w:p>
        </w:tc>
        <w:tc>
          <w:tcPr>
            <w:tcW w:w="1808" w:type="dxa"/>
            <w:noWrap/>
            <w:vAlign w:val="center"/>
            <w:hideMark/>
          </w:tcPr>
          <w:p w14:paraId="65BFC2FB" w14:textId="77777777" w:rsidR="00560680" w:rsidRPr="0056578F" w:rsidRDefault="00560680" w:rsidP="00A03F9A">
            <w:pPr>
              <w:jc w:val="center"/>
              <w:rPr>
                <w:sz w:val="20"/>
                <w:szCs w:val="20"/>
              </w:rPr>
            </w:pPr>
            <w:r w:rsidRPr="0056578F">
              <w:rPr>
                <w:sz w:val="20"/>
                <w:szCs w:val="20"/>
              </w:rPr>
              <w:t>175</w:t>
            </w:r>
          </w:p>
        </w:tc>
        <w:tc>
          <w:tcPr>
            <w:tcW w:w="1808" w:type="dxa"/>
            <w:noWrap/>
            <w:vAlign w:val="center"/>
            <w:hideMark/>
          </w:tcPr>
          <w:p w14:paraId="08A7F393" w14:textId="77777777" w:rsidR="00560680" w:rsidRPr="0056578F" w:rsidRDefault="00560680" w:rsidP="00A03F9A">
            <w:pPr>
              <w:jc w:val="center"/>
              <w:rPr>
                <w:sz w:val="20"/>
                <w:szCs w:val="20"/>
              </w:rPr>
            </w:pPr>
            <w:r w:rsidRPr="0056578F">
              <w:rPr>
                <w:sz w:val="20"/>
                <w:szCs w:val="20"/>
              </w:rPr>
              <w:t>209</w:t>
            </w:r>
          </w:p>
        </w:tc>
        <w:tc>
          <w:tcPr>
            <w:tcW w:w="1808" w:type="dxa"/>
            <w:noWrap/>
            <w:vAlign w:val="center"/>
            <w:hideMark/>
          </w:tcPr>
          <w:p w14:paraId="2E380075" w14:textId="77777777" w:rsidR="00560680" w:rsidRPr="0056578F" w:rsidRDefault="00560680" w:rsidP="00A03F9A">
            <w:pPr>
              <w:jc w:val="center"/>
              <w:rPr>
                <w:sz w:val="20"/>
                <w:szCs w:val="20"/>
              </w:rPr>
            </w:pPr>
            <w:r w:rsidRPr="0056578F">
              <w:rPr>
                <w:sz w:val="20"/>
                <w:szCs w:val="20"/>
              </w:rPr>
              <w:t>212</w:t>
            </w:r>
          </w:p>
        </w:tc>
      </w:tr>
      <w:tr w:rsidR="00560680" w:rsidRPr="0056578F" w14:paraId="5472EE53" w14:textId="77777777" w:rsidTr="00A03F9A">
        <w:trPr>
          <w:trHeight w:val="300"/>
        </w:trPr>
        <w:tc>
          <w:tcPr>
            <w:tcW w:w="1974" w:type="dxa"/>
            <w:vMerge/>
            <w:vAlign w:val="center"/>
            <w:hideMark/>
          </w:tcPr>
          <w:p w14:paraId="15D6479D" w14:textId="77777777" w:rsidR="00560680" w:rsidRPr="0056578F" w:rsidRDefault="00560680" w:rsidP="00A03F9A">
            <w:pPr>
              <w:rPr>
                <w:sz w:val="20"/>
                <w:szCs w:val="20"/>
              </w:rPr>
            </w:pPr>
          </w:p>
        </w:tc>
        <w:tc>
          <w:tcPr>
            <w:tcW w:w="1775" w:type="dxa"/>
            <w:noWrap/>
            <w:vAlign w:val="center"/>
            <w:hideMark/>
          </w:tcPr>
          <w:p w14:paraId="58861924" w14:textId="77777777" w:rsidR="00560680" w:rsidRPr="0056578F" w:rsidRDefault="00560680" w:rsidP="00A03F9A">
            <w:pPr>
              <w:rPr>
                <w:sz w:val="20"/>
                <w:szCs w:val="20"/>
              </w:rPr>
            </w:pPr>
            <w:r w:rsidRPr="0056578F">
              <w:rPr>
                <w:sz w:val="20"/>
                <w:szCs w:val="20"/>
              </w:rPr>
              <w:t>Difference</w:t>
            </w:r>
          </w:p>
        </w:tc>
        <w:tc>
          <w:tcPr>
            <w:tcW w:w="1808" w:type="dxa"/>
            <w:noWrap/>
            <w:vAlign w:val="center"/>
            <w:hideMark/>
          </w:tcPr>
          <w:p w14:paraId="2B7F6261" w14:textId="77777777" w:rsidR="00560680" w:rsidRPr="0056578F" w:rsidRDefault="00560680" w:rsidP="00A03F9A">
            <w:pPr>
              <w:jc w:val="center"/>
              <w:rPr>
                <w:sz w:val="20"/>
                <w:szCs w:val="20"/>
              </w:rPr>
            </w:pPr>
            <w:r w:rsidRPr="0056578F">
              <w:rPr>
                <w:sz w:val="20"/>
                <w:szCs w:val="20"/>
              </w:rPr>
              <w:t>-84%</w:t>
            </w:r>
          </w:p>
        </w:tc>
        <w:tc>
          <w:tcPr>
            <w:tcW w:w="1808" w:type="dxa"/>
            <w:noWrap/>
            <w:vAlign w:val="center"/>
            <w:hideMark/>
          </w:tcPr>
          <w:p w14:paraId="50EDF715" w14:textId="77777777" w:rsidR="00560680" w:rsidRPr="0056578F" w:rsidRDefault="00560680" w:rsidP="00A03F9A">
            <w:pPr>
              <w:jc w:val="center"/>
              <w:rPr>
                <w:sz w:val="20"/>
                <w:szCs w:val="20"/>
              </w:rPr>
            </w:pPr>
            <w:r w:rsidRPr="0056578F">
              <w:rPr>
                <w:sz w:val="20"/>
                <w:szCs w:val="20"/>
              </w:rPr>
              <w:t>-81%</w:t>
            </w:r>
          </w:p>
        </w:tc>
        <w:tc>
          <w:tcPr>
            <w:tcW w:w="1808" w:type="dxa"/>
            <w:noWrap/>
            <w:vAlign w:val="center"/>
            <w:hideMark/>
          </w:tcPr>
          <w:p w14:paraId="542CC448" w14:textId="77777777" w:rsidR="00560680" w:rsidRPr="0056578F" w:rsidRDefault="00560680" w:rsidP="00A03F9A">
            <w:pPr>
              <w:jc w:val="center"/>
              <w:rPr>
                <w:sz w:val="20"/>
                <w:szCs w:val="20"/>
              </w:rPr>
            </w:pPr>
            <w:r w:rsidRPr="0056578F">
              <w:rPr>
                <w:sz w:val="20"/>
                <w:szCs w:val="20"/>
              </w:rPr>
              <w:t>-82%</w:t>
            </w:r>
          </w:p>
        </w:tc>
      </w:tr>
      <w:tr w:rsidR="00560680" w:rsidRPr="0056578F" w14:paraId="48B8D1F5" w14:textId="77777777" w:rsidTr="00A03F9A">
        <w:trPr>
          <w:trHeight w:val="300"/>
        </w:trPr>
        <w:tc>
          <w:tcPr>
            <w:tcW w:w="1974" w:type="dxa"/>
            <w:vMerge w:val="restart"/>
            <w:noWrap/>
            <w:vAlign w:val="center"/>
            <w:hideMark/>
          </w:tcPr>
          <w:p w14:paraId="582DBCC5" w14:textId="77777777" w:rsidR="00560680" w:rsidRPr="0056578F" w:rsidRDefault="00560680" w:rsidP="00A03F9A">
            <w:pPr>
              <w:rPr>
                <w:sz w:val="20"/>
                <w:szCs w:val="20"/>
              </w:rPr>
            </w:pPr>
            <w:r w:rsidRPr="0056578F">
              <w:rPr>
                <w:sz w:val="20"/>
                <w:szCs w:val="20"/>
              </w:rPr>
              <w:t>Packs of 45 mg</w:t>
            </w:r>
          </w:p>
        </w:tc>
        <w:tc>
          <w:tcPr>
            <w:tcW w:w="1775" w:type="dxa"/>
            <w:noWrap/>
            <w:vAlign w:val="center"/>
            <w:hideMark/>
          </w:tcPr>
          <w:p w14:paraId="6DAFAA81" w14:textId="77777777" w:rsidR="00560680" w:rsidRPr="0056578F" w:rsidRDefault="00560680" w:rsidP="00A03F9A">
            <w:pPr>
              <w:rPr>
                <w:sz w:val="20"/>
                <w:szCs w:val="20"/>
              </w:rPr>
            </w:pPr>
            <w:r w:rsidRPr="0056578F">
              <w:rPr>
                <w:sz w:val="20"/>
                <w:szCs w:val="20"/>
              </w:rPr>
              <w:t>Predicted</w:t>
            </w:r>
          </w:p>
        </w:tc>
        <w:tc>
          <w:tcPr>
            <w:tcW w:w="1808" w:type="dxa"/>
            <w:noWrap/>
            <w:vAlign w:val="center"/>
            <w:hideMark/>
          </w:tcPr>
          <w:p w14:paraId="072D0802" w14:textId="77777777" w:rsidR="00560680" w:rsidRPr="0056578F" w:rsidRDefault="00560680" w:rsidP="00A03F9A">
            <w:pPr>
              <w:jc w:val="center"/>
              <w:rPr>
                <w:sz w:val="20"/>
                <w:szCs w:val="20"/>
              </w:rPr>
            </w:pPr>
            <w:r w:rsidRPr="0056578F">
              <w:rPr>
                <w:sz w:val="20"/>
                <w:szCs w:val="20"/>
              </w:rPr>
              <w:t>213</w:t>
            </w:r>
          </w:p>
        </w:tc>
        <w:tc>
          <w:tcPr>
            <w:tcW w:w="1808" w:type="dxa"/>
            <w:noWrap/>
            <w:vAlign w:val="center"/>
            <w:hideMark/>
          </w:tcPr>
          <w:p w14:paraId="6598F2FD" w14:textId="77777777" w:rsidR="00560680" w:rsidRPr="0056578F" w:rsidRDefault="00560680" w:rsidP="00A03F9A">
            <w:pPr>
              <w:jc w:val="center"/>
              <w:rPr>
                <w:sz w:val="20"/>
                <w:szCs w:val="20"/>
              </w:rPr>
            </w:pPr>
            <w:r w:rsidRPr="0056578F">
              <w:rPr>
                <w:sz w:val="20"/>
                <w:szCs w:val="20"/>
              </w:rPr>
              <w:t>212</w:t>
            </w:r>
          </w:p>
        </w:tc>
        <w:tc>
          <w:tcPr>
            <w:tcW w:w="1808" w:type="dxa"/>
            <w:noWrap/>
            <w:vAlign w:val="center"/>
            <w:hideMark/>
          </w:tcPr>
          <w:p w14:paraId="37AED1F1" w14:textId="77777777" w:rsidR="00560680" w:rsidRPr="0056578F" w:rsidRDefault="00560680" w:rsidP="00A03F9A">
            <w:pPr>
              <w:jc w:val="center"/>
              <w:rPr>
                <w:sz w:val="20"/>
                <w:szCs w:val="20"/>
              </w:rPr>
            </w:pPr>
            <w:r w:rsidRPr="0056578F">
              <w:rPr>
                <w:sz w:val="20"/>
                <w:szCs w:val="20"/>
              </w:rPr>
              <w:t>226</w:t>
            </w:r>
          </w:p>
        </w:tc>
      </w:tr>
      <w:tr w:rsidR="00560680" w:rsidRPr="0056578F" w14:paraId="14C7FFF6" w14:textId="77777777" w:rsidTr="00A03F9A">
        <w:trPr>
          <w:trHeight w:val="300"/>
        </w:trPr>
        <w:tc>
          <w:tcPr>
            <w:tcW w:w="1974" w:type="dxa"/>
            <w:vMerge/>
            <w:vAlign w:val="center"/>
            <w:hideMark/>
          </w:tcPr>
          <w:p w14:paraId="755B81D0" w14:textId="77777777" w:rsidR="00560680" w:rsidRPr="0056578F" w:rsidRDefault="00560680" w:rsidP="00A03F9A">
            <w:pPr>
              <w:rPr>
                <w:sz w:val="20"/>
                <w:szCs w:val="20"/>
              </w:rPr>
            </w:pPr>
          </w:p>
        </w:tc>
        <w:tc>
          <w:tcPr>
            <w:tcW w:w="1775" w:type="dxa"/>
            <w:noWrap/>
            <w:vAlign w:val="center"/>
            <w:hideMark/>
          </w:tcPr>
          <w:p w14:paraId="528FF249" w14:textId="77777777" w:rsidR="00560680" w:rsidRPr="0056578F" w:rsidRDefault="00560680" w:rsidP="00A03F9A">
            <w:pPr>
              <w:rPr>
                <w:sz w:val="20"/>
                <w:szCs w:val="20"/>
              </w:rPr>
            </w:pPr>
            <w:r w:rsidRPr="0056578F">
              <w:rPr>
                <w:sz w:val="20"/>
                <w:szCs w:val="20"/>
              </w:rPr>
              <w:t>Actual</w:t>
            </w:r>
          </w:p>
        </w:tc>
        <w:tc>
          <w:tcPr>
            <w:tcW w:w="1808" w:type="dxa"/>
            <w:noWrap/>
            <w:vAlign w:val="center"/>
            <w:hideMark/>
          </w:tcPr>
          <w:p w14:paraId="774EBFBF" w14:textId="77777777" w:rsidR="00560680" w:rsidRPr="0056578F" w:rsidRDefault="00560680" w:rsidP="00A03F9A">
            <w:pPr>
              <w:jc w:val="center"/>
              <w:rPr>
                <w:sz w:val="20"/>
                <w:szCs w:val="20"/>
              </w:rPr>
            </w:pPr>
            <w:r w:rsidRPr="0056578F">
              <w:rPr>
                <w:sz w:val="20"/>
                <w:szCs w:val="20"/>
              </w:rPr>
              <w:t>76</w:t>
            </w:r>
          </w:p>
        </w:tc>
        <w:tc>
          <w:tcPr>
            <w:tcW w:w="1808" w:type="dxa"/>
            <w:noWrap/>
            <w:vAlign w:val="center"/>
            <w:hideMark/>
          </w:tcPr>
          <w:p w14:paraId="231EEB70" w14:textId="77777777" w:rsidR="00560680" w:rsidRPr="0056578F" w:rsidRDefault="00560680" w:rsidP="00A03F9A">
            <w:pPr>
              <w:jc w:val="center"/>
              <w:rPr>
                <w:sz w:val="20"/>
                <w:szCs w:val="20"/>
              </w:rPr>
            </w:pPr>
            <w:r w:rsidRPr="0056578F">
              <w:rPr>
                <w:sz w:val="20"/>
                <w:szCs w:val="20"/>
              </w:rPr>
              <w:t>96</w:t>
            </w:r>
          </w:p>
        </w:tc>
        <w:tc>
          <w:tcPr>
            <w:tcW w:w="1808" w:type="dxa"/>
            <w:noWrap/>
            <w:vAlign w:val="center"/>
            <w:hideMark/>
          </w:tcPr>
          <w:p w14:paraId="743AF4A3" w14:textId="77777777" w:rsidR="00560680" w:rsidRPr="0056578F" w:rsidRDefault="00560680" w:rsidP="00A03F9A">
            <w:pPr>
              <w:jc w:val="center"/>
              <w:rPr>
                <w:sz w:val="20"/>
                <w:szCs w:val="20"/>
              </w:rPr>
            </w:pPr>
            <w:r w:rsidRPr="0056578F">
              <w:rPr>
                <w:sz w:val="20"/>
                <w:szCs w:val="20"/>
              </w:rPr>
              <w:t>83</w:t>
            </w:r>
          </w:p>
        </w:tc>
      </w:tr>
      <w:tr w:rsidR="00560680" w:rsidRPr="0056578F" w14:paraId="1D044D99" w14:textId="77777777" w:rsidTr="00A03F9A">
        <w:trPr>
          <w:trHeight w:val="300"/>
        </w:trPr>
        <w:tc>
          <w:tcPr>
            <w:tcW w:w="1974" w:type="dxa"/>
            <w:vMerge/>
            <w:vAlign w:val="center"/>
            <w:hideMark/>
          </w:tcPr>
          <w:p w14:paraId="57B345D3" w14:textId="77777777" w:rsidR="00560680" w:rsidRPr="0056578F" w:rsidRDefault="00560680" w:rsidP="00A03F9A">
            <w:pPr>
              <w:rPr>
                <w:sz w:val="20"/>
                <w:szCs w:val="20"/>
              </w:rPr>
            </w:pPr>
          </w:p>
        </w:tc>
        <w:tc>
          <w:tcPr>
            <w:tcW w:w="1775" w:type="dxa"/>
            <w:noWrap/>
            <w:vAlign w:val="center"/>
            <w:hideMark/>
          </w:tcPr>
          <w:p w14:paraId="138A981B" w14:textId="77777777" w:rsidR="00560680" w:rsidRPr="0056578F" w:rsidRDefault="00560680" w:rsidP="00A03F9A">
            <w:pPr>
              <w:rPr>
                <w:sz w:val="20"/>
                <w:szCs w:val="20"/>
              </w:rPr>
            </w:pPr>
            <w:r w:rsidRPr="0056578F">
              <w:rPr>
                <w:sz w:val="20"/>
                <w:szCs w:val="20"/>
              </w:rPr>
              <w:t>Difference</w:t>
            </w:r>
          </w:p>
        </w:tc>
        <w:tc>
          <w:tcPr>
            <w:tcW w:w="1808" w:type="dxa"/>
            <w:noWrap/>
            <w:vAlign w:val="center"/>
            <w:hideMark/>
          </w:tcPr>
          <w:p w14:paraId="46F9FF3A" w14:textId="77777777" w:rsidR="00560680" w:rsidRPr="0056578F" w:rsidRDefault="00560680" w:rsidP="00A03F9A">
            <w:pPr>
              <w:jc w:val="center"/>
              <w:rPr>
                <w:sz w:val="20"/>
                <w:szCs w:val="20"/>
              </w:rPr>
            </w:pPr>
            <w:r w:rsidRPr="0056578F">
              <w:rPr>
                <w:sz w:val="20"/>
                <w:szCs w:val="20"/>
              </w:rPr>
              <w:t>-64%</w:t>
            </w:r>
          </w:p>
        </w:tc>
        <w:tc>
          <w:tcPr>
            <w:tcW w:w="1808" w:type="dxa"/>
            <w:noWrap/>
            <w:vAlign w:val="center"/>
            <w:hideMark/>
          </w:tcPr>
          <w:p w14:paraId="7FC12F7B" w14:textId="77777777" w:rsidR="00560680" w:rsidRPr="0056578F" w:rsidRDefault="00560680" w:rsidP="00A03F9A">
            <w:pPr>
              <w:jc w:val="center"/>
              <w:rPr>
                <w:sz w:val="20"/>
                <w:szCs w:val="20"/>
              </w:rPr>
            </w:pPr>
            <w:r w:rsidRPr="0056578F">
              <w:rPr>
                <w:sz w:val="20"/>
                <w:szCs w:val="20"/>
              </w:rPr>
              <w:t>-55%</w:t>
            </w:r>
          </w:p>
        </w:tc>
        <w:tc>
          <w:tcPr>
            <w:tcW w:w="1808" w:type="dxa"/>
            <w:noWrap/>
            <w:vAlign w:val="center"/>
            <w:hideMark/>
          </w:tcPr>
          <w:p w14:paraId="3147729A" w14:textId="77777777" w:rsidR="00560680" w:rsidRPr="0056578F" w:rsidRDefault="00560680" w:rsidP="00A03F9A">
            <w:pPr>
              <w:jc w:val="center"/>
              <w:rPr>
                <w:sz w:val="20"/>
                <w:szCs w:val="20"/>
              </w:rPr>
            </w:pPr>
            <w:r w:rsidRPr="0056578F">
              <w:rPr>
                <w:sz w:val="20"/>
                <w:szCs w:val="20"/>
              </w:rPr>
              <w:t>-63%</w:t>
            </w:r>
          </w:p>
        </w:tc>
      </w:tr>
      <w:tr w:rsidR="00CA2F99" w:rsidRPr="0056578F" w14:paraId="75A27690" w14:textId="77777777" w:rsidTr="00A03F9A">
        <w:trPr>
          <w:trHeight w:val="300"/>
        </w:trPr>
        <w:tc>
          <w:tcPr>
            <w:tcW w:w="1974" w:type="dxa"/>
            <w:vMerge w:val="restart"/>
            <w:noWrap/>
            <w:vAlign w:val="center"/>
          </w:tcPr>
          <w:p w14:paraId="1575C839" w14:textId="16149C12" w:rsidR="00CA2F99" w:rsidRPr="0056578F" w:rsidRDefault="00CA2F99" w:rsidP="00A03F9A">
            <w:pPr>
              <w:rPr>
                <w:sz w:val="20"/>
                <w:szCs w:val="20"/>
              </w:rPr>
            </w:pPr>
            <w:r w:rsidRPr="0056578F">
              <w:rPr>
                <w:rFonts w:ascii="Calibri" w:hAnsi="Calibri" w:cs="Calibri"/>
                <w:color w:val="000000"/>
                <w:sz w:val="20"/>
                <w:szCs w:val="20"/>
              </w:rPr>
              <w:t>Total packs/ prescriptions</w:t>
            </w:r>
          </w:p>
        </w:tc>
        <w:tc>
          <w:tcPr>
            <w:tcW w:w="1775" w:type="dxa"/>
            <w:noWrap/>
            <w:vAlign w:val="center"/>
          </w:tcPr>
          <w:p w14:paraId="628EFDA2" w14:textId="2FB41371" w:rsidR="00CA2F99" w:rsidRPr="0056578F" w:rsidRDefault="00CA2F99" w:rsidP="00A03F9A">
            <w:pPr>
              <w:rPr>
                <w:sz w:val="20"/>
                <w:szCs w:val="20"/>
              </w:rPr>
            </w:pPr>
            <w:r w:rsidRPr="0056578F">
              <w:rPr>
                <w:rFonts w:ascii="Calibri" w:hAnsi="Calibri" w:cs="Calibri"/>
                <w:color w:val="000000"/>
                <w:sz w:val="20"/>
                <w:szCs w:val="20"/>
              </w:rPr>
              <w:t>Predicted</w:t>
            </w:r>
          </w:p>
        </w:tc>
        <w:tc>
          <w:tcPr>
            <w:tcW w:w="1808" w:type="dxa"/>
            <w:noWrap/>
            <w:vAlign w:val="center"/>
          </w:tcPr>
          <w:p w14:paraId="22A52245" w14:textId="3CAC09C2" w:rsidR="00CA2F99" w:rsidRPr="0056578F" w:rsidRDefault="00CA2F99" w:rsidP="00A03F9A">
            <w:pPr>
              <w:jc w:val="center"/>
              <w:rPr>
                <w:rFonts w:ascii="Calibri" w:hAnsi="Calibri" w:cs="Calibri"/>
                <w:color w:val="000000"/>
                <w:sz w:val="20"/>
                <w:szCs w:val="20"/>
              </w:rPr>
            </w:pPr>
            <w:r w:rsidRPr="0056578F">
              <w:rPr>
                <w:rFonts w:ascii="Calibri" w:hAnsi="Calibri" w:cs="Calibri"/>
                <w:color w:val="000000"/>
                <w:sz w:val="20"/>
                <w:szCs w:val="20"/>
              </w:rPr>
              <w:t>1,314</w:t>
            </w:r>
          </w:p>
        </w:tc>
        <w:tc>
          <w:tcPr>
            <w:tcW w:w="1808" w:type="dxa"/>
            <w:noWrap/>
            <w:vAlign w:val="center"/>
          </w:tcPr>
          <w:p w14:paraId="3420728E" w14:textId="00519638" w:rsidR="00CA2F99" w:rsidRPr="0056578F" w:rsidRDefault="00CA2F99" w:rsidP="00A03F9A">
            <w:pPr>
              <w:jc w:val="center"/>
              <w:rPr>
                <w:rFonts w:ascii="Calibri" w:hAnsi="Calibri" w:cs="Calibri"/>
                <w:color w:val="000000"/>
                <w:sz w:val="20"/>
                <w:szCs w:val="20"/>
              </w:rPr>
            </w:pPr>
            <w:r w:rsidRPr="0056578F">
              <w:rPr>
                <w:rFonts w:ascii="Calibri" w:hAnsi="Calibri" w:cs="Calibri"/>
                <w:color w:val="000000"/>
                <w:sz w:val="20"/>
                <w:szCs w:val="20"/>
              </w:rPr>
              <w:t>1,306</w:t>
            </w:r>
          </w:p>
        </w:tc>
        <w:tc>
          <w:tcPr>
            <w:tcW w:w="1808" w:type="dxa"/>
            <w:noWrap/>
            <w:vAlign w:val="center"/>
          </w:tcPr>
          <w:p w14:paraId="5BD781FC" w14:textId="3BE34847" w:rsidR="00CA2F99" w:rsidRPr="0056578F" w:rsidRDefault="00CA2F99" w:rsidP="00A03F9A">
            <w:pPr>
              <w:jc w:val="center"/>
              <w:rPr>
                <w:rFonts w:ascii="Calibri" w:hAnsi="Calibri" w:cs="Calibri"/>
                <w:color w:val="000000"/>
                <w:sz w:val="20"/>
                <w:szCs w:val="20"/>
              </w:rPr>
            </w:pPr>
            <w:r w:rsidRPr="0056578F">
              <w:rPr>
                <w:rFonts w:ascii="Calibri" w:hAnsi="Calibri" w:cs="Calibri"/>
                <w:color w:val="000000"/>
                <w:sz w:val="20"/>
                <w:szCs w:val="20"/>
              </w:rPr>
              <w:t>1,393</w:t>
            </w:r>
          </w:p>
        </w:tc>
      </w:tr>
      <w:tr w:rsidR="00CA2F99" w:rsidRPr="0056578F" w14:paraId="18A49572" w14:textId="77777777" w:rsidTr="00A03F9A">
        <w:trPr>
          <w:trHeight w:val="300"/>
        </w:trPr>
        <w:tc>
          <w:tcPr>
            <w:tcW w:w="1974" w:type="dxa"/>
            <w:vMerge/>
            <w:noWrap/>
            <w:vAlign w:val="center"/>
          </w:tcPr>
          <w:p w14:paraId="74AB603B" w14:textId="77777777" w:rsidR="00CA2F99" w:rsidRPr="0056578F" w:rsidRDefault="00CA2F99" w:rsidP="00A03F9A">
            <w:pPr>
              <w:rPr>
                <w:sz w:val="20"/>
                <w:szCs w:val="20"/>
              </w:rPr>
            </w:pPr>
          </w:p>
        </w:tc>
        <w:tc>
          <w:tcPr>
            <w:tcW w:w="1775" w:type="dxa"/>
            <w:noWrap/>
            <w:vAlign w:val="center"/>
          </w:tcPr>
          <w:p w14:paraId="6D97A341" w14:textId="26069C0D" w:rsidR="00CA2F99" w:rsidRPr="0056578F" w:rsidRDefault="00CA2F99" w:rsidP="00A03F9A">
            <w:pPr>
              <w:rPr>
                <w:sz w:val="20"/>
                <w:szCs w:val="20"/>
              </w:rPr>
            </w:pPr>
            <w:r w:rsidRPr="0056578F">
              <w:rPr>
                <w:rFonts w:ascii="Calibri" w:hAnsi="Calibri" w:cs="Calibri"/>
                <w:color w:val="000000"/>
                <w:sz w:val="20"/>
                <w:szCs w:val="20"/>
              </w:rPr>
              <w:t>Actual</w:t>
            </w:r>
          </w:p>
        </w:tc>
        <w:tc>
          <w:tcPr>
            <w:tcW w:w="1808" w:type="dxa"/>
            <w:noWrap/>
            <w:vAlign w:val="center"/>
          </w:tcPr>
          <w:p w14:paraId="6D5EDD23" w14:textId="669D69CC" w:rsidR="00CA2F99" w:rsidRPr="0056578F" w:rsidRDefault="00CA2F99" w:rsidP="00A03F9A">
            <w:pPr>
              <w:jc w:val="center"/>
              <w:rPr>
                <w:rFonts w:ascii="Calibri" w:hAnsi="Calibri" w:cs="Calibri"/>
                <w:color w:val="000000"/>
                <w:sz w:val="20"/>
                <w:szCs w:val="20"/>
              </w:rPr>
            </w:pPr>
            <w:r w:rsidRPr="0056578F">
              <w:rPr>
                <w:rFonts w:ascii="Calibri" w:hAnsi="Calibri" w:cs="Calibri"/>
                <w:color w:val="000000"/>
                <w:sz w:val="20"/>
                <w:szCs w:val="20"/>
              </w:rPr>
              <w:t>251</w:t>
            </w:r>
          </w:p>
        </w:tc>
        <w:tc>
          <w:tcPr>
            <w:tcW w:w="1808" w:type="dxa"/>
            <w:noWrap/>
            <w:vAlign w:val="center"/>
          </w:tcPr>
          <w:p w14:paraId="6B56708A" w14:textId="3FF0B776" w:rsidR="00CA2F99" w:rsidRPr="0056578F" w:rsidRDefault="00CA2F99" w:rsidP="00A03F9A">
            <w:pPr>
              <w:jc w:val="center"/>
              <w:rPr>
                <w:rFonts w:ascii="Calibri" w:hAnsi="Calibri" w:cs="Calibri"/>
                <w:color w:val="000000"/>
                <w:sz w:val="20"/>
                <w:szCs w:val="20"/>
              </w:rPr>
            </w:pPr>
            <w:r w:rsidRPr="0056578F">
              <w:rPr>
                <w:rFonts w:ascii="Calibri" w:hAnsi="Calibri" w:cs="Calibri"/>
                <w:color w:val="000000"/>
                <w:sz w:val="20"/>
                <w:szCs w:val="20"/>
              </w:rPr>
              <w:t>305</w:t>
            </w:r>
          </w:p>
        </w:tc>
        <w:tc>
          <w:tcPr>
            <w:tcW w:w="1808" w:type="dxa"/>
            <w:noWrap/>
            <w:vAlign w:val="center"/>
          </w:tcPr>
          <w:p w14:paraId="6E283C77" w14:textId="10BB097B" w:rsidR="00CA2F99" w:rsidRPr="0056578F" w:rsidRDefault="00CA2F99" w:rsidP="00A03F9A">
            <w:pPr>
              <w:jc w:val="center"/>
              <w:rPr>
                <w:rFonts w:ascii="Calibri" w:hAnsi="Calibri" w:cs="Calibri"/>
                <w:color w:val="000000"/>
                <w:sz w:val="20"/>
                <w:szCs w:val="20"/>
              </w:rPr>
            </w:pPr>
            <w:r w:rsidRPr="0056578F">
              <w:rPr>
                <w:rFonts w:ascii="Calibri" w:hAnsi="Calibri" w:cs="Calibri"/>
                <w:color w:val="000000"/>
                <w:sz w:val="20"/>
                <w:szCs w:val="20"/>
              </w:rPr>
              <w:t>295</w:t>
            </w:r>
          </w:p>
        </w:tc>
      </w:tr>
      <w:tr w:rsidR="00CA2F99" w:rsidRPr="0056578F" w14:paraId="7A093092" w14:textId="77777777" w:rsidTr="00A03F9A">
        <w:trPr>
          <w:trHeight w:val="300"/>
        </w:trPr>
        <w:tc>
          <w:tcPr>
            <w:tcW w:w="1974" w:type="dxa"/>
            <w:vMerge/>
            <w:noWrap/>
            <w:vAlign w:val="center"/>
          </w:tcPr>
          <w:p w14:paraId="7D0605C2" w14:textId="77777777" w:rsidR="00CA2F99" w:rsidRPr="0056578F" w:rsidRDefault="00CA2F99" w:rsidP="00A03F9A">
            <w:pPr>
              <w:rPr>
                <w:sz w:val="20"/>
                <w:szCs w:val="20"/>
              </w:rPr>
            </w:pPr>
          </w:p>
        </w:tc>
        <w:tc>
          <w:tcPr>
            <w:tcW w:w="1775" w:type="dxa"/>
            <w:noWrap/>
            <w:vAlign w:val="center"/>
          </w:tcPr>
          <w:p w14:paraId="6B17F163" w14:textId="72675E77" w:rsidR="00CA2F99" w:rsidRPr="0056578F" w:rsidRDefault="00CA2F99" w:rsidP="00A03F9A">
            <w:pPr>
              <w:rPr>
                <w:sz w:val="20"/>
                <w:szCs w:val="20"/>
              </w:rPr>
            </w:pPr>
            <w:r w:rsidRPr="0056578F">
              <w:rPr>
                <w:rFonts w:ascii="Calibri" w:hAnsi="Calibri" w:cs="Calibri"/>
                <w:color w:val="000000"/>
                <w:sz w:val="20"/>
                <w:szCs w:val="20"/>
              </w:rPr>
              <w:t>Difference</w:t>
            </w:r>
          </w:p>
        </w:tc>
        <w:tc>
          <w:tcPr>
            <w:tcW w:w="1808" w:type="dxa"/>
            <w:noWrap/>
            <w:vAlign w:val="center"/>
          </w:tcPr>
          <w:p w14:paraId="1094645F" w14:textId="029FF092" w:rsidR="00CA2F99" w:rsidRPr="0056578F" w:rsidRDefault="00CA2F99" w:rsidP="00A03F9A">
            <w:pPr>
              <w:jc w:val="center"/>
              <w:rPr>
                <w:rFonts w:ascii="Calibri" w:hAnsi="Calibri" w:cs="Calibri"/>
                <w:color w:val="000000"/>
                <w:sz w:val="20"/>
                <w:szCs w:val="20"/>
              </w:rPr>
            </w:pPr>
            <w:r w:rsidRPr="0056578F">
              <w:rPr>
                <w:rFonts w:ascii="Calibri" w:hAnsi="Calibri" w:cs="Calibri"/>
                <w:color w:val="000000"/>
                <w:sz w:val="20"/>
                <w:szCs w:val="20"/>
              </w:rPr>
              <w:t>-81%</w:t>
            </w:r>
          </w:p>
        </w:tc>
        <w:tc>
          <w:tcPr>
            <w:tcW w:w="1808" w:type="dxa"/>
            <w:noWrap/>
            <w:vAlign w:val="center"/>
          </w:tcPr>
          <w:p w14:paraId="27DB384D" w14:textId="4CDCD5E6" w:rsidR="00CA2F99" w:rsidRPr="0056578F" w:rsidRDefault="00CA2F99" w:rsidP="00A03F9A">
            <w:pPr>
              <w:jc w:val="center"/>
              <w:rPr>
                <w:rFonts w:ascii="Calibri" w:hAnsi="Calibri" w:cs="Calibri"/>
                <w:color w:val="000000"/>
                <w:sz w:val="20"/>
                <w:szCs w:val="20"/>
              </w:rPr>
            </w:pPr>
            <w:r w:rsidRPr="0056578F">
              <w:rPr>
                <w:rFonts w:ascii="Calibri" w:hAnsi="Calibri" w:cs="Calibri"/>
                <w:color w:val="000000"/>
                <w:sz w:val="20"/>
                <w:szCs w:val="20"/>
              </w:rPr>
              <w:t>-77%</w:t>
            </w:r>
          </w:p>
        </w:tc>
        <w:tc>
          <w:tcPr>
            <w:tcW w:w="1808" w:type="dxa"/>
            <w:noWrap/>
            <w:vAlign w:val="center"/>
          </w:tcPr>
          <w:p w14:paraId="200BA6C2" w14:textId="4F06AFA0" w:rsidR="00CA2F99" w:rsidRPr="0056578F" w:rsidRDefault="00CA2F99" w:rsidP="00A03F9A">
            <w:pPr>
              <w:jc w:val="center"/>
              <w:rPr>
                <w:rFonts w:ascii="Calibri" w:hAnsi="Calibri" w:cs="Calibri"/>
                <w:color w:val="000000"/>
                <w:sz w:val="20"/>
                <w:szCs w:val="20"/>
              </w:rPr>
            </w:pPr>
            <w:r w:rsidRPr="0056578F">
              <w:rPr>
                <w:rFonts w:ascii="Calibri" w:hAnsi="Calibri" w:cs="Calibri"/>
                <w:color w:val="000000"/>
                <w:sz w:val="20"/>
                <w:szCs w:val="20"/>
              </w:rPr>
              <w:t>-79%</w:t>
            </w:r>
          </w:p>
        </w:tc>
      </w:tr>
      <w:tr w:rsidR="005E3A54" w:rsidRPr="0056578F" w14:paraId="6CF9D5DE" w14:textId="77777777" w:rsidTr="00434E14">
        <w:trPr>
          <w:trHeight w:val="300"/>
        </w:trPr>
        <w:tc>
          <w:tcPr>
            <w:tcW w:w="1974" w:type="dxa"/>
            <w:vMerge w:val="restart"/>
            <w:noWrap/>
            <w:vAlign w:val="center"/>
            <w:hideMark/>
          </w:tcPr>
          <w:p w14:paraId="49219D48" w14:textId="77777777" w:rsidR="005E3A54" w:rsidRPr="0056578F" w:rsidRDefault="005E3A54" w:rsidP="005E3A54">
            <w:pPr>
              <w:rPr>
                <w:sz w:val="20"/>
                <w:szCs w:val="20"/>
              </w:rPr>
            </w:pPr>
            <w:r w:rsidRPr="0056578F">
              <w:rPr>
                <w:sz w:val="20"/>
                <w:szCs w:val="20"/>
              </w:rPr>
              <w:t>Net cost to government</w:t>
            </w:r>
          </w:p>
        </w:tc>
        <w:tc>
          <w:tcPr>
            <w:tcW w:w="1775" w:type="dxa"/>
            <w:noWrap/>
            <w:vAlign w:val="center"/>
            <w:hideMark/>
          </w:tcPr>
          <w:p w14:paraId="299B9D90" w14:textId="77777777" w:rsidR="005E3A54" w:rsidRPr="0056578F" w:rsidRDefault="005E3A54" w:rsidP="005E3A54">
            <w:pPr>
              <w:rPr>
                <w:sz w:val="20"/>
                <w:szCs w:val="20"/>
              </w:rPr>
            </w:pPr>
            <w:r w:rsidRPr="0056578F">
              <w:rPr>
                <w:sz w:val="20"/>
                <w:szCs w:val="20"/>
              </w:rPr>
              <w:t>Predicted</w:t>
            </w:r>
          </w:p>
        </w:tc>
        <w:tc>
          <w:tcPr>
            <w:tcW w:w="1808" w:type="dxa"/>
            <w:noWrap/>
            <w:hideMark/>
          </w:tcPr>
          <w:p w14:paraId="51F85EF3" w14:textId="37E81CFB" w:rsidR="005E3A54" w:rsidRPr="005E3A54" w:rsidRDefault="005E3A54" w:rsidP="005E3A54">
            <w:pPr>
              <w:jc w:val="center"/>
              <w:rPr>
                <w:sz w:val="20"/>
                <w:szCs w:val="20"/>
              </w:rPr>
            </w:pPr>
            <w:r w:rsidRPr="005E3A54">
              <w:rPr>
                <w:sz w:val="20"/>
                <w:szCs w:val="20"/>
              </w:rPr>
              <w:t xml:space="preserve">$6,535,235 </w:t>
            </w:r>
          </w:p>
        </w:tc>
        <w:tc>
          <w:tcPr>
            <w:tcW w:w="1808" w:type="dxa"/>
            <w:noWrap/>
            <w:hideMark/>
          </w:tcPr>
          <w:p w14:paraId="405F6E9D" w14:textId="4734435B" w:rsidR="005E3A54" w:rsidRPr="005E3A54" w:rsidRDefault="005E3A54" w:rsidP="005E3A54">
            <w:pPr>
              <w:jc w:val="center"/>
              <w:rPr>
                <w:sz w:val="20"/>
                <w:szCs w:val="20"/>
              </w:rPr>
            </w:pPr>
            <w:r w:rsidRPr="005E3A54">
              <w:rPr>
                <w:sz w:val="20"/>
                <w:szCs w:val="20"/>
              </w:rPr>
              <w:t xml:space="preserve">$6,492,756 </w:t>
            </w:r>
          </w:p>
        </w:tc>
        <w:tc>
          <w:tcPr>
            <w:tcW w:w="1808" w:type="dxa"/>
            <w:noWrap/>
            <w:hideMark/>
          </w:tcPr>
          <w:p w14:paraId="28234AD0" w14:textId="589DA711" w:rsidR="005E3A54" w:rsidRPr="005E3A54" w:rsidRDefault="005E3A54" w:rsidP="005E3A54">
            <w:pPr>
              <w:jc w:val="center"/>
              <w:rPr>
                <w:sz w:val="20"/>
                <w:szCs w:val="20"/>
              </w:rPr>
            </w:pPr>
            <w:r w:rsidRPr="005E3A54">
              <w:rPr>
                <w:sz w:val="20"/>
                <w:szCs w:val="20"/>
              </w:rPr>
              <w:t xml:space="preserve">$6,928,446 </w:t>
            </w:r>
          </w:p>
        </w:tc>
      </w:tr>
      <w:tr w:rsidR="00CA2F99" w:rsidRPr="0056578F" w14:paraId="27C9AD2A" w14:textId="77777777" w:rsidTr="00A03F9A">
        <w:trPr>
          <w:trHeight w:val="300"/>
        </w:trPr>
        <w:tc>
          <w:tcPr>
            <w:tcW w:w="1974" w:type="dxa"/>
            <w:vMerge/>
            <w:hideMark/>
          </w:tcPr>
          <w:p w14:paraId="478E8A5A" w14:textId="77777777" w:rsidR="00CA2F99" w:rsidRPr="0056578F" w:rsidRDefault="00CA2F99" w:rsidP="00CA2F99">
            <w:pPr>
              <w:rPr>
                <w:sz w:val="20"/>
                <w:szCs w:val="20"/>
              </w:rPr>
            </w:pPr>
          </w:p>
        </w:tc>
        <w:tc>
          <w:tcPr>
            <w:tcW w:w="1775" w:type="dxa"/>
            <w:noWrap/>
            <w:vAlign w:val="center"/>
            <w:hideMark/>
          </w:tcPr>
          <w:p w14:paraId="425E7D54" w14:textId="77777777" w:rsidR="00CA2F99" w:rsidRPr="0056578F" w:rsidRDefault="00CA2F99" w:rsidP="00A03F9A">
            <w:pPr>
              <w:rPr>
                <w:sz w:val="20"/>
                <w:szCs w:val="20"/>
              </w:rPr>
            </w:pPr>
            <w:r w:rsidRPr="0056578F">
              <w:rPr>
                <w:sz w:val="20"/>
                <w:szCs w:val="20"/>
              </w:rPr>
              <w:t>Actual</w:t>
            </w:r>
          </w:p>
        </w:tc>
        <w:tc>
          <w:tcPr>
            <w:tcW w:w="1808" w:type="dxa"/>
            <w:noWrap/>
            <w:vAlign w:val="center"/>
            <w:hideMark/>
          </w:tcPr>
          <w:p w14:paraId="3DFAE92A" w14:textId="46CCE2EC" w:rsidR="00CA2F99" w:rsidRPr="0056578F" w:rsidRDefault="00CA2F99" w:rsidP="00A03F9A">
            <w:pPr>
              <w:jc w:val="center"/>
              <w:rPr>
                <w:sz w:val="20"/>
                <w:szCs w:val="20"/>
              </w:rPr>
            </w:pPr>
            <w:r w:rsidRPr="0056578F">
              <w:rPr>
                <w:rFonts w:ascii="Calibri" w:hAnsi="Calibri" w:cs="Calibri"/>
                <w:color w:val="000000"/>
                <w:sz w:val="20"/>
                <w:szCs w:val="20"/>
              </w:rPr>
              <w:t>$1,555,002</w:t>
            </w:r>
          </w:p>
        </w:tc>
        <w:tc>
          <w:tcPr>
            <w:tcW w:w="1808" w:type="dxa"/>
            <w:noWrap/>
            <w:vAlign w:val="center"/>
            <w:hideMark/>
          </w:tcPr>
          <w:p w14:paraId="5DCFCE71" w14:textId="7BA68009" w:rsidR="00CA2F99" w:rsidRPr="0056578F" w:rsidRDefault="00CA2F99" w:rsidP="00A03F9A">
            <w:pPr>
              <w:jc w:val="center"/>
              <w:rPr>
                <w:sz w:val="20"/>
                <w:szCs w:val="20"/>
              </w:rPr>
            </w:pPr>
            <w:r w:rsidRPr="0056578F">
              <w:rPr>
                <w:rFonts w:ascii="Calibri" w:hAnsi="Calibri" w:cs="Calibri"/>
                <w:color w:val="000000"/>
                <w:sz w:val="20"/>
                <w:szCs w:val="20"/>
              </w:rPr>
              <w:t>$1,859,794</w:t>
            </w:r>
          </w:p>
        </w:tc>
        <w:tc>
          <w:tcPr>
            <w:tcW w:w="1808" w:type="dxa"/>
            <w:noWrap/>
            <w:vAlign w:val="center"/>
            <w:hideMark/>
          </w:tcPr>
          <w:p w14:paraId="082FAB42" w14:textId="3A62575F" w:rsidR="00CA2F99" w:rsidRPr="0056578F" w:rsidRDefault="00CA2F99" w:rsidP="00A03F9A">
            <w:pPr>
              <w:jc w:val="center"/>
              <w:rPr>
                <w:sz w:val="20"/>
                <w:szCs w:val="20"/>
              </w:rPr>
            </w:pPr>
            <w:r w:rsidRPr="0056578F">
              <w:rPr>
                <w:rFonts w:ascii="Calibri" w:hAnsi="Calibri" w:cs="Calibri"/>
                <w:color w:val="000000"/>
                <w:sz w:val="20"/>
                <w:szCs w:val="20"/>
              </w:rPr>
              <w:t>$1,807,857</w:t>
            </w:r>
          </w:p>
        </w:tc>
      </w:tr>
      <w:tr w:rsidR="00CA2F99" w:rsidRPr="0056578F" w14:paraId="0090A077" w14:textId="77777777" w:rsidTr="00A03F9A">
        <w:trPr>
          <w:trHeight w:val="300"/>
        </w:trPr>
        <w:tc>
          <w:tcPr>
            <w:tcW w:w="1974" w:type="dxa"/>
            <w:vMerge/>
            <w:hideMark/>
          </w:tcPr>
          <w:p w14:paraId="7F04E1D8" w14:textId="77777777" w:rsidR="00CA2F99" w:rsidRPr="0056578F" w:rsidRDefault="00CA2F99" w:rsidP="00CA2F99">
            <w:pPr>
              <w:rPr>
                <w:sz w:val="20"/>
                <w:szCs w:val="20"/>
              </w:rPr>
            </w:pPr>
          </w:p>
        </w:tc>
        <w:tc>
          <w:tcPr>
            <w:tcW w:w="1775" w:type="dxa"/>
            <w:noWrap/>
            <w:vAlign w:val="center"/>
            <w:hideMark/>
          </w:tcPr>
          <w:p w14:paraId="79592782" w14:textId="77777777" w:rsidR="00CA2F99" w:rsidRPr="0056578F" w:rsidRDefault="00CA2F99" w:rsidP="00A03F9A">
            <w:pPr>
              <w:rPr>
                <w:sz w:val="20"/>
                <w:szCs w:val="20"/>
              </w:rPr>
            </w:pPr>
            <w:r w:rsidRPr="0056578F">
              <w:rPr>
                <w:sz w:val="20"/>
                <w:szCs w:val="20"/>
              </w:rPr>
              <w:t>Difference</w:t>
            </w:r>
          </w:p>
        </w:tc>
        <w:tc>
          <w:tcPr>
            <w:tcW w:w="1808" w:type="dxa"/>
            <w:noWrap/>
            <w:vAlign w:val="center"/>
            <w:hideMark/>
          </w:tcPr>
          <w:p w14:paraId="6C4D92CC" w14:textId="47DEEFF3" w:rsidR="00CA2F99" w:rsidRPr="0056578F" w:rsidRDefault="005E3A54" w:rsidP="00A03F9A">
            <w:pPr>
              <w:jc w:val="center"/>
              <w:rPr>
                <w:sz w:val="20"/>
                <w:szCs w:val="20"/>
              </w:rPr>
            </w:pPr>
            <w:r>
              <w:rPr>
                <w:rFonts w:ascii="Calibri" w:hAnsi="Calibri" w:cs="Calibri"/>
                <w:color w:val="000000"/>
                <w:sz w:val="20"/>
                <w:szCs w:val="20"/>
              </w:rPr>
              <w:t>-76</w:t>
            </w:r>
            <w:r w:rsidR="00CA2F99" w:rsidRPr="0056578F">
              <w:rPr>
                <w:rFonts w:ascii="Calibri" w:hAnsi="Calibri" w:cs="Calibri"/>
                <w:color w:val="000000"/>
                <w:sz w:val="20"/>
                <w:szCs w:val="20"/>
              </w:rPr>
              <w:t>%</w:t>
            </w:r>
          </w:p>
        </w:tc>
        <w:tc>
          <w:tcPr>
            <w:tcW w:w="1808" w:type="dxa"/>
            <w:noWrap/>
            <w:vAlign w:val="center"/>
            <w:hideMark/>
          </w:tcPr>
          <w:p w14:paraId="77057D97" w14:textId="0C01FBE8" w:rsidR="00CA2F99" w:rsidRPr="0056578F" w:rsidRDefault="005E3A54" w:rsidP="00A03F9A">
            <w:pPr>
              <w:jc w:val="center"/>
              <w:rPr>
                <w:sz w:val="20"/>
                <w:szCs w:val="20"/>
              </w:rPr>
            </w:pPr>
            <w:r>
              <w:rPr>
                <w:rFonts w:ascii="Calibri" w:hAnsi="Calibri" w:cs="Calibri"/>
                <w:color w:val="000000"/>
                <w:sz w:val="20"/>
                <w:szCs w:val="20"/>
              </w:rPr>
              <w:t>-71</w:t>
            </w:r>
            <w:r w:rsidR="00CA2F99" w:rsidRPr="0056578F">
              <w:rPr>
                <w:rFonts w:ascii="Calibri" w:hAnsi="Calibri" w:cs="Calibri"/>
                <w:color w:val="000000"/>
                <w:sz w:val="20"/>
                <w:szCs w:val="20"/>
              </w:rPr>
              <w:t>%</w:t>
            </w:r>
          </w:p>
        </w:tc>
        <w:tc>
          <w:tcPr>
            <w:tcW w:w="1808" w:type="dxa"/>
            <w:noWrap/>
            <w:vAlign w:val="center"/>
            <w:hideMark/>
          </w:tcPr>
          <w:p w14:paraId="28AFEFD6" w14:textId="29769388" w:rsidR="00CA2F99" w:rsidRPr="0056578F" w:rsidRDefault="005E3A54" w:rsidP="00A03F9A">
            <w:pPr>
              <w:jc w:val="center"/>
              <w:rPr>
                <w:sz w:val="20"/>
                <w:szCs w:val="20"/>
              </w:rPr>
            </w:pPr>
            <w:r>
              <w:rPr>
                <w:rFonts w:ascii="Calibri" w:hAnsi="Calibri" w:cs="Calibri"/>
                <w:color w:val="000000"/>
                <w:sz w:val="20"/>
                <w:szCs w:val="20"/>
              </w:rPr>
              <w:t>-74</w:t>
            </w:r>
            <w:r w:rsidR="00CA2F99" w:rsidRPr="0056578F">
              <w:rPr>
                <w:rFonts w:ascii="Calibri" w:hAnsi="Calibri" w:cs="Calibri"/>
                <w:color w:val="000000"/>
                <w:sz w:val="20"/>
                <w:szCs w:val="20"/>
              </w:rPr>
              <w:t>%</w:t>
            </w:r>
          </w:p>
        </w:tc>
      </w:tr>
    </w:tbl>
    <w:p w14:paraId="37AA724D" w14:textId="77777777" w:rsidR="00560680" w:rsidRDefault="00560680" w:rsidP="00A35800">
      <w:pPr>
        <w:rPr>
          <w:highlight w:val="yellow"/>
        </w:rPr>
      </w:pPr>
    </w:p>
    <w:p w14:paraId="05873CD9" w14:textId="79A20C34" w:rsidR="00560680" w:rsidRDefault="00B95567" w:rsidP="00A35800">
      <w:r w:rsidRPr="00B95567">
        <w:t xml:space="preserve">The number of </w:t>
      </w:r>
      <w:r>
        <w:t xml:space="preserve">patients treated with </w:t>
      </w:r>
      <w:r w:rsidR="00A04F95">
        <w:t>ponatinib</w:t>
      </w:r>
      <w:r>
        <w:t xml:space="preserve">, and the number of supplied prescriptions and the net cost to government, were all </w:t>
      </w:r>
      <w:r w:rsidR="00A04F95">
        <w:t xml:space="preserve">substantially lower than predicted. </w:t>
      </w:r>
      <w:r>
        <w:t xml:space="preserve">As the number of supplied prescriptions was overestimated more than the number of treated patients, it is possible some patients </w:t>
      </w:r>
      <w:r w:rsidR="0086375C">
        <w:t xml:space="preserve">had </w:t>
      </w:r>
      <w:r>
        <w:t>trialled ponatinib and not continued.</w:t>
      </w:r>
    </w:p>
    <w:p w14:paraId="7EB22AC1" w14:textId="180BE8B7" w:rsidR="00A04F95" w:rsidRDefault="00A96BD7" w:rsidP="00A35800">
      <w:r>
        <w:t>It is interesting that the number of packs of 15 mg tablets were overestimated more than the number of packs on 45 mg tablets, because in the cohort of all treated patients, the estimated prescribed d</w:t>
      </w:r>
      <w:r w:rsidR="00A04F95">
        <w:t>ose</w:t>
      </w:r>
      <w:r>
        <w:t xml:space="preserve"> was</w:t>
      </w:r>
      <w:r w:rsidR="00A04F95">
        <w:t xml:space="preserve"> lower than the recommen</w:t>
      </w:r>
      <w:r w:rsidR="00B95567">
        <w:t>d</w:t>
      </w:r>
      <w:r w:rsidR="00A04F95">
        <w:t xml:space="preserve">ed </w:t>
      </w:r>
      <w:r>
        <w:t xml:space="preserve">dose of </w:t>
      </w:r>
      <w:r w:rsidR="00A04F95">
        <w:t>45 mg daily</w:t>
      </w:r>
      <w:r>
        <w:t>. However, in the first 12 months of treatment of patients who initiated between April 2017 and March 2018</w:t>
      </w:r>
      <w:r w:rsidR="001C479B">
        <w:t>,</w:t>
      </w:r>
      <w:r>
        <w:t xml:space="preserve"> the estimated prescribed dose was 48 mg overall for second line patients.</w:t>
      </w:r>
    </w:p>
    <w:p w14:paraId="3555DFBA" w14:textId="6B6C65D6" w:rsidR="00591512" w:rsidRDefault="00AB3733" w:rsidP="00F73113">
      <w:pPr>
        <w:pStyle w:val="Heading1"/>
      </w:pPr>
      <w:r>
        <w:lastRenderedPageBreak/>
        <w:t>D</w:t>
      </w:r>
      <w:r w:rsidR="007346C7" w:rsidRPr="005E22C2">
        <w:t>iscussion</w:t>
      </w:r>
    </w:p>
    <w:p w14:paraId="5143A18A" w14:textId="55C3B544" w:rsidR="00123C9C" w:rsidRDefault="00170372" w:rsidP="00123C9C">
      <w:r>
        <w:t xml:space="preserve">The number of treated patients and the number of supplied prescriptions </w:t>
      </w:r>
      <w:r w:rsidR="00E51FE8">
        <w:t>ha</w:t>
      </w:r>
      <w:r w:rsidR="001210AB">
        <w:t>d</w:t>
      </w:r>
      <w:r w:rsidR="00E51FE8">
        <w:t xml:space="preserve"> continued to grow since the </w:t>
      </w:r>
      <w:r w:rsidR="00763870">
        <w:t xml:space="preserve">DUSC </w:t>
      </w:r>
      <w:r w:rsidR="00E51FE8">
        <w:t>analysis in 2014. The total number of prescriptions per month appear</w:t>
      </w:r>
      <w:r w:rsidR="001210AB">
        <w:t>ed</w:t>
      </w:r>
      <w:r w:rsidR="00E51FE8">
        <w:t xml:space="preserve"> to be gr</w:t>
      </w:r>
      <w:r w:rsidR="00B16D71">
        <w:t>owing in a steady linear manner. T</w:t>
      </w:r>
      <w:r w:rsidR="00E51FE8">
        <w:t>he listing</w:t>
      </w:r>
      <w:r w:rsidR="00B16D71">
        <w:t>s</w:t>
      </w:r>
      <w:r w:rsidR="00E51FE8">
        <w:t xml:space="preserve"> of dasatinib and nilotinib for chronic CML in 2012 ha</w:t>
      </w:r>
      <w:r w:rsidR="001210AB">
        <w:t xml:space="preserve">d </w:t>
      </w:r>
      <w:r w:rsidR="00E51FE8">
        <w:t>taken market share from imatinib</w:t>
      </w:r>
      <w:r w:rsidR="00B16D71">
        <w:t>,</w:t>
      </w:r>
      <w:r w:rsidR="00E51FE8">
        <w:t xml:space="preserve"> and ha</w:t>
      </w:r>
      <w:r w:rsidR="001210AB">
        <w:t>d</w:t>
      </w:r>
      <w:r w:rsidR="00B16D71">
        <w:t xml:space="preserve"> </w:t>
      </w:r>
      <w:r w:rsidR="00E51FE8">
        <w:t>not affected the rate of growth.</w:t>
      </w:r>
      <w:r w:rsidR="00E37CA0">
        <w:t xml:space="preserve"> However, due to price reductions </w:t>
      </w:r>
      <w:r w:rsidR="00262640">
        <w:t>triggered by</w:t>
      </w:r>
      <w:r w:rsidR="00E37CA0">
        <w:t xml:space="preserve"> the PBS listing of generic brands of imatinib, the total cost to government </w:t>
      </w:r>
      <w:r w:rsidR="00262640">
        <w:t>ha</w:t>
      </w:r>
      <w:r w:rsidR="001210AB">
        <w:t>d</w:t>
      </w:r>
      <w:r w:rsidR="00262640">
        <w:t xml:space="preserve"> decreased and it appear</w:t>
      </w:r>
      <w:r w:rsidR="001210AB">
        <w:t>ed</w:t>
      </w:r>
      <w:r w:rsidR="00262640">
        <w:t xml:space="preserve"> it </w:t>
      </w:r>
      <w:r w:rsidR="001210AB">
        <w:t>wa</w:t>
      </w:r>
      <w:r w:rsidR="00262640">
        <w:t>s continuing to decrease</w:t>
      </w:r>
      <w:r w:rsidR="00E37CA0">
        <w:t xml:space="preserve">. </w:t>
      </w:r>
    </w:p>
    <w:p w14:paraId="6FA07D4D" w14:textId="09AF635B" w:rsidR="00183DDF" w:rsidRDefault="00E51FE8" w:rsidP="002F538C">
      <w:r>
        <w:t>The number of treated and initiating patients per quarter align</w:t>
      </w:r>
      <w:r w:rsidR="00491D2B">
        <w:t>ed</w:t>
      </w:r>
      <w:r>
        <w:t xml:space="preserve"> with the analysis of the number of supplied authorities</w:t>
      </w:r>
      <w:r w:rsidR="00796EFC">
        <w:t xml:space="preserve"> which show</w:t>
      </w:r>
      <w:r w:rsidR="00491D2B">
        <w:t>ed</w:t>
      </w:r>
      <w:r w:rsidR="00796EFC">
        <w:t xml:space="preserve"> that the majority of use of medicines for CML is for patients with chronic disease in their first line of treatment, and the second </w:t>
      </w:r>
      <w:r w:rsidR="002F538C">
        <w:t>highest use</w:t>
      </w:r>
      <w:r w:rsidR="00796EFC">
        <w:t xml:space="preserve"> </w:t>
      </w:r>
      <w:r w:rsidR="00491D2B">
        <w:t>wa</w:t>
      </w:r>
      <w:r w:rsidR="00796EFC">
        <w:t>s for patients with chronic disease in their second line of treatment</w:t>
      </w:r>
      <w:r w:rsidR="002F538C">
        <w:t xml:space="preserve">. </w:t>
      </w:r>
      <w:r w:rsidR="00B16D71">
        <w:t xml:space="preserve">The use of TKIs for patients in the blast or accelerated phase of CML </w:t>
      </w:r>
      <w:r w:rsidR="00491D2B">
        <w:t>wa</w:t>
      </w:r>
      <w:r w:rsidR="00B16D71">
        <w:t xml:space="preserve">s much lower than the chronic phase. </w:t>
      </w:r>
      <w:r w:rsidR="002F538C">
        <w:t>Together with the number of treated and initiating patients per quarter, this show</w:t>
      </w:r>
      <w:r w:rsidR="00491D2B">
        <w:t>ed</w:t>
      </w:r>
      <w:r w:rsidR="002F538C">
        <w:t xml:space="preserve"> that the growing use of TKIs for CML </w:t>
      </w:r>
      <w:r w:rsidR="00491D2B">
        <w:t>wa</w:t>
      </w:r>
      <w:r w:rsidR="002F538C">
        <w:t>s driven by continuing patients being treated for chronic disease.</w:t>
      </w:r>
      <w:r w:rsidR="00D56555">
        <w:t xml:space="preserve"> </w:t>
      </w:r>
    </w:p>
    <w:p w14:paraId="6AE0BE16" w14:textId="452812C0" w:rsidR="00262640" w:rsidRDefault="00B16D71" w:rsidP="002F538C">
      <w:r>
        <w:t>The number of initiating patients per year may be slightly increasing over time, however ha</w:t>
      </w:r>
      <w:r w:rsidR="00491D2B">
        <w:t>d</w:t>
      </w:r>
      <w:r>
        <w:t xml:space="preserve"> been between 300 and 450 per year since 2003. The reported incidence</w:t>
      </w:r>
      <w:bookmarkStart w:id="5" w:name="_Ref18060167"/>
      <w:r>
        <w:rPr>
          <w:rStyle w:val="FootnoteReference"/>
        </w:rPr>
        <w:footnoteReference w:id="9"/>
      </w:r>
      <w:bookmarkEnd w:id="5"/>
      <w:r>
        <w:t xml:space="preserve"> appear</w:t>
      </w:r>
      <w:r w:rsidR="00491D2B">
        <w:t>ed</w:t>
      </w:r>
      <w:r>
        <w:t xml:space="preserve"> to be slowly increasing, although there was </w:t>
      </w:r>
      <w:r w:rsidR="006C4371">
        <w:t>a</w:t>
      </w:r>
      <w:r>
        <w:t>n increase between 2010 and 2012 which appear</w:t>
      </w:r>
      <w:r w:rsidR="00491D2B">
        <w:t>ed</w:t>
      </w:r>
      <w:r>
        <w:t xml:space="preserve"> to have since levelled off. The reported incidence of CML ha</w:t>
      </w:r>
      <w:r w:rsidR="00491D2B">
        <w:t>d</w:t>
      </w:r>
      <w:r>
        <w:t xml:space="preserve"> been between 260 and 375 per year between 2001 and 2015, with the highest reported value in 2012. T</w:t>
      </w:r>
      <w:r w:rsidR="00262640">
        <w:t>he age standardised incidence rate</w:t>
      </w:r>
      <w:r>
        <w:t xml:space="preserve"> ha</w:t>
      </w:r>
      <w:r w:rsidR="00491D2B">
        <w:t>d</w:t>
      </w:r>
      <w:r>
        <w:t xml:space="preserve"> been</w:t>
      </w:r>
      <w:r w:rsidR="00262640">
        <w:t xml:space="preserve"> fairly stable between 1.3 and 1.6 between 2001 and 2015</w:t>
      </w:r>
      <w:r>
        <w:t>, which suggest</w:t>
      </w:r>
      <w:r w:rsidR="00491D2B">
        <w:t>ed that</w:t>
      </w:r>
      <w:r>
        <w:t xml:space="preserve"> the slight in</w:t>
      </w:r>
      <w:r w:rsidR="00763870">
        <w:t xml:space="preserve">crease in initiating patients may </w:t>
      </w:r>
      <w:r w:rsidR="00491D2B">
        <w:t xml:space="preserve">have </w:t>
      </w:r>
      <w:r w:rsidR="00763870">
        <w:t>be</w:t>
      </w:r>
      <w:r w:rsidR="00491D2B">
        <w:t>en</w:t>
      </w:r>
      <w:r>
        <w:t xml:space="preserve"> due to the ageing population</w:t>
      </w:r>
      <w:r w:rsidR="00262640">
        <w:t>.</w:t>
      </w:r>
    </w:p>
    <w:p w14:paraId="0BB08F2A" w14:textId="2D641CB4" w:rsidR="00496699" w:rsidRDefault="00265675" w:rsidP="00265675">
      <w:r>
        <w:t>Since 2001, 3,557 (58%) male patients have initiated treatment for CML with one of these medicines, compared with 2,616 (42%) female patients. The proportion of male and female patients in 2018 was similar to these proportions. The number of diagnosed patients reported by the AIHW</w:t>
      </w:r>
      <w:r w:rsidR="00B16D71" w:rsidRPr="00744ED5">
        <w:rPr>
          <w:vertAlign w:val="superscript"/>
        </w:rPr>
        <w:fldChar w:fldCharType="begin"/>
      </w:r>
      <w:r w:rsidR="00B16D71" w:rsidRPr="00744ED5">
        <w:rPr>
          <w:vertAlign w:val="superscript"/>
        </w:rPr>
        <w:instrText xml:space="preserve"> NOTEREF _Ref18060167 \h </w:instrText>
      </w:r>
      <w:r w:rsidR="00B16D71">
        <w:rPr>
          <w:vertAlign w:val="superscript"/>
        </w:rPr>
        <w:instrText xml:space="preserve"> \* MERGEFORMAT </w:instrText>
      </w:r>
      <w:r w:rsidR="00B16D71" w:rsidRPr="00744ED5">
        <w:rPr>
          <w:vertAlign w:val="superscript"/>
        </w:rPr>
      </w:r>
      <w:r w:rsidR="00B16D71" w:rsidRPr="00744ED5">
        <w:rPr>
          <w:vertAlign w:val="superscript"/>
        </w:rPr>
        <w:fldChar w:fldCharType="separate"/>
      </w:r>
      <w:r w:rsidR="00434E14">
        <w:rPr>
          <w:vertAlign w:val="superscript"/>
        </w:rPr>
        <w:t>10</w:t>
      </w:r>
      <w:r w:rsidR="00B16D71" w:rsidRPr="00744ED5">
        <w:rPr>
          <w:vertAlign w:val="superscript"/>
        </w:rPr>
        <w:fldChar w:fldCharType="end"/>
      </w:r>
      <w:r>
        <w:t xml:space="preserve"> also matche</w:t>
      </w:r>
      <w:r w:rsidR="007368CF">
        <w:t>d</w:t>
      </w:r>
      <w:r>
        <w:t xml:space="preserve"> these proportions. The AIHW reported that between 2001 and 2015 there were 2,656 (58%) incident male patients and 1,927 (42%) incident female patients.</w:t>
      </w:r>
    </w:p>
    <w:p w14:paraId="4D91BD38" w14:textId="77777777" w:rsidR="008D1878" w:rsidRPr="008D1878" w:rsidRDefault="008D1878" w:rsidP="008D1878">
      <w:pPr>
        <w:keepNext/>
        <w:keepLines/>
        <w:spacing w:before="480" w:after="240"/>
        <w:outlineLvl w:val="0"/>
        <w:rPr>
          <w:rFonts w:eastAsiaTheme="majorEastAsia" w:cstheme="majorBidi"/>
          <w:b/>
          <w:bCs/>
          <w:sz w:val="32"/>
          <w:szCs w:val="32"/>
        </w:rPr>
      </w:pPr>
      <w:r w:rsidRPr="008D1878">
        <w:rPr>
          <w:rFonts w:eastAsiaTheme="majorEastAsia" w:cstheme="majorBidi"/>
          <w:b/>
          <w:bCs/>
          <w:sz w:val="32"/>
          <w:szCs w:val="32"/>
        </w:rPr>
        <w:t>DUSC consideration</w:t>
      </w:r>
    </w:p>
    <w:p w14:paraId="2E4C4374" w14:textId="77777777" w:rsidR="008D1878" w:rsidRPr="008D1878" w:rsidRDefault="008D1878" w:rsidP="008D1878">
      <w:pPr>
        <w:rPr>
          <w:rFonts w:cstheme="minorHAnsi"/>
        </w:rPr>
      </w:pPr>
      <w:r w:rsidRPr="008D1878">
        <w:rPr>
          <w:rFonts w:cstheme="minorHAnsi"/>
        </w:rPr>
        <w:t xml:space="preserve">DUSC noted the PBS restriction history reflects the addition of more TKIs and broadening of restrictions, followed by specific dosing guidance in 2012. DUSC noted that ponatinib was listed with a narrower restriction than imatinib, dasatinib and nilotinib. </w:t>
      </w:r>
    </w:p>
    <w:p w14:paraId="16391981" w14:textId="77777777" w:rsidR="008D1878" w:rsidRPr="008D1878" w:rsidRDefault="008D1878" w:rsidP="008D1878">
      <w:pPr>
        <w:rPr>
          <w:rFonts w:cstheme="minorHAnsi"/>
        </w:rPr>
      </w:pPr>
      <w:r w:rsidRPr="008D1878">
        <w:rPr>
          <w:rFonts w:cstheme="minorHAnsi"/>
        </w:rPr>
        <w:lastRenderedPageBreak/>
        <w:t>DUSC noted that the report showed the number of treated patients is growing steadily and that the number of initiating patients is stable. DUSC commented that the addition of ponatinib had not impacted the overall trend of growth in the utilisation of TKIs for CML.</w:t>
      </w:r>
    </w:p>
    <w:p w14:paraId="7B3BA17C" w14:textId="77777777" w:rsidR="008D1878" w:rsidRPr="008D1878" w:rsidRDefault="008D1878" w:rsidP="008D1878">
      <w:pPr>
        <w:rPr>
          <w:rFonts w:cstheme="minorHAnsi"/>
        </w:rPr>
      </w:pPr>
      <w:r w:rsidRPr="008D1878">
        <w:rPr>
          <w:rFonts w:cstheme="minorHAnsi"/>
        </w:rPr>
        <w:t xml:space="preserve">DUSC noted the report presented the top ten medicine sequences since the listing of imatinib in 2001, and since the listing of ponatinib in 2015. DUSC commented that the top ten medicine sequences showed that the majority of patients were treated with only one agent, which suggests patients tend to stay on the original TKI therapy they are initiated on, rather than switching to new therapies.  </w:t>
      </w:r>
    </w:p>
    <w:p w14:paraId="0CE30CFF" w14:textId="77777777" w:rsidR="008D1878" w:rsidRPr="008D1878" w:rsidRDefault="008D1878" w:rsidP="008D1878">
      <w:pPr>
        <w:rPr>
          <w:rFonts w:cstheme="minorHAnsi"/>
        </w:rPr>
      </w:pPr>
      <w:r w:rsidRPr="008D1878">
        <w:rPr>
          <w:rFonts w:cstheme="minorHAnsi"/>
        </w:rPr>
        <w:t>DUSC noted the overall length of time on PBS subsidised therapy was similar to the estimated length of treatment at the time of listing imatinib, dasatinib and nilotinib. DUSC commented that the time on therapy results indicated that the listing of TKIs for CML has been positive for patients.</w:t>
      </w:r>
    </w:p>
    <w:p w14:paraId="1B718DB3" w14:textId="77777777" w:rsidR="008D1878" w:rsidRPr="008D1878" w:rsidRDefault="008D1878" w:rsidP="008D1878">
      <w:pPr>
        <w:keepNext/>
        <w:keepLines/>
        <w:spacing w:before="480" w:after="240"/>
        <w:outlineLvl w:val="0"/>
        <w:rPr>
          <w:rFonts w:eastAsiaTheme="majorEastAsia" w:cstheme="majorBidi"/>
          <w:b/>
          <w:bCs/>
          <w:sz w:val="32"/>
          <w:szCs w:val="32"/>
        </w:rPr>
      </w:pPr>
      <w:r w:rsidRPr="008D1878">
        <w:rPr>
          <w:rFonts w:eastAsiaTheme="majorEastAsia" w:cstheme="majorBidi"/>
          <w:b/>
          <w:bCs/>
          <w:sz w:val="32"/>
          <w:szCs w:val="32"/>
        </w:rPr>
        <w:t>DUSC actions</w:t>
      </w:r>
    </w:p>
    <w:p w14:paraId="5DB2A5E2" w14:textId="77777777" w:rsidR="008D1878" w:rsidRPr="008D1878" w:rsidRDefault="008D1878" w:rsidP="008D1878">
      <w:pPr>
        <w:rPr>
          <w:rFonts w:eastAsia="Calibri" w:cstheme="minorHAnsi"/>
        </w:rPr>
      </w:pPr>
      <w:r w:rsidRPr="008D1878">
        <w:rPr>
          <w:rFonts w:eastAsia="Calibri" w:cstheme="minorHAnsi"/>
        </w:rPr>
        <w:t xml:space="preserve">DUSC requested that the report be provided to the PBAC for consideration. </w:t>
      </w:r>
    </w:p>
    <w:p w14:paraId="6A390E30" w14:textId="77777777" w:rsidR="008D1878" w:rsidRPr="008D1878" w:rsidRDefault="008D1878" w:rsidP="008D1878">
      <w:pPr>
        <w:keepNext/>
        <w:keepLines/>
        <w:spacing w:before="480" w:after="240"/>
        <w:outlineLvl w:val="0"/>
        <w:rPr>
          <w:rFonts w:eastAsiaTheme="majorEastAsia" w:cstheme="majorBidi"/>
          <w:b/>
          <w:bCs/>
          <w:sz w:val="32"/>
          <w:szCs w:val="32"/>
        </w:rPr>
      </w:pPr>
      <w:r w:rsidRPr="008D1878">
        <w:rPr>
          <w:rFonts w:eastAsiaTheme="majorEastAsia" w:cstheme="majorBidi"/>
          <w:b/>
          <w:bCs/>
          <w:sz w:val="32"/>
          <w:szCs w:val="32"/>
        </w:rPr>
        <w:t>Context for analysis</w:t>
      </w:r>
    </w:p>
    <w:p w14:paraId="29E2423F" w14:textId="77777777" w:rsidR="008D1878" w:rsidRPr="008D1878" w:rsidRDefault="008D1878" w:rsidP="008D1878">
      <w:r w:rsidRPr="008D1878">
        <w:t>The DUSC is a Sub Committee of the Pharmaceutical Benefits Advisory Committee (PBAC). The DUSC assesses estimates on projected usage and financial cost of medicines.</w:t>
      </w:r>
    </w:p>
    <w:p w14:paraId="6814398F" w14:textId="77777777" w:rsidR="008D1878" w:rsidRPr="008D1878" w:rsidRDefault="008D1878" w:rsidP="008D1878">
      <w:r w:rsidRPr="008D1878">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AF11882" w14:textId="77777777" w:rsidR="008D1878" w:rsidRPr="008D1878" w:rsidRDefault="008D1878" w:rsidP="008D1878">
      <w:r w:rsidRPr="008D1878">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E463334" w14:textId="77777777" w:rsidR="008D1878" w:rsidRPr="008D1878" w:rsidRDefault="008D1878" w:rsidP="008D1878">
      <w:r w:rsidRPr="008D1878">
        <w:t>The utilisation analysis report was provided to the pharmaceutical sponsors of each drug and comments on the report were provided to DUSC prior to its consideration of the analysis.</w:t>
      </w:r>
    </w:p>
    <w:p w14:paraId="26273506" w14:textId="77777777" w:rsidR="008D1878" w:rsidRPr="008D1878" w:rsidRDefault="008D1878" w:rsidP="008D1878">
      <w:pPr>
        <w:keepNext/>
        <w:keepLines/>
        <w:spacing w:before="480" w:after="240"/>
        <w:outlineLvl w:val="0"/>
        <w:rPr>
          <w:rFonts w:eastAsiaTheme="majorEastAsia" w:cstheme="majorBidi"/>
          <w:b/>
          <w:bCs/>
          <w:sz w:val="32"/>
          <w:szCs w:val="32"/>
        </w:rPr>
      </w:pPr>
      <w:r w:rsidRPr="008D1878">
        <w:rPr>
          <w:rFonts w:eastAsiaTheme="majorEastAsia" w:cstheme="majorBidi"/>
          <w:b/>
          <w:bCs/>
          <w:sz w:val="32"/>
          <w:szCs w:val="32"/>
        </w:rPr>
        <w:t>Sponsors’ comments</w:t>
      </w:r>
    </w:p>
    <w:p w14:paraId="77D5A484" w14:textId="77777777" w:rsidR="007638EE" w:rsidRDefault="007638EE" w:rsidP="007638EE">
      <w:pPr>
        <w:rPr>
          <w:lang w:val="en-US"/>
        </w:rPr>
      </w:pPr>
      <w:r w:rsidRPr="00CE214F">
        <w:t>Novartis Pharmaceuticals Australia Pty Limited</w:t>
      </w:r>
      <w:r>
        <w:rPr>
          <w:lang w:val="en-US"/>
        </w:rPr>
        <w:t>: Novartis thanks the DUSC for the opportunity to comment on this report, and agrees with the findings which continue to support the effectiveness of TKIs for the treatment of CML.</w:t>
      </w:r>
    </w:p>
    <w:p w14:paraId="4929E692" w14:textId="4819017A" w:rsidR="008D1878" w:rsidRPr="008D1878" w:rsidRDefault="007638EE" w:rsidP="008D1878">
      <w:r w:rsidRPr="00CE214F">
        <w:lastRenderedPageBreak/>
        <w:t>Bristol-Myers Squibb Australia Pty Ltd</w:t>
      </w:r>
      <w:r>
        <w:t xml:space="preserve">, </w:t>
      </w:r>
      <w:r w:rsidRPr="00544CBC">
        <w:t>Specialised Therapeutics Australia Pty Ltd</w:t>
      </w:r>
      <w:r>
        <w:t xml:space="preserve">, Alphapharm Pty Ltd, Cipla Australia Pty Ltd, Juno Pharmaceuticals Pty Ltd, Dr Reddy's Laboratories (Australia) Pty Ltd, Generic Health Pty Ltd, Apotex Pty Ltd, Sun Pharma ANZ Pty Ltd, Sandoz Pty Ltd: </w:t>
      </w:r>
      <w:r w:rsidR="008D1878" w:rsidRPr="0009134F">
        <w:t>The sponsor has no comment.</w:t>
      </w:r>
    </w:p>
    <w:p w14:paraId="677F3C23" w14:textId="77777777" w:rsidR="008D1878" w:rsidRPr="008D1878" w:rsidRDefault="008D1878" w:rsidP="008D1878">
      <w:pPr>
        <w:keepNext/>
        <w:keepLines/>
        <w:spacing w:before="480" w:after="240"/>
        <w:outlineLvl w:val="0"/>
        <w:rPr>
          <w:rFonts w:eastAsiaTheme="majorEastAsia" w:cstheme="majorBidi"/>
          <w:b/>
          <w:bCs/>
          <w:sz w:val="32"/>
          <w:szCs w:val="32"/>
        </w:rPr>
      </w:pPr>
      <w:r w:rsidRPr="008D1878">
        <w:rPr>
          <w:rFonts w:eastAsiaTheme="majorEastAsia" w:cstheme="majorBidi"/>
          <w:b/>
          <w:bCs/>
          <w:sz w:val="32"/>
          <w:szCs w:val="32"/>
        </w:rPr>
        <w:t>Disclaimer</w:t>
      </w:r>
    </w:p>
    <w:p w14:paraId="17330766" w14:textId="77777777" w:rsidR="008D1878" w:rsidRPr="008D1878" w:rsidRDefault="008D1878" w:rsidP="008D1878">
      <w:r w:rsidRPr="008D1878">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1BAF9120" w14:textId="77777777" w:rsidR="008D1878" w:rsidRPr="008D1878" w:rsidRDefault="008D1878" w:rsidP="008D1878">
      <w:r w:rsidRPr="008D1878">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395F2D86" w14:textId="77777777" w:rsidR="008D1878" w:rsidRPr="008D1878" w:rsidRDefault="008D1878" w:rsidP="008D1878">
      <w:r w:rsidRPr="008D1878">
        <w:t xml:space="preserve">To the extent provided by law, DoH makes no warranties or representations as to accuracy or completeness of information contained in this report. </w:t>
      </w:r>
    </w:p>
    <w:p w14:paraId="136250AA" w14:textId="77777777" w:rsidR="008D1878" w:rsidRPr="008D1878" w:rsidRDefault="008D1878" w:rsidP="008D1878">
      <w:r w:rsidRPr="008D1878">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15046246" w14:textId="3B937334" w:rsidR="00123C9C" w:rsidRDefault="00123C9C" w:rsidP="00123C9C"/>
    <w:sectPr w:rsidR="00123C9C" w:rsidSect="00DD188C">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BB38D" w14:textId="77777777" w:rsidR="00474A06" w:rsidRDefault="00474A06" w:rsidP="00A35800">
      <w:r>
        <w:separator/>
      </w:r>
    </w:p>
  </w:endnote>
  <w:endnote w:type="continuationSeparator" w:id="0">
    <w:p w14:paraId="46C551B4" w14:textId="77777777" w:rsidR="00474A06" w:rsidRDefault="00474A06"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474A06" w:rsidRDefault="00474A06"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474A06" w:rsidRDefault="00474A06"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4AFEDC5B" w14:textId="77777777" w:rsidR="00474A06" w:rsidRDefault="00474A06" w:rsidP="000E72C6">
            <w:pPr>
              <w:pStyle w:val="Footer"/>
              <w:jc w:val="center"/>
              <w:rPr>
                <w:i/>
                <w:sz w:val="20"/>
              </w:rPr>
            </w:pPr>
            <w:r w:rsidRPr="00575C98">
              <w:rPr>
                <w:i/>
                <w:sz w:val="20"/>
              </w:rPr>
              <w:t xml:space="preserve">Public Release Document, </w:t>
            </w:r>
            <w:r>
              <w:rPr>
                <w:i/>
                <w:sz w:val="20"/>
              </w:rPr>
              <w:t>October 2019 DUSC Meeting</w:t>
            </w:r>
          </w:p>
          <w:p w14:paraId="10292A9A" w14:textId="18084FBB" w:rsidR="00474A06" w:rsidRDefault="00474A06" w:rsidP="000E72C6">
            <w:pPr>
              <w:pStyle w:val="Footer"/>
              <w:jc w:val="center"/>
              <w:rPr>
                <w:rStyle w:val="PageNumber"/>
              </w:rPr>
            </w:pPr>
            <w:r>
              <w:rPr>
                <w:i/>
                <w:sz w:val="20"/>
              </w:rPr>
              <w:t>Page</w:t>
            </w:r>
            <w:r w:rsidRPr="00DD188C">
              <w:rPr>
                <w:i/>
                <w:sz w:val="20"/>
              </w:rPr>
              <w:t xml:space="preserve"> </w:t>
            </w:r>
            <w:r w:rsidRPr="00DD188C">
              <w:rPr>
                <w:bCs/>
                <w:i/>
                <w:sz w:val="20"/>
              </w:rPr>
              <w:fldChar w:fldCharType="begin"/>
            </w:r>
            <w:r w:rsidRPr="00DD188C">
              <w:rPr>
                <w:bCs/>
                <w:i/>
                <w:sz w:val="20"/>
              </w:rPr>
              <w:instrText xml:space="preserve"> PAGE </w:instrText>
            </w:r>
            <w:r w:rsidRPr="00DD188C">
              <w:rPr>
                <w:bCs/>
                <w:i/>
                <w:sz w:val="20"/>
              </w:rPr>
              <w:fldChar w:fldCharType="separate"/>
            </w:r>
            <w:r w:rsidR="00156CD0">
              <w:rPr>
                <w:bCs/>
                <w:i/>
                <w:noProof/>
                <w:sz w:val="20"/>
              </w:rPr>
              <w:t>22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56CD0">
              <w:rPr>
                <w:bCs/>
                <w:i/>
                <w:noProof/>
                <w:sz w:val="20"/>
              </w:rPr>
              <w:t>24</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474A06" w:rsidRDefault="00474A06" w:rsidP="007A5733">
    <w:pPr>
      <w:pStyle w:val="Footer"/>
      <w:jc w:val="center"/>
      <w:rPr>
        <w:rStyle w:val="PageNumber"/>
      </w:rPr>
    </w:pPr>
    <w:r>
      <w:rPr>
        <w:rStyle w:val="PageNumber"/>
      </w:rPr>
      <w:t>Committee-in-Confidence</w:t>
    </w:r>
  </w:p>
  <w:p w14:paraId="3CE6880B" w14:textId="77777777" w:rsidR="00474A06" w:rsidRDefault="00474A06"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8AA2F" w14:textId="77777777" w:rsidR="00474A06" w:rsidRDefault="00474A06" w:rsidP="00A35800">
      <w:r>
        <w:separator/>
      </w:r>
    </w:p>
  </w:footnote>
  <w:footnote w:type="continuationSeparator" w:id="0">
    <w:p w14:paraId="115E4ABC" w14:textId="77777777" w:rsidR="00474A06" w:rsidRDefault="00474A06" w:rsidP="00A35800">
      <w:r>
        <w:continuationSeparator/>
      </w:r>
    </w:p>
  </w:footnote>
  <w:footnote w:id="1">
    <w:p w14:paraId="2E32A7B6" w14:textId="1FC71FBD" w:rsidR="00474A06" w:rsidRDefault="00474A06">
      <w:pPr>
        <w:pStyle w:val="FootnoteText"/>
      </w:pPr>
      <w:r>
        <w:rPr>
          <w:rStyle w:val="FootnoteReference"/>
        </w:rPr>
        <w:footnoteRef/>
      </w:r>
      <w:r>
        <w:t xml:space="preserve"> </w:t>
      </w:r>
      <w:r w:rsidRPr="00385998">
        <w:t xml:space="preserve">Glivec (imatinib) </w:t>
      </w:r>
      <w:r>
        <w:t>Consumer Medicine</w:t>
      </w:r>
      <w:r w:rsidRPr="00385998">
        <w:t xml:space="preserve"> Information. Accessed </w:t>
      </w:r>
      <w:r>
        <w:t>18 July 2019</w:t>
      </w:r>
      <w:r w:rsidRPr="00385998">
        <w:t xml:space="preserve">. Available from </w:t>
      </w:r>
      <w:r w:rsidRPr="00AA6B33">
        <w:t>https://www.ebs.tga.gov.au/</w:t>
      </w:r>
    </w:p>
  </w:footnote>
  <w:footnote w:id="2">
    <w:p w14:paraId="6376DBEE" w14:textId="47AE0DE8" w:rsidR="00474A06" w:rsidRDefault="00474A06">
      <w:pPr>
        <w:pStyle w:val="FootnoteText"/>
      </w:pPr>
      <w:r>
        <w:rPr>
          <w:rStyle w:val="FootnoteReference"/>
        </w:rPr>
        <w:footnoteRef/>
      </w:r>
      <w:r>
        <w:t xml:space="preserve"> Tasigna (nilotinib</w:t>
      </w:r>
      <w:r w:rsidRPr="00385998">
        <w:t xml:space="preserve">) </w:t>
      </w:r>
      <w:r>
        <w:t>Consumer Medicine</w:t>
      </w:r>
      <w:r w:rsidRPr="00385998">
        <w:t xml:space="preserve"> Information. Accessed </w:t>
      </w:r>
      <w:r>
        <w:t>18 July 2019</w:t>
      </w:r>
      <w:r w:rsidRPr="00385998">
        <w:t xml:space="preserve">. Available from </w:t>
      </w:r>
      <w:r w:rsidRPr="00AA6B33">
        <w:t>https://www.ebs.tga.gov.au</w:t>
      </w:r>
      <w:r w:rsidRPr="00385998">
        <w:t>/</w:t>
      </w:r>
    </w:p>
  </w:footnote>
  <w:footnote w:id="3">
    <w:p w14:paraId="3C7ECDB7" w14:textId="77777777" w:rsidR="00474A06" w:rsidRDefault="00474A06" w:rsidP="00A7211B">
      <w:pPr>
        <w:pStyle w:val="FootnoteText"/>
      </w:pPr>
      <w:r>
        <w:rPr>
          <w:rStyle w:val="FootnoteReference"/>
        </w:rPr>
        <w:footnoteRef/>
      </w:r>
      <w:r>
        <w:t xml:space="preserve"> Sprycel (dasatinib</w:t>
      </w:r>
      <w:r w:rsidRPr="00385998">
        <w:t xml:space="preserve">) </w:t>
      </w:r>
      <w:r>
        <w:t>Consumer Medicine</w:t>
      </w:r>
      <w:r w:rsidRPr="00385998">
        <w:t xml:space="preserve"> Information. Accessed </w:t>
      </w:r>
      <w:r>
        <w:t>18 July 2019</w:t>
      </w:r>
      <w:r w:rsidRPr="00385998">
        <w:t xml:space="preserve">. Available from </w:t>
      </w:r>
      <w:r w:rsidRPr="00AA6B33">
        <w:t>https://www.ebs.tga.gov.au/</w:t>
      </w:r>
    </w:p>
  </w:footnote>
  <w:footnote w:id="4">
    <w:p w14:paraId="3F2FFD07" w14:textId="48288D6A" w:rsidR="00474A06" w:rsidRPr="00385998" w:rsidRDefault="00474A06" w:rsidP="00CD19F0">
      <w:pPr>
        <w:pStyle w:val="FootnoteText"/>
      </w:pPr>
      <w:r w:rsidRPr="00385998">
        <w:rPr>
          <w:rStyle w:val="FootnoteReference"/>
        </w:rPr>
        <w:footnoteRef/>
      </w:r>
      <w:r w:rsidRPr="00385998">
        <w:t xml:space="preserve"> Glivec (imatinib) Product Information. Accessed </w:t>
      </w:r>
      <w:r>
        <w:t>18 July 2019</w:t>
      </w:r>
      <w:r w:rsidRPr="00385998">
        <w:t xml:space="preserve">. Available from </w:t>
      </w:r>
      <w:r w:rsidRPr="00AA6B33">
        <w:t>https://www.ebs.tga.gov.au/</w:t>
      </w:r>
    </w:p>
  </w:footnote>
  <w:footnote w:id="5">
    <w:p w14:paraId="2F0ACB90" w14:textId="3F00ABE3" w:rsidR="00474A06" w:rsidRPr="00EF6209" w:rsidRDefault="00474A06" w:rsidP="00CD19F0">
      <w:pPr>
        <w:pStyle w:val="FootnoteText"/>
      </w:pPr>
      <w:r w:rsidRPr="00385998">
        <w:rPr>
          <w:rStyle w:val="FootnoteReference"/>
        </w:rPr>
        <w:footnoteRef/>
      </w:r>
      <w:r w:rsidRPr="00EF6209">
        <w:t xml:space="preserve"> </w:t>
      </w:r>
      <w:r>
        <w:t>Sprycel (dasatinib</w:t>
      </w:r>
      <w:r w:rsidRPr="00385998">
        <w:t xml:space="preserve">) Product Information. Accessed </w:t>
      </w:r>
      <w:r>
        <w:t>18 July 2019</w:t>
      </w:r>
      <w:r w:rsidRPr="00385998">
        <w:t xml:space="preserve">. Available from </w:t>
      </w:r>
      <w:r w:rsidRPr="00AA6B33">
        <w:t>https://www.ebs.tga.gov.au/</w:t>
      </w:r>
    </w:p>
  </w:footnote>
  <w:footnote w:id="6">
    <w:p w14:paraId="4C301ADE" w14:textId="26F321A0" w:rsidR="00474A06" w:rsidRPr="00EF6209" w:rsidRDefault="00474A06" w:rsidP="00CD19F0">
      <w:pPr>
        <w:pStyle w:val="FootnoteText"/>
      </w:pPr>
      <w:r w:rsidRPr="00547883">
        <w:rPr>
          <w:rStyle w:val="FootnoteReference"/>
        </w:rPr>
        <w:footnoteRef/>
      </w:r>
      <w:r w:rsidRPr="00547883">
        <w:t xml:space="preserve"> </w:t>
      </w:r>
      <w:r>
        <w:t>Tasigna (nilotinib</w:t>
      </w:r>
      <w:r w:rsidRPr="00385998">
        <w:t xml:space="preserve">) Product Information. Accessed </w:t>
      </w:r>
      <w:r>
        <w:t>18 July 2019</w:t>
      </w:r>
      <w:r w:rsidRPr="00385998">
        <w:t xml:space="preserve">. Available from </w:t>
      </w:r>
      <w:r w:rsidRPr="00AA6B33">
        <w:t>https://www.ebs.tga.gov.au</w:t>
      </w:r>
      <w:r>
        <w:t>/</w:t>
      </w:r>
    </w:p>
    <w:p w14:paraId="6C83A265" w14:textId="77777777" w:rsidR="00474A06" w:rsidRPr="00547883" w:rsidRDefault="00474A06" w:rsidP="00CD19F0">
      <w:pPr>
        <w:pStyle w:val="FootnoteText"/>
      </w:pPr>
    </w:p>
  </w:footnote>
  <w:footnote w:id="7">
    <w:p w14:paraId="671BF5D1" w14:textId="1744F976" w:rsidR="00474A06" w:rsidRDefault="00474A06" w:rsidP="00245256">
      <w:pPr>
        <w:pStyle w:val="FootnoteText"/>
      </w:pPr>
      <w:r>
        <w:rPr>
          <w:rStyle w:val="FootnoteReference"/>
        </w:rPr>
        <w:footnoteRef/>
      </w:r>
      <w:r>
        <w:t xml:space="preserve"> </w:t>
      </w:r>
      <w:r w:rsidRPr="00245256">
        <w:t>Iclusig</w:t>
      </w:r>
      <w:r>
        <w:t xml:space="preserve"> (ponatinib) Product Information. Accessed 18 July 2019. Available from https://www.ebs.tga.gov.au/</w:t>
      </w:r>
    </w:p>
  </w:footnote>
  <w:footnote w:id="8">
    <w:p w14:paraId="37644D0F" w14:textId="48DD2C04" w:rsidR="00474A06" w:rsidRDefault="00474A06">
      <w:pPr>
        <w:pStyle w:val="FootnoteText"/>
      </w:pPr>
      <w:r>
        <w:rPr>
          <w:rStyle w:val="FootnoteReference"/>
        </w:rPr>
        <w:footnoteRef/>
      </w:r>
      <w:r>
        <w:t xml:space="preserve"> Public Summary Document, Dasatinib, July 2011. Accessed at: </w:t>
      </w:r>
      <w:r w:rsidRPr="00695EE6">
        <w:t>http://www.pbs.gov.au/info/industry/listing/elements/pbac-meetings/psd/2011-07/pbac-psd-dasatinib-july11</w:t>
      </w:r>
    </w:p>
  </w:footnote>
  <w:footnote w:id="9">
    <w:p w14:paraId="2C28E005" w14:textId="77777777" w:rsidR="00474A06" w:rsidRDefault="00474A06" w:rsidP="00B16D71">
      <w:pPr>
        <w:pStyle w:val="FootnoteText"/>
      </w:pPr>
      <w:r>
        <w:rPr>
          <w:rStyle w:val="FootnoteReference"/>
        </w:rPr>
        <w:footnoteRef/>
      </w:r>
      <w:r>
        <w:t xml:space="preserve"> </w:t>
      </w:r>
      <w:r w:rsidRPr="00B16D71">
        <w:t>Australian Institute of Health and Welfare (AIHW) 2018 Cancer Data in Australia; Australian Cancer Incidence and Mortality (ACIM) books: chronic myeloid leukaemia Canberra: AIHW. &lt;https://www.aihw.gov.au/reports/cancer/cancer-data-in-australia/&gt;.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3F878" w14:textId="77777777" w:rsidR="00474A06" w:rsidRDefault="00474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F15D" w14:textId="77777777" w:rsidR="00474A06" w:rsidRPr="00575C98" w:rsidRDefault="00474A06" w:rsidP="00575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7C54" w14:textId="77777777" w:rsidR="00474A06" w:rsidRDefault="00474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CA5"/>
    <w:multiLevelType w:val="hybridMultilevel"/>
    <w:tmpl w:val="537C4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E641ED"/>
    <w:multiLevelType w:val="hybridMultilevel"/>
    <w:tmpl w:val="AAF63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4F612B"/>
    <w:multiLevelType w:val="hybridMultilevel"/>
    <w:tmpl w:val="F6FCA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1D1752"/>
    <w:multiLevelType w:val="hybridMultilevel"/>
    <w:tmpl w:val="90823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BF0CAF"/>
    <w:multiLevelType w:val="hybridMultilevel"/>
    <w:tmpl w:val="A2202F0C"/>
    <w:lvl w:ilvl="0" w:tplc="7D24364A">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5F54CB"/>
    <w:multiLevelType w:val="hybridMultilevel"/>
    <w:tmpl w:val="67AA3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121C53"/>
    <w:multiLevelType w:val="hybridMultilevel"/>
    <w:tmpl w:val="A2A4E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2880EB7"/>
    <w:multiLevelType w:val="hybridMultilevel"/>
    <w:tmpl w:val="099878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5407083"/>
    <w:multiLevelType w:val="hybridMultilevel"/>
    <w:tmpl w:val="50FAF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0"/>
  </w:num>
  <w:num w:numId="5">
    <w:abstractNumId w:val="3"/>
  </w:num>
  <w:num w:numId="6">
    <w:abstractNumId w:val="4"/>
  </w:num>
  <w:num w:numId="7">
    <w:abstractNumId w:val="7"/>
  </w:num>
  <w:num w:numId="8">
    <w:abstractNumId w:val="6"/>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6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29C6"/>
    <w:rsid w:val="00007E85"/>
    <w:rsid w:val="00013465"/>
    <w:rsid w:val="00021599"/>
    <w:rsid w:val="000226B3"/>
    <w:rsid w:val="00024549"/>
    <w:rsid w:val="00032FDF"/>
    <w:rsid w:val="000408AA"/>
    <w:rsid w:val="00050069"/>
    <w:rsid w:val="000543B7"/>
    <w:rsid w:val="000544B6"/>
    <w:rsid w:val="00056407"/>
    <w:rsid w:val="000604AF"/>
    <w:rsid w:val="00063625"/>
    <w:rsid w:val="00071B9F"/>
    <w:rsid w:val="00082491"/>
    <w:rsid w:val="00086C11"/>
    <w:rsid w:val="0009134F"/>
    <w:rsid w:val="00094DCF"/>
    <w:rsid w:val="000A53C1"/>
    <w:rsid w:val="000A6CFD"/>
    <w:rsid w:val="000B0982"/>
    <w:rsid w:val="000B796C"/>
    <w:rsid w:val="000C38D1"/>
    <w:rsid w:val="000C46BB"/>
    <w:rsid w:val="000C4D9D"/>
    <w:rsid w:val="000C7C4B"/>
    <w:rsid w:val="000C7D8B"/>
    <w:rsid w:val="000D2617"/>
    <w:rsid w:val="000E0A03"/>
    <w:rsid w:val="000E2CBA"/>
    <w:rsid w:val="000E485D"/>
    <w:rsid w:val="000E72C6"/>
    <w:rsid w:val="000F1893"/>
    <w:rsid w:val="000F2F51"/>
    <w:rsid w:val="000F38FD"/>
    <w:rsid w:val="001062F4"/>
    <w:rsid w:val="00113CF8"/>
    <w:rsid w:val="00113D74"/>
    <w:rsid w:val="00114C5C"/>
    <w:rsid w:val="00117C5C"/>
    <w:rsid w:val="001210AB"/>
    <w:rsid w:val="001230D8"/>
    <w:rsid w:val="00123C9C"/>
    <w:rsid w:val="00127B7C"/>
    <w:rsid w:val="001310AE"/>
    <w:rsid w:val="0013178D"/>
    <w:rsid w:val="001348FC"/>
    <w:rsid w:val="001366D0"/>
    <w:rsid w:val="00137232"/>
    <w:rsid w:val="001420B3"/>
    <w:rsid w:val="001460C4"/>
    <w:rsid w:val="0015231A"/>
    <w:rsid w:val="0015691C"/>
    <w:rsid w:val="00156CD0"/>
    <w:rsid w:val="00160E5A"/>
    <w:rsid w:val="001621F7"/>
    <w:rsid w:val="001624D7"/>
    <w:rsid w:val="00170372"/>
    <w:rsid w:val="00177B86"/>
    <w:rsid w:val="00182312"/>
    <w:rsid w:val="00182585"/>
    <w:rsid w:val="00183DDF"/>
    <w:rsid w:val="00191182"/>
    <w:rsid w:val="0019664D"/>
    <w:rsid w:val="001A5FE3"/>
    <w:rsid w:val="001A6103"/>
    <w:rsid w:val="001A6C3E"/>
    <w:rsid w:val="001B2335"/>
    <w:rsid w:val="001B4FEB"/>
    <w:rsid w:val="001B5D37"/>
    <w:rsid w:val="001B74D5"/>
    <w:rsid w:val="001C1D0B"/>
    <w:rsid w:val="001C2940"/>
    <w:rsid w:val="001C2F9C"/>
    <w:rsid w:val="001C4016"/>
    <w:rsid w:val="001C479B"/>
    <w:rsid w:val="001C548D"/>
    <w:rsid w:val="001C6A5D"/>
    <w:rsid w:val="001E31A6"/>
    <w:rsid w:val="001E42C7"/>
    <w:rsid w:val="001E4CAB"/>
    <w:rsid w:val="001E4F72"/>
    <w:rsid w:val="001F0A4E"/>
    <w:rsid w:val="001F2F3E"/>
    <w:rsid w:val="001F4906"/>
    <w:rsid w:val="001F7C4A"/>
    <w:rsid w:val="0020578A"/>
    <w:rsid w:val="00207631"/>
    <w:rsid w:val="0021068F"/>
    <w:rsid w:val="00213EC2"/>
    <w:rsid w:val="00214013"/>
    <w:rsid w:val="00220FC1"/>
    <w:rsid w:val="00222E9A"/>
    <w:rsid w:val="0023179D"/>
    <w:rsid w:val="00236C48"/>
    <w:rsid w:val="002439D2"/>
    <w:rsid w:val="00245256"/>
    <w:rsid w:val="002517D1"/>
    <w:rsid w:val="0025274B"/>
    <w:rsid w:val="0025389D"/>
    <w:rsid w:val="00254E02"/>
    <w:rsid w:val="00257697"/>
    <w:rsid w:val="00262640"/>
    <w:rsid w:val="0026265F"/>
    <w:rsid w:val="00265675"/>
    <w:rsid w:val="0027133D"/>
    <w:rsid w:val="00276203"/>
    <w:rsid w:val="00277BF5"/>
    <w:rsid w:val="00286C3A"/>
    <w:rsid w:val="002930F5"/>
    <w:rsid w:val="002A06B7"/>
    <w:rsid w:val="002A1128"/>
    <w:rsid w:val="002B1A57"/>
    <w:rsid w:val="002C2062"/>
    <w:rsid w:val="002C6E0C"/>
    <w:rsid w:val="002C7E36"/>
    <w:rsid w:val="002D144A"/>
    <w:rsid w:val="002D5048"/>
    <w:rsid w:val="002E0E5C"/>
    <w:rsid w:val="002E19A3"/>
    <w:rsid w:val="002E212B"/>
    <w:rsid w:val="002E3337"/>
    <w:rsid w:val="002E6D03"/>
    <w:rsid w:val="002F49A8"/>
    <w:rsid w:val="002F538C"/>
    <w:rsid w:val="002F5E66"/>
    <w:rsid w:val="002F61CA"/>
    <w:rsid w:val="002F6532"/>
    <w:rsid w:val="0030010D"/>
    <w:rsid w:val="00302F21"/>
    <w:rsid w:val="0030532E"/>
    <w:rsid w:val="003204A3"/>
    <w:rsid w:val="00327C64"/>
    <w:rsid w:val="00330061"/>
    <w:rsid w:val="0033504C"/>
    <w:rsid w:val="00336816"/>
    <w:rsid w:val="003370D0"/>
    <w:rsid w:val="00337355"/>
    <w:rsid w:val="003402E4"/>
    <w:rsid w:val="00340F95"/>
    <w:rsid w:val="00346AE2"/>
    <w:rsid w:val="003512E2"/>
    <w:rsid w:val="003531ED"/>
    <w:rsid w:val="00360B9A"/>
    <w:rsid w:val="00385E05"/>
    <w:rsid w:val="0039017F"/>
    <w:rsid w:val="00394AEE"/>
    <w:rsid w:val="003A6438"/>
    <w:rsid w:val="003B698E"/>
    <w:rsid w:val="003C2D98"/>
    <w:rsid w:val="003C5389"/>
    <w:rsid w:val="003C6EFE"/>
    <w:rsid w:val="003D3A96"/>
    <w:rsid w:val="003D3B9C"/>
    <w:rsid w:val="003D7A0A"/>
    <w:rsid w:val="003E6854"/>
    <w:rsid w:val="003F1E7F"/>
    <w:rsid w:val="00404F03"/>
    <w:rsid w:val="00406E8C"/>
    <w:rsid w:val="00412051"/>
    <w:rsid w:val="00420E6C"/>
    <w:rsid w:val="00423B94"/>
    <w:rsid w:val="00434E14"/>
    <w:rsid w:val="004376FF"/>
    <w:rsid w:val="00440E55"/>
    <w:rsid w:val="004428D7"/>
    <w:rsid w:val="0045213F"/>
    <w:rsid w:val="00463731"/>
    <w:rsid w:val="0046400A"/>
    <w:rsid w:val="004655EA"/>
    <w:rsid w:val="0046758D"/>
    <w:rsid w:val="004676B1"/>
    <w:rsid w:val="00467B25"/>
    <w:rsid w:val="00474A06"/>
    <w:rsid w:val="00477753"/>
    <w:rsid w:val="00481108"/>
    <w:rsid w:val="00482E43"/>
    <w:rsid w:val="00482E54"/>
    <w:rsid w:val="00483A18"/>
    <w:rsid w:val="0049042B"/>
    <w:rsid w:val="00491D2B"/>
    <w:rsid w:val="00495473"/>
    <w:rsid w:val="004963F7"/>
    <w:rsid w:val="00496699"/>
    <w:rsid w:val="004A458E"/>
    <w:rsid w:val="004B23E7"/>
    <w:rsid w:val="004B306F"/>
    <w:rsid w:val="004B5BF9"/>
    <w:rsid w:val="004C3186"/>
    <w:rsid w:val="004C3A81"/>
    <w:rsid w:val="004C45BB"/>
    <w:rsid w:val="004C5042"/>
    <w:rsid w:val="004D08D1"/>
    <w:rsid w:val="004D18AE"/>
    <w:rsid w:val="004D7E96"/>
    <w:rsid w:val="004E4422"/>
    <w:rsid w:val="0050327D"/>
    <w:rsid w:val="00503998"/>
    <w:rsid w:val="0050623B"/>
    <w:rsid w:val="00523181"/>
    <w:rsid w:val="00524C15"/>
    <w:rsid w:val="00524D13"/>
    <w:rsid w:val="005276EB"/>
    <w:rsid w:val="005339F6"/>
    <w:rsid w:val="0053415A"/>
    <w:rsid w:val="00534BD1"/>
    <w:rsid w:val="005412D0"/>
    <w:rsid w:val="00544CBC"/>
    <w:rsid w:val="0055374E"/>
    <w:rsid w:val="00560680"/>
    <w:rsid w:val="00560F4D"/>
    <w:rsid w:val="0056578F"/>
    <w:rsid w:val="00573DEA"/>
    <w:rsid w:val="00575210"/>
    <w:rsid w:val="00575C98"/>
    <w:rsid w:val="005762C4"/>
    <w:rsid w:val="00576B18"/>
    <w:rsid w:val="0058048E"/>
    <w:rsid w:val="00580B3C"/>
    <w:rsid w:val="00581AF8"/>
    <w:rsid w:val="00581E0D"/>
    <w:rsid w:val="00587724"/>
    <w:rsid w:val="00590019"/>
    <w:rsid w:val="00591512"/>
    <w:rsid w:val="005B2D91"/>
    <w:rsid w:val="005B3DC5"/>
    <w:rsid w:val="005B48B4"/>
    <w:rsid w:val="005C6661"/>
    <w:rsid w:val="005C6E3B"/>
    <w:rsid w:val="005D0291"/>
    <w:rsid w:val="005D474B"/>
    <w:rsid w:val="005D47EC"/>
    <w:rsid w:val="005E085C"/>
    <w:rsid w:val="005E147D"/>
    <w:rsid w:val="005E22C2"/>
    <w:rsid w:val="005E38AF"/>
    <w:rsid w:val="005E3A54"/>
    <w:rsid w:val="005E57BB"/>
    <w:rsid w:val="005F0017"/>
    <w:rsid w:val="005F1811"/>
    <w:rsid w:val="005F311C"/>
    <w:rsid w:val="006014F1"/>
    <w:rsid w:val="0060587D"/>
    <w:rsid w:val="0060603B"/>
    <w:rsid w:val="00611C42"/>
    <w:rsid w:val="0061357B"/>
    <w:rsid w:val="00614A7D"/>
    <w:rsid w:val="00623E43"/>
    <w:rsid w:val="00626E3F"/>
    <w:rsid w:val="0063631C"/>
    <w:rsid w:val="0063664C"/>
    <w:rsid w:val="0063729F"/>
    <w:rsid w:val="0063757B"/>
    <w:rsid w:val="006377CE"/>
    <w:rsid w:val="00644283"/>
    <w:rsid w:val="0064497C"/>
    <w:rsid w:val="006537D9"/>
    <w:rsid w:val="0065515A"/>
    <w:rsid w:val="0066467D"/>
    <w:rsid w:val="00664A48"/>
    <w:rsid w:val="00665A1A"/>
    <w:rsid w:val="00665A5B"/>
    <w:rsid w:val="00665DEF"/>
    <w:rsid w:val="00675BB1"/>
    <w:rsid w:val="006775F1"/>
    <w:rsid w:val="00692099"/>
    <w:rsid w:val="00692AA7"/>
    <w:rsid w:val="00695EE6"/>
    <w:rsid w:val="00697FEC"/>
    <w:rsid w:val="006A0074"/>
    <w:rsid w:val="006A175F"/>
    <w:rsid w:val="006A44F5"/>
    <w:rsid w:val="006A5381"/>
    <w:rsid w:val="006B0971"/>
    <w:rsid w:val="006B1470"/>
    <w:rsid w:val="006B4537"/>
    <w:rsid w:val="006B5F85"/>
    <w:rsid w:val="006B6929"/>
    <w:rsid w:val="006B709B"/>
    <w:rsid w:val="006B78C0"/>
    <w:rsid w:val="006C4371"/>
    <w:rsid w:val="006C54AF"/>
    <w:rsid w:val="006D730F"/>
    <w:rsid w:val="006E0181"/>
    <w:rsid w:val="006E387B"/>
    <w:rsid w:val="006E3F73"/>
    <w:rsid w:val="006F60F0"/>
    <w:rsid w:val="00700C0E"/>
    <w:rsid w:val="00702092"/>
    <w:rsid w:val="00705DAD"/>
    <w:rsid w:val="007075BE"/>
    <w:rsid w:val="00715B4C"/>
    <w:rsid w:val="00721FF6"/>
    <w:rsid w:val="007247B9"/>
    <w:rsid w:val="00727D85"/>
    <w:rsid w:val="00733564"/>
    <w:rsid w:val="007346C7"/>
    <w:rsid w:val="00736041"/>
    <w:rsid w:val="007368CF"/>
    <w:rsid w:val="007408C7"/>
    <w:rsid w:val="00741EB5"/>
    <w:rsid w:val="007432E4"/>
    <w:rsid w:val="00744ED5"/>
    <w:rsid w:val="00746283"/>
    <w:rsid w:val="007465DA"/>
    <w:rsid w:val="00752C7F"/>
    <w:rsid w:val="00753AAE"/>
    <w:rsid w:val="00763870"/>
    <w:rsid w:val="007638EE"/>
    <w:rsid w:val="007730EC"/>
    <w:rsid w:val="00774123"/>
    <w:rsid w:val="00776598"/>
    <w:rsid w:val="00777FCF"/>
    <w:rsid w:val="00780B8B"/>
    <w:rsid w:val="00792948"/>
    <w:rsid w:val="00796E84"/>
    <w:rsid w:val="00796EFC"/>
    <w:rsid w:val="007A3ADE"/>
    <w:rsid w:val="007A5733"/>
    <w:rsid w:val="007A5774"/>
    <w:rsid w:val="007B53E5"/>
    <w:rsid w:val="007B5767"/>
    <w:rsid w:val="007B7809"/>
    <w:rsid w:val="007C25E3"/>
    <w:rsid w:val="007C5923"/>
    <w:rsid w:val="007C6914"/>
    <w:rsid w:val="007C73E2"/>
    <w:rsid w:val="007D1619"/>
    <w:rsid w:val="007D35E2"/>
    <w:rsid w:val="007F7074"/>
    <w:rsid w:val="00801E74"/>
    <w:rsid w:val="00803590"/>
    <w:rsid w:val="0080485E"/>
    <w:rsid w:val="008142B4"/>
    <w:rsid w:val="008145BE"/>
    <w:rsid w:val="00832324"/>
    <w:rsid w:val="00834724"/>
    <w:rsid w:val="00835337"/>
    <w:rsid w:val="008410EE"/>
    <w:rsid w:val="00844697"/>
    <w:rsid w:val="00846DCD"/>
    <w:rsid w:val="00851D85"/>
    <w:rsid w:val="00860CCB"/>
    <w:rsid w:val="00862630"/>
    <w:rsid w:val="0086375C"/>
    <w:rsid w:val="008740A3"/>
    <w:rsid w:val="00874A15"/>
    <w:rsid w:val="00876E53"/>
    <w:rsid w:val="00877293"/>
    <w:rsid w:val="008773FD"/>
    <w:rsid w:val="0088194A"/>
    <w:rsid w:val="00886732"/>
    <w:rsid w:val="00890CCA"/>
    <w:rsid w:val="0089297B"/>
    <w:rsid w:val="00894A17"/>
    <w:rsid w:val="008A2448"/>
    <w:rsid w:val="008A2B76"/>
    <w:rsid w:val="008A443C"/>
    <w:rsid w:val="008A4EFD"/>
    <w:rsid w:val="008B73E9"/>
    <w:rsid w:val="008C36CA"/>
    <w:rsid w:val="008C43AF"/>
    <w:rsid w:val="008D1723"/>
    <w:rsid w:val="008D1878"/>
    <w:rsid w:val="008D6E67"/>
    <w:rsid w:val="008D752C"/>
    <w:rsid w:val="008E3F8C"/>
    <w:rsid w:val="008F2FE9"/>
    <w:rsid w:val="008F487D"/>
    <w:rsid w:val="00902FD0"/>
    <w:rsid w:val="009053D3"/>
    <w:rsid w:val="0090691F"/>
    <w:rsid w:val="009152B0"/>
    <w:rsid w:val="00925764"/>
    <w:rsid w:val="00927DD6"/>
    <w:rsid w:val="0093111F"/>
    <w:rsid w:val="00935689"/>
    <w:rsid w:val="0093787A"/>
    <w:rsid w:val="0095303B"/>
    <w:rsid w:val="00954398"/>
    <w:rsid w:val="00957556"/>
    <w:rsid w:val="0096040D"/>
    <w:rsid w:val="009663B6"/>
    <w:rsid w:val="00974A47"/>
    <w:rsid w:val="00980286"/>
    <w:rsid w:val="00986FF6"/>
    <w:rsid w:val="00990DCF"/>
    <w:rsid w:val="00993DC2"/>
    <w:rsid w:val="009A4CD6"/>
    <w:rsid w:val="009A537C"/>
    <w:rsid w:val="009A608D"/>
    <w:rsid w:val="009C0886"/>
    <w:rsid w:val="009C19EE"/>
    <w:rsid w:val="009C28D0"/>
    <w:rsid w:val="009C35F2"/>
    <w:rsid w:val="009C4015"/>
    <w:rsid w:val="009C7782"/>
    <w:rsid w:val="009D10C2"/>
    <w:rsid w:val="009D1707"/>
    <w:rsid w:val="009D1ED5"/>
    <w:rsid w:val="009D4676"/>
    <w:rsid w:val="009D4C13"/>
    <w:rsid w:val="009E21A7"/>
    <w:rsid w:val="009E6102"/>
    <w:rsid w:val="009E7616"/>
    <w:rsid w:val="009F138B"/>
    <w:rsid w:val="00A03F9A"/>
    <w:rsid w:val="00A04F95"/>
    <w:rsid w:val="00A103ED"/>
    <w:rsid w:val="00A127DA"/>
    <w:rsid w:val="00A13477"/>
    <w:rsid w:val="00A13C60"/>
    <w:rsid w:val="00A15134"/>
    <w:rsid w:val="00A26326"/>
    <w:rsid w:val="00A341A3"/>
    <w:rsid w:val="00A35800"/>
    <w:rsid w:val="00A3734D"/>
    <w:rsid w:val="00A426B4"/>
    <w:rsid w:val="00A52918"/>
    <w:rsid w:val="00A547B3"/>
    <w:rsid w:val="00A55A80"/>
    <w:rsid w:val="00A57B5C"/>
    <w:rsid w:val="00A704F7"/>
    <w:rsid w:val="00A70E82"/>
    <w:rsid w:val="00A7211B"/>
    <w:rsid w:val="00A75289"/>
    <w:rsid w:val="00A809DF"/>
    <w:rsid w:val="00A820B4"/>
    <w:rsid w:val="00A82B02"/>
    <w:rsid w:val="00A83840"/>
    <w:rsid w:val="00A84CAD"/>
    <w:rsid w:val="00A90E50"/>
    <w:rsid w:val="00A95FA5"/>
    <w:rsid w:val="00A96BD7"/>
    <w:rsid w:val="00A96D92"/>
    <w:rsid w:val="00A96FF9"/>
    <w:rsid w:val="00AA06AE"/>
    <w:rsid w:val="00AA7282"/>
    <w:rsid w:val="00AA7770"/>
    <w:rsid w:val="00AB199C"/>
    <w:rsid w:val="00AB3733"/>
    <w:rsid w:val="00AB588C"/>
    <w:rsid w:val="00AB7897"/>
    <w:rsid w:val="00AC0991"/>
    <w:rsid w:val="00AC5054"/>
    <w:rsid w:val="00AD5246"/>
    <w:rsid w:val="00AD7D3E"/>
    <w:rsid w:val="00AE3562"/>
    <w:rsid w:val="00AE4BAC"/>
    <w:rsid w:val="00AF05C5"/>
    <w:rsid w:val="00AF0B3C"/>
    <w:rsid w:val="00B034FC"/>
    <w:rsid w:val="00B05310"/>
    <w:rsid w:val="00B10A0B"/>
    <w:rsid w:val="00B16D71"/>
    <w:rsid w:val="00B21580"/>
    <w:rsid w:val="00B25686"/>
    <w:rsid w:val="00B30D85"/>
    <w:rsid w:val="00B35A4A"/>
    <w:rsid w:val="00B453CF"/>
    <w:rsid w:val="00B607AC"/>
    <w:rsid w:val="00B63FD7"/>
    <w:rsid w:val="00B6569C"/>
    <w:rsid w:val="00B66B2E"/>
    <w:rsid w:val="00B816D9"/>
    <w:rsid w:val="00B82AF4"/>
    <w:rsid w:val="00B9108A"/>
    <w:rsid w:val="00B9120F"/>
    <w:rsid w:val="00B9216C"/>
    <w:rsid w:val="00B924A4"/>
    <w:rsid w:val="00B93E04"/>
    <w:rsid w:val="00B95567"/>
    <w:rsid w:val="00BA0295"/>
    <w:rsid w:val="00BA1793"/>
    <w:rsid w:val="00BB0D1A"/>
    <w:rsid w:val="00BB1D3B"/>
    <w:rsid w:val="00BC35ED"/>
    <w:rsid w:val="00BD1763"/>
    <w:rsid w:val="00BE205A"/>
    <w:rsid w:val="00BE3802"/>
    <w:rsid w:val="00BE5230"/>
    <w:rsid w:val="00BF238E"/>
    <w:rsid w:val="00BF2F4A"/>
    <w:rsid w:val="00BF544D"/>
    <w:rsid w:val="00BF57D5"/>
    <w:rsid w:val="00C0076F"/>
    <w:rsid w:val="00C014A3"/>
    <w:rsid w:val="00C015F4"/>
    <w:rsid w:val="00C0301C"/>
    <w:rsid w:val="00C050B6"/>
    <w:rsid w:val="00C10F12"/>
    <w:rsid w:val="00C16878"/>
    <w:rsid w:val="00C245EA"/>
    <w:rsid w:val="00C256F6"/>
    <w:rsid w:val="00C2621D"/>
    <w:rsid w:val="00C3097E"/>
    <w:rsid w:val="00C3101C"/>
    <w:rsid w:val="00C35ECC"/>
    <w:rsid w:val="00C361A8"/>
    <w:rsid w:val="00C41246"/>
    <w:rsid w:val="00C45E5F"/>
    <w:rsid w:val="00C46291"/>
    <w:rsid w:val="00C46ED6"/>
    <w:rsid w:val="00C47594"/>
    <w:rsid w:val="00C63412"/>
    <w:rsid w:val="00C66BDF"/>
    <w:rsid w:val="00C714D0"/>
    <w:rsid w:val="00C71CB8"/>
    <w:rsid w:val="00C71E43"/>
    <w:rsid w:val="00C823B2"/>
    <w:rsid w:val="00C90EF4"/>
    <w:rsid w:val="00CA015A"/>
    <w:rsid w:val="00CA0D6B"/>
    <w:rsid w:val="00CA25DB"/>
    <w:rsid w:val="00CA2F99"/>
    <w:rsid w:val="00CB6C94"/>
    <w:rsid w:val="00CB7FC2"/>
    <w:rsid w:val="00CC1AA3"/>
    <w:rsid w:val="00CC5831"/>
    <w:rsid w:val="00CC73BF"/>
    <w:rsid w:val="00CD19F0"/>
    <w:rsid w:val="00CD4486"/>
    <w:rsid w:val="00CD5400"/>
    <w:rsid w:val="00CD66B7"/>
    <w:rsid w:val="00CE1622"/>
    <w:rsid w:val="00CE214F"/>
    <w:rsid w:val="00CF5E22"/>
    <w:rsid w:val="00D06A44"/>
    <w:rsid w:val="00D151EB"/>
    <w:rsid w:val="00D1727F"/>
    <w:rsid w:val="00D300E0"/>
    <w:rsid w:val="00D30ECE"/>
    <w:rsid w:val="00D354E1"/>
    <w:rsid w:val="00D374CD"/>
    <w:rsid w:val="00D474A7"/>
    <w:rsid w:val="00D50D59"/>
    <w:rsid w:val="00D53968"/>
    <w:rsid w:val="00D56555"/>
    <w:rsid w:val="00D61047"/>
    <w:rsid w:val="00D6434B"/>
    <w:rsid w:val="00D650CE"/>
    <w:rsid w:val="00D71719"/>
    <w:rsid w:val="00D76099"/>
    <w:rsid w:val="00D76D9C"/>
    <w:rsid w:val="00D776DA"/>
    <w:rsid w:val="00D843D0"/>
    <w:rsid w:val="00D86ED5"/>
    <w:rsid w:val="00D8758B"/>
    <w:rsid w:val="00D942B3"/>
    <w:rsid w:val="00D94863"/>
    <w:rsid w:val="00DA6D45"/>
    <w:rsid w:val="00DA7D09"/>
    <w:rsid w:val="00DB1BAC"/>
    <w:rsid w:val="00DB6981"/>
    <w:rsid w:val="00DC2630"/>
    <w:rsid w:val="00DC49E9"/>
    <w:rsid w:val="00DC55E4"/>
    <w:rsid w:val="00DC698F"/>
    <w:rsid w:val="00DC7D71"/>
    <w:rsid w:val="00DD188C"/>
    <w:rsid w:val="00DD29A3"/>
    <w:rsid w:val="00DD2C57"/>
    <w:rsid w:val="00DD48EE"/>
    <w:rsid w:val="00DE0B96"/>
    <w:rsid w:val="00DE10B9"/>
    <w:rsid w:val="00DE56A3"/>
    <w:rsid w:val="00DF0B13"/>
    <w:rsid w:val="00DF2EB8"/>
    <w:rsid w:val="00DF3B7A"/>
    <w:rsid w:val="00DF4A94"/>
    <w:rsid w:val="00DF6003"/>
    <w:rsid w:val="00E00095"/>
    <w:rsid w:val="00E066C3"/>
    <w:rsid w:val="00E10D8C"/>
    <w:rsid w:val="00E1353A"/>
    <w:rsid w:val="00E1564B"/>
    <w:rsid w:val="00E15F5D"/>
    <w:rsid w:val="00E208A0"/>
    <w:rsid w:val="00E2287C"/>
    <w:rsid w:val="00E23077"/>
    <w:rsid w:val="00E25B49"/>
    <w:rsid w:val="00E371EA"/>
    <w:rsid w:val="00E37CA0"/>
    <w:rsid w:val="00E51FE8"/>
    <w:rsid w:val="00E64429"/>
    <w:rsid w:val="00E677DD"/>
    <w:rsid w:val="00E7049C"/>
    <w:rsid w:val="00E74184"/>
    <w:rsid w:val="00E74BB2"/>
    <w:rsid w:val="00E7594B"/>
    <w:rsid w:val="00E87E91"/>
    <w:rsid w:val="00EB4688"/>
    <w:rsid w:val="00EB5B3C"/>
    <w:rsid w:val="00EB68CC"/>
    <w:rsid w:val="00EB6C07"/>
    <w:rsid w:val="00EB7B6A"/>
    <w:rsid w:val="00EC028D"/>
    <w:rsid w:val="00ED024B"/>
    <w:rsid w:val="00ED0427"/>
    <w:rsid w:val="00ED5FE2"/>
    <w:rsid w:val="00ED633B"/>
    <w:rsid w:val="00EE2BBB"/>
    <w:rsid w:val="00EE478C"/>
    <w:rsid w:val="00F101A5"/>
    <w:rsid w:val="00F1132C"/>
    <w:rsid w:val="00F14184"/>
    <w:rsid w:val="00F15DD5"/>
    <w:rsid w:val="00F161A6"/>
    <w:rsid w:val="00F16C2D"/>
    <w:rsid w:val="00F17D4B"/>
    <w:rsid w:val="00F20A88"/>
    <w:rsid w:val="00F23139"/>
    <w:rsid w:val="00F27F07"/>
    <w:rsid w:val="00F55185"/>
    <w:rsid w:val="00F6043C"/>
    <w:rsid w:val="00F60600"/>
    <w:rsid w:val="00F66CD5"/>
    <w:rsid w:val="00F67A9A"/>
    <w:rsid w:val="00F67B60"/>
    <w:rsid w:val="00F67F52"/>
    <w:rsid w:val="00F70F4E"/>
    <w:rsid w:val="00F73113"/>
    <w:rsid w:val="00F75FC4"/>
    <w:rsid w:val="00F85981"/>
    <w:rsid w:val="00F86DC8"/>
    <w:rsid w:val="00F86FFB"/>
    <w:rsid w:val="00F87263"/>
    <w:rsid w:val="00F92FC3"/>
    <w:rsid w:val="00F93725"/>
    <w:rsid w:val="00FA4890"/>
    <w:rsid w:val="00FA7B5D"/>
    <w:rsid w:val="00FA7C9C"/>
    <w:rsid w:val="00FB77FA"/>
    <w:rsid w:val="00FC151C"/>
    <w:rsid w:val="00FC327D"/>
    <w:rsid w:val="00FC3C70"/>
    <w:rsid w:val="00FC4A73"/>
    <w:rsid w:val="00FC4D4B"/>
    <w:rsid w:val="00FC559C"/>
    <w:rsid w:val="00FC7F0D"/>
    <w:rsid w:val="00FD0A73"/>
    <w:rsid w:val="00FD344A"/>
    <w:rsid w:val="00FE3316"/>
    <w:rsid w:val="00FE3E50"/>
    <w:rsid w:val="00FE5F05"/>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6561"/>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table" w:customStyle="1" w:styleId="TableGrid1">
    <w:name w:val="Table Grid1"/>
    <w:basedOn w:val="TableNormal"/>
    <w:next w:val="TableGrid"/>
    <w:uiPriority w:val="59"/>
    <w:rsid w:val="006B78C0"/>
    <w:pPr>
      <w:spacing w:after="0" w:line="240"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16D71"/>
    <w:pPr>
      <w:spacing w:after="0"/>
    </w:pPr>
    <w:rPr>
      <w:sz w:val="20"/>
      <w:szCs w:val="20"/>
    </w:rPr>
  </w:style>
  <w:style w:type="character" w:customStyle="1" w:styleId="EndnoteTextChar">
    <w:name w:val="Endnote Text Char"/>
    <w:basedOn w:val="DefaultParagraphFont"/>
    <w:link w:val="EndnoteText"/>
    <w:uiPriority w:val="99"/>
    <w:semiHidden/>
    <w:rsid w:val="00B16D71"/>
    <w:rPr>
      <w:sz w:val="20"/>
      <w:szCs w:val="20"/>
    </w:rPr>
  </w:style>
  <w:style w:type="character" w:styleId="EndnoteReference">
    <w:name w:val="endnote reference"/>
    <w:basedOn w:val="DefaultParagraphFont"/>
    <w:uiPriority w:val="99"/>
    <w:semiHidden/>
    <w:unhideWhenUsed/>
    <w:rsid w:val="00B16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3007">
      <w:bodyDiv w:val="1"/>
      <w:marLeft w:val="0"/>
      <w:marRight w:val="0"/>
      <w:marTop w:val="0"/>
      <w:marBottom w:val="0"/>
      <w:divBdr>
        <w:top w:val="none" w:sz="0" w:space="0" w:color="auto"/>
        <w:left w:val="none" w:sz="0" w:space="0" w:color="auto"/>
        <w:bottom w:val="none" w:sz="0" w:space="0" w:color="auto"/>
        <w:right w:val="none" w:sz="0" w:space="0" w:color="auto"/>
      </w:divBdr>
    </w:div>
    <w:div w:id="44256302">
      <w:bodyDiv w:val="1"/>
      <w:marLeft w:val="0"/>
      <w:marRight w:val="0"/>
      <w:marTop w:val="0"/>
      <w:marBottom w:val="0"/>
      <w:divBdr>
        <w:top w:val="none" w:sz="0" w:space="0" w:color="auto"/>
        <w:left w:val="none" w:sz="0" w:space="0" w:color="auto"/>
        <w:bottom w:val="none" w:sz="0" w:space="0" w:color="auto"/>
        <w:right w:val="none" w:sz="0" w:space="0" w:color="auto"/>
      </w:divBdr>
    </w:div>
    <w:div w:id="48262607">
      <w:bodyDiv w:val="1"/>
      <w:marLeft w:val="0"/>
      <w:marRight w:val="0"/>
      <w:marTop w:val="0"/>
      <w:marBottom w:val="0"/>
      <w:divBdr>
        <w:top w:val="none" w:sz="0" w:space="0" w:color="auto"/>
        <w:left w:val="none" w:sz="0" w:space="0" w:color="auto"/>
        <w:bottom w:val="none" w:sz="0" w:space="0" w:color="auto"/>
        <w:right w:val="none" w:sz="0" w:space="0" w:color="auto"/>
      </w:divBdr>
    </w:div>
    <w:div w:id="80569173">
      <w:bodyDiv w:val="1"/>
      <w:marLeft w:val="0"/>
      <w:marRight w:val="0"/>
      <w:marTop w:val="0"/>
      <w:marBottom w:val="0"/>
      <w:divBdr>
        <w:top w:val="none" w:sz="0" w:space="0" w:color="auto"/>
        <w:left w:val="none" w:sz="0" w:space="0" w:color="auto"/>
        <w:bottom w:val="none" w:sz="0" w:space="0" w:color="auto"/>
        <w:right w:val="none" w:sz="0" w:space="0" w:color="auto"/>
      </w:divBdr>
    </w:div>
    <w:div w:id="127939536">
      <w:bodyDiv w:val="1"/>
      <w:marLeft w:val="0"/>
      <w:marRight w:val="0"/>
      <w:marTop w:val="0"/>
      <w:marBottom w:val="0"/>
      <w:divBdr>
        <w:top w:val="none" w:sz="0" w:space="0" w:color="auto"/>
        <w:left w:val="none" w:sz="0" w:space="0" w:color="auto"/>
        <w:bottom w:val="none" w:sz="0" w:space="0" w:color="auto"/>
        <w:right w:val="none" w:sz="0" w:space="0" w:color="auto"/>
      </w:divBdr>
    </w:div>
    <w:div w:id="155658152">
      <w:bodyDiv w:val="1"/>
      <w:marLeft w:val="0"/>
      <w:marRight w:val="0"/>
      <w:marTop w:val="0"/>
      <w:marBottom w:val="0"/>
      <w:divBdr>
        <w:top w:val="none" w:sz="0" w:space="0" w:color="auto"/>
        <w:left w:val="none" w:sz="0" w:space="0" w:color="auto"/>
        <w:bottom w:val="none" w:sz="0" w:space="0" w:color="auto"/>
        <w:right w:val="none" w:sz="0" w:space="0" w:color="auto"/>
      </w:divBdr>
    </w:div>
    <w:div w:id="227113225">
      <w:bodyDiv w:val="1"/>
      <w:marLeft w:val="0"/>
      <w:marRight w:val="0"/>
      <w:marTop w:val="0"/>
      <w:marBottom w:val="0"/>
      <w:divBdr>
        <w:top w:val="none" w:sz="0" w:space="0" w:color="auto"/>
        <w:left w:val="none" w:sz="0" w:space="0" w:color="auto"/>
        <w:bottom w:val="none" w:sz="0" w:space="0" w:color="auto"/>
        <w:right w:val="none" w:sz="0" w:space="0" w:color="auto"/>
      </w:divBdr>
    </w:div>
    <w:div w:id="228931455">
      <w:bodyDiv w:val="1"/>
      <w:marLeft w:val="0"/>
      <w:marRight w:val="0"/>
      <w:marTop w:val="0"/>
      <w:marBottom w:val="0"/>
      <w:divBdr>
        <w:top w:val="none" w:sz="0" w:space="0" w:color="auto"/>
        <w:left w:val="none" w:sz="0" w:space="0" w:color="auto"/>
        <w:bottom w:val="none" w:sz="0" w:space="0" w:color="auto"/>
        <w:right w:val="none" w:sz="0" w:space="0" w:color="auto"/>
      </w:divBdr>
    </w:div>
    <w:div w:id="257570157">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35964727">
      <w:bodyDiv w:val="1"/>
      <w:marLeft w:val="0"/>
      <w:marRight w:val="0"/>
      <w:marTop w:val="0"/>
      <w:marBottom w:val="0"/>
      <w:divBdr>
        <w:top w:val="none" w:sz="0" w:space="0" w:color="auto"/>
        <w:left w:val="none" w:sz="0" w:space="0" w:color="auto"/>
        <w:bottom w:val="none" w:sz="0" w:space="0" w:color="auto"/>
        <w:right w:val="none" w:sz="0" w:space="0" w:color="auto"/>
      </w:divBdr>
    </w:div>
    <w:div w:id="557858771">
      <w:bodyDiv w:val="1"/>
      <w:marLeft w:val="0"/>
      <w:marRight w:val="0"/>
      <w:marTop w:val="0"/>
      <w:marBottom w:val="0"/>
      <w:divBdr>
        <w:top w:val="none" w:sz="0" w:space="0" w:color="auto"/>
        <w:left w:val="none" w:sz="0" w:space="0" w:color="auto"/>
        <w:bottom w:val="none" w:sz="0" w:space="0" w:color="auto"/>
        <w:right w:val="none" w:sz="0" w:space="0" w:color="auto"/>
      </w:divBdr>
    </w:div>
    <w:div w:id="567424762">
      <w:bodyDiv w:val="1"/>
      <w:marLeft w:val="0"/>
      <w:marRight w:val="0"/>
      <w:marTop w:val="0"/>
      <w:marBottom w:val="0"/>
      <w:divBdr>
        <w:top w:val="none" w:sz="0" w:space="0" w:color="auto"/>
        <w:left w:val="none" w:sz="0" w:space="0" w:color="auto"/>
        <w:bottom w:val="none" w:sz="0" w:space="0" w:color="auto"/>
        <w:right w:val="none" w:sz="0" w:space="0" w:color="auto"/>
      </w:divBdr>
    </w:div>
    <w:div w:id="668947468">
      <w:bodyDiv w:val="1"/>
      <w:marLeft w:val="0"/>
      <w:marRight w:val="0"/>
      <w:marTop w:val="0"/>
      <w:marBottom w:val="0"/>
      <w:divBdr>
        <w:top w:val="none" w:sz="0" w:space="0" w:color="auto"/>
        <w:left w:val="none" w:sz="0" w:space="0" w:color="auto"/>
        <w:bottom w:val="none" w:sz="0" w:space="0" w:color="auto"/>
        <w:right w:val="none" w:sz="0" w:space="0" w:color="auto"/>
      </w:divBdr>
    </w:div>
    <w:div w:id="683485011">
      <w:bodyDiv w:val="1"/>
      <w:marLeft w:val="0"/>
      <w:marRight w:val="0"/>
      <w:marTop w:val="0"/>
      <w:marBottom w:val="0"/>
      <w:divBdr>
        <w:top w:val="none" w:sz="0" w:space="0" w:color="auto"/>
        <w:left w:val="none" w:sz="0" w:space="0" w:color="auto"/>
        <w:bottom w:val="none" w:sz="0" w:space="0" w:color="auto"/>
        <w:right w:val="none" w:sz="0" w:space="0" w:color="auto"/>
      </w:divBdr>
    </w:div>
    <w:div w:id="820851036">
      <w:bodyDiv w:val="1"/>
      <w:marLeft w:val="0"/>
      <w:marRight w:val="0"/>
      <w:marTop w:val="0"/>
      <w:marBottom w:val="0"/>
      <w:divBdr>
        <w:top w:val="none" w:sz="0" w:space="0" w:color="auto"/>
        <w:left w:val="none" w:sz="0" w:space="0" w:color="auto"/>
        <w:bottom w:val="none" w:sz="0" w:space="0" w:color="auto"/>
        <w:right w:val="none" w:sz="0" w:space="0" w:color="auto"/>
      </w:divBdr>
    </w:div>
    <w:div w:id="842165140">
      <w:bodyDiv w:val="1"/>
      <w:marLeft w:val="0"/>
      <w:marRight w:val="0"/>
      <w:marTop w:val="0"/>
      <w:marBottom w:val="0"/>
      <w:divBdr>
        <w:top w:val="none" w:sz="0" w:space="0" w:color="auto"/>
        <w:left w:val="none" w:sz="0" w:space="0" w:color="auto"/>
        <w:bottom w:val="none" w:sz="0" w:space="0" w:color="auto"/>
        <w:right w:val="none" w:sz="0" w:space="0" w:color="auto"/>
      </w:divBdr>
    </w:div>
    <w:div w:id="881669637">
      <w:bodyDiv w:val="1"/>
      <w:marLeft w:val="0"/>
      <w:marRight w:val="0"/>
      <w:marTop w:val="0"/>
      <w:marBottom w:val="0"/>
      <w:divBdr>
        <w:top w:val="none" w:sz="0" w:space="0" w:color="auto"/>
        <w:left w:val="none" w:sz="0" w:space="0" w:color="auto"/>
        <w:bottom w:val="none" w:sz="0" w:space="0" w:color="auto"/>
        <w:right w:val="none" w:sz="0" w:space="0" w:color="auto"/>
      </w:divBdr>
    </w:div>
    <w:div w:id="897938217">
      <w:bodyDiv w:val="1"/>
      <w:marLeft w:val="0"/>
      <w:marRight w:val="0"/>
      <w:marTop w:val="0"/>
      <w:marBottom w:val="0"/>
      <w:divBdr>
        <w:top w:val="none" w:sz="0" w:space="0" w:color="auto"/>
        <w:left w:val="none" w:sz="0" w:space="0" w:color="auto"/>
        <w:bottom w:val="none" w:sz="0" w:space="0" w:color="auto"/>
        <w:right w:val="none" w:sz="0" w:space="0" w:color="auto"/>
      </w:divBdr>
    </w:div>
    <w:div w:id="1041899327">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20687341">
      <w:bodyDiv w:val="1"/>
      <w:marLeft w:val="0"/>
      <w:marRight w:val="0"/>
      <w:marTop w:val="0"/>
      <w:marBottom w:val="0"/>
      <w:divBdr>
        <w:top w:val="none" w:sz="0" w:space="0" w:color="auto"/>
        <w:left w:val="none" w:sz="0" w:space="0" w:color="auto"/>
        <w:bottom w:val="none" w:sz="0" w:space="0" w:color="auto"/>
        <w:right w:val="none" w:sz="0" w:space="0" w:color="auto"/>
      </w:divBdr>
    </w:div>
    <w:div w:id="1190337104">
      <w:bodyDiv w:val="1"/>
      <w:marLeft w:val="0"/>
      <w:marRight w:val="0"/>
      <w:marTop w:val="0"/>
      <w:marBottom w:val="0"/>
      <w:divBdr>
        <w:top w:val="none" w:sz="0" w:space="0" w:color="auto"/>
        <w:left w:val="none" w:sz="0" w:space="0" w:color="auto"/>
        <w:bottom w:val="none" w:sz="0" w:space="0" w:color="auto"/>
        <w:right w:val="none" w:sz="0" w:space="0" w:color="auto"/>
      </w:divBdr>
    </w:div>
    <w:div w:id="1221791536">
      <w:bodyDiv w:val="1"/>
      <w:marLeft w:val="0"/>
      <w:marRight w:val="0"/>
      <w:marTop w:val="0"/>
      <w:marBottom w:val="0"/>
      <w:divBdr>
        <w:top w:val="none" w:sz="0" w:space="0" w:color="auto"/>
        <w:left w:val="none" w:sz="0" w:space="0" w:color="auto"/>
        <w:bottom w:val="none" w:sz="0" w:space="0" w:color="auto"/>
        <w:right w:val="none" w:sz="0" w:space="0" w:color="auto"/>
      </w:divBdr>
    </w:div>
    <w:div w:id="1245140927">
      <w:bodyDiv w:val="1"/>
      <w:marLeft w:val="0"/>
      <w:marRight w:val="0"/>
      <w:marTop w:val="0"/>
      <w:marBottom w:val="0"/>
      <w:divBdr>
        <w:top w:val="none" w:sz="0" w:space="0" w:color="auto"/>
        <w:left w:val="none" w:sz="0" w:space="0" w:color="auto"/>
        <w:bottom w:val="none" w:sz="0" w:space="0" w:color="auto"/>
        <w:right w:val="none" w:sz="0" w:space="0" w:color="auto"/>
      </w:divBdr>
    </w:div>
    <w:div w:id="1292174760">
      <w:bodyDiv w:val="1"/>
      <w:marLeft w:val="0"/>
      <w:marRight w:val="0"/>
      <w:marTop w:val="0"/>
      <w:marBottom w:val="0"/>
      <w:divBdr>
        <w:top w:val="none" w:sz="0" w:space="0" w:color="auto"/>
        <w:left w:val="none" w:sz="0" w:space="0" w:color="auto"/>
        <w:bottom w:val="none" w:sz="0" w:space="0" w:color="auto"/>
        <w:right w:val="none" w:sz="0" w:space="0" w:color="auto"/>
      </w:divBdr>
    </w:div>
    <w:div w:id="1329290739">
      <w:bodyDiv w:val="1"/>
      <w:marLeft w:val="0"/>
      <w:marRight w:val="0"/>
      <w:marTop w:val="0"/>
      <w:marBottom w:val="0"/>
      <w:divBdr>
        <w:top w:val="none" w:sz="0" w:space="0" w:color="auto"/>
        <w:left w:val="none" w:sz="0" w:space="0" w:color="auto"/>
        <w:bottom w:val="none" w:sz="0" w:space="0" w:color="auto"/>
        <w:right w:val="none" w:sz="0" w:space="0" w:color="auto"/>
      </w:divBdr>
    </w:div>
    <w:div w:id="1350717671">
      <w:bodyDiv w:val="1"/>
      <w:marLeft w:val="0"/>
      <w:marRight w:val="0"/>
      <w:marTop w:val="0"/>
      <w:marBottom w:val="0"/>
      <w:divBdr>
        <w:top w:val="none" w:sz="0" w:space="0" w:color="auto"/>
        <w:left w:val="none" w:sz="0" w:space="0" w:color="auto"/>
        <w:bottom w:val="none" w:sz="0" w:space="0" w:color="auto"/>
        <w:right w:val="none" w:sz="0" w:space="0" w:color="auto"/>
      </w:divBdr>
    </w:div>
    <w:div w:id="1556623690">
      <w:bodyDiv w:val="1"/>
      <w:marLeft w:val="0"/>
      <w:marRight w:val="0"/>
      <w:marTop w:val="0"/>
      <w:marBottom w:val="0"/>
      <w:divBdr>
        <w:top w:val="none" w:sz="0" w:space="0" w:color="auto"/>
        <w:left w:val="none" w:sz="0" w:space="0" w:color="auto"/>
        <w:bottom w:val="none" w:sz="0" w:space="0" w:color="auto"/>
        <w:right w:val="none" w:sz="0" w:space="0" w:color="auto"/>
      </w:divBdr>
    </w:div>
    <w:div w:id="1568683075">
      <w:bodyDiv w:val="1"/>
      <w:marLeft w:val="0"/>
      <w:marRight w:val="0"/>
      <w:marTop w:val="0"/>
      <w:marBottom w:val="0"/>
      <w:divBdr>
        <w:top w:val="none" w:sz="0" w:space="0" w:color="auto"/>
        <w:left w:val="none" w:sz="0" w:space="0" w:color="auto"/>
        <w:bottom w:val="none" w:sz="0" w:space="0" w:color="auto"/>
        <w:right w:val="none" w:sz="0" w:space="0" w:color="auto"/>
      </w:divBdr>
    </w:div>
    <w:div w:id="1635987394">
      <w:bodyDiv w:val="1"/>
      <w:marLeft w:val="0"/>
      <w:marRight w:val="0"/>
      <w:marTop w:val="0"/>
      <w:marBottom w:val="0"/>
      <w:divBdr>
        <w:top w:val="none" w:sz="0" w:space="0" w:color="auto"/>
        <w:left w:val="none" w:sz="0" w:space="0" w:color="auto"/>
        <w:bottom w:val="none" w:sz="0" w:space="0" w:color="auto"/>
        <w:right w:val="none" w:sz="0" w:space="0" w:color="auto"/>
      </w:divBdr>
    </w:div>
    <w:div w:id="1678730380">
      <w:bodyDiv w:val="1"/>
      <w:marLeft w:val="0"/>
      <w:marRight w:val="0"/>
      <w:marTop w:val="0"/>
      <w:marBottom w:val="0"/>
      <w:divBdr>
        <w:top w:val="none" w:sz="0" w:space="0" w:color="auto"/>
        <w:left w:val="none" w:sz="0" w:space="0" w:color="auto"/>
        <w:bottom w:val="none" w:sz="0" w:space="0" w:color="auto"/>
        <w:right w:val="none" w:sz="0" w:space="0" w:color="auto"/>
      </w:divBdr>
    </w:div>
    <w:div w:id="1688751388">
      <w:bodyDiv w:val="1"/>
      <w:marLeft w:val="0"/>
      <w:marRight w:val="0"/>
      <w:marTop w:val="0"/>
      <w:marBottom w:val="0"/>
      <w:divBdr>
        <w:top w:val="none" w:sz="0" w:space="0" w:color="auto"/>
        <w:left w:val="none" w:sz="0" w:space="0" w:color="auto"/>
        <w:bottom w:val="none" w:sz="0" w:space="0" w:color="auto"/>
        <w:right w:val="none" w:sz="0" w:space="0" w:color="auto"/>
      </w:divBdr>
    </w:div>
    <w:div w:id="1700466504">
      <w:bodyDiv w:val="1"/>
      <w:marLeft w:val="0"/>
      <w:marRight w:val="0"/>
      <w:marTop w:val="0"/>
      <w:marBottom w:val="0"/>
      <w:divBdr>
        <w:top w:val="none" w:sz="0" w:space="0" w:color="auto"/>
        <w:left w:val="none" w:sz="0" w:space="0" w:color="auto"/>
        <w:bottom w:val="none" w:sz="0" w:space="0" w:color="auto"/>
        <w:right w:val="none" w:sz="0" w:space="0" w:color="auto"/>
      </w:divBdr>
    </w:div>
    <w:div w:id="1785031916">
      <w:bodyDiv w:val="1"/>
      <w:marLeft w:val="0"/>
      <w:marRight w:val="0"/>
      <w:marTop w:val="0"/>
      <w:marBottom w:val="0"/>
      <w:divBdr>
        <w:top w:val="none" w:sz="0" w:space="0" w:color="auto"/>
        <w:left w:val="none" w:sz="0" w:space="0" w:color="auto"/>
        <w:bottom w:val="none" w:sz="0" w:space="0" w:color="auto"/>
        <w:right w:val="none" w:sz="0" w:space="0" w:color="auto"/>
      </w:divBdr>
    </w:div>
    <w:div w:id="1879001255">
      <w:bodyDiv w:val="1"/>
      <w:marLeft w:val="0"/>
      <w:marRight w:val="0"/>
      <w:marTop w:val="0"/>
      <w:marBottom w:val="0"/>
      <w:divBdr>
        <w:top w:val="none" w:sz="0" w:space="0" w:color="auto"/>
        <w:left w:val="none" w:sz="0" w:space="0" w:color="auto"/>
        <w:bottom w:val="none" w:sz="0" w:space="0" w:color="auto"/>
        <w:right w:val="none" w:sz="0" w:space="0" w:color="auto"/>
      </w:divBdr>
    </w:div>
    <w:div w:id="1962302597">
      <w:bodyDiv w:val="1"/>
      <w:marLeft w:val="0"/>
      <w:marRight w:val="0"/>
      <w:marTop w:val="0"/>
      <w:marBottom w:val="0"/>
      <w:divBdr>
        <w:top w:val="none" w:sz="0" w:space="0" w:color="auto"/>
        <w:left w:val="none" w:sz="0" w:space="0" w:color="auto"/>
        <w:bottom w:val="none" w:sz="0" w:space="0" w:color="auto"/>
        <w:right w:val="none" w:sz="0" w:space="0" w:color="auto"/>
      </w:divBdr>
    </w:div>
    <w:div w:id="1978415839">
      <w:bodyDiv w:val="1"/>
      <w:marLeft w:val="0"/>
      <w:marRight w:val="0"/>
      <w:marTop w:val="0"/>
      <w:marBottom w:val="0"/>
      <w:divBdr>
        <w:top w:val="none" w:sz="0" w:space="0" w:color="auto"/>
        <w:left w:val="none" w:sz="0" w:space="0" w:color="auto"/>
        <w:bottom w:val="none" w:sz="0" w:space="0" w:color="auto"/>
        <w:right w:val="none" w:sz="0" w:space="0" w:color="auto"/>
      </w:divBdr>
    </w:div>
    <w:div w:id="1982999672">
      <w:bodyDiv w:val="1"/>
      <w:marLeft w:val="0"/>
      <w:marRight w:val="0"/>
      <w:marTop w:val="0"/>
      <w:marBottom w:val="0"/>
      <w:divBdr>
        <w:top w:val="none" w:sz="0" w:space="0" w:color="auto"/>
        <w:left w:val="none" w:sz="0" w:space="0" w:color="auto"/>
        <w:bottom w:val="none" w:sz="0" w:space="0" w:color="auto"/>
        <w:right w:val="none" w:sz="0" w:space="0" w:color="auto"/>
      </w:divBdr>
    </w:div>
    <w:div w:id="1996257491">
      <w:bodyDiv w:val="1"/>
      <w:marLeft w:val="0"/>
      <w:marRight w:val="0"/>
      <w:marTop w:val="0"/>
      <w:marBottom w:val="0"/>
      <w:divBdr>
        <w:top w:val="none" w:sz="0" w:space="0" w:color="auto"/>
        <w:left w:val="none" w:sz="0" w:space="0" w:color="auto"/>
        <w:bottom w:val="none" w:sz="0" w:space="0" w:color="auto"/>
        <w:right w:val="none" w:sz="0" w:space="0" w:color="auto"/>
      </w:divBdr>
    </w:div>
    <w:div w:id="2008361837">
      <w:bodyDiv w:val="1"/>
      <w:marLeft w:val="0"/>
      <w:marRight w:val="0"/>
      <w:marTop w:val="0"/>
      <w:marBottom w:val="0"/>
      <w:divBdr>
        <w:top w:val="none" w:sz="0" w:space="0" w:color="auto"/>
        <w:left w:val="none" w:sz="0" w:space="0" w:color="auto"/>
        <w:bottom w:val="none" w:sz="0" w:space="0" w:color="auto"/>
        <w:right w:val="none" w:sz="0" w:space="0" w:color="auto"/>
      </w:divBdr>
    </w:div>
    <w:div w:id="2069330164">
      <w:bodyDiv w:val="1"/>
      <w:marLeft w:val="0"/>
      <w:marRight w:val="0"/>
      <w:marTop w:val="0"/>
      <w:marBottom w:val="0"/>
      <w:divBdr>
        <w:top w:val="none" w:sz="0" w:space="0" w:color="auto"/>
        <w:left w:val="none" w:sz="0" w:space="0" w:color="auto"/>
        <w:bottom w:val="none" w:sz="0" w:space="0" w:color="auto"/>
        <w:right w:val="none" w:sz="0" w:space="0" w:color="auto"/>
      </w:divBdr>
    </w:div>
    <w:div w:id="2089419737">
      <w:bodyDiv w:val="1"/>
      <w:marLeft w:val="0"/>
      <w:marRight w:val="0"/>
      <w:marTop w:val="0"/>
      <w:marBottom w:val="0"/>
      <w:divBdr>
        <w:top w:val="none" w:sz="0" w:space="0" w:color="auto"/>
        <w:left w:val="none" w:sz="0" w:space="0" w:color="auto"/>
        <w:bottom w:val="none" w:sz="0" w:space="0" w:color="auto"/>
        <w:right w:val="none" w:sz="0" w:space="0" w:color="auto"/>
      </w:divBdr>
    </w:div>
    <w:div w:id="2089691945">
      <w:bodyDiv w:val="1"/>
      <w:marLeft w:val="0"/>
      <w:marRight w:val="0"/>
      <w:marTop w:val="0"/>
      <w:marBottom w:val="0"/>
      <w:divBdr>
        <w:top w:val="none" w:sz="0" w:space="0" w:color="auto"/>
        <w:left w:val="none" w:sz="0" w:space="0" w:color="auto"/>
        <w:bottom w:val="none" w:sz="0" w:space="0" w:color="auto"/>
        <w:right w:val="none" w:sz="0" w:space="0" w:color="auto"/>
      </w:divBdr>
    </w:div>
    <w:div w:id="21096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www.pbs.gov.au/pbs/home" TargetMode="External"/><Relationship Id="rId18" Type="http://schemas.openxmlformats.org/officeDocument/2006/relationships/hyperlink" Target="http://www.pbs.gov.au/info/industry/listing/participants/public-release-docs/cml/tyrosine-kinase-inhibitors-201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bs.gov.au/pbs/home" TargetMode="External"/><Relationship Id="rId17" Type="http://schemas.openxmlformats.org/officeDocument/2006/relationships/hyperlink" Target="file:///\\central.health\DFSGroupData\Sites\CO1\CO\PBD\PEB\EVAL\DUSC\DUSC%20Documents\Predicted%20vs%20actual%20usage\pbs.gov.au" TargetMode="External"/><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entral.health\DFSGroupData\Sites\CO1\CO\PBD\PEB\EVAL\DUSC\DUSC%20Documents\Predicted%20vs%20actual%20usage\pbs.gov.au" TargetMode="External"/><Relationship Id="rId20" Type="http://schemas.openxmlformats.org/officeDocument/2006/relationships/chart" Target="charts/chart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pbs/home" TargetMode="External"/><Relationship Id="rId24" Type="http://schemas.openxmlformats.org/officeDocument/2006/relationships/chart" Target="charts/chart4.xml"/><Relationship Id="rId32"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yperlink" Target="http://www.pbs.gov.au/pbs/home;jsessionid=q2wesgwjikn21maaq6c51rumd"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hyperlink" Target="http://www.tga.gov.au/consumers/information-medicines-cmi.htm" TargetMode="External"/><Relationship Id="rId19" Type="http://schemas.openxmlformats.org/officeDocument/2006/relationships/chart" Target="charts/chart1.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tga.gov.au/hp/information-medicines-pi.htm" TargetMode="External"/><Relationship Id="rId14" Type="http://schemas.openxmlformats.org/officeDocument/2006/relationships/hyperlink" Target="http://www.pbs.gov.au/pbs/home" TargetMode="External"/><Relationship Id="rId22" Type="http://schemas.openxmlformats.org/officeDocument/2006/relationships/image" Target="media/image1.png"/><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UserEnv\Users\User_25\morrio\Desktop\ponatini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UserEnv\Users\User_25\morrio\Desktop\ponatini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25\morrio\Desktop\ponatinib.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70%20-%20TKIs%20for%20CML\D1170%20-%20TKIs%20for%20CML%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70%20-%20TKIs%20for%20CML\D1170%20-%20TKIs%20for%20CML%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UserEnv\Users\User_25\morrio\Desktop\ponatinib.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[ponatinib.xlsx]Sheet2!PivotTable4</c:name>
    <c:fmtId val="9"/>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Sheet2!$X$1</c:f>
              <c:strCache>
                <c:ptCount val="1"/>
                <c:pt idx="0">
                  <c:v>Initiating patients</c:v>
                </c:pt>
              </c:strCache>
            </c:strRef>
          </c:tx>
          <c:spPr>
            <a:ln w="28575" cap="rnd">
              <a:solidFill>
                <a:schemeClr val="accent1"/>
              </a:solidFill>
              <a:round/>
            </a:ln>
            <a:effectLst/>
          </c:spPr>
          <c:marker>
            <c:symbol val="none"/>
          </c:marker>
          <c:cat>
            <c:strRef>
              <c:f>Sheet2!$W$2:$W$72</c:f>
              <c:strCache>
                <c:ptCount val="70"/>
                <c:pt idx="0">
                  <c:v>2001Q4</c:v>
                </c:pt>
                <c:pt idx="1">
                  <c:v>2002Q1</c:v>
                </c:pt>
                <c:pt idx="2">
                  <c:v>2002Q2</c:v>
                </c:pt>
                <c:pt idx="3">
                  <c:v>2002Q3</c:v>
                </c:pt>
                <c:pt idx="4">
                  <c:v>2002Q4</c:v>
                </c:pt>
                <c:pt idx="5">
                  <c:v>2003Q1</c:v>
                </c:pt>
                <c:pt idx="6">
                  <c:v>2003Q2</c:v>
                </c:pt>
                <c:pt idx="7">
                  <c:v>2003Q3</c:v>
                </c:pt>
                <c:pt idx="8">
                  <c:v>2003Q4</c:v>
                </c:pt>
                <c:pt idx="9">
                  <c:v>2004Q1</c:v>
                </c:pt>
                <c:pt idx="10">
                  <c:v>2004Q2</c:v>
                </c:pt>
                <c:pt idx="11">
                  <c:v>2004Q3</c:v>
                </c:pt>
                <c:pt idx="12">
                  <c:v>2004Q4</c:v>
                </c:pt>
                <c:pt idx="13">
                  <c:v>2005Q1</c:v>
                </c:pt>
                <c:pt idx="14">
                  <c:v>2005Q2</c:v>
                </c:pt>
                <c:pt idx="15">
                  <c:v>2005Q3</c:v>
                </c:pt>
                <c:pt idx="16">
                  <c:v>2005Q4</c:v>
                </c:pt>
                <c:pt idx="17">
                  <c:v>2006Q1</c:v>
                </c:pt>
                <c:pt idx="18">
                  <c:v>2006Q2</c:v>
                </c:pt>
                <c:pt idx="19">
                  <c:v>2006Q3</c:v>
                </c:pt>
                <c:pt idx="20">
                  <c:v>2006Q4</c:v>
                </c:pt>
                <c:pt idx="21">
                  <c:v>2007Q1</c:v>
                </c:pt>
                <c:pt idx="22">
                  <c:v>2007Q2</c:v>
                </c:pt>
                <c:pt idx="23">
                  <c:v>2007Q3</c:v>
                </c:pt>
                <c:pt idx="24">
                  <c:v>2007Q4</c:v>
                </c:pt>
                <c:pt idx="25">
                  <c:v>2008Q1</c:v>
                </c:pt>
                <c:pt idx="26">
                  <c:v>2008Q2</c:v>
                </c:pt>
                <c:pt idx="27">
                  <c:v>2008Q3</c:v>
                </c:pt>
                <c:pt idx="28">
                  <c:v>2008Q4</c:v>
                </c:pt>
                <c:pt idx="29">
                  <c:v>2009Q1</c:v>
                </c:pt>
                <c:pt idx="30">
                  <c:v>2009Q2</c:v>
                </c:pt>
                <c:pt idx="31">
                  <c:v>2009Q3</c:v>
                </c:pt>
                <c:pt idx="32">
                  <c:v>2009Q4</c:v>
                </c:pt>
                <c:pt idx="33">
                  <c:v>2010Q1</c:v>
                </c:pt>
                <c:pt idx="34">
                  <c:v>2010Q2</c:v>
                </c:pt>
                <c:pt idx="35">
                  <c:v>2010Q3</c:v>
                </c:pt>
                <c:pt idx="36">
                  <c:v>2010Q4</c:v>
                </c:pt>
                <c:pt idx="37">
                  <c:v>2011Q1</c:v>
                </c:pt>
                <c:pt idx="38">
                  <c:v>2011Q2</c:v>
                </c:pt>
                <c:pt idx="39">
                  <c:v>2011Q3</c:v>
                </c:pt>
                <c:pt idx="40">
                  <c:v>2011Q4</c:v>
                </c:pt>
                <c:pt idx="41">
                  <c:v>2012Q1</c:v>
                </c:pt>
                <c:pt idx="42">
                  <c:v>2012Q2</c:v>
                </c:pt>
                <c:pt idx="43">
                  <c:v>2012Q3</c:v>
                </c:pt>
                <c:pt idx="44">
                  <c:v>2012Q4</c:v>
                </c:pt>
                <c:pt idx="45">
                  <c:v>2013Q1</c:v>
                </c:pt>
                <c:pt idx="46">
                  <c:v>2013Q2</c:v>
                </c:pt>
                <c:pt idx="47">
                  <c:v>2013Q3</c:v>
                </c:pt>
                <c:pt idx="48">
                  <c:v>2013Q4</c:v>
                </c:pt>
                <c:pt idx="49">
                  <c:v>2014Q1</c:v>
                </c:pt>
                <c:pt idx="50">
                  <c:v>2014Q2</c:v>
                </c:pt>
                <c:pt idx="51">
                  <c:v>2014Q3</c:v>
                </c:pt>
                <c:pt idx="52">
                  <c:v>2014Q4</c:v>
                </c:pt>
                <c:pt idx="53">
                  <c:v>2015Q1</c:v>
                </c:pt>
                <c:pt idx="54">
                  <c:v>2015Q2</c:v>
                </c:pt>
                <c:pt idx="55">
                  <c:v>2015Q3</c:v>
                </c:pt>
                <c:pt idx="56">
                  <c:v>2015Q4</c:v>
                </c:pt>
                <c:pt idx="57">
                  <c:v>2016Q1</c:v>
                </c:pt>
                <c:pt idx="58">
                  <c:v>2016Q2</c:v>
                </c:pt>
                <c:pt idx="59">
                  <c:v>2016Q3</c:v>
                </c:pt>
                <c:pt idx="60">
                  <c:v>2016Q4</c:v>
                </c:pt>
                <c:pt idx="61">
                  <c:v>2017Q1</c:v>
                </c:pt>
                <c:pt idx="62">
                  <c:v>2017Q2</c:v>
                </c:pt>
                <c:pt idx="63">
                  <c:v>2017Q3</c:v>
                </c:pt>
                <c:pt idx="64">
                  <c:v>2017Q4</c:v>
                </c:pt>
                <c:pt idx="65">
                  <c:v>2018Q1</c:v>
                </c:pt>
                <c:pt idx="66">
                  <c:v>2018Q2</c:v>
                </c:pt>
                <c:pt idx="67">
                  <c:v>2018Q3</c:v>
                </c:pt>
                <c:pt idx="68">
                  <c:v>2018Q4</c:v>
                </c:pt>
                <c:pt idx="69">
                  <c:v>2019Q1</c:v>
                </c:pt>
              </c:strCache>
            </c:strRef>
          </c:cat>
          <c:val>
            <c:numRef>
              <c:f>Sheet2!$X$2:$X$72</c:f>
              <c:numCache>
                <c:formatCode>General</c:formatCode>
                <c:ptCount val="70"/>
                <c:pt idx="0">
                  <c:v>55</c:v>
                </c:pt>
                <c:pt idx="1">
                  <c:v>58</c:v>
                </c:pt>
                <c:pt idx="2">
                  <c:v>40</c:v>
                </c:pt>
                <c:pt idx="3">
                  <c:v>32</c:v>
                </c:pt>
                <c:pt idx="4">
                  <c:v>153</c:v>
                </c:pt>
                <c:pt idx="5">
                  <c:v>100</c:v>
                </c:pt>
                <c:pt idx="6">
                  <c:v>45</c:v>
                </c:pt>
                <c:pt idx="7">
                  <c:v>56</c:v>
                </c:pt>
                <c:pt idx="8">
                  <c:v>126</c:v>
                </c:pt>
                <c:pt idx="9">
                  <c:v>134</c:v>
                </c:pt>
                <c:pt idx="10">
                  <c:v>91</c:v>
                </c:pt>
                <c:pt idx="11">
                  <c:v>72</c:v>
                </c:pt>
                <c:pt idx="12">
                  <c:v>121</c:v>
                </c:pt>
                <c:pt idx="13">
                  <c:v>131</c:v>
                </c:pt>
                <c:pt idx="14">
                  <c:v>107</c:v>
                </c:pt>
                <c:pt idx="15">
                  <c:v>90</c:v>
                </c:pt>
                <c:pt idx="16">
                  <c:v>63</c:v>
                </c:pt>
                <c:pt idx="17">
                  <c:v>88</c:v>
                </c:pt>
                <c:pt idx="18">
                  <c:v>53</c:v>
                </c:pt>
                <c:pt idx="19">
                  <c:v>63</c:v>
                </c:pt>
                <c:pt idx="20">
                  <c:v>65</c:v>
                </c:pt>
                <c:pt idx="21">
                  <c:v>74</c:v>
                </c:pt>
                <c:pt idx="22">
                  <c:v>91</c:v>
                </c:pt>
                <c:pt idx="23">
                  <c:v>87</c:v>
                </c:pt>
                <c:pt idx="24">
                  <c:v>92</c:v>
                </c:pt>
                <c:pt idx="25">
                  <c:v>77</c:v>
                </c:pt>
                <c:pt idx="26">
                  <c:v>84</c:v>
                </c:pt>
                <c:pt idx="27">
                  <c:v>72</c:v>
                </c:pt>
                <c:pt idx="28">
                  <c:v>77</c:v>
                </c:pt>
                <c:pt idx="29">
                  <c:v>80</c:v>
                </c:pt>
                <c:pt idx="30">
                  <c:v>80</c:v>
                </c:pt>
                <c:pt idx="31">
                  <c:v>75</c:v>
                </c:pt>
                <c:pt idx="32">
                  <c:v>69</c:v>
                </c:pt>
                <c:pt idx="33">
                  <c:v>79</c:v>
                </c:pt>
                <c:pt idx="34">
                  <c:v>108</c:v>
                </c:pt>
                <c:pt idx="35">
                  <c:v>108</c:v>
                </c:pt>
                <c:pt idx="36">
                  <c:v>85</c:v>
                </c:pt>
                <c:pt idx="37">
                  <c:v>81</c:v>
                </c:pt>
                <c:pt idx="38">
                  <c:v>97</c:v>
                </c:pt>
                <c:pt idx="39">
                  <c:v>74</c:v>
                </c:pt>
                <c:pt idx="40">
                  <c:v>64</c:v>
                </c:pt>
                <c:pt idx="41">
                  <c:v>58</c:v>
                </c:pt>
                <c:pt idx="42">
                  <c:v>106</c:v>
                </c:pt>
                <c:pt idx="43">
                  <c:v>120</c:v>
                </c:pt>
                <c:pt idx="44">
                  <c:v>120</c:v>
                </c:pt>
                <c:pt idx="45">
                  <c:v>81</c:v>
                </c:pt>
                <c:pt idx="46">
                  <c:v>85</c:v>
                </c:pt>
                <c:pt idx="47">
                  <c:v>87</c:v>
                </c:pt>
                <c:pt idx="48">
                  <c:v>94</c:v>
                </c:pt>
                <c:pt idx="49">
                  <c:v>96</c:v>
                </c:pt>
                <c:pt idx="50">
                  <c:v>100</c:v>
                </c:pt>
                <c:pt idx="51">
                  <c:v>95</c:v>
                </c:pt>
                <c:pt idx="52">
                  <c:v>83</c:v>
                </c:pt>
                <c:pt idx="53">
                  <c:v>73</c:v>
                </c:pt>
                <c:pt idx="54">
                  <c:v>90</c:v>
                </c:pt>
                <c:pt idx="55">
                  <c:v>93</c:v>
                </c:pt>
                <c:pt idx="56">
                  <c:v>88</c:v>
                </c:pt>
                <c:pt idx="57">
                  <c:v>91</c:v>
                </c:pt>
                <c:pt idx="58">
                  <c:v>100</c:v>
                </c:pt>
                <c:pt idx="59">
                  <c:v>124</c:v>
                </c:pt>
                <c:pt idx="60">
                  <c:v>93</c:v>
                </c:pt>
                <c:pt idx="61">
                  <c:v>99</c:v>
                </c:pt>
                <c:pt idx="62">
                  <c:v>91</c:v>
                </c:pt>
                <c:pt idx="63">
                  <c:v>101</c:v>
                </c:pt>
                <c:pt idx="64">
                  <c:v>81</c:v>
                </c:pt>
                <c:pt idx="65">
                  <c:v>98</c:v>
                </c:pt>
                <c:pt idx="66">
                  <c:v>108</c:v>
                </c:pt>
                <c:pt idx="67">
                  <c:v>116</c:v>
                </c:pt>
                <c:pt idx="68">
                  <c:v>115</c:v>
                </c:pt>
                <c:pt idx="69">
                  <c:v>96</c:v>
                </c:pt>
              </c:numCache>
            </c:numRef>
          </c:val>
          <c:smooth val="0"/>
          <c:extLst>
            <c:ext xmlns:c16="http://schemas.microsoft.com/office/drawing/2014/chart" uri="{C3380CC4-5D6E-409C-BE32-E72D297353CC}">
              <c16:uniqueId val="{00000000-6A18-4C7C-9ED1-881DF69C7C50}"/>
            </c:ext>
          </c:extLst>
        </c:ser>
        <c:ser>
          <c:idx val="1"/>
          <c:order val="1"/>
          <c:tx>
            <c:strRef>
              <c:f>Sheet2!$Y$1</c:f>
              <c:strCache>
                <c:ptCount val="1"/>
                <c:pt idx="0">
                  <c:v>Treated patients</c:v>
                </c:pt>
              </c:strCache>
            </c:strRef>
          </c:tx>
          <c:spPr>
            <a:ln w="28575" cap="rnd">
              <a:solidFill>
                <a:schemeClr val="accent2"/>
              </a:solidFill>
              <a:round/>
            </a:ln>
            <a:effectLst/>
          </c:spPr>
          <c:marker>
            <c:symbol val="none"/>
          </c:marker>
          <c:cat>
            <c:strRef>
              <c:f>Sheet2!$W$2:$W$72</c:f>
              <c:strCache>
                <c:ptCount val="70"/>
                <c:pt idx="0">
                  <c:v>2001Q4</c:v>
                </c:pt>
                <c:pt idx="1">
                  <c:v>2002Q1</c:v>
                </c:pt>
                <c:pt idx="2">
                  <c:v>2002Q2</c:v>
                </c:pt>
                <c:pt idx="3">
                  <c:v>2002Q3</c:v>
                </c:pt>
                <c:pt idx="4">
                  <c:v>2002Q4</c:v>
                </c:pt>
                <c:pt idx="5">
                  <c:v>2003Q1</c:v>
                </c:pt>
                <c:pt idx="6">
                  <c:v>2003Q2</c:v>
                </c:pt>
                <c:pt idx="7">
                  <c:v>2003Q3</c:v>
                </c:pt>
                <c:pt idx="8">
                  <c:v>2003Q4</c:v>
                </c:pt>
                <c:pt idx="9">
                  <c:v>2004Q1</c:v>
                </c:pt>
                <c:pt idx="10">
                  <c:v>2004Q2</c:v>
                </c:pt>
                <c:pt idx="11">
                  <c:v>2004Q3</c:v>
                </c:pt>
                <c:pt idx="12">
                  <c:v>2004Q4</c:v>
                </c:pt>
                <c:pt idx="13">
                  <c:v>2005Q1</c:v>
                </c:pt>
                <c:pt idx="14">
                  <c:v>2005Q2</c:v>
                </c:pt>
                <c:pt idx="15">
                  <c:v>2005Q3</c:v>
                </c:pt>
                <c:pt idx="16">
                  <c:v>2005Q4</c:v>
                </c:pt>
                <c:pt idx="17">
                  <c:v>2006Q1</c:v>
                </c:pt>
                <c:pt idx="18">
                  <c:v>2006Q2</c:v>
                </c:pt>
                <c:pt idx="19">
                  <c:v>2006Q3</c:v>
                </c:pt>
                <c:pt idx="20">
                  <c:v>2006Q4</c:v>
                </c:pt>
                <c:pt idx="21">
                  <c:v>2007Q1</c:v>
                </c:pt>
                <c:pt idx="22">
                  <c:v>2007Q2</c:v>
                </c:pt>
                <c:pt idx="23">
                  <c:v>2007Q3</c:v>
                </c:pt>
                <c:pt idx="24">
                  <c:v>2007Q4</c:v>
                </c:pt>
                <c:pt idx="25">
                  <c:v>2008Q1</c:v>
                </c:pt>
                <c:pt idx="26">
                  <c:v>2008Q2</c:v>
                </c:pt>
                <c:pt idx="27">
                  <c:v>2008Q3</c:v>
                </c:pt>
                <c:pt idx="28">
                  <c:v>2008Q4</c:v>
                </c:pt>
                <c:pt idx="29">
                  <c:v>2009Q1</c:v>
                </c:pt>
                <c:pt idx="30">
                  <c:v>2009Q2</c:v>
                </c:pt>
                <c:pt idx="31">
                  <c:v>2009Q3</c:v>
                </c:pt>
                <c:pt idx="32">
                  <c:v>2009Q4</c:v>
                </c:pt>
                <c:pt idx="33">
                  <c:v>2010Q1</c:v>
                </c:pt>
                <c:pt idx="34">
                  <c:v>2010Q2</c:v>
                </c:pt>
                <c:pt idx="35">
                  <c:v>2010Q3</c:v>
                </c:pt>
                <c:pt idx="36">
                  <c:v>2010Q4</c:v>
                </c:pt>
                <c:pt idx="37">
                  <c:v>2011Q1</c:v>
                </c:pt>
                <c:pt idx="38">
                  <c:v>2011Q2</c:v>
                </c:pt>
                <c:pt idx="39">
                  <c:v>2011Q3</c:v>
                </c:pt>
                <c:pt idx="40">
                  <c:v>2011Q4</c:v>
                </c:pt>
                <c:pt idx="41">
                  <c:v>2012Q1</c:v>
                </c:pt>
                <c:pt idx="42">
                  <c:v>2012Q2</c:v>
                </c:pt>
                <c:pt idx="43">
                  <c:v>2012Q3</c:v>
                </c:pt>
                <c:pt idx="44">
                  <c:v>2012Q4</c:v>
                </c:pt>
                <c:pt idx="45">
                  <c:v>2013Q1</c:v>
                </c:pt>
                <c:pt idx="46">
                  <c:v>2013Q2</c:v>
                </c:pt>
                <c:pt idx="47">
                  <c:v>2013Q3</c:v>
                </c:pt>
                <c:pt idx="48">
                  <c:v>2013Q4</c:v>
                </c:pt>
                <c:pt idx="49">
                  <c:v>2014Q1</c:v>
                </c:pt>
                <c:pt idx="50">
                  <c:v>2014Q2</c:v>
                </c:pt>
                <c:pt idx="51">
                  <c:v>2014Q3</c:v>
                </c:pt>
                <c:pt idx="52">
                  <c:v>2014Q4</c:v>
                </c:pt>
                <c:pt idx="53">
                  <c:v>2015Q1</c:v>
                </c:pt>
                <c:pt idx="54">
                  <c:v>2015Q2</c:v>
                </c:pt>
                <c:pt idx="55">
                  <c:v>2015Q3</c:v>
                </c:pt>
                <c:pt idx="56">
                  <c:v>2015Q4</c:v>
                </c:pt>
                <c:pt idx="57">
                  <c:v>2016Q1</c:v>
                </c:pt>
                <c:pt idx="58">
                  <c:v>2016Q2</c:v>
                </c:pt>
                <c:pt idx="59">
                  <c:v>2016Q3</c:v>
                </c:pt>
                <c:pt idx="60">
                  <c:v>2016Q4</c:v>
                </c:pt>
                <c:pt idx="61">
                  <c:v>2017Q1</c:v>
                </c:pt>
                <c:pt idx="62">
                  <c:v>2017Q2</c:v>
                </c:pt>
                <c:pt idx="63">
                  <c:v>2017Q3</c:v>
                </c:pt>
                <c:pt idx="64">
                  <c:v>2017Q4</c:v>
                </c:pt>
                <c:pt idx="65">
                  <c:v>2018Q1</c:v>
                </c:pt>
                <c:pt idx="66">
                  <c:v>2018Q2</c:v>
                </c:pt>
                <c:pt idx="67">
                  <c:v>2018Q3</c:v>
                </c:pt>
                <c:pt idx="68">
                  <c:v>2018Q4</c:v>
                </c:pt>
                <c:pt idx="69">
                  <c:v>2019Q1</c:v>
                </c:pt>
              </c:strCache>
            </c:strRef>
          </c:cat>
          <c:val>
            <c:numRef>
              <c:f>Sheet2!$Y$2:$Y$72</c:f>
              <c:numCache>
                <c:formatCode>General</c:formatCode>
                <c:ptCount val="70"/>
                <c:pt idx="0">
                  <c:v>55</c:v>
                </c:pt>
                <c:pt idx="1">
                  <c:v>106</c:v>
                </c:pt>
                <c:pt idx="2">
                  <c:v>129</c:v>
                </c:pt>
                <c:pt idx="3">
                  <c:v>148</c:v>
                </c:pt>
                <c:pt idx="4">
                  <c:v>284</c:v>
                </c:pt>
                <c:pt idx="5">
                  <c:v>363</c:v>
                </c:pt>
                <c:pt idx="6">
                  <c:v>383</c:v>
                </c:pt>
                <c:pt idx="7">
                  <c:v>418</c:v>
                </c:pt>
                <c:pt idx="8">
                  <c:v>528</c:v>
                </c:pt>
                <c:pt idx="9">
                  <c:v>631</c:v>
                </c:pt>
                <c:pt idx="10">
                  <c:v>667</c:v>
                </c:pt>
                <c:pt idx="11">
                  <c:v>650</c:v>
                </c:pt>
                <c:pt idx="12">
                  <c:v>765</c:v>
                </c:pt>
                <c:pt idx="13">
                  <c:v>843</c:v>
                </c:pt>
                <c:pt idx="14">
                  <c:v>934</c:v>
                </c:pt>
                <c:pt idx="15">
                  <c:v>982</c:v>
                </c:pt>
                <c:pt idx="16">
                  <c:v>1013</c:v>
                </c:pt>
                <c:pt idx="17">
                  <c:v>1038</c:v>
                </c:pt>
                <c:pt idx="18">
                  <c:v>1041</c:v>
                </c:pt>
                <c:pt idx="19">
                  <c:v>1058</c:v>
                </c:pt>
                <c:pt idx="20">
                  <c:v>1087</c:v>
                </c:pt>
                <c:pt idx="21">
                  <c:v>1115</c:v>
                </c:pt>
                <c:pt idx="22">
                  <c:v>1154</c:v>
                </c:pt>
                <c:pt idx="23">
                  <c:v>1230</c:v>
                </c:pt>
                <c:pt idx="24">
                  <c:v>1300</c:v>
                </c:pt>
                <c:pt idx="25">
                  <c:v>1339</c:v>
                </c:pt>
                <c:pt idx="26">
                  <c:v>1395</c:v>
                </c:pt>
                <c:pt idx="27">
                  <c:v>1439</c:v>
                </c:pt>
                <c:pt idx="28">
                  <c:v>1515</c:v>
                </c:pt>
                <c:pt idx="29">
                  <c:v>1569</c:v>
                </c:pt>
                <c:pt idx="30">
                  <c:v>1628</c:v>
                </c:pt>
                <c:pt idx="31">
                  <c:v>1652</c:v>
                </c:pt>
                <c:pt idx="32">
                  <c:v>1695</c:v>
                </c:pt>
                <c:pt idx="33">
                  <c:v>1731</c:v>
                </c:pt>
                <c:pt idx="34">
                  <c:v>1800</c:v>
                </c:pt>
                <c:pt idx="35">
                  <c:v>1878</c:v>
                </c:pt>
                <c:pt idx="36">
                  <c:v>1934</c:v>
                </c:pt>
                <c:pt idx="37">
                  <c:v>1960</c:v>
                </c:pt>
                <c:pt idx="38">
                  <c:v>2030</c:v>
                </c:pt>
                <c:pt idx="39">
                  <c:v>2065</c:v>
                </c:pt>
                <c:pt idx="40">
                  <c:v>2104</c:v>
                </c:pt>
                <c:pt idx="41">
                  <c:v>2119</c:v>
                </c:pt>
                <c:pt idx="42">
                  <c:v>2203</c:v>
                </c:pt>
                <c:pt idx="43">
                  <c:v>2301</c:v>
                </c:pt>
                <c:pt idx="44">
                  <c:v>2403</c:v>
                </c:pt>
                <c:pt idx="45">
                  <c:v>2429</c:v>
                </c:pt>
                <c:pt idx="46">
                  <c:v>2494</c:v>
                </c:pt>
                <c:pt idx="47">
                  <c:v>2559</c:v>
                </c:pt>
                <c:pt idx="48">
                  <c:v>2623</c:v>
                </c:pt>
                <c:pt idx="49">
                  <c:v>2647</c:v>
                </c:pt>
                <c:pt idx="50">
                  <c:v>2728</c:v>
                </c:pt>
                <c:pt idx="51">
                  <c:v>2770</c:v>
                </c:pt>
                <c:pt idx="52">
                  <c:v>2805</c:v>
                </c:pt>
                <c:pt idx="53">
                  <c:v>2838</c:v>
                </c:pt>
                <c:pt idx="54">
                  <c:v>2892</c:v>
                </c:pt>
                <c:pt idx="55">
                  <c:v>2915</c:v>
                </c:pt>
                <c:pt idx="56">
                  <c:v>2995</c:v>
                </c:pt>
                <c:pt idx="57">
                  <c:v>3035</c:v>
                </c:pt>
                <c:pt idx="58">
                  <c:v>3069</c:v>
                </c:pt>
                <c:pt idx="59">
                  <c:v>3142</c:v>
                </c:pt>
                <c:pt idx="60">
                  <c:v>3144</c:v>
                </c:pt>
                <c:pt idx="61">
                  <c:v>3211</c:v>
                </c:pt>
                <c:pt idx="62">
                  <c:v>3264</c:v>
                </c:pt>
                <c:pt idx="63">
                  <c:v>3293</c:v>
                </c:pt>
                <c:pt idx="64">
                  <c:v>3282</c:v>
                </c:pt>
                <c:pt idx="65">
                  <c:v>3289</c:v>
                </c:pt>
                <c:pt idx="66">
                  <c:v>3354</c:v>
                </c:pt>
                <c:pt idx="67">
                  <c:v>3385</c:v>
                </c:pt>
                <c:pt idx="68">
                  <c:v>3421</c:v>
                </c:pt>
                <c:pt idx="69">
                  <c:v>3483</c:v>
                </c:pt>
              </c:numCache>
            </c:numRef>
          </c:val>
          <c:smooth val="0"/>
          <c:extLst>
            <c:ext xmlns:c16="http://schemas.microsoft.com/office/drawing/2014/chart" uri="{C3380CC4-5D6E-409C-BE32-E72D297353CC}">
              <c16:uniqueId val="{00000002-6A18-4C7C-9ED1-881DF69C7C50}"/>
            </c:ext>
          </c:extLst>
        </c:ser>
        <c:dLbls>
          <c:showLegendKey val="0"/>
          <c:showVal val="0"/>
          <c:showCatName val="0"/>
          <c:showSerName val="0"/>
          <c:showPercent val="0"/>
          <c:showBubbleSize val="0"/>
        </c:dLbls>
        <c:smooth val="0"/>
        <c:axId val="786152728"/>
        <c:axId val="786151744"/>
      </c:lineChart>
      <c:catAx>
        <c:axId val="786152728"/>
        <c:scaling>
          <c:orientation val="minMax"/>
        </c:scaling>
        <c:delete val="0"/>
        <c:axPos val="b"/>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51744"/>
        <c:crosses val="autoZero"/>
        <c:auto val="1"/>
        <c:lblAlgn val="ctr"/>
        <c:lblOffset val="100"/>
        <c:noMultiLvlLbl val="0"/>
      </c:catAx>
      <c:valAx>
        <c:axId val="786151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a:t>
                </a:r>
                <a:r>
                  <a:rPr lang="en-AU" baseline="0"/>
                  <a:t>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52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[ponatinib.xlsx]Sheet3!PivotTable2</c:name>
    <c:fmtId val="10"/>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Sheet3!$B$3:$B$4</c:f>
              <c:strCache>
                <c:ptCount val="1"/>
                <c:pt idx="0">
                  <c:v>DASATINIB</c:v>
                </c:pt>
              </c:strCache>
            </c:strRef>
          </c:tx>
          <c:spPr>
            <a:ln w="28575" cap="rnd">
              <a:solidFill>
                <a:schemeClr val="accent1"/>
              </a:solidFill>
              <a:round/>
            </a:ln>
            <a:effectLst/>
          </c:spPr>
          <c:marker>
            <c:symbol val="none"/>
          </c:marker>
          <c:cat>
            <c:strRef>
              <c:f>Sheet3!$A$5:$A$213</c:f>
              <c:strCache>
                <c:ptCount val="208"/>
                <c:pt idx="0">
                  <c:v>200112</c:v>
                </c:pt>
                <c:pt idx="1">
                  <c:v>200201</c:v>
                </c:pt>
                <c:pt idx="2">
                  <c:v>200202</c:v>
                </c:pt>
                <c:pt idx="3">
                  <c:v>200203</c:v>
                </c:pt>
                <c:pt idx="4">
                  <c:v>200204</c:v>
                </c:pt>
                <c:pt idx="5">
                  <c:v>200205</c:v>
                </c:pt>
                <c:pt idx="6">
                  <c:v>200206</c:v>
                </c:pt>
                <c:pt idx="7">
                  <c:v>200207</c:v>
                </c:pt>
                <c:pt idx="8">
                  <c:v>200208</c:v>
                </c:pt>
                <c:pt idx="9">
                  <c:v>200209</c:v>
                </c:pt>
                <c:pt idx="10">
                  <c:v>200210</c:v>
                </c:pt>
                <c:pt idx="11">
                  <c:v>200211</c:v>
                </c:pt>
                <c:pt idx="12">
                  <c:v>200212</c:v>
                </c:pt>
                <c:pt idx="13">
                  <c:v>200301</c:v>
                </c:pt>
                <c:pt idx="14">
                  <c:v>200302</c:v>
                </c:pt>
                <c:pt idx="15">
                  <c:v>200303</c:v>
                </c:pt>
                <c:pt idx="16">
                  <c:v>200304</c:v>
                </c:pt>
                <c:pt idx="17">
                  <c:v>200305</c:v>
                </c:pt>
                <c:pt idx="18">
                  <c:v>200306</c:v>
                </c:pt>
                <c:pt idx="19">
                  <c:v>200307</c:v>
                </c:pt>
                <c:pt idx="20">
                  <c:v>200308</c:v>
                </c:pt>
                <c:pt idx="21">
                  <c:v>200309</c:v>
                </c:pt>
                <c:pt idx="22">
                  <c:v>200310</c:v>
                </c:pt>
                <c:pt idx="23">
                  <c:v>200311</c:v>
                </c:pt>
                <c:pt idx="24">
                  <c:v>200312</c:v>
                </c:pt>
                <c:pt idx="25">
                  <c:v>200401</c:v>
                </c:pt>
                <c:pt idx="26">
                  <c:v>200402</c:v>
                </c:pt>
                <c:pt idx="27">
                  <c:v>200403</c:v>
                </c:pt>
                <c:pt idx="28">
                  <c:v>200404</c:v>
                </c:pt>
                <c:pt idx="29">
                  <c:v>200405</c:v>
                </c:pt>
                <c:pt idx="30">
                  <c:v>200406</c:v>
                </c:pt>
                <c:pt idx="31">
                  <c:v>200407</c:v>
                </c:pt>
                <c:pt idx="32">
                  <c:v>200408</c:v>
                </c:pt>
                <c:pt idx="33">
                  <c:v>200409</c:v>
                </c:pt>
                <c:pt idx="34">
                  <c:v>200410</c:v>
                </c:pt>
                <c:pt idx="35">
                  <c:v>200411</c:v>
                </c:pt>
                <c:pt idx="36">
                  <c:v>200412</c:v>
                </c:pt>
                <c:pt idx="37">
                  <c:v>200501</c:v>
                </c:pt>
                <c:pt idx="38">
                  <c:v>200502</c:v>
                </c:pt>
                <c:pt idx="39">
                  <c:v>200503</c:v>
                </c:pt>
                <c:pt idx="40">
                  <c:v>200504</c:v>
                </c:pt>
                <c:pt idx="41">
                  <c:v>200505</c:v>
                </c:pt>
                <c:pt idx="42">
                  <c:v>200506</c:v>
                </c:pt>
                <c:pt idx="43">
                  <c:v>200507</c:v>
                </c:pt>
                <c:pt idx="44">
                  <c:v>200508</c:v>
                </c:pt>
                <c:pt idx="45">
                  <c:v>200509</c:v>
                </c:pt>
                <c:pt idx="46">
                  <c:v>200510</c:v>
                </c:pt>
                <c:pt idx="47">
                  <c:v>200511</c:v>
                </c:pt>
                <c:pt idx="48">
                  <c:v>200512</c:v>
                </c:pt>
                <c:pt idx="49">
                  <c:v>200601</c:v>
                </c:pt>
                <c:pt idx="50">
                  <c:v>200602</c:v>
                </c:pt>
                <c:pt idx="51">
                  <c:v>200603</c:v>
                </c:pt>
                <c:pt idx="52">
                  <c:v>200604</c:v>
                </c:pt>
                <c:pt idx="53">
                  <c:v>200605</c:v>
                </c:pt>
                <c:pt idx="54">
                  <c:v>200606</c:v>
                </c:pt>
                <c:pt idx="55">
                  <c:v>200607</c:v>
                </c:pt>
                <c:pt idx="56">
                  <c:v>200608</c:v>
                </c:pt>
                <c:pt idx="57">
                  <c:v>200609</c:v>
                </c:pt>
                <c:pt idx="58">
                  <c:v>200610</c:v>
                </c:pt>
                <c:pt idx="59">
                  <c:v>200611</c:v>
                </c:pt>
                <c:pt idx="60">
                  <c:v>200612</c:v>
                </c:pt>
                <c:pt idx="61">
                  <c:v>200701</c:v>
                </c:pt>
                <c:pt idx="62">
                  <c:v>200702</c:v>
                </c:pt>
                <c:pt idx="63">
                  <c:v>200703</c:v>
                </c:pt>
                <c:pt idx="64">
                  <c:v>200704</c:v>
                </c:pt>
                <c:pt idx="65">
                  <c:v>200705</c:v>
                </c:pt>
                <c:pt idx="66">
                  <c:v>200706</c:v>
                </c:pt>
                <c:pt idx="67">
                  <c:v>200707</c:v>
                </c:pt>
                <c:pt idx="68">
                  <c:v>200708</c:v>
                </c:pt>
                <c:pt idx="69">
                  <c:v>200709</c:v>
                </c:pt>
                <c:pt idx="70">
                  <c:v>200710</c:v>
                </c:pt>
                <c:pt idx="71">
                  <c:v>200711</c:v>
                </c:pt>
                <c:pt idx="72">
                  <c:v>200712</c:v>
                </c:pt>
                <c:pt idx="73">
                  <c:v>200801</c:v>
                </c:pt>
                <c:pt idx="74">
                  <c:v>200802</c:v>
                </c:pt>
                <c:pt idx="75">
                  <c:v>200803</c:v>
                </c:pt>
                <c:pt idx="76">
                  <c:v>200804</c:v>
                </c:pt>
                <c:pt idx="77">
                  <c:v>200805</c:v>
                </c:pt>
                <c:pt idx="78">
                  <c:v>200806</c:v>
                </c:pt>
                <c:pt idx="79">
                  <c:v>200807</c:v>
                </c:pt>
                <c:pt idx="80">
                  <c:v>200808</c:v>
                </c:pt>
                <c:pt idx="81">
                  <c:v>200809</c:v>
                </c:pt>
                <c:pt idx="82">
                  <c:v>200810</c:v>
                </c:pt>
                <c:pt idx="83">
                  <c:v>200811</c:v>
                </c:pt>
                <c:pt idx="84">
                  <c:v>200812</c:v>
                </c:pt>
                <c:pt idx="85">
                  <c:v>200901</c:v>
                </c:pt>
                <c:pt idx="86">
                  <c:v>200902</c:v>
                </c:pt>
                <c:pt idx="87">
                  <c:v>200903</c:v>
                </c:pt>
                <c:pt idx="88">
                  <c:v>200904</c:v>
                </c:pt>
                <c:pt idx="89">
                  <c:v>200905</c:v>
                </c:pt>
                <c:pt idx="90">
                  <c:v>200906</c:v>
                </c:pt>
                <c:pt idx="91">
                  <c:v>200907</c:v>
                </c:pt>
                <c:pt idx="92">
                  <c:v>200908</c:v>
                </c:pt>
                <c:pt idx="93">
                  <c:v>200909</c:v>
                </c:pt>
                <c:pt idx="94">
                  <c:v>200910</c:v>
                </c:pt>
                <c:pt idx="95">
                  <c:v>200911</c:v>
                </c:pt>
                <c:pt idx="96">
                  <c:v>200912</c:v>
                </c:pt>
                <c:pt idx="97">
                  <c:v>201001</c:v>
                </c:pt>
                <c:pt idx="98">
                  <c:v>201002</c:v>
                </c:pt>
                <c:pt idx="99">
                  <c:v>201003</c:v>
                </c:pt>
                <c:pt idx="100">
                  <c:v>201004</c:v>
                </c:pt>
                <c:pt idx="101">
                  <c:v>201005</c:v>
                </c:pt>
                <c:pt idx="102">
                  <c:v>201006</c:v>
                </c:pt>
                <c:pt idx="103">
                  <c:v>201007</c:v>
                </c:pt>
                <c:pt idx="104">
                  <c:v>201008</c:v>
                </c:pt>
                <c:pt idx="105">
                  <c:v>201009</c:v>
                </c:pt>
                <c:pt idx="106">
                  <c:v>201010</c:v>
                </c:pt>
                <c:pt idx="107">
                  <c:v>201011</c:v>
                </c:pt>
                <c:pt idx="108">
                  <c:v>201012</c:v>
                </c:pt>
                <c:pt idx="109">
                  <c:v>201101</c:v>
                </c:pt>
                <c:pt idx="110">
                  <c:v>201102</c:v>
                </c:pt>
                <c:pt idx="111">
                  <c:v>201103</c:v>
                </c:pt>
                <c:pt idx="112">
                  <c:v>201104</c:v>
                </c:pt>
                <c:pt idx="113">
                  <c:v>201105</c:v>
                </c:pt>
                <c:pt idx="114">
                  <c:v>201106</c:v>
                </c:pt>
                <c:pt idx="115">
                  <c:v>201107</c:v>
                </c:pt>
                <c:pt idx="116">
                  <c:v>201108</c:v>
                </c:pt>
                <c:pt idx="117">
                  <c:v>201109</c:v>
                </c:pt>
                <c:pt idx="118">
                  <c:v>201110</c:v>
                </c:pt>
                <c:pt idx="119">
                  <c:v>201111</c:v>
                </c:pt>
                <c:pt idx="120">
                  <c:v>201112</c:v>
                </c:pt>
                <c:pt idx="121">
                  <c:v>201201</c:v>
                </c:pt>
                <c:pt idx="122">
                  <c:v>201202</c:v>
                </c:pt>
                <c:pt idx="123">
                  <c:v>201203</c:v>
                </c:pt>
                <c:pt idx="124">
                  <c:v>201204</c:v>
                </c:pt>
                <c:pt idx="125">
                  <c:v>201205</c:v>
                </c:pt>
                <c:pt idx="126">
                  <c:v>201206</c:v>
                </c:pt>
                <c:pt idx="127">
                  <c:v>201207</c:v>
                </c:pt>
                <c:pt idx="128">
                  <c:v>201208</c:v>
                </c:pt>
                <c:pt idx="129">
                  <c:v>201209</c:v>
                </c:pt>
                <c:pt idx="130">
                  <c:v>201210</c:v>
                </c:pt>
                <c:pt idx="131">
                  <c:v>201211</c:v>
                </c:pt>
                <c:pt idx="132">
                  <c:v>201212</c:v>
                </c:pt>
                <c:pt idx="133">
                  <c:v>201301</c:v>
                </c:pt>
                <c:pt idx="134">
                  <c:v>201302</c:v>
                </c:pt>
                <c:pt idx="135">
                  <c:v>201303</c:v>
                </c:pt>
                <c:pt idx="136">
                  <c:v>201304</c:v>
                </c:pt>
                <c:pt idx="137">
                  <c:v>201305</c:v>
                </c:pt>
                <c:pt idx="138">
                  <c:v>201306</c:v>
                </c:pt>
                <c:pt idx="139">
                  <c:v>201307</c:v>
                </c:pt>
                <c:pt idx="140">
                  <c:v>201308</c:v>
                </c:pt>
                <c:pt idx="141">
                  <c:v>201309</c:v>
                </c:pt>
                <c:pt idx="142">
                  <c:v>201310</c:v>
                </c:pt>
                <c:pt idx="143">
                  <c:v>201311</c:v>
                </c:pt>
                <c:pt idx="144">
                  <c:v>201312</c:v>
                </c:pt>
                <c:pt idx="145">
                  <c:v>201401</c:v>
                </c:pt>
                <c:pt idx="146">
                  <c:v>201402</c:v>
                </c:pt>
                <c:pt idx="147">
                  <c:v>201403</c:v>
                </c:pt>
                <c:pt idx="148">
                  <c:v>201404</c:v>
                </c:pt>
                <c:pt idx="149">
                  <c:v>201405</c:v>
                </c:pt>
                <c:pt idx="150">
                  <c:v>201406</c:v>
                </c:pt>
                <c:pt idx="151">
                  <c:v>201407</c:v>
                </c:pt>
                <c:pt idx="152">
                  <c:v>201408</c:v>
                </c:pt>
                <c:pt idx="153">
                  <c:v>201409</c:v>
                </c:pt>
                <c:pt idx="154">
                  <c:v>201410</c:v>
                </c:pt>
                <c:pt idx="155">
                  <c:v>201411</c:v>
                </c:pt>
                <c:pt idx="156">
                  <c:v>201412</c:v>
                </c:pt>
                <c:pt idx="157">
                  <c:v>201501</c:v>
                </c:pt>
                <c:pt idx="158">
                  <c:v>201502</c:v>
                </c:pt>
                <c:pt idx="159">
                  <c:v>201503</c:v>
                </c:pt>
                <c:pt idx="160">
                  <c:v>201504</c:v>
                </c:pt>
                <c:pt idx="161">
                  <c:v>201505</c:v>
                </c:pt>
                <c:pt idx="162">
                  <c:v>201506</c:v>
                </c:pt>
                <c:pt idx="163">
                  <c:v>201507</c:v>
                </c:pt>
                <c:pt idx="164">
                  <c:v>201508</c:v>
                </c:pt>
                <c:pt idx="165">
                  <c:v>201509</c:v>
                </c:pt>
                <c:pt idx="166">
                  <c:v>201510</c:v>
                </c:pt>
                <c:pt idx="167">
                  <c:v>201511</c:v>
                </c:pt>
                <c:pt idx="168">
                  <c:v>201512</c:v>
                </c:pt>
                <c:pt idx="169">
                  <c:v>201601</c:v>
                </c:pt>
                <c:pt idx="170">
                  <c:v>201602</c:v>
                </c:pt>
                <c:pt idx="171">
                  <c:v>201603</c:v>
                </c:pt>
                <c:pt idx="172">
                  <c:v>201604</c:v>
                </c:pt>
                <c:pt idx="173">
                  <c:v>201605</c:v>
                </c:pt>
                <c:pt idx="174">
                  <c:v>201606</c:v>
                </c:pt>
                <c:pt idx="175">
                  <c:v>201607</c:v>
                </c:pt>
                <c:pt idx="176">
                  <c:v>201608</c:v>
                </c:pt>
                <c:pt idx="177">
                  <c:v>201609</c:v>
                </c:pt>
                <c:pt idx="178">
                  <c:v>201610</c:v>
                </c:pt>
                <c:pt idx="179">
                  <c:v>201611</c:v>
                </c:pt>
                <c:pt idx="180">
                  <c:v>201612</c:v>
                </c:pt>
                <c:pt idx="181">
                  <c:v>201701</c:v>
                </c:pt>
                <c:pt idx="182">
                  <c:v>201702</c:v>
                </c:pt>
                <c:pt idx="183">
                  <c:v>201703</c:v>
                </c:pt>
                <c:pt idx="184">
                  <c:v>201704</c:v>
                </c:pt>
                <c:pt idx="185">
                  <c:v>201705</c:v>
                </c:pt>
                <c:pt idx="186">
                  <c:v>201706</c:v>
                </c:pt>
                <c:pt idx="187">
                  <c:v>201707</c:v>
                </c:pt>
                <c:pt idx="188">
                  <c:v>201708</c:v>
                </c:pt>
                <c:pt idx="189">
                  <c:v>201709</c:v>
                </c:pt>
                <c:pt idx="190">
                  <c:v>201710</c:v>
                </c:pt>
                <c:pt idx="191">
                  <c:v>201711</c:v>
                </c:pt>
                <c:pt idx="192">
                  <c:v>201712</c:v>
                </c:pt>
                <c:pt idx="193">
                  <c:v>201801</c:v>
                </c:pt>
                <c:pt idx="194">
                  <c:v>201802</c:v>
                </c:pt>
                <c:pt idx="195">
                  <c:v>201803</c:v>
                </c:pt>
                <c:pt idx="196">
                  <c:v>201804</c:v>
                </c:pt>
                <c:pt idx="197">
                  <c:v>201805</c:v>
                </c:pt>
                <c:pt idx="198">
                  <c:v>201806</c:v>
                </c:pt>
                <c:pt idx="199">
                  <c:v>201807</c:v>
                </c:pt>
                <c:pt idx="200">
                  <c:v>201808</c:v>
                </c:pt>
                <c:pt idx="201">
                  <c:v>201809</c:v>
                </c:pt>
                <c:pt idx="202">
                  <c:v>201810</c:v>
                </c:pt>
                <c:pt idx="203">
                  <c:v>201811</c:v>
                </c:pt>
                <c:pt idx="204">
                  <c:v>201812</c:v>
                </c:pt>
                <c:pt idx="205">
                  <c:v>201901</c:v>
                </c:pt>
                <c:pt idx="206">
                  <c:v>201902</c:v>
                </c:pt>
                <c:pt idx="207">
                  <c:v>201903</c:v>
                </c:pt>
              </c:strCache>
            </c:strRef>
          </c:cat>
          <c:val>
            <c:numRef>
              <c:f>Sheet3!$B$5:$B$213</c:f>
              <c:numCache>
                <c:formatCode>General</c:formatCode>
                <c:ptCount val="208"/>
                <c:pt idx="68">
                  <c:v>59</c:v>
                </c:pt>
                <c:pt idx="69">
                  <c:v>82</c:v>
                </c:pt>
                <c:pt idx="70">
                  <c:v>97</c:v>
                </c:pt>
                <c:pt idx="71">
                  <c:v>95</c:v>
                </c:pt>
                <c:pt idx="72">
                  <c:v>107</c:v>
                </c:pt>
                <c:pt idx="73">
                  <c:v>93</c:v>
                </c:pt>
                <c:pt idx="74">
                  <c:v>110</c:v>
                </c:pt>
                <c:pt idx="75">
                  <c:v>110</c:v>
                </c:pt>
                <c:pt idx="76">
                  <c:v>104</c:v>
                </c:pt>
                <c:pt idx="77">
                  <c:v>120</c:v>
                </c:pt>
                <c:pt idx="78">
                  <c:v>105</c:v>
                </c:pt>
                <c:pt idx="79">
                  <c:v>113</c:v>
                </c:pt>
                <c:pt idx="80">
                  <c:v>123</c:v>
                </c:pt>
                <c:pt idx="81">
                  <c:v>101</c:v>
                </c:pt>
                <c:pt idx="82">
                  <c:v>132</c:v>
                </c:pt>
                <c:pt idx="83">
                  <c:v>112</c:v>
                </c:pt>
                <c:pt idx="84">
                  <c:v>150</c:v>
                </c:pt>
                <c:pt idx="85">
                  <c:v>107</c:v>
                </c:pt>
                <c:pt idx="86">
                  <c:v>119</c:v>
                </c:pt>
                <c:pt idx="87">
                  <c:v>130</c:v>
                </c:pt>
                <c:pt idx="88">
                  <c:v>132</c:v>
                </c:pt>
                <c:pt idx="89">
                  <c:v>122</c:v>
                </c:pt>
                <c:pt idx="90">
                  <c:v>124</c:v>
                </c:pt>
                <c:pt idx="91">
                  <c:v>121</c:v>
                </c:pt>
                <c:pt idx="92">
                  <c:v>124</c:v>
                </c:pt>
                <c:pt idx="93">
                  <c:v>133</c:v>
                </c:pt>
                <c:pt idx="94">
                  <c:v>122</c:v>
                </c:pt>
                <c:pt idx="95">
                  <c:v>126</c:v>
                </c:pt>
                <c:pt idx="96">
                  <c:v>133</c:v>
                </c:pt>
                <c:pt idx="97">
                  <c:v>110</c:v>
                </c:pt>
                <c:pt idx="98">
                  <c:v>111</c:v>
                </c:pt>
                <c:pt idx="99">
                  <c:v>138</c:v>
                </c:pt>
                <c:pt idx="100">
                  <c:v>113</c:v>
                </c:pt>
                <c:pt idx="101">
                  <c:v>110</c:v>
                </c:pt>
                <c:pt idx="102">
                  <c:v>139</c:v>
                </c:pt>
                <c:pt idx="103">
                  <c:v>136</c:v>
                </c:pt>
                <c:pt idx="104">
                  <c:v>126</c:v>
                </c:pt>
                <c:pt idx="105">
                  <c:v>130</c:v>
                </c:pt>
                <c:pt idx="106">
                  <c:v>139</c:v>
                </c:pt>
                <c:pt idx="107">
                  <c:v>147</c:v>
                </c:pt>
                <c:pt idx="108">
                  <c:v>161</c:v>
                </c:pt>
                <c:pt idx="109">
                  <c:v>132</c:v>
                </c:pt>
                <c:pt idx="110">
                  <c:v>134</c:v>
                </c:pt>
                <c:pt idx="111">
                  <c:v>164</c:v>
                </c:pt>
                <c:pt idx="112">
                  <c:v>152</c:v>
                </c:pt>
                <c:pt idx="113">
                  <c:v>167</c:v>
                </c:pt>
                <c:pt idx="114">
                  <c:v>161</c:v>
                </c:pt>
                <c:pt idx="115">
                  <c:v>178</c:v>
                </c:pt>
                <c:pt idx="116">
                  <c:v>169</c:v>
                </c:pt>
                <c:pt idx="117">
                  <c:v>181</c:v>
                </c:pt>
                <c:pt idx="118">
                  <c:v>184</c:v>
                </c:pt>
                <c:pt idx="119">
                  <c:v>190</c:v>
                </c:pt>
                <c:pt idx="120">
                  <c:v>190</c:v>
                </c:pt>
                <c:pt idx="121">
                  <c:v>189</c:v>
                </c:pt>
                <c:pt idx="122">
                  <c:v>166</c:v>
                </c:pt>
                <c:pt idx="123">
                  <c:v>195</c:v>
                </c:pt>
                <c:pt idx="124">
                  <c:v>134</c:v>
                </c:pt>
                <c:pt idx="125">
                  <c:v>242</c:v>
                </c:pt>
                <c:pt idx="126">
                  <c:v>227</c:v>
                </c:pt>
                <c:pt idx="127">
                  <c:v>262</c:v>
                </c:pt>
                <c:pt idx="128">
                  <c:v>293</c:v>
                </c:pt>
                <c:pt idx="129">
                  <c:v>278</c:v>
                </c:pt>
                <c:pt idx="130">
                  <c:v>331</c:v>
                </c:pt>
                <c:pt idx="131">
                  <c:v>323</c:v>
                </c:pt>
                <c:pt idx="132">
                  <c:v>372</c:v>
                </c:pt>
                <c:pt idx="133">
                  <c:v>355</c:v>
                </c:pt>
                <c:pt idx="134">
                  <c:v>317</c:v>
                </c:pt>
                <c:pt idx="135">
                  <c:v>379</c:v>
                </c:pt>
                <c:pt idx="136">
                  <c:v>400</c:v>
                </c:pt>
                <c:pt idx="137">
                  <c:v>438</c:v>
                </c:pt>
                <c:pt idx="138">
                  <c:v>398</c:v>
                </c:pt>
                <c:pt idx="139">
                  <c:v>450</c:v>
                </c:pt>
                <c:pt idx="140">
                  <c:v>409</c:v>
                </c:pt>
                <c:pt idx="141">
                  <c:v>426</c:v>
                </c:pt>
                <c:pt idx="142">
                  <c:v>486</c:v>
                </c:pt>
                <c:pt idx="143">
                  <c:v>469</c:v>
                </c:pt>
                <c:pt idx="144">
                  <c:v>530</c:v>
                </c:pt>
                <c:pt idx="145">
                  <c:v>493</c:v>
                </c:pt>
                <c:pt idx="146">
                  <c:v>447</c:v>
                </c:pt>
                <c:pt idx="147">
                  <c:v>546</c:v>
                </c:pt>
                <c:pt idx="148">
                  <c:v>479</c:v>
                </c:pt>
                <c:pt idx="149">
                  <c:v>525</c:v>
                </c:pt>
                <c:pt idx="150">
                  <c:v>530</c:v>
                </c:pt>
                <c:pt idx="151">
                  <c:v>579</c:v>
                </c:pt>
                <c:pt idx="152">
                  <c:v>556</c:v>
                </c:pt>
                <c:pt idx="153">
                  <c:v>533</c:v>
                </c:pt>
                <c:pt idx="154">
                  <c:v>567</c:v>
                </c:pt>
                <c:pt idx="155">
                  <c:v>549</c:v>
                </c:pt>
                <c:pt idx="156">
                  <c:v>660</c:v>
                </c:pt>
                <c:pt idx="157">
                  <c:v>544</c:v>
                </c:pt>
                <c:pt idx="158">
                  <c:v>547</c:v>
                </c:pt>
                <c:pt idx="159">
                  <c:v>656</c:v>
                </c:pt>
                <c:pt idx="160">
                  <c:v>614</c:v>
                </c:pt>
                <c:pt idx="161">
                  <c:v>628</c:v>
                </c:pt>
                <c:pt idx="162">
                  <c:v>616</c:v>
                </c:pt>
                <c:pt idx="163">
                  <c:v>625</c:v>
                </c:pt>
                <c:pt idx="164">
                  <c:v>657</c:v>
                </c:pt>
                <c:pt idx="165">
                  <c:v>640</c:v>
                </c:pt>
                <c:pt idx="166">
                  <c:v>635</c:v>
                </c:pt>
                <c:pt idx="167">
                  <c:v>633</c:v>
                </c:pt>
                <c:pt idx="168">
                  <c:v>758</c:v>
                </c:pt>
                <c:pt idx="169">
                  <c:v>603</c:v>
                </c:pt>
                <c:pt idx="170">
                  <c:v>651</c:v>
                </c:pt>
                <c:pt idx="171">
                  <c:v>727</c:v>
                </c:pt>
                <c:pt idx="172">
                  <c:v>648</c:v>
                </c:pt>
                <c:pt idx="173">
                  <c:v>727</c:v>
                </c:pt>
                <c:pt idx="174">
                  <c:v>688</c:v>
                </c:pt>
                <c:pt idx="175">
                  <c:v>743</c:v>
                </c:pt>
                <c:pt idx="176">
                  <c:v>762</c:v>
                </c:pt>
                <c:pt idx="177">
                  <c:v>760</c:v>
                </c:pt>
                <c:pt idx="178">
                  <c:v>717</c:v>
                </c:pt>
                <c:pt idx="179">
                  <c:v>769</c:v>
                </c:pt>
                <c:pt idx="180">
                  <c:v>798</c:v>
                </c:pt>
                <c:pt idx="181">
                  <c:v>728</c:v>
                </c:pt>
                <c:pt idx="182">
                  <c:v>692</c:v>
                </c:pt>
                <c:pt idx="183">
                  <c:v>830</c:v>
                </c:pt>
                <c:pt idx="184">
                  <c:v>730</c:v>
                </c:pt>
                <c:pt idx="185">
                  <c:v>859</c:v>
                </c:pt>
                <c:pt idx="186">
                  <c:v>785</c:v>
                </c:pt>
                <c:pt idx="187">
                  <c:v>791</c:v>
                </c:pt>
                <c:pt idx="188">
                  <c:v>857</c:v>
                </c:pt>
                <c:pt idx="189">
                  <c:v>806</c:v>
                </c:pt>
                <c:pt idx="190">
                  <c:v>817</c:v>
                </c:pt>
                <c:pt idx="191">
                  <c:v>833</c:v>
                </c:pt>
                <c:pt idx="192">
                  <c:v>853</c:v>
                </c:pt>
                <c:pt idx="193">
                  <c:v>861</c:v>
                </c:pt>
                <c:pt idx="194">
                  <c:v>785</c:v>
                </c:pt>
                <c:pt idx="195">
                  <c:v>825</c:v>
                </c:pt>
                <c:pt idx="196">
                  <c:v>863</c:v>
                </c:pt>
                <c:pt idx="197">
                  <c:v>987</c:v>
                </c:pt>
                <c:pt idx="198">
                  <c:v>812</c:v>
                </c:pt>
                <c:pt idx="199">
                  <c:v>912</c:v>
                </c:pt>
                <c:pt idx="200">
                  <c:v>930</c:v>
                </c:pt>
                <c:pt idx="201">
                  <c:v>894</c:v>
                </c:pt>
                <c:pt idx="202">
                  <c:v>924</c:v>
                </c:pt>
                <c:pt idx="203">
                  <c:v>979</c:v>
                </c:pt>
                <c:pt idx="204">
                  <c:v>909</c:v>
                </c:pt>
                <c:pt idx="205">
                  <c:v>908</c:v>
                </c:pt>
                <c:pt idx="206">
                  <c:v>868</c:v>
                </c:pt>
                <c:pt idx="207">
                  <c:v>956</c:v>
                </c:pt>
              </c:numCache>
            </c:numRef>
          </c:val>
          <c:smooth val="0"/>
          <c:extLst>
            <c:ext xmlns:c16="http://schemas.microsoft.com/office/drawing/2014/chart" uri="{C3380CC4-5D6E-409C-BE32-E72D297353CC}">
              <c16:uniqueId val="{00000000-F10A-4902-9771-06591E9AD28C}"/>
            </c:ext>
          </c:extLst>
        </c:ser>
        <c:ser>
          <c:idx val="1"/>
          <c:order val="1"/>
          <c:tx>
            <c:strRef>
              <c:f>Sheet3!$C$3:$C$4</c:f>
              <c:strCache>
                <c:ptCount val="1"/>
                <c:pt idx="0">
                  <c:v>IMATINIB</c:v>
                </c:pt>
              </c:strCache>
            </c:strRef>
          </c:tx>
          <c:spPr>
            <a:ln w="28575" cap="rnd">
              <a:solidFill>
                <a:schemeClr val="accent2"/>
              </a:solidFill>
              <a:round/>
            </a:ln>
            <a:effectLst/>
          </c:spPr>
          <c:marker>
            <c:symbol val="none"/>
          </c:marker>
          <c:cat>
            <c:strRef>
              <c:f>Sheet3!$A$5:$A$213</c:f>
              <c:strCache>
                <c:ptCount val="208"/>
                <c:pt idx="0">
                  <c:v>200112</c:v>
                </c:pt>
                <c:pt idx="1">
                  <c:v>200201</c:v>
                </c:pt>
                <c:pt idx="2">
                  <c:v>200202</c:v>
                </c:pt>
                <c:pt idx="3">
                  <c:v>200203</c:v>
                </c:pt>
                <c:pt idx="4">
                  <c:v>200204</c:v>
                </c:pt>
                <c:pt idx="5">
                  <c:v>200205</c:v>
                </c:pt>
                <c:pt idx="6">
                  <c:v>200206</c:v>
                </c:pt>
                <c:pt idx="7">
                  <c:v>200207</c:v>
                </c:pt>
                <c:pt idx="8">
                  <c:v>200208</c:v>
                </c:pt>
                <c:pt idx="9">
                  <c:v>200209</c:v>
                </c:pt>
                <c:pt idx="10">
                  <c:v>200210</c:v>
                </c:pt>
                <c:pt idx="11">
                  <c:v>200211</c:v>
                </c:pt>
                <c:pt idx="12">
                  <c:v>200212</c:v>
                </c:pt>
                <c:pt idx="13">
                  <c:v>200301</c:v>
                </c:pt>
                <c:pt idx="14">
                  <c:v>200302</c:v>
                </c:pt>
                <c:pt idx="15">
                  <c:v>200303</c:v>
                </c:pt>
                <c:pt idx="16">
                  <c:v>200304</c:v>
                </c:pt>
                <c:pt idx="17">
                  <c:v>200305</c:v>
                </c:pt>
                <c:pt idx="18">
                  <c:v>200306</c:v>
                </c:pt>
                <c:pt idx="19">
                  <c:v>200307</c:v>
                </c:pt>
                <c:pt idx="20">
                  <c:v>200308</c:v>
                </c:pt>
                <c:pt idx="21">
                  <c:v>200309</c:v>
                </c:pt>
                <c:pt idx="22">
                  <c:v>200310</c:v>
                </c:pt>
                <c:pt idx="23">
                  <c:v>200311</c:v>
                </c:pt>
                <c:pt idx="24">
                  <c:v>200312</c:v>
                </c:pt>
                <c:pt idx="25">
                  <c:v>200401</c:v>
                </c:pt>
                <c:pt idx="26">
                  <c:v>200402</c:v>
                </c:pt>
                <c:pt idx="27">
                  <c:v>200403</c:v>
                </c:pt>
                <c:pt idx="28">
                  <c:v>200404</c:v>
                </c:pt>
                <c:pt idx="29">
                  <c:v>200405</c:v>
                </c:pt>
                <c:pt idx="30">
                  <c:v>200406</c:v>
                </c:pt>
                <c:pt idx="31">
                  <c:v>200407</c:v>
                </c:pt>
                <c:pt idx="32">
                  <c:v>200408</c:v>
                </c:pt>
                <c:pt idx="33">
                  <c:v>200409</c:v>
                </c:pt>
                <c:pt idx="34">
                  <c:v>200410</c:v>
                </c:pt>
                <c:pt idx="35">
                  <c:v>200411</c:v>
                </c:pt>
                <c:pt idx="36">
                  <c:v>200412</c:v>
                </c:pt>
                <c:pt idx="37">
                  <c:v>200501</c:v>
                </c:pt>
                <c:pt idx="38">
                  <c:v>200502</c:v>
                </c:pt>
                <c:pt idx="39">
                  <c:v>200503</c:v>
                </c:pt>
                <c:pt idx="40">
                  <c:v>200504</c:v>
                </c:pt>
                <c:pt idx="41">
                  <c:v>200505</c:v>
                </c:pt>
                <c:pt idx="42">
                  <c:v>200506</c:v>
                </c:pt>
                <c:pt idx="43">
                  <c:v>200507</c:v>
                </c:pt>
                <c:pt idx="44">
                  <c:v>200508</c:v>
                </c:pt>
                <c:pt idx="45">
                  <c:v>200509</c:v>
                </c:pt>
                <c:pt idx="46">
                  <c:v>200510</c:v>
                </c:pt>
                <c:pt idx="47">
                  <c:v>200511</c:v>
                </c:pt>
                <c:pt idx="48">
                  <c:v>200512</c:v>
                </c:pt>
                <c:pt idx="49">
                  <c:v>200601</c:v>
                </c:pt>
                <c:pt idx="50">
                  <c:v>200602</c:v>
                </c:pt>
                <c:pt idx="51">
                  <c:v>200603</c:v>
                </c:pt>
                <c:pt idx="52">
                  <c:v>200604</c:v>
                </c:pt>
                <c:pt idx="53">
                  <c:v>200605</c:v>
                </c:pt>
                <c:pt idx="54">
                  <c:v>200606</c:v>
                </c:pt>
                <c:pt idx="55">
                  <c:v>200607</c:v>
                </c:pt>
                <c:pt idx="56">
                  <c:v>200608</c:v>
                </c:pt>
                <c:pt idx="57">
                  <c:v>200609</c:v>
                </c:pt>
                <c:pt idx="58">
                  <c:v>200610</c:v>
                </c:pt>
                <c:pt idx="59">
                  <c:v>200611</c:v>
                </c:pt>
                <c:pt idx="60">
                  <c:v>200612</c:v>
                </c:pt>
                <c:pt idx="61">
                  <c:v>200701</c:v>
                </c:pt>
                <c:pt idx="62">
                  <c:v>200702</c:v>
                </c:pt>
                <c:pt idx="63">
                  <c:v>200703</c:v>
                </c:pt>
                <c:pt idx="64">
                  <c:v>200704</c:v>
                </c:pt>
                <c:pt idx="65">
                  <c:v>200705</c:v>
                </c:pt>
                <c:pt idx="66">
                  <c:v>200706</c:v>
                </c:pt>
                <c:pt idx="67">
                  <c:v>200707</c:v>
                </c:pt>
                <c:pt idx="68">
                  <c:v>200708</c:v>
                </c:pt>
                <c:pt idx="69">
                  <c:v>200709</c:v>
                </c:pt>
                <c:pt idx="70">
                  <c:v>200710</c:v>
                </c:pt>
                <c:pt idx="71">
                  <c:v>200711</c:v>
                </c:pt>
                <c:pt idx="72">
                  <c:v>200712</c:v>
                </c:pt>
                <c:pt idx="73">
                  <c:v>200801</c:v>
                </c:pt>
                <c:pt idx="74">
                  <c:v>200802</c:v>
                </c:pt>
                <c:pt idx="75">
                  <c:v>200803</c:v>
                </c:pt>
                <c:pt idx="76">
                  <c:v>200804</c:v>
                </c:pt>
                <c:pt idx="77">
                  <c:v>200805</c:v>
                </c:pt>
                <c:pt idx="78">
                  <c:v>200806</c:v>
                </c:pt>
                <c:pt idx="79">
                  <c:v>200807</c:v>
                </c:pt>
                <c:pt idx="80">
                  <c:v>200808</c:v>
                </c:pt>
                <c:pt idx="81">
                  <c:v>200809</c:v>
                </c:pt>
                <c:pt idx="82">
                  <c:v>200810</c:v>
                </c:pt>
                <c:pt idx="83">
                  <c:v>200811</c:v>
                </c:pt>
                <c:pt idx="84">
                  <c:v>200812</c:v>
                </c:pt>
                <c:pt idx="85">
                  <c:v>200901</c:v>
                </c:pt>
                <c:pt idx="86">
                  <c:v>200902</c:v>
                </c:pt>
                <c:pt idx="87">
                  <c:v>200903</c:v>
                </c:pt>
                <c:pt idx="88">
                  <c:v>200904</c:v>
                </c:pt>
                <c:pt idx="89">
                  <c:v>200905</c:v>
                </c:pt>
                <c:pt idx="90">
                  <c:v>200906</c:v>
                </c:pt>
                <c:pt idx="91">
                  <c:v>200907</c:v>
                </c:pt>
                <c:pt idx="92">
                  <c:v>200908</c:v>
                </c:pt>
                <c:pt idx="93">
                  <c:v>200909</c:v>
                </c:pt>
                <c:pt idx="94">
                  <c:v>200910</c:v>
                </c:pt>
                <c:pt idx="95">
                  <c:v>200911</c:v>
                </c:pt>
                <c:pt idx="96">
                  <c:v>200912</c:v>
                </c:pt>
                <c:pt idx="97">
                  <c:v>201001</c:v>
                </c:pt>
                <c:pt idx="98">
                  <c:v>201002</c:v>
                </c:pt>
                <c:pt idx="99">
                  <c:v>201003</c:v>
                </c:pt>
                <c:pt idx="100">
                  <c:v>201004</c:v>
                </c:pt>
                <c:pt idx="101">
                  <c:v>201005</c:v>
                </c:pt>
                <c:pt idx="102">
                  <c:v>201006</c:v>
                </c:pt>
                <c:pt idx="103">
                  <c:v>201007</c:v>
                </c:pt>
                <c:pt idx="104">
                  <c:v>201008</c:v>
                </c:pt>
                <c:pt idx="105">
                  <c:v>201009</c:v>
                </c:pt>
                <c:pt idx="106">
                  <c:v>201010</c:v>
                </c:pt>
                <c:pt idx="107">
                  <c:v>201011</c:v>
                </c:pt>
                <c:pt idx="108">
                  <c:v>201012</c:v>
                </c:pt>
                <c:pt idx="109">
                  <c:v>201101</c:v>
                </c:pt>
                <c:pt idx="110">
                  <c:v>201102</c:v>
                </c:pt>
                <c:pt idx="111">
                  <c:v>201103</c:v>
                </c:pt>
                <c:pt idx="112">
                  <c:v>201104</c:v>
                </c:pt>
                <c:pt idx="113">
                  <c:v>201105</c:v>
                </c:pt>
                <c:pt idx="114">
                  <c:v>201106</c:v>
                </c:pt>
                <c:pt idx="115">
                  <c:v>201107</c:v>
                </c:pt>
                <c:pt idx="116">
                  <c:v>201108</c:v>
                </c:pt>
                <c:pt idx="117">
                  <c:v>201109</c:v>
                </c:pt>
                <c:pt idx="118">
                  <c:v>201110</c:v>
                </c:pt>
                <c:pt idx="119">
                  <c:v>201111</c:v>
                </c:pt>
                <c:pt idx="120">
                  <c:v>201112</c:v>
                </c:pt>
                <c:pt idx="121">
                  <c:v>201201</c:v>
                </c:pt>
                <c:pt idx="122">
                  <c:v>201202</c:v>
                </c:pt>
                <c:pt idx="123">
                  <c:v>201203</c:v>
                </c:pt>
                <c:pt idx="124">
                  <c:v>201204</c:v>
                </c:pt>
                <c:pt idx="125">
                  <c:v>201205</c:v>
                </c:pt>
                <c:pt idx="126">
                  <c:v>201206</c:v>
                </c:pt>
                <c:pt idx="127">
                  <c:v>201207</c:v>
                </c:pt>
                <c:pt idx="128">
                  <c:v>201208</c:v>
                </c:pt>
                <c:pt idx="129">
                  <c:v>201209</c:v>
                </c:pt>
                <c:pt idx="130">
                  <c:v>201210</c:v>
                </c:pt>
                <c:pt idx="131">
                  <c:v>201211</c:v>
                </c:pt>
                <c:pt idx="132">
                  <c:v>201212</c:v>
                </c:pt>
                <c:pt idx="133">
                  <c:v>201301</c:v>
                </c:pt>
                <c:pt idx="134">
                  <c:v>201302</c:v>
                </c:pt>
                <c:pt idx="135">
                  <c:v>201303</c:v>
                </c:pt>
                <c:pt idx="136">
                  <c:v>201304</c:v>
                </c:pt>
                <c:pt idx="137">
                  <c:v>201305</c:v>
                </c:pt>
                <c:pt idx="138">
                  <c:v>201306</c:v>
                </c:pt>
                <c:pt idx="139">
                  <c:v>201307</c:v>
                </c:pt>
                <c:pt idx="140">
                  <c:v>201308</c:v>
                </c:pt>
                <c:pt idx="141">
                  <c:v>201309</c:v>
                </c:pt>
                <c:pt idx="142">
                  <c:v>201310</c:v>
                </c:pt>
                <c:pt idx="143">
                  <c:v>201311</c:v>
                </c:pt>
                <c:pt idx="144">
                  <c:v>201312</c:v>
                </c:pt>
                <c:pt idx="145">
                  <c:v>201401</c:v>
                </c:pt>
                <c:pt idx="146">
                  <c:v>201402</c:v>
                </c:pt>
                <c:pt idx="147">
                  <c:v>201403</c:v>
                </c:pt>
                <c:pt idx="148">
                  <c:v>201404</c:v>
                </c:pt>
                <c:pt idx="149">
                  <c:v>201405</c:v>
                </c:pt>
                <c:pt idx="150">
                  <c:v>201406</c:v>
                </c:pt>
                <c:pt idx="151">
                  <c:v>201407</c:v>
                </c:pt>
                <c:pt idx="152">
                  <c:v>201408</c:v>
                </c:pt>
                <c:pt idx="153">
                  <c:v>201409</c:v>
                </c:pt>
                <c:pt idx="154">
                  <c:v>201410</c:v>
                </c:pt>
                <c:pt idx="155">
                  <c:v>201411</c:v>
                </c:pt>
                <c:pt idx="156">
                  <c:v>201412</c:v>
                </c:pt>
                <c:pt idx="157">
                  <c:v>201501</c:v>
                </c:pt>
                <c:pt idx="158">
                  <c:v>201502</c:v>
                </c:pt>
                <c:pt idx="159">
                  <c:v>201503</c:v>
                </c:pt>
                <c:pt idx="160">
                  <c:v>201504</c:v>
                </c:pt>
                <c:pt idx="161">
                  <c:v>201505</c:v>
                </c:pt>
                <c:pt idx="162">
                  <c:v>201506</c:v>
                </c:pt>
                <c:pt idx="163">
                  <c:v>201507</c:v>
                </c:pt>
                <c:pt idx="164">
                  <c:v>201508</c:v>
                </c:pt>
                <c:pt idx="165">
                  <c:v>201509</c:v>
                </c:pt>
                <c:pt idx="166">
                  <c:v>201510</c:v>
                </c:pt>
                <c:pt idx="167">
                  <c:v>201511</c:v>
                </c:pt>
                <c:pt idx="168">
                  <c:v>201512</c:v>
                </c:pt>
                <c:pt idx="169">
                  <c:v>201601</c:v>
                </c:pt>
                <c:pt idx="170">
                  <c:v>201602</c:v>
                </c:pt>
                <c:pt idx="171">
                  <c:v>201603</c:v>
                </c:pt>
                <c:pt idx="172">
                  <c:v>201604</c:v>
                </c:pt>
                <c:pt idx="173">
                  <c:v>201605</c:v>
                </c:pt>
                <c:pt idx="174">
                  <c:v>201606</c:v>
                </c:pt>
                <c:pt idx="175">
                  <c:v>201607</c:v>
                </c:pt>
                <c:pt idx="176">
                  <c:v>201608</c:v>
                </c:pt>
                <c:pt idx="177">
                  <c:v>201609</c:v>
                </c:pt>
                <c:pt idx="178">
                  <c:v>201610</c:v>
                </c:pt>
                <c:pt idx="179">
                  <c:v>201611</c:v>
                </c:pt>
                <c:pt idx="180">
                  <c:v>201612</c:v>
                </c:pt>
                <c:pt idx="181">
                  <c:v>201701</c:v>
                </c:pt>
                <c:pt idx="182">
                  <c:v>201702</c:v>
                </c:pt>
                <c:pt idx="183">
                  <c:v>201703</c:v>
                </c:pt>
                <c:pt idx="184">
                  <c:v>201704</c:v>
                </c:pt>
                <c:pt idx="185">
                  <c:v>201705</c:v>
                </c:pt>
                <c:pt idx="186">
                  <c:v>201706</c:v>
                </c:pt>
                <c:pt idx="187">
                  <c:v>201707</c:v>
                </c:pt>
                <c:pt idx="188">
                  <c:v>201708</c:v>
                </c:pt>
                <c:pt idx="189">
                  <c:v>201709</c:v>
                </c:pt>
                <c:pt idx="190">
                  <c:v>201710</c:v>
                </c:pt>
                <c:pt idx="191">
                  <c:v>201711</c:v>
                </c:pt>
                <c:pt idx="192">
                  <c:v>201712</c:v>
                </c:pt>
                <c:pt idx="193">
                  <c:v>201801</c:v>
                </c:pt>
                <c:pt idx="194">
                  <c:v>201802</c:v>
                </c:pt>
                <c:pt idx="195">
                  <c:v>201803</c:v>
                </c:pt>
                <c:pt idx="196">
                  <c:v>201804</c:v>
                </c:pt>
                <c:pt idx="197">
                  <c:v>201805</c:v>
                </c:pt>
                <c:pt idx="198">
                  <c:v>201806</c:v>
                </c:pt>
                <c:pt idx="199">
                  <c:v>201807</c:v>
                </c:pt>
                <c:pt idx="200">
                  <c:v>201808</c:v>
                </c:pt>
                <c:pt idx="201">
                  <c:v>201809</c:v>
                </c:pt>
                <c:pt idx="202">
                  <c:v>201810</c:v>
                </c:pt>
                <c:pt idx="203">
                  <c:v>201811</c:v>
                </c:pt>
                <c:pt idx="204">
                  <c:v>201812</c:v>
                </c:pt>
                <c:pt idx="205">
                  <c:v>201901</c:v>
                </c:pt>
                <c:pt idx="206">
                  <c:v>201902</c:v>
                </c:pt>
                <c:pt idx="207">
                  <c:v>201903</c:v>
                </c:pt>
              </c:strCache>
            </c:strRef>
          </c:cat>
          <c:val>
            <c:numRef>
              <c:f>Sheet3!$C$5:$C$213</c:f>
              <c:numCache>
                <c:formatCode>General</c:formatCode>
                <c:ptCount val="208"/>
                <c:pt idx="0">
                  <c:v>61</c:v>
                </c:pt>
                <c:pt idx="1">
                  <c:v>72</c:v>
                </c:pt>
                <c:pt idx="2">
                  <c:v>83</c:v>
                </c:pt>
                <c:pt idx="3">
                  <c:v>84</c:v>
                </c:pt>
                <c:pt idx="4">
                  <c:v>88</c:v>
                </c:pt>
                <c:pt idx="5">
                  <c:v>117</c:v>
                </c:pt>
                <c:pt idx="6">
                  <c:v>97</c:v>
                </c:pt>
                <c:pt idx="7">
                  <c:v>127</c:v>
                </c:pt>
                <c:pt idx="8">
                  <c:v>117</c:v>
                </c:pt>
                <c:pt idx="9">
                  <c:v>128</c:v>
                </c:pt>
                <c:pt idx="10">
                  <c:v>119</c:v>
                </c:pt>
                <c:pt idx="11">
                  <c:v>175</c:v>
                </c:pt>
                <c:pt idx="12">
                  <c:v>292</c:v>
                </c:pt>
                <c:pt idx="13">
                  <c:v>277</c:v>
                </c:pt>
                <c:pt idx="14">
                  <c:v>262</c:v>
                </c:pt>
                <c:pt idx="15">
                  <c:v>294</c:v>
                </c:pt>
                <c:pt idx="16">
                  <c:v>318</c:v>
                </c:pt>
                <c:pt idx="17">
                  <c:v>328</c:v>
                </c:pt>
                <c:pt idx="18">
                  <c:v>302</c:v>
                </c:pt>
                <c:pt idx="19">
                  <c:v>354</c:v>
                </c:pt>
                <c:pt idx="20">
                  <c:v>323</c:v>
                </c:pt>
                <c:pt idx="21">
                  <c:v>360</c:v>
                </c:pt>
                <c:pt idx="22">
                  <c:v>393</c:v>
                </c:pt>
                <c:pt idx="23">
                  <c:v>366</c:v>
                </c:pt>
                <c:pt idx="24">
                  <c:v>491</c:v>
                </c:pt>
                <c:pt idx="25">
                  <c:v>453</c:v>
                </c:pt>
                <c:pt idx="26">
                  <c:v>465</c:v>
                </c:pt>
                <c:pt idx="27">
                  <c:v>513</c:v>
                </c:pt>
                <c:pt idx="28">
                  <c:v>509</c:v>
                </c:pt>
                <c:pt idx="29">
                  <c:v>496</c:v>
                </c:pt>
                <c:pt idx="30">
                  <c:v>483</c:v>
                </c:pt>
                <c:pt idx="31">
                  <c:v>483</c:v>
                </c:pt>
                <c:pt idx="32">
                  <c:v>463</c:v>
                </c:pt>
                <c:pt idx="33">
                  <c:v>485</c:v>
                </c:pt>
                <c:pt idx="34">
                  <c:v>515</c:v>
                </c:pt>
                <c:pt idx="35">
                  <c:v>596</c:v>
                </c:pt>
                <c:pt idx="36">
                  <c:v>718</c:v>
                </c:pt>
                <c:pt idx="37">
                  <c:v>627</c:v>
                </c:pt>
                <c:pt idx="38">
                  <c:v>689</c:v>
                </c:pt>
                <c:pt idx="39">
                  <c:v>778</c:v>
                </c:pt>
                <c:pt idx="40">
                  <c:v>779</c:v>
                </c:pt>
                <c:pt idx="41">
                  <c:v>892</c:v>
                </c:pt>
                <c:pt idx="42">
                  <c:v>834</c:v>
                </c:pt>
                <c:pt idx="43">
                  <c:v>910</c:v>
                </c:pt>
                <c:pt idx="44">
                  <c:v>933</c:v>
                </c:pt>
                <c:pt idx="45">
                  <c:v>896</c:v>
                </c:pt>
                <c:pt idx="46">
                  <c:v>904</c:v>
                </c:pt>
                <c:pt idx="47">
                  <c:v>957</c:v>
                </c:pt>
                <c:pt idx="48">
                  <c:v>1077</c:v>
                </c:pt>
                <c:pt idx="49">
                  <c:v>894</c:v>
                </c:pt>
                <c:pt idx="50">
                  <c:v>892</c:v>
                </c:pt>
                <c:pt idx="51">
                  <c:v>1030</c:v>
                </c:pt>
                <c:pt idx="52">
                  <c:v>951</c:v>
                </c:pt>
                <c:pt idx="53">
                  <c:v>1089</c:v>
                </c:pt>
                <c:pt idx="54">
                  <c:v>997</c:v>
                </c:pt>
                <c:pt idx="55">
                  <c:v>1000</c:v>
                </c:pt>
                <c:pt idx="56">
                  <c:v>1028</c:v>
                </c:pt>
                <c:pt idx="57">
                  <c:v>957</c:v>
                </c:pt>
                <c:pt idx="58">
                  <c:v>1053</c:v>
                </c:pt>
                <c:pt idx="59">
                  <c:v>1017</c:v>
                </c:pt>
                <c:pt idx="60">
                  <c:v>1070</c:v>
                </c:pt>
                <c:pt idx="61">
                  <c:v>1006</c:v>
                </c:pt>
                <c:pt idx="62">
                  <c:v>969</c:v>
                </c:pt>
                <c:pt idx="63">
                  <c:v>1074</c:v>
                </c:pt>
                <c:pt idx="64">
                  <c:v>1052</c:v>
                </c:pt>
                <c:pt idx="65">
                  <c:v>1161</c:v>
                </c:pt>
                <c:pt idx="66">
                  <c:v>1052</c:v>
                </c:pt>
                <c:pt idx="67">
                  <c:v>1079</c:v>
                </c:pt>
                <c:pt idx="68">
                  <c:v>1157</c:v>
                </c:pt>
                <c:pt idx="69">
                  <c:v>1037</c:v>
                </c:pt>
                <c:pt idx="70">
                  <c:v>1151</c:v>
                </c:pt>
                <c:pt idx="71">
                  <c:v>1197</c:v>
                </c:pt>
                <c:pt idx="72">
                  <c:v>1221</c:v>
                </c:pt>
                <c:pt idx="73">
                  <c:v>1152</c:v>
                </c:pt>
                <c:pt idx="74">
                  <c:v>1144</c:v>
                </c:pt>
                <c:pt idx="75">
                  <c:v>1199</c:v>
                </c:pt>
                <c:pt idx="76">
                  <c:v>1288</c:v>
                </c:pt>
                <c:pt idx="77">
                  <c:v>1310</c:v>
                </c:pt>
                <c:pt idx="78">
                  <c:v>1207</c:v>
                </c:pt>
                <c:pt idx="79">
                  <c:v>1305</c:v>
                </c:pt>
                <c:pt idx="80">
                  <c:v>1211</c:v>
                </c:pt>
                <c:pt idx="81">
                  <c:v>1311</c:v>
                </c:pt>
                <c:pt idx="82">
                  <c:v>1305</c:v>
                </c:pt>
                <c:pt idx="83">
                  <c:v>1262</c:v>
                </c:pt>
                <c:pt idx="84">
                  <c:v>1522</c:v>
                </c:pt>
                <c:pt idx="85">
                  <c:v>1210</c:v>
                </c:pt>
                <c:pt idx="86">
                  <c:v>1273</c:v>
                </c:pt>
                <c:pt idx="87">
                  <c:v>1374</c:v>
                </c:pt>
                <c:pt idx="88">
                  <c:v>1394</c:v>
                </c:pt>
                <c:pt idx="89">
                  <c:v>1375</c:v>
                </c:pt>
                <c:pt idx="90">
                  <c:v>1430</c:v>
                </c:pt>
                <c:pt idx="91">
                  <c:v>1428</c:v>
                </c:pt>
                <c:pt idx="92">
                  <c:v>1440</c:v>
                </c:pt>
                <c:pt idx="93">
                  <c:v>1455</c:v>
                </c:pt>
                <c:pt idx="94">
                  <c:v>1447</c:v>
                </c:pt>
                <c:pt idx="95">
                  <c:v>1390</c:v>
                </c:pt>
                <c:pt idx="96">
                  <c:v>1644</c:v>
                </c:pt>
                <c:pt idx="97">
                  <c:v>1343</c:v>
                </c:pt>
                <c:pt idx="98">
                  <c:v>1354</c:v>
                </c:pt>
                <c:pt idx="99">
                  <c:v>1620</c:v>
                </c:pt>
                <c:pt idx="100">
                  <c:v>1477</c:v>
                </c:pt>
                <c:pt idx="101">
                  <c:v>1505</c:v>
                </c:pt>
                <c:pt idx="102">
                  <c:v>1542</c:v>
                </c:pt>
                <c:pt idx="103">
                  <c:v>1573</c:v>
                </c:pt>
                <c:pt idx="104">
                  <c:v>1587</c:v>
                </c:pt>
                <c:pt idx="105">
                  <c:v>1639</c:v>
                </c:pt>
                <c:pt idx="106">
                  <c:v>1588</c:v>
                </c:pt>
                <c:pt idx="107">
                  <c:v>1706</c:v>
                </c:pt>
                <c:pt idx="108">
                  <c:v>1744</c:v>
                </c:pt>
                <c:pt idx="109">
                  <c:v>1492</c:v>
                </c:pt>
                <c:pt idx="110">
                  <c:v>1512</c:v>
                </c:pt>
                <c:pt idx="111">
                  <c:v>1721</c:v>
                </c:pt>
                <c:pt idx="112">
                  <c:v>1610</c:v>
                </c:pt>
                <c:pt idx="113">
                  <c:v>1743</c:v>
                </c:pt>
                <c:pt idx="114">
                  <c:v>1733</c:v>
                </c:pt>
                <c:pt idx="115">
                  <c:v>1664</c:v>
                </c:pt>
                <c:pt idx="116">
                  <c:v>1807</c:v>
                </c:pt>
                <c:pt idx="117">
                  <c:v>1652</c:v>
                </c:pt>
                <c:pt idx="118">
                  <c:v>1682</c:v>
                </c:pt>
                <c:pt idx="119">
                  <c:v>1726</c:v>
                </c:pt>
                <c:pt idx="120">
                  <c:v>1849</c:v>
                </c:pt>
                <c:pt idx="121">
                  <c:v>1616</c:v>
                </c:pt>
                <c:pt idx="122">
                  <c:v>1682</c:v>
                </c:pt>
                <c:pt idx="123">
                  <c:v>1809</c:v>
                </c:pt>
                <c:pt idx="124">
                  <c:v>1705</c:v>
                </c:pt>
                <c:pt idx="125">
                  <c:v>1826</c:v>
                </c:pt>
                <c:pt idx="126">
                  <c:v>1681</c:v>
                </c:pt>
                <c:pt idx="127">
                  <c:v>1645</c:v>
                </c:pt>
                <c:pt idx="128">
                  <c:v>1766</c:v>
                </c:pt>
                <c:pt idx="129">
                  <c:v>1545</c:v>
                </c:pt>
                <c:pt idx="130">
                  <c:v>1757</c:v>
                </c:pt>
                <c:pt idx="131">
                  <c:v>1680</c:v>
                </c:pt>
                <c:pt idx="132">
                  <c:v>1706</c:v>
                </c:pt>
                <c:pt idx="133">
                  <c:v>1583</c:v>
                </c:pt>
                <c:pt idx="134">
                  <c:v>1471</c:v>
                </c:pt>
                <c:pt idx="135">
                  <c:v>1606</c:v>
                </c:pt>
                <c:pt idx="136">
                  <c:v>1620</c:v>
                </c:pt>
                <c:pt idx="137">
                  <c:v>1640</c:v>
                </c:pt>
                <c:pt idx="138">
                  <c:v>1491</c:v>
                </c:pt>
                <c:pt idx="139">
                  <c:v>1590</c:v>
                </c:pt>
                <c:pt idx="140">
                  <c:v>1632</c:v>
                </c:pt>
                <c:pt idx="141">
                  <c:v>1515</c:v>
                </c:pt>
                <c:pt idx="142">
                  <c:v>1596</c:v>
                </c:pt>
                <c:pt idx="143">
                  <c:v>1604</c:v>
                </c:pt>
                <c:pt idx="144">
                  <c:v>1660</c:v>
                </c:pt>
                <c:pt idx="145">
                  <c:v>1457</c:v>
                </c:pt>
                <c:pt idx="146">
                  <c:v>1429</c:v>
                </c:pt>
                <c:pt idx="147">
                  <c:v>1573</c:v>
                </c:pt>
                <c:pt idx="148">
                  <c:v>1559</c:v>
                </c:pt>
                <c:pt idx="149">
                  <c:v>1637</c:v>
                </c:pt>
                <c:pt idx="150">
                  <c:v>1509</c:v>
                </c:pt>
                <c:pt idx="151">
                  <c:v>1587</c:v>
                </c:pt>
                <c:pt idx="152">
                  <c:v>1581</c:v>
                </c:pt>
                <c:pt idx="153">
                  <c:v>1571</c:v>
                </c:pt>
                <c:pt idx="154">
                  <c:v>1573</c:v>
                </c:pt>
                <c:pt idx="155">
                  <c:v>1497</c:v>
                </c:pt>
                <c:pt idx="156">
                  <c:v>1719</c:v>
                </c:pt>
                <c:pt idx="157">
                  <c:v>1429</c:v>
                </c:pt>
                <c:pt idx="158">
                  <c:v>1455</c:v>
                </c:pt>
                <c:pt idx="159">
                  <c:v>1601</c:v>
                </c:pt>
                <c:pt idx="160">
                  <c:v>1524</c:v>
                </c:pt>
                <c:pt idx="161">
                  <c:v>1550</c:v>
                </c:pt>
                <c:pt idx="162">
                  <c:v>1544</c:v>
                </c:pt>
                <c:pt idx="163">
                  <c:v>1540</c:v>
                </c:pt>
                <c:pt idx="164">
                  <c:v>1564</c:v>
                </c:pt>
                <c:pt idx="165">
                  <c:v>1496</c:v>
                </c:pt>
                <c:pt idx="166">
                  <c:v>1536</c:v>
                </c:pt>
                <c:pt idx="167">
                  <c:v>1481</c:v>
                </c:pt>
                <c:pt idx="168">
                  <c:v>1746</c:v>
                </c:pt>
                <c:pt idx="169">
                  <c:v>1351</c:v>
                </c:pt>
                <c:pt idx="170">
                  <c:v>1495</c:v>
                </c:pt>
                <c:pt idx="171">
                  <c:v>1669</c:v>
                </c:pt>
                <c:pt idx="172">
                  <c:v>1488</c:v>
                </c:pt>
                <c:pt idx="173">
                  <c:v>1526</c:v>
                </c:pt>
                <c:pt idx="174">
                  <c:v>1546</c:v>
                </c:pt>
                <c:pt idx="175">
                  <c:v>1494</c:v>
                </c:pt>
                <c:pt idx="176">
                  <c:v>1607</c:v>
                </c:pt>
                <c:pt idx="177">
                  <c:v>1640</c:v>
                </c:pt>
                <c:pt idx="178">
                  <c:v>1453</c:v>
                </c:pt>
                <c:pt idx="179">
                  <c:v>1558</c:v>
                </c:pt>
                <c:pt idx="180">
                  <c:v>1662</c:v>
                </c:pt>
                <c:pt idx="181">
                  <c:v>1437</c:v>
                </c:pt>
                <c:pt idx="182">
                  <c:v>1421</c:v>
                </c:pt>
                <c:pt idx="183">
                  <c:v>1616</c:v>
                </c:pt>
                <c:pt idx="184">
                  <c:v>1454</c:v>
                </c:pt>
                <c:pt idx="185">
                  <c:v>1658</c:v>
                </c:pt>
                <c:pt idx="186">
                  <c:v>1542</c:v>
                </c:pt>
                <c:pt idx="187">
                  <c:v>1468</c:v>
                </c:pt>
                <c:pt idx="188">
                  <c:v>1575</c:v>
                </c:pt>
                <c:pt idx="189">
                  <c:v>1693</c:v>
                </c:pt>
                <c:pt idx="190">
                  <c:v>1414</c:v>
                </c:pt>
                <c:pt idx="191">
                  <c:v>1466</c:v>
                </c:pt>
                <c:pt idx="192">
                  <c:v>1594</c:v>
                </c:pt>
                <c:pt idx="193">
                  <c:v>1414</c:v>
                </c:pt>
                <c:pt idx="194">
                  <c:v>1365</c:v>
                </c:pt>
                <c:pt idx="195">
                  <c:v>1526</c:v>
                </c:pt>
                <c:pt idx="196">
                  <c:v>1434</c:v>
                </c:pt>
                <c:pt idx="197">
                  <c:v>1636</c:v>
                </c:pt>
                <c:pt idx="198">
                  <c:v>1454</c:v>
                </c:pt>
                <c:pt idx="199">
                  <c:v>1500</c:v>
                </c:pt>
                <c:pt idx="200">
                  <c:v>1552</c:v>
                </c:pt>
                <c:pt idx="201">
                  <c:v>1657</c:v>
                </c:pt>
                <c:pt idx="202">
                  <c:v>1352</c:v>
                </c:pt>
                <c:pt idx="203">
                  <c:v>1500</c:v>
                </c:pt>
                <c:pt idx="204">
                  <c:v>1540</c:v>
                </c:pt>
                <c:pt idx="205">
                  <c:v>1441</c:v>
                </c:pt>
                <c:pt idx="206">
                  <c:v>1351</c:v>
                </c:pt>
                <c:pt idx="207">
                  <c:v>1519</c:v>
                </c:pt>
              </c:numCache>
            </c:numRef>
          </c:val>
          <c:smooth val="0"/>
          <c:extLst>
            <c:ext xmlns:c16="http://schemas.microsoft.com/office/drawing/2014/chart" uri="{C3380CC4-5D6E-409C-BE32-E72D297353CC}">
              <c16:uniqueId val="{00000001-F10A-4902-9771-06591E9AD28C}"/>
            </c:ext>
          </c:extLst>
        </c:ser>
        <c:ser>
          <c:idx val="2"/>
          <c:order val="2"/>
          <c:tx>
            <c:strRef>
              <c:f>Sheet3!$D$3:$D$4</c:f>
              <c:strCache>
                <c:ptCount val="1"/>
                <c:pt idx="0">
                  <c:v>NILOTINIB</c:v>
                </c:pt>
              </c:strCache>
            </c:strRef>
          </c:tx>
          <c:spPr>
            <a:ln w="28575" cap="rnd">
              <a:solidFill>
                <a:schemeClr val="accent3"/>
              </a:solidFill>
              <a:round/>
            </a:ln>
            <a:effectLst/>
          </c:spPr>
          <c:marker>
            <c:symbol val="none"/>
          </c:marker>
          <c:cat>
            <c:strRef>
              <c:f>Sheet3!$A$5:$A$213</c:f>
              <c:strCache>
                <c:ptCount val="208"/>
                <c:pt idx="0">
                  <c:v>200112</c:v>
                </c:pt>
                <c:pt idx="1">
                  <c:v>200201</c:v>
                </c:pt>
                <c:pt idx="2">
                  <c:v>200202</c:v>
                </c:pt>
                <c:pt idx="3">
                  <c:v>200203</c:v>
                </c:pt>
                <c:pt idx="4">
                  <c:v>200204</c:v>
                </c:pt>
                <c:pt idx="5">
                  <c:v>200205</c:v>
                </c:pt>
                <c:pt idx="6">
                  <c:v>200206</c:v>
                </c:pt>
                <c:pt idx="7">
                  <c:v>200207</c:v>
                </c:pt>
                <c:pt idx="8">
                  <c:v>200208</c:v>
                </c:pt>
                <c:pt idx="9">
                  <c:v>200209</c:v>
                </c:pt>
                <c:pt idx="10">
                  <c:v>200210</c:v>
                </c:pt>
                <c:pt idx="11">
                  <c:v>200211</c:v>
                </c:pt>
                <c:pt idx="12">
                  <c:v>200212</c:v>
                </c:pt>
                <c:pt idx="13">
                  <c:v>200301</c:v>
                </c:pt>
                <c:pt idx="14">
                  <c:v>200302</c:v>
                </c:pt>
                <c:pt idx="15">
                  <c:v>200303</c:v>
                </c:pt>
                <c:pt idx="16">
                  <c:v>200304</c:v>
                </c:pt>
                <c:pt idx="17">
                  <c:v>200305</c:v>
                </c:pt>
                <c:pt idx="18">
                  <c:v>200306</c:v>
                </c:pt>
                <c:pt idx="19">
                  <c:v>200307</c:v>
                </c:pt>
                <c:pt idx="20">
                  <c:v>200308</c:v>
                </c:pt>
                <c:pt idx="21">
                  <c:v>200309</c:v>
                </c:pt>
                <c:pt idx="22">
                  <c:v>200310</c:v>
                </c:pt>
                <c:pt idx="23">
                  <c:v>200311</c:v>
                </c:pt>
                <c:pt idx="24">
                  <c:v>200312</c:v>
                </c:pt>
                <c:pt idx="25">
                  <c:v>200401</c:v>
                </c:pt>
                <c:pt idx="26">
                  <c:v>200402</c:v>
                </c:pt>
                <c:pt idx="27">
                  <c:v>200403</c:v>
                </c:pt>
                <c:pt idx="28">
                  <c:v>200404</c:v>
                </c:pt>
                <c:pt idx="29">
                  <c:v>200405</c:v>
                </c:pt>
                <c:pt idx="30">
                  <c:v>200406</c:v>
                </c:pt>
                <c:pt idx="31">
                  <c:v>200407</c:v>
                </c:pt>
                <c:pt idx="32">
                  <c:v>200408</c:v>
                </c:pt>
                <c:pt idx="33">
                  <c:v>200409</c:v>
                </c:pt>
                <c:pt idx="34">
                  <c:v>200410</c:v>
                </c:pt>
                <c:pt idx="35">
                  <c:v>200411</c:v>
                </c:pt>
                <c:pt idx="36">
                  <c:v>200412</c:v>
                </c:pt>
                <c:pt idx="37">
                  <c:v>200501</c:v>
                </c:pt>
                <c:pt idx="38">
                  <c:v>200502</c:v>
                </c:pt>
                <c:pt idx="39">
                  <c:v>200503</c:v>
                </c:pt>
                <c:pt idx="40">
                  <c:v>200504</c:v>
                </c:pt>
                <c:pt idx="41">
                  <c:v>200505</c:v>
                </c:pt>
                <c:pt idx="42">
                  <c:v>200506</c:v>
                </c:pt>
                <c:pt idx="43">
                  <c:v>200507</c:v>
                </c:pt>
                <c:pt idx="44">
                  <c:v>200508</c:v>
                </c:pt>
                <c:pt idx="45">
                  <c:v>200509</c:v>
                </c:pt>
                <c:pt idx="46">
                  <c:v>200510</c:v>
                </c:pt>
                <c:pt idx="47">
                  <c:v>200511</c:v>
                </c:pt>
                <c:pt idx="48">
                  <c:v>200512</c:v>
                </c:pt>
                <c:pt idx="49">
                  <c:v>200601</c:v>
                </c:pt>
                <c:pt idx="50">
                  <c:v>200602</c:v>
                </c:pt>
                <c:pt idx="51">
                  <c:v>200603</c:v>
                </c:pt>
                <c:pt idx="52">
                  <c:v>200604</c:v>
                </c:pt>
                <c:pt idx="53">
                  <c:v>200605</c:v>
                </c:pt>
                <c:pt idx="54">
                  <c:v>200606</c:v>
                </c:pt>
                <c:pt idx="55">
                  <c:v>200607</c:v>
                </c:pt>
                <c:pt idx="56">
                  <c:v>200608</c:v>
                </c:pt>
                <c:pt idx="57">
                  <c:v>200609</c:v>
                </c:pt>
                <c:pt idx="58">
                  <c:v>200610</c:v>
                </c:pt>
                <c:pt idx="59">
                  <c:v>200611</c:v>
                </c:pt>
                <c:pt idx="60">
                  <c:v>200612</c:v>
                </c:pt>
                <c:pt idx="61">
                  <c:v>200701</c:v>
                </c:pt>
                <c:pt idx="62">
                  <c:v>200702</c:v>
                </c:pt>
                <c:pt idx="63">
                  <c:v>200703</c:v>
                </c:pt>
                <c:pt idx="64">
                  <c:v>200704</c:v>
                </c:pt>
                <c:pt idx="65">
                  <c:v>200705</c:v>
                </c:pt>
                <c:pt idx="66">
                  <c:v>200706</c:v>
                </c:pt>
                <c:pt idx="67">
                  <c:v>200707</c:v>
                </c:pt>
                <c:pt idx="68">
                  <c:v>200708</c:v>
                </c:pt>
                <c:pt idx="69">
                  <c:v>200709</c:v>
                </c:pt>
                <c:pt idx="70">
                  <c:v>200710</c:v>
                </c:pt>
                <c:pt idx="71">
                  <c:v>200711</c:v>
                </c:pt>
                <c:pt idx="72">
                  <c:v>200712</c:v>
                </c:pt>
                <c:pt idx="73">
                  <c:v>200801</c:v>
                </c:pt>
                <c:pt idx="74">
                  <c:v>200802</c:v>
                </c:pt>
                <c:pt idx="75">
                  <c:v>200803</c:v>
                </c:pt>
                <c:pt idx="76">
                  <c:v>200804</c:v>
                </c:pt>
                <c:pt idx="77">
                  <c:v>200805</c:v>
                </c:pt>
                <c:pt idx="78">
                  <c:v>200806</c:v>
                </c:pt>
                <c:pt idx="79">
                  <c:v>200807</c:v>
                </c:pt>
                <c:pt idx="80">
                  <c:v>200808</c:v>
                </c:pt>
                <c:pt idx="81">
                  <c:v>200809</c:v>
                </c:pt>
                <c:pt idx="82">
                  <c:v>200810</c:v>
                </c:pt>
                <c:pt idx="83">
                  <c:v>200811</c:v>
                </c:pt>
                <c:pt idx="84">
                  <c:v>200812</c:v>
                </c:pt>
                <c:pt idx="85">
                  <c:v>200901</c:v>
                </c:pt>
                <c:pt idx="86">
                  <c:v>200902</c:v>
                </c:pt>
                <c:pt idx="87">
                  <c:v>200903</c:v>
                </c:pt>
                <c:pt idx="88">
                  <c:v>200904</c:v>
                </c:pt>
                <c:pt idx="89">
                  <c:v>200905</c:v>
                </c:pt>
                <c:pt idx="90">
                  <c:v>200906</c:v>
                </c:pt>
                <c:pt idx="91">
                  <c:v>200907</c:v>
                </c:pt>
                <c:pt idx="92">
                  <c:v>200908</c:v>
                </c:pt>
                <c:pt idx="93">
                  <c:v>200909</c:v>
                </c:pt>
                <c:pt idx="94">
                  <c:v>200910</c:v>
                </c:pt>
                <c:pt idx="95">
                  <c:v>200911</c:v>
                </c:pt>
                <c:pt idx="96">
                  <c:v>200912</c:v>
                </c:pt>
                <c:pt idx="97">
                  <c:v>201001</c:v>
                </c:pt>
                <c:pt idx="98">
                  <c:v>201002</c:v>
                </c:pt>
                <c:pt idx="99">
                  <c:v>201003</c:v>
                </c:pt>
                <c:pt idx="100">
                  <c:v>201004</c:v>
                </c:pt>
                <c:pt idx="101">
                  <c:v>201005</c:v>
                </c:pt>
                <c:pt idx="102">
                  <c:v>201006</c:v>
                </c:pt>
                <c:pt idx="103">
                  <c:v>201007</c:v>
                </c:pt>
                <c:pt idx="104">
                  <c:v>201008</c:v>
                </c:pt>
                <c:pt idx="105">
                  <c:v>201009</c:v>
                </c:pt>
                <c:pt idx="106">
                  <c:v>201010</c:v>
                </c:pt>
                <c:pt idx="107">
                  <c:v>201011</c:v>
                </c:pt>
                <c:pt idx="108">
                  <c:v>201012</c:v>
                </c:pt>
                <c:pt idx="109">
                  <c:v>201101</c:v>
                </c:pt>
                <c:pt idx="110">
                  <c:v>201102</c:v>
                </c:pt>
                <c:pt idx="111">
                  <c:v>201103</c:v>
                </c:pt>
                <c:pt idx="112">
                  <c:v>201104</c:v>
                </c:pt>
                <c:pt idx="113">
                  <c:v>201105</c:v>
                </c:pt>
                <c:pt idx="114">
                  <c:v>201106</c:v>
                </c:pt>
                <c:pt idx="115">
                  <c:v>201107</c:v>
                </c:pt>
                <c:pt idx="116">
                  <c:v>201108</c:v>
                </c:pt>
                <c:pt idx="117">
                  <c:v>201109</c:v>
                </c:pt>
                <c:pt idx="118">
                  <c:v>201110</c:v>
                </c:pt>
                <c:pt idx="119">
                  <c:v>201111</c:v>
                </c:pt>
                <c:pt idx="120">
                  <c:v>201112</c:v>
                </c:pt>
                <c:pt idx="121">
                  <c:v>201201</c:v>
                </c:pt>
                <c:pt idx="122">
                  <c:v>201202</c:v>
                </c:pt>
                <c:pt idx="123">
                  <c:v>201203</c:v>
                </c:pt>
                <c:pt idx="124">
                  <c:v>201204</c:v>
                </c:pt>
                <c:pt idx="125">
                  <c:v>201205</c:v>
                </c:pt>
                <c:pt idx="126">
                  <c:v>201206</c:v>
                </c:pt>
                <c:pt idx="127">
                  <c:v>201207</c:v>
                </c:pt>
                <c:pt idx="128">
                  <c:v>201208</c:v>
                </c:pt>
                <c:pt idx="129">
                  <c:v>201209</c:v>
                </c:pt>
                <c:pt idx="130">
                  <c:v>201210</c:v>
                </c:pt>
                <c:pt idx="131">
                  <c:v>201211</c:v>
                </c:pt>
                <c:pt idx="132">
                  <c:v>201212</c:v>
                </c:pt>
                <c:pt idx="133">
                  <c:v>201301</c:v>
                </c:pt>
                <c:pt idx="134">
                  <c:v>201302</c:v>
                </c:pt>
                <c:pt idx="135">
                  <c:v>201303</c:v>
                </c:pt>
                <c:pt idx="136">
                  <c:v>201304</c:v>
                </c:pt>
                <c:pt idx="137">
                  <c:v>201305</c:v>
                </c:pt>
                <c:pt idx="138">
                  <c:v>201306</c:v>
                </c:pt>
                <c:pt idx="139">
                  <c:v>201307</c:v>
                </c:pt>
                <c:pt idx="140">
                  <c:v>201308</c:v>
                </c:pt>
                <c:pt idx="141">
                  <c:v>201309</c:v>
                </c:pt>
                <c:pt idx="142">
                  <c:v>201310</c:v>
                </c:pt>
                <c:pt idx="143">
                  <c:v>201311</c:v>
                </c:pt>
                <c:pt idx="144">
                  <c:v>201312</c:v>
                </c:pt>
                <c:pt idx="145">
                  <c:v>201401</c:v>
                </c:pt>
                <c:pt idx="146">
                  <c:v>201402</c:v>
                </c:pt>
                <c:pt idx="147">
                  <c:v>201403</c:v>
                </c:pt>
                <c:pt idx="148">
                  <c:v>201404</c:v>
                </c:pt>
                <c:pt idx="149">
                  <c:v>201405</c:v>
                </c:pt>
                <c:pt idx="150">
                  <c:v>201406</c:v>
                </c:pt>
                <c:pt idx="151">
                  <c:v>201407</c:v>
                </c:pt>
                <c:pt idx="152">
                  <c:v>201408</c:v>
                </c:pt>
                <c:pt idx="153">
                  <c:v>201409</c:v>
                </c:pt>
                <c:pt idx="154">
                  <c:v>201410</c:v>
                </c:pt>
                <c:pt idx="155">
                  <c:v>201411</c:v>
                </c:pt>
                <c:pt idx="156">
                  <c:v>201412</c:v>
                </c:pt>
                <c:pt idx="157">
                  <c:v>201501</c:v>
                </c:pt>
                <c:pt idx="158">
                  <c:v>201502</c:v>
                </c:pt>
                <c:pt idx="159">
                  <c:v>201503</c:v>
                </c:pt>
                <c:pt idx="160">
                  <c:v>201504</c:v>
                </c:pt>
                <c:pt idx="161">
                  <c:v>201505</c:v>
                </c:pt>
                <c:pt idx="162">
                  <c:v>201506</c:v>
                </c:pt>
                <c:pt idx="163">
                  <c:v>201507</c:v>
                </c:pt>
                <c:pt idx="164">
                  <c:v>201508</c:v>
                </c:pt>
                <c:pt idx="165">
                  <c:v>201509</c:v>
                </c:pt>
                <c:pt idx="166">
                  <c:v>201510</c:v>
                </c:pt>
                <c:pt idx="167">
                  <c:v>201511</c:v>
                </c:pt>
                <c:pt idx="168">
                  <c:v>201512</c:v>
                </c:pt>
                <c:pt idx="169">
                  <c:v>201601</c:v>
                </c:pt>
                <c:pt idx="170">
                  <c:v>201602</c:v>
                </c:pt>
                <c:pt idx="171">
                  <c:v>201603</c:v>
                </c:pt>
                <c:pt idx="172">
                  <c:v>201604</c:v>
                </c:pt>
                <c:pt idx="173">
                  <c:v>201605</c:v>
                </c:pt>
                <c:pt idx="174">
                  <c:v>201606</c:v>
                </c:pt>
                <c:pt idx="175">
                  <c:v>201607</c:v>
                </c:pt>
                <c:pt idx="176">
                  <c:v>201608</c:v>
                </c:pt>
                <c:pt idx="177">
                  <c:v>201609</c:v>
                </c:pt>
                <c:pt idx="178">
                  <c:v>201610</c:v>
                </c:pt>
                <c:pt idx="179">
                  <c:v>201611</c:v>
                </c:pt>
                <c:pt idx="180">
                  <c:v>201612</c:v>
                </c:pt>
                <c:pt idx="181">
                  <c:v>201701</c:v>
                </c:pt>
                <c:pt idx="182">
                  <c:v>201702</c:v>
                </c:pt>
                <c:pt idx="183">
                  <c:v>201703</c:v>
                </c:pt>
                <c:pt idx="184">
                  <c:v>201704</c:v>
                </c:pt>
                <c:pt idx="185">
                  <c:v>201705</c:v>
                </c:pt>
                <c:pt idx="186">
                  <c:v>201706</c:v>
                </c:pt>
                <c:pt idx="187">
                  <c:v>201707</c:v>
                </c:pt>
                <c:pt idx="188">
                  <c:v>201708</c:v>
                </c:pt>
                <c:pt idx="189">
                  <c:v>201709</c:v>
                </c:pt>
                <c:pt idx="190">
                  <c:v>201710</c:v>
                </c:pt>
                <c:pt idx="191">
                  <c:v>201711</c:v>
                </c:pt>
                <c:pt idx="192">
                  <c:v>201712</c:v>
                </c:pt>
                <c:pt idx="193">
                  <c:v>201801</c:v>
                </c:pt>
                <c:pt idx="194">
                  <c:v>201802</c:v>
                </c:pt>
                <c:pt idx="195">
                  <c:v>201803</c:v>
                </c:pt>
                <c:pt idx="196">
                  <c:v>201804</c:v>
                </c:pt>
                <c:pt idx="197">
                  <c:v>201805</c:v>
                </c:pt>
                <c:pt idx="198">
                  <c:v>201806</c:v>
                </c:pt>
                <c:pt idx="199">
                  <c:v>201807</c:v>
                </c:pt>
                <c:pt idx="200">
                  <c:v>201808</c:v>
                </c:pt>
                <c:pt idx="201">
                  <c:v>201809</c:v>
                </c:pt>
                <c:pt idx="202">
                  <c:v>201810</c:v>
                </c:pt>
                <c:pt idx="203">
                  <c:v>201811</c:v>
                </c:pt>
                <c:pt idx="204">
                  <c:v>201812</c:v>
                </c:pt>
                <c:pt idx="205">
                  <c:v>201901</c:v>
                </c:pt>
                <c:pt idx="206">
                  <c:v>201902</c:v>
                </c:pt>
                <c:pt idx="207">
                  <c:v>201903</c:v>
                </c:pt>
              </c:strCache>
            </c:strRef>
          </c:cat>
          <c:val>
            <c:numRef>
              <c:f>Sheet3!$D$5:$D$213</c:f>
              <c:numCache>
                <c:formatCode>General</c:formatCode>
                <c:ptCount val="208"/>
                <c:pt idx="80">
                  <c:v>4</c:v>
                </c:pt>
                <c:pt idx="81">
                  <c:v>21</c:v>
                </c:pt>
                <c:pt idx="82">
                  <c:v>26</c:v>
                </c:pt>
                <c:pt idx="83">
                  <c:v>33</c:v>
                </c:pt>
                <c:pt idx="84">
                  <c:v>54</c:v>
                </c:pt>
                <c:pt idx="85">
                  <c:v>35</c:v>
                </c:pt>
                <c:pt idx="86">
                  <c:v>42</c:v>
                </c:pt>
                <c:pt idx="87">
                  <c:v>55</c:v>
                </c:pt>
                <c:pt idx="88">
                  <c:v>54</c:v>
                </c:pt>
                <c:pt idx="89">
                  <c:v>59</c:v>
                </c:pt>
                <c:pt idx="90">
                  <c:v>60</c:v>
                </c:pt>
                <c:pt idx="91">
                  <c:v>69</c:v>
                </c:pt>
                <c:pt idx="92">
                  <c:v>67</c:v>
                </c:pt>
                <c:pt idx="93">
                  <c:v>63</c:v>
                </c:pt>
                <c:pt idx="94">
                  <c:v>69</c:v>
                </c:pt>
                <c:pt idx="95">
                  <c:v>70</c:v>
                </c:pt>
                <c:pt idx="96">
                  <c:v>85</c:v>
                </c:pt>
                <c:pt idx="97">
                  <c:v>55</c:v>
                </c:pt>
                <c:pt idx="98">
                  <c:v>72</c:v>
                </c:pt>
                <c:pt idx="99">
                  <c:v>87</c:v>
                </c:pt>
                <c:pt idx="100">
                  <c:v>69</c:v>
                </c:pt>
                <c:pt idx="101">
                  <c:v>83</c:v>
                </c:pt>
                <c:pt idx="102">
                  <c:v>82</c:v>
                </c:pt>
                <c:pt idx="103">
                  <c:v>92</c:v>
                </c:pt>
                <c:pt idx="104">
                  <c:v>87</c:v>
                </c:pt>
                <c:pt idx="105">
                  <c:v>96</c:v>
                </c:pt>
                <c:pt idx="106">
                  <c:v>95</c:v>
                </c:pt>
                <c:pt idx="107">
                  <c:v>103</c:v>
                </c:pt>
                <c:pt idx="108">
                  <c:v>116</c:v>
                </c:pt>
                <c:pt idx="109">
                  <c:v>83</c:v>
                </c:pt>
                <c:pt idx="110">
                  <c:v>108</c:v>
                </c:pt>
                <c:pt idx="111">
                  <c:v>120</c:v>
                </c:pt>
                <c:pt idx="112">
                  <c:v>114</c:v>
                </c:pt>
                <c:pt idx="113">
                  <c:v>120</c:v>
                </c:pt>
                <c:pt idx="114">
                  <c:v>128</c:v>
                </c:pt>
                <c:pt idx="115">
                  <c:v>125</c:v>
                </c:pt>
                <c:pt idx="116">
                  <c:v>125</c:v>
                </c:pt>
                <c:pt idx="117">
                  <c:v>129</c:v>
                </c:pt>
                <c:pt idx="118">
                  <c:v>128</c:v>
                </c:pt>
                <c:pt idx="119">
                  <c:v>136</c:v>
                </c:pt>
                <c:pt idx="120">
                  <c:v>153</c:v>
                </c:pt>
                <c:pt idx="121">
                  <c:v>134</c:v>
                </c:pt>
                <c:pt idx="122">
                  <c:v>135</c:v>
                </c:pt>
                <c:pt idx="123">
                  <c:v>159</c:v>
                </c:pt>
                <c:pt idx="124">
                  <c:v>146</c:v>
                </c:pt>
                <c:pt idx="125">
                  <c:v>180</c:v>
                </c:pt>
                <c:pt idx="126">
                  <c:v>194</c:v>
                </c:pt>
                <c:pt idx="127">
                  <c:v>232</c:v>
                </c:pt>
                <c:pt idx="128">
                  <c:v>260</c:v>
                </c:pt>
                <c:pt idx="129">
                  <c:v>262</c:v>
                </c:pt>
                <c:pt idx="130">
                  <c:v>299</c:v>
                </c:pt>
                <c:pt idx="131">
                  <c:v>308</c:v>
                </c:pt>
                <c:pt idx="132">
                  <c:v>334</c:v>
                </c:pt>
                <c:pt idx="133">
                  <c:v>303</c:v>
                </c:pt>
                <c:pt idx="134">
                  <c:v>299</c:v>
                </c:pt>
                <c:pt idx="135">
                  <c:v>319</c:v>
                </c:pt>
                <c:pt idx="136">
                  <c:v>347</c:v>
                </c:pt>
                <c:pt idx="137">
                  <c:v>359</c:v>
                </c:pt>
                <c:pt idx="138">
                  <c:v>343</c:v>
                </c:pt>
                <c:pt idx="139">
                  <c:v>370</c:v>
                </c:pt>
                <c:pt idx="140">
                  <c:v>364</c:v>
                </c:pt>
                <c:pt idx="141">
                  <c:v>374</c:v>
                </c:pt>
                <c:pt idx="142">
                  <c:v>385</c:v>
                </c:pt>
                <c:pt idx="143">
                  <c:v>399</c:v>
                </c:pt>
                <c:pt idx="144">
                  <c:v>419</c:v>
                </c:pt>
                <c:pt idx="145">
                  <c:v>372</c:v>
                </c:pt>
                <c:pt idx="146">
                  <c:v>370</c:v>
                </c:pt>
                <c:pt idx="147">
                  <c:v>416</c:v>
                </c:pt>
                <c:pt idx="148">
                  <c:v>422</c:v>
                </c:pt>
                <c:pt idx="149">
                  <c:v>451</c:v>
                </c:pt>
                <c:pt idx="150">
                  <c:v>432</c:v>
                </c:pt>
                <c:pt idx="151">
                  <c:v>439</c:v>
                </c:pt>
                <c:pt idx="152">
                  <c:v>435</c:v>
                </c:pt>
                <c:pt idx="153">
                  <c:v>449</c:v>
                </c:pt>
                <c:pt idx="154">
                  <c:v>462</c:v>
                </c:pt>
                <c:pt idx="155">
                  <c:v>445</c:v>
                </c:pt>
                <c:pt idx="156">
                  <c:v>521</c:v>
                </c:pt>
                <c:pt idx="157">
                  <c:v>420</c:v>
                </c:pt>
                <c:pt idx="158">
                  <c:v>434</c:v>
                </c:pt>
                <c:pt idx="159">
                  <c:v>505</c:v>
                </c:pt>
                <c:pt idx="160">
                  <c:v>493</c:v>
                </c:pt>
                <c:pt idx="161">
                  <c:v>487</c:v>
                </c:pt>
                <c:pt idx="162">
                  <c:v>522</c:v>
                </c:pt>
                <c:pt idx="163">
                  <c:v>533</c:v>
                </c:pt>
                <c:pt idx="164">
                  <c:v>501</c:v>
                </c:pt>
                <c:pt idx="165">
                  <c:v>530</c:v>
                </c:pt>
                <c:pt idx="166">
                  <c:v>513</c:v>
                </c:pt>
                <c:pt idx="167">
                  <c:v>520</c:v>
                </c:pt>
                <c:pt idx="168">
                  <c:v>595</c:v>
                </c:pt>
                <c:pt idx="169">
                  <c:v>505</c:v>
                </c:pt>
                <c:pt idx="170">
                  <c:v>532</c:v>
                </c:pt>
                <c:pt idx="171">
                  <c:v>588</c:v>
                </c:pt>
                <c:pt idx="172">
                  <c:v>502</c:v>
                </c:pt>
                <c:pt idx="173">
                  <c:v>563</c:v>
                </c:pt>
                <c:pt idx="174">
                  <c:v>551</c:v>
                </c:pt>
                <c:pt idx="175">
                  <c:v>555</c:v>
                </c:pt>
                <c:pt idx="176">
                  <c:v>583</c:v>
                </c:pt>
                <c:pt idx="177">
                  <c:v>560</c:v>
                </c:pt>
                <c:pt idx="178">
                  <c:v>561</c:v>
                </c:pt>
                <c:pt idx="179">
                  <c:v>591</c:v>
                </c:pt>
                <c:pt idx="180">
                  <c:v>623</c:v>
                </c:pt>
                <c:pt idx="181">
                  <c:v>533</c:v>
                </c:pt>
                <c:pt idx="182">
                  <c:v>571</c:v>
                </c:pt>
                <c:pt idx="183">
                  <c:v>595</c:v>
                </c:pt>
                <c:pt idx="184">
                  <c:v>599</c:v>
                </c:pt>
                <c:pt idx="185">
                  <c:v>609</c:v>
                </c:pt>
                <c:pt idx="186">
                  <c:v>590</c:v>
                </c:pt>
                <c:pt idx="187">
                  <c:v>618</c:v>
                </c:pt>
                <c:pt idx="188">
                  <c:v>629</c:v>
                </c:pt>
                <c:pt idx="189">
                  <c:v>578</c:v>
                </c:pt>
                <c:pt idx="190">
                  <c:v>628</c:v>
                </c:pt>
                <c:pt idx="191">
                  <c:v>630</c:v>
                </c:pt>
                <c:pt idx="192">
                  <c:v>636</c:v>
                </c:pt>
                <c:pt idx="193">
                  <c:v>607</c:v>
                </c:pt>
                <c:pt idx="194">
                  <c:v>552</c:v>
                </c:pt>
                <c:pt idx="195">
                  <c:v>648</c:v>
                </c:pt>
                <c:pt idx="196">
                  <c:v>599</c:v>
                </c:pt>
                <c:pt idx="197">
                  <c:v>662</c:v>
                </c:pt>
                <c:pt idx="198">
                  <c:v>608</c:v>
                </c:pt>
                <c:pt idx="199">
                  <c:v>644</c:v>
                </c:pt>
                <c:pt idx="200">
                  <c:v>650</c:v>
                </c:pt>
                <c:pt idx="201">
                  <c:v>609</c:v>
                </c:pt>
                <c:pt idx="202">
                  <c:v>698</c:v>
                </c:pt>
                <c:pt idx="203">
                  <c:v>669</c:v>
                </c:pt>
                <c:pt idx="204">
                  <c:v>683</c:v>
                </c:pt>
                <c:pt idx="205">
                  <c:v>657</c:v>
                </c:pt>
                <c:pt idx="206">
                  <c:v>602</c:v>
                </c:pt>
                <c:pt idx="207">
                  <c:v>702</c:v>
                </c:pt>
              </c:numCache>
            </c:numRef>
          </c:val>
          <c:smooth val="0"/>
          <c:extLst>
            <c:ext xmlns:c16="http://schemas.microsoft.com/office/drawing/2014/chart" uri="{C3380CC4-5D6E-409C-BE32-E72D297353CC}">
              <c16:uniqueId val="{00000002-F10A-4902-9771-06591E9AD28C}"/>
            </c:ext>
          </c:extLst>
        </c:ser>
        <c:ser>
          <c:idx val="3"/>
          <c:order val="3"/>
          <c:tx>
            <c:strRef>
              <c:f>Sheet3!$E$3:$E$4</c:f>
              <c:strCache>
                <c:ptCount val="1"/>
                <c:pt idx="0">
                  <c:v>PONATINIB</c:v>
                </c:pt>
              </c:strCache>
            </c:strRef>
          </c:tx>
          <c:spPr>
            <a:ln w="28575" cap="rnd">
              <a:solidFill>
                <a:schemeClr val="accent4"/>
              </a:solidFill>
              <a:round/>
            </a:ln>
            <a:effectLst/>
          </c:spPr>
          <c:marker>
            <c:symbol val="none"/>
          </c:marker>
          <c:cat>
            <c:strRef>
              <c:f>Sheet3!$A$5:$A$213</c:f>
              <c:strCache>
                <c:ptCount val="208"/>
                <c:pt idx="0">
                  <c:v>200112</c:v>
                </c:pt>
                <c:pt idx="1">
                  <c:v>200201</c:v>
                </c:pt>
                <c:pt idx="2">
                  <c:v>200202</c:v>
                </c:pt>
                <c:pt idx="3">
                  <c:v>200203</c:v>
                </c:pt>
                <c:pt idx="4">
                  <c:v>200204</c:v>
                </c:pt>
                <c:pt idx="5">
                  <c:v>200205</c:v>
                </c:pt>
                <c:pt idx="6">
                  <c:v>200206</c:v>
                </c:pt>
                <c:pt idx="7">
                  <c:v>200207</c:v>
                </c:pt>
                <c:pt idx="8">
                  <c:v>200208</c:v>
                </c:pt>
                <c:pt idx="9">
                  <c:v>200209</c:v>
                </c:pt>
                <c:pt idx="10">
                  <c:v>200210</c:v>
                </c:pt>
                <c:pt idx="11">
                  <c:v>200211</c:v>
                </c:pt>
                <c:pt idx="12">
                  <c:v>200212</c:v>
                </c:pt>
                <c:pt idx="13">
                  <c:v>200301</c:v>
                </c:pt>
                <c:pt idx="14">
                  <c:v>200302</c:v>
                </c:pt>
                <c:pt idx="15">
                  <c:v>200303</c:v>
                </c:pt>
                <c:pt idx="16">
                  <c:v>200304</c:v>
                </c:pt>
                <c:pt idx="17">
                  <c:v>200305</c:v>
                </c:pt>
                <c:pt idx="18">
                  <c:v>200306</c:v>
                </c:pt>
                <c:pt idx="19">
                  <c:v>200307</c:v>
                </c:pt>
                <c:pt idx="20">
                  <c:v>200308</c:v>
                </c:pt>
                <c:pt idx="21">
                  <c:v>200309</c:v>
                </c:pt>
                <c:pt idx="22">
                  <c:v>200310</c:v>
                </c:pt>
                <c:pt idx="23">
                  <c:v>200311</c:v>
                </c:pt>
                <c:pt idx="24">
                  <c:v>200312</c:v>
                </c:pt>
                <c:pt idx="25">
                  <c:v>200401</c:v>
                </c:pt>
                <c:pt idx="26">
                  <c:v>200402</c:v>
                </c:pt>
                <c:pt idx="27">
                  <c:v>200403</c:v>
                </c:pt>
                <c:pt idx="28">
                  <c:v>200404</c:v>
                </c:pt>
                <c:pt idx="29">
                  <c:v>200405</c:v>
                </c:pt>
                <c:pt idx="30">
                  <c:v>200406</c:v>
                </c:pt>
                <c:pt idx="31">
                  <c:v>200407</c:v>
                </c:pt>
                <c:pt idx="32">
                  <c:v>200408</c:v>
                </c:pt>
                <c:pt idx="33">
                  <c:v>200409</c:v>
                </c:pt>
                <c:pt idx="34">
                  <c:v>200410</c:v>
                </c:pt>
                <c:pt idx="35">
                  <c:v>200411</c:v>
                </c:pt>
                <c:pt idx="36">
                  <c:v>200412</c:v>
                </c:pt>
                <c:pt idx="37">
                  <c:v>200501</c:v>
                </c:pt>
                <c:pt idx="38">
                  <c:v>200502</c:v>
                </c:pt>
                <c:pt idx="39">
                  <c:v>200503</c:v>
                </c:pt>
                <c:pt idx="40">
                  <c:v>200504</c:v>
                </c:pt>
                <c:pt idx="41">
                  <c:v>200505</c:v>
                </c:pt>
                <c:pt idx="42">
                  <c:v>200506</c:v>
                </c:pt>
                <c:pt idx="43">
                  <c:v>200507</c:v>
                </c:pt>
                <c:pt idx="44">
                  <c:v>200508</c:v>
                </c:pt>
                <c:pt idx="45">
                  <c:v>200509</c:v>
                </c:pt>
                <c:pt idx="46">
                  <c:v>200510</c:v>
                </c:pt>
                <c:pt idx="47">
                  <c:v>200511</c:v>
                </c:pt>
                <c:pt idx="48">
                  <c:v>200512</c:v>
                </c:pt>
                <c:pt idx="49">
                  <c:v>200601</c:v>
                </c:pt>
                <c:pt idx="50">
                  <c:v>200602</c:v>
                </c:pt>
                <c:pt idx="51">
                  <c:v>200603</c:v>
                </c:pt>
                <c:pt idx="52">
                  <c:v>200604</c:v>
                </c:pt>
                <c:pt idx="53">
                  <c:v>200605</c:v>
                </c:pt>
                <c:pt idx="54">
                  <c:v>200606</c:v>
                </c:pt>
                <c:pt idx="55">
                  <c:v>200607</c:v>
                </c:pt>
                <c:pt idx="56">
                  <c:v>200608</c:v>
                </c:pt>
                <c:pt idx="57">
                  <c:v>200609</c:v>
                </c:pt>
                <c:pt idx="58">
                  <c:v>200610</c:v>
                </c:pt>
                <c:pt idx="59">
                  <c:v>200611</c:v>
                </c:pt>
                <c:pt idx="60">
                  <c:v>200612</c:v>
                </c:pt>
                <c:pt idx="61">
                  <c:v>200701</c:v>
                </c:pt>
                <c:pt idx="62">
                  <c:v>200702</c:v>
                </c:pt>
                <c:pt idx="63">
                  <c:v>200703</c:v>
                </c:pt>
                <c:pt idx="64">
                  <c:v>200704</c:v>
                </c:pt>
                <c:pt idx="65">
                  <c:v>200705</c:v>
                </c:pt>
                <c:pt idx="66">
                  <c:v>200706</c:v>
                </c:pt>
                <c:pt idx="67">
                  <c:v>200707</c:v>
                </c:pt>
                <c:pt idx="68">
                  <c:v>200708</c:v>
                </c:pt>
                <c:pt idx="69">
                  <c:v>200709</c:v>
                </c:pt>
                <c:pt idx="70">
                  <c:v>200710</c:v>
                </c:pt>
                <c:pt idx="71">
                  <c:v>200711</c:v>
                </c:pt>
                <c:pt idx="72">
                  <c:v>200712</c:v>
                </c:pt>
                <c:pt idx="73">
                  <c:v>200801</c:v>
                </c:pt>
                <c:pt idx="74">
                  <c:v>200802</c:v>
                </c:pt>
                <c:pt idx="75">
                  <c:v>200803</c:v>
                </c:pt>
                <c:pt idx="76">
                  <c:v>200804</c:v>
                </c:pt>
                <c:pt idx="77">
                  <c:v>200805</c:v>
                </c:pt>
                <c:pt idx="78">
                  <c:v>200806</c:v>
                </c:pt>
                <c:pt idx="79">
                  <c:v>200807</c:v>
                </c:pt>
                <c:pt idx="80">
                  <c:v>200808</c:v>
                </c:pt>
                <c:pt idx="81">
                  <c:v>200809</c:v>
                </c:pt>
                <c:pt idx="82">
                  <c:v>200810</c:v>
                </c:pt>
                <c:pt idx="83">
                  <c:v>200811</c:v>
                </c:pt>
                <c:pt idx="84">
                  <c:v>200812</c:v>
                </c:pt>
                <c:pt idx="85">
                  <c:v>200901</c:v>
                </c:pt>
                <c:pt idx="86">
                  <c:v>200902</c:v>
                </c:pt>
                <c:pt idx="87">
                  <c:v>200903</c:v>
                </c:pt>
                <c:pt idx="88">
                  <c:v>200904</c:v>
                </c:pt>
                <c:pt idx="89">
                  <c:v>200905</c:v>
                </c:pt>
                <c:pt idx="90">
                  <c:v>200906</c:v>
                </c:pt>
                <c:pt idx="91">
                  <c:v>200907</c:v>
                </c:pt>
                <c:pt idx="92">
                  <c:v>200908</c:v>
                </c:pt>
                <c:pt idx="93">
                  <c:v>200909</c:v>
                </c:pt>
                <c:pt idx="94">
                  <c:v>200910</c:v>
                </c:pt>
                <c:pt idx="95">
                  <c:v>200911</c:v>
                </c:pt>
                <c:pt idx="96">
                  <c:v>200912</c:v>
                </c:pt>
                <c:pt idx="97">
                  <c:v>201001</c:v>
                </c:pt>
                <c:pt idx="98">
                  <c:v>201002</c:v>
                </c:pt>
                <c:pt idx="99">
                  <c:v>201003</c:v>
                </c:pt>
                <c:pt idx="100">
                  <c:v>201004</c:v>
                </c:pt>
                <c:pt idx="101">
                  <c:v>201005</c:v>
                </c:pt>
                <c:pt idx="102">
                  <c:v>201006</c:v>
                </c:pt>
                <c:pt idx="103">
                  <c:v>201007</c:v>
                </c:pt>
                <c:pt idx="104">
                  <c:v>201008</c:v>
                </c:pt>
                <c:pt idx="105">
                  <c:v>201009</c:v>
                </c:pt>
                <c:pt idx="106">
                  <c:v>201010</c:v>
                </c:pt>
                <c:pt idx="107">
                  <c:v>201011</c:v>
                </c:pt>
                <c:pt idx="108">
                  <c:v>201012</c:v>
                </c:pt>
                <c:pt idx="109">
                  <c:v>201101</c:v>
                </c:pt>
                <c:pt idx="110">
                  <c:v>201102</c:v>
                </c:pt>
                <c:pt idx="111">
                  <c:v>201103</c:v>
                </c:pt>
                <c:pt idx="112">
                  <c:v>201104</c:v>
                </c:pt>
                <c:pt idx="113">
                  <c:v>201105</c:v>
                </c:pt>
                <c:pt idx="114">
                  <c:v>201106</c:v>
                </c:pt>
                <c:pt idx="115">
                  <c:v>201107</c:v>
                </c:pt>
                <c:pt idx="116">
                  <c:v>201108</c:v>
                </c:pt>
                <c:pt idx="117">
                  <c:v>201109</c:v>
                </c:pt>
                <c:pt idx="118">
                  <c:v>201110</c:v>
                </c:pt>
                <c:pt idx="119">
                  <c:v>201111</c:v>
                </c:pt>
                <c:pt idx="120">
                  <c:v>201112</c:v>
                </c:pt>
                <c:pt idx="121">
                  <c:v>201201</c:v>
                </c:pt>
                <c:pt idx="122">
                  <c:v>201202</c:v>
                </c:pt>
                <c:pt idx="123">
                  <c:v>201203</c:v>
                </c:pt>
                <c:pt idx="124">
                  <c:v>201204</c:v>
                </c:pt>
                <c:pt idx="125">
                  <c:v>201205</c:v>
                </c:pt>
                <c:pt idx="126">
                  <c:v>201206</c:v>
                </c:pt>
                <c:pt idx="127">
                  <c:v>201207</c:v>
                </c:pt>
                <c:pt idx="128">
                  <c:v>201208</c:v>
                </c:pt>
                <c:pt idx="129">
                  <c:v>201209</c:v>
                </c:pt>
                <c:pt idx="130">
                  <c:v>201210</c:v>
                </c:pt>
                <c:pt idx="131">
                  <c:v>201211</c:v>
                </c:pt>
                <c:pt idx="132">
                  <c:v>201212</c:v>
                </c:pt>
                <c:pt idx="133">
                  <c:v>201301</c:v>
                </c:pt>
                <c:pt idx="134">
                  <c:v>201302</c:v>
                </c:pt>
                <c:pt idx="135">
                  <c:v>201303</c:v>
                </c:pt>
                <c:pt idx="136">
                  <c:v>201304</c:v>
                </c:pt>
                <c:pt idx="137">
                  <c:v>201305</c:v>
                </c:pt>
                <c:pt idx="138">
                  <c:v>201306</c:v>
                </c:pt>
                <c:pt idx="139">
                  <c:v>201307</c:v>
                </c:pt>
                <c:pt idx="140">
                  <c:v>201308</c:v>
                </c:pt>
                <c:pt idx="141">
                  <c:v>201309</c:v>
                </c:pt>
                <c:pt idx="142">
                  <c:v>201310</c:v>
                </c:pt>
                <c:pt idx="143">
                  <c:v>201311</c:v>
                </c:pt>
                <c:pt idx="144">
                  <c:v>201312</c:v>
                </c:pt>
                <c:pt idx="145">
                  <c:v>201401</c:v>
                </c:pt>
                <c:pt idx="146">
                  <c:v>201402</c:v>
                </c:pt>
                <c:pt idx="147">
                  <c:v>201403</c:v>
                </c:pt>
                <c:pt idx="148">
                  <c:v>201404</c:v>
                </c:pt>
                <c:pt idx="149">
                  <c:v>201405</c:v>
                </c:pt>
                <c:pt idx="150">
                  <c:v>201406</c:v>
                </c:pt>
                <c:pt idx="151">
                  <c:v>201407</c:v>
                </c:pt>
                <c:pt idx="152">
                  <c:v>201408</c:v>
                </c:pt>
                <c:pt idx="153">
                  <c:v>201409</c:v>
                </c:pt>
                <c:pt idx="154">
                  <c:v>201410</c:v>
                </c:pt>
                <c:pt idx="155">
                  <c:v>201411</c:v>
                </c:pt>
                <c:pt idx="156">
                  <c:v>201412</c:v>
                </c:pt>
                <c:pt idx="157">
                  <c:v>201501</c:v>
                </c:pt>
                <c:pt idx="158">
                  <c:v>201502</c:v>
                </c:pt>
                <c:pt idx="159">
                  <c:v>201503</c:v>
                </c:pt>
                <c:pt idx="160">
                  <c:v>201504</c:v>
                </c:pt>
                <c:pt idx="161">
                  <c:v>201505</c:v>
                </c:pt>
                <c:pt idx="162">
                  <c:v>201506</c:v>
                </c:pt>
                <c:pt idx="163">
                  <c:v>201507</c:v>
                </c:pt>
                <c:pt idx="164">
                  <c:v>201508</c:v>
                </c:pt>
                <c:pt idx="165">
                  <c:v>201509</c:v>
                </c:pt>
                <c:pt idx="166">
                  <c:v>201510</c:v>
                </c:pt>
                <c:pt idx="167">
                  <c:v>201511</c:v>
                </c:pt>
                <c:pt idx="168">
                  <c:v>201512</c:v>
                </c:pt>
                <c:pt idx="169">
                  <c:v>201601</c:v>
                </c:pt>
                <c:pt idx="170">
                  <c:v>201602</c:v>
                </c:pt>
                <c:pt idx="171">
                  <c:v>201603</c:v>
                </c:pt>
                <c:pt idx="172">
                  <c:v>201604</c:v>
                </c:pt>
                <c:pt idx="173">
                  <c:v>201605</c:v>
                </c:pt>
                <c:pt idx="174">
                  <c:v>201606</c:v>
                </c:pt>
                <c:pt idx="175">
                  <c:v>201607</c:v>
                </c:pt>
                <c:pt idx="176">
                  <c:v>201608</c:v>
                </c:pt>
                <c:pt idx="177">
                  <c:v>201609</c:v>
                </c:pt>
                <c:pt idx="178">
                  <c:v>201610</c:v>
                </c:pt>
                <c:pt idx="179">
                  <c:v>201611</c:v>
                </c:pt>
                <c:pt idx="180">
                  <c:v>201612</c:v>
                </c:pt>
                <c:pt idx="181">
                  <c:v>201701</c:v>
                </c:pt>
                <c:pt idx="182">
                  <c:v>201702</c:v>
                </c:pt>
                <c:pt idx="183">
                  <c:v>201703</c:v>
                </c:pt>
                <c:pt idx="184">
                  <c:v>201704</c:v>
                </c:pt>
                <c:pt idx="185">
                  <c:v>201705</c:v>
                </c:pt>
                <c:pt idx="186">
                  <c:v>201706</c:v>
                </c:pt>
                <c:pt idx="187">
                  <c:v>201707</c:v>
                </c:pt>
                <c:pt idx="188">
                  <c:v>201708</c:v>
                </c:pt>
                <c:pt idx="189">
                  <c:v>201709</c:v>
                </c:pt>
                <c:pt idx="190">
                  <c:v>201710</c:v>
                </c:pt>
                <c:pt idx="191">
                  <c:v>201711</c:v>
                </c:pt>
                <c:pt idx="192">
                  <c:v>201712</c:v>
                </c:pt>
                <c:pt idx="193">
                  <c:v>201801</c:v>
                </c:pt>
                <c:pt idx="194">
                  <c:v>201802</c:v>
                </c:pt>
                <c:pt idx="195">
                  <c:v>201803</c:v>
                </c:pt>
                <c:pt idx="196">
                  <c:v>201804</c:v>
                </c:pt>
                <c:pt idx="197">
                  <c:v>201805</c:v>
                </c:pt>
                <c:pt idx="198">
                  <c:v>201806</c:v>
                </c:pt>
                <c:pt idx="199">
                  <c:v>201807</c:v>
                </c:pt>
                <c:pt idx="200">
                  <c:v>201808</c:v>
                </c:pt>
                <c:pt idx="201">
                  <c:v>201809</c:v>
                </c:pt>
                <c:pt idx="202">
                  <c:v>201810</c:v>
                </c:pt>
                <c:pt idx="203">
                  <c:v>201811</c:v>
                </c:pt>
                <c:pt idx="204">
                  <c:v>201812</c:v>
                </c:pt>
                <c:pt idx="205">
                  <c:v>201901</c:v>
                </c:pt>
                <c:pt idx="206">
                  <c:v>201902</c:v>
                </c:pt>
                <c:pt idx="207">
                  <c:v>201903</c:v>
                </c:pt>
              </c:strCache>
            </c:strRef>
          </c:cat>
          <c:val>
            <c:numRef>
              <c:f>Sheet3!$E$5:$E$213</c:f>
              <c:numCache>
                <c:formatCode>General</c:formatCode>
                <c:ptCount val="208"/>
                <c:pt idx="167">
                  <c:v>6</c:v>
                </c:pt>
                <c:pt idx="168">
                  <c:v>19</c:v>
                </c:pt>
                <c:pt idx="169">
                  <c:v>20</c:v>
                </c:pt>
                <c:pt idx="170">
                  <c:v>17</c:v>
                </c:pt>
                <c:pt idx="171">
                  <c:v>18</c:v>
                </c:pt>
                <c:pt idx="172">
                  <c:v>22</c:v>
                </c:pt>
                <c:pt idx="173">
                  <c:v>23</c:v>
                </c:pt>
                <c:pt idx="174">
                  <c:v>17</c:v>
                </c:pt>
                <c:pt idx="175">
                  <c:v>21</c:v>
                </c:pt>
                <c:pt idx="176">
                  <c:v>20</c:v>
                </c:pt>
                <c:pt idx="177">
                  <c:v>19</c:v>
                </c:pt>
                <c:pt idx="178">
                  <c:v>24</c:v>
                </c:pt>
                <c:pt idx="179">
                  <c:v>27</c:v>
                </c:pt>
                <c:pt idx="180">
                  <c:v>23</c:v>
                </c:pt>
                <c:pt idx="181">
                  <c:v>24</c:v>
                </c:pt>
                <c:pt idx="182">
                  <c:v>20</c:v>
                </c:pt>
                <c:pt idx="183">
                  <c:v>27</c:v>
                </c:pt>
                <c:pt idx="184">
                  <c:v>23</c:v>
                </c:pt>
                <c:pt idx="185">
                  <c:v>24</c:v>
                </c:pt>
                <c:pt idx="186">
                  <c:v>23</c:v>
                </c:pt>
                <c:pt idx="187">
                  <c:v>22</c:v>
                </c:pt>
                <c:pt idx="188">
                  <c:v>32</c:v>
                </c:pt>
                <c:pt idx="189">
                  <c:v>27</c:v>
                </c:pt>
                <c:pt idx="190">
                  <c:v>27</c:v>
                </c:pt>
                <c:pt idx="191">
                  <c:v>29</c:v>
                </c:pt>
                <c:pt idx="192">
                  <c:v>27</c:v>
                </c:pt>
                <c:pt idx="193">
                  <c:v>26</c:v>
                </c:pt>
                <c:pt idx="194">
                  <c:v>19</c:v>
                </c:pt>
                <c:pt idx="195">
                  <c:v>26</c:v>
                </c:pt>
                <c:pt idx="196">
                  <c:v>22</c:v>
                </c:pt>
                <c:pt idx="197">
                  <c:v>24</c:v>
                </c:pt>
                <c:pt idx="198">
                  <c:v>16</c:v>
                </c:pt>
                <c:pt idx="199">
                  <c:v>23</c:v>
                </c:pt>
                <c:pt idx="200">
                  <c:v>25</c:v>
                </c:pt>
                <c:pt idx="201">
                  <c:v>18</c:v>
                </c:pt>
                <c:pt idx="202">
                  <c:v>33</c:v>
                </c:pt>
                <c:pt idx="203">
                  <c:v>27</c:v>
                </c:pt>
                <c:pt idx="204">
                  <c:v>36</c:v>
                </c:pt>
                <c:pt idx="205">
                  <c:v>28</c:v>
                </c:pt>
                <c:pt idx="206">
                  <c:v>29</c:v>
                </c:pt>
                <c:pt idx="207">
                  <c:v>31</c:v>
                </c:pt>
              </c:numCache>
            </c:numRef>
          </c:val>
          <c:smooth val="0"/>
          <c:extLst>
            <c:ext xmlns:c16="http://schemas.microsoft.com/office/drawing/2014/chart" uri="{C3380CC4-5D6E-409C-BE32-E72D297353CC}">
              <c16:uniqueId val="{00000003-F10A-4902-9771-06591E9AD28C}"/>
            </c:ext>
          </c:extLst>
        </c:ser>
        <c:ser>
          <c:idx val="4"/>
          <c:order val="4"/>
          <c:tx>
            <c:strRef>
              <c:f>Sheet3!$F$3:$F$4</c:f>
              <c:strCache>
                <c:ptCount val="1"/>
                <c:pt idx="0">
                  <c:v>TOTAL</c:v>
                </c:pt>
              </c:strCache>
            </c:strRef>
          </c:tx>
          <c:spPr>
            <a:ln w="28575" cap="rnd">
              <a:solidFill>
                <a:schemeClr val="accent5"/>
              </a:solidFill>
              <a:round/>
            </a:ln>
            <a:effectLst/>
          </c:spPr>
          <c:marker>
            <c:symbol val="none"/>
          </c:marker>
          <c:cat>
            <c:strRef>
              <c:f>Sheet3!$A$5:$A$213</c:f>
              <c:strCache>
                <c:ptCount val="208"/>
                <c:pt idx="0">
                  <c:v>200112</c:v>
                </c:pt>
                <c:pt idx="1">
                  <c:v>200201</c:v>
                </c:pt>
                <c:pt idx="2">
                  <c:v>200202</c:v>
                </c:pt>
                <c:pt idx="3">
                  <c:v>200203</c:v>
                </c:pt>
                <c:pt idx="4">
                  <c:v>200204</c:v>
                </c:pt>
                <c:pt idx="5">
                  <c:v>200205</c:v>
                </c:pt>
                <c:pt idx="6">
                  <c:v>200206</c:v>
                </c:pt>
                <c:pt idx="7">
                  <c:v>200207</c:v>
                </c:pt>
                <c:pt idx="8">
                  <c:v>200208</c:v>
                </c:pt>
                <c:pt idx="9">
                  <c:v>200209</c:v>
                </c:pt>
                <c:pt idx="10">
                  <c:v>200210</c:v>
                </c:pt>
                <c:pt idx="11">
                  <c:v>200211</c:v>
                </c:pt>
                <c:pt idx="12">
                  <c:v>200212</c:v>
                </c:pt>
                <c:pt idx="13">
                  <c:v>200301</c:v>
                </c:pt>
                <c:pt idx="14">
                  <c:v>200302</c:v>
                </c:pt>
                <c:pt idx="15">
                  <c:v>200303</c:v>
                </c:pt>
                <c:pt idx="16">
                  <c:v>200304</c:v>
                </c:pt>
                <c:pt idx="17">
                  <c:v>200305</c:v>
                </c:pt>
                <c:pt idx="18">
                  <c:v>200306</c:v>
                </c:pt>
                <c:pt idx="19">
                  <c:v>200307</c:v>
                </c:pt>
                <c:pt idx="20">
                  <c:v>200308</c:v>
                </c:pt>
                <c:pt idx="21">
                  <c:v>200309</c:v>
                </c:pt>
                <c:pt idx="22">
                  <c:v>200310</c:v>
                </c:pt>
                <c:pt idx="23">
                  <c:v>200311</c:v>
                </c:pt>
                <c:pt idx="24">
                  <c:v>200312</c:v>
                </c:pt>
                <c:pt idx="25">
                  <c:v>200401</c:v>
                </c:pt>
                <c:pt idx="26">
                  <c:v>200402</c:v>
                </c:pt>
                <c:pt idx="27">
                  <c:v>200403</c:v>
                </c:pt>
                <c:pt idx="28">
                  <c:v>200404</c:v>
                </c:pt>
                <c:pt idx="29">
                  <c:v>200405</c:v>
                </c:pt>
                <c:pt idx="30">
                  <c:v>200406</c:v>
                </c:pt>
                <c:pt idx="31">
                  <c:v>200407</c:v>
                </c:pt>
                <c:pt idx="32">
                  <c:v>200408</c:v>
                </c:pt>
                <c:pt idx="33">
                  <c:v>200409</c:v>
                </c:pt>
                <c:pt idx="34">
                  <c:v>200410</c:v>
                </c:pt>
                <c:pt idx="35">
                  <c:v>200411</c:v>
                </c:pt>
                <c:pt idx="36">
                  <c:v>200412</c:v>
                </c:pt>
                <c:pt idx="37">
                  <c:v>200501</c:v>
                </c:pt>
                <c:pt idx="38">
                  <c:v>200502</c:v>
                </c:pt>
                <c:pt idx="39">
                  <c:v>200503</c:v>
                </c:pt>
                <c:pt idx="40">
                  <c:v>200504</c:v>
                </c:pt>
                <c:pt idx="41">
                  <c:v>200505</c:v>
                </c:pt>
                <c:pt idx="42">
                  <c:v>200506</c:v>
                </c:pt>
                <c:pt idx="43">
                  <c:v>200507</c:v>
                </c:pt>
                <c:pt idx="44">
                  <c:v>200508</c:v>
                </c:pt>
                <c:pt idx="45">
                  <c:v>200509</c:v>
                </c:pt>
                <c:pt idx="46">
                  <c:v>200510</c:v>
                </c:pt>
                <c:pt idx="47">
                  <c:v>200511</c:v>
                </c:pt>
                <c:pt idx="48">
                  <c:v>200512</c:v>
                </c:pt>
                <c:pt idx="49">
                  <c:v>200601</c:v>
                </c:pt>
                <c:pt idx="50">
                  <c:v>200602</c:v>
                </c:pt>
                <c:pt idx="51">
                  <c:v>200603</c:v>
                </c:pt>
                <c:pt idx="52">
                  <c:v>200604</c:v>
                </c:pt>
                <c:pt idx="53">
                  <c:v>200605</c:v>
                </c:pt>
                <c:pt idx="54">
                  <c:v>200606</c:v>
                </c:pt>
                <c:pt idx="55">
                  <c:v>200607</c:v>
                </c:pt>
                <c:pt idx="56">
                  <c:v>200608</c:v>
                </c:pt>
                <c:pt idx="57">
                  <c:v>200609</c:v>
                </c:pt>
                <c:pt idx="58">
                  <c:v>200610</c:v>
                </c:pt>
                <c:pt idx="59">
                  <c:v>200611</c:v>
                </c:pt>
                <c:pt idx="60">
                  <c:v>200612</c:v>
                </c:pt>
                <c:pt idx="61">
                  <c:v>200701</c:v>
                </c:pt>
                <c:pt idx="62">
                  <c:v>200702</c:v>
                </c:pt>
                <c:pt idx="63">
                  <c:v>200703</c:v>
                </c:pt>
                <c:pt idx="64">
                  <c:v>200704</c:v>
                </c:pt>
                <c:pt idx="65">
                  <c:v>200705</c:v>
                </c:pt>
                <c:pt idx="66">
                  <c:v>200706</c:v>
                </c:pt>
                <c:pt idx="67">
                  <c:v>200707</c:v>
                </c:pt>
                <c:pt idx="68">
                  <c:v>200708</c:v>
                </c:pt>
                <c:pt idx="69">
                  <c:v>200709</c:v>
                </c:pt>
                <c:pt idx="70">
                  <c:v>200710</c:v>
                </c:pt>
                <c:pt idx="71">
                  <c:v>200711</c:v>
                </c:pt>
                <c:pt idx="72">
                  <c:v>200712</c:v>
                </c:pt>
                <c:pt idx="73">
                  <c:v>200801</c:v>
                </c:pt>
                <c:pt idx="74">
                  <c:v>200802</c:v>
                </c:pt>
                <c:pt idx="75">
                  <c:v>200803</c:v>
                </c:pt>
                <c:pt idx="76">
                  <c:v>200804</c:v>
                </c:pt>
                <c:pt idx="77">
                  <c:v>200805</c:v>
                </c:pt>
                <c:pt idx="78">
                  <c:v>200806</c:v>
                </c:pt>
                <c:pt idx="79">
                  <c:v>200807</c:v>
                </c:pt>
                <c:pt idx="80">
                  <c:v>200808</c:v>
                </c:pt>
                <c:pt idx="81">
                  <c:v>200809</c:v>
                </c:pt>
                <c:pt idx="82">
                  <c:v>200810</c:v>
                </c:pt>
                <c:pt idx="83">
                  <c:v>200811</c:v>
                </c:pt>
                <c:pt idx="84">
                  <c:v>200812</c:v>
                </c:pt>
                <c:pt idx="85">
                  <c:v>200901</c:v>
                </c:pt>
                <c:pt idx="86">
                  <c:v>200902</c:v>
                </c:pt>
                <c:pt idx="87">
                  <c:v>200903</c:v>
                </c:pt>
                <c:pt idx="88">
                  <c:v>200904</c:v>
                </c:pt>
                <c:pt idx="89">
                  <c:v>200905</c:v>
                </c:pt>
                <c:pt idx="90">
                  <c:v>200906</c:v>
                </c:pt>
                <c:pt idx="91">
                  <c:v>200907</c:v>
                </c:pt>
                <c:pt idx="92">
                  <c:v>200908</c:v>
                </c:pt>
                <c:pt idx="93">
                  <c:v>200909</c:v>
                </c:pt>
                <c:pt idx="94">
                  <c:v>200910</c:v>
                </c:pt>
                <c:pt idx="95">
                  <c:v>200911</c:v>
                </c:pt>
                <c:pt idx="96">
                  <c:v>200912</c:v>
                </c:pt>
                <c:pt idx="97">
                  <c:v>201001</c:v>
                </c:pt>
                <c:pt idx="98">
                  <c:v>201002</c:v>
                </c:pt>
                <c:pt idx="99">
                  <c:v>201003</c:v>
                </c:pt>
                <c:pt idx="100">
                  <c:v>201004</c:v>
                </c:pt>
                <c:pt idx="101">
                  <c:v>201005</c:v>
                </c:pt>
                <c:pt idx="102">
                  <c:v>201006</c:v>
                </c:pt>
                <c:pt idx="103">
                  <c:v>201007</c:v>
                </c:pt>
                <c:pt idx="104">
                  <c:v>201008</c:v>
                </c:pt>
                <c:pt idx="105">
                  <c:v>201009</c:v>
                </c:pt>
                <c:pt idx="106">
                  <c:v>201010</c:v>
                </c:pt>
                <c:pt idx="107">
                  <c:v>201011</c:v>
                </c:pt>
                <c:pt idx="108">
                  <c:v>201012</c:v>
                </c:pt>
                <c:pt idx="109">
                  <c:v>201101</c:v>
                </c:pt>
                <c:pt idx="110">
                  <c:v>201102</c:v>
                </c:pt>
                <c:pt idx="111">
                  <c:v>201103</c:v>
                </c:pt>
                <c:pt idx="112">
                  <c:v>201104</c:v>
                </c:pt>
                <c:pt idx="113">
                  <c:v>201105</c:v>
                </c:pt>
                <c:pt idx="114">
                  <c:v>201106</c:v>
                </c:pt>
                <c:pt idx="115">
                  <c:v>201107</c:v>
                </c:pt>
                <c:pt idx="116">
                  <c:v>201108</c:v>
                </c:pt>
                <c:pt idx="117">
                  <c:v>201109</c:v>
                </c:pt>
                <c:pt idx="118">
                  <c:v>201110</c:v>
                </c:pt>
                <c:pt idx="119">
                  <c:v>201111</c:v>
                </c:pt>
                <c:pt idx="120">
                  <c:v>201112</c:v>
                </c:pt>
                <c:pt idx="121">
                  <c:v>201201</c:v>
                </c:pt>
                <c:pt idx="122">
                  <c:v>201202</c:v>
                </c:pt>
                <c:pt idx="123">
                  <c:v>201203</c:v>
                </c:pt>
                <c:pt idx="124">
                  <c:v>201204</c:v>
                </c:pt>
                <c:pt idx="125">
                  <c:v>201205</c:v>
                </c:pt>
                <c:pt idx="126">
                  <c:v>201206</c:v>
                </c:pt>
                <c:pt idx="127">
                  <c:v>201207</c:v>
                </c:pt>
                <c:pt idx="128">
                  <c:v>201208</c:v>
                </c:pt>
                <c:pt idx="129">
                  <c:v>201209</c:v>
                </c:pt>
                <c:pt idx="130">
                  <c:v>201210</c:v>
                </c:pt>
                <c:pt idx="131">
                  <c:v>201211</c:v>
                </c:pt>
                <c:pt idx="132">
                  <c:v>201212</c:v>
                </c:pt>
                <c:pt idx="133">
                  <c:v>201301</c:v>
                </c:pt>
                <c:pt idx="134">
                  <c:v>201302</c:v>
                </c:pt>
                <c:pt idx="135">
                  <c:v>201303</c:v>
                </c:pt>
                <c:pt idx="136">
                  <c:v>201304</c:v>
                </c:pt>
                <c:pt idx="137">
                  <c:v>201305</c:v>
                </c:pt>
                <c:pt idx="138">
                  <c:v>201306</c:v>
                </c:pt>
                <c:pt idx="139">
                  <c:v>201307</c:v>
                </c:pt>
                <c:pt idx="140">
                  <c:v>201308</c:v>
                </c:pt>
                <c:pt idx="141">
                  <c:v>201309</c:v>
                </c:pt>
                <c:pt idx="142">
                  <c:v>201310</c:v>
                </c:pt>
                <c:pt idx="143">
                  <c:v>201311</c:v>
                </c:pt>
                <c:pt idx="144">
                  <c:v>201312</c:v>
                </c:pt>
                <c:pt idx="145">
                  <c:v>201401</c:v>
                </c:pt>
                <c:pt idx="146">
                  <c:v>201402</c:v>
                </c:pt>
                <c:pt idx="147">
                  <c:v>201403</c:v>
                </c:pt>
                <c:pt idx="148">
                  <c:v>201404</c:v>
                </c:pt>
                <c:pt idx="149">
                  <c:v>201405</c:v>
                </c:pt>
                <c:pt idx="150">
                  <c:v>201406</c:v>
                </c:pt>
                <c:pt idx="151">
                  <c:v>201407</c:v>
                </c:pt>
                <c:pt idx="152">
                  <c:v>201408</c:v>
                </c:pt>
                <c:pt idx="153">
                  <c:v>201409</c:v>
                </c:pt>
                <c:pt idx="154">
                  <c:v>201410</c:v>
                </c:pt>
                <c:pt idx="155">
                  <c:v>201411</c:v>
                </c:pt>
                <c:pt idx="156">
                  <c:v>201412</c:v>
                </c:pt>
                <c:pt idx="157">
                  <c:v>201501</c:v>
                </c:pt>
                <c:pt idx="158">
                  <c:v>201502</c:v>
                </c:pt>
                <c:pt idx="159">
                  <c:v>201503</c:v>
                </c:pt>
                <c:pt idx="160">
                  <c:v>201504</c:v>
                </c:pt>
                <c:pt idx="161">
                  <c:v>201505</c:v>
                </c:pt>
                <c:pt idx="162">
                  <c:v>201506</c:v>
                </c:pt>
                <c:pt idx="163">
                  <c:v>201507</c:v>
                </c:pt>
                <c:pt idx="164">
                  <c:v>201508</c:v>
                </c:pt>
                <c:pt idx="165">
                  <c:v>201509</c:v>
                </c:pt>
                <c:pt idx="166">
                  <c:v>201510</c:v>
                </c:pt>
                <c:pt idx="167">
                  <c:v>201511</c:v>
                </c:pt>
                <c:pt idx="168">
                  <c:v>201512</c:v>
                </c:pt>
                <c:pt idx="169">
                  <c:v>201601</c:v>
                </c:pt>
                <c:pt idx="170">
                  <c:v>201602</c:v>
                </c:pt>
                <c:pt idx="171">
                  <c:v>201603</c:v>
                </c:pt>
                <c:pt idx="172">
                  <c:v>201604</c:v>
                </c:pt>
                <c:pt idx="173">
                  <c:v>201605</c:v>
                </c:pt>
                <c:pt idx="174">
                  <c:v>201606</c:v>
                </c:pt>
                <c:pt idx="175">
                  <c:v>201607</c:v>
                </c:pt>
                <c:pt idx="176">
                  <c:v>201608</c:v>
                </c:pt>
                <c:pt idx="177">
                  <c:v>201609</c:v>
                </c:pt>
                <c:pt idx="178">
                  <c:v>201610</c:v>
                </c:pt>
                <c:pt idx="179">
                  <c:v>201611</c:v>
                </c:pt>
                <c:pt idx="180">
                  <c:v>201612</c:v>
                </c:pt>
                <c:pt idx="181">
                  <c:v>201701</c:v>
                </c:pt>
                <c:pt idx="182">
                  <c:v>201702</c:v>
                </c:pt>
                <c:pt idx="183">
                  <c:v>201703</c:v>
                </c:pt>
                <c:pt idx="184">
                  <c:v>201704</c:v>
                </c:pt>
                <c:pt idx="185">
                  <c:v>201705</c:v>
                </c:pt>
                <c:pt idx="186">
                  <c:v>201706</c:v>
                </c:pt>
                <c:pt idx="187">
                  <c:v>201707</c:v>
                </c:pt>
                <c:pt idx="188">
                  <c:v>201708</c:v>
                </c:pt>
                <c:pt idx="189">
                  <c:v>201709</c:v>
                </c:pt>
                <c:pt idx="190">
                  <c:v>201710</c:v>
                </c:pt>
                <c:pt idx="191">
                  <c:v>201711</c:v>
                </c:pt>
                <c:pt idx="192">
                  <c:v>201712</c:v>
                </c:pt>
                <c:pt idx="193">
                  <c:v>201801</c:v>
                </c:pt>
                <c:pt idx="194">
                  <c:v>201802</c:v>
                </c:pt>
                <c:pt idx="195">
                  <c:v>201803</c:v>
                </c:pt>
                <c:pt idx="196">
                  <c:v>201804</c:v>
                </c:pt>
                <c:pt idx="197">
                  <c:v>201805</c:v>
                </c:pt>
                <c:pt idx="198">
                  <c:v>201806</c:v>
                </c:pt>
                <c:pt idx="199">
                  <c:v>201807</c:v>
                </c:pt>
                <c:pt idx="200">
                  <c:v>201808</c:v>
                </c:pt>
                <c:pt idx="201">
                  <c:v>201809</c:v>
                </c:pt>
                <c:pt idx="202">
                  <c:v>201810</c:v>
                </c:pt>
                <c:pt idx="203">
                  <c:v>201811</c:v>
                </c:pt>
                <c:pt idx="204">
                  <c:v>201812</c:v>
                </c:pt>
                <c:pt idx="205">
                  <c:v>201901</c:v>
                </c:pt>
                <c:pt idx="206">
                  <c:v>201902</c:v>
                </c:pt>
                <c:pt idx="207">
                  <c:v>201903</c:v>
                </c:pt>
              </c:strCache>
            </c:strRef>
          </c:cat>
          <c:val>
            <c:numRef>
              <c:f>Sheet3!$F$5:$F$213</c:f>
              <c:numCache>
                <c:formatCode>General</c:formatCode>
                <c:ptCount val="208"/>
                <c:pt idx="0">
                  <c:v>61</c:v>
                </c:pt>
                <c:pt idx="1">
                  <c:v>72</c:v>
                </c:pt>
                <c:pt idx="2">
                  <c:v>83</c:v>
                </c:pt>
                <c:pt idx="3">
                  <c:v>84</c:v>
                </c:pt>
                <c:pt idx="4">
                  <c:v>88</c:v>
                </c:pt>
                <c:pt idx="5">
                  <c:v>117</c:v>
                </c:pt>
                <c:pt idx="6">
                  <c:v>97</c:v>
                </c:pt>
                <c:pt idx="7">
                  <c:v>127</c:v>
                </c:pt>
                <c:pt idx="8">
                  <c:v>117</c:v>
                </c:pt>
                <c:pt idx="9">
                  <c:v>128</c:v>
                </c:pt>
                <c:pt idx="10">
                  <c:v>119</c:v>
                </c:pt>
                <c:pt idx="11">
                  <c:v>175</c:v>
                </c:pt>
                <c:pt idx="12">
                  <c:v>292</c:v>
                </c:pt>
                <c:pt idx="13">
                  <c:v>277</c:v>
                </c:pt>
                <c:pt idx="14">
                  <c:v>262</c:v>
                </c:pt>
                <c:pt idx="15">
                  <c:v>294</c:v>
                </c:pt>
                <c:pt idx="16">
                  <c:v>318</c:v>
                </c:pt>
                <c:pt idx="17">
                  <c:v>328</c:v>
                </c:pt>
                <c:pt idx="18">
                  <c:v>302</c:v>
                </c:pt>
                <c:pt idx="19">
                  <c:v>354</c:v>
                </c:pt>
                <c:pt idx="20">
                  <c:v>323</c:v>
                </c:pt>
                <c:pt idx="21">
                  <c:v>360</c:v>
                </c:pt>
                <c:pt idx="22">
                  <c:v>393</c:v>
                </c:pt>
                <c:pt idx="23">
                  <c:v>366</c:v>
                </c:pt>
                <c:pt idx="24">
                  <c:v>491</c:v>
                </c:pt>
                <c:pt idx="25">
                  <c:v>453</c:v>
                </c:pt>
                <c:pt idx="26">
                  <c:v>465</c:v>
                </c:pt>
                <c:pt idx="27">
                  <c:v>513</c:v>
                </c:pt>
                <c:pt idx="28">
                  <c:v>509</c:v>
                </c:pt>
                <c:pt idx="29">
                  <c:v>496</c:v>
                </c:pt>
                <c:pt idx="30">
                  <c:v>483</c:v>
                </c:pt>
                <c:pt idx="31">
                  <c:v>483</c:v>
                </c:pt>
                <c:pt idx="32">
                  <c:v>463</c:v>
                </c:pt>
                <c:pt idx="33">
                  <c:v>485</c:v>
                </c:pt>
                <c:pt idx="34">
                  <c:v>515</c:v>
                </c:pt>
                <c:pt idx="35">
                  <c:v>596</c:v>
                </c:pt>
                <c:pt idx="36">
                  <c:v>718</c:v>
                </c:pt>
                <c:pt idx="37">
                  <c:v>627</c:v>
                </c:pt>
                <c:pt idx="38">
                  <c:v>689</c:v>
                </c:pt>
                <c:pt idx="39">
                  <c:v>778</c:v>
                </c:pt>
                <c:pt idx="40">
                  <c:v>779</c:v>
                </c:pt>
                <c:pt idx="41">
                  <c:v>892</c:v>
                </c:pt>
                <c:pt idx="42">
                  <c:v>834</c:v>
                </c:pt>
                <c:pt idx="43">
                  <c:v>910</c:v>
                </c:pt>
                <c:pt idx="44">
                  <c:v>933</c:v>
                </c:pt>
                <c:pt idx="45">
                  <c:v>896</c:v>
                </c:pt>
                <c:pt idx="46">
                  <c:v>904</c:v>
                </c:pt>
                <c:pt idx="47">
                  <c:v>957</c:v>
                </c:pt>
                <c:pt idx="48">
                  <c:v>1077</c:v>
                </c:pt>
                <c:pt idx="49">
                  <c:v>894</c:v>
                </c:pt>
                <c:pt idx="50">
                  <c:v>892</c:v>
                </c:pt>
                <c:pt idx="51">
                  <c:v>1030</c:v>
                </c:pt>
                <c:pt idx="52">
                  <c:v>951</c:v>
                </c:pt>
                <c:pt idx="53">
                  <c:v>1089</c:v>
                </c:pt>
                <c:pt idx="54">
                  <c:v>997</c:v>
                </c:pt>
                <c:pt idx="55">
                  <c:v>1000</c:v>
                </c:pt>
                <c:pt idx="56">
                  <c:v>1028</c:v>
                </c:pt>
                <c:pt idx="57">
                  <c:v>957</c:v>
                </c:pt>
                <c:pt idx="58">
                  <c:v>1053</c:v>
                </c:pt>
                <c:pt idx="59">
                  <c:v>1017</c:v>
                </c:pt>
                <c:pt idx="60">
                  <c:v>1070</c:v>
                </c:pt>
                <c:pt idx="61">
                  <c:v>1006</c:v>
                </c:pt>
                <c:pt idx="62">
                  <c:v>969</c:v>
                </c:pt>
                <c:pt idx="63">
                  <c:v>1074</c:v>
                </c:pt>
                <c:pt idx="64">
                  <c:v>1052</c:v>
                </c:pt>
                <c:pt idx="65">
                  <c:v>1161</c:v>
                </c:pt>
                <c:pt idx="66">
                  <c:v>1052</c:v>
                </c:pt>
                <c:pt idx="67">
                  <c:v>1079</c:v>
                </c:pt>
                <c:pt idx="68">
                  <c:v>1216</c:v>
                </c:pt>
                <c:pt idx="69">
                  <c:v>1119</c:v>
                </c:pt>
                <c:pt idx="70">
                  <c:v>1248</c:v>
                </c:pt>
                <c:pt idx="71">
                  <c:v>1292</c:v>
                </c:pt>
                <c:pt idx="72">
                  <c:v>1328</c:v>
                </c:pt>
                <c:pt idx="73">
                  <c:v>1245</c:v>
                </c:pt>
                <c:pt idx="74">
                  <c:v>1254</c:v>
                </c:pt>
                <c:pt idx="75">
                  <c:v>1309</c:v>
                </c:pt>
                <c:pt idx="76">
                  <c:v>1392</c:v>
                </c:pt>
                <c:pt idx="77">
                  <c:v>1430</c:v>
                </c:pt>
                <c:pt idx="78">
                  <c:v>1312</c:v>
                </c:pt>
                <c:pt idx="79">
                  <c:v>1418</c:v>
                </c:pt>
                <c:pt idx="80">
                  <c:v>1338</c:v>
                </c:pt>
                <c:pt idx="81">
                  <c:v>1433</c:v>
                </c:pt>
                <c:pt idx="82">
                  <c:v>1463</c:v>
                </c:pt>
                <c:pt idx="83">
                  <c:v>1407</c:v>
                </c:pt>
                <c:pt idx="84">
                  <c:v>1726</c:v>
                </c:pt>
                <c:pt idx="85">
                  <c:v>1352</c:v>
                </c:pt>
                <c:pt idx="86">
                  <c:v>1434</c:v>
                </c:pt>
                <c:pt idx="87">
                  <c:v>1559</c:v>
                </c:pt>
                <c:pt idx="88">
                  <c:v>1580</c:v>
                </c:pt>
                <c:pt idx="89">
                  <c:v>1556</c:v>
                </c:pt>
                <c:pt idx="90">
                  <c:v>1614</c:v>
                </c:pt>
                <c:pt idx="91">
                  <c:v>1618</c:v>
                </c:pt>
                <c:pt idx="92">
                  <c:v>1631</c:v>
                </c:pt>
                <c:pt idx="93">
                  <c:v>1651</c:v>
                </c:pt>
                <c:pt idx="94">
                  <c:v>1638</c:v>
                </c:pt>
                <c:pt idx="95">
                  <c:v>1586</c:v>
                </c:pt>
                <c:pt idx="96">
                  <c:v>1862</c:v>
                </c:pt>
                <c:pt idx="97">
                  <c:v>1508</c:v>
                </c:pt>
                <c:pt idx="98">
                  <c:v>1537</c:v>
                </c:pt>
                <c:pt idx="99">
                  <c:v>1845</c:v>
                </c:pt>
                <c:pt idx="100">
                  <c:v>1659</c:v>
                </c:pt>
                <c:pt idx="101">
                  <c:v>1698</c:v>
                </c:pt>
                <c:pt idx="102">
                  <c:v>1763</c:v>
                </c:pt>
                <c:pt idx="103">
                  <c:v>1801</c:v>
                </c:pt>
                <c:pt idx="104">
                  <c:v>1800</c:v>
                </c:pt>
                <c:pt idx="105">
                  <c:v>1865</c:v>
                </c:pt>
                <c:pt idx="106">
                  <c:v>1822</c:v>
                </c:pt>
                <c:pt idx="107">
                  <c:v>1956</c:v>
                </c:pt>
                <c:pt idx="108">
                  <c:v>2021</c:v>
                </c:pt>
                <c:pt idx="109">
                  <c:v>1707</c:v>
                </c:pt>
                <c:pt idx="110">
                  <c:v>1754</c:v>
                </c:pt>
                <c:pt idx="111">
                  <c:v>2005</c:v>
                </c:pt>
                <c:pt idx="112">
                  <c:v>1876</c:v>
                </c:pt>
                <c:pt idx="113">
                  <c:v>2030</c:v>
                </c:pt>
                <c:pt idx="114">
                  <c:v>2022</c:v>
                </c:pt>
                <c:pt idx="115">
                  <c:v>1967</c:v>
                </c:pt>
                <c:pt idx="116">
                  <c:v>2101</c:v>
                </c:pt>
                <c:pt idx="117">
                  <c:v>1962</c:v>
                </c:pt>
                <c:pt idx="118">
                  <c:v>1994</c:v>
                </c:pt>
                <c:pt idx="119">
                  <c:v>2052</c:v>
                </c:pt>
                <c:pt idx="120">
                  <c:v>2192</c:v>
                </c:pt>
                <c:pt idx="121">
                  <c:v>1939</c:v>
                </c:pt>
                <c:pt idx="122">
                  <c:v>1983</c:v>
                </c:pt>
                <c:pt idx="123">
                  <c:v>2163</c:v>
                </c:pt>
                <c:pt idx="124">
                  <c:v>1985</c:v>
                </c:pt>
                <c:pt idx="125">
                  <c:v>2248</c:v>
                </c:pt>
                <c:pt idx="126">
                  <c:v>2102</c:v>
                </c:pt>
                <c:pt idx="127">
                  <c:v>2139</c:v>
                </c:pt>
                <c:pt idx="128">
                  <c:v>2319</c:v>
                </c:pt>
                <c:pt idx="129">
                  <c:v>2085</c:v>
                </c:pt>
                <c:pt idx="130">
                  <c:v>2387</c:v>
                </c:pt>
                <c:pt idx="131">
                  <c:v>2311</c:v>
                </c:pt>
                <c:pt idx="132">
                  <c:v>2412</c:v>
                </c:pt>
                <c:pt idx="133">
                  <c:v>2241</c:v>
                </c:pt>
                <c:pt idx="134">
                  <c:v>2087</c:v>
                </c:pt>
                <c:pt idx="135">
                  <c:v>2304</c:v>
                </c:pt>
                <c:pt idx="136">
                  <c:v>2367</c:v>
                </c:pt>
                <c:pt idx="137">
                  <c:v>2437</c:v>
                </c:pt>
                <c:pt idx="138">
                  <c:v>2232</c:v>
                </c:pt>
                <c:pt idx="139">
                  <c:v>2410</c:v>
                </c:pt>
                <c:pt idx="140">
                  <c:v>2405</c:v>
                </c:pt>
                <c:pt idx="141">
                  <c:v>2315</c:v>
                </c:pt>
                <c:pt idx="142">
                  <c:v>2467</c:v>
                </c:pt>
                <c:pt idx="143">
                  <c:v>2472</c:v>
                </c:pt>
                <c:pt idx="144">
                  <c:v>2609</c:v>
                </c:pt>
                <c:pt idx="145">
                  <c:v>2322</c:v>
                </c:pt>
                <c:pt idx="146">
                  <c:v>2246</c:v>
                </c:pt>
                <c:pt idx="147">
                  <c:v>2535</c:v>
                </c:pt>
                <c:pt idx="148">
                  <c:v>2460</c:v>
                </c:pt>
                <c:pt idx="149">
                  <c:v>2613</c:v>
                </c:pt>
                <c:pt idx="150">
                  <c:v>2471</c:v>
                </c:pt>
                <c:pt idx="151">
                  <c:v>2605</c:v>
                </c:pt>
                <c:pt idx="152">
                  <c:v>2572</c:v>
                </c:pt>
                <c:pt idx="153">
                  <c:v>2553</c:v>
                </c:pt>
                <c:pt idx="154">
                  <c:v>2602</c:v>
                </c:pt>
                <c:pt idx="155">
                  <c:v>2491</c:v>
                </c:pt>
                <c:pt idx="156">
                  <c:v>2900</c:v>
                </c:pt>
                <c:pt idx="157">
                  <c:v>2393</c:v>
                </c:pt>
                <c:pt idx="158">
                  <c:v>2436</c:v>
                </c:pt>
                <c:pt idx="159">
                  <c:v>2762</c:v>
                </c:pt>
                <c:pt idx="160">
                  <c:v>2631</c:v>
                </c:pt>
                <c:pt idx="161">
                  <c:v>2665</c:v>
                </c:pt>
                <c:pt idx="162">
                  <c:v>2682</c:v>
                </c:pt>
                <c:pt idx="163">
                  <c:v>2698</c:v>
                </c:pt>
                <c:pt idx="164">
                  <c:v>2722</c:v>
                </c:pt>
                <c:pt idx="165">
                  <c:v>2666</c:v>
                </c:pt>
                <c:pt idx="166">
                  <c:v>2684</c:v>
                </c:pt>
                <c:pt idx="167">
                  <c:v>2640</c:v>
                </c:pt>
                <c:pt idx="168">
                  <c:v>3118</c:v>
                </c:pt>
                <c:pt idx="169">
                  <c:v>2479</c:v>
                </c:pt>
                <c:pt idx="170">
                  <c:v>2695</c:v>
                </c:pt>
                <c:pt idx="171">
                  <c:v>3002</c:v>
                </c:pt>
                <c:pt idx="172">
                  <c:v>2660</c:v>
                </c:pt>
                <c:pt idx="173">
                  <c:v>2839</c:v>
                </c:pt>
                <c:pt idx="174">
                  <c:v>2802</c:v>
                </c:pt>
                <c:pt idx="175">
                  <c:v>2813</c:v>
                </c:pt>
                <c:pt idx="176">
                  <c:v>2972</c:v>
                </c:pt>
                <c:pt idx="177">
                  <c:v>2979</c:v>
                </c:pt>
                <c:pt idx="178">
                  <c:v>2755</c:v>
                </c:pt>
                <c:pt idx="179">
                  <c:v>2945</c:v>
                </c:pt>
                <c:pt idx="180">
                  <c:v>3106</c:v>
                </c:pt>
                <c:pt idx="181">
                  <c:v>2722</c:v>
                </c:pt>
                <c:pt idx="182">
                  <c:v>2704</c:v>
                </c:pt>
                <c:pt idx="183">
                  <c:v>3068</c:v>
                </c:pt>
                <c:pt idx="184">
                  <c:v>2806</c:v>
                </c:pt>
                <c:pt idx="185">
                  <c:v>3150</c:v>
                </c:pt>
                <c:pt idx="186">
                  <c:v>2940</c:v>
                </c:pt>
                <c:pt idx="187">
                  <c:v>2899</c:v>
                </c:pt>
                <c:pt idx="188">
                  <c:v>3093</c:v>
                </c:pt>
                <c:pt idx="189">
                  <c:v>3104</c:v>
                </c:pt>
                <c:pt idx="190">
                  <c:v>2886</c:v>
                </c:pt>
                <c:pt idx="191">
                  <c:v>2958</c:v>
                </c:pt>
                <c:pt idx="192">
                  <c:v>3110</c:v>
                </c:pt>
                <c:pt idx="193">
                  <c:v>2908</c:v>
                </c:pt>
                <c:pt idx="194">
                  <c:v>2721</c:v>
                </c:pt>
                <c:pt idx="195">
                  <c:v>3025</c:v>
                </c:pt>
                <c:pt idx="196">
                  <c:v>2918</c:v>
                </c:pt>
                <c:pt idx="197">
                  <c:v>3309</c:v>
                </c:pt>
                <c:pt idx="198">
                  <c:v>2890</c:v>
                </c:pt>
                <c:pt idx="199">
                  <c:v>3079</c:v>
                </c:pt>
                <c:pt idx="200">
                  <c:v>3157</c:v>
                </c:pt>
                <c:pt idx="201">
                  <c:v>3178</c:v>
                </c:pt>
                <c:pt idx="202">
                  <c:v>3007</c:v>
                </c:pt>
                <c:pt idx="203">
                  <c:v>3175</c:v>
                </c:pt>
                <c:pt idx="204">
                  <c:v>3168</c:v>
                </c:pt>
                <c:pt idx="205">
                  <c:v>3034</c:v>
                </c:pt>
                <c:pt idx="206">
                  <c:v>2850</c:v>
                </c:pt>
                <c:pt idx="207">
                  <c:v>3208</c:v>
                </c:pt>
              </c:numCache>
            </c:numRef>
          </c:val>
          <c:smooth val="0"/>
          <c:extLst>
            <c:ext xmlns:c16="http://schemas.microsoft.com/office/drawing/2014/chart" uri="{C3380CC4-5D6E-409C-BE32-E72D297353CC}">
              <c16:uniqueId val="{00000004-F10A-4902-9771-06591E9AD28C}"/>
            </c:ext>
          </c:extLst>
        </c:ser>
        <c:dLbls>
          <c:showLegendKey val="0"/>
          <c:showVal val="0"/>
          <c:showCatName val="0"/>
          <c:showSerName val="0"/>
          <c:showPercent val="0"/>
          <c:showBubbleSize val="0"/>
        </c:dLbls>
        <c:smooth val="0"/>
        <c:axId val="379607232"/>
        <c:axId val="379607560"/>
      </c:lineChart>
      <c:catAx>
        <c:axId val="37960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607560"/>
        <c:crosses val="autoZero"/>
        <c:auto val="1"/>
        <c:lblAlgn val="ctr"/>
        <c:lblOffset val="100"/>
        <c:noMultiLvlLbl val="0"/>
      </c:catAx>
      <c:valAx>
        <c:axId val="379607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607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[ponatinib.xlsx]Sheet9!PivotTable1</c:name>
    <c:fmtId val="12"/>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s>
    <c:plotArea>
      <c:layout/>
      <c:barChart>
        <c:barDir val="col"/>
        <c:grouping val="clustered"/>
        <c:varyColors val="0"/>
        <c:ser>
          <c:idx val="0"/>
          <c:order val="0"/>
          <c:tx>
            <c:strRef>
              <c:f>Sheet9!$W$1:$W$2</c:f>
              <c:strCache>
                <c:ptCount val="1"/>
                <c:pt idx="0">
                  <c:v>Female</c:v>
                </c:pt>
              </c:strCache>
            </c:strRef>
          </c:tx>
          <c:spPr>
            <a:solidFill>
              <a:schemeClr val="accent1"/>
            </a:solidFill>
            <a:ln>
              <a:noFill/>
            </a:ln>
            <a:effectLst/>
          </c:spPr>
          <c:invertIfNegative val="0"/>
          <c:cat>
            <c:strRef>
              <c:f>Sheet9!$V$3:$V$24</c:f>
              <c:strCache>
                <c:ptCount val="21"/>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pt idx="20">
                  <c:v>100+  yrs</c:v>
                </c:pt>
              </c:strCache>
            </c:strRef>
          </c:cat>
          <c:val>
            <c:numRef>
              <c:f>Sheet9!$W$3:$W$24</c:f>
              <c:numCache>
                <c:formatCode>General</c:formatCode>
                <c:ptCount val="21"/>
                <c:pt idx="0">
                  <c:v>5</c:v>
                </c:pt>
                <c:pt idx="1">
                  <c:v>5</c:v>
                </c:pt>
                <c:pt idx="2">
                  <c:v>14</c:v>
                </c:pt>
                <c:pt idx="3">
                  <c:v>32</c:v>
                </c:pt>
                <c:pt idx="4">
                  <c:v>37</c:v>
                </c:pt>
                <c:pt idx="5">
                  <c:v>63</c:v>
                </c:pt>
                <c:pt idx="6">
                  <c:v>95</c:v>
                </c:pt>
                <c:pt idx="7">
                  <c:v>141</c:v>
                </c:pt>
                <c:pt idx="8">
                  <c:v>170</c:v>
                </c:pt>
                <c:pt idx="9">
                  <c:v>217</c:v>
                </c:pt>
                <c:pt idx="10">
                  <c:v>267</c:v>
                </c:pt>
                <c:pt idx="11">
                  <c:v>314</c:v>
                </c:pt>
                <c:pt idx="12">
                  <c:v>307</c:v>
                </c:pt>
                <c:pt idx="13">
                  <c:v>247</c:v>
                </c:pt>
                <c:pt idx="14">
                  <c:v>253</c:v>
                </c:pt>
                <c:pt idx="15">
                  <c:v>200</c:v>
                </c:pt>
                <c:pt idx="16">
                  <c:v>156</c:v>
                </c:pt>
                <c:pt idx="17">
                  <c:v>67</c:v>
                </c:pt>
                <c:pt idx="18">
                  <c:v>16</c:v>
                </c:pt>
                <c:pt idx="19">
                  <c:v>5</c:v>
                </c:pt>
                <c:pt idx="20">
                  <c:v>5</c:v>
                </c:pt>
              </c:numCache>
            </c:numRef>
          </c:val>
          <c:extLst>
            <c:ext xmlns:c16="http://schemas.microsoft.com/office/drawing/2014/chart" uri="{C3380CC4-5D6E-409C-BE32-E72D297353CC}">
              <c16:uniqueId val="{00000000-FAC6-46B7-9E1D-63078E3234AB}"/>
            </c:ext>
          </c:extLst>
        </c:ser>
        <c:ser>
          <c:idx val="1"/>
          <c:order val="1"/>
          <c:tx>
            <c:strRef>
              <c:f>Sheet9!$X$1:$X$2</c:f>
              <c:strCache>
                <c:ptCount val="1"/>
                <c:pt idx="0">
                  <c:v>Male</c:v>
                </c:pt>
              </c:strCache>
            </c:strRef>
          </c:tx>
          <c:spPr>
            <a:solidFill>
              <a:schemeClr val="accent2"/>
            </a:solidFill>
            <a:ln>
              <a:noFill/>
            </a:ln>
            <a:effectLst/>
          </c:spPr>
          <c:invertIfNegative val="0"/>
          <c:cat>
            <c:strRef>
              <c:f>Sheet9!$V$3:$V$24</c:f>
              <c:strCache>
                <c:ptCount val="21"/>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pt idx="20">
                  <c:v>100+  yrs</c:v>
                </c:pt>
              </c:strCache>
            </c:strRef>
          </c:cat>
          <c:val>
            <c:numRef>
              <c:f>Sheet9!$X$3:$X$24</c:f>
              <c:numCache>
                <c:formatCode>General</c:formatCode>
                <c:ptCount val="21"/>
                <c:pt idx="0">
                  <c:v>5</c:v>
                </c:pt>
                <c:pt idx="1">
                  <c:v>7</c:v>
                </c:pt>
                <c:pt idx="2">
                  <c:v>22</c:v>
                </c:pt>
                <c:pt idx="3">
                  <c:v>39</c:v>
                </c:pt>
                <c:pt idx="4">
                  <c:v>90</c:v>
                </c:pt>
                <c:pt idx="5">
                  <c:v>126</c:v>
                </c:pt>
                <c:pt idx="6">
                  <c:v>162</c:v>
                </c:pt>
                <c:pt idx="7">
                  <c:v>200</c:v>
                </c:pt>
                <c:pt idx="8">
                  <c:v>255</c:v>
                </c:pt>
                <c:pt idx="9">
                  <c:v>300</c:v>
                </c:pt>
                <c:pt idx="10">
                  <c:v>342</c:v>
                </c:pt>
                <c:pt idx="11">
                  <c:v>386</c:v>
                </c:pt>
                <c:pt idx="12">
                  <c:v>398</c:v>
                </c:pt>
                <c:pt idx="13">
                  <c:v>403</c:v>
                </c:pt>
                <c:pt idx="14">
                  <c:v>311</c:v>
                </c:pt>
                <c:pt idx="15">
                  <c:v>246</c:v>
                </c:pt>
                <c:pt idx="16">
                  <c:v>156</c:v>
                </c:pt>
                <c:pt idx="17">
                  <c:v>85</c:v>
                </c:pt>
                <c:pt idx="18">
                  <c:v>19</c:v>
                </c:pt>
                <c:pt idx="19">
                  <c:v>5</c:v>
                </c:pt>
              </c:numCache>
            </c:numRef>
          </c:val>
          <c:extLst>
            <c:ext xmlns:c16="http://schemas.microsoft.com/office/drawing/2014/chart" uri="{C3380CC4-5D6E-409C-BE32-E72D297353CC}">
              <c16:uniqueId val="{00000001-FAC6-46B7-9E1D-63078E3234AB}"/>
            </c:ext>
          </c:extLst>
        </c:ser>
        <c:dLbls>
          <c:showLegendKey val="0"/>
          <c:showVal val="0"/>
          <c:showCatName val="0"/>
          <c:showSerName val="0"/>
          <c:showPercent val="0"/>
          <c:showBubbleSize val="0"/>
        </c:dLbls>
        <c:gapWidth val="219"/>
        <c:overlap val="-27"/>
        <c:axId val="715774152"/>
        <c:axId val="715773496"/>
      </c:barChart>
      <c:catAx>
        <c:axId val="715774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773496"/>
        <c:crosses val="autoZero"/>
        <c:auto val="1"/>
        <c:lblAlgn val="ctr"/>
        <c:lblOffset val="100"/>
        <c:noMultiLvlLbl val="0"/>
      </c:catAx>
      <c:valAx>
        <c:axId val="715773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774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[D1170 - TKIs for CML data.xlsx]Sheet8!PivotTable7</c:name>
    <c:fmtId val="12"/>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s>
    <c:plotArea>
      <c:layout/>
      <c:areaChart>
        <c:grouping val="stacked"/>
        <c:varyColors val="0"/>
        <c:ser>
          <c:idx val="0"/>
          <c:order val="0"/>
          <c:tx>
            <c:strRef>
              <c:f>Sheet8!$B$3:$B$4</c:f>
              <c:strCache>
                <c:ptCount val="1"/>
                <c:pt idx="0">
                  <c:v>Accelerated</c:v>
                </c:pt>
              </c:strCache>
            </c:strRef>
          </c:tx>
          <c:spPr>
            <a:solidFill>
              <a:schemeClr val="accent1"/>
            </a:solidFill>
            <a:ln>
              <a:noFill/>
            </a:ln>
            <a:effectLst/>
          </c:spPr>
          <c:cat>
            <c:strRef>
              <c:f>Sheet8!$A$5:$A$67</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Sheet8!$B$5:$B$67</c:f>
              <c:numCache>
                <c:formatCode>General</c:formatCode>
                <c:ptCount val="62"/>
                <c:pt idx="0">
                  <c:v>71</c:v>
                </c:pt>
                <c:pt idx="1">
                  <c:v>223</c:v>
                </c:pt>
                <c:pt idx="2">
                  <c:v>233</c:v>
                </c:pt>
                <c:pt idx="3">
                  <c:v>267</c:v>
                </c:pt>
                <c:pt idx="4">
                  <c:v>323</c:v>
                </c:pt>
                <c:pt idx="5">
                  <c:v>281</c:v>
                </c:pt>
                <c:pt idx="6">
                  <c:v>330</c:v>
                </c:pt>
                <c:pt idx="7">
                  <c:v>343</c:v>
                </c:pt>
                <c:pt idx="8">
                  <c:v>320</c:v>
                </c:pt>
                <c:pt idx="9">
                  <c:v>300</c:v>
                </c:pt>
                <c:pt idx="10">
                  <c:v>318</c:v>
                </c:pt>
                <c:pt idx="11">
                  <c:v>316</c:v>
                </c:pt>
                <c:pt idx="12">
                  <c:v>313</c:v>
                </c:pt>
                <c:pt idx="13">
                  <c:v>259</c:v>
                </c:pt>
                <c:pt idx="14">
                  <c:v>254</c:v>
                </c:pt>
                <c:pt idx="15">
                  <c:v>243</c:v>
                </c:pt>
                <c:pt idx="16">
                  <c:v>260</c:v>
                </c:pt>
                <c:pt idx="17">
                  <c:v>272</c:v>
                </c:pt>
                <c:pt idx="18">
                  <c:v>290</c:v>
                </c:pt>
                <c:pt idx="19">
                  <c:v>287</c:v>
                </c:pt>
                <c:pt idx="20">
                  <c:v>306</c:v>
                </c:pt>
                <c:pt idx="21">
                  <c:v>268</c:v>
                </c:pt>
                <c:pt idx="22">
                  <c:v>276</c:v>
                </c:pt>
                <c:pt idx="23">
                  <c:v>294</c:v>
                </c:pt>
                <c:pt idx="24">
                  <c:v>273</c:v>
                </c:pt>
                <c:pt idx="25">
                  <c:v>236</c:v>
                </c:pt>
                <c:pt idx="26">
                  <c:v>255</c:v>
                </c:pt>
                <c:pt idx="27">
                  <c:v>276</c:v>
                </c:pt>
                <c:pt idx="28">
                  <c:v>263</c:v>
                </c:pt>
                <c:pt idx="29">
                  <c:v>242</c:v>
                </c:pt>
                <c:pt idx="30">
                  <c:v>259</c:v>
                </c:pt>
                <c:pt idx="31">
                  <c:v>248</c:v>
                </c:pt>
                <c:pt idx="32">
                  <c:v>253</c:v>
                </c:pt>
                <c:pt idx="33">
                  <c:v>217</c:v>
                </c:pt>
                <c:pt idx="34">
                  <c:v>236</c:v>
                </c:pt>
                <c:pt idx="35">
                  <c:v>205</c:v>
                </c:pt>
                <c:pt idx="36">
                  <c:v>240</c:v>
                </c:pt>
                <c:pt idx="37">
                  <c:v>227</c:v>
                </c:pt>
                <c:pt idx="38">
                  <c:v>201</c:v>
                </c:pt>
                <c:pt idx="39">
                  <c:v>209</c:v>
                </c:pt>
                <c:pt idx="40">
                  <c:v>197</c:v>
                </c:pt>
                <c:pt idx="41">
                  <c:v>168</c:v>
                </c:pt>
                <c:pt idx="42">
                  <c:v>185</c:v>
                </c:pt>
                <c:pt idx="43">
                  <c:v>204</c:v>
                </c:pt>
                <c:pt idx="44">
                  <c:v>172</c:v>
                </c:pt>
                <c:pt idx="45">
                  <c:v>158</c:v>
                </c:pt>
                <c:pt idx="46">
                  <c:v>150</c:v>
                </c:pt>
                <c:pt idx="47">
                  <c:v>141</c:v>
                </c:pt>
                <c:pt idx="48">
                  <c:v>185</c:v>
                </c:pt>
                <c:pt idx="49">
                  <c:v>181</c:v>
                </c:pt>
                <c:pt idx="50">
                  <c:v>152</c:v>
                </c:pt>
                <c:pt idx="51">
                  <c:v>139</c:v>
                </c:pt>
                <c:pt idx="52">
                  <c:v>163</c:v>
                </c:pt>
                <c:pt idx="53">
                  <c:v>172</c:v>
                </c:pt>
                <c:pt idx="54">
                  <c:v>190</c:v>
                </c:pt>
                <c:pt idx="55">
                  <c:v>215</c:v>
                </c:pt>
                <c:pt idx="56">
                  <c:v>198</c:v>
                </c:pt>
                <c:pt idx="57">
                  <c:v>186</c:v>
                </c:pt>
                <c:pt idx="58">
                  <c:v>184</c:v>
                </c:pt>
                <c:pt idx="59">
                  <c:v>188</c:v>
                </c:pt>
                <c:pt idx="60">
                  <c:v>221</c:v>
                </c:pt>
                <c:pt idx="61">
                  <c:v>178</c:v>
                </c:pt>
              </c:numCache>
            </c:numRef>
          </c:val>
          <c:extLst>
            <c:ext xmlns:c16="http://schemas.microsoft.com/office/drawing/2014/chart" uri="{C3380CC4-5D6E-409C-BE32-E72D297353CC}">
              <c16:uniqueId val="{00000000-798A-46BD-B97F-FF759F14F950}"/>
            </c:ext>
          </c:extLst>
        </c:ser>
        <c:ser>
          <c:idx val="1"/>
          <c:order val="1"/>
          <c:tx>
            <c:strRef>
              <c:f>Sheet8!$C$3:$C$4</c:f>
              <c:strCache>
                <c:ptCount val="1"/>
                <c:pt idx="0">
                  <c:v>Any disease phase</c:v>
                </c:pt>
              </c:strCache>
            </c:strRef>
          </c:tx>
          <c:spPr>
            <a:solidFill>
              <a:schemeClr val="accent2"/>
            </a:solidFill>
            <a:ln>
              <a:noFill/>
            </a:ln>
            <a:effectLst/>
          </c:spPr>
          <c:cat>
            <c:strRef>
              <c:f>Sheet8!$A$5:$A$67</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Sheet8!$C$5:$C$67</c:f>
              <c:numCache>
                <c:formatCode>General</c:formatCode>
                <c:ptCount val="62"/>
                <c:pt idx="15">
                  <c:v>139</c:v>
                </c:pt>
                <c:pt idx="16">
                  <c:v>292</c:v>
                </c:pt>
                <c:pt idx="17">
                  <c:v>240</c:v>
                </c:pt>
                <c:pt idx="18">
                  <c:v>206</c:v>
                </c:pt>
                <c:pt idx="19">
                  <c:v>176</c:v>
                </c:pt>
                <c:pt idx="20">
                  <c:v>174</c:v>
                </c:pt>
                <c:pt idx="21">
                  <c:v>145</c:v>
                </c:pt>
                <c:pt idx="22">
                  <c:v>145</c:v>
                </c:pt>
                <c:pt idx="23">
                  <c:v>149</c:v>
                </c:pt>
                <c:pt idx="24">
                  <c:v>125</c:v>
                </c:pt>
                <c:pt idx="25">
                  <c:v>117</c:v>
                </c:pt>
                <c:pt idx="26">
                  <c:v>105</c:v>
                </c:pt>
                <c:pt idx="27">
                  <c:v>118</c:v>
                </c:pt>
                <c:pt idx="28">
                  <c:v>155</c:v>
                </c:pt>
                <c:pt idx="29">
                  <c:v>145</c:v>
                </c:pt>
                <c:pt idx="30">
                  <c:v>157</c:v>
                </c:pt>
                <c:pt idx="31">
                  <c:v>191</c:v>
                </c:pt>
                <c:pt idx="32">
                  <c:v>226</c:v>
                </c:pt>
                <c:pt idx="33">
                  <c:v>203</c:v>
                </c:pt>
                <c:pt idx="34">
                  <c:v>41</c:v>
                </c:pt>
                <c:pt idx="35">
                  <c:v>69</c:v>
                </c:pt>
                <c:pt idx="36">
                  <c:v>107</c:v>
                </c:pt>
                <c:pt idx="37">
                  <c:v>86</c:v>
                </c:pt>
                <c:pt idx="38">
                  <c:v>72</c:v>
                </c:pt>
                <c:pt idx="39">
                  <c:v>53</c:v>
                </c:pt>
                <c:pt idx="40">
                  <c:v>48</c:v>
                </c:pt>
                <c:pt idx="41">
                  <c:v>53</c:v>
                </c:pt>
                <c:pt idx="42">
                  <c:v>57</c:v>
                </c:pt>
                <c:pt idx="43">
                  <c:v>64</c:v>
                </c:pt>
                <c:pt idx="44">
                  <c:v>63</c:v>
                </c:pt>
                <c:pt idx="45">
                  <c:v>52</c:v>
                </c:pt>
                <c:pt idx="46">
                  <c:v>84</c:v>
                </c:pt>
                <c:pt idx="47">
                  <c:v>52</c:v>
                </c:pt>
                <c:pt idx="48">
                  <c:v>47</c:v>
                </c:pt>
                <c:pt idx="49">
                  <c:v>40</c:v>
                </c:pt>
                <c:pt idx="50">
                  <c:v>37</c:v>
                </c:pt>
                <c:pt idx="51">
                  <c:v>38</c:v>
                </c:pt>
                <c:pt idx="52">
                  <c:v>42</c:v>
                </c:pt>
                <c:pt idx="53">
                  <c:v>40</c:v>
                </c:pt>
                <c:pt idx="54">
                  <c:v>16</c:v>
                </c:pt>
                <c:pt idx="55">
                  <c:v>4</c:v>
                </c:pt>
                <c:pt idx="56">
                  <c:v>1</c:v>
                </c:pt>
              </c:numCache>
            </c:numRef>
          </c:val>
          <c:extLst>
            <c:ext xmlns:c16="http://schemas.microsoft.com/office/drawing/2014/chart" uri="{C3380CC4-5D6E-409C-BE32-E72D297353CC}">
              <c16:uniqueId val="{00000001-798A-46BD-B97F-FF759F14F950}"/>
            </c:ext>
          </c:extLst>
        </c:ser>
        <c:ser>
          <c:idx val="2"/>
          <c:order val="2"/>
          <c:tx>
            <c:strRef>
              <c:f>Sheet8!$D$3:$D$4</c:f>
              <c:strCache>
                <c:ptCount val="1"/>
                <c:pt idx="0">
                  <c:v>Blast</c:v>
                </c:pt>
              </c:strCache>
            </c:strRef>
          </c:tx>
          <c:spPr>
            <a:solidFill>
              <a:schemeClr val="accent3"/>
            </a:solidFill>
            <a:ln>
              <a:noFill/>
            </a:ln>
            <a:effectLst/>
          </c:spPr>
          <c:cat>
            <c:strRef>
              <c:f>Sheet8!$A$5:$A$67</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Sheet8!$D$5:$D$67</c:f>
              <c:numCache>
                <c:formatCode>General</c:formatCode>
                <c:ptCount val="62"/>
                <c:pt idx="0">
                  <c:v>10</c:v>
                </c:pt>
                <c:pt idx="1">
                  <c:v>28</c:v>
                </c:pt>
                <c:pt idx="2">
                  <c:v>26</c:v>
                </c:pt>
                <c:pt idx="3">
                  <c:v>29</c:v>
                </c:pt>
                <c:pt idx="4">
                  <c:v>39</c:v>
                </c:pt>
                <c:pt idx="5">
                  <c:v>50</c:v>
                </c:pt>
                <c:pt idx="6">
                  <c:v>52</c:v>
                </c:pt>
                <c:pt idx="7">
                  <c:v>48</c:v>
                </c:pt>
                <c:pt idx="8">
                  <c:v>60</c:v>
                </c:pt>
                <c:pt idx="9">
                  <c:v>56</c:v>
                </c:pt>
                <c:pt idx="10">
                  <c:v>54</c:v>
                </c:pt>
                <c:pt idx="11">
                  <c:v>54</c:v>
                </c:pt>
                <c:pt idx="12">
                  <c:v>46</c:v>
                </c:pt>
                <c:pt idx="13">
                  <c:v>41</c:v>
                </c:pt>
                <c:pt idx="14">
                  <c:v>57</c:v>
                </c:pt>
                <c:pt idx="15">
                  <c:v>52</c:v>
                </c:pt>
                <c:pt idx="16">
                  <c:v>39</c:v>
                </c:pt>
                <c:pt idx="17">
                  <c:v>47</c:v>
                </c:pt>
                <c:pt idx="18">
                  <c:v>53</c:v>
                </c:pt>
                <c:pt idx="19">
                  <c:v>53</c:v>
                </c:pt>
                <c:pt idx="20">
                  <c:v>64</c:v>
                </c:pt>
                <c:pt idx="21">
                  <c:v>47</c:v>
                </c:pt>
                <c:pt idx="22">
                  <c:v>46</c:v>
                </c:pt>
                <c:pt idx="23">
                  <c:v>37</c:v>
                </c:pt>
                <c:pt idx="24">
                  <c:v>40</c:v>
                </c:pt>
                <c:pt idx="25">
                  <c:v>56</c:v>
                </c:pt>
                <c:pt idx="26">
                  <c:v>31</c:v>
                </c:pt>
                <c:pt idx="27">
                  <c:v>39</c:v>
                </c:pt>
                <c:pt idx="28">
                  <c:v>26</c:v>
                </c:pt>
                <c:pt idx="29">
                  <c:v>36</c:v>
                </c:pt>
                <c:pt idx="30">
                  <c:v>43</c:v>
                </c:pt>
                <c:pt idx="31">
                  <c:v>37</c:v>
                </c:pt>
                <c:pt idx="32">
                  <c:v>44</c:v>
                </c:pt>
                <c:pt idx="33">
                  <c:v>55</c:v>
                </c:pt>
                <c:pt idx="34">
                  <c:v>29</c:v>
                </c:pt>
                <c:pt idx="35">
                  <c:v>45</c:v>
                </c:pt>
                <c:pt idx="36">
                  <c:v>30</c:v>
                </c:pt>
                <c:pt idx="37">
                  <c:v>32</c:v>
                </c:pt>
                <c:pt idx="38">
                  <c:v>37</c:v>
                </c:pt>
                <c:pt idx="39">
                  <c:v>33</c:v>
                </c:pt>
                <c:pt idx="40">
                  <c:v>56</c:v>
                </c:pt>
                <c:pt idx="41">
                  <c:v>34</c:v>
                </c:pt>
                <c:pt idx="42">
                  <c:v>54</c:v>
                </c:pt>
                <c:pt idx="43">
                  <c:v>45</c:v>
                </c:pt>
                <c:pt idx="44">
                  <c:v>50</c:v>
                </c:pt>
                <c:pt idx="45">
                  <c:v>32</c:v>
                </c:pt>
                <c:pt idx="46">
                  <c:v>41</c:v>
                </c:pt>
                <c:pt idx="47">
                  <c:v>46</c:v>
                </c:pt>
                <c:pt idx="48">
                  <c:v>47</c:v>
                </c:pt>
                <c:pt idx="49">
                  <c:v>50</c:v>
                </c:pt>
                <c:pt idx="50">
                  <c:v>50</c:v>
                </c:pt>
                <c:pt idx="51">
                  <c:v>43</c:v>
                </c:pt>
                <c:pt idx="52">
                  <c:v>35</c:v>
                </c:pt>
                <c:pt idx="53">
                  <c:v>35</c:v>
                </c:pt>
                <c:pt idx="54">
                  <c:v>18</c:v>
                </c:pt>
                <c:pt idx="55">
                  <c:v>17</c:v>
                </c:pt>
                <c:pt idx="56">
                  <c:v>35</c:v>
                </c:pt>
                <c:pt idx="57">
                  <c:v>31</c:v>
                </c:pt>
                <c:pt idx="58">
                  <c:v>28</c:v>
                </c:pt>
                <c:pt idx="59">
                  <c:v>27</c:v>
                </c:pt>
                <c:pt idx="60">
                  <c:v>18</c:v>
                </c:pt>
                <c:pt idx="61">
                  <c:v>26</c:v>
                </c:pt>
              </c:numCache>
            </c:numRef>
          </c:val>
          <c:extLst>
            <c:ext xmlns:c16="http://schemas.microsoft.com/office/drawing/2014/chart" uri="{C3380CC4-5D6E-409C-BE32-E72D297353CC}">
              <c16:uniqueId val="{00000002-798A-46BD-B97F-FF759F14F950}"/>
            </c:ext>
          </c:extLst>
        </c:ser>
        <c:ser>
          <c:idx val="3"/>
          <c:order val="3"/>
          <c:tx>
            <c:strRef>
              <c:f>Sheet8!$E$3:$E$4</c:f>
              <c:strCache>
                <c:ptCount val="1"/>
                <c:pt idx="0">
                  <c:v>Chronic or Accelerated</c:v>
                </c:pt>
              </c:strCache>
            </c:strRef>
          </c:tx>
          <c:spPr>
            <a:solidFill>
              <a:schemeClr val="accent4"/>
            </a:solidFill>
            <a:ln>
              <a:noFill/>
            </a:ln>
            <a:effectLst/>
          </c:spPr>
          <c:cat>
            <c:strRef>
              <c:f>Sheet8!$A$5:$A$67</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Sheet8!$E$5:$E$67</c:f>
              <c:numCache>
                <c:formatCode>General</c:formatCode>
                <c:ptCount val="62"/>
                <c:pt idx="19">
                  <c:v>15</c:v>
                </c:pt>
                <c:pt idx="20">
                  <c:v>64</c:v>
                </c:pt>
                <c:pt idx="21">
                  <c:v>72</c:v>
                </c:pt>
                <c:pt idx="22">
                  <c:v>72</c:v>
                </c:pt>
                <c:pt idx="23">
                  <c:v>90</c:v>
                </c:pt>
                <c:pt idx="24">
                  <c:v>90</c:v>
                </c:pt>
                <c:pt idx="25">
                  <c:v>75</c:v>
                </c:pt>
                <c:pt idx="26">
                  <c:v>83</c:v>
                </c:pt>
                <c:pt idx="27">
                  <c:v>94</c:v>
                </c:pt>
                <c:pt idx="28">
                  <c:v>120</c:v>
                </c:pt>
                <c:pt idx="29">
                  <c:v>129</c:v>
                </c:pt>
                <c:pt idx="30">
                  <c:v>155</c:v>
                </c:pt>
                <c:pt idx="31">
                  <c:v>156</c:v>
                </c:pt>
                <c:pt idx="32">
                  <c:v>161</c:v>
                </c:pt>
                <c:pt idx="33">
                  <c:v>135</c:v>
                </c:pt>
                <c:pt idx="34">
                  <c:v>34</c:v>
                </c:pt>
                <c:pt idx="35">
                  <c:v>80</c:v>
                </c:pt>
                <c:pt idx="36">
                  <c:v>88</c:v>
                </c:pt>
                <c:pt idx="37">
                  <c:v>66</c:v>
                </c:pt>
                <c:pt idx="38">
                  <c:v>48</c:v>
                </c:pt>
                <c:pt idx="39">
                  <c:v>40</c:v>
                </c:pt>
                <c:pt idx="40">
                  <c:v>26</c:v>
                </c:pt>
                <c:pt idx="41">
                  <c:v>13</c:v>
                </c:pt>
                <c:pt idx="42">
                  <c:v>25</c:v>
                </c:pt>
                <c:pt idx="43">
                  <c:v>29</c:v>
                </c:pt>
                <c:pt idx="44">
                  <c:v>38</c:v>
                </c:pt>
                <c:pt idx="45">
                  <c:v>31</c:v>
                </c:pt>
                <c:pt idx="46">
                  <c:v>30</c:v>
                </c:pt>
                <c:pt idx="47">
                  <c:v>37</c:v>
                </c:pt>
                <c:pt idx="48">
                  <c:v>26</c:v>
                </c:pt>
                <c:pt idx="49">
                  <c:v>27</c:v>
                </c:pt>
                <c:pt idx="50">
                  <c:v>29</c:v>
                </c:pt>
                <c:pt idx="51">
                  <c:v>16</c:v>
                </c:pt>
                <c:pt idx="52">
                  <c:v>19</c:v>
                </c:pt>
                <c:pt idx="53">
                  <c:v>14</c:v>
                </c:pt>
                <c:pt idx="54">
                  <c:v>16</c:v>
                </c:pt>
                <c:pt idx="55">
                  <c:v>5</c:v>
                </c:pt>
              </c:numCache>
            </c:numRef>
          </c:val>
          <c:extLst>
            <c:ext xmlns:c16="http://schemas.microsoft.com/office/drawing/2014/chart" uri="{C3380CC4-5D6E-409C-BE32-E72D297353CC}">
              <c16:uniqueId val="{00000003-798A-46BD-B97F-FF759F14F950}"/>
            </c:ext>
          </c:extLst>
        </c:ser>
        <c:ser>
          <c:idx val="4"/>
          <c:order val="4"/>
          <c:tx>
            <c:strRef>
              <c:f>Sheet8!$F$3:$F$4</c:f>
              <c:strCache>
                <c:ptCount val="1"/>
                <c:pt idx="0">
                  <c:v>First line - Chronic</c:v>
                </c:pt>
              </c:strCache>
            </c:strRef>
          </c:tx>
          <c:spPr>
            <a:solidFill>
              <a:schemeClr val="accent5"/>
            </a:solidFill>
            <a:ln>
              <a:noFill/>
            </a:ln>
            <a:effectLst/>
          </c:spPr>
          <c:cat>
            <c:strRef>
              <c:f>Sheet8!$A$5:$A$67</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Sheet8!$F$5:$F$67</c:f>
              <c:numCache>
                <c:formatCode>General</c:formatCode>
                <c:ptCount val="62"/>
                <c:pt idx="0">
                  <c:v>31</c:v>
                </c:pt>
                <c:pt idx="1">
                  <c:v>149</c:v>
                </c:pt>
                <c:pt idx="2">
                  <c:v>258</c:v>
                </c:pt>
                <c:pt idx="3">
                  <c:v>634</c:v>
                </c:pt>
                <c:pt idx="4">
                  <c:v>1237</c:v>
                </c:pt>
                <c:pt idx="5">
                  <c:v>1664</c:v>
                </c:pt>
                <c:pt idx="6">
                  <c:v>1998</c:v>
                </c:pt>
                <c:pt idx="7">
                  <c:v>2221</c:v>
                </c:pt>
                <c:pt idx="8">
                  <c:v>2424</c:v>
                </c:pt>
                <c:pt idx="9">
                  <c:v>2358</c:v>
                </c:pt>
                <c:pt idx="10">
                  <c:v>2587</c:v>
                </c:pt>
                <c:pt idx="11">
                  <c:v>2541</c:v>
                </c:pt>
                <c:pt idx="12">
                  <c:v>2700</c:v>
                </c:pt>
                <c:pt idx="13">
                  <c:v>2657</c:v>
                </c:pt>
                <c:pt idx="14">
                  <c:v>2846</c:v>
                </c:pt>
                <c:pt idx="15">
                  <c:v>2880</c:v>
                </c:pt>
                <c:pt idx="16">
                  <c:v>3145</c:v>
                </c:pt>
                <c:pt idx="17">
                  <c:v>3096</c:v>
                </c:pt>
                <c:pt idx="18">
                  <c:v>3425</c:v>
                </c:pt>
                <c:pt idx="19">
                  <c:v>3467</c:v>
                </c:pt>
                <c:pt idx="20">
                  <c:v>3703</c:v>
                </c:pt>
                <c:pt idx="21">
                  <c:v>3528</c:v>
                </c:pt>
                <c:pt idx="22">
                  <c:v>3857</c:v>
                </c:pt>
                <c:pt idx="23">
                  <c:v>3968</c:v>
                </c:pt>
                <c:pt idx="24">
                  <c:v>4142</c:v>
                </c:pt>
                <c:pt idx="25">
                  <c:v>4010</c:v>
                </c:pt>
                <c:pt idx="26">
                  <c:v>4225</c:v>
                </c:pt>
                <c:pt idx="27">
                  <c:v>4469</c:v>
                </c:pt>
                <c:pt idx="28">
                  <c:v>4733</c:v>
                </c:pt>
                <c:pt idx="29">
                  <c:v>4431</c:v>
                </c:pt>
                <c:pt idx="30">
                  <c:v>4753</c:v>
                </c:pt>
                <c:pt idx="31">
                  <c:v>4820</c:v>
                </c:pt>
                <c:pt idx="32">
                  <c:v>4938</c:v>
                </c:pt>
                <c:pt idx="33">
                  <c:v>4822</c:v>
                </c:pt>
                <c:pt idx="34">
                  <c:v>5045</c:v>
                </c:pt>
                <c:pt idx="35">
                  <c:v>5013</c:v>
                </c:pt>
                <c:pt idx="36">
                  <c:v>5333</c:v>
                </c:pt>
                <c:pt idx="37">
                  <c:v>4938</c:v>
                </c:pt>
                <c:pt idx="38">
                  <c:v>5150</c:v>
                </c:pt>
                <c:pt idx="39">
                  <c:v>5200</c:v>
                </c:pt>
                <c:pt idx="40">
                  <c:v>5458</c:v>
                </c:pt>
                <c:pt idx="41">
                  <c:v>5124</c:v>
                </c:pt>
                <c:pt idx="42">
                  <c:v>5388</c:v>
                </c:pt>
                <c:pt idx="43">
                  <c:v>5518</c:v>
                </c:pt>
                <c:pt idx="44">
                  <c:v>5673</c:v>
                </c:pt>
                <c:pt idx="45">
                  <c:v>5457</c:v>
                </c:pt>
                <c:pt idx="46">
                  <c:v>5681</c:v>
                </c:pt>
                <c:pt idx="47">
                  <c:v>5707</c:v>
                </c:pt>
                <c:pt idx="48">
                  <c:v>5909</c:v>
                </c:pt>
                <c:pt idx="49">
                  <c:v>5705</c:v>
                </c:pt>
                <c:pt idx="50">
                  <c:v>5806</c:v>
                </c:pt>
                <c:pt idx="51">
                  <c:v>6148</c:v>
                </c:pt>
                <c:pt idx="52">
                  <c:v>6129</c:v>
                </c:pt>
                <c:pt idx="53">
                  <c:v>5887</c:v>
                </c:pt>
                <c:pt idx="54">
                  <c:v>6147</c:v>
                </c:pt>
                <c:pt idx="55">
                  <c:v>6321</c:v>
                </c:pt>
                <c:pt idx="56">
                  <c:v>6071</c:v>
                </c:pt>
                <c:pt idx="57">
                  <c:v>5942</c:v>
                </c:pt>
                <c:pt idx="58">
                  <c:v>6221</c:v>
                </c:pt>
                <c:pt idx="59">
                  <c:v>6497</c:v>
                </c:pt>
                <c:pt idx="60">
                  <c:v>6303</c:v>
                </c:pt>
                <c:pt idx="61">
                  <c:v>6198</c:v>
                </c:pt>
              </c:numCache>
            </c:numRef>
          </c:val>
          <c:extLst>
            <c:ext xmlns:c16="http://schemas.microsoft.com/office/drawing/2014/chart" uri="{C3380CC4-5D6E-409C-BE32-E72D297353CC}">
              <c16:uniqueId val="{00000004-798A-46BD-B97F-FF759F14F950}"/>
            </c:ext>
          </c:extLst>
        </c:ser>
        <c:ser>
          <c:idx val="5"/>
          <c:order val="5"/>
          <c:tx>
            <c:strRef>
              <c:f>Sheet8!$G$3:$G$4</c:f>
              <c:strCache>
                <c:ptCount val="1"/>
                <c:pt idx="0">
                  <c:v>Not specified</c:v>
                </c:pt>
              </c:strCache>
            </c:strRef>
          </c:tx>
          <c:spPr>
            <a:solidFill>
              <a:schemeClr val="accent6"/>
            </a:solidFill>
            <a:ln>
              <a:noFill/>
            </a:ln>
            <a:effectLst/>
          </c:spPr>
          <c:cat>
            <c:strRef>
              <c:f>Sheet8!$A$5:$A$67</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Sheet8!$G$5:$G$67</c:f>
              <c:numCache>
                <c:formatCode>General</c:formatCode>
                <c:ptCount val="62"/>
                <c:pt idx="16">
                  <c:v>5</c:v>
                </c:pt>
                <c:pt idx="17">
                  <c:v>68</c:v>
                </c:pt>
                <c:pt idx="18">
                  <c:v>122</c:v>
                </c:pt>
                <c:pt idx="19">
                  <c:v>171</c:v>
                </c:pt>
                <c:pt idx="20">
                  <c:v>268</c:v>
                </c:pt>
                <c:pt idx="21">
                  <c:v>270</c:v>
                </c:pt>
                <c:pt idx="22">
                  <c:v>332</c:v>
                </c:pt>
                <c:pt idx="23">
                  <c:v>338</c:v>
                </c:pt>
                <c:pt idx="24">
                  <c:v>389</c:v>
                </c:pt>
                <c:pt idx="25">
                  <c:v>381</c:v>
                </c:pt>
                <c:pt idx="26">
                  <c:v>405</c:v>
                </c:pt>
                <c:pt idx="27">
                  <c:v>452</c:v>
                </c:pt>
                <c:pt idx="28">
                  <c:v>476</c:v>
                </c:pt>
                <c:pt idx="29">
                  <c:v>461</c:v>
                </c:pt>
                <c:pt idx="30">
                  <c:v>524</c:v>
                </c:pt>
                <c:pt idx="31">
                  <c:v>556</c:v>
                </c:pt>
                <c:pt idx="32">
                  <c:v>590</c:v>
                </c:pt>
                <c:pt idx="33">
                  <c:v>630</c:v>
                </c:pt>
                <c:pt idx="34">
                  <c:v>682</c:v>
                </c:pt>
                <c:pt idx="35">
                  <c:v>682</c:v>
                </c:pt>
                <c:pt idx="36">
                  <c:v>673</c:v>
                </c:pt>
                <c:pt idx="37">
                  <c:v>590</c:v>
                </c:pt>
                <c:pt idx="38">
                  <c:v>662</c:v>
                </c:pt>
                <c:pt idx="39">
                  <c:v>677</c:v>
                </c:pt>
                <c:pt idx="40">
                  <c:v>705</c:v>
                </c:pt>
                <c:pt idx="41">
                  <c:v>652</c:v>
                </c:pt>
                <c:pt idx="42">
                  <c:v>654</c:v>
                </c:pt>
                <c:pt idx="43">
                  <c:v>637</c:v>
                </c:pt>
                <c:pt idx="44">
                  <c:v>667</c:v>
                </c:pt>
                <c:pt idx="45">
                  <c:v>631</c:v>
                </c:pt>
                <c:pt idx="46">
                  <c:v>623</c:v>
                </c:pt>
                <c:pt idx="47">
                  <c:v>658</c:v>
                </c:pt>
                <c:pt idx="48">
                  <c:v>716</c:v>
                </c:pt>
                <c:pt idx="49">
                  <c:v>686</c:v>
                </c:pt>
                <c:pt idx="50">
                  <c:v>685</c:v>
                </c:pt>
                <c:pt idx="51">
                  <c:v>715</c:v>
                </c:pt>
                <c:pt idx="52">
                  <c:v>721</c:v>
                </c:pt>
                <c:pt idx="53">
                  <c:v>653</c:v>
                </c:pt>
                <c:pt idx="54">
                  <c:v>688</c:v>
                </c:pt>
                <c:pt idx="55">
                  <c:v>717</c:v>
                </c:pt>
                <c:pt idx="56">
                  <c:v>748</c:v>
                </c:pt>
                <c:pt idx="57">
                  <c:v>673</c:v>
                </c:pt>
                <c:pt idx="58">
                  <c:v>738</c:v>
                </c:pt>
                <c:pt idx="59">
                  <c:v>685</c:v>
                </c:pt>
                <c:pt idx="60">
                  <c:v>729</c:v>
                </c:pt>
                <c:pt idx="61">
                  <c:v>742</c:v>
                </c:pt>
              </c:numCache>
            </c:numRef>
          </c:val>
          <c:extLst>
            <c:ext xmlns:c16="http://schemas.microsoft.com/office/drawing/2014/chart" uri="{C3380CC4-5D6E-409C-BE32-E72D297353CC}">
              <c16:uniqueId val="{00000005-798A-46BD-B97F-FF759F14F950}"/>
            </c:ext>
          </c:extLst>
        </c:ser>
        <c:ser>
          <c:idx val="6"/>
          <c:order val="6"/>
          <c:tx>
            <c:strRef>
              <c:f>Sheet8!$H$3:$H$4</c:f>
              <c:strCache>
                <c:ptCount val="1"/>
                <c:pt idx="0">
                  <c:v>Second or later line - Chronic</c:v>
                </c:pt>
              </c:strCache>
            </c:strRef>
          </c:tx>
          <c:spPr>
            <a:solidFill>
              <a:schemeClr val="accent1">
                <a:lumMod val="60000"/>
              </a:schemeClr>
            </a:solidFill>
            <a:ln>
              <a:noFill/>
            </a:ln>
            <a:effectLst/>
          </c:spPr>
          <c:cat>
            <c:strRef>
              <c:f>Sheet8!$A$5:$A$67</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Sheet8!$H$5:$H$67</c:f>
              <c:numCache>
                <c:formatCode>General</c:formatCode>
                <c:ptCount val="62"/>
                <c:pt idx="16">
                  <c:v>3</c:v>
                </c:pt>
                <c:pt idx="17">
                  <c:v>4</c:v>
                </c:pt>
                <c:pt idx="18">
                  <c:v>1</c:v>
                </c:pt>
                <c:pt idx="19">
                  <c:v>4</c:v>
                </c:pt>
                <c:pt idx="20">
                  <c:v>3</c:v>
                </c:pt>
                <c:pt idx="21">
                  <c:v>5</c:v>
                </c:pt>
                <c:pt idx="22">
                  <c:v>3</c:v>
                </c:pt>
                <c:pt idx="23">
                  <c:v>2</c:v>
                </c:pt>
                <c:pt idx="24">
                  <c:v>1</c:v>
                </c:pt>
                <c:pt idx="25">
                  <c:v>3</c:v>
                </c:pt>
                <c:pt idx="26">
                  <c:v>3</c:v>
                </c:pt>
                <c:pt idx="27">
                  <c:v>2</c:v>
                </c:pt>
                <c:pt idx="28">
                  <c:v>8</c:v>
                </c:pt>
                <c:pt idx="29">
                  <c:v>1</c:v>
                </c:pt>
                <c:pt idx="30">
                  <c:v>12</c:v>
                </c:pt>
                <c:pt idx="31">
                  <c:v>5</c:v>
                </c:pt>
                <c:pt idx="32">
                  <c:v>6</c:v>
                </c:pt>
                <c:pt idx="33">
                  <c:v>6</c:v>
                </c:pt>
                <c:pt idx="34">
                  <c:v>168</c:v>
                </c:pt>
                <c:pt idx="35">
                  <c:v>396</c:v>
                </c:pt>
                <c:pt idx="36">
                  <c:v>598</c:v>
                </c:pt>
                <c:pt idx="37">
                  <c:v>655</c:v>
                </c:pt>
                <c:pt idx="38">
                  <c:v>835</c:v>
                </c:pt>
                <c:pt idx="39">
                  <c:v>884</c:v>
                </c:pt>
                <c:pt idx="40">
                  <c:v>1028</c:v>
                </c:pt>
                <c:pt idx="41">
                  <c:v>1040</c:v>
                </c:pt>
                <c:pt idx="42">
                  <c:v>1157</c:v>
                </c:pt>
                <c:pt idx="43">
                  <c:v>1206</c:v>
                </c:pt>
                <c:pt idx="44">
                  <c:v>1306</c:v>
                </c:pt>
                <c:pt idx="45">
                  <c:v>1215</c:v>
                </c:pt>
                <c:pt idx="46">
                  <c:v>1331</c:v>
                </c:pt>
                <c:pt idx="47">
                  <c:v>1387</c:v>
                </c:pt>
                <c:pt idx="48">
                  <c:v>1479</c:v>
                </c:pt>
                <c:pt idx="49">
                  <c:v>1449</c:v>
                </c:pt>
                <c:pt idx="50">
                  <c:v>1508</c:v>
                </c:pt>
                <c:pt idx="51">
                  <c:v>1620</c:v>
                </c:pt>
                <c:pt idx="52">
                  <c:v>1642</c:v>
                </c:pt>
                <c:pt idx="53">
                  <c:v>1637</c:v>
                </c:pt>
                <c:pt idx="54">
                  <c:v>1752</c:v>
                </c:pt>
                <c:pt idx="55">
                  <c:v>1756</c:v>
                </c:pt>
                <c:pt idx="56">
                  <c:v>1830</c:v>
                </c:pt>
                <c:pt idx="57">
                  <c:v>1754</c:v>
                </c:pt>
                <c:pt idx="58">
                  <c:v>1874</c:v>
                </c:pt>
                <c:pt idx="59">
                  <c:v>1944</c:v>
                </c:pt>
                <c:pt idx="60">
                  <c:v>1994</c:v>
                </c:pt>
                <c:pt idx="61">
                  <c:v>1879</c:v>
                </c:pt>
              </c:numCache>
            </c:numRef>
          </c:val>
          <c:extLst>
            <c:ext xmlns:c16="http://schemas.microsoft.com/office/drawing/2014/chart" uri="{C3380CC4-5D6E-409C-BE32-E72D297353CC}">
              <c16:uniqueId val="{00000006-798A-46BD-B97F-FF759F14F950}"/>
            </c:ext>
          </c:extLst>
        </c:ser>
        <c:dLbls>
          <c:showLegendKey val="0"/>
          <c:showVal val="0"/>
          <c:showCatName val="0"/>
          <c:showSerName val="0"/>
          <c:showPercent val="0"/>
          <c:showBubbleSize val="0"/>
        </c:dLbls>
        <c:axId val="925361592"/>
        <c:axId val="925364544"/>
      </c:areaChart>
      <c:catAx>
        <c:axId val="9253615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5364544"/>
        <c:crosses val="autoZero"/>
        <c:auto val="1"/>
        <c:lblAlgn val="ctr"/>
        <c:lblOffset val="100"/>
        <c:noMultiLvlLbl val="0"/>
      </c:catAx>
      <c:valAx>
        <c:axId val="925364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supplied authority approvals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5361592"/>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[D1170 - TKIs for CML data.xlsx]restr new qtr!PivotTable2</c:name>
    <c:fmtId val="1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
        <c:idx val="48"/>
        <c:spPr>
          <a:solidFill>
            <a:schemeClr val="accent1"/>
          </a:solidFill>
          <a:ln>
            <a:noFill/>
          </a:ln>
          <a:effectLst/>
        </c:spPr>
        <c:marker>
          <c:symbol val="none"/>
        </c:marker>
      </c:pivotFmt>
      <c:pivotFmt>
        <c:idx val="49"/>
        <c:spPr>
          <a:solidFill>
            <a:schemeClr val="accent1"/>
          </a:solidFill>
          <a:ln>
            <a:noFill/>
          </a:ln>
          <a:effectLst/>
        </c:spPr>
        <c:marker>
          <c:symbol val="none"/>
        </c:marker>
      </c:pivotFmt>
      <c:pivotFmt>
        <c:idx val="50"/>
        <c:spPr>
          <a:solidFill>
            <a:schemeClr val="accent1"/>
          </a:solidFill>
          <a:ln>
            <a:noFill/>
          </a:ln>
          <a:effectLst/>
        </c:spPr>
        <c:marker>
          <c:symbol val="none"/>
        </c:marker>
      </c:pivotFmt>
      <c:pivotFmt>
        <c:idx val="51"/>
        <c:spPr>
          <a:solidFill>
            <a:schemeClr val="accent1"/>
          </a:solidFill>
          <a:ln>
            <a:noFill/>
          </a:ln>
          <a:effectLst/>
        </c:spPr>
        <c:marker>
          <c:symbol val="none"/>
        </c:marker>
      </c:pivotFmt>
      <c:pivotFmt>
        <c:idx val="52"/>
        <c:spPr>
          <a:solidFill>
            <a:schemeClr val="accent1"/>
          </a:solidFill>
          <a:ln>
            <a:noFill/>
          </a:ln>
          <a:effectLst/>
        </c:spPr>
        <c:marker>
          <c:symbol val="none"/>
        </c:marker>
      </c:pivotFmt>
      <c:pivotFmt>
        <c:idx val="53"/>
        <c:spPr>
          <a:solidFill>
            <a:schemeClr val="accent1"/>
          </a:solidFill>
          <a:ln>
            <a:noFill/>
          </a:ln>
          <a:effectLst/>
        </c:spPr>
        <c:marker>
          <c:symbol val="none"/>
        </c:marker>
      </c:pivotFmt>
      <c:pivotFmt>
        <c:idx val="54"/>
        <c:spPr>
          <a:solidFill>
            <a:schemeClr val="accent1"/>
          </a:solidFill>
          <a:ln>
            <a:noFill/>
          </a:ln>
          <a:effectLst/>
        </c:spPr>
        <c:marker>
          <c:symbol val="none"/>
        </c:marker>
      </c:pivotFmt>
      <c:pivotFmt>
        <c:idx val="55"/>
        <c:spPr>
          <a:solidFill>
            <a:schemeClr val="accent1"/>
          </a:solidFill>
          <a:ln>
            <a:noFill/>
          </a:ln>
          <a:effectLst/>
        </c:spPr>
        <c:marker>
          <c:symbol val="none"/>
        </c:marker>
      </c:pivotFmt>
      <c:pivotFmt>
        <c:idx val="56"/>
        <c:spPr>
          <a:solidFill>
            <a:schemeClr val="accent1"/>
          </a:solidFill>
          <a:ln>
            <a:noFill/>
          </a:ln>
          <a:effectLst/>
        </c:spPr>
        <c:marker>
          <c:symbol val="none"/>
        </c:marker>
      </c:pivotFmt>
      <c:pivotFmt>
        <c:idx val="57"/>
        <c:spPr>
          <a:solidFill>
            <a:schemeClr val="accent1"/>
          </a:solidFill>
          <a:ln w="25400">
            <a:noFill/>
          </a:ln>
          <a:effectLst/>
        </c:spPr>
        <c:marker>
          <c:symbol val="none"/>
        </c:marker>
      </c:pivotFmt>
      <c:pivotFmt>
        <c:idx val="58"/>
        <c:spPr>
          <a:solidFill>
            <a:schemeClr val="accent1"/>
          </a:solidFill>
          <a:ln w="25400">
            <a:noFill/>
          </a:ln>
          <a:effectLst/>
        </c:spPr>
        <c:marker>
          <c:symbol val="none"/>
        </c:marker>
      </c:pivotFmt>
      <c:pivotFmt>
        <c:idx val="59"/>
        <c:spPr>
          <a:solidFill>
            <a:schemeClr val="accent1"/>
          </a:solidFill>
          <a:ln w="25400">
            <a:noFill/>
          </a:ln>
          <a:effectLst/>
        </c:spPr>
        <c:marker>
          <c:symbol val="none"/>
        </c:marker>
      </c:pivotFmt>
      <c:pivotFmt>
        <c:idx val="60"/>
        <c:spPr>
          <a:solidFill>
            <a:schemeClr val="accent1"/>
          </a:solidFill>
          <a:ln w="25400">
            <a:noFill/>
          </a:ln>
          <a:effectLst/>
        </c:spPr>
        <c:marker>
          <c:symbol val="none"/>
        </c:marker>
      </c:pivotFmt>
      <c:pivotFmt>
        <c:idx val="61"/>
        <c:spPr>
          <a:solidFill>
            <a:schemeClr val="accent1"/>
          </a:solidFill>
          <a:ln w="25400">
            <a:noFill/>
          </a:ln>
          <a:effectLst/>
        </c:spPr>
        <c:marker>
          <c:symbol val="none"/>
        </c:marker>
      </c:pivotFmt>
      <c:pivotFmt>
        <c:idx val="62"/>
        <c:spPr>
          <a:solidFill>
            <a:schemeClr val="accent1"/>
          </a:solidFill>
          <a:ln w="25400">
            <a:noFill/>
          </a:ln>
          <a:effectLst/>
        </c:spPr>
        <c:marker>
          <c:symbol val="none"/>
        </c:marker>
      </c:pivotFmt>
      <c:pivotFmt>
        <c:idx val="63"/>
        <c:spPr>
          <a:solidFill>
            <a:schemeClr val="accent1"/>
          </a:solidFill>
          <a:ln w="25400">
            <a:noFill/>
          </a:ln>
          <a:effectLst/>
        </c:spPr>
        <c:marker>
          <c:symbol val="none"/>
        </c:marker>
      </c:pivotFmt>
      <c:pivotFmt>
        <c:idx val="64"/>
        <c:spPr>
          <a:solidFill>
            <a:schemeClr val="accent1"/>
          </a:solidFill>
          <a:ln w="25400">
            <a:noFill/>
          </a:ln>
          <a:effectLst/>
        </c:spPr>
        <c:marker>
          <c:symbol val="none"/>
        </c:marker>
      </c:pivotFmt>
      <c:pivotFmt>
        <c:idx val="65"/>
        <c:spPr>
          <a:solidFill>
            <a:schemeClr val="accent1"/>
          </a:solidFill>
          <a:ln w="25400">
            <a:noFill/>
          </a:ln>
          <a:effectLst/>
        </c:spPr>
        <c:marker>
          <c:symbol val="none"/>
        </c:marker>
      </c:pivotFmt>
      <c:pivotFmt>
        <c:idx val="66"/>
        <c:spPr>
          <a:solidFill>
            <a:schemeClr val="accent1"/>
          </a:solidFill>
          <a:ln w="25400">
            <a:noFill/>
          </a:ln>
          <a:effectLst/>
        </c:spPr>
        <c:marker>
          <c:symbol val="none"/>
        </c:marker>
      </c:pivotFmt>
      <c:pivotFmt>
        <c:idx val="67"/>
        <c:spPr>
          <a:solidFill>
            <a:schemeClr val="accent1"/>
          </a:solidFill>
          <a:ln w="25400">
            <a:noFill/>
          </a:ln>
          <a:effectLst/>
        </c:spPr>
        <c:marker>
          <c:symbol val="none"/>
        </c:marker>
      </c:pivotFmt>
      <c:pivotFmt>
        <c:idx val="68"/>
        <c:spPr>
          <a:solidFill>
            <a:schemeClr val="accent1"/>
          </a:solidFill>
          <a:ln w="25400">
            <a:noFill/>
          </a:ln>
          <a:effectLst/>
        </c:spPr>
        <c:marker>
          <c:symbol val="none"/>
        </c:marker>
      </c:pivotFmt>
      <c:pivotFmt>
        <c:idx val="69"/>
        <c:spPr>
          <a:solidFill>
            <a:schemeClr val="accent1"/>
          </a:solidFill>
          <a:ln w="25400">
            <a:noFill/>
          </a:ln>
          <a:effectLst/>
        </c:spPr>
        <c:marker>
          <c:symbol val="none"/>
        </c:marker>
      </c:pivotFmt>
      <c:pivotFmt>
        <c:idx val="70"/>
        <c:spPr>
          <a:solidFill>
            <a:schemeClr val="accent1"/>
          </a:solidFill>
          <a:ln w="25400">
            <a:noFill/>
          </a:ln>
          <a:effectLst/>
        </c:spPr>
        <c:marker>
          <c:symbol val="none"/>
        </c:marker>
      </c:pivotFmt>
      <c:pivotFmt>
        <c:idx val="71"/>
        <c:spPr>
          <a:solidFill>
            <a:schemeClr val="accent1"/>
          </a:solidFill>
          <a:ln w="25400">
            <a:noFill/>
          </a:ln>
          <a:effectLst/>
        </c:spPr>
        <c:marker>
          <c:symbol val="none"/>
        </c:marker>
      </c:pivotFmt>
      <c:pivotFmt>
        <c:idx val="72"/>
        <c:spPr>
          <a:solidFill>
            <a:schemeClr val="accent1"/>
          </a:solidFill>
          <a:ln w="25400">
            <a:noFill/>
          </a:ln>
          <a:effectLst/>
        </c:spPr>
        <c:marker>
          <c:symbol val="none"/>
        </c:marker>
      </c:pivotFmt>
      <c:pivotFmt>
        <c:idx val="73"/>
        <c:spPr>
          <a:solidFill>
            <a:schemeClr val="accent1"/>
          </a:solidFill>
          <a:ln w="25400">
            <a:noFill/>
          </a:ln>
          <a:effectLst/>
        </c:spPr>
        <c:marker>
          <c:symbol val="none"/>
        </c:marker>
      </c:pivotFmt>
      <c:pivotFmt>
        <c:idx val="74"/>
        <c:spPr>
          <a:solidFill>
            <a:schemeClr val="accent1"/>
          </a:solidFill>
          <a:ln w="25400">
            <a:noFill/>
          </a:ln>
          <a:effectLst/>
        </c:spPr>
        <c:marker>
          <c:symbol val="none"/>
        </c:marker>
      </c:pivotFmt>
      <c:pivotFmt>
        <c:idx val="75"/>
        <c:spPr>
          <a:solidFill>
            <a:schemeClr val="accent1"/>
          </a:solidFill>
          <a:ln w="25400">
            <a:noFill/>
          </a:ln>
          <a:effectLst/>
        </c:spPr>
        <c:marker>
          <c:symbol val="none"/>
        </c:marker>
      </c:pivotFmt>
      <c:pivotFmt>
        <c:idx val="76"/>
        <c:spPr>
          <a:solidFill>
            <a:schemeClr val="accent1"/>
          </a:solidFill>
          <a:ln w="25400">
            <a:noFill/>
          </a:ln>
          <a:effectLst/>
        </c:spPr>
        <c:marker>
          <c:symbol val="none"/>
        </c:marker>
      </c:pivotFmt>
      <c:pivotFmt>
        <c:idx val="77"/>
        <c:spPr>
          <a:solidFill>
            <a:schemeClr val="accent1"/>
          </a:solidFill>
          <a:ln w="25400">
            <a:noFill/>
          </a:ln>
          <a:effectLst/>
        </c:spPr>
        <c:marker>
          <c:symbol val="none"/>
        </c:marker>
      </c:pivotFmt>
      <c:pivotFmt>
        <c:idx val="78"/>
        <c:spPr>
          <a:solidFill>
            <a:schemeClr val="accent1"/>
          </a:solidFill>
          <a:ln w="25400">
            <a:noFill/>
          </a:ln>
          <a:effectLst/>
        </c:spPr>
        <c:marker>
          <c:symbol val="none"/>
        </c:marker>
      </c:pivotFmt>
      <c:pivotFmt>
        <c:idx val="79"/>
        <c:spPr>
          <a:solidFill>
            <a:schemeClr val="accent1"/>
          </a:solidFill>
          <a:ln w="25400">
            <a:noFill/>
          </a:ln>
          <a:effectLst/>
        </c:spPr>
        <c:marker>
          <c:symbol val="none"/>
        </c:marker>
      </c:pivotFmt>
      <c:pivotFmt>
        <c:idx val="80"/>
        <c:spPr>
          <a:solidFill>
            <a:schemeClr val="accent1"/>
          </a:solidFill>
          <a:ln w="25400">
            <a:noFill/>
          </a:ln>
          <a:effectLst/>
        </c:spPr>
        <c:marker>
          <c:symbol val="none"/>
        </c:marker>
      </c:pivotFmt>
      <c:pivotFmt>
        <c:idx val="81"/>
        <c:spPr>
          <a:solidFill>
            <a:schemeClr val="accent1"/>
          </a:solidFill>
          <a:ln w="25400">
            <a:noFill/>
          </a:ln>
          <a:effectLst/>
        </c:spPr>
        <c:marker>
          <c:symbol val="none"/>
        </c:marker>
      </c:pivotFmt>
      <c:pivotFmt>
        <c:idx val="82"/>
        <c:spPr>
          <a:solidFill>
            <a:schemeClr val="accent1"/>
          </a:solidFill>
          <a:ln w="25400">
            <a:noFill/>
          </a:ln>
          <a:effectLst/>
        </c:spPr>
        <c:marker>
          <c:symbol val="none"/>
        </c:marker>
      </c:pivotFmt>
      <c:pivotFmt>
        <c:idx val="83"/>
        <c:spPr>
          <a:solidFill>
            <a:schemeClr val="accent1"/>
          </a:solidFill>
          <a:ln w="25400">
            <a:noFill/>
          </a:ln>
          <a:effectLst/>
        </c:spPr>
        <c:marker>
          <c:symbol val="none"/>
        </c:marker>
      </c:pivotFmt>
      <c:pivotFmt>
        <c:idx val="84"/>
        <c:spPr>
          <a:solidFill>
            <a:schemeClr val="accent1"/>
          </a:solidFill>
          <a:ln w="25400">
            <a:noFill/>
          </a:ln>
          <a:effectLst/>
        </c:spPr>
        <c:marker>
          <c:symbol val="none"/>
        </c:marker>
      </c:pivotFmt>
      <c:pivotFmt>
        <c:idx val="85"/>
        <c:spPr>
          <a:solidFill>
            <a:schemeClr val="accent1"/>
          </a:solidFill>
          <a:ln w="25400">
            <a:noFill/>
          </a:ln>
          <a:effectLst/>
        </c:spPr>
        <c:marker>
          <c:symbol val="none"/>
        </c:marker>
      </c:pivotFmt>
      <c:pivotFmt>
        <c:idx val="86"/>
        <c:spPr>
          <a:solidFill>
            <a:schemeClr val="accent1"/>
          </a:solidFill>
          <a:ln w="25400">
            <a:noFill/>
          </a:ln>
          <a:effectLst/>
        </c:spPr>
        <c:marker>
          <c:symbol val="none"/>
        </c:marker>
      </c:pivotFmt>
      <c:pivotFmt>
        <c:idx val="87"/>
        <c:spPr>
          <a:solidFill>
            <a:schemeClr val="accent1"/>
          </a:solidFill>
          <a:ln w="25400">
            <a:noFill/>
          </a:ln>
          <a:effectLst/>
        </c:spPr>
        <c:marker>
          <c:symbol val="none"/>
        </c:marker>
      </c:pivotFmt>
      <c:pivotFmt>
        <c:idx val="88"/>
        <c:spPr>
          <a:solidFill>
            <a:schemeClr val="accent1"/>
          </a:solidFill>
          <a:ln w="25400">
            <a:noFill/>
          </a:ln>
          <a:effectLst/>
        </c:spPr>
        <c:marker>
          <c:symbol val="none"/>
        </c:marker>
      </c:pivotFmt>
      <c:pivotFmt>
        <c:idx val="89"/>
        <c:spPr>
          <a:solidFill>
            <a:schemeClr val="accent1"/>
          </a:solidFill>
          <a:ln w="25400">
            <a:noFill/>
          </a:ln>
          <a:effectLst/>
        </c:spPr>
        <c:marker>
          <c:symbol val="none"/>
        </c:marker>
      </c:pivotFmt>
      <c:pivotFmt>
        <c:idx val="90"/>
        <c:spPr>
          <a:solidFill>
            <a:schemeClr val="accent1"/>
          </a:solidFill>
          <a:ln w="25400">
            <a:noFill/>
          </a:ln>
          <a:effectLst/>
        </c:spPr>
        <c:marker>
          <c:symbol val="none"/>
        </c:marker>
      </c:pivotFmt>
      <c:pivotFmt>
        <c:idx val="91"/>
        <c:spPr>
          <a:solidFill>
            <a:schemeClr val="accent1"/>
          </a:solidFill>
          <a:ln w="25400">
            <a:noFill/>
          </a:ln>
          <a:effectLst/>
        </c:spPr>
        <c:marker>
          <c:symbol val="none"/>
        </c:marker>
      </c:pivotFmt>
      <c:pivotFmt>
        <c:idx val="92"/>
        <c:spPr>
          <a:solidFill>
            <a:schemeClr val="accent1"/>
          </a:solidFill>
          <a:ln w="25400">
            <a:noFill/>
          </a:ln>
          <a:effectLst/>
        </c:spPr>
        <c:marker>
          <c:symbol val="none"/>
        </c:marker>
      </c:pivotFmt>
      <c:pivotFmt>
        <c:idx val="93"/>
        <c:spPr>
          <a:solidFill>
            <a:schemeClr val="accent1"/>
          </a:solidFill>
          <a:ln w="25400">
            <a:noFill/>
          </a:ln>
          <a:effectLst/>
        </c:spPr>
        <c:marker>
          <c:symbol val="none"/>
        </c:marker>
      </c:pivotFmt>
      <c:pivotFmt>
        <c:idx val="94"/>
        <c:spPr>
          <a:solidFill>
            <a:schemeClr val="accent1"/>
          </a:solidFill>
          <a:ln w="25400">
            <a:noFill/>
          </a:ln>
          <a:effectLst/>
        </c:spPr>
        <c:marker>
          <c:symbol val="none"/>
        </c:marker>
      </c:pivotFmt>
      <c:pivotFmt>
        <c:idx val="95"/>
        <c:spPr>
          <a:solidFill>
            <a:schemeClr val="accent1"/>
          </a:solidFill>
          <a:ln w="25400">
            <a:noFill/>
          </a:ln>
          <a:effectLst/>
        </c:spPr>
        <c:marker>
          <c:symbol val="none"/>
        </c:marker>
      </c:pivotFmt>
      <c:pivotFmt>
        <c:idx val="96"/>
        <c:spPr>
          <a:solidFill>
            <a:schemeClr val="accent1"/>
          </a:solidFill>
          <a:ln w="25400">
            <a:noFill/>
          </a:ln>
          <a:effectLst/>
        </c:spPr>
        <c:marker>
          <c:symbol val="none"/>
        </c:marker>
      </c:pivotFmt>
      <c:pivotFmt>
        <c:idx val="97"/>
        <c:spPr>
          <a:solidFill>
            <a:schemeClr val="accent1"/>
          </a:solidFill>
          <a:ln w="25400">
            <a:noFill/>
          </a:ln>
          <a:effectLst/>
        </c:spPr>
        <c:marker>
          <c:symbol val="none"/>
        </c:marker>
      </c:pivotFmt>
      <c:pivotFmt>
        <c:idx val="98"/>
        <c:spPr>
          <a:solidFill>
            <a:schemeClr val="accent1"/>
          </a:solidFill>
          <a:ln w="25400">
            <a:noFill/>
          </a:ln>
          <a:effectLst/>
        </c:spPr>
        <c:marker>
          <c:symbol val="none"/>
        </c:marker>
      </c:pivotFmt>
      <c:pivotFmt>
        <c:idx val="99"/>
        <c:spPr>
          <a:solidFill>
            <a:schemeClr val="accent1"/>
          </a:solidFill>
          <a:ln w="25400">
            <a:noFill/>
          </a:ln>
          <a:effectLst/>
        </c:spPr>
        <c:marker>
          <c:symbol val="none"/>
        </c:marker>
      </c:pivotFmt>
      <c:pivotFmt>
        <c:idx val="100"/>
        <c:spPr>
          <a:solidFill>
            <a:schemeClr val="accent1"/>
          </a:solidFill>
          <a:ln w="25400">
            <a:noFill/>
          </a:ln>
          <a:effectLst/>
        </c:spPr>
        <c:marker>
          <c:symbol val="none"/>
        </c:marker>
      </c:pivotFmt>
      <c:pivotFmt>
        <c:idx val="101"/>
        <c:spPr>
          <a:solidFill>
            <a:schemeClr val="accent1"/>
          </a:solidFill>
          <a:ln>
            <a:noFill/>
          </a:ln>
          <a:effectLst/>
        </c:spPr>
        <c:marker>
          <c:symbol val="none"/>
        </c:marker>
      </c:pivotFmt>
      <c:pivotFmt>
        <c:idx val="102"/>
        <c:spPr>
          <a:solidFill>
            <a:schemeClr val="accent1"/>
          </a:solidFill>
          <a:ln>
            <a:noFill/>
          </a:ln>
          <a:effectLst/>
        </c:spPr>
        <c:marker>
          <c:symbol val="none"/>
        </c:marker>
      </c:pivotFmt>
      <c:pivotFmt>
        <c:idx val="103"/>
        <c:spPr>
          <a:solidFill>
            <a:schemeClr val="accent1"/>
          </a:solidFill>
          <a:ln>
            <a:noFill/>
          </a:ln>
          <a:effectLst/>
        </c:spPr>
        <c:marker>
          <c:symbol val="none"/>
        </c:marker>
      </c:pivotFmt>
      <c:pivotFmt>
        <c:idx val="104"/>
        <c:spPr>
          <a:solidFill>
            <a:schemeClr val="accent1"/>
          </a:solidFill>
          <a:ln>
            <a:noFill/>
          </a:ln>
          <a:effectLst/>
        </c:spPr>
        <c:marker>
          <c:symbol val="none"/>
        </c:marker>
      </c:pivotFmt>
      <c:pivotFmt>
        <c:idx val="105"/>
        <c:spPr>
          <a:solidFill>
            <a:schemeClr val="accent1"/>
          </a:solidFill>
          <a:ln>
            <a:noFill/>
          </a:ln>
          <a:effectLst/>
        </c:spPr>
        <c:marker>
          <c:symbol val="none"/>
        </c:marker>
      </c:pivotFmt>
      <c:pivotFmt>
        <c:idx val="106"/>
        <c:spPr>
          <a:solidFill>
            <a:schemeClr val="accent1"/>
          </a:solidFill>
          <a:ln>
            <a:noFill/>
          </a:ln>
          <a:effectLst/>
        </c:spPr>
        <c:marker>
          <c:symbol val="none"/>
        </c:marker>
      </c:pivotFmt>
      <c:pivotFmt>
        <c:idx val="107"/>
        <c:spPr>
          <a:solidFill>
            <a:schemeClr val="accent1"/>
          </a:solidFill>
          <a:ln>
            <a:noFill/>
          </a:ln>
          <a:effectLst/>
        </c:spPr>
        <c:marker>
          <c:symbol val="none"/>
        </c:marker>
      </c:pivotFmt>
      <c:pivotFmt>
        <c:idx val="108"/>
        <c:spPr>
          <a:solidFill>
            <a:schemeClr val="accent1"/>
          </a:solidFill>
          <a:ln>
            <a:noFill/>
          </a:ln>
          <a:effectLst/>
        </c:spPr>
        <c:marker>
          <c:symbol val="none"/>
        </c:marker>
      </c:pivotFmt>
      <c:pivotFmt>
        <c:idx val="109"/>
        <c:spPr>
          <a:solidFill>
            <a:schemeClr val="accent1"/>
          </a:solidFill>
          <a:ln w="25400">
            <a:noFill/>
          </a:ln>
          <a:effectLst/>
        </c:spPr>
        <c:marker>
          <c:symbol val="none"/>
        </c:marker>
      </c:pivotFmt>
      <c:pivotFmt>
        <c:idx val="110"/>
        <c:spPr>
          <a:solidFill>
            <a:schemeClr val="accent1"/>
          </a:solidFill>
          <a:ln w="25400">
            <a:noFill/>
          </a:ln>
          <a:effectLst/>
        </c:spPr>
        <c:marker>
          <c:symbol val="none"/>
        </c:marker>
      </c:pivotFmt>
      <c:pivotFmt>
        <c:idx val="111"/>
        <c:spPr>
          <a:solidFill>
            <a:schemeClr val="accent1"/>
          </a:solidFill>
          <a:ln w="25400">
            <a:noFill/>
          </a:ln>
          <a:effectLst/>
        </c:spPr>
        <c:marker>
          <c:symbol val="none"/>
        </c:marker>
      </c:pivotFmt>
      <c:pivotFmt>
        <c:idx val="112"/>
        <c:spPr>
          <a:solidFill>
            <a:schemeClr val="accent1"/>
          </a:solidFill>
          <a:ln w="25400">
            <a:noFill/>
          </a:ln>
          <a:effectLst/>
        </c:spPr>
        <c:marker>
          <c:symbol val="none"/>
        </c:marker>
      </c:pivotFmt>
      <c:pivotFmt>
        <c:idx val="113"/>
        <c:spPr>
          <a:solidFill>
            <a:schemeClr val="accent1"/>
          </a:solidFill>
          <a:ln w="25400">
            <a:noFill/>
          </a:ln>
          <a:effectLst/>
        </c:spPr>
        <c:marker>
          <c:symbol val="none"/>
        </c:marker>
      </c:pivotFmt>
      <c:pivotFmt>
        <c:idx val="114"/>
        <c:spPr>
          <a:solidFill>
            <a:schemeClr val="accent1"/>
          </a:solidFill>
          <a:ln w="25400">
            <a:noFill/>
          </a:ln>
          <a:effectLst/>
        </c:spPr>
        <c:marker>
          <c:symbol val="none"/>
        </c:marker>
      </c:pivotFmt>
      <c:pivotFmt>
        <c:idx val="115"/>
        <c:spPr>
          <a:solidFill>
            <a:schemeClr val="accent1"/>
          </a:solidFill>
          <a:ln w="25400">
            <a:noFill/>
          </a:ln>
          <a:effectLst/>
        </c:spPr>
        <c:marker>
          <c:symbol val="none"/>
        </c:marker>
      </c:pivotFmt>
      <c:pivotFmt>
        <c:idx val="116"/>
        <c:spPr>
          <a:solidFill>
            <a:schemeClr val="accent1"/>
          </a:solidFill>
          <a:ln w="25400">
            <a:noFill/>
          </a:ln>
          <a:effectLst/>
        </c:spPr>
        <c:marker>
          <c:symbol val="none"/>
        </c:marker>
      </c:pivotFmt>
      <c:pivotFmt>
        <c:idx val="117"/>
        <c:spPr>
          <a:solidFill>
            <a:schemeClr val="accent1"/>
          </a:solidFill>
          <a:ln w="25400">
            <a:noFill/>
          </a:ln>
          <a:effectLst/>
        </c:spPr>
        <c:marker>
          <c:symbol val="none"/>
        </c:marker>
      </c:pivotFmt>
      <c:pivotFmt>
        <c:idx val="118"/>
        <c:spPr>
          <a:solidFill>
            <a:schemeClr val="accent1"/>
          </a:solidFill>
          <a:ln w="25400">
            <a:noFill/>
          </a:ln>
          <a:effectLst/>
        </c:spPr>
        <c:marker>
          <c:symbol val="none"/>
        </c:marker>
      </c:pivotFmt>
      <c:pivotFmt>
        <c:idx val="119"/>
        <c:spPr>
          <a:solidFill>
            <a:schemeClr val="accent1"/>
          </a:solidFill>
          <a:ln w="25400">
            <a:noFill/>
          </a:ln>
          <a:effectLst/>
        </c:spPr>
        <c:marker>
          <c:symbol val="none"/>
        </c:marker>
      </c:pivotFmt>
      <c:pivotFmt>
        <c:idx val="120"/>
        <c:spPr>
          <a:solidFill>
            <a:schemeClr val="accent1"/>
          </a:solidFill>
          <a:ln w="25400">
            <a:noFill/>
          </a:ln>
          <a:effectLst/>
        </c:spPr>
        <c:marker>
          <c:symbol val="none"/>
        </c:marker>
      </c:pivotFmt>
      <c:pivotFmt>
        <c:idx val="121"/>
        <c:spPr>
          <a:solidFill>
            <a:schemeClr val="accent1"/>
          </a:solidFill>
          <a:ln>
            <a:noFill/>
          </a:ln>
          <a:effectLst/>
        </c:spPr>
        <c:marker>
          <c:symbol val="none"/>
        </c:marker>
      </c:pivotFmt>
      <c:pivotFmt>
        <c:idx val="122"/>
        <c:spPr>
          <a:solidFill>
            <a:schemeClr val="accent1"/>
          </a:solidFill>
          <a:ln>
            <a:noFill/>
          </a:ln>
          <a:effectLst/>
        </c:spPr>
        <c:marker>
          <c:symbol val="none"/>
        </c:marker>
      </c:pivotFmt>
      <c:pivotFmt>
        <c:idx val="123"/>
        <c:spPr>
          <a:solidFill>
            <a:schemeClr val="accent1"/>
          </a:solidFill>
          <a:ln>
            <a:noFill/>
          </a:ln>
          <a:effectLst/>
        </c:spPr>
        <c:marker>
          <c:symbol val="none"/>
        </c:marker>
      </c:pivotFmt>
      <c:pivotFmt>
        <c:idx val="124"/>
        <c:spPr>
          <a:solidFill>
            <a:schemeClr val="accent1"/>
          </a:solidFill>
          <a:ln>
            <a:noFill/>
          </a:ln>
          <a:effectLst/>
        </c:spPr>
        <c:marker>
          <c:symbol val="none"/>
        </c:marker>
      </c:pivotFmt>
      <c:pivotFmt>
        <c:idx val="125"/>
        <c:spPr>
          <a:solidFill>
            <a:schemeClr val="accent1"/>
          </a:solidFill>
          <a:ln>
            <a:noFill/>
          </a:ln>
          <a:effectLst/>
        </c:spPr>
        <c:marker>
          <c:symbol val="none"/>
        </c:marker>
      </c:pivotFmt>
      <c:pivotFmt>
        <c:idx val="126"/>
        <c:spPr>
          <a:solidFill>
            <a:schemeClr val="accent1"/>
          </a:solidFill>
          <a:ln>
            <a:noFill/>
          </a:ln>
          <a:effectLst/>
        </c:spPr>
        <c:marker>
          <c:symbol val="none"/>
        </c:marker>
      </c:pivotFmt>
      <c:pivotFmt>
        <c:idx val="127"/>
        <c:spPr>
          <a:solidFill>
            <a:schemeClr val="accent1"/>
          </a:solidFill>
          <a:ln>
            <a:noFill/>
          </a:ln>
          <a:effectLst/>
        </c:spPr>
        <c:marker>
          <c:symbol val="none"/>
        </c:marker>
      </c:pivotFmt>
      <c:pivotFmt>
        <c:idx val="128"/>
        <c:spPr>
          <a:solidFill>
            <a:schemeClr val="accent1"/>
          </a:solidFill>
          <a:ln>
            <a:noFill/>
          </a:ln>
          <a:effectLst/>
        </c:spPr>
        <c:marker>
          <c:symbol val="none"/>
        </c:marker>
      </c:pivotFmt>
      <c:pivotFmt>
        <c:idx val="129"/>
        <c:spPr>
          <a:solidFill>
            <a:schemeClr val="accent1"/>
          </a:solidFill>
          <a:ln>
            <a:noFill/>
          </a:ln>
          <a:effectLst/>
        </c:spPr>
        <c:marker>
          <c:symbol val="none"/>
        </c:marker>
      </c:pivotFmt>
      <c:pivotFmt>
        <c:idx val="130"/>
        <c:spPr>
          <a:solidFill>
            <a:schemeClr val="accent1"/>
          </a:solidFill>
          <a:ln>
            <a:noFill/>
          </a:ln>
          <a:effectLst/>
        </c:spPr>
        <c:marker>
          <c:symbol val="none"/>
        </c:marker>
      </c:pivotFmt>
      <c:pivotFmt>
        <c:idx val="131"/>
        <c:spPr>
          <a:solidFill>
            <a:schemeClr val="accent1"/>
          </a:solidFill>
          <a:ln>
            <a:noFill/>
          </a:ln>
          <a:effectLst/>
        </c:spPr>
        <c:marker>
          <c:symbol val="none"/>
        </c:marker>
      </c:pivotFmt>
      <c:pivotFmt>
        <c:idx val="132"/>
        <c:spPr>
          <a:solidFill>
            <a:schemeClr val="accent1"/>
          </a:solidFill>
          <a:ln>
            <a:noFill/>
          </a:ln>
          <a:effectLst/>
        </c:spPr>
        <c:marker>
          <c:symbol val="none"/>
        </c:marker>
      </c:pivotFmt>
      <c:pivotFmt>
        <c:idx val="133"/>
        <c:spPr>
          <a:solidFill>
            <a:schemeClr val="accent1"/>
          </a:solidFill>
          <a:ln>
            <a:noFill/>
          </a:ln>
          <a:effectLst/>
        </c:spPr>
        <c:marker>
          <c:symbol val="none"/>
        </c:marker>
      </c:pivotFmt>
      <c:pivotFmt>
        <c:idx val="134"/>
        <c:spPr>
          <a:solidFill>
            <a:schemeClr val="accent1"/>
          </a:solidFill>
          <a:ln>
            <a:noFill/>
          </a:ln>
          <a:effectLst/>
        </c:spPr>
        <c:marker>
          <c:symbol val="none"/>
        </c:marker>
      </c:pivotFmt>
      <c:pivotFmt>
        <c:idx val="135"/>
        <c:spPr>
          <a:solidFill>
            <a:schemeClr val="accent1"/>
          </a:solidFill>
          <a:ln>
            <a:noFill/>
          </a:ln>
          <a:effectLst/>
        </c:spPr>
        <c:marker>
          <c:symbol val="none"/>
        </c:marker>
      </c:pivotFmt>
      <c:pivotFmt>
        <c:idx val="136"/>
        <c:spPr>
          <a:solidFill>
            <a:schemeClr val="accent1"/>
          </a:solidFill>
          <a:ln>
            <a:noFill/>
          </a:ln>
          <a:effectLst/>
        </c:spPr>
        <c:marker>
          <c:symbol val="none"/>
        </c:marker>
      </c:pivotFmt>
      <c:pivotFmt>
        <c:idx val="137"/>
        <c:spPr>
          <a:solidFill>
            <a:schemeClr val="accent1"/>
          </a:solidFill>
          <a:ln w="25400">
            <a:noFill/>
          </a:ln>
          <a:effectLst/>
        </c:spPr>
        <c:marker>
          <c:symbol val="none"/>
        </c:marker>
      </c:pivotFmt>
      <c:pivotFmt>
        <c:idx val="138"/>
        <c:spPr>
          <a:solidFill>
            <a:schemeClr val="accent1"/>
          </a:solidFill>
          <a:ln>
            <a:noFill/>
          </a:ln>
          <a:effectLst/>
        </c:spPr>
        <c:marker>
          <c:symbol val="none"/>
        </c:marker>
      </c:pivotFmt>
      <c:pivotFmt>
        <c:idx val="139"/>
        <c:spPr>
          <a:solidFill>
            <a:schemeClr val="accent1"/>
          </a:solidFill>
          <a:ln>
            <a:noFill/>
          </a:ln>
          <a:effectLst/>
        </c:spPr>
        <c:marker>
          <c:symbol val="none"/>
        </c:marker>
      </c:pivotFmt>
      <c:pivotFmt>
        <c:idx val="140"/>
        <c:spPr>
          <a:solidFill>
            <a:schemeClr val="accent1"/>
          </a:solidFill>
          <a:ln>
            <a:noFill/>
          </a:ln>
          <a:effectLst/>
        </c:spPr>
        <c:marker>
          <c:symbol val="none"/>
        </c:marker>
      </c:pivotFmt>
      <c:pivotFmt>
        <c:idx val="141"/>
        <c:spPr>
          <a:solidFill>
            <a:schemeClr val="accent1"/>
          </a:solidFill>
          <a:ln>
            <a:noFill/>
          </a:ln>
          <a:effectLst/>
        </c:spPr>
        <c:marker>
          <c:symbol val="none"/>
        </c:marker>
      </c:pivotFmt>
      <c:pivotFmt>
        <c:idx val="142"/>
        <c:spPr>
          <a:solidFill>
            <a:schemeClr val="accent1"/>
          </a:solidFill>
          <a:ln>
            <a:noFill/>
          </a:ln>
          <a:effectLst/>
        </c:spPr>
        <c:marker>
          <c:symbol val="none"/>
        </c:marker>
      </c:pivotFmt>
      <c:pivotFmt>
        <c:idx val="143"/>
        <c:spPr>
          <a:solidFill>
            <a:schemeClr val="accent1"/>
          </a:solidFill>
          <a:ln>
            <a:noFill/>
          </a:ln>
          <a:effectLst/>
        </c:spPr>
        <c:marker>
          <c:symbol val="none"/>
        </c:marker>
      </c:pivotFmt>
      <c:pivotFmt>
        <c:idx val="144"/>
        <c:spPr>
          <a:solidFill>
            <a:schemeClr val="accent1"/>
          </a:solidFill>
          <a:ln>
            <a:noFill/>
          </a:ln>
          <a:effectLst/>
        </c:spPr>
        <c:marker>
          <c:symbol val="none"/>
        </c:marker>
      </c:pivotFmt>
      <c:pivotFmt>
        <c:idx val="145"/>
        <c:spPr>
          <a:solidFill>
            <a:schemeClr val="accent1"/>
          </a:solidFill>
          <a:ln>
            <a:noFill/>
          </a:ln>
          <a:effectLst/>
        </c:spPr>
        <c:marker>
          <c:symbol val="none"/>
        </c:marker>
      </c:pivotFmt>
      <c:pivotFmt>
        <c:idx val="146"/>
        <c:spPr>
          <a:solidFill>
            <a:schemeClr val="accent1"/>
          </a:solidFill>
          <a:ln>
            <a:noFill/>
          </a:ln>
          <a:effectLst/>
        </c:spPr>
        <c:marker>
          <c:symbol val="none"/>
        </c:marker>
      </c:pivotFmt>
      <c:pivotFmt>
        <c:idx val="147"/>
        <c:spPr>
          <a:solidFill>
            <a:schemeClr val="accent1"/>
          </a:solidFill>
          <a:ln>
            <a:noFill/>
          </a:ln>
          <a:effectLst/>
        </c:spPr>
        <c:marker>
          <c:symbol val="none"/>
        </c:marker>
      </c:pivotFmt>
      <c:pivotFmt>
        <c:idx val="148"/>
        <c:spPr>
          <a:solidFill>
            <a:schemeClr val="accent1"/>
          </a:solidFill>
          <a:ln>
            <a:noFill/>
          </a:ln>
          <a:effectLst/>
        </c:spPr>
        <c:marker>
          <c:symbol val="none"/>
        </c:marker>
      </c:pivotFmt>
      <c:pivotFmt>
        <c:idx val="149"/>
        <c:spPr>
          <a:solidFill>
            <a:schemeClr val="accent1"/>
          </a:solidFill>
          <a:ln>
            <a:noFill/>
          </a:ln>
          <a:effectLst/>
        </c:spPr>
        <c:marker>
          <c:symbol val="none"/>
        </c:marker>
      </c:pivotFmt>
      <c:pivotFmt>
        <c:idx val="150"/>
        <c:spPr>
          <a:solidFill>
            <a:schemeClr val="accent1"/>
          </a:solidFill>
          <a:ln>
            <a:noFill/>
          </a:ln>
          <a:effectLst/>
        </c:spPr>
        <c:marker>
          <c:symbol val="none"/>
        </c:marker>
      </c:pivotFmt>
      <c:pivotFmt>
        <c:idx val="151"/>
        <c:spPr>
          <a:solidFill>
            <a:schemeClr val="accent1"/>
          </a:solidFill>
          <a:ln>
            <a:noFill/>
          </a:ln>
          <a:effectLst/>
        </c:spPr>
        <c:marker>
          <c:symbol val="none"/>
        </c:marker>
      </c:pivotFmt>
      <c:pivotFmt>
        <c:idx val="152"/>
        <c:spPr>
          <a:solidFill>
            <a:schemeClr val="accent1"/>
          </a:solidFill>
          <a:ln>
            <a:noFill/>
          </a:ln>
          <a:effectLst/>
        </c:spPr>
        <c:marker>
          <c:symbol val="none"/>
        </c:marker>
      </c:pivotFmt>
      <c:pivotFmt>
        <c:idx val="153"/>
        <c:spPr>
          <a:solidFill>
            <a:schemeClr val="accent1"/>
          </a:solidFill>
          <a:ln>
            <a:noFill/>
          </a:ln>
          <a:effectLst/>
        </c:spPr>
        <c:marker>
          <c:symbol val="none"/>
        </c:marker>
      </c:pivotFmt>
      <c:pivotFmt>
        <c:idx val="154"/>
        <c:spPr>
          <a:solidFill>
            <a:schemeClr val="accent1"/>
          </a:solidFill>
          <a:ln>
            <a:noFill/>
          </a:ln>
          <a:effectLst/>
        </c:spPr>
        <c:marker>
          <c:symbol val="none"/>
        </c:marker>
      </c:pivotFmt>
      <c:pivotFmt>
        <c:idx val="155"/>
        <c:spPr>
          <a:solidFill>
            <a:schemeClr val="accent1"/>
          </a:solidFill>
          <a:ln>
            <a:noFill/>
          </a:ln>
          <a:effectLst/>
        </c:spPr>
        <c:marker>
          <c:symbol val="none"/>
        </c:marker>
      </c:pivotFmt>
      <c:pivotFmt>
        <c:idx val="156"/>
        <c:spPr>
          <a:solidFill>
            <a:schemeClr val="accent1"/>
          </a:solidFill>
          <a:ln>
            <a:noFill/>
          </a:ln>
          <a:effectLst/>
        </c:spPr>
        <c:marker>
          <c:symbol val="none"/>
        </c:marker>
      </c:pivotFmt>
      <c:pivotFmt>
        <c:idx val="157"/>
        <c:spPr>
          <a:solidFill>
            <a:schemeClr val="accent1"/>
          </a:solidFill>
          <a:ln>
            <a:noFill/>
          </a:ln>
          <a:effectLst/>
        </c:spPr>
        <c:marker>
          <c:symbol val="none"/>
        </c:marker>
      </c:pivotFmt>
      <c:pivotFmt>
        <c:idx val="158"/>
        <c:spPr>
          <a:solidFill>
            <a:schemeClr val="accent1"/>
          </a:solidFill>
          <a:ln>
            <a:noFill/>
          </a:ln>
          <a:effectLst/>
        </c:spPr>
        <c:marker>
          <c:symbol val="none"/>
        </c:marker>
      </c:pivotFmt>
      <c:pivotFmt>
        <c:idx val="159"/>
        <c:spPr>
          <a:solidFill>
            <a:schemeClr val="accent1"/>
          </a:solidFill>
          <a:ln>
            <a:noFill/>
          </a:ln>
          <a:effectLst/>
        </c:spPr>
        <c:marker>
          <c:symbol val="none"/>
        </c:marker>
      </c:pivotFmt>
      <c:pivotFmt>
        <c:idx val="160"/>
        <c:spPr>
          <a:solidFill>
            <a:schemeClr val="accent1"/>
          </a:solidFill>
          <a:ln>
            <a:noFill/>
          </a:ln>
          <a:effectLst/>
        </c:spPr>
        <c:marker>
          <c:symbol val="none"/>
        </c:marker>
      </c:pivotFmt>
      <c:pivotFmt>
        <c:idx val="161"/>
        <c:spPr>
          <a:solidFill>
            <a:schemeClr val="accent1"/>
          </a:solidFill>
          <a:ln>
            <a:noFill/>
          </a:ln>
          <a:effectLst/>
        </c:spPr>
        <c:marker>
          <c:symbol val="none"/>
        </c:marker>
      </c:pivotFmt>
      <c:pivotFmt>
        <c:idx val="162"/>
        <c:spPr>
          <a:solidFill>
            <a:schemeClr val="accent1"/>
          </a:solidFill>
          <a:ln>
            <a:noFill/>
          </a:ln>
          <a:effectLst/>
        </c:spPr>
        <c:marker>
          <c:symbol val="none"/>
        </c:marker>
      </c:pivotFmt>
      <c:pivotFmt>
        <c:idx val="163"/>
        <c:spPr>
          <a:solidFill>
            <a:schemeClr val="accent1"/>
          </a:solidFill>
          <a:ln>
            <a:noFill/>
          </a:ln>
          <a:effectLst/>
        </c:spPr>
        <c:marker>
          <c:symbol val="none"/>
        </c:marker>
      </c:pivotFmt>
      <c:pivotFmt>
        <c:idx val="164"/>
        <c:spPr>
          <a:solidFill>
            <a:schemeClr val="accent1"/>
          </a:solidFill>
          <a:ln>
            <a:noFill/>
          </a:ln>
          <a:effectLst/>
        </c:spPr>
        <c:marker>
          <c:symbol val="none"/>
        </c:marker>
      </c:pivotFmt>
      <c:pivotFmt>
        <c:idx val="165"/>
        <c:spPr>
          <a:solidFill>
            <a:schemeClr val="accent1"/>
          </a:solidFill>
          <a:ln>
            <a:noFill/>
          </a:ln>
          <a:effectLst/>
        </c:spPr>
        <c:marker>
          <c:symbol val="none"/>
        </c:marker>
      </c:pivotFmt>
      <c:pivotFmt>
        <c:idx val="166"/>
        <c:spPr>
          <a:solidFill>
            <a:schemeClr val="accent1"/>
          </a:solidFill>
          <a:ln>
            <a:noFill/>
          </a:ln>
          <a:effectLst/>
        </c:spPr>
        <c:marker>
          <c:symbol val="none"/>
        </c:marker>
      </c:pivotFmt>
      <c:pivotFmt>
        <c:idx val="167"/>
        <c:spPr>
          <a:solidFill>
            <a:schemeClr val="accent1"/>
          </a:solidFill>
          <a:ln>
            <a:noFill/>
          </a:ln>
          <a:effectLst/>
        </c:spPr>
        <c:marker>
          <c:symbol val="none"/>
        </c:marker>
      </c:pivotFmt>
      <c:pivotFmt>
        <c:idx val="168"/>
        <c:spPr>
          <a:solidFill>
            <a:schemeClr val="accent1"/>
          </a:solidFill>
          <a:ln w="25400">
            <a:noFill/>
          </a:ln>
          <a:effectLst/>
        </c:spPr>
        <c:marker>
          <c:symbol val="none"/>
        </c:marker>
      </c:pivotFmt>
      <c:pivotFmt>
        <c:idx val="169"/>
        <c:spPr>
          <a:solidFill>
            <a:schemeClr val="accent1"/>
          </a:solidFill>
          <a:ln>
            <a:noFill/>
          </a:ln>
          <a:effectLst/>
        </c:spPr>
        <c:marker>
          <c:symbol val="none"/>
        </c:marker>
      </c:pivotFmt>
      <c:pivotFmt>
        <c:idx val="170"/>
        <c:spPr>
          <a:solidFill>
            <a:schemeClr val="accent1"/>
          </a:solidFill>
          <a:ln>
            <a:noFill/>
          </a:ln>
          <a:effectLst/>
        </c:spPr>
        <c:marker>
          <c:symbol val="none"/>
        </c:marker>
      </c:pivotFmt>
      <c:pivotFmt>
        <c:idx val="171"/>
        <c:spPr>
          <a:solidFill>
            <a:schemeClr val="accent1"/>
          </a:solidFill>
          <a:ln>
            <a:noFill/>
          </a:ln>
          <a:effectLst/>
        </c:spPr>
        <c:marker>
          <c:symbol val="none"/>
        </c:marker>
      </c:pivotFmt>
      <c:pivotFmt>
        <c:idx val="172"/>
        <c:spPr>
          <a:solidFill>
            <a:schemeClr val="accent1"/>
          </a:solidFill>
          <a:ln>
            <a:noFill/>
          </a:ln>
          <a:effectLst/>
        </c:spPr>
        <c:marker>
          <c:symbol val="none"/>
        </c:marker>
      </c:pivotFmt>
      <c:pivotFmt>
        <c:idx val="173"/>
        <c:spPr>
          <a:solidFill>
            <a:schemeClr val="accent1"/>
          </a:solidFill>
          <a:ln>
            <a:noFill/>
          </a:ln>
          <a:effectLst/>
        </c:spPr>
        <c:marker>
          <c:symbol val="none"/>
        </c:marker>
      </c:pivotFmt>
      <c:pivotFmt>
        <c:idx val="174"/>
        <c:spPr>
          <a:solidFill>
            <a:schemeClr val="accent1"/>
          </a:solidFill>
          <a:ln>
            <a:noFill/>
          </a:ln>
          <a:effectLst/>
        </c:spPr>
        <c:marker>
          <c:symbol val="none"/>
        </c:marker>
      </c:pivotFmt>
      <c:pivotFmt>
        <c:idx val="175"/>
        <c:spPr>
          <a:solidFill>
            <a:schemeClr val="accent1"/>
          </a:solidFill>
          <a:ln>
            <a:noFill/>
          </a:ln>
          <a:effectLst/>
        </c:spPr>
        <c:marker>
          <c:symbol val="none"/>
        </c:marker>
      </c:pivotFmt>
      <c:pivotFmt>
        <c:idx val="176"/>
        <c:spPr>
          <a:solidFill>
            <a:schemeClr val="accent1"/>
          </a:solidFill>
          <a:ln>
            <a:noFill/>
          </a:ln>
          <a:effectLst/>
        </c:spPr>
        <c:marker>
          <c:symbol val="none"/>
        </c:marker>
      </c:pivotFmt>
      <c:pivotFmt>
        <c:idx val="177"/>
        <c:spPr>
          <a:solidFill>
            <a:schemeClr val="accent1"/>
          </a:solidFill>
          <a:ln>
            <a:noFill/>
          </a:ln>
          <a:effectLst/>
        </c:spPr>
        <c:marker>
          <c:symbol val="none"/>
        </c:marker>
      </c:pivotFmt>
      <c:pivotFmt>
        <c:idx val="178"/>
        <c:spPr>
          <a:solidFill>
            <a:schemeClr val="accent1"/>
          </a:solidFill>
          <a:ln>
            <a:noFill/>
          </a:ln>
          <a:effectLst/>
        </c:spPr>
        <c:marker>
          <c:symbol val="none"/>
        </c:marker>
      </c:pivotFmt>
      <c:pivotFmt>
        <c:idx val="179"/>
        <c:spPr>
          <a:solidFill>
            <a:schemeClr val="accent1"/>
          </a:solidFill>
          <a:ln>
            <a:noFill/>
          </a:ln>
          <a:effectLst/>
        </c:spPr>
        <c:marker>
          <c:symbol val="none"/>
        </c:marker>
      </c:pivotFmt>
      <c:pivotFmt>
        <c:idx val="180"/>
        <c:spPr>
          <a:solidFill>
            <a:schemeClr val="accent1"/>
          </a:solidFill>
          <a:ln>
            <a:noFill/>
          </a:ln>
          <a:effectLst/>
        </c:spPr>
        <c:marker>
          <c:symbol val="none"/>
        </c:marker>
      </c:pivotFmt>
      <c:pivotFmt>
        <c:idx val="181"/>
        <c:spPr>
          <a:solidFill>
            <a:schemeClr val="accent1"/>
          </a:solidFill>
          <a:ln>
            <a:noFill/>
          </a:ln>
          <a:effectLst/>
        </c:spPr>
        <c:marker>
          <c:symbol val="none"/>
        </c:marker>
      </c:pivotFmt>
      <c:pivotFmt>
        <c:idx val="182"/>
        <c:spPr>
          <a:solidFill>
            <a:schemeClr val="accent1"/>
          </a:solidFill>
          <a:ln>
            <a:noFill/>
          </a:ln>
          <a:effectLst/>
        </c:spPr>
        <c:marker>
          <c:symbol val="none"/>
        </c:marker>
      </c:pivotFmt>
      <c:pivotFmt>
        <c:idx val="183"/>
        <c:spPr>
          <a:solidFill>
            <a:schemeClr val="accent1"/>
          </a:solidFill>
          <a:ln>
            <a:noFill/>
          </a:ln>
          <a:effectLst/>
        </c:spPr>
        <c:marker>
          <c:symbol val="none"/>
        </c:marker>
      </c:pivotFmt>
      <c:pivotFmt>
        <c:idx val="184"/>
        <c:spPr>
          <a:solidFill>
            <a:schemeClr val="accent1"/>
          </a:solidFill>
          <a:ln w="25400">
            <a:noFill/>
          </a:ln>
          <a:effectLst/>
        </c:spPr>
        <c:marker>
          <c:symbol val="none"/>
        </c:marker>
      </c:pivotFmt>
    </c:pivotFmts>
    <c:plotArea>
      <c:layout>
        <c:manualLayout>
          <c:layoutTarget val="inner"/>
          <c:xMode val="edge"/>
          <c:yMode val="edge"/>
          <c:x val="0.13022545561736071"/>
          <c:y val="8.1493866591058811E-2"/>
          <c:w val="0.7866295649188858"/>
          <c:h val="0.49806733970650202"/>
        </c:manualLayout>
      </c:layout>
      <c:areaChart>
        <c:grouping val="stacked"/>
        <c:varyColors val="0"/>
        <c:ser>
          <c:idx val="0"/>
          <c:order val="0"/>
          <c:tx>
            <c:strRef>
              <c:f>'restr new qtr'!$AA$1:$AA$2</c:f>
              <c:strCache>
                <c:ptCount val="1"/>
                <c:pt idx="0">
                  <c:v>Accelerated - DASATINIB</c:v>
                </c:pt>
              </c:strCache>
            </c:strRef>
          </c:tx>
          <c:spPr>
            <a:solidFill>
              <a:schemeClr val="accent1"/>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qtr'!$AA$3:$AA$65</c:f>
              <c:numCache>
                <c:formatCode>General</c:formatCode>
                <c:ptCount val="62"/>
                <c:pt idx="54">
                  <c:v>12</c:v>
                </c:pt>
                <c:pt idx="55">
                  <c:v>29</c:v>
                </c:pt>
                <c:pt idx="56">
                  <c:v>31</c:v>
                </c:pt>
                <c:pt idx="57">
                  <c:v>17</c:v>
                </c:pt>
                <c:pt idx="58">
                  <c:v>9</c:v>
                </c:pt>
                <c:pt idx="59">
                  <c:v>27</c:v>
                </c:pt>
                <c:pt idx="60">
                  <c:v>43</c:v>
                </c:pt>
                <c:pt idx="61">
                  <c:v>29</c:v>
                </c:pt>
              </c:numCache>
            </c:numRef>
          </c:val>
          <c:extLst>
            <c:ext xmlns:c16="http://schemas.microsoft.com/office/drawing/2014/chart" uri="{C3380CC4-5D6E-409C-BE32-E72D297353CC}">
              <c16:uniqueId val="{00000000-0282-4B8C-9A45-E230278EEA7A}"/>
            </c:ext>
          </c:extLst>
        </c:ser>
        <c:ser>
          <c:idx val="1"/>
          <c:order val="1"/>
          <c:tx>
            <c:strRef>
              <c:f>'restr new qtr'!$AB$1:$AB$2</c:f>
              <c:strCache>
                <c:ptCount val="1"/>
                <c:pt idx="0">
                  <c:v>Accelerated - NILOTINIB</c:v>
                </c:pt>
              </c:strCache>
            </c:strRef>
          </c:tx>
          <c:spPr>
            <a:solidFill>
              <a:schemeClr val="accent2"/>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qtr'!$AB$3:$AB$65</c:f>
              <c:numCache>
                <c:formatCode>General</c:formatCode>
                <c:ptCount val="62"/>
                <c:pt idx="53">
                  <c:v>5</c:v>
                </c:pt>
                <c:pt idx="54">
                  <c:v>15</c:v>
                </c:pt>
                <c:pt idx="55">
                  <c:v>24</c:v>
                </c:pt>
                <c:pt idx="56">
                  <c:v>21</c:v>
                </c:pt>
                <c:pt idx="57">
                  <c:v>27</c:v>
                </c:pt>
                <c:pt idx="58">
                  <c:v>34</c:v>
                </c:pt>
                <c:pt idx="59">
                  <c:v>38</c:v>
                </c:pt>
                <c:pt idx="60">
                  <c:v>34</c:v>
                </c:pt>
                <c:pt idx="61">
                  <c:v>30</c:v>
                </c:pt>
              </c:numCache>
            </c:numRef>
          </c:val>
          <c:extLst>
            <c:ext xmlns:c16="http://schemas.microsoft.com/office/drawing/2014/chart" uri="{C3380CC4-5D6E-409C-BE32-E72D297353CC}">
              <c16:uniqueId val="{00000001-0282-4B8C-9A45-E230278EEA7A}"/>
            </c:ext>
          </c:extLst>
        </c:ser>
        <c:ser>
          <c:idx val="2"/>
          <c:order val="2"/>
          <c:tx>
            <c:strRef>
              <c:f>'restr new qtr'!$AC$1:$AC$2</c:f>
              <c:strCache>
                <c:ptCount val="1"/>
                <c:pt idx="0">
                  <c:v>Accelerated - PONATINIB</c:v>
                </c:pt>
              </c:strCache>
            </c:strRef>
          </c:tx>
          <c:spPr>
            <a:solidFill>
              <a:schemeClr val="accent3"/>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qtr'!$AC$3:$AC$65</c:f>
              <c:numCache>
                <c:formatCode>General</c:formatCode>
                <c:ptCount val="62"/>
                <c:pt idx="48">
                  <c:v>24</c:v>
                </c:pt>
                <c:pt idx="49">
                  <c:v>52</c:v>
                </c:pt>
                <c:pt idx="50">
                  <c:v>41</c:v>
                </c:pt>
                <c:pt idx="51">
                  <c:v>17</c:v>
                </c:pt>
                <c:pt idx="52">
                  <c:v>25</c:v>
                </c:pt>
                <c:pt idx="53">
                  <c:v>33</c:v>
                </c:pt>
                <c:pt idx="54">
                  <c:v>26</c:v>
                </c:pt>
                <c:pt idx="55">
                  <c:v>26</c:v>
                </c:pt>
                <c:pt idx="56">
                  <c:v>14</c:v>
                </c:pt>
                <c:pt idx="57">
                  <c:v>18</c:v>
                </c:pt>
                <c:pt idx="58">
                  <c:v>14</c:v>
                </c:pt>
                <c:pt idx="59">
                  <c:v>13</c:v>
                </c:pt>
                <c:pt idx="60">
                  <c:v>25</c:v>
                </c:pt>
                <c:pt idx="61">
                  <c:v>18</c:v>
                </c:pt>
              </c:numCache>
            </c:numRef>
          </c:val>
          <c:extLst>
            <c:ext xmlns:c16="http://schemas.microsoft.com/office/drawing/2014/chart" uri="{C3380CC4-5D6E-409C-BE32-E72D297353CC}">
              <c16:uniqueId val="{00000002-0282-4B8C-9A45-E230278EEA7A}"/>
            </c:ext>
          </c:extLst>
        </c:ser>
        <c:ser>
          <c:idx val="3"/>
          <c:order val="3"/>
          <c:tx>
            <c:strRef>
              <c:f>'restr new qtr'!$AD$1:$AD$2</c:f>
              <c:strCache>
                <c:ptCount val="1"/>
                <c:pt idx="0">
                  <c:v>Not specified - PONATINIB</c:v>
                </c:pt>
              </c:strCache>
            </c:strRef>
          </c:tx>
          <c:spPr>
            <a:solidFill>
              <a:schemeClr val="accent4"/>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qtr'!$AD$3:$AD$65</c:f>
              <c:numCache>
                <c:formatCode>General</c:formatCode>
                <c:ptCount val="62"/>
                <c:pt idx="49">
                  <c:v>2</c:v>
                </c:pt>
                <c:pt idx="50">
                  <c:v>21</c:v>
                </c:pt>
                <c:pt idx="51">
                  <c:v>43</c:v>
                </c:pt>
                <c:pt idx="52">
                  <c:v>49</c:v>
                </c:pt>
                <c:pt idx="53">
                  <c:v>38</c:v>
                </c:pt>
                <c:pt idx="54">
                  <c:v>44</c:v>
                </c:pt>
                <c:pt idx="55">
                  <c:v>55</c:v>
                </c:pt>
                <c:pt idx="56">
                  <c:v>69</c:v>
                </c:pt>
                <c:pt idx="57">
                  <c:v>52</c:v>
                </c:pt>
                <c:pt idx="58">
                  <c:v>48</c:v>
                </c:pt>
                <c:pt idx="59">
                  <c:v>53</c:v>
                </c:pt>
                <c:pt idx="60">
                  <c:v>71</c:v>
                </c:pt>
                <c:pt idx="61">
                  <c:v>70</c:v>
                </c:pt>
              </c:numCache>
            </c:numRef>
          </c:val>
          <c:extLst>
            <c:ext xmlns:c16="http://schemas.microsoft.com/office/drawing/2014/chart" uri="{C3380CC4-5D6E-409C-BE32-E72D297353CC}">
              <c16:uniqueId val="{00000003-0282-4B8C-9A45-E230278EEA7A}"/>
            </c:ext>
          </c:extLst>
        </c:ser>
        <c:ser>
          <c:idx val="4"/>
          <c:order val="4"/>
          <c:tx>
            <c:strRef>
              <c:f>'restr new qtr'!$AE$1:$AE$2</c:f>
              <c:strCache>
                <c:ptCount val="1"/>
                <c:pt idx="0">
                  <c:v>Chronic or Accelerated - NILOTINIB</c:v>
                </c:pt>
              </c:strCache>
            </c:strRef>
          </c:tx>
          <c:spPr>
            <a:solidFill>
              <a:schemeClr val="accent5"/>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qtr'!$AE$3:$AE$65</c:f>
              <c:numCache>
                <c:formatCode>General</c:formatCode>
                <c:ptCount val="62"/>
                <c:pt idx="19">
                  <c:v>15</c:v>
                </c:pt>
                <c:pt idx="20">
                  <c:v>64</c:v>
                </c:pt>
                <c:pt idx="21">
                  <c:v>72</c:v>
                </c:pt>
                <c:pt idx="22">
                  <c:v>72</c:v>
                </c:pt>
                <c:pt idx="23">
                  <c:v>90</c:v>
                </c:pt>
                <c:pt idx="24">
                  <c:v>90</c:v>
                </c:pt>
                <c:pt idx="25">
                  <c:v>75</c:v>
                </c:pt>
                <c:pt idx="26">
                  <c:v>83</c:v>
                </c:pt>
                <c:pt idx="27">
                  <c:v>94</c:v>
                </c:pt>
                <c:pt idx="28">
                  <c:v>120</c:v>
                </c:pt>
                <c:pt idx="29">
                  <c:v>129</c:v>
                </c:pt>
                <c:pt idx="30">
                  <c:v>155</c:v>
                </c:pt>
                <c:pt idx="31">
                  <c:v>156</c:v>
                </c:pt>
                <c:pt idx="32">
                  <c:v>161</c:v>
                </c:pt>
                <c:pt idx="33">
                  <c:v>135</c:v>
                </c:pt>
                <c:pt idx="34">
                  <c:v>34</c:v>
                </c:pt>
                <c:pt idx="35">
                  <c:v>80</c:v>
                </c:pt>
                <c:pt idx="36">
                  <c:v>88</c:v>
                </c:pt>
                <c:pt idx="37">
                  <c:v>66</c:v>
                </c:pt>
                <c:pt idx="38">
                  <c:v>48</c:v>
                </c:pt>
                <c:pt idx="39">
                  <c:v>40</c:v>
                </c:pt>
                <c:pt idx="40">
                  <c:v>26</c:v>
                </c:pt>
                <c:pt idx="41">
                  <c:v>13</c:v>
                </c:pt>
                <c:pt idx="42">
                  <c:v>25</c:v>
                </c:pt>
                <c:pt idx="43">
                  <c:v>29</c:v>
                </c:pt>
                <c:pt idx="44">
                  <c:v>38</c:v>
                </c:pt>
                <c:pt idx="45">
                  <c:v>31</c:v>
                </c:pt>
                <c:pt idx="46">
                  <c:v>30</c:v>
                </c:pt>
                <c:pt idx="47">
                  <c:v>37</c:v>
                </c:pt>
                <c:pt idx="48">
                  <c:v>26</c:v>
                </c:pt>
                <c:pt idx="49">
                  <c:v>27</c:v>
                </c:pt>
                <c:pt idx="50">
                  <c:v>29</c:v>
                </c:pt>
                <c:pt idx="51">
                  <c:v>16</c:v>
                </c:pt>
                <c:pt idx="52">
                  <c:v>19</c:v>
                </c:pt>
                <c:pt idx="53">
                  <c:v>14</c:v>
                </c:pt>
                <c:pt idx="54">
                  <c:v>16</c:v>
                </c:pt>
                <c:pt idx="55">
                  <c:v>5</c:v>
                </c:pt>
              </c:numCache>
            </c:numRef>
          </c:val>
          <c:extLst>
            <c:ext xmlns:c16="http://schemas.microsoft.com/office/drawing/2014/chart" uri="{C3380CC4-5D6E-409C-BE32-E72D297353CC}">
              <c16:uniqueId val="{00000004-0282-4B8C-9A45-E230278EEA7A}"/>
            </c:ext>
          </c:extLst>
        </c:ser>
        <c:ser>
          <c:idx val="5"/>
          <c:order val="5"/>
          <c:tx>
            <c:strRef>
              <c:f>'restr new qtr'!$AF$1:$AF$2</c:f>
              <c:strCache>
                <c:ptCount val="1"/>
                <c:pt idx="0">
                  <c:v>Blast - IMATINIB</c:v>
                </c:pt>
              </c:strCache>
            </c:strRef>
          </c:tx>
          <c:spPr>
            <a:solidFill>
              <a:schemeClr val="accent6"/>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qtr'!$AF$3:$AF$65</c:f>
              <c:numCache>
                <c:formatCode>General</c:formatCode>
                <c:ptCount val="62"/>
                <c:pt idx="0">
                  <c:v>10</c:v>
                </c:pt>
                <c:pt idx="1">
                  <c:v>28</c:v>
                </c:pt>
                <c:pt idx="2">
                  <c:v>26</c:v>
                </c:pt>
                <c:pt idx="3">
                  <c:v>29</c:v>
                </c:pt>
                <c:pt idx="4">
                  <c:v>39</c:v>
                </c:pt>
                <c:pt idx="5">
                  <c:v>50</c:v>
                </c:pt>
                <c:pt idx="6">
                  <c:v>52</c:v>
                </c:pt>
                <c:pt idx="7">
                  <c:v>48</c:v>
                </c:pt>
                <c:pt idx="8">
                  <c:v>60</c:v>
                </c:pt>
                <c:pt idx="9">
                  <c:v>56</c:v>
                </c:pt>
                <c:pt idx="10">
                  <c:v>54</c:v>
                </c:pt>
                <c:pt idx="11">
                  <c:v>54</c:v>
                </c:pt>
                <c:pt idx="12">
                  <c:v>46</c:v>
                </c:pt>
                <c:pt idx="13">
                  <c:v>41</c:v>
                </c:pt>
                <c:pt idx="14">
                  <c:v>57</c:v>
                </c:pt>
                <c:pt idx="15">
                  <c:v>52</c:v>
                </c:pt>
                <c:pt idx="16">
                  <c:v>39</c:v>
                </c:pt>
                <c:pt idx="17">
                  <c:v>47</c:v>
                </c:pt>
                <c:pt idx="18">
                  <c:v>53</c:v>
                </c:pt>
                <c:pt idx="19">
                  <c:v>53</c:v>
                </c:pt>
                <c:pt idx="20">
                  <c:v>64</c:v>
                </c:pt>
                <c:pt idx="21">
                  <c:v>47</c:v>
                </c:pt>
                <c:pt idx="22">
                  <c:v>46</c:v>
                </c:pt>
                <c:pt idx="23">
                  <c:v>37</c:v>
                </c:pt>
                <c:pt idx="24">
                  <c:v>40</c:v>
                </c:pt>
                <c:pt idx="25">
                  <c:v>56</c:v>
                </c:pt>
                <c:pt idx="26">
                  <c:v>31</c:v>
                </c:pt>
                <c:pt idx="27">
                  <c:v>39</c:v>
                </c:pt>
                <c:pt idx="28">
                  <c:v>26</c:v>
                </c:pt>
                <c:pt idx="29">
                  <c:v>36</c:v>
                </c:pt>
                <c:pt idx="30">
                  <c:v>43</c:v>
                </c:pt>
                <c:pt idx="31">
                  <c:v>37</c:v>
                </c:pt>
                <c:pt idx="32">
                  <c:v>44</c:v>
                </c:pt>
                <c:pt idx="33">
                  <c:v>55</c:v>
                </c:pt>
                <c:pt idx="34">
                  <c:v>29</c:v>
                </c:pt>
                <c:pt idx="35">
                  <c:v>45</c:v>
                </c:pt>
                <c:pt idx="36">
                  <c:v>30</c:v>
                </c:pt>
                <c:pt idx="37">
                  <c:v>32</c:v>
                </c:pt>
                <c:pt idx="38">
                  <c:v>37</c:v>
                </c:pt>
                <c:pt idx="39">
                  <c:v>33</c:v>
                </c:pt>
                <c:pt idx="40">
                  <c:v>56</c:v>
                </c:pt>
                <c:pt idx="41">
                  <c:v>34</c:v>
                </c:pt>
                <c:pt idx="42">
                  <c:v>54</c:v>
                </c:pt>
                <c:pt idx="43">
                  <c:v>45</c:v>
                </c:pt>
                <c:pt idx="44">
                  <c:v>50</c:v>
                </c:pt>
                <c:pt idx="45">
                  <c:v>32</c:v>
                </c:pt>
                <c:pt idx="46">
                  <c:v>41</c:v>
                </c:pt>
                <c:pt idx="47">
                  <c:v>46</c:v>
                </c:pt>
                <c:pt idx="48">
                  <c:v>47</c:v>
                </c:pt>
                <c:pt idx="49">
                  <c:v>50</c:v>
                </c:pt>
                <c:pt idx="50">
                  <c:v>50</c:v>
                </c:pt>
                <c:pt idx="51">
                  <c:v>43</c:v>
                </c:pt>
                <c:pt idx="52">
                  <c:v>35</c:v>
                </c:pt>
                <c:pt idx="53">
                  <c:v>35</c:v>
                </c:pt>
                <c:pt idx="54">
                  <c:v>18</c:v>
                </c:pt>
                <c:pt idx="55">
                  <c:v>17</c:v>
                </c:pt>
                <c:pt idx="56">
                  <c:v>35</c:v>
                </c:pt>
                <c:pt idx="57">
                  <c:v>31</c:v>
                </c:pt>
                <c:pt idx="58">
                  <c:v>28</c:v>
                </c:pt>
                <c:pt idx="59">
                  <c:v>27</c:v>
                </c:pt>
                <c:pt idx="60">
                  <c:v>18</c:v>
                </c:pt>
                <c:pt idx="61">
                  <c:v>26</c:v>
                </c:pt>
              </c:numCache>
            </c:numRef>
          </c:val>
          <c:extLst>
            <c:ext xmlns:c16="http://schemas.microsoft.com/office/drawing/2014/chart" uri="{C3380CC4-5D6E-409C-BE32-E72D297353CC}">
              <c16:uniqueId val="{00000005-0282-4B8C-9A45-E230278EEA7A}"/>
            </c:ext>
          </c:extLst>
        </c:ser>
        <c:ser>
          <c:idx val="6"/>
          <c:order val="6"/>
          <c:tx>
            <c:strRef>
              <c:f>'restr new qtr'!$AG$1:$AG$2</c:f>
              <c:strCache>
                <c:ptCount val="1"/>
                <c:pt idx="0">
                  <c:v>Any disease phase - DASATINIB</c:v>
                </c:pt>
              </c:strCache>
            </c:strRef>
          </c:tx>
          <c:spPr>
            <a:solidFill>
              <a:schemeClr val="accent1">
                <a:lumMod val="60000"/>
              </a:schemeClr>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qtr'!$AG$3:$AG$65</c:f>
              <c:numCache>
                <c:formatCode>General</c:formatCode>
                <c:ptCount val="62"/>
                <c:pt idx="15">
                  <c:v>139</c:v>
                </c:pt>
                <c:pt idx="16">
                  <c:v>292</c:v>
                </c:pt>
                <c:pt idx="17">
                  <c:v>240</c:v>
                </c:pt>
                <c:pt idx="18">
                  <c:v>206</c:v>
                </c:pt>
                <c:pt idx="19">
                  <c:v>176</c:v>
                </c:pt>
                <c:pt idx="20">
                  <c:v>174</c:v>
                </c:pt>
                <c:pt idx="21">
                  <c:v>145</c:v>
                </c:pt>
                <c:pt idx="22">
                  <c:v>145</c:v>
                </c:pt>
                <c:pt idx="23">
                  <c:v>149</c:v>
                </c:pt>
                <c:pt idx="24">
                  <c:v>125</c:v>
                </c:pt>
                <c:pt idx="25">
                  <c:v>117</c:v>
                </c:pt>
                <c:pt idx="26">
                  <c:v>105</c:v>
                </c:pt>
                <c:pt idx="27">
                  <c:v>118</c:v>
                </c:pt>
                <c:pt idx="28">
                  <c:v>155</c:v>
                </c:pt>
                <c:pt idx="29">
                  <c:v>145</c:v>
                </c:pt>
                <c:pt idx="30">
                  <c:v>157</c:v>
                </c:pt>
                <c:pt idx="31">
                  <c:v>191</c:v>
                </c:pt>
                <c:pt idx="32">
                  <c:v>226</c:v>
                </c:pt>
                <c:pt idx="33">
                  <c:v>203</c:v>
                </c:pt>
                <c:pt idx="34">
                  <c:v>41</c:v>
                </c:pt>
                <c:pt idx="35">
                  <c:v>69</c:v>
                </c:pt>
                <c:pt idx="36">
                  <c:v>107</c:v>
                </c:pt>
                <c:pt idx="37">
                  <c:v>86</c:v>
                </c:pt>
                <c:pt idx="38">
                  <c:v>72</c:v>
                </c:pt>
                <c:pt idx="39">
                  <c:v>53</c:v>
                </c:pt>
                <c:pt idx="40">
                  <c:v>48</c:v>
                </c:pt>
                <c:pt idx="41">
                  <c:v>53</c:v>
                </c:pt>
                <c:pt idx="42">
                  <c:v>57</c:v>
                </c:pt>
                <c:pt idx="43">
                  <c:v>64</c:v>
                </c:pt>
                <c:pt idx="44">
                  <c:v>63</c:v>
                </c:pt>
                <c:pt idx="45">
                  <c:v>52</c:v>
                </c:pt>
                <c:pt idx="46">
                  <c:v>84</c:v>
                </c:pt>
                <c:pt idx="47">
                  <c:v>52</c:v>
                </c:pt>
                <c:pt idx="48">
                  <c:v>47</c:v>
                </c:pt>
                <c:pt idx="49">
                  <c:v>40</c:v>
                </c:pt>
                <c:pt idx="50">
                  <c:v>37</c:v>
                </c:pt>
                <c:pt idx="51">
                  <c:v>38</c:v>
                </c:pt>
                <c:pt idx="52">
                  <c:v>42</c:v>
                </c:pt>
                <c:pt idx="53">
                  <c:v>40</c:v>
                </c:pt>
                <c:pt idx="54">
                  <c:v>16</c:v>
                </c:pt>
                <c:pt idx="55">
                  <c:v>4</c:v>
                </c:pt>
                <c:pt idx="56">
                  <c:v>1</c:v>
                </c:pt>
              </c:numCache>
            </c:numRef>
          </c:val>
          <c:extLst>
            <c:ext xmlns:c16="http://schemas.microsoft.com/office/drawing/2014/chart" uri="{C3380CC4-5D6E-409C-BE32-E72D297353CC}">
              <c16:uniqueId val="{00000006-0282-4B8C-9A45-E230278EEA7A}"/>
            </c:ext>
          </c:extLst>
        </c:ser>
        <c:ser>
          <c:idx val="7"/>
          <c:order val="7"/>
          <c:tx>
            <c:strRef>
              <c:f>'restr new qtr'!$AH$1:$AH$2</c:f>
              <c:strCache>
                <c:ptCount val="1"/>
                <c:pt idx="0">
                  <c:v>Second or later line - Chronic - IMATINIB</c:v>
                </c:pt>
              </c:strCache>
            </c:strRef>
          </c:tx>
          <c:spPr>
            <a:solidFill>
              <a:schemeClr val="accent2">
                <a:lumMod val="60000"/>
              </a:schemeClr>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qtr'!$AH$3:$AH$65</c:f>
              <c:numCache>
                <c:formatCode>General</c:formatCode>
                <c:ptCount val="62"/>
                <c:pt idx="16">
                  <c:v>3</c:v>
                </c:pt>
                <c:pt idx="17">
                  <c:v>4</c:v>
                </c:pt>
                <c:pt idx="18">
                  <c:v>1</c:v>
                </c:pt>
                <c:pt idx="19">
                  <c:v>4</c:v>
                </c:pt>
                <c:pt idx="20">
                  <c:v>3</c:v>
                </c:pt>
                <c:pt idx="21">
                  <c:v>5</c:v>
                </c:pt>
                <c:pt idx="22">
                  <c:v>3</c:v>
                </c:pt>
                <c:pt idx="23">
                  <c:v>2</c:v>
                </c:pt>
                <c:pt idx="24">
                  <c:v>1</c:v>
                </c:pt>
                <c:pt idx="25">
                  <c:v>3</c:v>
                </c:pt>
                <c:pt idx="26">
                  <c:v>3</c:v>
                </c:pt>
                <c:pt idx="27">
                  <c:v>2</c:v>
                </c:pt>
                <c:pt idx="28">
                  <c:v>8</c:v>
                </c:pt>
                <c:pt idx="29">
                  <c:v>1</c:v>
                </c:pt>
                <c:pt idx="30">
                  <c:v>12</c:v>
                </c:pt>
                <c:pt idx="31">
                  <c:v>5</c:v>
                </c:pt>
                <c:pt idx="32">
                  <c:v>6</c:v>
                </c:pt>
                <c:pt idx="33">
                  <c:v>6</c:v>
                </c:pt>
                <c:pt idx="34">
                  <c:v>12</c:v>
                </c:pt>
                <c:pt idx="35">
                  <c:v>22</c:v>
                </c:pt>
                <c:pt idx="36">
                  <c:v>48</c:v>
                </c:pt>
                <c:pt idx="37">
                  <c:v>59</c:v>
                </c:pt>
                <c:pt idx="38">
                  <c:v>75</c:v>
                </c:pt>
                <c:pt idx="39">
                  <c:v>94</c:v>
                </c:pt>
                <c:pt idx="40">
                  <c:v>114</c:v>
                </c:pt>
                <c:pt idx="41">
                  <c:v>111</c:v>
                </c:pt>
                <c:pt idx="42">
                  <c:v>175</c:v>
                </c:pt>
                <c:pt idx="43">
                  <c:v>177</c:v>
                </c:pt>
                <c:pt idx="44">
                  <c:v>201</c:v>
                </c:pt>
                <c:pt idx="45">
                  <c:v>192</c:v>
                </c:pt>
                <c:pt idx="46">
                  <c:v>206</c:v>
                </c:pt>
                <c:pt idx="47">
                  <c:v>229</c:v>
                </c:pt>
                <c:pt idx="48">
                  <c:v>246</c:v>
                </c:pt>
                <c:pt idx="49">
                  <c:v>270</c:v>
                </c:pt>
                <c:pt idx="50">
                  <c:v>291</c:v>
                </c:pt>
                <c:pt idx="51">
                  <c:v>312</c:v>
                </c:pt>
                <c:pt idx="52">
                  <c:v>312</c:v>
                </c:pt>
                <c:pt idx="53">
                  <c:v>346</c:v>
                </c:pt>
                <c:pt idx="54">
                  <c:v>377</c:v>
                </c:pt>
                <c:pt idx="55">
                  <c:v>379</c:v>
                </c:pt>
                <c:pt idx="56">
                  <c:v>407</c:v>
                </c:pt>
                <c:pt idx="57">
                  <c:v>364</c:v>
                </c:pt>
                <c:pt idx="58">
                  <c:v>411</c:v>
                </c:pt>
                <c:pt idx="59">
                  <c:v>420</c:v>
                </c:pt>
                <c:pt idx="60">
                  <c:v>457</c:v>
                </c:pt>
                <c:pt idx="61">
                  <c:v>451</c:v>
                </c:pt>
              </c:numCache>
            </c:numRef>
          </c:val>
          <c:extLst>
            <c:ext xmlns:c16="http://schemas.microsoft.com/office/drawing/2014/chart" uri="{C3380CC4-5D6E-409C-BE32-E72D297353CC}">
              <c16:uniqueId val="{00000007-0282-4B8C-9A45-E230278EEA7A}"/>
            </c:ext>
          </c:extLst>
        </c:ser>
        <c:ser>
          <c:idx val="8"/>
          <c:order val="8"/>
          <c:tx>
            <c:strRef>
              <c:f>'restr new qtr'!$AI$1:$AI$2</c:f>
              <c:strCache>
                <c:ptCount val="1"/>
                <c:pt idx="0">
                  <c:v>Not specified - NILOTINIB</c:v>
                </c:pt>
              </c:strCache>
            </c:strRef>
          </c:tx>
          <c:spPr>
            <a:solidFill>
              <a:schemeClr val="accent3">
                <a:lumMod val="60000"/>
              </a:schemeClr>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qtr'!$AI$3:$AI$65</c:f>
              <c:numCache>
                <c:formatCode>General</c:formatCode>
                <c:ptCount val="62"/>
                <c:pt idx="19">
                  <c:v>10</c:v>
                </c:pt>
                <c:pt idx="20">
                  <c:v>49</c:v>
                </c:pt>
                <c:pt idx="21">
                  <c:v>60</c:v>
                </c:pt>
                <c:pt idx="22">
                  <c:v>101</c:v>
                </c:pt>
                <c:pt idx="23">
                  <c:v>109</c:v>
                </c:pt>
                <c:pt idx="24">
                  <c:v>133</c:v>
                </c:pt>
                <c:pt idx="25">
                  <c:v>139</c:v>
                </c:pt>
                <c:pt idx="26">
                  <c:v>149</c:v>
                </c:pt>
                <c:pt idx="27">
                  <c:v>180</c:v>
                </c:pt>
                <c:pt idx="28">
                  <c:v>189</c:v>
                </c:pt>
                <c:pt idx="29">
                  <c:v>181</c:v>
                </c:pt>
                <c:pt idx="30">
                  <c:v>206</c:v>
                </c:pt>
                <c:pt idx="31">
                  <c:v>223</c:v>
                </c:pt>
                <c:pt idx="32">
                  <c:v>253</c:v>
                </c:pt>
                <c:pt idx="33">
                  <c:v>288</c:v>
                </c:pt>
                <c:pt idx="34">
                  <c:v>334</c:v>
                </c:pt>
                <c:pt idx="35">
                  <c:v>360</c:v>
                </c:pt>
                <c:pt idx="36">
                  <c:v>378</c:v>
                </c:pt>
                <c:pt idx="37">
                  <c:v>313</c:v>
                </c:pt>
                <c:pt idx="38">
                  <c:v>356</c:v>
                </c:pt>
                <c:pt idx="39">
                  <c:v>361</c:v>
                </c:pt>
                <c:pt idx="40">
                  <c:v>367</c:v>
                </c:pt>
                <c:pt idx="41">
                  <c:v>346</c:v>
                </c:pt>
                <c:pt idx="42">
                  <c:v>360</c:v>
                </c:pt>
                <c:pt idx="43">
                  <c:v>323</c:v>
                </c:pt>
                <c:pt idx="44">
                  <c:v>346</c:v>
                </c:pt>
                <c:pt idx="45">
                  <c:v>301</c:v>
                </c:pt>
                <c:pt idx="46">
                  <c:v>316</c:v>
                </c:pt>
                <c:pt idx="47">
                  <c:v>315</c:v>
                </c:pt>
                <c:pt idx="48">
                  <c:v>352</c:v>
                </c:pt>
                <c:pt idx="49">
                  <c:v>333</c:v>
                </c:pt>
                <c:pt idx="50">
                  <c:v>309</c:v>
                </c:pt>
                <c:pt idx="51">
                  <c:v>316</c:v>
                </c:pt>
                <c:pt idx="52">
                  <c:v>325</c:v>
                </c:pt>
                <c:pt idx="53">
                  <c:v>300</c:v>
                </c:pt>
                <c:pt idx="54">
                  <c:v>282</c:v>
                </c:pt>
                <c:pt idx="55">
                  <c:v>309</c:v>
                </c:pt>
                <c:pt idx="56">
                  <c:v>306</c:v>
                </c:pt>
                <c:pt idx="57">
                  <c:v>274</c:v>
                </c:pt>
                <c:pt idx="58">
                  <c:v>274</c:v>
                </c:pt>
                <c:pt idx="59">
                  <c:v>296</c:v>
                </c:pt>
                <c:pt idx="60">
                  <c:v>306</c:v>
                </c:pt>
                <c:pt idx="61">
                  <c:v>329</c:v>
                </c:pt>
              </c:numCache>
            </c:numRef>
          </c:val>
          <c:extLst>
            <c:ext xmlns:c16="http://schemas.microsoft.com/office/drawing/2014/chart" uri="{C3380CC4-5D6E-409C-BE32-E72D297353CC}">
              <c16:uniqueId val="{00000008-0282-4B8C-9A45-E230278EEA7A}"/>
            </c:ext>
          </c:extLst>
        </c:ser>
        <c:ser>
          <c:idx val="9"/>
          <c:order val="9"/>
          <c:tx>
            <c:strRef>
              <c:f>'restr new qtr'!$AJ$1:$AJ$2</c:f>
              <c:strCache>
                <c:ptCount val="1"/>
                <c:pt idx="0">
                  <c:v>Second or later line - Chronic - NILOTINIB</c:v>
                </c:pt>
              </c:strCache>
            </c:strRef>
          </c:tx>
          <c:spPr>
            <a:solidFill>
              <a:schemeClr val="accent4">
                <a:lumMod val="60000"/>
              </a:schemeClr>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qtr'!$AJ$3:$AJ$65</c:f>
              <c:numCache>
                <c:formatCode>General</c:formatCode>
                <c:ptCount val="62"/>
                <c:pt idx="34">
                  <c:v>44</c:v>
                </c:pt>
                <c:pt idx="35">
                  <c:v>104</c:v>
                </c:pt>
                <c:pt idx="36">
                  <c:v>162</c:v>
                </c:pt>
                <c:pt idx="37">
                  <c:v>187</c:v>
                </c:pt>
                <c:pt idx="38">
                  <c:v>254</c:v>
                </c:pt>
                <c:pt idx="39">
                  <c:v>287</c:v>
                </c:pt>
                <c:pt idx="40">
                  <c:v>333</c:v>
                </c:pt>
                <c:pt idx="41">
                  <c:v>342</c:v>
                </c:pt>
                <c:pt idx="42">
                  <c:v>383</c:v>
                </c:pt>
                <c:pt idx="43">
                  <c:v>398</c:v>
                </c:pt>
                <c:pt idx="44">
                  <c:v>435</c:v>
                </c:pt>
                <c:pt idx="45">
                  <c:v>428</c:v>
                </c:pt>
                <c:pt idx="46">
                  <c:v>499</c:v>
                </c:pt>
                <c:pt idx="47">
                  <c:v>511</c:v>
                </c:pt>
                <c:pt idx="48">
                  <c:v>581</c:v>
                </c:pt>
                <c:pt idx="49">
                  <c:v>558</c:v>
                </c:pt>
                <c:pt idx="50">
                  <c:v>548</c:v>
                </c:pt>
                <c:pt idx="51">
                  <c:v>575</c:v>
                </c:pt>
                <c:pt idx="52">
                  <c:v>622</c:v>
                </c:pt>
                <c:pt idx="53">
                  <c:v>596</c:v>
                </c:pt>
                <c:pt idx="54">
                  <c:v>640</c:v>
                </c:pt>
                <c:pt idx="55">
                  <c:v>652</c:v>
                </c:pt>
                <c:pt idx="56">
                  <c:v>679</c:v>
                </c:pt>
                <c:pt idx="57">
                  <c:v>657</c:v>
                </c:pt>
                <c:pt idx="58">
                  <c:v>673</c:v>
                </c:pt>
                <c:pt idx="59">
                  <c:v>698</c:v>
                </c:pt>
                <c:pt idx="60">
                  <c:v>754</c:v>
                </c:pt>
                <c:pt idx="61">
                  <c:v>683</c:v>
                </c:pt>
              </c:numCache>
            </c:numRef>
          </c:val>
          <c:extLst>
            <c:ext xmlns:c16="http://schemas.microsoft.com/office/drawing/2014/chart" uri="{C3380CC4-5D6E-409C-BE32-E72D297353CC}">
              <c16:uniqueId val="{00000009-0282-4B8C-9A45-E230278EEA7A}"/>
            </c:ext>
          </c:extLst>
        </c:ser>
        <c:ser>
          <c:idx val="10"/>
          <c:order val="10"/>
          <c:tx>
            <c:strRef>
              <c:f>'restr new qtr'!$AK$1:$AK$2</c:f>
              <c:strCache>
                <c:ptCount val="1"/>
                <c:pt idx="0">
                  <c:v>Not specified - DASATINIB</c:v>
                </c:pt>
              </c:strCache>
            </c:strRef>
          </c:tx>
          <c:spPr>
            <a:solidFill>
              <a:schemeClr val="accent5">
                <a:lumMod val="60000"/>
              </a:schemeClr>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qtr'!$AK$3:$AK$65</c:f>
              <c:numCache>
                <c:formatCode>General</c:formatCode>
                <c:ptCount val="62"/>
                <c:pt idx="16">
                  <c:v>5</c:v>
                </c:pt>
                <c:pt idx="17">
                  <c:v>68</c:v>
                </c:pt>
                <c:pt idx="18">
                  <c:v>122</c:v>
                </c:pt>
                <c:pt idx="19">
                  <c:v>161</c:v>
                </c:pt>
                <c:pt idx="20">
                  <c:v>219</c:v>
                </c:pt>
                <c:pt idx="21">
                  <c:v>210</c:v>
                </c:pt>
                <c:pt idx="22">
                  <c:v>231</c:v>
                </c:pt>
                <c:pt idx="23">
                  <c:v>229</c:v>
                </c:pt>
                <c:pt idx="24">
                  <c:v>256</c:v>
                </c:pt>
                <c:pt idx="25">
                  <c:v>242</c:v>
                </c:pt>
                <c:pt idx="26">
                  <c:v>256</c:v>
                </c:pt>
                <c:pt idx="27">
                  <c:v>272</c:v>
                </c:pt>
                <c:pt idx="28">
                  <c:v>287</c:v>
                </c:pt>
                <c:pt idx="29">
                  <c:v>280</c:v>
                </c:pt>
                <c:pt idx="30">
                  <c:v>318</c:v>
                </c:pt>
                <c:pt idx="31">
                  <c:v>333</c:v>
                </c:pt>
                <c:pt idx="32">
                  <c:v>337</c:v>
                </c:pt>
                <c:pt idx="33">
                  <c:v>342</c:v>
                </c:pt>
                <c:pt idx="34">
                  <c:v>348</c:v>
                </c:pt>
                <c:pt idx="35">
                  <c:v>322</c:v>
                </c:pt>
                <c:pt idx="36">
                  <c:v>295</c:v>
                </c:pt>
                <c:pt idx="37">
                  <c:v>277</c:v>
                </c:pt>
                <c:pt idx="38">
                  <c:v>306</c:v>
                </c:pt>
                <c:pt idx="39">
                  <c:v>316</c:v>
                </c:pt>
                <c:pt idx="40">
                  <c:v>338</c:v>
                </c:pt>
                <c:pt idx="41">
                  <c:v>306</c:v>
                </c:pt>
                <c:pt idx="42">
                  <c:v>294</c:v>
                </c:pt>
                <c:pt idx="43">
                  <c:v>314</c:v>
                </c:pt>
                <c:pt idx="44">
                  <c:v>321</c:v>
                </c:pt>
                <c:pt idx="45">
                  <c:v>330</c:v>
                </c:pt>
                <c:pt idx="46">
                  <c:v>307</c:v>
                </c:pt>
                <c:pt idx="47">
                  <c:v>343</c:v>
                </c:pt>
                <c:pt idx="48">
                  <c:v>364</c:v>
                </c:pt>
                <c:pt idx="49">
                  <c:v>351</c:v>
                </c:pt>
                <c:pt idx="50">
                  <c:v>355</c:v>
                </c:pt>
                <c:pt idx="51">
                  <c:v>356</c:v>
                </c:pt>
                <c:pt idx="52">
                  <c:v>347</c:v>
                </c:pt>
                <c:pt idx="53">
                  <c:v>315</c:v>
                </c:pt>
                <c:pt idx="54">
                  <c:v>362</c:v>
                </c:pt>
                <c:pt idx="55">
                  <c:v>353</c:v>
                </c:pt>
                <c:pt idx="56">
                  <c:v>373</c:v>
                </c:pt>
                <c:pt idx="57">
                  <c:v>347</c:v>
                </c:pt>
                <c:pt idx="58">
                  <c:v>416</c:v>
                </c:pt>
                <c:pt idx="59">
                  <c:v>336</c:v>
                </c:pt>
                <c:pt idx="60">
                  <c:v>352</c:v>
                </c:pt>
                <c:pt idx="61">
                  <c:v>343</c:v>
                </c:pt>
              </c:numCache>
            </c:numRef>
          </c:val>
          <c:extLst>
            <c:ext xmlns:c16="http://schemas.microsoft.com/office/drawing/2014/chart" uri="{C3380CC4-5D6E-409C-BE32-E72D297353CC}">
              <c16:uniqueId val="{0000000A-0282-4B8C-9A45-E230278EEA7A}"/>
            </c:ext>
          </c:extLst>
        </c:ser>
        <c:ser>
          <c:idx val="11"/>
          <c:order val="11"/>
          <c:tx>
            <c:strRef>
              <c:f>'restr new qtr'!$AL$1:$AL$2</c:f>
              <c:strCache>
                <c:ptCount val="1"/>
                <c:pt idx="0">
                  <c:v>Accelerated - IMATINIB</c:v>
                </c:pt>
              </c:strCache>
            </c:strRef>
          </c:tx>
          <c:spPr>
            <a:solidFill>
              <a:schemeClr val="accent6">
                <a:lumMod val="60000"/>
              </a:schemeClr>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qtr'!$AL$3:$AL$65</c:f>
              <c:numCache>
                <c:formatCode>General</c:formatCode>
                <c:ptCount val="62"/>
                <c:pt idx="0">
                  <c:v>71</c:v>
                </c:pt>
                <c:pt idx="1">
                  <c:v>223</c:v>
                </c:pt>
                <c:pt idx="2">
                  <c:v>233</c:v>
                </c:pt>
                <c:pt idx="3">
                  <c:v>267</c:v>
                </c:pt>
                <c:pt idx="4">
                  <c:v>323</c:v>
                </c:pt>
                <c:pt idx="5">
                  <c:v>281</c:v>
                </c:pt>
                <c:pt idx="6">
                  <c:v>330</c:v>
                </c:pt>
                <c:pt idx="7">
                  <c:v>343</c:v>
                </c:pt>
                <c:pt idx="8">
                  <c:v>320</c:v>
                </c:pt>
                <c:pt idx="9">
                  <c:v>300</c:v>
                </c:pt>
                <c:pt idx="10">
                  <c:v>318</c:v>
                </c:pt>
                <c:pt idx="11">
                  <c:v>316</c:v>
                </c:pt>
                <c:pt idx="12">
                  <c:v>313</c:v>
                </c:pt>
                <c:pt idx="13">
                  <c:v>259</c:v>
                </c:pt>
                <c:pt idx="14">
                  <c:v>254</c:v>
                </c:pt>
                <c:pt idx="15">
                  <c:v>243</c:v>
                </c:pt>
                <c:pt idx="16">
                  <c:v>260</c:v>
                </c:pt>
                <c:pt idx="17">
                  <c:v>272</c:v>
                </c:pt>
                <c:pt idx="18">
                  <c:v>290</c:v>
                </c:pt>
                <c:pt idx="19">
                  <c:v>287</c:v>
                </c:pt>
                <c:pt idx="20">
                  <c:v>306</c:v>
                </c:pt>
                <c:pt idx="21">
                  <c:v>268</c:v>
                </c:pt>
                <c:pt idx="22">
                  <c:v>276</c:v>
                </c:pt>
                <c:pt idx="23">
                  <c:v>294</c:v>
                </c:pt>
                <c:pt idx="24">
                  <c:v>273</c:v>
                </c:pt>
                <c:pt idx="25">
                  <c:v>236</c:v>
                </c:pt>
                <c:pt idx="26">
                  <c:v>255</c:v>
                </c:pt>
                <c:pt idx="27">
                  <c:v>276</c:v>
                </c:pt>
                <c:pt idx="28">
                  <c:v>263</c:v>
                </c:pt>
                <c:pt idx="29">
                  <c:v>242</c:v>
                </c:pt>
                <c:pt idx="30">
                  <c:v>259</c:v>
                </c:pt>
                <c:pt idx="31">
                  <c:v>248</c:v>
                </c:pt>
                <c:pt idx="32">
                  <c:v>253</c:v>
                </c:pt>
                <c:pt idx="33">
                  <c:v>217</c:v>
                </c:pt>
                <c:pt idx="34">
                  <c:v>236</c:v>
                </c:pt>
                <c:pt idx="35">
                  <c:v>205</c:v>
                </c:pt>
                <c:pt idx="36">
                  <c:v>240</c:v>
                </c:pt>
                <c:pt idx="37">
                  <c:v>227</c:v>
                </c:pt>
                <c:pt idx="38">
                  <c:v>201</c:v>
                </c:pt>
                <c:pt idx="39">
                  <c:v>209</c:v>
                </c:pt>
                <c:pt idx="40">
                  <c:v>197</c:v>
                </c:pt>
                <c:pt idx="41">
                  <c:v>168</c:v>
                </c:pt>
                <c:pt idx="42">
                  <c:v>185</c:v>
                </c:pt>
                <c:pt idx="43">
                  <c:v>204</c:v>
                </c:pt>
                <c:pt idx="44">
                  <c:v>172</c:v>
                </c:pt>
                <c:pt idx="45">
                  <c:v>158</c:v>
                </c:pt>
                <c:pt idx="46">
                  <c:v>150</c:v>
                </c:pt>
                <c:pt idx="47">
                  <c:v>141</c:v>
                </c:pt>
                <c:pt idx="48">
                  <c:v>161</c:v>
                </c:pt>
                <c:pt idx="49">
                  <c:v>129</c:v>
                </c:pt>
                <c:pt idx="50">
                  <c:v>111</c:v>
                </c:pt>
                <c:pt idx="51">
                  <c:v>122</c:v>
                </c:pt>
                <c:pt idx="52">
                  <c:v>138</c:v>
                </c:pt>
                <c:pt idx="53">
                  <c:v>134</c:v>
                </c:pt>
                <c:pt idx="54">
                  <c:v>137</c:v>
                </c:pt>
                <c:pt idx="55">
                  <c:v>136</c:v>
                </c:pt>
                <c:pt idx="56">
                  <c:v>132</c:v>
                </c:pt>
                <c:pt idx="57">
                  <c:v>124</c:v>
                </c:pt>
                <c:pt idx="58">
                  <c:v>127</c:v>
                </c:pt>
                <c:pt idx="59">
                  <c:v>110</c:v>
                </c:pt>
                <c:pt idx="60">
                  <c:v>119</c:v>
                </c:pt>
                <c:pt idx="61">
                  <c:v>101</c:v>
                </c:pt>
              </c:numCache>
            </c:numRef>
          </c:val>
          <c:extLst>
            <c:ext xmlns:c16="http://schemas.microsoft.com/office/drawing/2014/chart" uri="{C3380CC4-5D6E-409C-BE32-E72D297353CC}">
              <c16:uniqueId val="{0000000B-0282-4B8C-9A45-E230278EEA7A}"/>
            </c:ext>
          </c:extLst>
        </c:ser>
        <c:ser>
          <c:idx val="12"/>
          <c:order val="12"/>
          <c:tx>
            <c:strRef>
              <c:f>'restr new qtr'!$AM$1:$AM$2</c:f>
              <c:strCache>
                <c:ptCount val="1"/>
                <c:pt idx="0">
                  <c:v>Second or later line - Chronic - DASATINIB</c:v>
                </c:pt>
              </c:strCache>
            </c:strRef>
          </c:tx>
          <c:spPr>
            <a:solidFill>
              <a:schemeClr val="accent1">
                <a:lumMod val="80000"/>
                <a:lumOff val="20000"/>
              </a:schemeClr>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qtr'!$AM$3:$AM$65</c:f>
              <c:numCache>
                <c:formatCode>General</c:formatCode>
                <c:ptCount val="62"/>
                <c:pt idx="34">
                  <c:v>112</c:v>
                </c:pt>
                <c:pt idx="35">
                  <c:v>270</c:v>
                </c:pt>
                <c:pt idx="36">
                  <c:v>388</c:v>
                </c:pt>
                <c:pt idx="37">
                  <c:v>409</c:v>
                </c:pt>
                <c:pt idx="38">
                  <c:v>506</c:v>
                </c:pt>
                <c:pt idx="39">
                  <c:v>503</c:v>
                </c:pt>
                <c:pt idx="40">
                  <c:v>581</c:v>
                </c:pt>
                <c:pt idx="41">
                  <c:v>587</c:v>
                </c:pt>
                <c:pt idx="42">
                  <c:v>599</c:v>
                </c:pt>
                <c:pt idx="43">
                  <c:v>631</c:v>
                </c:pt>
                <c:pt idx="44">
                  <c:v>670</c:v>
                </c:pt>
                <c:pt idx="45">
                  <c:v>595</c:v>
                </c:pt>
                <c:pt idx="46">
                  <c:v>626</c:v>
                </c:pt>
                <c:pt idx="47">
                  <c:v>647</c:v>
                </c:pt>
                <c:pt idx="48">
                  <c:v>652</c:v>
                </c:pt>
                <c:pt idx="49">
                  <c:v>621</c:v>
                </c:pt>
                <c:pt idx="50">
                  <c:v>669</c:v>
                </c:pt>
                <c:pt idx="51">
                  <c:v>733</c:v>
                </c:pt>
                <c:pt idx="52">
                  <c:v>708</c:v>
                </c:pt>
                <c:pt idx="53">
                  <c:v>695</c:v>
                </c:pt>
                <c:pt idx="54">
                  <c:v>735</c:v>
                </c:pt>
                <c:pt idx="55">
                  <c:v>725</c:v>
                </c:pt>
                <c:pt idx="56">
                  <c:v>744</c:v>
                </c:pt>
                <c:pt idx="57">
                  <c:v>733</c:v>
                </c:pt>
                <c:pt idx="58">
                  <c:v>790</c:v>
                </c:pt>
                <c:pt idx="59">
                  <c:v>826</c:v>
                </c:pt>
                <c:pt idx="60">
                  <c:v>783</c:v>
                </c:pt>
                <c:pt idx="61">
                  <c:v>745</c:v>
                </c:pt>
              </c:numCache>
            </c:numRef>
          </c:val>
          <c:extLst>
            <c:ext xmlns:c16="http://schemas.microsoft.com/office/drawing/2014/chart" uri="{C3380CC4-5D6E-409C-BE32-E72D297353CC}">
              <c16:uniqueId val="{0000000C-0282-4B8C-9A45-E230278EEA7A}"/>
            </c:ext>
          </c:extLst>
        </c:ser>
        <c:ser>
          <c:idx val="13"/>
          <c:order val="13"/>
          <c:tx>
            <c:strRef>
              <c:f>'restr new qtr'!$AN$1:$AN$2</c:f>
              <c:strCache>
                <c:ptCount val="1"/>
                <c:pt idx="0">
                  <c:v>First line - Chronic - NILOTINIB</c:v>
                </c:pt>
              </c:strCache>
            </c:strRef>
          </c:tx>
          <c:spPr>
            <a:solidFill>
              <a:schemeClr val="accent2">
                <a:lumMod val="80000"/>
                <a:lumOff val="20000"/>
              </a:schemeClr>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qtr'!$AN$3:$AN$65</c:f>
              <c:numCache>
                <c:formatCode>General</c:formatCode>
                <c:ptCount val="62"/>
                <c:pt idx="34">
                  <c:v>43</c:v>
                </c:pt>
                <c:pt idx="35">
                  <c:v>196</c:v>
                </c:pt>
                <c:pt idx="36">
                  <c:v>307</c:v>
                </c:pt>
                <c:pt idx="37">
                  <c:v>347</c:v>
                </c:pt>
                <c:pt idx="38">
                  <c:v>387</c:v>
                </c:pt>
                <c:pt idx="39">
                  <c:v>414</c:v>
                </c:pt>
                <c:pt idx="40">
                  <c:v>474</c:v>
                </c:pt>
                <c:pt idx="41">
                  <c:v>456</c:v>
                </c:pt>
                <c:pt idx="42">
                  <c:v>537</c:v>
                </c:pt>
                <c:pt idx="43">
                  <c:v>571</c:v>
                </c:pt>
                <c:pt idx="44">
                  <c:v>607</c:v>
                </c:pt>
                <c:pt idx="45">
                  <c:v>598</c:v>
                </c:pt>
                <c:pt idx="46">
                  <c:v>654</c:v>
                </c:pt>
                <c:pt idx="47">
                  <c:v>689</c:v>
                </c:pt>
                <c:pt idx="48">
                  <c:v>662</c:v>
                </c:pt>
                <c:pt idx="49">
                  <c:v>704</c:v>
                </c:pt>
                <c:pt idx="50">
                  <c:v>726</c:v>
                </c:pt>
                <c:pt idx="51">
                  <c:v>784</c:v>
                </c:pt>
                <c:pt idx="52">
                  <c:v>805</c:v>
                </c:pt>
                <c:pt idx="53">
                  <c:v>780</c:v>
                </c:pt>
                <c:pt idx="54">
                  <c:v>841</c:v>
                </c:pt>
                <c:pt idx="55">
                  <c:v>829</c:v>
                </c:pt>
                <c:pt idx="56">
                  <c:v>875</c:v>
                </c:pt>
                <c:pt idx="57">
                  <c:v>843</c:v>
                </c:pt>
                <c:pt idx="58">
                  <c:v>873</c:v>
                </c:pt>
                <c:pt idx="59">
                  <c:v>859</c:v>
                </c:pt>
                <c:pt idx="60">
                  <c:v>936</c:v>
                </c:pt>
                <c:pt idx="61">
                  <c:v>913</c:v>
                </c:pt>
              </c:numCache>
            </c:numRef>
          </c:val>
          <c:extLst>
            <c:ext xmlns:c16="http://schemas.microsoft.com/office/drawing/2014/chart" uri="{C3380CC4-5D6E-409C-BE32-E72D297353CC}">
              <c16:uniqueId val="{0000000D-0282-4B8C-9A45-E230278EEA7A}"/>
            </c:ext>
          </c:extLst>
        </c:ser>
        <c:ser>
          <c:idx val="14"/>
          <c:order val="14"/>
          <c:tx>
            <c:strRef>
              <c:f>'restr new qtr'!$AO$1:$AO$2</c:f>
              <c:strCache>
                <c:ptCount val="1"/>
                <c:pt idx="0">
                  <c:v>First line - Chronic - DASATINIB</c:v>
                </c:pt>
              </c:strCache>
            </c:strRef>
          </c:tx>
          <c:spPr>
            <a:solidFill>
              <a:schemeClr val="accent3">
                <a:lumMod val="80000"/>
                <a:lumOff val="20000"/>
              </a:schemeClr>
            </a:solidFill>
            <a:ln>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qtr'!$AO$3:$AO$65</c:f>
              <c:numCache>
                <c:formatCode>General</c:formatCode>
                <c:ptCount val="62"/>
                <c:pt idx="34">
                  <c:v>76</c:v>
                </c:pt>
                <c:pt idx="35">
                  <c:v>163</c:v>
                </c:pt>
                <c:pt idx="36">
                  <c:v>228</c:v>
                </c:pt>
                <c:pt idx="37">
                  <c:v>277</c:v>
                </c:pt>
                <c:pt idx="38">
                  <c:v>349</c:v>
                </c:pt>
                <c:pt idx="39">
                  <c:v>411</c:v>
                </c:pt>
                <c:pt idx="40">
                  <c:v>514</c:v>
                </c:pt>
                <c:pt idx="41">
                  <c:v>538</c:v>
                </c:pt>
                <c:pt idx="42">
                  <c:v>575</c:v>
                </c:pt>
                <c:pt idx="43">
                  <c:v>651</c:v>
                </c:pt>
                <c:pt idx="44">
                  <c:v>718</c:v>
                </c:pt>
                <c:pt idx="45">
                  <c:v>766</c:v>
                </c:pt>
                <c:pt idx="46">
                  <c:v>820</c:v>
                </c:pt>
                <c:pt idx="47">
                  <c:v>860</c:v>
                </c:pt>
                <c:pt idx="48">
                  <c:v>952</c:v>
                </c:pt>
                <c:pt idx="49">
                  <c:v>956</c:v>
                </c:pt>
                <c:pt idx="50">
                  <c:v>995</c:v>
                </c:pt>
                <c:pt idx="51">
                  <c:v>1125</c:v>
                </c:pt>
                <c:pt idx="52">
                  <c:v>1164</c:v>
                </c:pt>
                <c:pt idx="53">
                  <c:v>1174</c:v>
                </c:pt>
                <c:pt idx="54">
                  <c:v>1223</c:v>
                </c:pt>
                <c:pt idx="55">
                  <c:v>1320</c:v>
                </c:pt>
                <c:pt idx="56">
                  <c:v>1336</c:v>
                </c:pt>
                <c:pt idx="57">
                  <c:v>1355</c:v>
                </c:pt>
                <c:pt idx="58">
                  <c:v>1428</c:v>
                </c:pt>
                <c:pt idx="59">
                  <c:v>1524</c:v>
                </c:pt>
                <c:pt idx="60">
                  <c:v>1609</c:v>
                </c:pt>
                <c:pt idx="61">
                  <c:v>1603</c:v>
                </c:pt>
              </c:numCache>
            </c:numRef>
          </c:val>
          <c:extLst>
            <c:ext xmlns:c16="http://schemas.microsoft.com/office/drawing/2014/chart" uri="{C3380CC4-5D6E-409C-BE32-E72D297353CC}">
              <c16:uniqueId val="{0000000E-0282-4B8C-9A45-E230278EEA7A}"/>
            </c:ext>
          </c:extLst>
        </c:ser>
        <c:ser>
          <c:idx val="15"/>
          <c:order val="15"/>
          <c:tx>
            <c:strRef>
              <c:f>'restr new qtr'!$AP$1:$AP$2</c:f>
              <c:strCache>
                <c:ptCount val="1"/>
                <c:pt idx="0">
                  <c:v>First line - Chronic - IMATINIB</c:v>
                </c:pt>
              </c:strCache>
            </c:strRef>
          </c:tx>
          <c:spPr>
            <a:solidFill>
              <a:schemeClr val="accent4">
                <a:lumMod val="80000"/>
                <a:lumOff val="20000"/>
              </a:schemeClr>
            </a:solidFill>
            <a:ln w="25400">
              <a:noFill/>
            </a:ln>
            <a:effectLst/>
          </c:spPr>
          <c:cat>
            <c:strRef>
              <c:f>'restr new qtr'!$Z$3:$Z$65</c:f>
              <c:strCache>
                <c:ptCount val="62"/>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strCache>
            </c:strRef>
          </c:cat>
          <c:val>
            <c:numRef>
              <c:f>'restr new qtr'!$AP$3:$AP$65</c:f>
              <c:numCache>
                <c:formatCode>General</c:formatCode>
                <c:ptCount val="62"/>
                <c:pt idx="0">
                  <c:v>31</c:v>
                </c:pt>
                <c:pt idx="1">
                  <c:v>149</c:v>
                </c:pt>
                <c:pt idx="2">
                  <c:v>258</c:v>
                </c:pt>
                <c:pt idx="3">
                  <c:v>634</c:v>
                </c:pt>
                <c:pt idx="4">
                  <c:v>1237</c:v>
                </c:pt>
                <c:pt idx="5">
                  <c:v>1664</c:v>
                </c:pt>
                <c:pt idx="6">
                  <c:v>1998</c:v>
                </c:pt>
                <c:pt idx="7">
                  <c:v>2221</c:v>
                </c:pt>
                <c:pt idx="8">
                  <c:v>2424</c:v>
                </c:pt>
                <c:pt idx="9">
                  <c:v>2358</c:v>
                </c:pt>
                <c:pt idx="10">
                  <c:v>2587</c:v>
                </c:pt>
                <c:pt idx="11">
                  <c:v>2541</c:v>
                </c:pt>
                <c:pt idx="12">
                  <c:v>2700</c:v>
                </c:pt>
                <c:pt idx="13">
                  <c:v>2657</c:v>
                </c:pt>
                <c:pt idx="14">
                  <c:v>2846</c:v>
                </c:pt>
                <c:pt idx="15">
                  <c:v>2880</c:v>
                </c:pt>
                <c:pt idx="16">
                  <c:v>3145</c:v>
                </c:pt>
                <c:pt idx="17">
                  <c:v>3096</c:v>
                </c:pt>
                <c:pt idx="18">
                  <c:v>3425</c:v>
                </c:pt>
                <c:pt idx="19">
                  <c:v>3467</c:v>
                </c:pt>
                <c:pt idx="20">
                  <c:v>3703</c:v>
                </c:pt>
                <c:pt idx="21">
                  <c:v>3528</c:v>
                </c:pt>
                <c:pt idx="22">
                  <c:v>3857</c:v>
                </c:pt>
                <c:pt idx="23">
                  <c:v>3968</c:v>
                </c:pt>
                <c:pt idx="24">
                  <c:v>4142</c:v>
                </c:pt>
                <c:pt idx="25">
                  <c:v>4010</c:v>
                </c:pt>
                <c:pt idx="26">
                  <c:v>4225</c:v>
                </c:pt>
                <c:pt idx="27">
                  <c:v>4469</c:v>
                </c:pt>
                <c:pt idx="28">
                  <c:v>4733</c:v>
                </c:pt>
                <c:pt idx="29">
                  <c:v>4431</c:v>
                </c:pt>
                <c:pt idx="30">
                  <c:v>4753</c:v>
                </c:pt>
                <c:pt idx="31">
                  <c:v>4820</c:v>
                </c:pt>
                <c:pt idx="32">
                  <c:v>4938</c:v>
                </c:pt>
                <c:pt idx="33">
                  <c:v>4822</c:v>
                </c:pt>
                <c:pt idx="34">
                  <c:v>4926</c:v>
                </c:pt>
                <c:pt idx="35">
                  <c:v>4654</c:v>
                </c:pt>
                <c:pt idx="36">
                  <c:v>4798</c:v>
                </c:pt>
                <c:pt idx="37">
                  <c:v>4314</c:v>
                </c:pt>
                <c:pt idx="38">
                  <c:v>4414</c:v>
                </c:pt>
                <c:pt idx="39">
                  <c:v>4375</c:v>
                </c:pt>
                <c:pt idx="40">
                  <c:v>4470</c:v>
                </c:pt>
                <c:pt idx="41">
                  <c:v>4130</c:v>
                </c:pt>
                <c:pt idx="42">
                  <c:v>4276</c:v>
                </c:pt>
                <c:pt idx="43">
                  <c:v>4296</c:v>
                </c:pt>
                <c:pt idx="44">
                  <c:v>4348</c:v>
                </c:pt>
                <c:pt idx="45">
                  <c:v>4093</c:v>
                </c:pt>
                <c:pt idx="46">
                  <c:v>4207</c:v>
                </c:pt>
                <c:pt idx="47">
                  <c:v>4158</c:v>
                </c:pt>
                <c:pt idx="48">
                  <c:v>4295</c:v>
                </c:pt>
                <c:pt idx="49">
                  <c:v>4045</c:v>
                </c:pt>
                <c:pt idx="50">
                  <c:v>4085</c:v>
                </c:pt>
                <c:pt idx="51">
                  <c:v>4239</c:v>
                </c:pt>
                <c:pt idx="52">
                  <c:v>4160</c:v>
                </c:pt>
                <c:pt idx="53">
                  <c:v>3933</c:v>
                </c:pt>
                <c:pt idx="54">
                  <c:v>4083</c:v>
                </c:pt>
                <c:pt idx="55">
                  <c:v>4172</c:v>
                </c:pt>
                <c:pt idx="56">
                  <c:v>3860</c:v>
                </c:pt>
                <c:pt idx="57">
                  <c:v>3744</c:v>
                </c:pt>
                <c:pt idx="58">
                  <c:v>3920</c:v>
                </c:pt>
                <c:pt idx="59">
                  <c:v>4114</c:v>
                </c:pt>
                <c:pt idx="60">
                  <c:v>3758</c:v>
                </c:pt>
                <c:pt idx="61">
                  <c:v>3682</c:v>
                </c:pt>
              </c:numCache>
            </c:numRef>
          </c:val>
          <c:extLst>
            <c:ext xmlns:c16="http://schemas.microsoft.com/office/drawing/2014/chart" uri="{C3380CC4-5D6E-409C-BE32-E72D297353CC}">
              <c16:uniqueId val="{0000000F-0282-4B8C-9A45-E230278EEA7A}"/>
            </c:ext>
          </c:extLst>
        </c:ser>
        <c:dLbls>
          <c:showLegendKey val="0"/>
          <c:showVal val="0"/>
          <c:showCatName val="0"/>
          <c:showSerName val="0"/>
          <c:showPercent val="0"/>
          <c:showBubbleSize val="0"/>
        </c:dLbls>
        <c:axId val="925356344"/>
        <c:axId val="925354704"/>
      </c:areaChart>
      <c:catAx>
        <c:axId val="9253563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5354704"/>
        <c:crosses val="autoZero"/>
        <c:auto val="1"/>
        <c:lblAlgn val="ctr"/>
        <c:lblOffset val="100"/>
        <c:noMultiLvlLbl val="0"/>
      </c:catAx>
      <c:valAx>
        <c:axId val="925354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supplied authority approvals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5356344"/>
        <c:crosses val="autoZero"/>
        <c:crossBetween val="midCat"/>
      </c:valAx>
      <c:spPr>
        <a:noFill/>
        <a:ln>
          <a:noFill/>
        </a:ln>
        <a:effectLst/>
      </c:spPr>
    </c:plotArea>
    <c:legend>
      <c:legendPos val="b"/>
      <c:layout>
        <c:manualLayout>
          <c:xMode val="edge"/>
          <c:yMode val="edge"/>
          <c:x val="3.0862485039743204E-2"/>
          <c:y val="0.67371813844797823"/>
          <c:w val="0.92879729330125638"/>
          <c:h val="0.317085643884449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[ponatinib.xlsx]Sheet4!PivotTable3</c:name>
    <c:fmtId val="9"/>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Sheet4!$B$3:$B$4</c:f>
              <c:strCache>
                <c:ptCount val="1"/>
                <c:pt idx="0">
                  <c:v>DASATINIB</c:v>
                </c:pt>
              </c:strCache>
            </c:strRef>
          </c:tx>
          <c:spPr>
            <a:ln w="28575" cap="rnd">
              <a:solidFill>
                <a:schemeClr val="accent1"/>
              </a:solidFill>
              <a:round/>
            </a:ln>
            <a:effectLst/>
          </c:spPr>
          <c:marker>
            <c:symbol val="none"/>
          </c:marker>
          <c:cat>
            <c:strRef>
              <c:f>Sheet4!$A$5:$A$213</c:f>
              <c:strCache>
                <c:ptCount val="208"/>
                <c:pt idx="0">
                  <c:v>200112</c:v>
                </c:pt>
                <c:pt idx="1">
                  <c:v>200201</c:v>
                </c:pt>
                <c:pt idx="2">
                  <c:v>200202</c:v>
                </c:pt>
                <c:pt idx="3">
                  <c:v>200203</c:v>
                </c:pt>
                <c:pt idx="4">
                  <c:v>200204</c:v>
                </c:pt>
                <c:pt idx="5">
                  <c:v>200205</c:v>
                </c:pt>
                <c:pt idx="6">
                  <c:v>200206</c:v>
                </c:pt>
                <c:pt idx="7">
                  <c:v>200207</c:v>
                </c:pt>
                <c:pt idx="8">
                  <c:v>200208</c:v>
                </c:pt>
                <c:pt idx="9">
                  <c:v>200209</c:v>
                </c:pt>
                <c:pt idx="10">
                  <c:v>200210</c:v>
                </c:pt>
                <c:pt idx="11">
                  <c:v>200211</c:v>
                </c:pt>
                <c:pt idx="12">
                  <c:v>200212</c:v>
                </c:pt>
                <c:pt idx="13">
                  <c:v>200301</c:v>
                </c:pt>
                <c:pt idx="14">
                  <c:v>200302</c:v>
                </c:pt>
                <c:pt idx="15">
                  <c:v>200303</c:v>
                </c:pt>
                <c:pt idx="16">
                  <c:v>200304</c:v>
                </c:pt>
                <c:pt idx="17">
                  <c:v>200305</c:v>
                </c:pt>
                <c:pt idx="18">
                  <c:v>200306</c:v>
                </c:pt>
                <c:pt idx="19">
                  <c:v>200307</c:v>
                </c:pt>
                <c:pt idx="20">
                  <c:v>200308</c:v>
                </c:pt>
                <c:pt idx="21">
                  <c:v>200309</c:v>
                </c:pt>
                <c:pt idx="22">
                  <c:v>200310</c:v>
                </c:pt>
                <c:pt idx="23">
                  <c:v>200311</c:v>
                </c:pt>
                <c:pt idx="24">
                  <c:v>200312</c:v>
                </c:pt>
                <c:pt idx="25">
                  <c:v>200401</c:v>
                </c:pt>
                <c:pt idx="26">
                  <c:v>200402</c:v>
                </c:pt>
                <c:pt idx="27">
                  <c:v>200403</c:v>
                </c:pt>
                <c:pt idx="28">
                  <c:v>200404</c:v>
                </c:pt>
                <c:pt idx="29">
                  <c:v>200405</c:v>
                </c:pt>
                <c:pt idx="30">
                  <c:v>200406</c:v>
                </c:pt>
                <c:pt idx="31">
                  <c:v>200407</c:v>
                </c:pt>
                <c:pt idx="32">
                  <c:v>200408</c:v>
                </c:pt>
                <c:pt idx="33">
                  <c:v>200409</c:v>
                </c:pt>
                <c:pt idx="34">
                  <c:v>200410</c:v>
                </c:pt>
                <c:pt idx="35">
                  <c:v>200411</c:v>
                </c:pt>
                <c:pt idx="36">
                  <c:v>200412</c:v>
                </c:pt>
                <c:pt idx="37">
                  <c:v>200501</c:v>
                </c:pt>
                <c:pt idx="38">
                  <c:v>200502</c:v>
                </c:pt>
                <c:pt idx="39">
                  <c:v>200503</c:v>
                </c:pt>
                <c:pt idx="40">
                  <c:v>200504</c:v>
                </c:pt>
                <c:pt idx="41">
                  <c:v>200505</c:v>
                </c:pt>
                <c:pt idx="42">
                  <c:v>200506</c:v>
                </c:pt>
                <c:pt idx="43">
                  <c:v>200507</c:v>
                </c:pt>
                <c:pt idx="44">
                  <c:v>200508</c:v>
                </c:pt>
                <c:pt idx="45">
                  <c:v>200509</c:v>
                </c:pt>
                <c:pt idx="46">
                  <c:v>200510</c:v>
                </c:pt>
                <c:pt idx="47">
                  <c:v>200511</c:v>
                </c:pt>
                <c:pt idx="48">
                  <c:v>200512</c:v>
                </c:pt>
                <c:pt idx="49">
                  <c:v>200601</c:v>
                </c:pt>
                <c:pt idx="50">
                  <c:v>200602</c:v>
                </c:pt>
                <c:pt idx="51">
                  <c:v>200603</c:v>
                </c:pt>
                <c:pt idx="52">
                  <c:v>200604</c:v>
                </c:pt>
                <c:pt idx="53">
                  <c:v>200605</c:v>
                </c:pt>
                <c:pt idx="54">
                  <c:v>200606</c:v>
                </c:pt>
                <c:pt idx="55">
                  <c:v>200607</c:v>
                </c:pt>
                <c:pt idx="56">
                  <c:v>200608</c:v>
                </c:pt>
                <c:pt idx="57">
                  <c:v>200609</c:v>
                </c:pt>
                <c:pt idx="58">
                  <c:v>200610</c:v>
                </c:pt>
                <c:pt idx="59">
                  <c:v>200611</c:v>
                </c:pt>
                <c:pt idx="60">
                  <c:v>200612</c:v>
                </c:pt>
                <c:pt idx="61">
                  <c:v>200701</c:v>
                </c:pt>
                <c:pt idx="62">
                  <c:v>200702</c:v>
                </c:pt>
                <c:pt idx="63">
                  <c:v>200703</c:v>
                </c:pt>
                <c:pt idx="64">
                  <c:v>200704</c:v>
                </c:pt>
                <c:pt idx="65">
                  <c:v>200705</c:v>
                </c:pt>
                <c:pt idx="66">
                  <c:v>200706</c:v>
                </c:pt>
                <c:pt idx="67">
                  <c:v>200707</c:v>
                </c:pt>
                <c:pt idx="68">
                  <c:v>200708</c:v>
                </c:pt>
                <c:pt idx="69">
                  <c:v>200709</c:v>
                </c:pt>
                <c:pt idx="70">
                  <c:v>200710</c:v>
                </c:pt>
                <c:pt idx="71">
                  <c:v>200711</c:v>
                </c:pt>
                <c:pt idx="72">
                  <c:v>200712</c:v>
                </c:pt>
                <c:pt idx="73">
                  <c:v>200801</c:v>
                </c:pt>
                <c:pt idx="74">
                  <c:v>200802</c:v>
                </c:pt>
                <c:pt idx="75">
                  <c:v>200803</c:v>
                </c:pt>
                <c:pt idx="76">
                  <c:v>200804</c:v>
                </c:pt>
                <c:pt idx="77">
                  <c:v>200805</c:v>
                </c:pt>
                <c:pt idx="78">
                  <c:v>200806</c:v>
                </c:pt>
                <c:pt idx="79">
                  <c:v>200807</c:v>
                </c:pt>
                <c:pt idx="80">
                  <c:v>200808</c:v>
                </c:pt>
                <c:pt idx="81">
                  <c:v>200809</c:v>
                </c:pt>
                <c:pt idx="82">
                  <c:v>200810</c:v>
                </c:pt>
                <c:pt idx="83">
                  <c:v>200811</c:v>
                </c:pt>
                <c:pt idx="84">
                  <c:v>200812</c:v>
                </c:pt>
                <c:pt idx="85">
                  <c:v>200901</c:v>
                </c:pt>
                <c:pt idx="86">
                  <c:v>200902</c:v>
                </c:pt>
                <c:pt idx="87">
                  <c:v>200903</c:v>
                </c:pt>
                <c:pt idx="88">
                  <c:v>200904</c:v>
                </c:pt>
                <c:pt idx="89">
                  <c:v>200905</c:v>
                </c:pt>
                <c:pt idx="90">
                  <c:v>200906</c:v>
                </c:pt>
                <c:pt idx="91">
                  <c:v>200907</c:v>
                </c:pt>
                <c:pt idx="92">
                  <c:v>200908</c:v>
                </c:pt>
                <c:pt idx="93">
                  <c:v>200909</c:v>
                </c:pt>
                <c:pt idx="94">
                  <c:v>200910</c:v>
                </c:pt>
                <c:pt idx="95">
                  <c:v>200911</c:v>
                </c:pt>
                <c:pt idx="96">
                  <c:v>200912</c:v>
                </c:pt>
                <c:pt idx="97">
                  <c:v>201001</c:v>
                </c:pt>
                <c:pt idx="98">
                  <c:v>201002</c:v>
                </c:pt>
                <c:pt idx="99">
                  <c:v>201003</c:v>
                </c:pt>
                <c:pt idx="100">
                  <c:v>201004</c:v>
                </c:pt>
                <c:pt idx="101">
                  <c:v>201005</c:v>
                </c:pt>
                <c:pt idx="102">
                  <c:v>201006</c:v>
                </c:pt>
                <c:pt idx="103">
                  <c:v>201007</c:v>
                </c:pt>
                <c:pt idx="104">
                  <c:v>201008</c:v>
                </c:pt>
                <c:pt idx="105">
                  <c:v>201009</c:v>
                </c:pt>
                <c:pt idx="106">
                  <c:v>201010</c:v>
                </c:pt>
                <c:pt idx="107">
                  <c:v>201011</c:v>
                </c:pt>
                <c:pt idx="108">
                  <c:v>201012</c:v>
                </c:pt>
                <c:pt idx="109">
                  <c:v>201101</c:v>
                </c:pt>
                <c:pt idx="110">
                  <c:v>201102</c:v>
                </c:pt>
                <c:pt idx="111">
                  <c:v>201103</c:v>
                </c:pt>
                <c:pt idx="112">
                  <c:v>201104</c:v>
                </c:pt>
                <c:pt idx="113">
                  <c:v>201105</c:v>
                </c:pt>
                <c:pt idx="114">
                  <c:v>201106</c:v>
                </c:pt>
                <c:pt idx="115">
                  <c:v>201107</c:v>
                </c:pt>
                <c:pt idx="116">
                  <c:v>201108</c:v>
                </c:pt>
                <c:pt idx="117">
                  <c:v>201109</c:v>
                </c:pt>
                <c:pt idx="118">
                  <c:v>201110</c:v>
                </c:pt>
                <c:pt idx="119">
                  <c:v>201111</c:v>
                </c:pt>
                <c:pt idx="120">
                  <c:v>201112</c:v>
                </c:pt>
                <c:pt idx="121">
                  <c:v>201201</c:v>
                </c:pt>
                <c:pt idx="122">
                  <c:v>201202</c:v>
                </c:pt>
                <c:pt idx="123">
                  <c:v>201203</c:v>
                </c:pt>
                <c:pt idx="124">
                  <c:v>201204</c:v>
                </c:pt>
                <c:pt idx="125">
                  <c:v>201205</c:v>
                </c:pt>
                <c:pt idx="126">
                  <c:v>201206</c:v>
                </c:pt>
                <c:pt idx="127">
                  <c:v>201207</c:v>
                </c:pt>
                <c:pt idx="128">
                  <c:v>201208</c:v>
                </c:pt>
                <c:pt idx="129">
                  <c:v>201209</c:v>
                </c:pt>
                <c:pt idx="130">
                  <c:v>201210</c:v>
                </c:pt>
                <c:pt idx="131">
                  <c:v>201211</c:v>
                </c:pt>
                <c:pt idx="132">
                  <c:v>201212</c:v>
                </c:pt>
                <c:pt idx="133">
                  <c:v>201301</c:v>
                </c:pt>
                <c:pt idx="134">
                  <c:v>201302</c:v>
                </c:pt>
                <c:pt idx="135">
                  <c:v>201303</c:v>
                </c:pt>
                <c:pt idx="136">
                  <c:v>201304</c:v>
                </c:pt>
                <c:pt idx="137">
                  <c:v>201305</c:v>
                </c:pt>
                <c:pt idx="138">
                  <c:v>201306</c:v>
                </c:pt>
                <c:pt idx="139">
                  <c:v>201307</c:v>
                </c:pt>
                <c:pt idx="140">
                  <c:v>201308</c:v>
                </c:pt>
                <c:pt idx="141">
                  <c:v>201309</c:v>
                </c:pt>
                <c:pt idx="142">
                  <c:v>201310</c:v>
                </c:pt>
                <c:pt idx="143">
                  <c:v>201311</c:v>
                </c:pt>
                <c:pt idx="144">
                  <c:v>201312</c:v>
                </c:pt>
                <c:pt idx="145">
                  <c:v>201401</c:v>
                </c:pt>
                <c:pt idx="146">
                  <c:v>201402</c:v>
                </c:pt>
                <c:pt idx="147">
                  <c:v>201403</c:v>
                </c:pt>
                <c:pt idx="148">
                  <c:v>201404</c:v>
                </c:pt>
                <c:pt idx="149">
                  <c:v>201405</c:v>
                </c:pt>
                <c:pt idx="150">
                  <c:v>201406</c:v>
                </c:pt>
                <c:pt idx="151">
                  <c:v>201407</c:v>
                </c:pt>
                <c:pt idx="152">
                  <c:v>201408</c:v>
                </c:pt>
                <c:pt idx="153">
                  <c:v>201409</c:v>
                </c:pt>
                <c:pt idx="154">
                  <c:v>201410</c:v>
                </c:pt>
                <c:pt idx="155">
                  <c:v>201411</c:v>
                </c:pt>
                <c:pt idx="156">
                  <c:v>201412</c:v>
                </c:pt>
                <c:pt idx="157">
                  <c:v>201501</c:v>
                </c:pt>
                <c:pt idx="158">
                  <c:v>201502</c:v>
                </c:pt>
                <c:pt idx="159">
                  <c:v>201503</c:v>
                </c:pt>
                <c:pt idx="160">
                  <c:v>201504</c:v>
                </c:pt>
                <c:pt idx="161">
                  <c:v>201505</c:v>
                </c:pt>
                <c:pt idx="162">
                  <c:v>201506</c:v>
                </c:pt>
                <c:pt idx="163">
                  <c:v>201507</c:v>
                </c:pt>
                <c:pt idx="164">
                  <c:v>201508</c:v>
                </c:pt>
                <c:pt idx="165">
                  <c:v>201509</c:v>
                </c:pt>
                <c:pt idx="166">
                  <c:v>201510</c:v>
                </c:pt>
                <c:pt idx="167">
                  <c:v>201511</c:v>
                </c:pt>
                <c:pt idx="168">
                  <c:v>201512</c:v>
                </c:pt>
                <c:pt idx="169">
                  <c:v>201601</c:v>
                </c:pt>
                <c:pt idx="170">
                  <c:v>201602</c:v>
                </c:pt>
                <c:pt idx="171">
                  <c:v>201603</c:v>
                </c:pt>
                <c:pt idx="172">
                  <c:v>201604</c:v>
                </c:pt>
                <c:pt idx="173">
                  <c:v>201605</c:v>
                </c:pt>
                <c:pt idx="174">
                  <c:v>201606</c:v>
                </c:pt>
                <c:pt idx="175">
                  <c:v>201607</c:v>
                </c:pt>
                <c:pt idx="176">
                  <c:v>201608</c:v>
                </c:pt>
                <c:pt idx="177">
                  <c:v>201609</c:v>
                </c:pt>
                <c:pt idx="178">
                  <c:v>201610</c:v>
                </c:pt>
                <c:pt idx="179">
                  <c:v>201611</c:v>
                </c:pt>
                <c:pt idx="180">
                  <c:v>201612</c:v>
                </c:pt>
                <c:pt idx="181">
                  <c:v>201701</c:v>
                </c:pt>
                <c:pt idx="182">
                  <c:v>201702</c:v>
                </c:pt>
                <c:pt idx="183">
                  <c:v>201703</c:v>
                </c:pt>
                <c:pt idx="184">
                  <c:v>201704</c:v>
                </c:pt>
                <c:pt idx="185">
                  <c:v>201705</c:v>
                </c:pt>
                <c:pt idx="186">
                  <c:v>201706</c:v>
                </c:pt>
                <c:pt idx="187">
                  <c:v>201707</c:v>
                </c:pt>
                <c:pt idx="188">
                  <c:v>201708</c:v>
                </c:pt>
                <c:pt idx="189">
                  <c:v>201709</c:v>
                </c:pt>
                <c:pt idx="190">
                  <c:v>201710</c:v>
                </c:pt>
                <c:pt idx="191">
                  <c:v>201711</c:v>
                </c:pt>
                <c:pt idx="192">
                  <c:v>201712</c:v>
                </c:pt>
                <c:pt idx="193">
                  <c:v>201801</c:v>
                </c:pt>
                <c:pt idx="194">
                  <c:v>201802</c:v>
                </c:pt>
                <c:pt idx="195">
                  <c:v>201803</c:v>
                </c:pt>
                <c:pt idx="196">
                  <c:v>201804</c:v>
                </c:pt>
                <c:pt idx="197">
                  <c:v>201805</c:v>
                </c:pt>
                <c:pt idx="198">
                  <c:v>201806</c:v>
                </c:pt>
                <c:pt idx="199">
                  <c:v>201807</c:v>
                </c:pt>
                <c:pt idx="200">
                  <c:v>201808</c:v>
                </c:pt>
                <c:pt idx="201">
                  <c:v>201809</c:v>
                </c:pt>
                <c:pt idx="202">
                  <c:v>201810</c:v>
                </c:pt>
                <c:pt idx="203">
                  <c:v>201811</c:v>
                </c:pt>
                <c:pt idx="204">
                  <c:v>201812</c:v>
                </c:pt>
                <c:pt idx="205">
                  <c:v>201901</c:v>
                </c:pt>
                <c:pt idx="206">
                  <c:v>201902</c:v>
                </c:pt>
                <c:pt idx="207">
                  <c:v>201903</c:v>
                </c:pt>
              </c:strCache>
            </c:strRef>
          </c:cat>
          <c:val>
            <c:numRef>
              <c:f>Sheet4!$B$5:$B$213</c:f>
              <c:numCache>
                <c:formatCode>General</c:formatCode>
                <c:ptCount val="208"/>
                <c:pt idx="68">
                  <c:v>335700.52</c:v>
                </c:pt>
                <c:pt idx="69">
                  <c:v>476577.19</c:v>
                </c:pt>
                <c:pt idx="70">
                  <c:v>556728.54</c:v>
                </c:pt>
                <c:pt idx="71">
                  <c:v>536953.22</c:v>
                </c:pt>
                <c:pt idx="72">
                  <c:v>626648.73</c:v>
                </c:pt>
                <c:pt idx="73">
                  <c:v>540923.91</c:v>
                </c:pt>
                <c:pt idx="74">
                  <c:v>607931.66</c:v>
                </c:pt>
                <c:pt idx="75">
                  <c:v>621964.56000000006</c:v>
                </c:pt>
                <c:pt idx="76">
                  <c:v>600172.01</c:v>
                </c:pt>
                <c:pt idx="77">
                  <c:v>683389.16999999993</c:v>
                </c:pt>
                <c:pt idx="78">
                  <c:v>601155.67000000004</c:v>
                </c:pt>
                <c:pt idx="79">
                  <c:v>626729.37</c:v>
                </c:pt>
                <c:pt idx="80">
                  <c:v>691093.49</c:v>
                </c:pt>
                <c:pt idx="81">
                  <c:v>580882.56999999995</c:v>
                </c:pt>
                <c:pt idx="82">
                  <c:v>733695.94</c:v>
                </c:pt>
                <c:pt idx="83">
                  <c:v>621682.81999999995</c:v>
                </c:pt>
                <c:pt idx="84">
                  <c:v>825548.18</c:v>
                </c:pt>
                <c:pt idx="85">
                  <c:v>596195.71</c:v>
                </c:pt>
                <c:pt idx="86">
                  <c:v>657033.93000000005</c:v>
                </c:pt>
                <c:pt idx="87">
                  <c:v>721205.26</c:v>
                </c:pt>
                <c:pt idx="88">
                  <c:v>723825.70999999985</c:v>
                </c:pt>
                <c:pt idx="89">
                  <c:v>670916.76</c:v>
                </c:pt>
                <c:pt idx="90">
                  <c:v>673845.18</c:v>
                </c:pt>
                <c:pt idx="91">
                  <c:v>655854.92000000004</c:v>
                </c:pt>
                <c:pt idx="92">
                  <c:v>677668.95</c:v>
                </c:pt>
                <c:pt idx="93">
                  <c:v>719811.99</c:v>
                </c:pt>
                <c:pt idx="94">
                  <c:v>661618.43000000005</c:v>
                </c:pt>
                <c:pt idx="95">
                  <c:v>673977.82</c:v>
                </c:pt>
                <c:pt idx="96">
                  <c:v>718704.53</c:v>
                </c:pt>
                <c:pt idx="97">
                  <c:v>597527.15</c:v>
                </c:pt>
                <c:pt idx="98">
                  <c:v>601612.74</c:v>
                </c:pt>
                <c:pt idx="99">
                  <c:v>738505.97</c:v>
                </c:pt>
                <c:pt idx="100">
                  <c:v>613935.52</c:v>
                </c:pt>
                <c:pt idx="101">
                  <c:v>590895.84000000008</c:v>
                </c:pt>
                <c:pt idx="102">
                  <c:v>745195.11</c:v>
                </c:pt>
                <c:pt idx="103">
                  <c:v>725363.7300000001</c:v>
                </c:pt>
                <c:pt idx="104">
                  <c:v>675834.73</c:v>
                </c:pt>
                <c:pt idx="105">
                  <c:v>705159.19</c:v>
                </c:pt>
                <c:pt idx="106">
                  <c:v>752285.54999999981</c:v>
                </c:pt>
                <c:pt idx="107">
                  <c:v>781317.73</c:v>
                </c:pt>
                <c:pt idx="108">
                  <c:v>858248.03999999992</c:v>
                </c:pt>
                <c:pt idx="109">
                  <c:v>720081.65999999992</c:v>
                </c:pt>
                <c:pt idx="110">
                  <c:v>718601.08</c:v>
                </c:pt>
                <c:pt idx="111">
                  <c:v>885165.3899999999</c:v>
                </c:pt>
                <c:pt idx="112">
                  <c:v>819971.67</c:v>
                </c:pt>
                <c:pt idx="113">
                  <c:v>901679.94000000006</c:v>
                </c:pt>
                <c:pt idx="114">
                  <c:v>867815.07000000007</c:v>
                </c:pt>
                <c:pt idx="115">
                  <c:v>970277.14999999991</c:v>
                </c:pt>
                <c:pt idx="116">
                  <c:v>912069.10000000009</c:v>
                </c:pt>
                <c:pt idx="117">
                  <c:v>969989.76</c:v>
                </c:pt>
                <c:pt idx="118">
                  <c:v>980755.52999999991</c:v>
                </c:pt>
                <c:pt idx="119">
                  <c:v>1007239.41</c:v>
                </c:pt>
                <c:pt idx="120">
                  <c:v>1018010.7000000001</c:v>
                </c:pt>
                <c:pt idx="121">
                  <c:v>1011881.6100000001</c:v>
                </c:pt>
                <c:pt idx="122">
                  <c:v>891978.9</c:v>
                </c:pt>
                <c:pt idx="123">
                  <c:v>1042448.0700000001</c:v>
                </c:pt>
                <c:pt idx="124">
                  <c:v>693176.67999999993</c:v>
                </c:pt>
                <c:pt idx="125">
                  <c:v>1221482.6000000001</c:v>
                </c:pt>
                <c:pt idx="126">
                  <c:v>1154220.77</c:v>
                </c:pt>
                <c:pt idx="127">
                  <c:v>1330705.57</c:v>
                </c:pt>
                <c:pt idx="128">
                  <c:v>1478331.3599999999</c:v>
                </c:pt>
                <c:pt idx="129">
                  <c:v>1416950.38</c:v>
                </c:pt>
                <c:pt idx="130">
                  <c:v>1664578.0399999998</c:v>
                </c:pt>
                <c:pt idx="131">
                  <c:v>1659613.2899999998</c:v>
                </c:pt>
                <c:pt idx="132">
                  <c:v>1876348.2399999998</c:v>
                </c:pt>
                <c:pt idx="133">
                  <c:v>1803799.78</c:v>
                </c:pt>
                <c:pt idx="134">
                  <c:v>1606825.7600000002</c:v>
                </c:pt>
                <c:pt idx="135">
                  <c:v>1932047.08</c:v>
                </c:pt>
                <c:pt idx="136">
                  <c:v>1988097.6099999999</c:v>
                </c:pt>
                <c:pt idx="137">
                  <c:v>2224422.9000000004</c:v>
                </c:pt>
                <c:pt idx="138">
                  <c:v>2007902.03</c:v>
                </c:pt>
                <c:pt idx="139">
                  <c:v>2266963.11</c:v>
                </c:pt>
                <c:pt idx="140">
                  <c:v>2055896.85</c:v>
                </c:pt>
                <c:pt idx="141">
                  <c:v>2153215.7600000002</c:v>
                </c:pt>
                <c:pt idx="142">
                  <c:v>2451069.2100000004</c:v>
                </c:pt>
                <c:pt idx="143">
                  <c:v>2374398.71</c:v>
                </c:pt>
                <c:pt idx="144">
                  <c:v>2666332.9699999997</c:v>
                </c:pt>
                <c:pt idx="145">
                  <c:v>2493130.85</c:v>
                </c:pt>
                <c:pt idx="146">
                  <c:v>2248455.2599999998</c:v>
                </c:pt>
                <c:pt idx="147">
                  <c:v>2756849.9099999997</c:v>
                </c:pt>
                <c:pt idx="148">
                  <c:v>2445165.1500000004</c:v>
                </c:pt>
                <c:pt idx="149">
                  <c:v>2678218.08</c:v>
                </c:pt>
                <c:pt idx="150">
                  <c:v>2698929.6100000003</c:v>
                </c:pt>
                <c:pt idx="151">
                  <c:v>2957545.02</c:v>
                </c:pt>
                <c:pt idx="152">
                  <c:v>2823062.7900000005</c:v>
                </c:pt>
                <c:pt idx="153">
                  <c:v>2708787.96</c:v>
                </c:pt>
                <c:pt idx="154">
                  <c:v>2882993.18</c:v>
                </c:pt>
                <c:pt idx="155">
                  <c:v>2805705.63</c:v>
                </c:pt>
                <c:pt idx="156">
                  <c:v>3332306.92</c:v>
                </c:pt>
                <c:pt idx="157">
                  <c:v>2769113.63</c:v>
                </c:pt>
                <c:pt idx="158">
                  <c:v>2786012.18</c:v>
                </c:pt>
                <c:pt idx="159">
                  <c:v>3324535.24</c:v>
                </c:pt>
                <c:pt idx="160">
                  <c:v>3134187.8</c:v>
                </c:pt>
                <c:pt idx="161">
                  <c:v>3172864.4299999997</c:v>
                </c:pt>
                <c:pt idx="162">
                  <c:v>3143783.73</c:v>
                </c:pt>
                <c:pt idx="163">
                  <c:v>3164846.98</c:v>
                </c:pt>
                <c:pt idx="164">
                  <c:v>3347621.9</c:v>
                </c:pt>
                <c:pt idx="165">
                  <c:v>3265867.1</c:v>
                </c:pt>
                <c:pt idx="166">
                  <c:v>3253689.7600000002</c:v>
                </c:pt>
                <c:pt idx="167">
                  <c:v>3237949.1</c:v>
                </c:pt>
                <c:pt idx="168">
                  <c:v>3873682.6799999997</c:v>
                </c:pt>
                <c:pt idx="169">
                  <c:v>3080287.5700000003</c:v>
                </c:pt>
                <c:pt idx="170">
                  <c:v>3329845.11</c:v>
                </c:pt>
                <c:pt idx="171">
                  <c:v>3697665.1899999995</c:v>
                </c:pt>
                <c:pt idx="172">
                  <c:v>3155300.88</c:v>
                </c:pt>
                <c:pt idx="173">
                  <c:v>3527274.09</c:v>
                </c:pt>
                <c:pt idx="174">
                  <c:v>3311693.62</c:v>
                </c:pt>
                <c:pt idx="175">
                  <c:v>3601780.7199999993</c:v>
                </c:pt>
                <c:pt idx="176">
                  <c:v>3681203.1399999997</c:v>
                </c:pt>
                <c:pt idx="177">
                  <c:v>3695653.58</c:v>
                </c:pt>
                <c:pt idx="178">
                  <c:v>3460967.959999999</c:v>
                </c:pt>
                <c:pt idx="179">
                  <c:v>3725164.2199999997</c:v>
                </c:pt>
                <c:pt idx="180">
                  <c:v>3853801.5999999996</c:v>
                </c:pt>
                <c:pt idx="181">
                  <c:v>3545820.35</c:v>
                </c:pt>
                <c:pt idx="182">
                  <c:v>3362481.41</c:v>
                </c:pt>
                <c:pt idx="183">
                  <c:v>4037696.8000000007</c:v>
                </c:pt>
                <c:pt idx="184">
                  <c:v>3530330.2700000005</c:v>
                </c:pt>
                <c:pt idx="185">
                  <c:v>4170002.6100000003</c:v>
                </c:pt>
                <c:pt idx="186">
                  <c:v>3800614.4000000004</c:v>
                </c:pt>
                <c:pt idx="187">
                  <c:v>3830238.8599999994</c:v>
                </c:pt>
                <c:pt idx="188">
                  <c:v>4156134.42</c:v>
                </c:pt>
                <c:pt idx="189">
                  <c:v>3927576.1700000004</c:v>
                </c:pt>
                <c:pt idx="190">
                  <c:v>3977011.2299999995</c:v>
                </c:pt>
                <c:pt idx="191">
                  <c:v>4041710.4499999997</c:v>
                </c:pt>
                <c:pt idx="192">
                  <c:v>4146918.98</c:v>
                </c:pt>
                <c:pt idx="193">
                  <c:v>4180123.6599999997</c:v>
                </c:pt>
                <c:pt idx="194">
                  <c:v>3816871.2299999995</c:v>
                </c:pt>
                <c:pt idx="195">
                  <c:v>4015554.8899999997</c:v>
                </c:pt>
                <c:pt idx="196">
                  <c:v>4212078.8100000005</c:v>
                </c:pt>
                <c:pt idx="197">
                  <c:v>4799138.1899999995</c:v>
                </c:pt>
                <c:pt idx="198">
                  <c:v>3557360.1300000004</c:v>
                </c:pt>
                <c:pt idx="199">
                  <c:v>4000525.51</c:v>
                </c:pt>
                <c:pt idx="200">
                  <c:v>4077813.56</c:v>
                </c:pt>
                <c:pt idx="201">
                  <c:v>3905597.3099999996</c:v>
                </c:pt>
                <c:pt idx="202">
                  <c:v>4061880.3200000003</c:v>
                </c:pt>
                <c:pt idx="203">
                  <c:v>4292402.95</c:v>
                </c:pt>
                <c:pt idx="204">
                  <c:v>3969140.91</c:v>
                </c:pt>
                <c:pt idx="205">
                  <c:v>3988962.04</c:v>
                </c:pt>
                <c:pt idx="206">
                  <c:v>3787093.58</c:v>
                </c:pt>
                <c:pt idx="207">
                  <c:v>4171970.0799999996</c:v>
                </c:pt>
              </c:numCache>
            </c:numRef>
          </c:val>
          <c:smooth val="0"/>
          <c:extLst>
            <c:ext xmlns:c16="http://schemas.microsoft.com/office/drawing/2014/chart" uri="{C3380CC4-5D6E-409C-BE32-E72D297353CC}">
              <c16:uniqueId val="{00000000-625A-43FE-B65F-DC0CF151B770}"/>
            </c:ext>
          </c:extLst>
        </c:ser>
        <c:ser>
          <c:idx val="1"/>
          <c:order val="1"/>
          <c:tx>
            <c:strRef>
              <c:f>Sheet4!$C$3:$C$4</c:f>
              <c:strCache>
                <c:ptCount val="1"/>
                <c:pt idx="0">
                  <c:v>IMATINIB</c:v>
                </c:pt>
              </c:strCache>
            </c:strRef>
          </c:tx>
          <c:spPr>
            <a:ln w="28575" cap="rnd">
              <a:solidFill>
                <a:schemeClr val="accent2"/>
              </a:solidFill>
              <a:round/>
            </a:ln>
            <a:effectLst/>
          </c:spPr>
          <c:marker>
            <c:symbol val="none"/>
          </c:marker>
          <c:cat>
            <c:strRef>
              <c:f>Sheet4!$A$5:$A$213</c:f>
              <c:strCache>
                <c:ptCount val="208"/>
                <c:pt idx="0">
                  <c:v>200112</c:v>
                </c:pt>
                <c:pt idx="1">
                  <c:v>200201</c:v>
                </c:pt>
                <c:pt idx="2">
                  <c:v>200202</c:v>
                </c:pt>
                <c:pt idx="3">
                  <c:v>200203</c:v>
                </c:pt>
                <c:pt idx="4">
                  <c:v>200204</c:v>
                </c:pt>
                <c:pt idx="5">
                  <c:v>200205</c:v>
                </c:pt>
                <c:pt idx="6">
                  <c:v>200206</c:v>
                </c:pt>
                <c:pt idx="7">
                  <c:v>200207</c:v>
                </c:pt>
                <c:pt idx="8">
                  <c:v>200208</c:v>
                </c:pt>
                <c:pt idx="9">
                  <c:v>200209</c:v>
                </c:pt>
                <c:pt idx="10">
                  <c:v>200210</c:v>
                </c:pt>
                <c:pt idx="11">
                  <c:v>200211</c:v>
                </c:pt>
                <c:pt idx="12">
                  <c:v>200212</c:v>
                </c:pt>
                <c:pt idx="13">
                  <c:v>200301</c:v>
                </c:pt>
                <c:pt idx="14">
                  <c:v>200302</c:v>
                </c:pt>
                <c:pt idx="15">
                  <c:v>200303</c:v>
                </c:pt>
                <c:pt idx="16">
                  <c:v>200304</c:v>
                </c:pt>
                <c:pt idx="17">
                  <c:v>200305</c:v>
                </c:pt>
                <c:pt idx="18">
                  <c:v>200306</c:v>
                </c:pt>
                <c:pt idx="19">
                  <c:v>200307</c:v>
                </c:pt>
                <c:pt idx="20">
                  <c:v>200308</c:v>
                </c:pt>
                <c:pt idx="21">
                  <c:v>200309</c:v>
                </c:pt>
                <c:pt idx="22">
                  <c:v>200310</c:v>
                </c:pt>
                <c:pt idx="23">
                  <c:v>200311</c:v>
                </c:pt>
                <c:pt idx="24">
                  <c:v>200312</c:v>
                </c:pt>
                <c:pt idx="25">
                  <c:v>200401</c:v>
                </c:pt>
                <c:pt idx="26">
                  <c:v>200402</c:v>
                </c:pt>
                <c:pt idx="27">
                  <c:v>200403</c:v>
                </c:pt>
                <c:pt idx="28">
                  <c:v>200404</c:v>
                </c:pt>
                <c:pt idx="29">
                  <c:v>200405</c:v>
                </c:pt>
                <c:pt idx="30">
                  <c:v>200406</c:v>
                </c:pt>
                <c:pt idx="31">
                  <c:v>200407</c:v>
                </c:pt>
                <c:pt idx="32">
                  <c:v>200408</c:v>
                </c:pt>
                <c:pt idx="33">
                  <c:v>200409</c:v>
                </c:pt>
                <c:pt idx="34">
                  <c:v>200410</c:v>
                </c:pt>
                <c:pt idx="35">
                  <c:v>200411</c:v>
                </c:pt>
                <c:pt idx="36">
                  <c:v>200412</c:v>
                </c:pt>
                <c:pt idx="37">
                  <c:v>200501</c:v>
                </c:pt>
                <c:pt idx="38">
                  <c:v>200502</c:v>
                </c:pt>
                <c:pt idx="39">
                  <c:v>200503</c:v>
                </c:pt>
                <c:pt idx="40">
                  <c:v>200504</c:v>
                </c:pt>
                <c:pt idx="41">
                  <c:v>200505</c:v>
                </c:pt>
                <c:pt idx="42">
                  <c:v>200506</c:v>
                </c:pt>
                <c:pt idx="43">
                  <c:v>200507</c:v>
                </c:pt>
                <c:pt idx="44">
                  <c:v>200508</c:v>
                </c:pt>
                <c:pt idx="45">
                  <c:v>200509</c:v>
                </c:pt>
                <c:pt idx="46">
                  <c:v>200510</c:v>
                </c:pt>
                <c:pt idx="47">
                  <c:v>200511</c:v>
                </c:pt>
                <c:pt idx="48">
                  <c:v>200512</c:v>
                </c:pt>
                <c:pt idx="49">
                  <c:v>200601</c:v>
                </c:pt>
                <c:pt idx="50">
                  <c:v>200602</c:v>
                </c:pt>
                <c:pt idx="51">
                  <c:v>200603</c:v>
                </c:pt>
                <c:pt idx="52">
                  <c:v>200604</c:v>
                </c:pt>
                <c:pt idx="53">
                  <c:v>200605</c:v>
                </c:pt>
                <c:pt idx="54">
                  <c:v>200606</c:v>
                </c:pt>
                <c:pt idx="55">
                  <c:v>200607</c:v>
                </c:pt>
                <c:pt idx="56">
                  <c:v>200608</c:v>
                </c:pt>
                <c:pt idx="57">
                  <c:v>200609</c:v>
                </c:pt>
                <c:pt idx="58">
                  <c:v>200610</c:v>
                </c:pt>
                <c:pt idx="59">
                  <c:v>200611</c:v>
                </c:pt>
                <c:pt idx="60">
                  <c:v>200612</c:v>
                </c:pt>
                <c:pt idx="61">
                  <c:v>200701</c:v>
                </c:pt>
                <c:pt idx="62">
                  <c:v>200702</c:v>
                </c:pt>
                <c:pt idx="63">
                  <c:v>200703</c:v>
                </c:pt>
                <c:pt idx="64">
                  <c:v>200704</c:v>
                </c:pt>
                <c:pt idx="65">
                  <c:v>200705</c:v>
                </c:pt>
                <c:pt idx="66">
                  <c:v>200706</c:v>
                </c:pt>
                <c:pt idx="67">
                  <c:v>200707</c:v>
                </c:pt>
                <c:pt idx="68">
                  <c:v>200708</c:v>
                </c:pt>
                <c:pt idx="69">
                  <c:v>200709</c:v>
                </c:pt>
                <c:pt idx="70">
                  <c:v>200710</c:v>
                </c:pt>
                <c:pt idx="71">
                  <c:v>200711</c:v>
                </c:pt>
                <c:pt idx="72">
                  <c:v>200712</c:v>
                </c:pt>
                <c:pt idx="73">
                  <c:v>200801</c:v>
                </c:pt>
                <c:pt idx="74">
                  <c:v>200802</c:v>
                </c:pt>
                <c:pt idx="75">
                  <c:v>200803</c:v>
                </c:pt>
                <c:pt idx="76">
                  <c:v>200804</c:v>
                </c:pt>
                <c:pt idx="77">
                  <c:v>200805</c:v>
                </c:pt>
                <c:pt idx="78">
                  <c:v>200806</c:v>
                </c:pt>
                <c:pt idx="79">
                  <c:v>200807</c:v>
                </c:pt>
                <c:pt idx="80">
                  <c:v>200808</c:v>
                </c:pt>
                <c:pt idx="81">
                  <c:v>200809</c:v>
                </c:pt>
                <c:pt idx="82">
                  <c:v>200810</c:v>
                </c:pt>
                <c:pt idx="83">
                  <c:v>200811</c:v>
                </c:pt>
                <c:pt idx="84">
                  <c:v>200812</c:v>
                </c:pt>
                <c:pt idx="85">
                  <c:v>200901</c:v>
                </c:pt>
                <c:pt idx="86">
                  <c:v>200902</c:v>
                </c:pt>
                <c:pt idx="87">
                  <c:v>200903</c:v>
                </c:pt>
                <c:pt idx="88">
                  <c:v>200904</c:v>
                </c:pt>
                <c:pt idx="89">
                  <c:v>200905</c:v>
                </c:pt>
                <c:pt idx="90">
                  <c:v>200906</c:v>
                </c:pt>
                <c:pt idx="91">
                  <c:v>200907</c:v>
                </c:pt>
                <c:pt idx="92">
                  <c:v>200908</c:v>
                </c:pt>
                <c:pt idx="93">
                  <c:v>200909</c:v>
                </c:pt>
                <c:pt idx="94">
                  <c:v>200910</c:v>
                </c:pt>
                <c:pt idx="95">
                  <c:v>200911</c:v>
                </c:pt>
                <c:pt idx="96">
                  <c:v>200912</c:v>
                </c:pt>
                <c:pt idx="97">
                  <c:v>201001</c:v>
                </c:pt>
                <c:pt idx="98">
                  <c:v>201002</c:v>
                </c:pt>
                <c:pt idx="99">
                  <c:v>201003</c:v>
                </c:pt>
                <c:pt idx="100">
                  <c:v>201004</c:v>
                </c:pt>
                <c:pt idx="101">
                  <c:v>201005</c:v>
                </c:pt>
                <c:pt idx="102">
                  <c:v>201006</c:v>
                </c:pt>
                <c:pt idx="103">
                  <c:v>201007</c:v>
                </c:pt>
                <c:pt idx="104">
                  <c:v>201008</c:v>
                </c:pt>
                <c:pt idx="105">
                  <c:v>201009</c:v>
                </c:pt>
                <c:pt idx="106">
                  <c:v>201010</c:v>
                </c:pt>
                <c:pt idx="107">
                  <c:v>201011</c:v>
                </c:pt>
                <c:pt idx="108">
                  <c:v>201012</c:v>
                </c:pt>
                <c:pt idx="109">
                  <c:v>201101</c:v>
                </c:pt>
                <c:pt idx="110">
                  <c:v>201102</c:v>
                </c:pt>
                <c:pt idx="111">
                  <c:v>201103</c:v>
                </c:pt>
                <c:pt idx="112">
                  <c:v>201104</c:v>
                </c:pt>
                <c:pt idx="113">
                  <c:v>201105</c:v>
                </c:pt>
                <c:pt idx="114">
                  <c:v>201106</c:v>
                </c:pt>
                <c:pt idx="115">
                  <c:v>201107</c:v>
                </c:pt>
                <c:pt idx="116">
                  <c:v>201108</c:v>
                </c:pt>
                <c:pt idx="117">
                  <c:v>201109</c:v>
                </c:pt>
                <c:pt idx="118">
                  <c:v>201110</c:v>
                </c:pt>
                <c:pt idx="119">
                  <c:v>201111</c:v>
                </c:pt>
                <c:pt idx="120">
                  <c:v>201112</c:v>
                </c:pt>
                <c:pt idx="121">
                  <c:v>201201</c:v>
                </c:pt>
                <c:pt idx="122">
                  <c:v>201202</c:v>
                </c:pt>
                <c:pt idx="123">
                  <c:v>201203</c:v>
                </c:pt>
                <c:pt idx="124">
                  <c:v>201204</c:v>
                </c:pt>
                <c:pt idx="125">
                  <c:v>201205</c:v>
                </c:pt>
                <c:pt idx="126">
                  <c:v>201206</c:v>
                </c:pt>
                <c:pt idx="127">
                  <c:v>201207</c:v>
                </c:pt>
                <c:pt idx="128">
                  <c:v>201208</c:v>
                </c:pt>
                <c:pt idx="129">
                  <c:v>201209</c:v>
                </c:pt>
                <c:pt idx="130">
                  <c:v>201210</c:v>
                </c:pt>
                <c:pt idx="131">
                  <c:v>201211</c:v>
                </c:pt>
                <c:pt idx="132">
                  <c:v>201212</c:v>
                </c:pt>
                <c:pt idx="133">
                  <c:v>201301</c:v>
                </c:pt>
                <c:pt idx="134">
                  <c:v>201302</c:v>
                </c:pt>
                <c:pt idx="135">
                  <c:v>201303</c:v>
                </c:pt>
                <c:pt idx="136">
                  <c:v>201304</c:v>
                </c:pt>
                <c:pt idx="137">
                  <c:v>201305</c:v>
                </c:pt>
                <c:pt idx="138">
                  <c:v>201306</c:v>
                </c:pt>
                <c:pt idx="139">
                  <c:v>201307</c:v>
                </c:pt>
                <c:pt idx="140">
                  <c:v>201308</c:v>
                </c:pt>
                <c:pt idx="141">
                  <c:v>201309</c:v>
                </c:pt>
                <c:pt idx="142">
                  <c:v>201310</c:v>
                </c:pt>
                <c:pt idx="143">
                  <c:v>201311</c:v>
                </c:pt>
                <c:pt idx="144">
                  <c:v>201312</c:v>
                </c:pt>
                <c:pt idx="145">
                  <c:v>201401</c:v>
                </c:pt>
                <c:pt idx="146">
                  <c:v>201402</c:v>
                </c:pt>
                <c:pt idx="147">
                  <c:v>201403</c:v>
                </c:pt>
                <c:pt idx="148">
                  <c:v>201404</c:v>
                </c:pt>
                <c:pt idx="149">
                  <c:v>201405</c:v>
                </c:pt>
                <c:pt idx="150">
                  <c:v>201406</c:v>
                </c:pt>
                <c:pt idx="151">
                  <c:v>201407</c:v>
                </c:pt>
                <c:pt idx="152">
                  <c:v>201408</c:v>
                </c:pt>
                <c:pt idx="153">
                  <c:v>201409</c:v>
                </c:pt>
                <c:pt idx="154">
                  <c:v>201410</c:v>
                </c:pt>
                <c:pt idx="155">
                  <c:v>201411</c:v>
                </c:pt>
                <c:pt idx="156">
                  <c:v>201412</c:v>
                </c:pt>
                <c:pt idx="157">
                  <c:v>201501</c:v>
                </c:pt>
                <c:pt idx="158">
                  <c:v>201502</c:v>
                </c:pt>
                <c:pt idx="159">
                  <c:v>201503</c:v>
                </c:pt>
                <c:pt idx="160">
                  <c:v>201504</c:v>
                </c:pt>
                <c:pt idx="161">
                  <c:v>201505</c:v>
                </c:pt>
                <c:pt idx="162">
                  <c:v>201506</c:v>
                </c:pt>
                <c:pt idx="163">
                  <c:v>201507</c:v>
                </c:pt>
                <c:pt idx="164">
                  <c:v>201508</c:v>
                </c:pt>
                <c:pt idx="165">
                  <c:v>201509</c:v>
                </c:pt>
                <c:pt idx="166">
                  <c:v>201510</c:v>
                </c:pt>
                <c:pt idx="167">
                  <c:v>201511</c:v>
                </c:pt>
                <c:pt idx="168">
                  <c:v>201512</c:v>
                </c:pt>
                <c:pt idx="169">
                  <c:v>201601</c:v>
                </c:pt>
                <c:pt idx="170">
                  <c:v>201602</c:v>
                </c:pt>
                <c:pt idx="171">
                  <c:v>201603</c:v>
                </c:pt>
                <c:pt idx="172">
                  <c:v>201604</c:v>
                </c:pt>
                <c:pt idx="173">
                  <c:v>201605</c:v>
                </c:pt>
                <c:pt idx="174">
                  <c:v>201606</c:v>
                </c:pt>
                <c:pt idx="175">
                  <c:v>201607</c:v>
                </c:pt>
                <c:pt idx="176">
                  <c:v>201608</c:v>
                </c:pt>
                <c:pt idx="177">
                  <c:v>201609</c:v>
                </c:pt>
                <c:pt idx="178">
                  <c:v>201610</c:v>
                </c:pt>
                <c:pt idx="179">
                  <c:v>201611</c:v>
                </c:pt>
                <c:pt idx="180">
                  <c:v>201612</c:v>
                </c:pt>
                <c:pt idx="181">
                  <c:v>201701</c:v>
                </c:pt>
                <c:pt idx="182">
                  <c:v>201702</c:v>
                </c:pt>
                <c:pt idx="183">
                  <c:v>201703</c:v>
                </c:pt>
                <c:pt idx="184">
                  <c:v>201704</c:v>
                </c:pt>
                <c:pt idx="185">
                  <c:v>201705</c:v>
                </c:pt>
                <c:pt idx="186">
                  <c:v>201706</c:v>
                </c:pt>
                <c:pt idx="187">
                  <c:v>201707</c:v>
                </c:pt>
                <c:pt idx="188">
                  <c:v>201708</c:v>
                </c:pt>
                <c:pt idx="189">
                  <c:v>201709</c:v>
                </c:pt>
                <c:pt idx="190">
                  <c:v>201710</c:v>
                </c:pt>
                <c:pt idx="191">
                  <c:v>201711</c:v>
                </c:pt>
                <c:pt idx="192">
                  <c:v>201712</c:v>
                </c:pt>
                <c:pt idx="193">
                  <c:v>201801</c:v>
                </c:pt>
                <c:pt idx="194">
                  <c:v>201802</c:v>
                </c:pt>
                <c:pt idx="195">
                  <c:v>201803</c:v>
                </c:pt>
                <c:pt idx="196">
                  <c:v>201804</c:v>
                </c:pt>
                <c:pt idx="197">
                  <c:v>201805</c:v>
                </c:pt>
                <c:pt idx="198">
                  <c:v>201806</c:v>
                </c:pt>
                <c:pt idx="199">
                  <c:v>201807</c:v>
                </c:pt>
                <c:pt idx="200">
                  <c:v>201808</c:v>
                </c:pt>
                <c:pt idx="201">
                  <c:v>201809</c:v>
                </c:pt>
                <c:pt idx="202">
                  <c:v>201810</c:v>
                </c:pt>
                <c:pt idx="203">
                  <c:v>201811</c:v>
                </c:pt>
                <c:pt idx="204">
                  <c:v>201812</c:v>
                </c:pt>
                <c:pt idx="205">
                  <c:v>201901</c:v>
                </c:pt>
                <c:pt idx="206">
                  <c:v>201902</c:v>
                </c:pt>
                <c:pt idx="207">
                  <c:v>201903</c:v>
                </c:pt>
              </c:strCache>
            </c:strRef>
          </c:cat>
          <c:val>
            <c:numRef>
              <c:f>Sheet4!$C$5:$C$213</c:f>
              <c:numCache>
                <c:formatCode>General</c:formatCode>
                <c:ptCount val="208"/>
                <c:pt idx="0">
                  <c:v>368438.13999999996</c:v>
                </c:pt>
                <c:pt idx="1">
                  <c:v>422208.92</c:v>
                </c:pt>
                <c:pt idx="2">
                  <c:v>498515.80000000005</c:v>
                </c:pt>
                <c:pt idx="3">
                  <c:v>518824.5</c:v>
                </c:pt>
                <c:pt idx="4">
                  <c:v>530008.14</c:v>
                </c:pt>
                <c:pt idx="5">
                  <c:v>718312.72</c:v>
                </c:pt>
                <c:pt idx="6">
                  <c:v>585860.24</c:v>
                </c:pt>
                <c:pt idx="7">
                  <c:v>763356.92</c:v>
                </c:pt>
                <c:pt idx="8">
                  <c:v>698345.39999999991</c:v>
                </c:pt>
                <c:pt idx="9">
                  <c:v>770131.83000000007</c:v>
                </c:pt>
                <c:pt idx="10">
                  <c:v>693636.18</c:v>
                </c:pt>
                <c:pt idx="11">
                  <c:v>920060.53</c:v>
                </c:pt>
                <c:pt idx="12">
                  <c:v>1433860.41</c:v>
                </c:pt>
                <c:pt idx="13">
                  <c:v>1300143.3799999997</c:v>
                </c:pt>
                <c:pt idx="14">
                  <c:v>1227423.54</c:v>
                </c:pt>
                <c:pt idx="15">
                  <c:v>1355364.46</c:v>
                </c:pt>
                <c:pt idx="16">
                  <c:v>1463863.56</c:v>
                </c:pt>
                <c:pt idx="17">
                  <c:v>1533990.8699999999</c:v>
                </c:pt>
                <c:pt idx="18">
                  <c:v>1393418.0000000002</c:v>
                </c:pt>
                <c:pt idx="19">
                  <c:v>1673163.07</c:v>
                </c:pt>
                <c:pt idx="20">
                  <c:v>1519882.05</c:v>
                </c:pt>
                <c:pt idx="21">
                  <c:v>1657242.8499999999</c:v>
                </c:pt>
                <c:pt idx="22">
                  <c:v>1875467.1400000001</c:v>
                </c:pt>
                <c:pt idx="23">
                  <c:v>1700803.9500000002</c:v>
                </c:pt>
                <c:pt idx="24">
                  <c:v>2258930.29</c:v>
                </c:pt>
                <c:pt idx="25">
                  <c:v>2072331.1300000001</c:v>
                </c:pt>
                <c:pt idx="26">
                  <c:v>2128442.7600000002</c:v>
                </c:pt>
                <c:pt idx="27">
                  <c:v>2353276.87</c:v>
                </c:pt>
                <c:pt idx="28">
                  <c:v>2317396.13</c:v>
                </c:pt>
                <c:pt idx="29">
                  <c:v>2252957.0099999998</c:v>
                </c:pt>
                <c:pt idx="30">
                  <c:v>2152724.6799999997</c:v>
                </c:pt>
                <c:pt idx="31">
                  <c:v>2181095.2999999998</c:v>
                </c:pt>
                <c:pt idx="32">
                  <c:v>2083669.6000000003</c:v>
                </c:pt>
                <c:pt idx="33">
                  <c:v>2130285.86</c:v>
                </c:pt>
                <c:pt idx="34">
                  <c:v>2251604.09</c:v>
                </c:pt>
                <c:pt idx="35">
                  <c:v>2626396.19</c:v>
                </c:pt>
                <c:pt idx="36">
                  <c:v>3125313.87</c:v>
                </c:pt>
                <c:pt idx="37">
                  <c:v>2628704.94</c:v>
                </c:pt>
                <c:pt idx="38">
                  <c:v>2916059.8099999996</c:v>
                </c:pt>
                <c:pt idx="39">
                  <c:v>3290650.0799999996</c:v>
                </c:pt>
                <c:pt idx="40">
                  <c:v>3317886.7600000002</c:v>
                </c:pt>
                <c:pt idx="41">
                  <c:v>3786993.42</c:v>
                </c:pt>
                <c:pt idx="42">
                  <c:v>3495401.56</c:v>
                </c:pt>
                <c:pt idx="43">
                  <c:v>3825738.52</c:v>
                </c:pt>
                <c:pt idx="44">
                  <c:v>3973867.2399999998</c:v>
                </c:pt>
                <c:pt idx="45">
                  <c:v>3790832.5500000003</c:v>
                </c:pt>
                <c:pt idx="46">
                  <c:v>3765506.63</c:v>
                </c:pt>
                <c:pt idx="47">
                  <c:v>4010575.5</c:v>
                </c:pt>
                <c:pt idx="48">
                  <c:v>4508845.3899999997</c:v>
                </c:pt>
                <c:pt idx="49">
                  <c:v>3739939.5900000003</c:v>
                </c:pt>
                <c:pt idx="50">
                  <c:v>3711867.9799999995</c:v>
                </c:pt>
                <c:pt idx="51">
                  <c:v>4265399.54</c:v>
                </c:pt>
                <c:pt idx="52">
                  <c:v>3963032.48</c:v>
                </c:pt>
                <c:pt idx="53">
                  <c:v>4553428.5</c:v>
                </c:pt>
                <c:pt idx="54">
                  <c:v>4185162.7</c:v>
                </c:pt>
                <c:pt idx="55">
                  <c:v>4112537.54</c:v>
                </c:pt>
                <c:pt idx="56">
                  <c:v>4242950.18</c:v>
                </c:pt>
                <c:pt idx="57">
                  <c:v>3918993.32</c:v>
                </c:pt>
                <c:pt idx="58">
                  <c:v>4357639.26</c:v>
                </c:pt>
                <c:pt idx="59">
                  <c:v>4224585.04</c:v>
                </c:pt>
                <c:pt idx="60">
                  <c:v>4408226.9499999993</c:v>
                </c:pt>
                <c:pt idx="61">
                  <c:v>4157390.0300000003</c:v>
                </c:pt>
                <c:pt idx="62">
                  <c:v>3956224.2399999998</c:v>
                </c:pt>
                <c:pt idx="63">
                  <c:v>4410804.68</c:v>
                </c:pt>
                <c:pt idx="64">
                  <c:v>4274850.3600000003</c:v>
                </c:pt>
                <c:pt idx="65">
                  <c:v>4711457.03</c:v>
                </c:pt>
                <c:pt idx="66">
                  <c:v>4247339.5199999996</c:v>
                </c:pt>
                <c:pt idx="67">
                  <c:v>4353063.1000000006</c:v>
                </c:pt>
                <c:pt idx="68">
                  <c:v>4683470.26</c:v>
                </c:pt>
                <c:pt idx="69">
                  <c:v>4173635.2199999997</c:v>
                </c:pt>
                <c:pt idx="70">
                  <c:v>4594158.51</c:v>
                </c:pt>
                <c:pt idx="71">
                  <c:v>4862925.5600000015</c:v>
                </c:pt>
                <c:pt idx="72">
                  <c:v>5013546.6399999997</c:v>
                </c:pt>
                <c:pt idx="73">
                  <c:v>4790646.6400000006</c:v>
                </c:pt>
                <c:pt idx="74">
                  <c:v>4649492.33</c:v>
                </c:pt>
                <c:pt idx="75">
                  <c:v>4913769.1899999995</c:v>
                </c:pt>
                <c:pt idx="76">
                  <c:v>5251467.88</c:v>
                </c:pt>
                <c:pt idx="77">
                  <c:v>5407612.7399999993</c:v>
                </c:pt>
                <c:pt idx="78">
                  <c:v>5037819.4700000007</c:v>
                </c:pt>
                <c:pt idx="79">
                  <c:v>5397858.2999999998</c:v>
                </c:pt>
                <c:pt idx="80">
                  <c:v>5059907.3299999991</c:v>
                </c:pt>
                <c:pt idx="81">
                  <c:v>5529203.3900000006</c:v>
                </c:pt>
                <c:pt idx="82">
                  <c:v>5427733.9800000004</c:v>
                </c:pt>
                <c:pt idx="83">
                  <c:v>5256553.0100000007</c:v>
                </c:pt>
                <c:pt idx="84">
                  <c:v>6348192.5199999996</c:v>
                </c:pt>
                <c:pt idx="85">
                  <c:v>5104062.2200000007</c:v>
                </c:pt>
                <c:pt idx="86">
                  <c:v>5376616.5700000003</c:v>
                </c:pt>
                <c:pt idx="87">
                  <c:v>5783843</c:v>
                </c:pt>
                <c:pt idx="88">
                  <c:v>5840987.9100000001</c:v>
                </c:pt>
                <c:pt idx="89">
                  <c:v>5713449.7300000004</c:v>
                </c:pt>
                <c:pt idx="90">
                  <c:v>5877317.79</c:v>
                </c:pt>
                <c:pt idx="91">
                  <c:v>5982703.6099999994</c:v>
                </c:pt>
                <c:pt idx="92">
                  <c:v>5979129.9899999993</c:v>
                </c:pt>
                <c:pt idx="93">
                  <c:v>6036512.7799999993</c:v>
                </c:pt>
                <c:pt idx="94">
                  <c:v>6003271.1100000003</c:v>
                </c:pt>
                <c:pt idx="95">
                  <c:v>5768836.5699999994</c:v>
                </c:pt>
                <c:pt idx="96">
                  <c:v>6775734.6600000001</c:v>
                </c:pt>
                <c:pt idx="97">
                  <c:v>5617487.8399999989</c:v>
                </c:pt>
                <c:pt idx="98">
                  <c:v>5648485.9700000007</c:v>
                </c:pt>
                <c:pt idx="99">
                  <c:v>6680228.1699999999</c:v>
                </c:pt>
                <c:pt idx="100">
                  <c:v>6082373.1399999997</c:v>
                </c:pt>
                <c:pt idx="101">
                  <c:v>6203754.4299999997</c:v>
                </c:pt>
                <c:pt idx="102">
                  <c:v>6374633.7599999998</c:v>
                </c:pt>
                <c:pt idx="103">
                  <c:v>6503611.7499999991</c:v>
                </c:pt>
                <c:pt idx="104">
                  <c:v>6601586.4900000002</c:v>
                </c:pt>
                <c:pt idx="105">
                  <c:v>6723747.6000000006</c:v>
                </c:pt>
                <c:pt idx="106">
                  <c:v>6568958.2599999998</c:v>
                </c:pt>
                <c:pt idx="107">
                  <c:v>7101378.0999999996</c:v>
                </c:pt>
                <c:pt idx="108">
                  <c:v>7152184.9899999993</c:v>
                </c:pt>
                <c:pt idx="109">
                  <c:v>6144522.3199999994</c:v>
                </c:pt>
                <c:pt idx="110">
                  <c:v>6247693.7500000009</c:v>
                </c:pt>
                <c:pt idx="111">
                  <c:v>7067991.6800000006</c:v>
                </c:pt>
                <c:pt idx="112">
                  <c:v>6612776.5300000003</c:v>
                </c:pt>
                <c:pt idx="113">
                  <c:v>7154492.2999999998</c:v>
                </c:pt>
                <c:pt idx="114">
                  <c:v>7063539.9299999988</c:v>
                </c:pt>
                <c:pt idx="115">
                  <c:v>6817577.790000001</c:v>
                </c:pt>
                <c:pt idx="116">
                  <c:v>7431763.9000000004</c:v>
                </c:pt>
                <c:pt idx="117">
                  <c:v>6648473.9199999999</c:v>
                </c:pt>
                <c:pt idx="118">
                  <c:v>6821238.1799999997</c:v>
                </c:pt>
                <c:pt idx="119">
                  <c:v>6948238.8400000008</c:v>
                </c:pt>
                <c:pt idx="120">
                  <c:v>7486774.6699999999</c:v>
                </c:pt>
                <c:pt idx="121">
                  <c:v>6536020.2800000003</c:v>
                </c:pt>
                <c:pt idx="122">
                  <c:v>6740518.7999999998</c:v>
                </c:pt>
                <c:pt idx="123">
                  <c:v>7249838.4699999997</c:v>
                </c:pt>
                <c:pt idx="124">
                  <c:v>6817473.1399999997</c:v>
                </c:pt>
                <c:pt idx="125">
                  <c:v>7299782.6299999999</c:v>
                </c:pt>
                <c:pt idx="126">
                  <c:v>6757359.7699999996</c:v>
                </c:pt>
                <c:pt idx="127">
                  <c:v>6584196.3099999996</c:v>
                </c:pt>
                <c:pt idx="128">
                  <c:v>7095591.0800000001</c:v>
                </c:pt>
                <c:pt idx="129">
                  <c:v>6175628.0100000007</c:v>
                </c:pt>
                <c:pt idx="130">
                  <c:v>7027096.9800000004</c:v>
                </c:pt>
                <c:pt idx="131">
                  <c:v>6786096.0999999996</c:v>
                </c:pt>
                <c:pt idx="132">
                  <c:v>6841818.6600000001</c:v>
                </c:pt>
                <c:pt idx="133">
                  <c:v>6306958.5300000003</c:v>
                </c:pt>
                <c:pt idx="134">
                  <c:v>5900386.9900000002</c:v>
                </c:pt>
                <c:pt idx="135">
                  <c:v>6421155.040000001</c:v>
                </c:pt>
                <c:pt idx="136">
                  <c:v>6536324.0499999998</c:v>
                </c:pt>
                <c:pt idx="137">
                  <c:v>6611627.9399999995</c:v>
                </c:pt>
                <c:pt idx="138">
                  <c:v>5958954.7599999998</c:v>
                </c:pt>
                <c:pt idx="139">
                  <c:v>6370873.3199999994</c:v>
                </c:pt>
                <c:pt idx="140">
                  <c:v>6576651.7300000004</c:v>
                </c:pt>
                <c:pt idx="141">
                  <c:v>5999839.6399999997</c:v>
                </c:pt>
                <c:pt idx="142">
                  <c:v>6385579.9100000001</c:v>
                </c:pt>
                <c:pt idx="143">
                  <c:v>6414647.3199999994</c:v>
                </c:pt>
                <c:pt idx="144">
                  <c:v>6541559.6000000006</c:v>
                </c:pt>
                <c:pt idx="145">
                  <c:v>5696570.4699999997</c:v>
                </c:pt>
                <c:pt idx="146">
                  <c:v>5549432.7800000003</c:v>
                </c:pt>
                <c:pt idx="147">
                  <c:v>6127262.0300000003</c:v>
                </c:pt>
                <c:pt idx="148">
                  <c:v>6066029.25</c:v>
                </c:pt>
                <c:pt idx="149">
                  <c:v>6373842.0799999991</c:v>
                </c:pt>
                <c:pt idx="150">
                  <c:v>5857633.9800000004</c:v>
                </c:pt>
                <c:pt idx="151">
                  <c:v>6228495.9700000007</c:v>
                </c:pt>
                <c:pt idx="152">
                  <c:v>6079169.5499999998</c:v>
                </c:pt>
                <c:pt idx="153">
                  <c:v>6131145.4500000002</c:v>
                </c:pt>
                <c:pt idx="154">
                  <c:v>6091655.4000000004</c:v>
                </c:pt>
                <c:pt idx="155">
                  <c:v>5812039.6299999999</c:v>
                </c:pt>
                <c:pt idx="156">
                  <c:v>6644158.3399999999</c:v>
                </c:pt>
                <c:pt idx="157">
                  <c:v>5513148.9499999993</c:v>
                </c:pt>
                <c:pt idx="158">
                  <c:v>5565897.0699999994</c:v>
                </c:pt>
                <c:pt idx="159">
                  <c:v>6132793.2400000002</c:v>
                </c:pt>
                <c:pt idx="160">
                  <c:v>5855278.580000001</c:v>
                </c:pt>
                <c:pt idx="161">
                  <c:v>5891519.46</c:v>
                </c:pt>
                <c:pt idx="162">
                  <c:v>5920547.7599999998</c:v>
                </c:pt>
                <c:pt idx="163">
                  <c:v>5846289.7600000007</c:v>
                </c:pt>
                <c:pt idx="164">
                  <c:v>5946672.3499999996</c:v>
                </c:pt>
                <c:pt idx="165">
                  <c:v>5709084.2699999996</c:v>
                </c:pt>
                <c:pt idx="166">
                  <c:v>5859880.4100000001</c:v>
                </c:pt>
                <c:pt idx="167">
                  <c:v>5683744.5199999996</c:v>
                </c:pt>
                <c:pt idx="168">
                  <c:v>6637595.6399999997</c:v>
                </c:pt>
                <c:pt idx="169">
                  <c:v>5123803.66</c:v>
                </c:pt>
                <c:pt idx="170">
                  <c:v>5678986.7100000009</c:v>
                </c:pt>
                <c:pt idx="171">
                  <c:v>6351377.4299999997</c:v>
                </c:pt>
                <c:pt idx="172">
                  <c:v>5334582.45</c:v>
                </c:pt>
                <c:pt idx="173">
                  <c:v>5544143.5299999993</c:v>
                </c:pt>
                <c:pt idx="174">
                  <c:v>5591179.5900000008</c:v>
                </c:pt>
                <c:pt idx="175">
                  <c:v>5439650.9999999991</c:v>
                </c:pt>
                <c:pt idx="176">
                  <c:v>5815405.0699999994</c:v>
                </c:pt>
                <c:pt idx="177">
                  <c:v>5905222.7300000004</c:v>
                </c:pt>
                <c:pt idx="178">
                  <c:v>4470878.6899999995</c:v>
                </c:pt>
                <c:pt idx="179">
                  <c:v>4787728.9499999993</c:v>
                </c:pt>
                <c:pt idx="180">
                  <c:v>5075876.53</c:v>
                </c:pt>
                <c:pt idx="181">
                  <c:v>4370529.8599999994</c:v>
                </c:pt>
                <c:pt idx="182">
                  <c:v>4350065.3099999996</c:v>
                </c:pt>
                <c:pt idx="183">
                  <c:v>4957587.16</c:v>
                </c:pt>
                <c:pt idx="184">
                  <c:v>4419291.05</c:v>
                </c:pt>
                <c:pt idx="185">
                  <c:v>5097985.2300000004</c:v>
                </c:pt>
                <c:pt idx="186">
                  <c:v>4715676.24</c:v>
                </c:pt>
                <c:pt idx="187">
                  <c:v>4448497.3999999985</c:v>
                </c:pt>
                <c:pt idx="188">
                  <c:v>4832065.2299999995</c:v>
                </c:pt>
                <c:pt idx="189">
                  <c:v>5140285.8599999994</c:v>
                </c:pt>
                <c:pt idx="190">
                  <c:v>3503998.6699999995</c:v>
                </c:pt>
                <c:pt idx="191">
                  <c:v>3621813.62</c:v>
                </c:pt>
                <c:pt idx="192">
                  <c:v>3942769.48</c:v>
                </c:pt>
                <c:pt idx="193">
                  <c:v>3481776.37</c:v>
                </c:pt>
                <c:pt idx="194">
                  <c:v>3400254.72</c:v>
                </c:pt>
                <c:pt idx="195">
                  <c:v>3761337.7199999997</c:v>
                </c:pt>
                <c:pt idx="196">
                  <c:v>3535548.9800000004</c:v>
                </c:pt>
                <c:pt idx="197">
                  <c:v>4013779.2</c:v>
                </c:pt>
                <c:pt idx="198">
                  <c:v>3568494.4600000004</c:v>
                </c:pt>
                <c:pt idx="199">
                  <c:v>3701679.1999999997</c:v>
                </c:pt>
                <c:pt idx="200">
                  <c:v>3819817.1100000003</c:v>
                </c:pt>
                <c:pt idx="201">
                  <c:v>4065833.27</c:v>
                </c:pt>
                <c:pt idx="202">
                  <c:v>2460176.48</c:v>
                </c:pt>
                <c:pt idx="203">
                  <c:v>2720921.95</c:v>
                </c:pt>
                <c:pt idx="204">
                  <c:v>2791169.82</c:v>
                </c:pt>
                <c:pt idx="205">
                  <c:v>2617105.12</c:v>
                </c:pt>
                <c:pt idx="206">
                  <c:v>2452146.89</c:v>
                </c:pt>
                <c:pt idx="207">
                  <c:v>2739760.5800000005</c:v>
                </c:pt>
              </c:numCache>
            </c:numRef>
          </c:val>
          <c:smooth val="0"/>
          <c:extLst>
            <c:ext xmlns:c16="http://schemas.microsoft.com/office/drawing/2014/chart" uri="{C3380CC4-5D6E-409C-BE32-E72D297353CC}">
              <c16:uniqueId val="{00000001-625A-43FE-B65F-DC0CF151B770}"/>
            </c:ext>
          </c:extLst>
        </c:ser>
        <c:ser>
          <c:idx val="2"/>
          <c:order val="2"/>
          <c:tx>
            <c:strRef>
              <c:f>Sheet4!$D$3:$D$4</c:f>
              <c:strCache>
                <c:ptCount val="1"/>
                <c:pt idx="0">
                  <c:v>NILOTINIB</c:v>
                </c:pt>
              </c:strCache>
            </c:strRef>
          </c:tx>
          <c:spPr>
            <a:ln w="28575" cap="rnd">
              <a:solidFill>
                <a:schemeClr val="accent3"/>
              </a:solidFill>
              <a:round/>
            </a:ln>
            <a:effectLst/>
          </c:spPr>
          <c:marker>
            <c:symbol val="none"/>
          </c:marker>
          <c:cat>
            <c:strRef>
              <c:f>Sheet4!$A$5:$A$213</c:f>
              <c:strCache>
                <c:ptCount val="208"/>
                <c:pt idx="0">
                  <c:v>200112</c:v>
                </c:pt>
                <c:pt idx="1">
                  <c:v>200201</c:v>
                </c:pt>
                <c:pt idx="2">
                  <c:v>200202</c:v>
                </c:pt>
                <c:pt idx="3">
                  <c:v>200203</c:v>
                </c:pt>
                <c:pt idx="4">
                  <c:v>200204</c:v>
                </c:pt>
                <c:pt idx="5">
                  <c:v>200205</c:v>
                </c:pt>
                <c:pt idx="6">
                  <c:v>200206</c:v>
                </c:pt>
                <c:pt idx="7">
                  <c:v>200207</c:v>
                </c:pt>
                <c:pt idx="8">
                  <c:v>200208</c:v>
                </c:pt>
                <c:pt idx="9">
                  <c:v>200209</c:v>
                </c:pt>
                <c:pt idx="10">
                  <c:v>200210</c:v>
                </c:pt>
                <c:pt idx="11">
                  <c:v>200211</c:v>
                </c:pt>
                <c:pt idx="12">
                  <c:v>200212</c:v>
                </c:pt>
                <c:pt idx="13">
                  <c:v>200301</c:v>
                </c:pt>
                <c:pt idx="14">
                  <c:v>200302</c:v>
                </c:pt>
                <c:pt idx="15">
                  <c:v>200303</c:v>
                </c:pt>
                <c:pt idx="16">
                  <c:v>200304</c:v>
                </c:pt>
                <c:pt idx="17">
                  <c:v>200305</c:v>
                </c:pt>
                <c:pt idx="18">
                  <c:v>200306</c:v>
                </c:pt>
                <c:pt idx="19">
                  <c:v>200307</c:v>
                </c:pt>
                <c:pt idx="20">
                  <c:v>200308</c:v>
                </c:pt>
                <c:pt idx="21">
                  <c:v>200309</c:v>
                </c:pt>
                <c:pt idx="22">
                  <c:v>200310</c:v>
                </c:pt>
                <c:pt idx="23">
                  <c:v>200311</c:v>
                </c:pt>
                <c:pt idx="24">
                  <c:v>200312</c:v>
                </c:pt>
                <c:pt idx="25">
                  <c:v>200401</c:v>
                </c:pt>
                <c:pt idx="26">
                  <c:v>200402</c:v>
                </c:pt>
                <c:pt idx="27">
                  <c:v>200403</c:v>
                </c:pt>
                <c:pt idx="28">
                  <c:v>200404</c:v>
                </c:pt>
                <c:pt idx="29">
                  <c:v>200405</c:v>
                </c:pt>
                <c:pt idx="30">
                  <c:v>200406</c:v>
                </c:pt>
                <c:pt idx="31">
                  <c:v>200407</c:v>
                </c:pt>
                <c:pt idx="32">
                  <c:v>200408</c:v>
                </c:pt>
                <c:pt idx="33">
                  <c:v>200409</c:v>
                </c:pt>
                <c:pt idx="34">
                  <c:v>200410</c:v>
                </c:pt>
                <c:pt idx="35">
                  <c:v>200411</c:v>
                </c:pt>
                <c:pt idx="36">
                  <c:v>200412</c:v>
                </c:pt>
                <c:pt idx="37">
                  <c:v>200501</c:v>
                </c:pt>
                <c:pt idx="38">
                  <c:v>200502</c:v>
                </c:pt>
                <c:pt idx="39">
                  <c:v>200503</c:v>
                </c:pt>
                <c:pt idx="40">
                  <c:v>200504</c:v>
                </c:pt>
                <c:pt idx="41">
                  <c:v>200505</c:v>
                </c:pt>
                <c:pt idx="42">
                  <c:v>200506</c:v>
                </c:pt>
                <c:pt idx="43">
                  <c:v>200507</c:v>
                </c:pt>
                <c:pt idx="44">
                  <c:v>200508</c:v>
                </c:pt>
                <c:pt idx="45">
                  <c:v>200509</c:v>
                </c:pt>
                <c:pt idx="46">
                  <c:v>200510</c:v>
                </c:pt>
                <c:pt idx="47">
                  <c:v>200511</c:v>
                </c:pt>
                <c:pt idx="48">
                  <c:v>200512</c:v>
                </c:pt>
                <c:pt idx="49">
                  <c:v>200601</c:v>
                </c:pt>
                <c:pt idx="50">
                  <c:v>200602</c:v>
                </c:pt>
                <c:pt idx="51">
                  <c:v>200603</c:v>
                </c:pt>
                <c:pt idx="52">
                  <c:v>200604</c:v>
                </c:pt>
                <c:pt idx="53">
                  <c:v>200605</c:v>
                </c:pt>
                <c:pt idx="54">
                  <c:v>200606</c:v>
                </c:pt>
                <c:pt idx="55">
                  <c:v>200607</c:v>
                </c:pt>
                <c:pt idx="56">
                  <c:v>200608</c:v>
                </c:pt>
                <c:pt idx="57">
                  <c:v>200609</c:v>
                </c:pt>
                <c:pt idx="58">
                  <c:v>200610</c:v>
                </c:pt>
                <c:pt idx="59">
                  <c:v>200611</c:v>
                </c:pt>
                <c:pt idx="60">
                  <c:v>200612</c:v>
                </c:pt>
                <c:pt idx="61">
                  <c:v>200701</c:v>
                </c:pt>
                <c:pt idx="62">
                  <c:v>200702</c:v>
                </c:pt>
                <c:pt idx="63">
                  <c:v>200703</c:v>
                </c:pt>
                <c:pt idx="64">
                  <c:v>200704</c:v>
                </c:pt>
                <c:pt idx="65">
                  <c:v>200705</c:v>
                </c:pt>
                <c:pt idx="66">
                  <c:v>200706</c:v>
                </c:pt>
                <c:pt idx="67">
                  <c:v>200707</c:v>
                </c:pt>
                <c:pt idx="68">
                  <c:v>200708</c:v>
                </c:pt>
                <c:pt idx="69">
                  <c:v>200709</c:v>
                </c:pt>
                <c:pt idx="70">
                  <c:v>200710</c:v>
                </c:pt>
                <c:pt idx="71">
                  <c:v>200711</c:v>
                </c:pt>
                <c:pt idx="72">
                  <c:v>200712</c:v>
                </c:pt>
                <c:pt idx="73">
                  <c:v>200801</c:v>
                </c:pt>
                <c:pt idx="74">
                  <c:v>200802</c:v>
                </c:pt>
                <c:pt idx="75">
                  <c:v>200803</c:v>
                </c:pt>
                <c:pt idx="76">
                  <c:v>200804</c:v>
                </c:pt>
                <c:pt idx="77">
                  <c:v>200805</c:v>
                </c:pt>
                <c:pt idx="78">
                  <c:v>200806</c:v>
                </c:pt>
                <c:pt idx="79">
                  <c:v>200807</c:v>
                </c:pt>
                <c:pt idx="80">
                  <c:v>200808</c:v>
                </c:pt>
                <c:pt idx="81">
                  <c:v>200809</c:v>
                </c:pt>
                <c:pt idx="82">
                  <c:v>200810</c:v>
                </c:pt>
                <c:pt idx="83">
                  <c:v>200811</c:v>
                </c:pt>
                <c:pt idx="84">
                  <c:v>200812</c:v>
                </c:pt>
                <c:pt idx="85">
                  <c:v>200901</c:v>
                </c:pt>
                <c:pt idx="86">
                  <c:v>200902</c:v>
                </c:pt>
                <c:pt idx="87">
                  <c:v>200903</c:v>
                </c:pt>
                <c:pt idx="88">
                  <c:v>200904</c:v>
                </c:pt>
                <c:pt idx="89">
                  <c:v>200905</c:v>
                </c:pt>
                <c:pt idx="90">
                  <c:v>200906</c:v>
                </c:pt>
                <c:pt idx="91">
                  <c:v>200907</c:v>
                </c:pt>
                <c:pt idx="92">
                  <c:v>200908</c:v>
                </c:pt>
                <c:pt idx="93">
                  <c:v>200909</c:v>
                </c:pt>
                <c:pt idx="94">
                  <c:v>200910</c:v>
                </c:pt>
                <c:pt idx="95">
                  <c:v>200911</c:v>
                </c:pt>
                <c:pt idx="96">
                  <c:v>200912</c:v>
                </c:pt>
                <c:pt idx="97">
                  <c:v>201001</c:v>
                </c:pt>
                <c:pt idx="98">
                  <c:v>201002</c:v>
                </c:pt>
                <c:pt idx="99">
                  <c:v>201003</c:v>
                </c:pt>
                <c:pt idx="100">
                  <c:v>201004</c:v>
                </c:pt>
                <c:pt idx="101">
                  <c:v>201005</c:v>
                </c:pt>
                <c:pt idx="102">
                  <c:v>201006</c:v>
                </c:pt>
                <c:pt idx="103">
                  <c:v>201007</c:v>
                </c:pt>
                <c:pt idx="104">
                  <c:v>201008</c:v>
                </c:pt>
                <c:pt idx="105">
                  <c:v>201009</c:v>
                </c:pt>
                <c:pt idx="106">
                  <c:v>201010</c:v>
                </c:pt>
                <c:pt idx="107">
                  <c:v>201011</c:v>
                </c:pt>
                <c:pt idx="108">
                  <c:v>201012</c:v>
                </c:pt>
                <c:pt idx="109">
                  <c:v>201101</c:v>
                </c:pt>
                <c:pt idx="110">
                  <c:v>201102</c:v>
                </c:pt>
                <c:pt idx="111">
                  <c:v>201103</c:v>
                </c:pt>
                <c:pt idx="112">
                  <c:v>201104</c:v>
                </c:pt>
                <c:pt idx="113">
                  <c:v>201105</c:v>
                </c:pt>
                <c:pt idx="114">
                  <c:v>201106</c:v>
                </c:pt>
                <c:pt idx="115">
                  <c:v>201107</c:v>
                </c:pt>
                <c:pt idx="116">
                  <c:v>201108</c:v>
                </c:pt>
                <c:pt idx="117">
                  <c:v>201109</c:v>
                </c:pt>
                <c:pt idx="118">
                  <c:v>201110</c:v>
                </c:pt>
                <c:pt idx="119">
                  <c:v>201111</c:v>
                </c:pt>
                <c:pt idx="120">
                  <c:v>201112</c:v>
                </c:pt>
                <c:pt idx="121">
                  <c:v>201201</c:v>
                </c:pt>
                <c:pt idx="122">
                  <c:v>201202</c:v>
                </c:pt>
                <c:pt idx="123">
                  <c:v>201203</c:v>
                </c:pt>
                <c:pt idx="124">
                  <c:v>201204</c:v>
                </c:pt>
                <c:pt idx="125">
                  <c:v>201205</c:v>
                </c:pt>
                <c:pt idx="126">
                  <c:v>201206</c:v>
                </c:pt>
                <c:pt idx="127">
                  <c:v>201207</c:v>
                </c:pt>
                <c:pt idx="128">
                  <c:v>201208</c:v>
                </c:pt>
                <c:pt idx="129">
                  <c:v>201209</c:v>
                </c:pt>
                <c:pt idx="130">
                  <c:v>201210</c:v>
                </c:pt>
                <c:pt idx="131">
                  <c:v>201211</c:v>
                </c:pt>
                <c:pt idx="132">
                  <c:v>201212</c:v>
                </c:pt>
                <c:pt idx="133">
                  <c:v>201301</c:v>
                </c:pt>
                <c:pt idx="134">
                  <c:v>201302</c:v>
                </c:pt>
                <c:pt idx="135">
                  <c:v>201303</c:v>
                </c:pt>
                <c:pt idx="136">
                  <c:v>201304</c:v>
                </c:pt>
                <c:pt idx="137">
                  <c:v>201305</c:v>
                </c:pt>
                <c:pt idx="138">
                  <c:v>201306</c:v>
                </c:pt>
                <c:pt idx="139">
                  <c:v>201307</c:v>
                </c:pt>
                <c:pt idx="140">
                  <c:v>201308</c:v>
                </c:pt>
                <c:pt idx="141">
                  <c:v>201309</c:v>
                </c:pt>
                <c:pt idx="142">
                  <c:v>201310</c:v>
                </c:pt>
                <c:pt idx="143">
                  <c:v>201311</c:v>
                </c:pt>
                <c:pt idx="144">
                  <c:v>201312</c:v>
                </c:pt>
                <c:pt idx="145">
                  <c:v>201401</c:v>
                </c:pt>
                <c:pt idx="146">
                  <c:v>201402</c:v>
                </c:pt>
                <c:pt idx="147">
                  <c:v>201403</c:v>
                </c:pt>
                <c:pt idx="148">
                  <c:v>201404</c:v>
                </c:pt>
                <c:pt idx="149">
                  <c:v>201405</c:v>
                </c:pt>
                <c:pt idx="150">
                  <c:v>201406</c:v>
                </c:pt>
                <c:pt idx="151">
                  <c:v>201407</c:v>
                </c:pt>
                <c:pt idx="152">
                  <c:v>201408</c:v>
                </c:pt>
                <c:pt idx="153">
                  <c:v>201409</c:v>
                </c:pt>
                <c:pt idx="154">
                  <c:v>201410</c:v>
                </c:pt>
                <c:pt idx="155">
                  <c:v>201411</c:v>
                </c:pt>
                <c:pt idx="156">
                  <c:v>201412</c:v>
                </c:pt>
                <c:pt idx="157">
                  <c:v>201501</c:v>
                </c:pt>
                <c:pt idx="158">
                  <c:v>201502</c:v>
                </c:pt>
                <c:pt idx="159">
                  <c:v>201503</c:v>
                </c:pt>
                <c:pt idx="160">
                  <c:v>201504</c:v>
                </c:pt>
                <c:pt idx="161">
                  <c:v>201505</c:v>
                </c:pt>
                <c:pt idx="162">
                  <c:v>201506</c:v>
                </c:pt>
                <c:pt idx="163">
                  <c:v>201507</c:v>
                </c:pt>
                <c:pt idx="164">
                  <c:v>201508</c:v>
                </c:pt>
                <c:pt idx="165">
                  <c:v>201509</c:v>
                </c:pt>
                <c:pt idx="166">
                  <c:v>201510</c:v>
                </c:pt>
                <c:pt idx="167">
                  <c:v>201511</c:v>
                </c:pt>
                <c:pt idx="168">
                  <c:v>201512</c:v>
                </c:pt>
                <c:pt idx="169">
                  <c:v>201601</c:v>
                </c:pt>
                <c:pt idx="170">
                  <c:v>201602</c:v>
                </c:pt>
                <c:pt idx="171">
                  <c:v>201603</c:v>
                </c:pt>
                <c:pt idx="172">
                  <c:v>201604</c:v>
                </c:pt>
                <c:pt idx="173">
                  <c:v>201605</c:v>
                </c:pt>
                <c:pt idx="174">
                  <c:v>201606</c:v>
                </c:pt>
                <c:pt idx="175">
                  <c:v>201607</c:v>
                </c:pt>
                <c:pt idx="176">
                  <c:v>201608</c:v>
                </c:pt>
                <c:pt idx="177">
                  <c:v>201609</c:v>
                </c:pt>
                <c:pt idx="178">
                  <c:v>201610</c:v>
                </c:pt>
                <c:pt idx="179">
                  <c:v>201611</c:v>
                </c:pt>
                <c:pt idx="180">
                  <c:v>201612</c:v>
                </c:pt>
                <c:pt idx="181">
                  <c:v>201701</c:v>
                </c:pt>
                <c:pt idx="182">
                  <c:v>201702</c:v>
                </c:pt>
                <c:pt idx="183">
                  <c:v>201703</c:v>
                </c:pt>
                <c:pt idx="184">
                  <c:v>201704</c:v>
                </c:pt>
                <c:pt idx="185">
                  <c:v>201705</c:v>
                </c:pt>
                <c:pt idx="186">
                  <c:v>201706</c:v>
                </c:pt>
                <c:pt idx="187">
                  <c:v>201707</c:v>
                </c:pt>
                <c:pt idx="188">
                  <c:v>201708</c:v>
                </c:pt>
                <c:pt idx="189">
                  <c:v>201709</c:v>
                </c:pt>
                <c:pt idx="190">
                  <c:v>201710</c:v>
                </c:pt>
                <c:pt idx="191">
                  <c:v>201711</c:v>
                </c:pt>
                <c:pt idx="192">
                  <c:v>201712</c:v>
                </c:pt>
                <c:pt idx="193">
                  <c:v>201801</c:v>
                </c:pt>
                <c:pt idx="194">
                  <c:v>201802</c:v>
                </c:pt>
                <c:pt idx="195">
                  <c:v>201803</c:v>
                </c:pt>
                <c:pt idx="196">
                  <c:v>201804</c:v>
                </c:pt>
                <c:pt idx="197">
                  <c:v>201805</c:v>
                </c:pt>
                <c:pt idx="198">
                  <c:v>201806</c:v>
                </c:pt>
                <c:pt idx="199">
                  <c:v>201807</c:v>
                </c:pt>
                <c:pt idx="200">
                  <c:v>201808</c:v>
                </c:pt>
                <c:pt idx="201">
                  <c:v>201809</c:v>
                </c:pt>
                <c:pt idx="202">
                  <c:v>201810</c:v>
                </c:pt>
                <c:pt idx="203">
                  <c:v>201811</c:v>
                </c:pt>
                <c:pt idx="204">
                  <c:v>201812</c:v>
                </c:pt>
                <c:pt idx="205">
                  <c:v>201901</c:v>
                </c:pt>
                <c:pt idx="206">
                  <c:v>201902</c:v>
                </c:pt>
                <c:pt idx="207">
                  <c:v>201903</c:v>
                </c:pt>
              </c:strCache>
            </c:strRef>
          </c:cat>
          <c:val>
            <c:numRef>
              <c:f>Sheet4!$D$5:$D$213</c:f>
              <c:numCache>
                <c:formatCode>General</c:formatCode>
                <c:ptCount val="208"/>
                <c:pt idx="80">
                  <c:v>22360.91</c:v>
                </c:pt>
                <c:pt idx="81">
                  <c:v>115962.79</c:v>
                </c:pt>
                <c:pt idx="82">
                  <c:v>143803.69</c:v>
                </c:pt>
                <c:pt idx="83">
                  <c:v>182181.02</c:v>
                </c:pt>
                <c:pt idx="84">
                  <c:v>296696.86</c:v>
                </c:pt>
                <c:pt idx="85">
                  <c:v>193758.8</c:v>
                </c:pt>
                <c:pt idx="86">
                  <c:v>232654.08000000002</c:v>
                </c:pt>
                <c:pt idx="87">
                  <c:v>302757.12</c:v>
                </c:pt>
                <c:pt idx="88">
                  <c:v>299214.99</c:v>
                </c:pt>
                <c:pt idx="89">
                  <c:v>326230.66000000003</c:v>
                </c:pt>
                <c:pt idx="90">
                  <c:v>332469.61</c:v>
                </c:pt>
                <c:pt idx="91">
                  <c:v>382830.01</c:v>
                </c:pt>
                <c:pt idx="92">
                  <c:v>374494.99</c:v>
                </c:pt>
                <c:pt idx="93">
                  <c:v>348234.91000000003</c:v>
                </c:pt>
                <c:pt idx="94">
                  <c:v>383710.74</c:v>
                </c:pt>
                <c:pt idx="95">
                  <c:v>386872.75</c:v>
                </c:pt>
                <c:pt idx="96">
                  <c:v>469992.19</c:v>
                </c:pt>
                <c:pt idx="97">
                  <c:v>305251.19</c:v>
                </c:pt>
                <c:pt idx="98">
                  <c:v>399166.97</c:v>
                </c:pt>
                <c:pt idx="99">
                  <c:v>475844.73</c:v>
                </c:pt>
                <c:pt idx="100">
                  <c:v>380505.71</c:v>
                </c:pt>
                <c:pt idx="101">
                  <c:v>458507.88</c:v>
                </c:pt>
                <c:pt idx="102">
                  <c:v>453139.86</c:v>
                </c:pt>
                <c:pt idx="103">
                  <c:v>508737.95999999996</c:v>
                </c:pt>
                <c:pt idx="104">
                  <c:v>480136.56</c:v>
                </c:pt>
                <c:pt idx="105">
                  <c:v>529691.88</c:v>
                </c:pt>
                <c:pt idx="106">
                  <c:v>527050.19999999995</c:v>
                </c:pt>
                <c:pt idx="107">
                  <c:v>567230.28</c:v>
                </c:pt>
                <c:pt idx="108">
                  <c:v>636900</c:v>
                </c:pt>
                <c:pt idx="109">
                  <c:v>454825</c:v>
                </c:pt>
                <c:pt idx="110">
                  <c:v>591298.48</c:v>
                </c:pt>
                <c:pt idx="111">
                  <c:v>654981.96</c:v>
                </c:pt>
                <c:pt idx="112">
                  <c:v>617629.56000000006</c:v>
                </c:pt>
                <c:pt idx="113">
                  <c:v>659022.15999999992</c:v>
                </c:pt>
                <c:pt idx="114">
                  <c:v>696484.54</c:v>
                </c:pt>
                <c:pt idx="115">
                  <c:v>688948.5</c:v>
                </c:pt>
                <c:pt idx="116">
                  <c:v>686988.16999999993</c:v>
                </c:pt>
                <c:pt idx="117">
                  <c:v>708100.57000000007</c:v>
                </c:pt>
                <c:pt idx="118">
                  <c:v>706810.02</c:v>
                </c:pt>
                <c:pt idx="119">
                  <c:v>743209.28</c:v>
                </c:pt>
                <c:pt idx="120">
                  <c:v>836702.84000000008</c:v>
                </c:pt>
                <c:pt idx="121">
                  <c:v>731966.86</c:v>
                </c:pt>
                <c:pt idx="122">
                  <c:v>744395.82</c:v>
                </c:pt>
                <c:pt idx="123">
                  <c:v>875758.82000000007</c:v>
                </c:pt>
                <c:pt idx="124">
                  <c:v>823525.27</c:v>
                </c:pt>
                <c:pt idx="125">
                  <c:v>988868.38000000012</c:v>
                </c:pt>
                <c:pt idx="126">
                  <c:v>1052972.6200000001</c:v>
                </c:pt>
                <c:pt idx="127">
                  <c:v>1263596.1499999999</c:v>
                </c:pt>
                <c:pt idx="128">
                  <c:v>1391429.7</c:v>
                </c:pt>
                <c:pt idx="129">
                  <c:v>1365911.97</c:v>
                </c:pt>
                <c:pt idx="130">
                  <c:v>1581038.06</c:v>
                </c:pt>
                <c:pt idx="131">
                  <c:v>1598106.47</c:v>
                </c:pt>
                <c:pt idx="132">
                  <c:v>1708066.77</c:v>
                </c:pt>
                <c:pt idx="133">
                  <c:v>1547843.07</c:v>
                </c:pt>
                <c:pt idx="134">
                  <c:v>1523166.48</c:v>
                </c:pt>
                <c:pt idx="135">
                  <c:v>1612100.09</c:v>
                </c:pt>
                <c:pt idx="136">
                  <c:v>1755485.06</c:v>
                </c:pt>
                <c:pt idx="137">
                  <c:v>1803118.38</c:v>
                </c:pt>
                <c:pt idx="138">
                  <c:v>1726078.8399999999</c:v>
                </c:pt>
                <c:pt idx="139">
                  <c:v>1853612.5</c:v>
                </c:pt>
                <c:pt idx="140">
                  <c:v>1825776.67</c:v>
                </c:pt>
                <c:pt idx="141">
                  <c:v>1865925.8</c:v>
                </c:pt>
                <c:pt idx="142">
                  <c:v>1914122.8</c:v>
                </c:pt>
                <c:pt idx="143">
                  <c:v>1965807.65</c:v>
                </c:pt>
                <c:pt idx="144">
                  <c:v>2070460.23</c:v>
                </c:pt>
                <c:pt idx="145">
                  <c:v>1828394.44</c:v>
                </c:pt>
                <c:pt idx="146">
                  <c:v>1821162.8399999999</c:v>
                </c:pt>
                <c:pt idx="147">
                  <c:v>2044552.2199999997</c:v>
                </c:pt>
                <c:pt idx="148">
                  <c:v>2072689.59</c:v>
                </c:pt>
                <c:pt idx="149">
                  <c:v>2184862.14</c:v>
                </c:pt>
                <c:pt idx="150">
                  <c:v>2131268.67</c:v>
                </c:pt>
                <c:pt idx="151">
                  <c:v>2147312.11</c:v>
                </c:pt>
                <c:pt idx="152">
                  <c:v>2118293.4500000002</c:v>
                </c:pt>
                <c:pt idx="153">
                  <c:v>2172371.6800000002</c:v>
                </c:pt>
                <c:pt idx="154">
                  <c:v>2236983.81</c:v>
                </c:pt>
                <c:pt idx="155">
                  <c:v>2168826.89</c:v>
                </c:pt>
                <c:pt idx="156">
                  <c:v>2535824.0299999998</c:v>
                </c:pt>
                <c:pt idx="157">
                  <c:v>2024825.76</c:v>
                </c:pt>
                <c:pt idx="158">
                  <c:v>2086641.21</c:v>
                </c:pt>
                <c:pt idx="159">
                  <c:v>2452310.81</c:v>
                </c:pt>
                <c:pt idx="160">
                  <c:v>2373368.27</c:v>
                </c:pt>
                <c:pt idx="161">
                  <c:v>2329673.29</c:v>
                </c:pt>
                <c:pt idx="162">
                  <c:v>2522141.6799999997</c:v>
                </c:pt>
                <c:pt idx="163">
                  <c:v>2559178.4699999997</c:v>
                </c:pt>
                <c:pt idx="164">
                  <c:v>2395676.59</c:v>
                </c:pt>
                <c:pt idx="165">
                  <c:v>2552479.91</c:v>
                </c:pt>
                <c:pt idx="166">
                  <c:v>2479855.62</c:v>
                </c:pt>
                <c:pt idx="167">
                  <c:v>2485511.1100000003</c:v>
                </c:pt>
                <c:pt idx="168">
                  <c:v>2858345.6799999997</c:v>
                </c:pt>
                <c:pt idx="169">
                  <c:v>2418903.16</c:v>
                </c:pt>
                <c:pt idx="170">
                  <c:v>2542789.77</c:v>
                </c:pt>
                <c:pt idx="171">
                  <c:v>2822480.54</c:v>
                </c:pt>
                <c:pt idx="172">
                  <c:v>2277519.9900000002</c:v>
                </c:pt>
                <c:pt idx="173">
                  <c:v>2565892.1500000004</c:v>
                </c:pt>
                <c:pt idx="174">
                  <c:v>2498567.6800000002</c:v>
                </c:pt>
                <c:pt idx="175">
                  <c:v>2514832.9700000002</c:v>
                </c:pt>
                <c:pt idx="176">
                  <c:v>2616424.0499999998</c:v>
                </c:pt>
                <c:pt idx="177">
                  <c:v>2540437.2999999998</c:v>
                </c:pt>
                <c:pt idx="178">
                  <c:v>2542759.3899999997</c:v>
                </c:pt>
                <c:pt idx="179">
                  <c:v>2680333.37</c:v>
                </c:pt>
                <c:pt idx="180">
                  <c:v>2805703.3699999996</c:v>
                </c:pt>
                <c:pt idx="181">
                  <c:v>2397878.36</c:v>
                </c:pt>
                <c:pt idx="182">
                  <c:v>2575241.5699999998</c:v>
                </c:pt>
                <c:pt idx="183">
                  <c:v>2682468.65</c:v>
                </c:pt>
                <c:pt idx="184">
                  <c:v>2700973.88</c:v>
                </c:pt>
                <c:pt idx="185">
                  <c:v>2732844.3</c:v>
                </c:pt>
                <c:pt idx="186">
                  <c:v>2644636.9900000002</c:v>
                </c:pt>
                <c:pt idx="187">
                  <c:v>2785502.36</c:v>
                </c:pt>
                <c:pt idx="188">
                  <c:v>2834080.8</c:v>
                </c:pt>
                <c:pt idx="189">
                  <c:v>2602831.9900000002</c:v>
                </c:pt>
                <c:pt idx="190">
                  <c:v>2802199.42</c:v>
                </c:pt>
                <c:pt idx="191">
                  <c:v>2832909.59</c:v>
                </c:pt>
                <c:pt idx="192">
                  <c:v>2870913.38</c:v>
                </c:pt>
                <c:pt idx="193">
                  <c:v>2718480.56</c:v>
                </c:pt>
                <c:pt idx="194">
                  <c:v>2460930.08</c:v>
                </c:pt>
                <c:pt idx="195">
                  <c:v>2910046.54</c:v>
                </c:pt>
                <c:pt idx="196">
                  <c:v>2672526.15</c:v>
                </c:pt>
                <c:pt idx="197">
                  <c:v>2970833.36</c:v>
                </c:pt>
                <c:pt idx="198">
                  <c:v>2725389.5100000002</c:v>
                </c:pt>
                <c:pt idx="199">
                  <c:v>2894268.27</c:v>
                </c:pt>
                <c:pt idx="200">
                  <c:v>2931756.91</c:v>
                </c:pt>
                <c:pt idx="201">
                  <c:v>2724737.0500000003</c:v>
                </c:pt>
                <c:pt idx="202">
                  <c:v>3115152.4699999997</c:v>
                </c:pt>
                <c:pt idx="203">
                  <c:v>3012538.88</c:v>
                </c:pt>
                <c:pt idx="204">
                  <c:v>3052141.04</c:v>
                </c:pt>
                <c:pt idx="205">
                  <c:v>2955528.27</c:v>
                </c:pt>
                <c:pt idx="206">
                  <c:v>2710313.48</c:v>
                </c:pt>
                <c:pt idx="207">
                  <c:v>3155895.0300000003</c:v>
                </c:pt>
              </c:numCache>
            </c:numRef>
          </c:val>
          <c:smooth val="0"/>
          <c:extLst>
            <c:ext xmlns:c16="http://schemas.microsoft.com/office/drawing/2014/chart" uri="{C3380CC4-5D6E-409C-BE32-E72D297353CC}">
              <c16:uniqueId val="{00000002-625A-43FE-B65F-DC0CF151B770}"/>
            </c:ext>
          </c:extLst>
        </c:ser>
        <c:ser>
          <c:idx val="3"/>
          <c:order val="3"/>
          <c:tx>
            <c:strRef>
              <c:f>Sheet4!$E$3:$E$4</c:f>
              <c:strCache>
                <c:ptCount val="1"/>
                <c:pt idx="0">
                  <c:v>PONATINIB</c:v>
                </c:pt>
              </c:strCache>
            </c:strRef>
          </c:tx>
          <c:spPr>
            <a:ln w="28575" cap="rnd">
              <a:solidFill>
                <a:schemeClr val="accent4"/>
              </a:solidFill>
              <a:round/>
            </a:ln>
            <a:effectLst/>
          </c:spPr>
          <c:marker>
            <c:symbol val="none"/>
          </c:marker>
          <c:cat>
            <c:strRef>
              <c:f>Sheet4!$A$5:$A$213</c:f>
              <c:strCache>
                <c:ptCount val="208"/>
                <c:pt idx="0">
                  <c:v>200112</c:v>
                </c:pt>
                <c:pt idx="1">
                  <c:v>200201</c:v>
                </c:pt>
                <c:pt idx="2">
                  <c:v>200202</c:v>
                </c:pt>
                <c:pt idx="3">
                  <c:v>200203</c:v>
                </c:pt>
                <c:pt idx="4">
                  <c:v>200204</c:v>
                </c:pt>
                <c:pt idx="5">
                  <c:v>200205</c:v>
                </c:pt>
                <c:pt idx="6">
                  <c:v>200206</c:v>
                </c:pt>
                <c:pt idx="7">
                  <c:v>200207</c:v>
                </c:pt>
                <c:pt idx="8">
                  <c:v>200208</c:v>
                </c:pt>
                <c:pt idx="9">
                  <c:v>200209</c:v>
                </c:pt>
                <c:pt idx="10">
                  <c:v>200210</c:v>
                </c:pt>
                <c:pt idx="11">
                  <c:v>200211</c:v>
                </c:pt>
                <c:pt idx="12">
                  <c:v>200212</c:v>
                </c:pt>
                <c:pt idx="13">
                  <c:v>200301</c:v>
                </c:pt>
                <c:pt idx="14">
                  <c:v>200302</c:v>
                </c:pt>
                <c:pt idx="15">
                  <c:v>200303</c:v>
                </c:pt>
                <c:pt idx="16">
                  <c:v>200304</c:v>
                </c:pt>
                <c:pt idx="17">
                  <c:v>200305</c:v>
                </c:pt>
                <c:pt idx="18">
                  <c:v>200306</c:v>
                </c:pt>
                <c:pt idx="19">
                  <c:v>200307</c:v>
                </c:pt>
                <c:pt idx="20">
                  <c:v>200308</c:v>
                </c:pt>
                <c:pt idx="21">
                  <c:v>200309</c:v>
                </c:pt>
                <c:pt idx="22">
                  <c:v>200310</c:v>
                </c:pt>
                <c:pt idx="23">
                  <c:v>200311</c:v>
                </c:pt>
                <c:pt idx="24">
                  <c:v>200312</c:v>
                </c:pt>
                <c:pt idx="25">
                  <c:v>200401</c:v>
                </c:pt>
                <c:pt idx="26">
                  <c:v>200402</c:v>
                </c:pt>
                <c:pt idx="27">
                  <c:v>200403</c:v>
                </c:pt>
                <c:pt idx="28">
                  <c:v>200404</c:v>
                </c:pt>
                <c:pt idx="29">
                  <c:v>200405</c:v>
                </c:pt>
                <c:pt idx="30">
                  <c:v>200406</c:v>
                </c:pt>
                <c:pt idx="31">
                  <c:v>200407</c:v>
                </c:pt>
                <c:pt idx="32">
                  <c:v>200408</c:v>
                </c:pt>
                <c:pt idx="33">
                  <c:v>200409</c:v>
                </c:pt>
                <c:pt idx="34">
                  <c:v>200410</c:v>
                </c:pt>
                <c:pt idx="35">
                  <c:v>200411</c:v>
                </c:pt>
                <c:pt idx="36">
                  <c:v>200412</c:v>
                </c:pt>
                <c:pt idx="37">
                  <c:v>200501</c:v>
                </c:pt>
                <c:pt idx="38">
                  <c:v>200502</c:v>
                </c:pt>
                <c:pt idx="39">
                  <c:v>200503</c:v>
                </c:pt>
                <c:pt idx="40">
                  <c:v>200504</c:v>
                </c:pt>
                <c:pt idx="41">
                  <c:v>200505</c:v>
                </c:pt>
                <c:pt idx="42">
                  <c:v>200506</c:v>
                </c:pt>
                <c:pt idx="43">
                  <c:v>200507</c:v>
                </c:pt>
                <c:pt idx="44">
                  <c:v>200508</c:v>
                </c:pt>
                <c:pt idx="45">
                  <c:v>200509</c:v>
                </c:pt>
                <c:pt idx="46">
                  <c:v>200510</c:v>
                </c:pt>
                <c:pt idx="47">
                  <c:v>200511</c:v>
                </c:pt>
                <c:pt idx="48">
                  <c:v>200512</c:v>
                </c:pt>
                <c:pt idx="49">
                  <c:v>200601</c:v>
                </c:pt>
                <c:pt idx="50">
                  <c:v>200602</c:v>
                </c:pt>
                <c:pt idx="51">
                  <c:v>200603</c:v>
                </c:pt>
                <c:pt idx="52">
                  <c:v>200604</c:v>
                </c:pt>
                <c:pt idx="53">
                  <c:v>200605</c:v>
                </c:pt>
                <c:pt idx="54">
                  <c:v>200606</c:v>
                </c:pt>
                <c:pt idx="55">
                  <c:v>200607</c:v>
                </c:pt>
                <c:pt idx="56">
                  <c:v>200608</c:v>
                </c:pt>
                <c:pt idx="57">
                  <c:v>200609</c:v>
                </c:pt>
                <c:pt idx="58">
                  <c:v>200610</c:v>
                </c:pt>
                <c:pt idx="59">
                  <c:v>200611</c:v>
                </c:pt>
                <c:pt idx="60">
                  <c:v>200612</c:v>
                </c:pt>
                <c:pt idx="61">
                  <c:v>200701</c:v>
                </c:pt>
                <c:pt idx="62">
                  <c:v>200702</c:v>
                </c:pt>
                <c:pt idx="63">
                  <c:v>200703</c:v>
                </c:pt>
                <c:pt idx="64">
                  <c:v>200704</c:v>
                </c:pt>
                <c:pt idx="65">
                  <c:v>200705</c:v>
                </c:pt>
                <c:pt idx="66">
                  <c:v>200706</c:v>
                </c:pt>
                <c:pt idx="67">
                  <c:v>200707</c:v>
                </c:pt>
                <c:pt idx="68">
                  <c:v>200708</c:v>
                </c:pt>
                <c:pt idx="69">
                  <c:v>200709</c:v>
                </c:pt>
                <c:pt idx="70">
                  <c:v>200710</c:v>
                </c:pt>
                <c:pt idx="71">
                  <c:v>200711</c:v>
                </c:pt>
                <c:pt idx="72">
                  <c:v>200712</c:v>
                </c:pt>
                <c:pt idx="73">
                  <c:v>200801</c:v>
                </c:pt>
                <c:pt idx="74">
                  <c:v>200802</c:v>
                </c:pt>
                <c:pt idx="75">
                  <c:v>200803</c:v>
                </c:pt>
                <c:pt idx="76">
                  <c:v>200804</c:v>
                </c:pt>
                <c:pt idx="77">
                  <c:v>200805</c:v>
                </c:pt>
                <c:pt idx="78">
                  <c:v>200806</c:v>
                </c:pt>
                <c:pt idx="79">
                  <c:v>200807</c:v>
                </c:pt>
                <c:pt idx="80">
                  <c:v>200808</c:v>
                </c:pt>
                <c:pt idx="81">
                  <c:v>200809</c:v>
                </c:pt>
                <c:pt idx="82">
                  <c:v>200810</c:v>
                </c:pt>
                <c:pt idx="83">
                  <c:v>200811</c:v>
                </c:pt>
                <c:pt idx="84">
                  <c:v>200812</c:v>
                </c:pt>
                <c:pt idx="85">
                  <c:v>200901</c:v>
                </c:pt>
                <c:pt idx="86">
                  <c:v>200902</c:v>
                </c:pt>
                <c:pt idx="87">
                  <c:v>200903</c:v>
                </c:pt>
                <c:pt idx="88">
                  <c:v>200904</c:v>
                </c:pt>
                <c:pt idx="89">
                  <c:v>200905</c:v>
                </c:pt>
                <c:pt idx="90">
                  <c:v>200906</c:v>
                </c:pt>
                <c:pt idx="91">
                  <c:v>200907</c:v>
                </c:pt>
                <c:pt idx="92">
                  <c:v>200908</c:v>
                </c:pt>
                <c:pt idx="93">
                  <c:v>200909</c:v>
                </c:pt>
                <c:pt idx="94">
                  <c:v>200910</c:v>
                </c:pt>
                <c:pt idx="95">
                  <c:v>200911</c:v>
                </c:pt>
                <c:pt idx="96">
                  <c:v>200912</c:v>
                </c:pt>
                <c:pt idx="97">
                  <c:v>201001</c:v>
                </c:pt>
                <c:pt idx="98">
                  <c:v>201002</c:v>
                </c:pt>
                <c:pt idx="99">
                  <c:v>201003</c:v>
                </c:pt>
                <c:pt idx="100">
                  <c:v>201004</c:v>
                </c:pt>
                <c:pt idx="101">
                  <c:v>201005</c:v>
                </c:pt>
                <c:pt idx="102">
                  <c:v>201006</c:v>
                </c:pt>
                <c:pt idx="103">
                  <c:v>201007</c:v>
                </c:pt>
                <c:pt idx="104">
                  <c:v>201008</c:v>
                </c:pt>
                <c:pt idx="105">
                  <c:v>201009</c:v>
                </c:pt>
                <c:pt idx="106">
                  <c:v>201010</c:v>
                </c:pt>
                <c:pt idx="107">
                  <c:v>201011</c:v>
                </c:pt>
                <c:pt idx="108">
                  <c:v>201012</c:v>
                </c:pt>
                <c:pt idx="109">
                  <c:v>201101</c:v>
                </c:pt>
                <c:pt idx="110">
                  <c:v>201102</c:v>
                </c:pt>
                <c:pt idx="111">
                  <c:v>201103</c:v>
                </c:pt>
                <c:pt idx="112">
                  <c:v>201104</c:v>
                </c:pt>
                <c:pt idx="113">
                  <c:v>201105</c:v>
                </c:pt>
                <c:pt idx="114">
                  <c:v>201106</c:v>
                </c:pt>
                <c:pt idx="115">
                  <c:v>201107</c:v>
                </c:pt>
                <c:pt idx="116">
                  <c:v>201108</c:v>
                </c:pt>
                <c:pt idx="117">
                  <c:v>201109</c:v>
                </c:pt>
                <c:pt idx="118">
                  <c:v>201110</c:v>
                </c:pt>
                <c:pt idx="119">
                  <c:v>201111</c:v>
                </c:pt>
                <c:pt idx="120">
                  <c:v>201112</c:v>
                </c:pt>
                <c:pt idx="121">
                  <c:v>201201</c:v>
                </c:pt>
                <c:pt idx="122">
                  <c:v>201202</c:v>
                </c:pt>
                <c:pt idx="123">
                  <c:v>201203</c:v>
                </c:pt>
                <c:pt idx="124">
                  <c:v>201204</c:v>
                </c:pt>
                <c:pt idx="125">
                  <c:v>201205</c:v>
                </c:pt>
                <c:pt idx="126">
                  <c:v>201206</c:v>
                </c:pt>
                <c:pt idx="127">
                  <c:v>201207</c:v>
                </c:pt>
                <c:pt idx="128">
                  <c:v>201208</c:v>
                </c:pt>
                <c:pt idx="129">
                  <c:v>201209</c:v>
                </c:pt>
                <c:pt idx="130">
                  <c:v>201210</c:v>
                </c:pt>
                <c:pt idx="131">
                  <c:v>201211</c:v>
                </c:pt>
                <c:pt idx="132">
                  <c:v>201212</c:v>
                </c:pt>
                <c:pt idx="133">
                  <c:v>201301</c:v>
                </c:pt>
                <c:pt idx="134">
                  <c:v>201302</c:v>
                </c:pt>
                <c:pt idx="135">
                  <c:v>201303</c:v>
                </c:pt>
                <c:pt idx="136">
                  <c:v>201304</c:v>
                </c:pt>
                <c:pt idx="137">
                  <c:v>201305</c:v>
                </c:pt>
                <c:pt idx="138">
                  <c:v>201306</c:v>
                </c:pt>
                <c:pt idx="139">
                  <c:v>201307</c:v>
                </c:pt>
                <c:pt idx="140">
                  <c:v>201308</c:v>
                </c:pt>
                <c:pt idx="141">
                  <c:v>201309</c:v>
                </c:pt>
                <c:pt idx="142">
                  <c:v>201310</c:v>
                </c:pt>
                <c:pt idx="143">
                  <c:v>201311</c:v>
                </c:pt>
                <c:pt idx="144">
                  <c:v>201312</c:v>
                </c:pt>
                <c:pt idx="145">
                  <c:v>201401</c:v>
                </c:pt>
                <c:pt idx="146">
                  <c:v>201402</c:v>
                </c:pt>
                <c:pt idx="147">
                  <c:v>201403</c:v>
                </c:pt>
                <c:pt idx="148">
                  <c:v>201404</c:v>
                </c:pt>
                <c:pt idx="149">
                  <c:v>201405</c:v>
                </c:pt>
                <c:pt idx="150">
                  <c:v>201406</c:v>
                </c:pt>
                <c:pt idx="151">
                  <c:v>201407</c:v>
                </c:pt>
                <c:pt idx="152">
                  <c:v>201408</c:v>
                </c:pt>
                <c:pt idx="153">
                  <c:v>201409</c:v>
                </c:pt>
                <c:pt idx="154">
                  <c:v>201410</c:v>
                </c:pt>
                <c:pt idx="155">
                  <c:v>201411</c:v>
                </c:pt>
                <c:pt idx="156">
                  <c:v>201412</c:v>
                </c:pt>
                <c:pt idx="157">
                  <c:v>201501</c:v>
                </c:pt>
                <c:pt idx="158">
                  <c:v>201502</c:v>
                </c:pt>
                <c:pt idx="159">
                  <c:v>201503</c:v>
                </c:pt>
                <c:pt idx="160">
                  <c:v>201504</c:v>
                </c:pt>
                <c:pt idx="161">
                  <c:v>201505</c:v>
                </c:pt>
                <c:pt idx="162">
                  <c:v>201506</c:v>
                </c:pt>
                <c:pt idx="163">
                  <c:v>201507</c:v>
                </c:pt>
                <c:pt idx="164">
                  <c:v>201508</c:v>
                </c:pt>
                <c:pt idx="165">
                  <c:v>201509</c:v>
                </c:pt>
                <c:pt idx="166">
                  <c:v>201510</c:v>
                </c:pt>
                <c:pt idx="167">
                  <c:v>201511</c:v>
                </c:pt>
                <c:pt idx="168">
                  <c:v>201512</c:v>
                </c:pt>
                <c:pt idx="169">
                  <c:v>201601</c:v>
                </c:pt>
                <c:pt idx="170">
                  <c:v>201602</c:v>
                </c:pt>
                <c:pt idx="171">
                  <c:v>201603</c:v>
                </c:pt>
                <c:pt idx="172">
                  <c:v>201604</c:v>
                </c:pt>
                <c:pt idx="173">
                  <c:v>201605</c:v>
                </c:pt>
                <c:pt idx="174">
                  <c:v>201606</c:v>
                </c:pt>
                <c:pt idx="175">
                  <c:v>201607</c:v>
                </c:pt>
                <c:pt idx="176">
                  <c:v>201608</c:v>
                </c:pt>
                <c:pt idx="177">
                  <c:v>201609</c:v>
                </c:pt>
                <c:pt idx="178">
                  <c:v>201610</c:v>
                </c:pt>
                <c:pt idx="179">
                  <c:v>201611</c:v>
                </c:pt>
                <c:pt idx="180">
                  <c:v>201612</c:v>
                </c:pt>
                <c:pt idx="181">
                  <c:v>201701</c:v>
                </c:pt>
                <c:pt idx="182">
                  <c:v>201702</c:v>
                </c:pt>
                <c:pt idx="183">
                  <c:v>201703</c:v>
                </c:pt>
                <c:pt idx="184">
                  <c:v>201704</c:v>
                </c:pt>
                <c:pt idx="185">
                  <c:v>201705</c:v>
                </c:pt>
                <c:pt idx="186">
                  <c:v>201706</c:v>
                </c:pt>
                <c:pt idx="187">
                  <c:v>201707</c:v>
                </c:pt>
                <c:pt idx="188">
                  <c:v>201708</c:v>
                </c:pt>
                <c:pt idx="189">
                  <c:v>201709</c:v>
                </c:pt>
                <c:pt idx="190">
                  <c:v>201710</c:v>
                </c:pt>
                <c:pt idx="191">
                  <c:v>201711</c:v>
                </c:pt>
                <c:pt idx="192">
                  <c:v>201712</c:v>
                </c:pt>
                <c:pt idx="193">
                  <c:v>201801</c:v>
                </c:pt>
                <c:pt idx="194">
                  <c:v>201802</c:v>
                </c:pt>
                <c:pt idx="195">
                  <c:v>201803</c:v>
                </c:pt>
                <c:pt idx="196">
                  <c:v>201804</c:v>
                </c:pt>
                <c:pt idx="197">
                  <c:v>201805</c:v>
                </c:pt>
                <c:pt idx="198">
                  <c:v>201806</c:v>
                </c:pt>
                <c:pt idx="199">
                  <c:v>201807</c:v>
                </c:pt>
                <c:pt idx="200">
                  <c:v>201808</c:v>
                </c:pt>
                <c:pt idx="201">
                  <c:v>201809</c:v>
                </c:pt>
                <c:pt idx="202">
                  <c:v>201810</c:v>
                </c:pt>
                <c:pt idx="203">
                  <c:v>201811</c:v>
                </c:pt>
                <c:pt idx="204">
                  <c:v>201812</c:v>
                </c:pt>
                <c:pt idx="205">
                  <c:v>201901</c:v>
                </c:pt>
                <c:pt idx="206">
                  <c:v>201902</c:v>
                </c:pt>
                <c:pt idx="207">
                  <c:v>201903</c:v>
                </c:pt>
              </c:strCache>
            </c:strRef>
          </c:cat>
          <c:val>
            <c:numRef>
              <c:f>Sheet4!$E$5:$E$213</c:f>
              <c:numCache>
                <c:formatCode>General</c:formatCode>
                <c:ptCount val="208"/>
                <c:pt idx="167">
                  <c:v>37908.92</c:v>
                </c:pt>
                <c:pt idx="168">
                  <c:v>115151.27</c:v>
                </c:pt>
                <c:pt idx="169">
                  <c:v>120432.95999999999</c:v>
                </c:pt>
                <c:pt idx="170">
                  <c:v>103712.60999999999</c:v>
                </c:pt>
                <c:pt idx="171">
                  <c:v>110138.98000000001</c:v>
                </c:pt>
                <c:pt idx="172">
                  <c:v>135818.66</c:v>
                </c:pt>
                <c:pt idx="173">
                  <c:v>138978.43</c:v>
                </c:pt>
                <c:pt idx="174">
                  <c:v>102443.83</c:v>
                </c:pt>
                <c:pt idx="175">
                  <c:v>129393.13999999998</c:v>
                </c:pt>
                <c:pt idx="176">
                  <c:v>128144.25</c:v>
                </c:pt>
                <c:pt idx="177">
                  <c:v>120209.74</c:v>
                </c:pt>
                <c:pt idx="178">
                  <c:v>154113.97</c:v>
                </c:pt>
                <c:pt idx="179">
                  <c:v>165411.17000000001</c:v>
                </c:pt>
                <c:pt idx="180">
                  <c:v>146204.66999999998</c:v>
                </c:pt>
                <c:pt idx="181">
                  <c:v>150686.89000000001</c:v>
                </c:pt>
                <c:pt idx="182">
                  <c:v>123307.44</c:v>
                </c:pt>
                <c:pt idx="183">
                  <c:v>159805.31</c:v>
                </c:pt>
                <c:pt idx="184">
                  <c:v>142889.78999999998</c:v>
                </c:pt>
                <c:pt idx="185">
                  <c:v>135049.60999999999</c:v>
                </c:pt>
                <c:pt idx="186">
                  <c:v>138508.13999999998</c:v>
                </c:pt>
                <c:pt idx="187">
                  <c:v>132237.01</c:v>
                </c:pt>
                <c:pt idx="188">
                  <c:v>201698.89</c:v>
                </c:pt>
                <c:pt idx="189">
                  <c:v>158802.41</c:v>
                </c:pt>
                <c:pt idx="190">
                  <c:v>169607.84</c:v>
                </c:pt>
                <c:pt idx="191">
                  <c:v>176632.38999999998</c:v>
                </c:pt>
                <c:pt idx="192">
                  <c:v>170568.64</c:v>
                </c:pt>
                <c:pt idx="193">
                  <c:v>166827.9</c:v>
                </c:pt>
                <c:pt idx="194">
                  <c:v>113783.03</c:v>
                </c:pt>
                <c:pt idx="195">
                  <c:v>161440.65</c:v>
                </c:pt>
                <c:pt idx="196">
                  <c:v>126720.01</c:v>
                </c:pt>
                <c:pt idx="197">
                  <c:v>155914.81</c:v>
                </c:pt>
                <c:pt idx="198">
                  <c:v>101384.45</c:v>
                </c:pt>
                <c:pt idx="199">
                  <c:v>136716.46000000002</c:v>
                </c:pt>
                <c:pt idx="200">
                  <c:v>155745.16</c:v>
                </c:pt>
                <c:pt idx="201">
                  <c:v>103852.92</c:v>
                </c:pt>
                <c:pt idx="202">
                  <c:v>202887.19</c:v>
                </c:pt>
                <c:pt idx="203">
                  <c:v>167115.47999999998</c:v>
                </c:pt>
                <c:pt idx="204">
                  <c:v>215468.51</c:v>
                </c:pt>
                <c:pt idx="205">
                  <c:v>170409.19</c:v>
                </c:pt>
                <c:pt idx="206">
                  <c:v>180849.52000000002</c:v>
                </c:pt>
                <c:pt idx="207">
                  <c:v>196409.13</c:v>
                </c:pt>
              </c:numCache>
            </c:numRef>
          </c:val>
          <c:smooth val="0"/>
          <c:extLst>
            <c:ext xmlns:c16="http://schemas.microsoft.com/office/drawing/2014/chart" uri="{C3380CC4-5D6E-409C-BE32-E72D297353CC}">
              <c16:uniqueId val="{00000003-625A-43FE-B65F-DC0CF151B770}"/>
            </c:ext>
          </c:extLst>
        </c:ser>
        <c:ser>
          <c:idx val="4"/>
          <c:order val="4"/>
          <c:tx>
            <c:strRef>
              <c:f>Sheet4!$F$3:$F$4</c:f>
              <c:strCache>
                <c:ptCount val="1"/>
                <c:pt idx="0">
                  <c:v>TOTAL</c:v>
                </c:pt>
              </c:strCache>
            </c:strRef>
          </c:tx>
          <c:spPr>
            <a:ln w="28575" cap="rnd">
              <a:solidFill>
                <a:schemeClr val="accent5"/>
              </a:solidFill>
              <a:round/>
            </a:ln>
            <a:effectLst/>
          </c:spPr>
          <c:marker>
            <c:symbol val="none"/>
          </c:marker>
          <c:cat>
            <c:strRef>
              <c:f>Sheet4!$A$5:$A$213</c:f>
              <c:strCache>
                <c:ptCount val="208"/>
                <c:pt idx="0">
                  <c:v>200112</c:v>
                </c:pt>
                <c:pt idx="1">
                  <c:v>200201</c:v>
                </c:pt>
                <c:pt idx="2">
                  <c:v>200202</c:v>
                </c:pt>
                <c:pt idx="3">
                  <c:v>200203</c:v>
                </c:pt>
                <c:pt idx="4">
                  <c:v>200204</c:v>
                </c:pt>
                <c:pt idx="5">
                  <c:v>200205</c:v>
                </c:pt>
                <c:pt idx="6">
                  <c:v>200206</c:v>
                </c:pt>
                <c:pt idx="7">
                  <c:v>200207</c:v>
                </c:pt>
                <c:pt idx="8">
                  <c:v>200208</c:v>
                </c:pt>
                <c:pt idx="9">
                  <c:v>200209</c:v>
                </c:pt>
                <c:pt idx="10">
                  <c:v>200210</c:v>
                </c:pt>
                <c:pt idx="11">
                  <c:v>200211</c:v>
                </c:pt>
                <c:pt idx="12">
                  <c:v>200212</c:v>
                </c:pt>
                <c:pt idx="13">
                  <c:v>200301</c:v>
                </c:pt>
                <c:pt idx="14">
                  <c:v>200302</c:v>
                </c:pt>
                <c:pt idx="15">
                  <c:v>200303</c:v>
                </c:pt>
                <c:pt idx="16">
                  <c:v>200304</c:v>
                </c:pt>
                <c:pt idx="17">
                  <c:v>200305</c:v>
                </c:pt>
                <c:pt idx="18">
                  <c:v>200306</c:v>
                </c:pt>
                <c:pt idx="19">
                  <c:v>200307</c:v>
                </c:pt>
                <c:pt idx="20">
                  <c:v>200308</c:v>
                </c:pt>
                <c:pt idx="21">
                  <c:v>200309</c:v>
                </c:pt>
                <c:pt idx="22">
                  <c:v>200310</c:v>
                </c:pt>
                <c:pt idx="23">
                  <c:v>200311</c:v>
                </c:pt>
                <c:pt idx="24">
                  <c:v>200312</c:v>
                </c:pt>
                <c:pt idx="25">
                  <c:v>200401</c:v>
                </c:pt>
                <c:pt idx="26">
                  <c:v>200402</c:v>
                </c:pt>
                <c:pt idx="27">
                  <c:v>200403</c:v>
                </c:pt>
                <c:pt idx="28">
                  <c:v>200404</c:v>
                </c:pt>
                <c:pt idx="29">
                  <c:v>200405</c:v>
                </c:pt>
                <c:pt idx="30">
                  <c:v>200406</c:v>
                </c:pt>
                <c:pt idx="31">
                  <c:v>200407</c:v>
                </c:pt>
                <c:pt idx="32">
                  <c:v>200408</c:v>
                </c:pt>
                <c:pt idx="33">
                  <c:v>200409</c:v>
                </c:pt>
                <c:pt idx="34">
                  <c:v>200410</c:v>
                </c:pt>
                <c:pt idx="35">
                  <c:v>200411</c:v>
                </c:pt>
                <c:pt idx="36">
                  <c:v>200412</c:v>
                </c:pt>
                <c:pt idx="37">
                  <c:v>200501</c:v>
                </c:pt>
                <c:pt idx="38">
                  <c:v>200502</c:v>
                </c:pt>
                <c:pt idx="39">
                  <c:v>200503</c:v>
                </c:pt>
                <c:pt idx="40">
                  <c:v>200504</c:v>
                </c:pt>
                <c:pt idx="41">
                  <c:v>200505</c:v>
                </c:pt>
                <c:pt idx="42">
                  <c:v>200506</c:v>
                </c:pt>
                <c:pt idx="43">
                  <c:v>200507</c:v>
                </c:pt>
                <c:pt idx="44">
                  <c:v>200508</c:v>
                </c:pt>
                <c:pt idx="45">
                  <c:v>200509</c:v>
                </c:pt>
                <c:pt idx="46">
                  <c:v>200510</c:v>
                </c:pt>
                <c:pt idx="47">
                  <c:v>200511</c:v>
                </c:pt>
                <c:pt idx="48">
                  <c:v>200512</c:v>
                </c:pt>
                <c:pt idx="49">
                  <c:v>200601</c:v>
                </c:pt>
                <c:pt idx="50">
                  <c:v>200602</c:v>
                </c:pt>
                <c:pt idx="51">
                  <c:v>200603</c:v>
                </c:pt>
                <c:pt idx="52">
                  <c:v>200604</c:v>
                </c:pt>
                <c:pt idx="53">
                  <c:v>200605</c:v>
                </c:pt>
                <c:pt idx="54">
                  <c:v>200606</c:v>
                </c:pt>
                <c:pt idx="55">
                  <c:v>200607</c:v>
                </c:pt>
                <c:pt idx="56">
                  <c:v>200608</c:v>
                </c:pt>
                <c:pt idx="57">
                  <c:v>200609</c:v>
                </c:pt>
                <c:pt idx="58">
                  <c:v>200610</c:v>
                </c:pt>
                <c:pt idx="59">
                  <c:v>200611</c:v>
                </c:pt>
                <c:pt idx="60">
                  <c:v>200612</c:v>
                </c:pt>
                <c:pt idx="61">
                  <c:v>200701</c:v>
                </c:pt>
                <c:pt idx="62">
                  <c:v>200702</c:v>
                </c:pt>
                <c:pt idx="63">
                  <c:v>200703</c:v>
                </c:pt>
                <c:pt idx="64">
                  <c:v>200704</c:v>
                </c:pt>
                <c:pt idx="65">
                  <c:v>200705</c:v>
                </c:pt>
                <c:pt idx="66">
                  <c:v>200706</c:v>
                </c:pt>
                <c:pt idx="67">
                  <c:v>200707</c:v>
                </c:pt>
                <c:pt idx="68">
                  <c:v>200708</c:v>
                </c:pt>
                <c:pt idx="69">
                  <c:v>200709</c:v>
                </c:pt>
                <c:pt idx="70">
                  <c:v>200710</c:v>
                </c:pt>
                <c:pt idx="71">
                  <c:v>200711</c:v>
                </c:pt>
                <c:pt idx="72">
                  <c:v>200712</c:v>
                </c:pt>
                <c:pt idx="73">
                  <c:v>200801</c:v>
                </c:pt>
                <c:pt idx="74">
                  <c:v>200802</c:v>
                </c:pt>
                <c:pt idx="75">
                  <c:v>200803</c:v>
                </c:pt>
                <c:pt idx="76">
                  <c:v>200804</c:v>
                </c:pt>
                <c:pt idx="77">
                  <c:v>200805</c:v>
                </c:pt>
                <c:pt idx="78">
                  <c:v>200806</c:v>
                </c:pt>
                <c:pt idx="79">
                  <c:v>200807</c:v>
                </c:pt>
                <c:pt idx="80">
                  <c:v>200808</c:v>
                </c:pt>
                <c:pt idx="81">
                  <c:v>200809</c:v>
                </c:pt>
                <c:pt idx="82">
                  <c:v>200810</c:v>
                </c:pt>
                <c:pt idx="83">
                  <c:v>200811</c:v>
                </c:pt>
                <c:pt idx="84">
                  <c:v>200812</c:v>
                </c:pt>
                <c:pt idx="85">
                  <c:v>200901</c:v>
                </c:pt>
                <c:pt idx="86">
                  <c:v>200902</c:v>
                </c:pt>
                <c:pt idx="87">
                  <c:v>200903</c:v>
                </c:pt>
                <c:pt idx="88">
                  <c:v>200904</c:v>
                </c:pt>
                <c:pt idx="89">
                  <c:v>200905</c:v>
                </c:pt>
                <c:pt idx="90">
                  <c:v>200906</c:v>
                </c:pt>
                <c:pt idx="91">
                  <c:v>200907</c:v>
                </c:pt>
                <c:pt idx="92">
                  <c:v>200908</c:v>
                </c:pt>
                <c:pt idx="93">
                  <c:v>200909</c:v>
                </c:pt>
                <c:pt idx="94">
                  <c:v>200910</c:v>
                </c:pt>
                <c:pt idx="95">
                  <c:v>200911</c:v>
                </c:pt>
                <c:pt idx="96">
                  <c:v>200912</c:v>
                </c:pt>
                <c:pt idx="97">
                  <c:v>201001</c:v>
                </c:pt>
                <c:pt idx="98">
                  <c:v>201002</c:v>
                </c:pt>
                <c:pt idx="99">
                  <c:v>201003</c:v>
                </c:pt>
                <c:pt idx="100">
                  <c:v>201004</c:v>
                </c:pt>
                <c:pt idx="101">
                  <c:v>201005</c:v>
                </c:pt>
                <c:pt idx="102">
                  <c:v>201006</c:v>
                </c:pt>
                <c:pt idx="103">
                  <c:v>201007</c:v>
                </c:pt>
                <c:pt idx="104">
                  <c:v>201008</c:v>
                </c:pt>
                <c:pt idx="105">
                  <c:v>201009</c:v>
                </c:pt>
                <c:pt idx="106">
                  <c:v>201010</c:v>
                </c:pt>
                <c:pt idx="107">
                  <c:v>201011</c:v>
                </c:pt>
                <c:pt idx="108">
                  <c:v>201012</c:v>
                </c:pt>
                <c:pt idx="109">
                  <c:v>201101</c:v>
                </c:pt>
                <c:pt idx="110">
                  <c:v>201102</c:v>
                </c:pt>
                <c:pt idx="111">
                  <c:v>201103</c:v>
                </c:pt>
                <c:pt idx="112">
                  <c:v>201104</c:v>
                </c:pt>
                <c:pt idx="113">
                  <c:v>201105</c:v>
                </c:pt>
                <c:pt idx="114">
                  <c:v>201106</c:v>
                </c:pt>
                <c:pt idx="115">
                  <c:v>201107</c:v>
                </c:pt>
                <c:pt idx="116">
                  <c:v>201108</c:v>
                </c:pt>
                <c:pt idx="117">
                  <c:v>201109</c:v>
                </c:pt>
                <c:pt idx="118">
                  <c:v>201110</c:v>
                </c:pt>
                <c:pt idx="119">
                  <c:v>201111</c:v>
                </c:pt>
                <c:pt idx="120">
                  <c:v>201112</c:v>
                </c:pt>
                <c:pt idx="121">
                  <c:v>201201</c:v>
                </c:pt>
                <c:pt idx="122">
                  <c:v>201202</c:v>
                </c:pt>
                <c:pt idx="123">
                  <c:v>201203</c:v>
                </c:pt>
                <c:pt idx="124">
                  <c:v>201204</c:v>
                </c:pt>
                <c:pt idx="125">
                  <c:v>201205</c:v>
                </c:pt>
                <c:pt idx="126">
                  <c:v>201206</c:v>
                </c:pt>
                <c:pt idx="127">
                  <c:v>201207</c:v>
                </c:pt>
                <c:pt idx="128">
                  <c:v>201208</c:v>
                </c:pt>
                <c:pt idx="129">
                  <c:v>201209</c:v>
                </c:pt>
                <c:pt idx="130">
                  <c:v>201210</c:v>
                </c:pt>
                <c:pt idx="131">
                  <c:v>201211</c:v>
                </c:pt>
                <c:pt idx="132">
                  <c:v>201212</c:v>
                </c:pt>
                <c:pt idx="133">
                  <c:v>201301</c:v>
                </c:pt>
                <c:pt idx="134">
                  <c:v>201302</c:v>
                </c:pt>
                <c:pt idx="135">
                  <c:v>201303</c:v>
                </c:pt>
                <c:pt idx="136">
                  <c:v>201304</c:v>
                </c:pt>
                <c:pt idx="137">
                  <c:v>201305</c:v>
                </c:pt>
                <c:pt idx="138">
                  <c:v>201306</c:v>
                </c:pt>
                <c:pt idx="139">
                  <c:v>201307</c:v>
                </c:pt>
                <c:pt idx="140">
                  <c:v>201308</c:v>
                </c:pt>
                <c:pt idx="141">
                  <c:v>201309</c:v>
                </c:pt>
                <c:pt idx="142">
                  <c:v>201310</c:v>
                </c:pt>
                <c:pt idx="143">
                  <c:v>201311</c:v>
                </c:pt>
                <c:pt idx="144">
                  <c:v>201312</c:v>
                </c:pt>
                <c:pt idx="145">
                  <c:v>201401</c:v>
                </c:pt>
                <c:pt idx="146">
                  <c:v>201402</c:v>
                </c:pt>
                <c:pt idx="147">
                  <c:v>201403</c:v>
                </c:pt>
                <c:pt idx="148">
                  <c:v>201404</c:v>
                </c:pt>
                <c:pt idx="149">
                  <c:v>201405</c:v>
                </c:pt>
                <c:pt idx="150">
                  <c:v>201406</c:v>
                </c:pt>
                <c:pt idx="151">
                  <c:v>201407</c:v>
                </c:pt>
                <c:pt idx="152">
                  <c:v>201408</c:v>
                </c:pt>
                <c:pt idx="153">
                  <c:v>201409</c:v>
                </c:pt>
                <c:pt idx="154">
                  <c:v>201410</c:v>
                </c:pt>
                <c:pt idx="155">
                  <c:v>201411</c:v>
                </c:pt>
                <c:pt idx="156">
                  <c:v>201412</c:v>
                </c:pt>
                <c:pt idx="157">
                  <c:v>201501</c:v>
                </c:pt>
                <c:pt idx="158">
                  <c:v>201502</c:v>
                </c:pt>
                <c:pt idx="159">
                  <c:v>201503</c:v>
                </c:pt>
                <c:pt idx="160">
                  <c:v>201504</c:v>
                </c:pt>
                <c:pt idx="161">
                  <c:v>201505</c:v>
                </c:pt>
                <c:pt idx="162">
                  <c:v>201506</c:v>
                </c:pt>
                <c:pt idx="163">
                  <c:v>201507</c:v>
                </c:pt>
                <c:pt idx="164">
                  <c:v>201508</c:v>
                </c:pt>
                <c:pt idx="165">
                  <c:v>201509</c:v>
                </c:pt>
                <c:pt idx="166">
                  <c:v>201510</c:v>
                </c:pt>
                <c:pt idx="167">
                  <c:v>201511</c:v>
                </c:pt>
                <c:pt idx="168">
                  <c:v>201512</c:v>
                </c:pt>
                <c:pt idx="169">
                  <c:v>201601</c:v>
                </c:pt>
                <c:pt idx="170">
                  <c:v>201602</c:v>
                </c:pt>
                <c:pt idx="171">
                  <c:v>201603</c:v>
                </c:pt>
                <c:pt idx="172">
                  <c:v>201604</c:v>
                </c:pt>
                <c:pt idx="173">
                  <c:v>201605</c:v>
                </c:pt>
                <c:pt idx="174">
                  <c:v>201606</c:v>
                </c:pt>
                <c:pt idx="175">
                  <c:v>201607</c:v>
                </c:pt>
                <c:pt idx="176">
                  <c:v>201608</c:v>
                </c:pt>
                <c:pt idx="177">
                  <c:v>201609</c:v>
                </c:pt>
                <c:pt idx="178">
                  <c:v>201610</c:v>
                </c:pt>
                <c:pt idx="179">
                  <c:v>201611</c:v>
                </c:pt>
                <c:pt idx="180">
                  <c:v>201612</c:v>
                </c:pt>
                <c:pt idx="181">
                  <c:v>201701</c:v>
                </c:pt>
                <c:pt idx="182">
                  <c:v>201702</c:v>
                </c:pt>
                <c:pt idx="183">
                  <c:v>201703</c:v>
                </c:pt>
                <c:pt idx="184">
                  <c:v>201704</c:v>
                </c:pt>
                <c:pt idx="185">
                  <c:v>201705</c:v>
                </c:pt>
                <c:pt idx="186">
                  <c:v>201706</c:v>
                </c:pt>
                <c:pt idx="187">
                  <c:v>201707</c:v>
                </c:pt>
                <c:pt idx="188">
                  <c:v>201708</c:v>
                </c:pt>
                <c:pt idx="189">
                  <c:v>201709</c:v>
                </c:pt>
                <c:pt idx="190">
                  <c:v>201710</c:v>
                </c:pt>
                <c:pt idx="191">
                  <c:v>201711</c:v>
                </c:pt>
                <c:pt idx="192">
                  <c:v>201712</c:v>
                </c:pt>
                <c:pt idx="193">
                  <c:v>201801</c:v>
                </c:pt>
                <c:pt idx="194">
                  <c:v>201802</c:v>
                </c:pt>
                <c:pt idx="195">
                  <c:v>201803</c:v>
                </c:pt>
                <c:pt idx="196">
                  <c:v>201804</c:v>
                </c:pt>
                <c:pt idx="197">
                  <c:v>201805</c:v>
                </c:pt>
                <c:pt idx="198">
                  <c:v>201806</c:v>
                </c:pt>
                <c:pt idx="199">
                  <c:v>201807</c:v>
                </c:pt>
                <c:pt idx="200">
                  <c:v>201808</c:v>
                </c:pt>
                <c:pt idx="201">
                  <c:v>201809</c:v>
                </c:pt>
                <c:pt idx="202">
                  <c:v>201810</c:v>
                </c:pt>
                <c:pt idx="203">
                  <c:v>201811</c:v>
                </c:pt>
                <c:pt idx="204">
                  <c:v>201812</c:v>
                </c:pt>
                <c:pt idx="205">
                  <c:v>201901</c:v>
                </c:pt>
                <c:pt idx="206">
                  <c:v>201902</c:v>
                </c:pt>
                <c:pt idx="207">
                  <c:v>201903</c:v>
                </c:pt>
              </c:strCache>
            </c:strRef>
          </c:cat>
          <c:val>
            <c:numRef>
              <c:f>Sheet4!$F$5:$F$213</c:f>
              <c:numCache>
                <c:formatCode>General</c:formatCode>
                <c:ptCount val="208"/>
                <c:pt idx="0">
                  <c:v>368438.13999999996</c:v>
                </c:pt>
                <c:pt idx="1">
                  <c:v>422208.92</c:v>
                </c:pt>
                <c:pt idx="2">
                  <c:v>498515.80000000005</c:v>
                </c:pt>
                <c:pt idx="3">
                  <c:v>518824.5</c:v>
                </c:pt>
                <c:pt idx="4">
                  <c:v>530008.14</c:v>
                </c:pt>
                <c:pt idx="5">
                  <c:v>718312.72</c:v>
                </c:pt>
                <c:pt idx="6">
                  <c:v>585860.24</c:v>
                </c:pt>
                <c:pt idx="7">
                  <c:v>763356.92</c:v>
                </c:pt>
                <c:pt idx="8">
                  <c:v>698345.39999999991</c:v>
                </c:pt>
                <c:pt idx="9">
                  <c:v>770131.83000000007</c:v>
                </c:pt>
                <c:pt idx="10">
                  <c:v>693636.18</c:v>
                </c:pt>
                <c:pt idx="11">
                  <c:v>920060.53</c:v>
                </c:pt>
                <c:pt idx="12">
                  <c:v>1433860.41</c:v>
                </c:pt>
                <c:pt idx="13">
                  <c:v>1300143.3799999997</c:v>
                </c:pt>
                <c:pt idx="14">
                  <c:v>1227423.54</c:v>
                </c:pt>
                <c:pt idx="15">
                  <c:v>1355364.46</c:v>
                </c:pt>
                <c:pt idx="16">
                  <c:v>1463863.56</c:v>
                </c:pt>
                <c:pt idx="17">
                  <c:v>1533990.8699999999</c:v>
                </c:pt>
                <c:pt idx="18">
                  <c:v>1393418.0000000002</c:v>
                </c:pt>
                <c:pt idx="19">
                  <c:v>1673163.07</c:v>
                </c:pt>
                <c:pt idx="20">
                  <c:v>1519882.05</c:v>
                </c:pt>
                <c:pt idx="21">
                  <c:v>1657242.8499999999</c:v>
                </c:pt>
                <c:pt idx="22">
                  <c:v>1875467.1400000001</c:v>
                </c:pt>
                <c:pt idx="23">
                  <c:v>1700803.9500000002</c:v>
                </c:pt>
                <c:pt idx="24">
                  <c:v>2258930.29</c:v>
                </c:pt>
                <c:pt idx="25">
                  <c:v>2072331.1300000001</c:v>
                </c:pt>
                <c:pt idx="26">
                  <c:v>2128442.7600000002</c:v>
                </c:pt>
                <c:pt idx="27">
                  <c:v>2353276.87</c:v>
                </c:pt>
                <c:pt idx="28">
                  <c:v>2317396.13</c:v>
                </c:pt>
                <c:pt idx="29">
                  <c:v>2252957.0099999998</c:v>
                </c:pt>
                <c:pt idx="30">
                  <c:v>2152724.6799999997</c:v>
                </c:pt>
                <c:pt idx="31">
                  <c:v>2181095.2999999998</c:v>
                </c:pt>
                <c:pt idx="32">
                  <c:v>2083669.6000000003</c:v>
                </c:pt>
                <c:pt idx="33">
                  <c:v>2130285.86</c:v>
                </c:pt>
                <c:pt idx="34">
                  <c:v>2251604.09</c:v>
                </c:pt>
                <c:pt idx="35">
                  <c:v>2626396.19</c:v>
                </c:pt>
                <c:pt idx="36">
                  <c:v>3125313.87</c:v>
                </c:pt>
                <c:pt idx="37">
                  <c:v>2628704.94</c:v>
                </c:pt>
                <c:pt idx="38">
                  <c:v>2916059.8099999996</c:v>
                </c:pt>
                <c:pt idx="39">
                  <c:v>3290650.0799999996</c:v>
                </c:pt>
                <c:pt idx="40">
                  <c:v>3317886.7600000002</c:v>
                </c:pt>
                <c:pt idx="41">
                  <c:v>3786993.42</c:v>
                </c:pt>
                <c:pt idx="42">
                  <c:v>3495401.56</c:v>
                </c:pt>
                <c:pt idx="43">
                  <c:v>3825738.52</c:v>
                </c:pt>
                <c:pt idx="44">
                  <c:v>3973867.2399999998</c:v>
                </c:pt>
                <c:pt idx="45">
                  <c:v>3790832.5500000003</c:v>
                </c:pt>
                <c:pt idx="46">
                  <c:v>3765506.63</c:v>
                </c:pt>
                <c:pt idx="47">
                  <c:v>4010575.5</c:v>
                </c:pt>
                <c:pt idx="48">
                  <c:v>4508845.3899999997</c:v>
                </c:pt>
                <c:pt idx="49">
                  <c:v>3739939.5900000003</c:v>
                </c:pt>
                <c:pt idx="50">
                  <c:v>3711867.9799999995</c:v>
                </c:pt>
                <c:pt idx="51">
                  <c:v>4265399.54</c:v>
                </c:pt>
                <c:pt idx="52">
                  <c:v>3963032.48</c:v>
                </c:pt>
                <c:pt idx="53">
                  <c:v>4553428.5</c:v>
                </c:pt>
                <c:pt idx="54">
                  <c:v>4185162.7</c:v>
                </c:pt>
                <c:pt idx="55">
                  <c:v>4112537.54</c:v>
                </c:pt>
                <c:pt idx="56">
                  <c:v>4242950.18</c:v>
                </c:pt>
                <c:pt idx="57">
                  <c:v>3918993.32</c:v>
                </c:pt>
                <c:pt idx="58">
                  <c:v>4357639.26</c:v>
                </c:pt>
                <c:pt idx="59">
                  <c:v>4224585.04</c:v>
                </c:pt>
                <c:pt idx="60">
                  <c:v>4408226.9499999993</c:v>
                </c:pt>
                <c:pt idx="61">
                  <c:v>4157390.0300000003</c:v>
                </c:pt>
                <c:pt idx="62">
                  <c:v>3956224.2399999998</c:v>
                </c:pt>
                <c:pt idx="63">
                  <c:v>4410804.68</c:v>
                </c:pt>
                <c:pt idx="64">
                  <c:v>4274850.3600000003</c:v>
                </c:pt>
                <c:pt idx="65">
                  <c:v>4711457.03</c:v>
                </c:pt>
                <c:pt idx="66">
                  <c:v>4247339.5199999996</c:v>
                </c:pt>
                <c:pt idx="67">
                  <c:v>4353063.1000000006</c:v>
                </c:pt>
                <c:pt idx="68">
                  <c:v>5019170.7799999993</c:v>
                </c:pt>
                <c:pt idx="69">
                  <c:v>4650212.41</c:v>
                </c:pt>
                <c:pt idx="70">
                  <c:v>5150887.05</c:v>
                </c:pt>
                <c:pt idx="71">
                  <c:v>5399878.7800000012</c:v>
                </c:pt>
                <c:pt idx="72">
                  <c:v>5640195.3699999992</c:v>
                </c:pt>
                <c:pt idx="73">
                  <c:v>5331570.5500000007</c:v>
                </c:pt>
                <c:pt idx="74">
                  <c:v>5257423.99</c:v>
                </c:pt>
                <c:pt idx="75">
                  <c:v>5535733.75</c:v>
                </c:pt>
                <c:pt idx="76">
                  <c:v>5851639.8899999997</c:v>
                </c:pt>
                <c:pt idx="77">
                  <c:v>6091001.9099999992</c:v>
                </c:pt>
                <c:pt idx="78">
                  <c:v>5638975.1400000006</c:v>
                </c:pt>
                <c:pt idx="79">
                  <c:v>6024587.6699999999</c:v>
                </c:pt>
                <c:pt idx="80">
                  <c:v>5773361.7299999995</c:v>
                </c:pt>
                <c:pt idx="81">
                  <c:v>6226048.7500000009</c:v>
                </c:pt>
                <c:pt idx="82">
                  <c:v>6305233.6100000003</c:v>
                </c:pt>
                <c:pt idx="83">
                  <c:v>6060416.8500000006</c:v>
                </c:pt>
                <c:pt idx="84">
                  <c:v>7470437.5599999996</c:v>
                </c:pt>
                <c:pt idx="85">
                  <c:v>5894016.7300000004</c:v>
                </c:pt>
                <c:pt idx="86">
                  <c:v>6266304.5800000001</c:v>
                </c:pt>
                <c:pt idx="87">
                  <c:v>6807805.3799999999</c:v>
                </c:pt>
                <c:pt idx="88">
                  <c:v>6864028.6100000003</c:v>
                </c:pt>
                <c:pt idx="89">
                  <c:v>6710597.1500000004</c:v>
                </c:pt>
                <c:pt idx="90">
                  <c:v>6883632.5800000001</c:v>
                </c:pt>
                <c:pt idx="91">
                  <c:v>7021388.5399999991</c:v>
                </c:pt>
                <c:pt idx="92">
                  <c:v>7031293.9299999997</c:v>
                </c:pt>
                <c:pt idx="93">
                  <c:v>7104559.6799999997</c:v>
                </c:pt>
                <c:pt idx="94">
                  <c:v>7048600.2800000003</c:v>
                </c:pt>
                <c:pt idx="95">
                  <c:v>6829687.1399999997</c:v>
                </c:pt>
                <c:pt idx="96">
                  <c:v>7964431.3800000008</c:v>
                </c:pt>
                <c:pt idx="97">
                  <c:v>6520266.1799999997</c:v>
                </c:pt>
                <c:pt idx="98">
                  <c:v>6649265.6800000006</c:v>
                </c:pt>
                <c:pt idx="99">
                  <c:v>7894578.8699999992</c:v>
                </c:pt>
                <c:pt idx="100">
                  <c:v>7076814.3700000001</c:v>
                </c:pt>
                <c:pt idx="101">
                  <c:v>7253158.1499999994</c:v>
                </c:pt>
                <c:pt idx="102">
                  <c:v>7572968.7300000004</c:v>
                </c:pt>
                <c:pt idx="103">
                  <c:v>7737713.4399999995</c:v>
                </c:pt>
                <c:pt idx="104">
                  <c:v>7757557.7800000003</c:v>
                </c:pt>
                <c:pt idx="105">
                  <c:v>7958598.6700000009</c:v>
                </c:pt>
                <c:pt idx="106">
                  <c:v>7848294.0099999998</c:v>
                </c:pt>
                <c:pt idx="107">
                  <c:v>8449926.1099999994</c:v>
                </c:pt>
                <c:pt idx="108">
                  <c:v>8647333.0299999993</c:v>
                </c:pt>
                <c:pt idx="109">
                  <c:v>7319428.9799999995</c:v>
                </c:pt>
                <c:pt idx="110">
                  <c:v>7557593.3100000005</c:v>
                </c:pt>
                <c:pt idx="111">
                  <c:v>8608139.0300000012</c:v>
                </c:pt>
                <c:pt idx="112">
                  <c:v>8050377.7599999998</c:v>
                </c:pt>
                <c:pt idx="113">
                  <c:v>8715194.4000000004</c:v>
                </c:pt>
                <c:pt idx="114">
                  <c:v>8627839.5399999991</c:v>
                </c:pt>
                <c:pt idx="115">
                  <c:v>8476803.4400000013</c:v>
                </c:pt>
                <c:pt idx="116">
                  <c:v>9030821.1699999999</c:v>
                </c:pt>
                <c:pt idx="117">
                  <c:v>8326564.25</c:v>
                </c:pt>
                <c:pt idx="118">
                  <c:v>8508803.7300000004</c:v>
                </c:pt>
                <c:pt idx="119">
                  <c:v>8698687.5300000012</c:v>
                </c:pt>
                <c:pt idx="120">
                  <c:v>9341488.209999999</c:v>
                </c:pt>
                <c:pt idx="121">
                  <c:v>8279868.7500000009</c:v>
                </c:pt>
                <c:pt idx="122">
                  <c:v>8376893.5200000005</c:v>
                </c:pt>
                <c:pt idx="123">
                  <c:v>9168045.3599999994</c:v>
                </c:pt>
                <c:pt idx="124">
                  <c:v>8334175.0899999999</c:v>
                </c:pt>
                <c:pt idx="125">
                  <c:v>9510133.6100000013</c:v>
                </c:pt>
                <c:pt idx="126">
                  <c:v>8964553.1600000001</c:v>
                </c:pt>
                <c:pt idx="127">
                  <c:v>9178498.0299999993</c:v>
                </c:pt>
                <c:pt idx="128">
                  <c:v>9965352.1399999987</c:v>
                </c:pt>
                <c:pt idx="129">
                  <c:v>8958490.3600000013</c:v>
                </c:pt>
                <c:pt idx="130">
                  <c:v>10272713.08</c:v>
                </c:pt>
                <c:pt idx="131">
                  <c:v>10043815.859999999</c:v>
                </c:pt>
                <c:pt idx="132">
                  <c:v>10426233.67</c:v>
                </c:pt>
                <c:pt idx="133">
                  <c:v>9658601.3800000008</c:v>
                </c:pt>
                <c:pt idx="134">
                  <c:v>9030379.2300000004</c:v>
                </c:pt>
                <c:pt idx="135">
                  <c:v>9965302.2100000009</c:v>
                </c:pt>
                <c:pt idx="136">
                  <c:v>10279906.720000001</c:v>
                </c:pt>
                <c:pt idx="137">
                  <c:v>10639169.219999999</c:v>
                </c:pt>
                <c:pt idx="138">
                  <c:v>9692935.629999999</c:v>
                </c:pt>
                <c:pt idx="139">
                  <c:v>10491448.93</c:v>
                </c:pt>
                <c:pt idx="140">
                  <c:v>10458325.25</c:v>
                </c:pt>
                <c:pt idx="141">
                  <c:v>10018981.200000001</c:v>
                </c:pt>
                <c:pt idx="142">
                  <c:v>10750771.920000002</c:v>
                </c:pt>
                <c:pt idx="143">
                  <c:v>10754853.68</c:v>
                </c:pt>
                <c:pt idx="144">
                  <c:v>11278352.800000001</c:v>
                </c:pt>
                <c:pt idx="145">
                  <c:v>10018095.76</c:v>
                </c:pt>
                <c:pt idx="146">
                  <c:v>9619050.879999999</c:v>
                </c:pt>
                <c:pt idx="147">
                  <c:v>10928664.16</c:v>
                </c:pt>
                <c:pt idx="148">
                  <c:v>10583883.99</c:v>
                </c:pt>
                <c:pt idx="149">
                  <c:v>11236922.300000001</c:v>
                </c:pt>
                <c:pt idx="150">
                  <c:v>10687832.26</c:v>
                </c:pt>
                <c:pt idx="151">
                  <c:v>11333353.1</c:v>
                </c:pt>
                <c:pt idx="152">
                  <c:v>11020525.789999999</c:v>
                </c:pt>
                <c:pt idx="153">
                  <c:v>11012305.09</c:v>
                </c:pt>
                <c:pt idx="154">
                  <c:v>11211632.390000001</c:v>
                </c:pt>
                <c:pt idx="155">
                  <c:v>10786572.15</c:v>
                </c:pt>
                <c:pt idx="156">
                  <c:v>12512289.289999999</c:v>
                </c:pt>
                <c:pt idx="157">
                  <c:v>10307088.34</c:v>
                </c:pt>
                <c:pt idx="158">
                  <c:v>10438550.460000001</c:v>
                </c:pt>
                <c:pt idx="159">
                  <c:v>11909639.290000001</c:v>
                </c:pt>
                <c:pt idx="160">
                  <c:v>11362834.65</c:v>
                </c:pt>
                <c:pt idx="161">
                  <c:v>11394057.18</c:v>
                </c:pt>
                <c:pt idx="162">
                  <c:v>11586473.17</c:v>
                </c:pt>
                <c:pt idx="163">
                  <c:v>11570315.210000001</c:v>
                </c:pt>
                <c:pt idx="164">
                  <c:v>11689970.84</c:v>
                </c:pt>
                <c:pt idx="165">
                  <c:v>11527431.279999999</c:v>
                </c:pt>
                <c:pt idx="166">
                  <c:v>11593425.789999999</c:v>
                </c:pt>
                <c:pt idx="167">
                  <c:v>11445113.65</c:v>
                </c:pt>
                <c:pt idx="168">
                  <c:v>13484775.27</c:v>
                </c:pt>
                <c:pt idx="169">
                  <c:v>10743427.350000001</c:v>
                </c:pt>
                <c:pt idx="170">
                  <c:v>11655334.199999999</c:v>
                </c:pt>
                <c:pt idx="171">
                  <c:v>12981662.140000001</c:v>
                </c:pt>
                <c:pt idx="172">
                  <c:v>10903221.98</c:v>
                </c:pt>
                <c:pt idx="173">
                  <c:v>11776288.199999999</c:v>
                </c:pt>
                <c:pt idx="174">
                  <c:v>11503884.720000001</c:v>
                </c:pt>
                <c:pt idx="175">
                  <c:v>11685657.83</c:v>
                </c:pt>
                <c:pt idx="176">
                  <c:v>12241176.509999998</c:v>
                </c:pt>
                <c:pt idx="177">
                  <c:v>12261523.35</c:v>
                </c:pt>
                <c:pt idx="178">
                  <c:v>10628720.01</c:v>
                </c:pt>
                <c:pt idx="179">
                  <c:v>11358637.709999999</c:v>
                </c:pt>
                <c:pt idx="180">
                  <c:v>11881586.169999998</c:v>
                </c:pt>
                <c:pt idx="181">
                  <c:v>10464915.459999999</c:v>
                </c:pt>
                <c:pt idx="182">
                  <c:v>10411095.729999999</c:v>
                </c:pt>
                <c:pt idx="183">
                  <c:v>11837557.920000002</c:v>
                </c:pt>
                <c:pt idx="184">
                  <c:v>10793484.989999998</c:v>
                </c:pt>
                <c:pt idx="185">
                  <c:v>12135881.75</c:v>
                </c:pt>
                <c:pt idx="186">
                  <c:v>11299435.770000001</c:v>
                </c:pt>
                <c:pt idx="187">
                  <c:v>11196475.629999997</c:v>
                </c:pt>
                <c:pt idx="188">
                  <c:v>12023979.34</c:v>
                </c:pt>
                <c:pt idx="189">
                  <c:v>11829496.43</c:v>
                </c:pt>
                <c:pt idx="190">
                  <c:v>10452817.159999998</c:v>
                </c:pt>
                <c:pt idx="191">
                  <c:v>10673066.050000001</c:v>
                </c:pt>
                <c:pt idx="192">
                  <c:v>11131170.48</c:v>
                </c:pt>
                <c:pt idx="193">
                  <c:v>10547208.49</c:v>
                </c:pt>
                <c:pt idx="194">
                  <c:v>9791839.0599999987</c:v>
                </c:pt>
                <c:pt idx="195">
                  <c:v>10848379.799999999</c:v>
                </c:pt>
                <c:pt idx="196">
                  <c:v>10546873.950000001</c:v>
                </c:pt>
                <c:pt idx="197">
                  <c:v>11939665.560000001</c:v>
                </c:pt>
                <c:pt idx="198">
                  <c:v>9952628.5500000007</c:v>
                </c:pt>
                <c:pt idx="199">
                  <c:v>10733189.439999999</c:v>
                </c:pt>
                <c:pt idx="200">
                  <c:v>10985132.74</c:v>
                </c:pt>
                <c:pt idx="201">
                  <c:v>10800020.550000001</c:v>
                </c:pt>
                <c:pt idx="202">
                  <c:v>9840096.459999999</c:v>
                </c:pt>
                <c:pt idx="203">
                  <c:v>10192979.260000002</c:v>
                </c:pt>
                <c:pt idx="204">
                  <c:v>10027920.279999999</c:v>
                </c:pt>
                <c:pt idx="205">
                  <c:v>9732004.6199999992</c:v>
                </c:pt>
                <c:pt idx="206">
                  <c:v>9130403.4700000007</c:v>
                </c:pt>
                <c:pt idx="207">
                  <c:v>10264034.820000002</c:v>
                </c:pt>
              </c:numCache>
            </c:numRef>
          </c:val>
          <c:smooth val="0"/>
          <c:extLst>
            <c:ext xmlns:c16="http://schemas.microsoft.com/office/drawing/2014/chart" uri="{C3380CC4-5D6E-409C-BE32-E72D297353CC}">
              <c16:uniqueId val="{00000004-625A-43FE-B65F-DC0CF151B770}"/>
            </c:ext>
          </c:extLst>
        </c:ser>
        <c:dLbls>
          <c:showLegendKey val="0"/>
          <c:showVal val="0"/>
          <c:showCatName val="0"/>
          <c:showSerName val="0"/>
          <c:showPercent val="0"/>
          <c:showBubbleSize val="0"/>
        </c:dLbls>
        <c:smooth val="0"/>
        <c:axId val="706566784"/>
        <c:axId val="706562848"/>
      </c:lineChart>
      <c:catAx>
        <c:axId val="70656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562848"/>
        <c:crosses val="autoZero"/>
        <c:auto val="1"/>
        <c:lblAlgn val="ctr"/>
        <c:lblOffset val="100"/>
        <c:noMultiLvlLbl val="0"/>
      </c:catAx>
      <c:valAx>
        <c:axId val="706562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Cost to government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t;999999]\ &quot;$&quot;#,,&quot;M&quot;;#,&quot;0&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5667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731F0-54C6-4039-9030-5F6D9FC8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5739</Words>
  <Characters>32713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2020-03-03T01:50:00Z</dcterms:created>
  <dcterms:modified xsi:type="dcterms:W3CDTF">2020-03-05T04:13:00Z</dcterms:modified>
</cp:coreProperties>
</file>