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3C130" w14:textId="2427B5B8" w:rsidR="00832324" w:rsidRDefault="00D13B0A" w:rsidP="00F73113">
      <w:pPr>
        <w:pStyle w:val="Title"/>
      </w:pPr>
      <w:bookmarkStart w:id="0" w:name="_GoBack"/>
      <w:bookmarkEnd w:id="0"/>
      <w:r>
        <w:t>Sapropterin</w:t>
      </w:r>
      <w:r w:rsidR="001C4016">
        <w:t>:</w:t>
      </w:r>
      <w:r w:rsidR="005803FA">
        <w:t xml:space="preserve"> </w:t>
      </w:r>
      <w:r>
        <w:t xml:space="preserve">predicted vs actual </w:t>
      </w:r>
      <w:r w:rsidR="001C4016">
        <w:t>a</w:t>
      </w:r>
      <w:r w:rsidR="00C67783">
        <w:t>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5361D346" w:rsidR="009053D3" w:rsidRPr="00F73113" w:rsidRDefault="00D13B0A" w:rsidP="00F73113">
      <w:pPr>
        <w:pStyle w:val="Meetingdate"/>
      </w:pPr>
      <w:r>
        <w:t>June</w:t>
      </w:r>
      <w:r w:rsidR="00D151EB" w:rsidRPr="00F73113">
        <w:t xml:space="preserve"> 20</w:t>
      </w:r>
      <w:r>
        <w:t>19</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55D8D3BB" w14:textId="49595DC5" w:rsidR="00CC2433" w:rsidRPr="008343E4" w:rsidRDefault="00CC2433" w:rsidP="00CC2433">
      <w:r w:rsidRPr="008343E4">
        <w:t xml:space="preserve">To compare the predicted and actual utilisation of sapropterin </w:t>
      </w:r>
      <w:r w:rsidR="00C30E6D">
        <w:t>since</w:t>
      </w:r>
      <w:r w:rsidRPr="008343E4">
        <w:t xml:space="preserve"> PBS listing </w:t>
      </w:r>
      <w:r w:rsidR="00FA5165">
        <w:t xml:space="preserve">on </w:t>
      </w:r>
      <w:r w:rsidR="00084F22">
        <w:br/>
      </w:r>
      <w:r w:rsidR="00FA5165">
        <w:t>1 May 2014</w:t>
      </w:r>
      <w:r w:rsidR="00551163">
        <w:t xml:space="preserve">. </w:t>
      </w:r>
      <w:r w:rsidRPr="008343E4">
        <w:t xml:space="preserve">In its recommendation, the </w:t>
      </w:r>
      <w:r>
        <w:t>Pharmaceutical Benefits Advisory Committee (</w:t>
      </w:r>
      <w:r w:rsidRPr="008343E4">
        <w:t>PBAC</w:t>
      </w:r>
      <w:r>
        <w:t>)</w:t>
      </w:r>
      <w:r w:rsidRPr="008343E4">
        <w:t xml:space="preserve"> requested that the Department review </w:t>
      </w:r>
      <w:r w:rsidR="00B56601">
        <w:t>the utilisation of sapro</w:t>
      </w:r>
      <w:r w:rsidR="00E21364">
        <w:t>p</w:t>
      </w:r>
      <w:r w:rsidR="00B56601">
        <w:t xml:space="preserve">terin after five years of its first </w:t>
      </w:r>
      <w:r w:rsidRPr="008343E4">
        <w:t xml:space="preserve">listing to </w:t>
      </w:r>
      <w:r w:rsidR="00B56601">
        <w:t>examine</w:t>
      </w:r>
      <w:r w:rsidR="00B56601" w:rsidRPr="008343E4">
        <w:t xml:space="preserve"> </w:t>
      </w:r>
      <w:r w:rsidRPr="008343E4">
        <w:t>the number of patients</w:t>
      </w:r>
      <w:r w:rsidR="00B56601">
        <w:t xml:space="preserve"> continuing on this therapy</w:t>
      </w:r>
      <w:r w:rsidRPr="008343E4">
        <w:t>.</w:t>
      </w:r>
    </w:p>
    <w:p w14:paraId="03538E7F" w14:textId="322BB850" w:rsidR="002D144A" w:rsidRDefault="002D144A" w:rsidP="00CC2433">
      <w:pPr>
        <w:pStyle w:val="Heading3"/>
      </w:pPr>
      <w:r>
        <w:t>Date of listing on the P</w:t>
      </w:r>
      <w:r w:rsidR="00A95FA5">
        <w:t xml:space="preserve">harmaceutical </w:t>
      </w:r>
      <w:r>
        <w:t>B</w:t>
      </w:r>
      <w:r w:rsidR="00A95FA5">
        <w:t xml:space="preserve">enefits </w:t>
      </w:r>
      <w:r>
        <w:t>S</w:t>
      </w:r>
      <w:r w:rsidR="00A95FA5">
        <w:t>cheme (PBS)</w:t>
      </w:r>
    </w:p>
    <w:p w14:paraId="6826BE60" w14:textId="4A8C0E58" w:rsidR="00C67783" w:rsidRDefault="00C67783" w:rsidP="00CF5E22">
      <w:pPr>
        <w:pStyle w:val="Heading3"/>
        <w:rPr>
          <w:b w:val="0"/>
          <w:i w:val="0"/>
          <w:szCs w:val="24"/>
        </w:rPr>
      </w:pPr>
      <w:r>
        <w:rPr>
          <w:b w:val="0"/>
          <w:i w:val="0"/>
          <w:szCs w:val="24"/>
        </w:rPr>
        <w:t xml:space="preserve">Sapropterin </w:t>
      </w:r>
      <w:r w:rsidRPr="00C67783">
        <w:rPr>
          <w:b w:val="0"/>
          <w:i w:val="0"/>
          <w:szCs w:val="24"/>
        </w:rPr>
        <w:t xml:space="preserve">was listed on the PBS on 1 </w:t>
      </w:r>
      <w:r>
        <w:rPr>
          <w:b w:val="0"/>
          <w:i w:val="0"/>
          <w:szCs w:val="24"/>
        </w:rPr>
        <w:t>May</w:t>
      </w:r>
      <w:r w:rsidRPr="00C67783">
        <w:rPr>
          <w:b w:val="0"/>
          <w:i w:val="0"/>
          <w:szCs w:val="24"/>
        </w:rPr>
        <w:t xml:space="preserve"> 201</w:t>
      </w:r>
      <w:r>
        <w:rPr>
          <w:b w:val="0"/>
          <w:i w:val="0"/>
          <w:szCs w:val="24"/>
        </w:rPr>
        <w:t>4</w:t>
      </w:r>
      <w:r w:rsidRPr="00C67783">
        <w:rPr>
          <w:b w:val="0"/>
          <w:i w:val="0"/>
          <w:szCs w:val="24"/>
        </w:rPr>
        <w:t>.</w:t>
      </w:r>
    </w:p>
    <w:p w14:paraId="526743BB" w14:textId="7E8C51B0" w:rsidR="005C6661" w:rsidRDefault="005C6661" w:rsidP="00CF5E22">
      <w:pPr>
        <w:pStyle w:val="Heading3"/>
      </w:pPr>
      <w:r>
        <w:t>Data Source / methodology</w:t>
      </w:r>
    </w:p>
    <w:p w14:paraId="2D65A9F9" w14:textId="77777777" w:rsidR="00C67783" w:rsidRDefault="00C67783" w:rsidP="00C67783">
      <w:pPr>
        <w:pStyle w:val="Heading3"/>
        <w:ind w:left="720" w:hanging="720"/>
        <w:rPr>
          <w:b w:val="0"/>
          <w:i w:val="0"/>
          <w:szCs w:val="24"/>
        </w:rPr>
      </w:pPr>
      <w:r w:rsidRPr="00C67783">
        <w:rPr>
          <w:b w:val="0"/>
          <w:i w:val="0"/>
          <w:szCs w:val="24"/>
        </w:rPr>
        <w:t>•</w:t>
      </w:r>
      <w:r w:rsidRPr="00C67783">
        <w:rPr>
          <w:b w:val="0"/>
          <w:i w:val="0"/>
          <w:szCs w:val="24"/>
        </w:rPr>
        <w:tab/>
        <w:t xml:space="preserve">PBS pharmacy claims data from the Department of Human Services (DHS) prescription database. </w:t>
      </w:r>
    </w:p>
    <w:p w14:paraId="7599E7C1" w14:textId="47EE78C7" w:rsidR="005C6661" w:rsidRDefault="005C6661" w:rsidP="00CF5E22">
      <w:pPr>
        <w:pStyle w:val="Heading3"/>
      </w:pPr>
      <w:r>
        <w:t>Key Findings</w:t>
      </w:r>
    </w:p>
    <w:p w14:paraId="229C579E" w14:textId="6D7DAA84" w:rsidR="003E48FA" w:rsidRPr="003E48FA" w:rsidRDefault="003E48FA" w:rsidP="003E48FA">
      <w:pPr>
        <w:ind w:left="720" w:hanging="720"/>
      </w:pPr>
      <w:r w:rsidRPr="00FB0D50">
        <w:t>•</w:t>
      </w:r>
      <w:r>
        <w:tab/>
      </w:r>
      <w:r w:rsidRPr="00535C95">
        <w:t>Majority of patients (94%) who had initiated on sapropterin between Years 1 to 4 of listing were continuing to be supplied sapropterin, including all patients who initiated therapy in the first year of listing (1 May 2014 to 30 April 2015).</w:t>
      </w:r>
    </w:p>
    <w:p w14:paraId="10ED0262" w14:textId="5B2C4C1E" w:rsidR="00A0180F" w:rsidRPr="00FB0D50" w:rsidRDefault="00FB0D50" w:rsidP="00FB0D50">
      <w:pPr>
        <w:ind w:left="720" w:hanging="720"/>
      </w:pPr>
      <w:r w:rsidRPr="00FB0D50">
        <w:t>•</w:t>
      </w:r>
      <w:r>
        <w:rPr>
          <w:b/>
          <w:i/>
        </w:rPr>
        <w:tab/>
      </w:r>
      <w:r>
        <w:t>The number of actual patients treated with PBS subsidised sapropterin in the</w:t>
      </w:r>
      <w:r w:rsidR="0019333D">
        <w:t xml:space="preserve"> </w:t>
      </w:r>
      <w:r>
        <w:t>first two years of listing was similar to predicted</w:t>
      </w:r>
      <w:r w:rsidR="00551163">
        <w:t xml:space="preserve">. </w:t>
      </w:r>
      <w:r>
        <w:t xml:space="preserve">However, the actual number of patients exceeded the number of </w:t>
      </w:r>
      <w:r w:rsidRPr="00FB0D50">
        <w:t>patients predicted</w:t>
      </w:r>
      <w:r w:rsidR="001937A2">
        <w:t xml:space="preserve"> </w:t>
      </w:r>
      <w:r w:rsidRPr="00FB0D50">
        <w:t>from Year 3 onwards</w:t>
      </w:r>
      <w:r w:rsidR="00551163">
        <w:t xml:space="preserve">. </w:t>
      </w:r>
      <w:r w:rsidR="001937A2">
        <w:t xml:space="preserve">Actual patient numbers were </w:t>
      </w:r>
      <w:r w:rsidR="004D4AF2" w:rsidRPr="004D4AF2">
        <w:rPr>
          <w:highlight w:val="black"/>
        </w:rPr>
        <w:t>xxxx</w:t>
      </w:r>
      <w:r w:rsidR="001937A2">
        <w:t xml:space="preserve">%, </w:t>
      </w:r>
      <w:r w:rsidR="004D4AF2" w:rsidRPr="004D4AF2">
        <w:rPr>
          <w:highlight w:val="black"/>
        </w:rPr>
        <w:t>xxxx</w:t>
      </w:r>
      <w:r w:rsidR="001937A2">
        <w:t xml:space="preserve">% and </w:t>
      </w:r>
      <w:r w:rsidR="004D4AF2" w:rsidRPr="004D4AF2">
        <w:rPr>
          <w:highlight w:val="black"/>
        </w:rPr>
        <w:t>xxxx</w:t>
      </w:r>
      <w:r w:rsidR="001937A2">
        <w:t xml:space="preserve">% </w:t>
      </w:r>
      <w:r w:rsidR="00001F5E">
        <w:t>higher than predicted i</w:t>
      </w:r>
      <w:r w:rsidR="001937A2">
        <w:t>n Years 3, 4 and 5</w:t>
      </w:r>
      <w:r w:rsidR="0019333D">
        <w:t>,</w:t>
      </w:r>
      <w:r w:rsidR="001937A2">
        <w:t xml:space="preserve"> respectively.</w:t>
      </w:r>
    </w:p>
    <w:p w14:paraId="5CAC6C3A" w14:textId="05691A4C" w:rsidR="00FB0D50" w:rsidRDefault="00FB0D50" w:rsidP="00001F5E">
      <w:pPr>
        <w:ind w:left="720" w:hanging="720"/>
      </w:pPr>
      <w:r w:rsidRPr="00FB0D50">
        <w:rPr>
          <w:i/>
        </w:rPr>
        <w:t>•</w:t>
      </w:r>
      <w:r>
        <w:rPr>
          <w:i/>
        </w:rPr>
        <w:tab/>
      </w:r>
      <w:r>
        <w:t xml:space="preserve">The total number of prescriptions of sapropterin supplied </w:t>
      </w:r>
      <w:r w:rsidR="00001F5E">
        <w:t xml:space="preserve">was </w:t>
      </w:r>
      <w:r w:rsidR="009160EE">
        <w:t xml:space="preserve">less than </w:t>
      </w:r>
      <w:r w:rsidR="00001F5E">
        <w:t>predicted in the first two years of listing</w:t>
      </w:r>
      <w:r w:rsidR="00551163">
        <w:t xml:space="preserve">. </w:t>
      </w:r>
      <w:r w:rsidR="00001F5E">
        <w:t xml:space="preserve">The number of prescriptions were </w:t>
      </w:r>
      <w:r w:rsidR="004D4AF2" w:rsidRPr="004D4AF2">
        <w:rPr>
          <w:highlight w:val="black"/>
        </w:rPr>
        <w:t>xx</w:t>
      </w:r>
      <w:r w:rsidR="00001F5E">
        <w:t xml:space="preserve">% and </w:t>
      </w:r>
      <w:r w:rsidR="004D4AF2" w:rsidRPr="004D4AF2">
        <w:rPr>
          <w:highlight w:val="black"/>
        </w:rPr>
        <w:t>xx</w:t>
      </w:r>
      <w:r w:rsidR="00001F5E">
        <w:t>% higher than predicted in Year 4 and 5 respectively.</w:t>
      </w:r>
    </w:p>
    <w:p w14:paraId="6AA040E2" w14:textId="1FBB6193" w:rsidR="00001F5E" w:rsidRDefault="00FB0D50" w:rsidP="00001F5E">
      <w:pPr>
        <w:ind w:left="720" w:hanging="720"/>
      </w:pPr>
      <w:r w:rsidRPr="00FB0D50">
        <w:rPr>
          <w:i/>
        </w:rPr>
        <w:t>•</w:t>
      </w:r>
      <w:r>
        <w:rPr>
          <w:i/>
        </w:rPr>
        <w:tab/>
      </w:r>
      <w:r>
        <w:t>The greater than predicted number of pati</w:t>
      </w:r>
      <w:r w:rsidR="00001F5E">
        <w:t>ents and prescriptions in the later years</w:t>
      </w:r>
      <w:r>
        <w:t xml:space="preserve"> did not </w:t>
      </w:r>
      <w:r w:rsidR="00001F5E">
        <w:t>translate to</w:t>
      </w:r>
      <w:r>
        <w:t xml:space="preserve"> greater than predicted PBS &amp; RPBS (R/PBS) expenditure because there was</w:t>
      </w:r>
      <w:r w:rsidR="0019333D">
        <w:t>:</w:t>
      </w:r>
      <w:r w:rsidR="00001F5E">
        <w:t xml:space="preserve"> </w:t>
      </w:r>
    </w:p>
    <w:p w14:paraId="4E08090C" w14:textId="729B19E5" w:rsidR="00001F5E" w:rsidRDefault="0019333D" w:rsidP="00001F5E">
      <w:pPr>
        <w:pStyle w:val="ListParagraph"/>
        <w:numPr>
          <w:ilvl w:val="0"/>
          <w:numId w:val="10"/>
        </w:numPr>
      </w:pPr>
      <w:r>
        <w:t>a l</w:t>
      </w:r>
      <w:r w:rsidR="00001F5E">
        <w:t>ower than expected number of prescriptions dispensed per patient per year; and</w:t>
      </w:r>
    </w:p>
    <w:p w14:paraId="391C82BC" w14:textId="77777777" w:rsidR="00670426" w:rsidRDefault="00670426" w:rsidP="00001F5E">
      <w:pPr>
        <w:pStyle w:val="ListParagraph"/>
        <w:numPr>
          <w:ilvl w:val="0"/>
          <w:numId w:val="10"/>
        </w:numPr>
      </w:pPr>
      <w:r>
        <w:lastRenderedPageBreak/>
        <w:t xml:space="preserve">a </w:t>
      </w:r>
      <w:r w:rsidR="0019333D">
        <w:t>l</w:t>
      </w:r>
      <w:r w:rsidR="00001F5E">
        <w:t>ower</w:t>
      </w:r>
      <w:r>
        <w:t xml:space="preserve"> than expected</w:t>
      </w:r>
      <w:r w:rsidR="00001F5E">
        <w:t xml:space="preserve"> </w:t>
      </w:r>
      <w:r w:rsidR="00DA27B1">
        <w:t>number of dispensed pack quantity</w:t>
      </w:r>
      <w:r>
        <w:t xml:space="preserve"> per patient per year</w:t>
      </w:r>
      <w:r w:rsidR="00E338C2">
        <w:t xml:space="preserve">. </w:t>
      </w:r>
    </w:p>
    <w:p w14:paraId="5A3D62EE" w14:textId="77777777" w:rsidR="004A20A2" w:rsidRDefault="003A5975" w:rsidP="00670426">
      <w:pPr>
        <w:ind w:left="720"/>
      </w:pPr>
      <w:r>
        <w:t>The lower than expe</w:t>
      </w:r>
      <w:r w:rsidR="004A20A2">
        <w:t xml:space="preserve">cted number of prescriptions and dispensed pack quantity could be </w:t>
      </w:r>
      <w:r>
        <w:t xml:space="preserve">due to the </w:t>
      </w:r>
      <w:r w:rsidR="004A20A2">
        <w:t>following:</w:t>
      </w:r>
    </w:p>
    <w:p w14:paraId="35592660" w14:textId="0BEC7C35" w:rsidR="009724BC" w:rsidRDefault="00150B25" w:rsidP="004A20A2">
      <w:pPr>
        <w:pStyle w:val="ListParagraph"/>
        <w:numPr>
          <w:ilvl w:val="0"/>
          <w:numId w:val="10"/>
        </w:numPr>
      </w:pPr>
      <w:r>
        <w:t xml:space="preserve">A </w:t>
      </w:r>
      <w:r w:rsidR="00E528A4">
        <w:t>high</w:t>
      </w:r>
      <w:r w:rsidR="00CF7494">
        <w:t>er than expected proportion of</w:t>
      </w:r>
      <w:r>
        <w:t xml:space="preserve"> prescriptions dispensed at less than the maximum quantity;</w:t>
      </w:r>
    </w:p>
    <w:p w14:paraId="3A131CFF" w14:textId="77777777" w:rsidR="00795960" w:rsidRDefault="004A20A2" w:rsidP="00795960">
      <w:pPr>
        <w:pStyle w:val="ListParagraph"/>
        <w:numPr>
          <w:ilvl w:val="0"/>
          <w:numId w:val="10"/>
        </w:numPr>
      </w:pPr>
      <w:r>
        <w:t xml:space="preserve">A lower than expected dose </w:t>
      </w:r>
      <w:r w:rsidR="006358C8">
        <w:t xml:space="preserve">supplied </w:t>
      </w:r>
      <w:r>
        <w:t xml:space="preserve">due to </w:t>
      </w:r>
      <w:r w:rsidR="00C66380">
        <w:t xml:space="preserve">dose </w:t>
      </w:r>
      <w:r>
        <w:t>t</w:t>
      </w:r>
      <w:r w:rsidR="008B1118">
        <w:t>itration, particularly in older patients,</w:t>
      </w:r>
      <w:r w:rsidR="00001F5E">
        <w:t xml:space="preserve"> to </w:t>
      </w:r>
      <w:r w:rsidR="00670426">
        <w:t xml:space="preserve">achieve individualised targets of </w:t>
      </w:r>
      <w:r w:rsidR="008B1118">
        <w:t xml:space="preserve">blood </w:t>
      </w:r>
      <w:r w:rsidR="00670426">
        <w:t>phenylalanine level.</w:t>
      </w:r>
    </w:p>
    <w:p w14:paraId="0BC21866" w14:textId="3C31F75B" w:rsidR="00435AF5" w:rsidRPr="00001F5E" w:rsidRDefault="00435AF5" w:rsidP="003E48FA">
      <w:pPr>
        <w:ind w:left="720" w:hanging="720"/>
      </w:pPr>
    </w:p>
    <w:p w14:paraId="5B262047" w14:textId="4976C00A" w:rsidR="00E677DD" w:rsidRDefault="00BB0D1A" w:rsidP="008B1118">
      <w:pPr>
        <w:pStyle w:val="Heading1"/>
      </w:pPr>
      <w:r>
        <w:br w:type="page"/>
      </w:r>
      <w:r w:rsidR="00E677DD" w:rsidRPr="00CF5E22">
        <w:lastRenderedPageBreak/>
        <w:t xml:space="preserve">Purpose of </w:t>
      </w:r>
      <w:r w:rsidR="00D151EB" w:rsidRPr="00CF5E22">
        <w:t>analysis</w:t>
      </w:r>
    </w:p>
    <w:p w14:paraId="11729097" w14:textId="427C337A" w:rsidR="008343E4" w:rsidRPr="008343E4" w:rsidRDefault="008343E4" w:rsidP="008343E4">
      <w:r w:rsidRPr="008343E4">
        <w:t xml:space="preserve">To compare the predicted and actual utilisation of sapropterin </w:t>
      </w:r>
      <w:r w:rsidR="0022743D">
        <w:t>since PBS listing</w:t>
      </w:r>
      <w:r w:rsidR="009160EE">
        <w:t xml:space="preserve"> on </w:t>
      </w:r>
      <w:r w:rsidR="00084F22">
        <w:br/>
      </w:r>
      <w:r w:rsidR="009160EE">
        <w:t>1 May 2014</w:t>
      </w:r>
      <w:r w:rsidR="00551163">
        <w:t xml:space="preserve">. </w:t>
      </w:r>
      <w:r w:rsidRPr="008343E4">
        <w:t xml:space="preserve">In its recommendation, the </w:t>
      </w:r>
      <w:r w:rsidR="00EB12C9">
        <w:t>Pharmaceutical Benefits Advisory Committee (</w:t>
      </w:r>
      <w:r w:rsidRPr="008343E4">
        <w:t>PBAC</w:t>
      </w:r>
      <w:r w:rsidR="00EB12C9">
        <w:t>)</w:t>
      </w:r>
      <w:r w:rsidRPr="008343E4">
        <w:t xml:space="preserve"> requested that the Department review </w:t>
      </w:r>
      <w:r w:rsidR="00FD450B">
        <w:t>the utilisation of sapropterin after</w:t>
      </w:r>
      <w:r w:rsidRPr="008343E4">
        <w:t xml:space="preserve"> five years</w:t>
      </w:r>
      <w:r w:rsidR="00FD450B">
        <w:t xml:space="preserve"> of its first listing</w:t>
      </w:r>
      <w:r w:rsidRPr="008343E4">
        <w:t xml:space="preserve"> to </w:t>
      </w:r>
      <w:r w:rsidR="00FD450B">
        <w:t>examine</w:t>
      </w:r>
      <w:r w:rsidR="00FD450B" w:rsidRPr="008343E4">
        <w:t xml:space="preserve"> </w:t>
      </w:r>
      <w:r w:rsidRPr="008343E4">
        <w:t>the number of patients</w:t>
      </w:r>
      <w:r w:rsidR="00FD450B">
        <w:t xml:space="preserve"> continuing on this therapy</w:t>
      </w:r>
      <w:r w:rsidRPr="008343E4">
        <w:t>.</w:t>
      </w:r>
    </w:p>
    <w:p w14:paraId="0A7F0B57" w14:textId="034D22D5" w:rsidR="006537D9" w:rsidRPr="005E22C2" w:rsidRDefault="00736041" w:rsidP="00CF5E22">
      <w:pPr>
        <w:pStyle w:val="Heading1"/>
      </w:pPr>
      <w:r w:rsidRPr="005E22C2">
        <w:t>Background</w:t>
      </w:r>
    </w:p>
    <w:p w14:paraId="7953F8A4" w14:textId="21347E9E" w:rsidR="005541CF" w:rsidRPr="00903B05" w:rsidRDefault="00772D83" w:rsidP="00903B05">
      <w:r>
        <w:t>Tetrahydrobiopterin (</w:t>
      </w:r>
      <w:r w:rsidR="00CA0A38" w:rsidRPr="00776AF6">
        <w:t>BH4</w:t>
      </w:r>
      <w:r>
        <w:t>)</w:t>
      </w:r>
      <w:r w:rsidR="00CA0A38" w:rsidRPr="00776AF6">
        <w:t xml:space="preserve"> </w:t>
      </w:r>
      <w:r w:rsidR="00487B42" w:rsidRPr="00776AF6">
        <w:t>deficiency is a</w:t>
      </w:r>
      <w:r w:rsidR="00CA0A38" w:rsidRPr="00776AF6">
        <w:t xml:space="preserve"> rare inborn error of metabolism which leads to a </w:t>
      </w:r>
      <w:r w:rsidR="001713AE" w:rsidRPr="00776AF6">
        <w:t>chronic abnormal ac</w:t>
      </w:r>
      <w:r w:rsidR="00CA0A38" w:rsidRPr="00776AF6">
        <w:t>cumulation of phenylalanine</w:t>
      </w:r>
      <w:r w:rsidR="0031486E">
        <w:t xml:space="preserve"> </w:t>
      </w:r>
      <w:r w:rsidR="00CA0A38" w:rsidRPr="00776AF6">
        <w:t>in the blood called hyperphenylalaninaemia</w:t>
      </w:r>
      <w:r w:rsidR="00551163">
        <w:t xml:space="preserve">. </w:t>
      </w:r>
      <w:r w:rsidR="00E215FE" w:rsidRPr="00E215FE">
        <w:t xml:space="preserve">Typically, symptoms of BH4 deficiency appear a few months after birth and include poor </w:t>
      </w:r>
      <w:r w:rsidR="00CC3F72">
        <w:t xml:space="preserve">feeding from abnormal </w:t>
      </w:r>
      <w:r w:rsidR="00E215FE" w:rsidRPr="00E215FE">
        <w:t xml:space="preserve">sucking, impaired </w:t>
      </w:r>
      <w:r w:rsidR="00CC3F72">
        <w:t xml:space="preserve">muscle </w:t>
      </w:r>
      <w:r w:rsidR="00E215FE" w:rsidRPr="00E215FE">
        <w:t xml:space="preserve">tone, microencephaly </w:t>
      </w:r>
      <w:r w:rsidR="00CC3F72">
        <w:t xml:space="preserve">(or small headedness) </w:t>
      </w:r>
      <w:r w:rsidR="00E215FE" w:rsidRPr="00E215FE">
        <w:t>and a range of extrapyramidal signs</w:t>
      </w:r>
      <w:r w:rsidR="00CC3F72">
        <w:t>, such as muscle spasms</w:t>
      </w:r>
      <w:r w:rsidR="00551163">
        <w:t xml:space="preserve">. </w:t>
      </w:r>
      <w:r w:rsidR="00E215FE" w:rsidRPr="00E215FE">
        <w:t>If left untreated</w:t>
      </w:r>
      <w:r w:rsidR="00CC3F72">
        <w:t>,</w:t>
      </w:r>
      <w:r w:rsidR="00E215FE" w:rsidRPr="00E215FE">
        <w:t xml:space="preserve"> profound neurological impairment, delayed psychomotor development and death in early childhood </w:t>
      </w:r>
      <w:r w:rsidR="00CC3F72">
        <w:t xml:space="preserve">can </w:t>
      </w:r>
      <w:r w:rsidR="00E215FE" w:rsidRPr="00E215FE">
        <w:t>result</w:t>
      </w:r>
      <w:r w:rsidR="00551163">
        <w:t xml:space="preserve">. </w:t>
      </w:r>
      <w:r w:rsidR="00E215FE" w:rsidRPr="00E215FE">
        <w:t>In Australia, BH4 deficiency is identified as part of the newborn screening program</w:t>
      </w:r>
      <w:r w:rsidR="00551163">
        <w:t xml:space="preserve">. </w:t>
      </w:r>
    </w:p>
    <w:p w14:paraId="0183A567" w14:textId="67C11FF5" w:rsidR="007247B9" w:rsidRDefault="007247B9" w:rsidP="005541CF">
      <w:pPr>
        <w:pStyle w:val="Heading2"/>
      </w:pPr>
      <w:r>
        <w:t>Pharmacology</w:t>
      </w:r>
      <w:r w:rsidR="00487B42" w:rsidRPr="00487B42">
        <w:rPr>
          <w:vertAlign w:val="superscript"/>
        </w:rPr>
        <w:t>1</w:t>
      </w:r>
    </w:p>
    <w:p w14:paraId="76C4522C" w14:textId="1C8D4F9F" w:rsidR="0042616B" w:rsidRDefault="00487B42" w:rsidP="004E3AB7">
      <w:pPr>
        <w:pStyle w:val="Heading2"/>
        <w:rPr>
          <w:b w:val="0"/>
          <w:sz w:val="24"/>
        </w:rPr>
      </w:pPr>
      <w:r>
        <w:rPr>
          <w:b w:val="0"/>
          <w:sz w:val="24"/>
        </w:rPr>
        <w:t xml:space="preserve">Sapropterin </w:t>
      </w:r>
      <w:r w:rsidR="006A2692" w:rsidRPr="006A2692">
        <w:rPr>
          <w:b w:val="0"/>
          <w:sz w:val="24"/>
        </w:rPr>
        <w:t>is a synthetic version of the naturally occurring 6R-BH4, which is a cofactor of the hydroxylases for phenylalanine, tyrosine and tryptophan.</w:t>
      </w:r>
      <w:r>
        <w:rPr>
          <w:b w:val="0"/>
          <w:sz w:val="24"/>
        </w:rPr>
        <w:t xml:space="preserve"> </w:t>
      </w:r>
      <w:r w:rsidR="004E3AB7" w:rsidRPr="004E3AB7">
        <w:rPr>
          <w:b w:val="0"/>
          <w:sz w:val="24"/>
        </w:rPr>
        <w:t>The rationale for administration of</w:t>
      </w:r>
      <w:r w:rsidR="001713AE">
        <w:rPr>
          <w:b w:val="0"/>
          <w:sz w:val="24"/>
        </w:rPr>
        <w:t xml:space="preserve"> sapropterin</w:t>
      </w:r>
      <w:r w:rsidR="004E3AB7" w:rsidRPr="004E3AB7">
        <w:rPr>
          <w:b w:val="0"/>
          <w:sz w:val="24"/>
        </w:rPr>
        <w:t xml:space="preserve"> </w:t>
      </w:r>
      <w:r w:rsidRPr="00487B42">
        <w:rPr>
          <w:b w:val="0"/>
          <w:sz w:val="24"/>
        </w:rPr>
        <w:t xml:space="preserve">in patients with BH4 deficiency is to replace the deficient levels of BH4, thereby restoring the activity of </w:t>
      </w:r>
      <w:r w:rsidR="00797424">
        <w:rPr>
          <w:b w:val="0"/>
          <w:sz w:val="24"/>
        </w:rPr>
        <w:t>the hydroxylase enzyme</w:t>
      </w:r>
      <w:r w:rsidRPr="00487B42">
        <w:rPr>
          <w:b w:val="0"/>
          <w:sz w:val="24"/>
        </w:rPr>
        <w:t>.</w:t>
      </w:r>
      <w:r>
        <w:rPr>
          <w:b w:val="0"/>
          <w:sz w:val="24"/>
        </w:rPr>
        <w:t xml:space="preserve"> </w:t>
      </w:r>
    </w:p>
    <w:p w14:paraId="5BA69CBD" w14:textId="18529DC1" w:rsidR="00487B42" w:rsidRDefault="00A52918" w:rsidP="00487B4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r w:rsidR="00487B42" w:rsidRPr="00487B42">
        <w:rPr>
          <w:vertAlign w:val="superscript"/>
        </w:rPr>
        <w:t>1</w:t>
      </w:r>
    </w:p>
    <w:p w14:paraId="48C64970" w14:textId="11EEF490" w:rsidR="00487B42" w:rsidRPr="00487B42" w:rsidRDefault="00487B42" w:rsidP="00487B42">
      <w:pPr>
        <w:pStyle w:val="Heading2"/>
      </w:pPr>
      <w:r w:rsidRPr="00487B42">
        <w:rPr>
          <w:b w:val="0"/>
          <w:sz w:val="24"/>
        </w:rPr>
        <w:t xml:space="preserve">Sapropterin is indicated for the treatment of </w:t>
      </w:r>
      <w:r>
        <w:rPr>
          <w:b w:val="0"/>
          <w:sz w:val="24"/>
        </w:rPr>
        <w:t>HPA</w:t>
      </w:r>
      <w:r w:rsidRPr="00487B42">
        <w:rPr>
          <w:b w:val="0"/>
          <w:sz w:val="24"/>
        </w:rPr>
        <w:t xml:space="preserve"> in sapropterin</w:t>
      </w:r>
      <w:r>
        <w:rPr>
          <w:b w:val="0"/>
          <w:sz w:val="24"/>
        </w:rPr>
        <w:t>-</w:t>
      </w:r>
      <w:r w:rsidRPr="00487B42">
        <w:rPr>
          <w:b w:val="0"/>
          <w:sz w:val="24"/>
        </w:rPr>
        <w:t>responsive</w:t>
      </w:r>
      <w:r>
        <w:rPr>
          <w:b w:val="0"/>
          <w:sz w:val="24"/>
        </w:rPr>
        <w:t xml:space="preserve"> </w:t>
      </w:r>
      <w:r w:rsidRPr="00487B42">
        <w:rPr>
          <w:b w:val="0"/>
          <w:sz w:val="24"/>
        </w:rPr>
        <w:t>adult and paediatric patients with phenylketonuria (PKU) or tetrahydrobiopterin</w:t>
      </w:r>
      <w:r>
        <w:rPr>
          <w:b w:val="0"/>
          <w:sz w:val="24"/>
        </w:rPr>
        <w:t xml:space="preserve"> </w:t>
      </w:r>
      <w:r w:rsidRPr="00487B42">
        <w:rPr>
          <w:b w:val="0"/>
          <w:sz w:val="24"/>
        </w:rPr>
        <w:t>(BH4) deficiency</w:t>
      </w:r>
      <w:r>
        <w:rPr>
          <w:b w:val="0"/>
          <w:sz w:val="24"/>
        </w:rPr>
        <w:t>.</w:t>
      </w:r>
    </w:p>
    <w:p w14:paraId="15E919C1" w14:textId="4274E886" w:rsidR="006B709B" w:rsidRDefault="006B709B" w:rsidP="00487B42">
      <w:pPr>
        <w:pStyle w:val="Heading2"/>
      </w:pPr>
      <w:r>
        <w:t>Dosage and administration</w:t>
      </w:r>
      <w:r w:rsidR="001A2864">
        <w:rPr>
          <w:rStyle w:val="FootnoteReference"/>
        </w:rPr>
        <w:footnoteReference w:id="1"/>
      </w:r>
    </w:p>
    <w:p w14:paraId="4B95F942" w14:textId="613C12BC" w:rsidR="003F5F52" w:rsidRDefault="003F5F52" w:rsidP="00487B42">
      <w:r>
        <w:t>T</w:t>
      </w:r>
      <w:r w:rsidR="00487B42">
        <w:t xml:space="preserve">he starting dose of </w:t>
      </w:r>
      <w:r>
        <w:t>sapropterin</w:t>
      </w:r>
      <w:r w:rsidR="00487B42">
        <w:t xml:space="preserve"> in adult and paediatric </w:t>
      </w:r>
      <w:r>
        <w:t xml:space="preserve">patients with BH4 deficiency is </w:t>
      </w:r>
      <w:r w:rsidR="00487B42">
        <w:t>2 to 5 mg/kg body weight once daily. The dose is adjusted t</w:t>
      </w:r>
      <w:r>
        <w:t xml:space="preserve">o achieve and maintain adequate </w:t>
      </w:r>
      <w:r w:rsidR="00487B42">
        <w:t>blood phenylalanine levels as defined by the physician</w:t>
      </w:r>
      <w:r>
        <w:t xml:space="preserve">. The recommended daily dose is </w:t>
      </w:r>
      <w:r w:rsidR="00487B42">
        <w:t>between 2 and 20 mg/kg/day. It may be necessary to divide t</w:t>
      </w:r>
      <w:r>
        <w:t>he total daily dose into 2 or 3</w:t>
      </w:r>
      <w:r w:rsidR="00776AF6">
        <w:t xml:space="preserve"> </w:t>
      </w:r>
      <w:r w:rsidR="00487B42">
        <w:t>administrations, distributed over the day, to optimise the therapeutic effect.</w:t>
      </w:r>
      <w:r>
        <w:t xml:space="preserve"> </w:t>
      </w:r>
    </w:p>
    <w:p w14:paraId="4559823A" w14:textId="40B43BBF" w:rsidR="00903B05" w:rsidRDefault="00903B05" w:rsidP="00487B42">
      <w:pPr>
        <w:sectPr w:rsidR="00903B05" w:rsidSect="00DD188C">
          <w:headerReference w:type="even" r:id="rId8"/>
          <w:headerReference w:type="default" r:id="rId9"/>
          <w:footerReference w:type="even" r:id="rId10"/>
          <w:footerReference w:type="default" r:id="rId11"/>
          <w:headerReference w:type="first" r:id="rId12"/>
          <w:footerReference w:type="first" r:id="rId13"/>
          <w:pgSz w:w="11906" w:h="16838"/>
          <w:pgMar w:top="1644" w:right="1361" w:bottom="1644" w:left="1588" w:header="709" w:footer="709" w:gutter="0"/>
          <w:cols w:space="708"/>
          <w:docGrid w:linePitch="360"/>
        </w:sectPr>
      </w:pPr>
      <w:r>
        <w:t>S</w:t>
      </w:r>
      <w:r w:rsidRPr="00903B05">
        <w:t xml:space="preserve">apropterin </w:t>
      </w:r>
      <w:r>
        <w:t>is</w:t>
      </w:r>
      <w:r w:rsidRPr="00903B05">
        <w:t xml:space="preserve"> </w:t>
      </w:r>
      <w:r w:rsidR="003D3B4E">
        <w:t xml:space="preserve">a synthetic form of </w:t>
      </w:r>
      <w:r w:rsidRPr="00903B05">
        <w:t>BH4</w:t>
      </w:r>
      <w:r w:rsidR="003D3B4E">
        <w:t>, which is intended</w:t>
      </w:r>
      <w:r w:rsidRPr="00903B05">
        <w:t xml:space="preserve"> to reduce and normalise plasma phenylalanine levels independently of a low phenylalanine diet.</w:t>
      </w:r>
    </w:p>
    <w:p w14:paraId="0571CBDE" w14:textId="510F5664" w:rsidR="00FB7617" w:rsidRDefault="0031486E" w:rsidP="00CF5E22">
      <w:pPr>
        <w:pStyle w:val="Heading2"/>
      </w:pPr>
      <w:r>
        <w:lastRenderedPageBreak/>
        <w:t>Clinical guidelines</w:t>
      </w:r>
      <w:bookmarkStart w:id="1" w:name="_Ref7519963"/>
      <w:r w:rsidR="006D795B">
        <w:rPr>
          <w:rStyle w:val="FootnoteReference"/>
        </w:rPr>
        <w:footnoteReference w:id="2"/>
      </w:r>
      <w:bookmarkEnd w:id="1"/>
    </w:p>
    <w:p w14:paraId="3C8CE21A" w14:textId="0BCF8D8D" w:rsidR="0031486E" w:rsidRDefault="0031486E" w:rsidP="004E310F">
      <w:r>
        <w:t>Clinics differ on what is considered to be an acceptable level of phenylalanine</w:t>
      </w:r>
      <w:r w:rsidR="00551163">
        <w:t xml:space="preserve">. </w:t>
      </w:r>
      <w:r w:rsidR="006D795B">
        <w:t xml:space="preserve">For children aged up to eight years old, the recommended level is between </w:t>
      </w:r>
      <w:r w:rsidR="006D795B" w:rsidRPr="006D795B">
        <w:t>100–350 micromoles per litre (μmol/L)</w:t>
      </w:r>
      <w:r w:rsidR="00551163">
        <w:t xml:space="preserve">. </w:t>
      </w:r>
      <w:r w:rsidR="006D795B">
        <w:t xml:space="preserve">For older children, teenagers and adults, </w:t>
      </w:r>
      <w:r w:rsidR="00B01A0C">
        <w:t>most clinics recommend a</w:t>
      </w:r>
      <w:r w:rsidR="00F01825">
        <w:t xml:space="preserve"> </w:t>
      </w:r>
      <w:r w:rsidR="00524DC9">
        <w:t xml:space="preserve">maximum level of 450 μmol/L. </w:t>
      </w:r>
      <w:r w:rsidR="006D795B">
        <w:t>However, some clinics accept levels up to 600 or 700 μmol/L and other clinics aim to keep their levels a</w:t>
      </w:r>
      <w:r w:rsidR="00524DC9">
        <w:t xml:space="preserve">round 100–350 μmol/L for life. </w:t>
      </w:r>
      <w:r w:rsidR="006D795B">
        <w:t>Pregnant women are generally recommended to have lower than usual acceptable levels to reduce the risk of heart abnormalities and other neurocognitive problems for the foetus.</w:t>
      </w:r>
      <w:r w:rsidR="004E310F">
        <w:t xml:space="preserve"> Although not deficient in endogenous </w:t>
      </w:r>
      <w:r w:rsidR="00AB57BD">
        <w:t>BH4</w:t>
      </w:r>
      <w:r w:rsidR="004E310F">
        <w:t xml:space="preserve">, some patients with </w:t>
      </w:r>
      <w:r w:rsidR="00797424">
        <w:t>phenylalanine hydroxylase</w:t>
      </w:r>
      <w:r w:rsidR="003E48FA">
        <w:t xml:space="preserve"> deficiency</w:t>
      </w:r>
      <w:r w:rsidR="00F01825">
        <w:t xml:space="preserve"> or PKU,</w:t>
      </w:r>
      <w:r w:rsidR="004E310F">
        <w:t xml:space="preserve"> who have some residual enzyme activity respond to</w:t>
      </w:r>
      <w:r w:rsidR="00F01825">
        <w:t xml:space="preserve"> the</w:t>
      </w:r>
      <w:r w:rsidR="004E310F">
        <w:t xml:space="preserve"> administration of sapropterin with an increase in the metabolism of </w:t>
      </w:r>
      <w:r w:rsidR="004E310F" w:rsidRPr="004E310F">
        <w:t>phenylalanine to tyrosine</w:t>
      </w:r>
      <w:r w:rsidR="004E310F">
        <w:t>.</w:t>
      </w:r>
      <w:r w:rsidR="00002143">
        <w:rPr>
          <w:rStyle w:val="FootnoteReference"/>
        </w:rPr>
        <w:footnoteReference w:id="3"/>
      </w:r>
    </w:p>
    <w:p w14:paraId="46E2BB42" w14:textId="4E02B143" w:rsidR="00DF0B13" w:rsidRDefault="00DF0B13" w:rsidP="00CF5E22">
      <w:pPr>
        <w:pStyle w:val="Heading2"/>
      </w:pPr>
      <w:r w:rsidRPr="007247B9" w:rsidDel="00EE2BBB">
        <w:t>PBS listing details</w:t>
      </w:r>
      <w:r w:rsidR="008343E4">
        <w:t xml:space="preserve"> (as at February 2019</w:t>
      </w:r>
      <w:r w:rsidR="00D151EB" w:rsidDel="00EE2BBB">
        <w:t>)</w:t>
      </w:r>
    </w:p>
    <w:p w14:paraId="1D47784A" w14:textId="1F5D0495" w:rsidR="001420B3" w:rsidRPr="00535C95" w:rsidDel="00EE2BBB" w:rsidRDefault="00F5163F" w:rsidP="00845F40">
      <w:pPr>
        <w:pStyle w:val="Caption"/>
        <w:keepNext/>
        <w:spacing w:before="200" w:after="20" w:line="240" w:lineRule="auto"/>
        <w:rPr>
          <w:rFonts w:asciiTheme="minorHAnsi" w:hAnsiTheme="minorHAnsi" w:cstheme="minorHAnsi"/>
        </w:rPr>
      </w:pPr>
      <w:r w:rsidRPr="00535C95">
        <w:rPr>
          <w:rFonts w:asciiTheme="minorHAnsi" w:hAnsiTheme="minorHAnsi" w:cstheme="minorHAnsi"/>
        </w:rPr>
        <w:t>Table 1</w:t>
      </w:r>
      <w:r w:rsidR="001420B3" w:rsidRPr="00535C95" w:rsidDel="00EE2BBB">
        <w:rPr>
          <w:rFonts w:asciiTheme="minorHAnsi" w:hAnsiTheme="minorHAnsi" w:cstheme="minorHAnsi"/>
        </w:rPr>
        <w:t xml:space="preserve">: </w:t>
      </w:r>
      <w:r w:rsidR="009663B6" w:rsidRPr="00535C95" w:rsidDel="00EE2BBB">
        <w:rPr>
          <w:rFonts w:asciiTheme="minorHAnsi" w:hAnsiTheme="minorHAnsi" w:cstheme="minorHAnsi"/>
        </w:rPr>
        <w:t>PB</w:t>
      </w:r>
      <w:r w:rsidRPr="00535C95">
        <w:rPr>
          <w:rFonts w:asciiTheme="minorHAnsi" w:hAnsiTheme="minorHAnsi" w:cstheme="minorHAnsi"/>
        </w:rPr>
        <w:t>S listing of sapropterin</w:t>
      </w:r>
    </w:p>
    <w:tbl>
      <w:tblPr>
        <w:tblStyle w:val="TableGrid"/>
        <w:tblW w:w="9064" w:type="dxa"/>
        <w:tblLayout w:type="fixed"/>
        <w:tblLook w:val="04A0" w:firstRow="1" w:lastRow="0" w:firstColumn="1" w:lastColumn="0" w:noHBand="0" w:noVBand="1"/>
        <w:tblCaption w:val="Table 1"/>
        <w:tblDescription w:val="Table 1"/>
      </w:tblPr>
      <w:tblGrid>
        <w:gridCol w:w="969"/>
        <w:gridCol w:w="2400"/>
        <w:gridCol w:w="1701"/>
        <w:gridCol w:w="850"/>
        <w:gridCol w:w="1040"/>
        <w:gridCol w:w="2104"/>
      </w:tblGrid>
      <w:tr w:rsidR="0093111F" w:rsidRPr="00845F40" w:rsidDel="00EE2BBB" w14:paraId="6AA19A37" w14:textId="77B518AD" w:rsidTr="0093111F">
        <w:trPr>
          <w:trHeight w:val="694"/>
          <w:tblHeader/>
        </w:trPr>
        <w:tc>
          <w:tcPr>
            <w:tcW w:w="969" w:type="dxa"/>
            <w:shd w:val="clear" w:color="auto" w:fill="BFBFBF" w:themeFill="background1" w:themeFillShade="BF"/>
          </w:tcPr>
          <w:p w14:paraId="56A3DEA0" w14:textId="1A878237" w:rsidR="0093111F" w:rsidRPr="00845F40" w:rsidDel="00EE2BBB" w:rsidRDefault="0093111F" w:rsidP="00A35800">
            <w:pPr>
              <w:pStyle w:val="Tableheading"/>
              <w:rPr>
                <w:rFonts w:cstheme="minorHAnsi"/>
                <w:sz w:val="20"/>
                <w:szCs w:val="20"/>
              </w:rPr>
            </w:pPr>
            <w:r w:rsidRPr="00845F40" w:rsidDel="00EE2BBB">
              <w:rPr>
                <w:rFonts w:cstheme="minorHAnsi"/>
                <w:sz w:val="20"/>
                <w:szCs w:val="20"/>
              </w:rPr>
              <w:t>Item</w:t>
            </w:r>
          </w:p>
        </w:tc>
        <w:tc>
          <w:tcPr>
            <w:tcW w:w="2400" w:type="dxa"/>
            <w:shd w:val="clear" w:color="auto" w:fill="BFBFBF" w:themeFill="background1" w:themeFillShade="BF"/>
          </w:tcPr>
          <w:p w14:paraId="67A07252" w14:textId="6DE43662" w:rsidR="0093111F" w:rsidRPr="00845F40" w:rsidDel="00EE2BBB" w:rsidRDefault="0093111F" w:rsidP="00A35800">
            <w:pPr>
              <w:pStyle w:val="Tableheading"/>
              <w:rPr>
                <w:rFonts w:cstheme="minorHAnsi"/>
                <w:sz w:val="20"/>
                <w:szCs w:val="20"/>
              </w:rPr>
            </w:pPr>
            <w:r w:rsidRPr="00845F40" w:rsidDel="00EE2BBB">
              <w:rPr>
                <w:rFonts w:cstheme="minorHAnsi"/>
                <w:sz w:val="20"/>
                <w:szCs w:val="20"/>
              </w:rPr>
              <w:t>Name, form &amp; strength, pack size</w:t>
            </w:r>
          </w:p>
        </w:tc>
        <w:tc>
          <w:tcPr>
            <w:tcW w:w="1701" w:type="dxa"/>
            <w:shd w:val="clear" w:color="auto" w:fill="BFBFBF" w:themeFill="background1" w:themeFillShade="BF"/>
          </w:tcPr>
          <w:p w14:paraId="114E9799" w14:textId="71E76A27" w:rsidR="0093111F" w:rsidRPr="00845F40" w:rsidDel="00EE2BBB" w:rsidRDefault="0093111F" w:rsidP="00A35800">
            <w:pPr>
              <w:pStyle w:val="Tableheading"/>
              <w:rPr>
                <w:rFonts w:cstheme="minorHAnsi"/>
                <w:sz w:val="20"/>
                <w:szCs w:val="20"/>
              </w:rPr>
            </w:pPr>
            <w:r w:rsidRPr="00845F40" w:rsidDel="00EE2BBB">
              <w:rPr>
                <w:rFonts w:cstheme="minorHAnsi"/>
                <w:sz w:val="20"/>
                <w:szCs w:val="20"/>
              </w:rPr>
              <w:t>Max</w:t>
            </w:r>
            <w:r w:rsidR="00A13C60" w:rsidRPr="00845F40" w:rsidDel="00EE2BBB">
              <w:rPr>
                <w:rFonts w:cstheme="minorHAnsi"/>
                <w:sz w:val="20"/>
                <w:szCs w:val="20"/>
              </w:rPr>
              <w:t xml:space="preserve">. </w:t>
            </w:r>
            <w:r w:rsidRPr="00845F40" w:rsidDel="00EE2BBB">
              <w:rPr>
                <w:rFonts w:cstheme="minorHAnsi"/>
                <w:sz w:val="20"/>
                <w:szCs w:val="20"/>
              </w:rPr>
              <w:t xml:space="preserve">quant. </w:t>
            </w:r>
          </w:p>
        </w:tc>
        <w:tc>
          <w:tcPr>
            <w:tcW w:w="850" w:type="dxa"/>
            <w:shd w:val="clear" w:color="auto" w:fill="BFBFBF" w:themeFill="background1" w:themeFillShade="BF"/>
          </w:tcPr>
          <w:p w14:paraId="0F1A79F7" w14:textId="170F6D44" w:rsidR="0093111F" w:rsidRPr="00845F40" w:rsidDel="00EE2BBB" w:rsidRDefault="0093111F" w:rsidP="00A35800">
            <w:pPr>
              <w:pStyle w:val="Tableheading"/>
              <w:rPr>
                <w:rFonts w:cstheme="minorHAnsi"/>
                <w:sz w:val="20"/>
                <w:szCs w:val="20"/>
              </w:rPr>
            </w:pPr>
            <w:r w:rsidRPr="00845F40" w:rsidDel="00EE2BBB">
              <w:rPr>
                <w:rFonts w:cstheme="minorHAnsi"/>
                <w:sz w:val="20"/>
                <w:szCs w:val="20"/>
              </w:rPr>
              <w:t xml:space="preserve">Rpts </w:t>
            </w:r>
          </w:p>
        </w:tc>
        <w:tc>
          <w:tcPr>
            <w:tcW w:w="1040" w:type="dxa"/>
            <w:shd w:val="clear" w:color="auto" w:fill="BFBFBF" w:themeFill="background1" w:themeFillShade="BF"/>
          </w:tcPr>
          <w:p w14:paraId="05C5A0BF" w14:textId="2CFF9AC9" w:rsidR="0093111F" w:rsidRPr="00845F40" w:rsidDel="00EE2BBB" w:rsidRDefault="0093111F" w:rsidP="00A35800">
            <w:pPr>
              <w:pStyle w:val="Tableheading"/>
              <w:rPr>
                <w:rFonts w:cstheme="minorHAnsi"/>
                <w:sz w:val="20"/>
                <w:szCs w:val="20"/>
              </w:rPr>
            </w:pPr>
            <w:r w:rsidRPr="00845F40" w:rsidDel="00EE2BBB">
              <w:rPr>
                <w:rFonts w:cstheme="minorHAnsi"/>
                <w:sz w:val="20"/>
                <w:szCs w:val="20"/>
              </w:rPr>
              <w:t>DPMQ</w:t>
            </w:r>
          </w:p>
        </w:tc>
        <w:tc>
          <w:tcPr>
            <w:tcW w:w="2104" w:type="dxa"/>
            <w:shd w:val="clear" w:color="auto" w:fill="BFBFBF" w:themeFill="background1" w:themeFillShade="BF"/>
          </w:tcPr>
          <w:p w14:paraId="09B472B7" w14:textId="479D46E2" w:rsidR="0093111F" w:rsidRPr="00845F40" w:rsidDel="00EE2BBB" w:rsidRDefault="0093111F" w:rsidP="00A35800">
            <w:pPr>
              <w:pStyle w:val="Tableheading"/>
              <w:rPr>
                <w:rFonts w:cstheme="minorHAnsi"/>
                <w:sz w:val="20"/>
                <w:szCs w:val="20"/>
              </w:rPr>
            </w:pPr>
            <w:r w:rsidRPr="00845F40" w:rsidDel="00EE2BBB">
              <w:rPr>
                <w:rFonts w:cstheme="minorHAnsi"/>
                <w:sz w:val="20"/>
                <w:szCs w:val="20"/>
              </w:rPr>
              <w:t>Brand name and manufacturer</w:t>
            </w:r>
          </w:p>
        </w:tc>
      </w:tr>
      <w:tr w:rsidR="0093111F" w:rsidRPr="00845F40" w:rsidDel="00EE2BBB" w14:paraId="2AF9D84B" w14:textId="0D323411" w:rsidTr="0093111F">
        <w:trPr>
          <w:trHeight w:val="552"/>
          <w:tblHeader/>
        </w:trPr>
        <w:tc>
          <w:tcPr>
            <w:tcW w:w="969" w:type="dxa"/>
            <w:shd w:val="clear" w:color="auto" w:fill="auto"/>
          </w:tcPr>
          <w:p w14:paraId="0A3E3442" w14:textId="32E72B94" w:rsidR="0093111F" w:rsidRPr="00845F40" w:rsidDel="00EE2BBB" w:rsidRDefault="008343E4" w:rsidP="00845F40">
            <w:pPr>
              <w:pStyle w:val="Tablewriting"/>
              <w:jc w:val="center"/>
              <w:rPr>
                <w:rFonts w:cstheme="minorHAnsi"/>
              </w:rPr>
            </w:pPr>
            <w:r w:rsidRPr="00845F40">
              <w:rPr>
                <w:rFonts w:cstheme="minorHAnsi"/>
              </w:rPr>
              <w:t>10086W, 10087X</w:t>
            </w:r>
          </w:p>
        </w:tc>
        <w:tc>
          <w:tcPr>
            <w:tcW w:w="2400" w:type="dxa"/>
            <w:shd w:val="clear" w:color="auto" w:fill="auto"/>
          </w:tcPr>
          <w:p w14:paraId="4A84A965" w14:textId="77777777" w:rsidR="0093111F" w:rsidRPr="00845F40" w:rsidRDefault="008343E4" w:rsidP="00845F40">
            <w:pPr>
              <w:pStyle w:val="Tablewriting"/>
              <w:jc w:val="center"/>
              <w:rPr>
                <w:rFonts w:cstheme="minorHAnsi"/>
              </w:rPr>
            </w:pPr>
            <w:r w:rsidRPr="00845F40">
              <w:rPr>
                <w:rFonts w:cstheme="minorHAnsi"/>
              </w:rPr>
              <w:t>SAPROPTERIN</w:t>
            </w:r>
          </w:p>
          <w:p w14:paraId="0F676F51" w14:textId="5D972C31" w:rsidR="008343E4" w:rsidRPr="00845F40" w:rsidDel="00EE2BBB" w:rsidRDefault="008343E4" w:rsidP="00845F40">
            <w:pPr>
              <w:pStyle w:val="Tablewriting"/>
              <w:jc w:val="center"/>
              <w:rPr>
                <w:rFonts w:cstheme="minorHAnsi"/>
              </w:rPr>
            </w:pPr>
            <w:r w:rsidRPr="00845F40">
              <w:rPr>
                <w:rFonts w:cstheme="minorHAnsi"/>
              </w:rPr>
              <w:t>sapropterin dihydrochloride 100 mg soluble tablet, 30</w:t>
            </w:r>
          </w:p>
        </w:tc>
        <w:tc>
          <w:tcPr>
            <w:tcW w:w="1701" w:type="dxa"/>
            <w:shd w:val="clear" w:color="auto" w:fill="auto"/>
          </w:tcPr>
          <w:p w14:paraId="0E2637C4" w14:textId="3EDFB7F4" w:rsidR="0093111F" w:rsidRPr="00845F40" w:rsidDel="00EE2BBB" w:rsidRDefault="008343E4" w:rsidP="00845F40">
            <w:pPr>
              <w:pStyle w:val="Tablewriting"/>
              <w:jc w:val="center"/>
              <w:rPr>
                <w:rFonts w:cstheme="minorHAnsi"/>
              </w:rPr>
            </w:pPr>
            <w:r w:rsidRPr="00845F40">
              <w:rPr>
                <w:rFonts w:cstheme="minorHAnsi"/>
              </w:rPr>
              <w:t>6</w:t>
            </w:r>
          </w:p>
        </w:tc>
        <w:tc>
          <w:tcPr>
            <w:tcW w:w="850" w:type="dxa"/>
            <w:shd w:val="clear" w:color="auto" w:fill="auto"/>
          </w:tcPr>
          <w:p w14:paraId="6B361CAA" w14:textId="52BB3CC0" w:rsidR="0093111F" w:rsidRPr="00845F40" w:rsidDel="00EE2BBB" w:rsidRDefault="008343E4" w:rsidP="00845F40">
            <w:pPr>
              <w:pStyle w:val="Tablewriting"/>
              <w:jc w:val="center"/>
              <w:rPr>
                <w:rFonts w:cstheme="minorHAnsi"/>
              </w:rPr>
            </w:pPr>
            <w:r w:rsidRPr="00845F40">
              <w:rPr>
                <w:rFonts w:cstheme="minorHAnsi"/>
              </w:rPr>
              <w:t>0</w:t>
            </w:r>
          </w:p>
        </w:tc>
        <w:tc>
          <w:tcPr>
            <w:tcW w:w="1040" w:type="dxa"/>
            <w:shd w:val="clear" w:color="auto" w:fill="auto"/>
          </w:tcPr>
          <w:p w14:paraId="15F68405" w14:textId="30D21853" w:rsidR="0093111F" w:rsidRPr="00845F40" w:rsidDel="00EE2BBB" w:rsidRDefault="008343E4" w:rsidP="00845F40">
            <w:pPr>
              <w:pStyle w:val="Tablewriting"/>
              <w:jc w:val="center"/>
              <w:rPr>
                <w:rFonts w:cstheme="minorHAnsi"/>
              </w:rPr>
            </w:pPr>
            <w:r w:rsidRPr="00845F40">
              <w:rPr>
                <w:rFonts w:cstheme="minorHAnsi"/>
              </w:rPr>
              <w:t>$5311.05</w:t>
            </w:r>
          </w:p>
        </w:tc>
        <w:tc>
          <w:tcPr>
            <w:tcW w:w="2104" w:type="dxa"/>
            <w:shd w:val="clear" w:color="auto" w:fill="auto"/>
          </w:tcPr>
          <w:p w14:paraId="2D337AC6" w14:textId="69B729B6" w:rsidR="0093111F" w:rsidRPr="00845F40" w:rsidDel="00EE2BBB" w:rsidRDefault="008343E4" w:rsidP="00845F40">
            <w:pPr>
              <w:pStyle w:val="Tablewriting"/>
              <w:jc w:val="center"/>
              <w:rPr>
                <w:rFonts w:cstheme="minorHAnsi"/>
              </w:rPr>
            </w:pPr>
            <w:r w:rsidRPr="00845F40">
              <w:rPr>
                <w:rFonts w:cstheme="minorHAnsi"/>
              </w:rPr>
              <w:t>Kuvan</w:t>
            </w:r>
            <w:r w:rsidR="002E33F1" w:rsidRPr="00845F40">
              <w:rPr>
                <w:rFonts w:cstheme="minorHAnsi"/>
              </w:rPr>
              <w:t>®</w:t>
            </w:r>
            <w:r w:rsidRPr="00845F40">
              <w:rPr>
                <w:rFonts w:cstheme="minorHAnsi"/>
              </w:rPr>
              <w:t>,  BioMarin Pharmaceutical Australia Pty Ltd</w:t>
            </w:r>
          </w:p>
        </w:tc>
      </w:tr>
    </w:tbl>
    <w:p w14:paraId="1183F151" w14:textId="08EEE081" w:rsidR="007247B9" w:rsidRPr="00A35800" w:rsidDel="00EE2BBB" w:rsidRDefault="007408C7" w:rsidP="00BB1D3B">
      <w:pPr>
        <w:pStyle w:val="Notes"/>
      </w:pPr>
      <w:r w:rsidRPr="00A35800" w:rsidDel="00EE2BBB">
        <w:t xml:space="preserve">Source: </w:t>
      </w:r>
      <w:r w:rsidR="001624D7" w:rsidDel="00EE2BBB">
        <w:t xml:space="preserve">the </w:t>
      </w:r>
      <w:hyperlink r:id="rId14" w:history="1">
        <w:r w:rsidR="001624D7" w:rsidRPr="001624D7" w:rsidDel="00EE2BBB">
          <w:rPr>
            <w:rStyle w:val="Hyperlink"/>
          </w:rPr>
          <w:t>PBS website</w:t>
        </w:r>
      </w:hyperlink>
      <w:r w:rsidR="001624D7" w:rsidDel="00EE2BBB">
        <w:t>.</w:t>
      </w:r>
      <w:r w:rsidR="0080485E" w:rsidDel="00EE2BBB">
        <w:t xml:space="preserve"> </w:t>
      </w:r>
    </w:p>
    <w:p w14:paraId="1AFA1485" w14:textId="55241E2B" w:rsidR="004C3186" w:rsidRDefault="004C3186" w:rsidP="00CF5E22">
      <w:pPr>
        <w:pStyle w:val="Heading3"/>
      </w:pPr>
      <w:r w:rsidDel="00EE2BBB">
        <w:t>Restriction</w:t>
      </w:r>
    </w:p>
    <w:p w14:paraId="51CE2EAC" w14:textId="6C703414" w:rsidR="00AE3ECB" w:rsidRPr="00AE3ECB" w:rsidRDefault="00F5163F" w:rsidP="00AE3ECB">
      <w:pPr>
        <w:rPr>
          <w:b/>
        </w:rPr>
      </w:pPr>
      <w:r w:rsidRPr="00F5163F">
        <w:rPr>
          <w:b/>
        </w:rPr>
        <w:t>Authority required</w:t>
      </w:r>
      <w:r w:rsidR="00F77509">
        <w:rPr>
          <w:b/>
        </w:rPr>
        <w:t xml:space="preserve"> </w:t>
      </w:r>
      <w:r w:rsidR="00AE3ECB">
        <w:rPr>
          <w:b/>
        </w:rPr>
        <w:t>–</w:t>
      </w:r>
      <w:r w:rsidR="00F77509">
        <w:rPr>
          <w:b/>
        </w:rPr>
        <w:t xml:space="preserve"> written</w:t>
      </w:r>
    </w:p>
    <w:p w14:paraId="52523144" w14:textId="49B6DF6A" w:rsidR="00F5163F" w:rsidRDefault="00F5163F" w:rsidP="00F5163F">
      <w:pPr>
        <w:pStyle w:val="ListParagraph"/>
        <w:numPr>
          <w:ilvl w:val="0"/>
          <w:numId w:val="1"/>
        </w:numPr>
      </w:pPr>
      <w:r>
        <w:t xml:space="preserve">Initial supply for treatment of </w:t>
      </w:r>
      <w:r w:rsidR="00EB36AC">
        <w:t xml:space="preserve">patients with </w:t>
      </w:r>
      <w:r>
        <w:t>h</w:t>
      </w:r>
      <w:r w:rsidRPr="00F5163F">
        <w:t>yperphenylalaninaemia</w:t>
      </w:r>
      <w:r>
        <w:t xml:space="preserve"> (HPA)</w:t>
      </w:r>
      <w:r w:rsidR="00AB6837">
        <w:t xml:space="preserve"> </w:t>
      </w:r>
      <w:r w:rsidRPr="00F5163F">
        <w:t>due to tetrahydrobiopterin (BH4) deficiency</w:t>
      </w:r>
      <w:r>
        <w:t xml:space="preserve"> who have documented BH4 deficiency using tests for BH4 loading and/or urine pterin metabolites, blood spot dihydropteridine reductase (DHPR) and have cerebrospinal fluid neurotransmitter metabolites measured. </w:t>
      </w:r>
    </w:p>
    <w:p w14:paraId="4E115370" w14:textId="30E41319" w:rsidR="00AE3ECB" w:rsidRDefault="00F5163F" w:rsidP="00AE3ECB">
      <w:pPr>
        <w:pStyle w:val="ListParagraph"/>
        <w:numPr>
          <w:ilvl w:val="0"/>
          <w:numId w:val="1"/>
        </w:numPr>
      </w:pPr>
      <w:r>
        <w:t xml:space="preserve">Continuing </w:t>
      </w:r>
      <w:r w:rsidRPr="00F5163F">
        <w:t xml:space="preserve">supply for treatment of </w:t>
      </w:r>
      <w:r w:rsidR="00AB6837">
        <w:t>HPA in</w:t>
      </w:r>
      <w:r w:rsidRPr="00F5163F">
        <w:t xml:space="preserve"> patient</w:t>
      </w:r>
      <w:r w:rsidR="00AB6837">
        <w:t>s</w:t>
      </w:r>
      <w:r w:rsidRPr="00F5163F">
        <w:t xml:space="preserve"> with HPA due to BH4 deficiency who have </w:t>
      </w:r>
      <w:r w:rsidR="00AB6837">
        <w:t xml:space="preserve">previously been issued with an </w:t>
      </w:r>
      <w:r w:rsidR="00EB36AC">
        <w:t>A</w:t>
      </w:r>
      <w:r w:rsidR="00AB6837">
        <w:t>uthority prescription for this drug or who have accessed non-PBS-subsidised treatment prior to 1 May 2014</w:t>
      </w:r>
      <w:r w:rsidR="00551163">
        <w:t xml:space="preserve">. </w:t>
      </w:r>
      <w:r w:rsidR="00AB6837" w:rsidRPr="00AB6837">
        <w:t>Patient must have documented BH4</w:t>
      </w:r>
      <w:r w:rsidR="002E3D3C">
        <w:t xml:space="preserve"> </w:t>
      </w:r>
      <w:r w:rsidR="00AB6837" w:rsidRPr="00AB6837">
        <w:t>deficiency using tests for BH4 loading and/or urine pterin metabolites, blood spot dihydropteridine reductase (DHPR) and have cerebrospinal fluid neurotransmitter metabolites measured.</w:t>
      </w:r>
    </w:p>
    <w:p w14:paraId="499CCE38" w14:textId="7A99A2CC" w:rsidR="009C0330" w:rsidRDefault="009C0330" w:rsidP="00AE3ECB">
      <w:pPr>
        <w:pStyle w:val="ListParagraph"/>
        <w:numPr>
          <w:ilvl w:val="0"/>
          <w:numId w:val="1"/>
        </w:numPr>
      </w:pPr>
      <w:r>
        <w:t xml:space="preserve">In addition to the above , </w:t>
      </w:r>
      <w:r w:rsidR="00743BCA">
        <w:t>as</w:t>
      </w:r>
      <w:r w:rsidR="00FC68A2">
        <w:t xml:space="preserve"> </w:t>
      </w:r>
      <w:r>
        <w:t>sapropterin</w:t>
      </w:r>
      <w:r w:rsidR="00743BCA">
        <w:t xml:space="preserve"> has a weight-based dosing regimen, the</w:t>
      </w:r>
      <w:r>
        <w:t xml:space="preserve"> </w:t>
      </w:r>
      <w:r w:rsidR="00DE231A">
        <w:t>A</w:t>
      </w:r>
      <w:r w:rsidR="00AE3ECB">
        <w:t>uthority application form</w:t>
      </w:r>
      <w:r>
        <w:t xml:space="preserve"> also</w:t>
      </w:r>
      <w:r w:rsidR="00AE3ECB">
        <w:t xml:space="preserve"> </w:t>
      </w:r>
      <w:r w:rsidR="0080416C">
        <w:t>collects</w:t>
      </w:r>
      <w:r>
        <w:t xml:space="preserve"> the following </w:t>
      </w:r>
      <w:r w:rsidR="00F10860">
        <w:t xml:space="preserve">information </w:t>
      </w:r>
      <w:r>
        <w:t>to be recorded:</w:t>
      </w:r>
    </w:p>
    <w:p w14:paraId="6B1811DA" w14:textId="5C30D697" w:rsidR="009C0330" w:rsidRDefault="009C0330" w:rsidP="009C0330">
      <w:pPr>
        <w:pStyle w:val="ListParagraph"/>
        <w:numPr>
          <w:ilvl w:val="1"/>
          <w:numId w:val="1"/>
        </w:numPr>
      </w:pPr>
      <w:r>
        <w:t>patient weight;</w:t>
      </w:r>
      <w:r w:rsidR="00DE231A">
        <w:t xml:space="preserve"> and</w:t>
      </w:r>
    </w:p>
    <w:p w14:paraId="458A20A8" w14:textId="67B5E408" w:rsidR="009C0330" w:rsidRDefault="00AE3ECB" w:rsidP="009C0330">
      <w:pPr>
        <w:pStyle w:val="ListParagraph"/>
        <w:numPr>
          <w:ilvl w:val="1"/>
          <w:numId w:val="1"/>
        </w:numPr>
      </w:pPr>
      <w:r>
        <w:t>dose (mg/kg)</w:t>
      </w:r>
      <w:r w:rsidR="009C0330">
        <w:t>.</w:t>
      </w:r>
    </w:p>
    <w:p w14:paraId="74A0722C" w14:textId="42EECEFB" w:rsidR="003B4A8A" w:rsidRPr="00AB6837" w:rsidRDefault="003B4A8A" w:rsidP="003B4A8A">
      <w:pPr>
        <w:pStyle w:val="ListParagraph"/>
        <w:numPr>
          <w:ilvl w:val="0"/>
          <w:numId w:val="1"/>
        </w:numPr>
      </w:pPr>
      <w:r w:rsidRPr="003B4A8A">
        <w:lastRenderedPageBreak/>
        <w:t xml:space="preserve">Patients </w:t>
      </w:r>
      <w:r w:rsidR="00EB12C9">
        <w:t>are</w:t>
      </w:r>
      <w:r w:rsidRPr="003B4A8A">
        <w:t xml:space="preserve"> eligible for a maximum of one script as initial therapy to enable </w:t>
      </w:r>
      <w:r w:rsidR="00EB12C9">
        <w:t xml:space="preserve">assessment of </w:t>
      </w:r>
      <w:r w:rsidRPr="003B4A8A">
        <w:t xml:space="preserve">response to treatment </w:t>
      </w:r>
      <w:r w:rsidR="00EB12C9">
        <w:t>with sapropterin.</w:t>
      </w:r>
    </w:p>
    <w:p w14:paraId="22433632" w14:textId="60F70893" w:rsidR="006775F1" w:rsidRPr="006775F1" w:rsidDel="00EE2BBB" w:rsidRDefault="006775F1" w:rsidP="00A35800">
      <w:r w:rsidRPr="006775F1" w:rsidDel="00EE2BBB">
        <w:t xml:space="preserve">For </w:t>
      </w:r>
      <w:r w:rsidR="00835337" w:rsidDel="00EE2BBB">
        <w:t xml:space="preserve">details of the current PBS listing refer to the </w:t>
      </w:r>
      <w:hyperlink r:id="rId15" w:history="1">
        <w:r w:rsidR="00835337" w:rsidRPr="00645D51" w:rsidDel="00EE2BBB">
          <w:rPr>
            <w:rStyle w:val="Hyperlink"/>
          </w:rPr>
          <w:t>PBS website</w:t>
        </w:r>
      </w:hyperlink>
      <w:r w:rsidR="00835337" w:rsidDel="00EE2BBB">
        <w:rPr>
          <w:rStyle w:val="Hyperlink"/>
        </w:rPr>
        <w:t>.</w:t>
      </w:r>
    </w:p>
    <w:p w14:paraId="383E312E" w14:textId="7F9CAC2E" w:rsidR="00736041" w:rsidRDefault="00394AEE" w:rsidP="00CF5E22">
      <w:pPr>
        <w:pStyle w:val="Heading2"/>
      </w:pPr>
      <w:r>
        <w:t>Relevant aspects of</w:t>
      </w:r>
      <w:r w:rsidR="00736041" w:rsidRPr="005E22C2">
        <w:t xml:space="preserve"> consideration</w:t>
      </w:r>
      <w:r>
        <w:t xml:space="preserve"> by the Pharmaceutic</w:t>
      </w:r>
      <w:r w:rsidR="00E21364">
        <w:t>al Benefits Advisory Committee</w:t>
      </w:r>
    </w:p>
    <w:p w14:paraId="45726AF3" w14:textId="255EEDC9" w:rsidR="008B39D0" w:rsidRDefault="00014275" w:rsidP="00AB7192">
      <w:r>
        <w:t>Sapropterin was first considered at the November 2011 meeting</w:t>
      </w:r>
      <w:r w:rsidR="00551163">
        <w:t xml:space="preserve">. </w:t>
      </w:r>
      <w:r w:rsidR="008B39D0">
        <w:t xml:space="preserve">The submission sought a Section 100 Authority Required listing for the initial and continuing treatment of patients with: 1) hyperphenylalaninaemia (HPA) due to phenylketonuria (PKU) in patients who are sapropterin responsive; 2) HPA due to PKU or </w:t>
      </w:r>
      <w:r w:rsidR="008B39D0" w:rsidRPr="008B39D0">
        <w:t>tetrahydrobiopterin (BH4)</w:t>
      </w:r>
      <w:r w:rsidR="008B39D0">
        <w:t xml:space="preserve"> deficiency in pregnant women</w:t>
      </w:r>
      <w:r w:rsidR="008B39D0" w:rsidRPr="008B39D0">
        <w:t xml:space="preserve"> who meet certain criteria and are sapropterin responsive</w:t>
      </w:r>
      <w:r w:rsidR="008B39D0">
        <w:t>; and 3) HPA due to BH4 deficiency in patients who are sapropterin responsive</w:t>
      </w:r>
      <w:r w:rsidR="00551163">
        <w:t xml:space="preserve">. </w:t>
      </w:r>
      <w:r w:rsidR="00D44AC6" w:rsidRPr="00D44AC6">
        <w:t xml:space="preserve">The PBAC considered that the base case (uncontrolled diet) incremental cost per QALY in the range of $75,000 – $105,000 was high and uncertain. </w:t>
      </w:r>
      <w:r w:rsidR="00D44AC6">
        <w:t xml:space="preserve">The </w:t>
      </w:r>
      <w:r w:rsidR="008B39D0">
        <w:t>PBAC</w:t>
      </w:r>
      <w:r w:rsidR="00D44AC6">
        <w:t xml:space="preserve"> </w:t>
      </w:r>
      <w:r>
        <w:t xml:space="preserve">rejected </w:t>
      </w:r>
      <w:r w:rsidR="008B39D0">
        <w:t xml:space="preserve">the submission </w:t>
      </w:r>
      <w:r w:rsidR="008B39D0" w:rsidRPr="008B39D0">
        <w:t>because of uncertainty around the clinical place in therapy and high and uncertain cost effectiveness</w:t>
      </w:r>
      <w:r w:rsidR="00551163">
        <w:t xml:space="preserve">. </w:t>
      </w:r>
    </w:p>
    <w:p w14:paraId="3629FEDD" w14:textId="2EB3BF17" w:rsidR="009C4309" w:rsidRDefault="009C4309" w:rsidP="009C4309">
      <w:r>
        <w:t xml:space="preserve">For further details refer to </w:t>
      </w:r>
      <w:r w:rsidRPr="00F65F0D">
        <w:t xml:space="preserve">the </w:t>
      </w:r>
      <w:hyperlink r:id="rId16" w:history="1">
        <w:r w:rsidRPr="0048554A">
          <w:rPr>
            <w:rStyle w:val="Hyperlink"/>
          </w:rPr>
          <w:t>Public Summary Document</w:t>
        </w:r>
      </w:hyperlink>
      <w:r w:rsidRPr="00F65F0D">
        <w:t xml:space="preserve"> from the </w:t>
      </w:r>
      <w:r>
        <w:t>November 2011 PBAC meeting.</w:t>
      </w:r>
    </w:p>
    <w:p w14:paraId="163782B1" w14:textId="09F3AB36" w:rsidR="00CD743D" w:rsidRDefault="004D0A39" w:rsidP="00087F95">
      <w:r>
        <w:t>At the July 2012 meeting, a</w:t>
      </w:r>
      <w:r w:rsidR="00CD743D">
        <w:t xml:space="preserve"> resubmission </w:t>
      </w:r>
      <w:r w:rsidR="0009715D">
        <w:t>for a</w:t>
      </w:r>
      <w:r w:rsidR="00CD743D">
        <w:t xml:space="preserve"> </w:t>
      </w:r>
      <w:r w:rsidR="00087F95">
        <w:t xml:space="preserve">narrower </w:t>
      </w:r>
      <w:r w:rsidR="00CD743D">
        <w:t>Section 100 listing for</w:t>
      </w:r>
      <w:r>
        <w:t xml:space="preserve"> treatment of</w:t>
      </w:r>
      <w:r w:rsidR="00CD743D">
        <w:t xml:space="preserve"> </w:t>
      </w:r>
      <w:r w:rsidR="002D6085">
        <w:t>HPA due to BH4 deficiency</w:t>
      </w:r>
      <w:r w:rsidR="00087F95">
        <w:t xml:space="preserve"> was considered by the PBAC</w:t>
      </w:r>
      <w:r w:rsidR="00551163">
        <w:t xml:space="preserve">. </w:t>
      </w:r>
      <w:r w:rsidR="0009715D">
        <w:t xml:space="preserve">The PBAC noted </w:t>
      </w:r>
      <w:r w:rsidR="00A316DC">
        <w:t xml:space="preserve">that </w:t>
      </w:r>
      <w:r w:rsidR="0009715D">
        <w:t>the base case cost/patient/year of sapropterin was between $45,000 and $75,000. The PBAC considered that the costs and utilisation of sapropterin presented in the submission were uncertain</w:t>
      </w:r>
      <w:r w:rsidR="00551163">
        <w:t xml:space="preserve">. </w:t>
      </w:r>
      <w:r w:rsidR="0009715D">
        <w:t xml:space="preserve">Particularly as these factors </w:t>
      </w:r>
      <w:r w:rsidR="000E0182">
        <w:t xml:space="preserve">would </w:t>
      </w:r>
      <w:r w:rsidR="0009715D">
        <w:t>be predominantly influenced by paediatric requirements over the first 5 years of listing whereas the estimates in the submission assume</w:t>
      </w:r>
      <w:r w:rsidR="00230A3F">
        <w:t>d</w:t>
      </w:r>
      <w:r w:rsidR="0009715D">
        <w:t xml:space="preserve"> a uniform distribution of patients over all ages (0-81 years), and </w:t>
      </w:r>
      <w:r w:rsidR="00230A3F">
        <w:t>we</w:t>
      </w:r>
      <w:r w:rsidR="0009715D">
        <w:t xml:space="preserve">re therefore primarily influenced by adult requirements. The PBAC also requested that the sponsor provide information regarding the appropriateness of the 100 mg soluble tablet particularly for paediatric patients and clarify whether there </w:t>
      </w:r>
      <w:r w:rsidR="00230A3F">
        <w:t>wa</w:t>
      </w:r>
      <w:r w:rsidR="0009715D">
        <w:t>s the possibility of wastage</w:t>
      </w:r>
      <w:r w:rsidR="00551163">
        <w:t xml:space="preserve">. </w:t>
      </w:r>
      <w:r w:rsidR="0009715D">
        <w:t xml:space="preserve">The PBAC was also interested in stability data for the solution formed by dissolving the tablet, particularly </w:t>
      </w:r>
      <w:r w:rsidR="00026E81">
        <w:t>as</w:t>
      </w:r>
      <w:r w:rsidR="0009715D">
        <w:t xml:space="preserve"> the patient could retain any remaining solution for the next dose. The PBAC therefore deferred the submission so that discussion could take place with the sponsor regarding price, noting that further information regarding dissolution stability data and wastage could inform this discussion.</w:t>
      </w:r>
    </w:p>
    <w:p w14:paraId="6D5536F9" w14:textId="0C475DD7" w:rsidR="009C4309" w:rsidRDefault="009C4309" w:rsidP="009C4309">
      <w:r>
        <w:t xml:space="preserve">For further details refer to </w:t>
      </w:r>
      <w:r w:rsidRPr="00F65F0D">
        <w:t xml:space="preserve">the </w:t>
      </w:r>
      <w:hyperlink r:id="rId17" w:history="1">
        <w:r w:rsidRPr="0048554A">
          <w:rPr>
            <w:rStyle w:val="Hyperlink"/>
          </w:rPr>
          <w:t>Public Summary Document</w:t>
        </w:r>
      </w:hyperlink>
      <w:r w:rsidRPr="00F65F0D">
        <w:t xml:space="preserve"> from the </w:t>
      </w:r>
      <w:r>
        <w:t>July 2012 PBAC meeting.</w:t>
      </w:r>
    </w:p>
    <w:p w14:paraId="45EA7E53" w14:textId="694ACE5F" w:rsidR="00D458DD" w:rsidRDefault="00AB7192" w:rsidP="00A2473D">
      <w:r>
        <w:t xml:space="preserve">At its November 2012 meeting, </w:t>
      </w:r>
      <w:r w:rsidR="00A2473D">
        <w:t>the sponsor provided additional information on the dissolution stability and wastage potential of sapropterin</w:t>
      </w:r>
      <w:r w:rsidR="00D458DD">
        <w:t xml:space="preserve"> in response to the deferral</w:t>
      </w:r>
      <w:r w:rsidR="00551163">
        <w:t xml:space="preserve">. </w:t>
      </w:r>
      <w:r w:rsidR="00A2473D">
        <w:t xml:space="preserve"> </w:t>
      </w:r>
      <w:r w:rsidR="00FC0CDF" w:rsidRPr="00014275">
        <w:t xml:space="preserve">The PBAC noted that wastage had been taken into account in previous submissions when the price of sapropterin was originally proposed. </w:t>
      </w:r>
      <w:r w:rsidR="00A2473D">
        <w:t>The sponsor also reduced the price of sapropterin making it comparable to other international prices including the price in Canada and the United Kingdom</w:t>
      </w:r>
      <w:r w:rsidR="00551163">
        <w:t xml:space="preserve">. </w:t>
      </w:r>
      <w:r w:rsidRPr="00AB7192">
        <w:t>The PBAC noted the difficulty of precisely calculating the cost effectiveness of sapropterin in BH4 deficiency.</w:t>
      </w:r>
      <w:r w:rsidR="00494819">
        <w:t xml:space="preserve"> </w:t>
      </w:r>
      <w:r w:rsidRPr="00AB7192">
        <w:t xml:space="preserve">With the price reduction offered in the current submission, </w:t>
      </w:r>
      <w:r w:rsidR="00494819">
        <w:t xml:space="preserve">the PBAC noted that </w:t>
      </w:r>
      <w:r w:rsidR="00710D53">
        <w:t xml:space="preserve">the </w:t>
      </w:r>
      <w:r w:rsidR="00BA19E0">
        <w:t>incremental cost effectiveness ratio for</w:t>
      </w:r>
      <w:r w:rsidR="00710D53">
        <w:t xml:space="preserve"> </w:t>
      </w:r>
      <w:r w:rsidR="00494819">
        <w:lastRenderedPageBreak/>
        <w:t>sapropterin</w:t>
      </w:r>
      <w:r w:rsidRPr="00AB7192">
        <w:t xml:space="preserve"> would remain within the range of between </w:t>
      </w:r>
      <w:r w:rsidR="00494819">
        <w:t>$45,000 and $75,000 cost per life year gained</w:t>
      </w:r>
      <w:r w:rsidR="00551163">
        <w:t xml:space="preserve">. </w:t>
      </w:r>
      <w:r w:rsidR="00494819">
        <w:t xml:space="preserve">The </w:t>
      </w:r>
      <w:r w:rsidR="00494819" w:rsidRPr="00AB7192">
        <w:t>PBAC considered that sapropterin provide</w:t>
      </w:r>
      <w:r w:rsidR="00494819">
        <w:t>d</w:t>
      </w:r>
      <w:r w:rsidR="00494819" w:rsidRPr="00AB7192">
        <w:t xml:space="preserve"> a significant clinical benefit and improvement to patients, commensurate with a rescue in these specific </w:t>
      </w:r>
      <w:r w:rsidR="00494819">
        <w:t>circumstances, and</w:t>
      </w:r>
      <w:r w:rsidR="00494819" w:rsidRPr="00AB7192">
        <w:t xml:space="preserve"> recommended listing </w:t>
      </w:r>
      <w:r w:rsidR="00205BCF">
        <w:t xml:space="preserve">the </w:t>
      </w:r>
      <w:r w:rsidR="00494819" w:rsidRPr="00AB7192">
        <w:t>sapropterin 100 mg soluble tablet on the PBS as a Section 85 Authority Required listing for BH4 deficiency under the Rule of Rescue</w:t>
      </w:r>
      <w:r w:rsidR="00770366">
        <w:t>.</w:t>
      </w:r>
      <w:r w:rsidR="00494819">
        <w:t xml:space="preserve"> </w:t>
      </w:r>
      <w:r w:rsidR="00494819" w:rsidRPr="00014275">
        <w:t xml:space="preserve">The PBAC considered that the risk of leakage into patients with </w:t>
      </w:r>
      <w:r w:rsidR="00FC0CDF">
        <w:t xml:space="preserve">PKU </w:t>
      </w:r>
      <w:r w:rsidR="00AF69F1">
        <w:t xml:space="preserve">was considerable, and </w:t>
      </w:r>
      <w:r w:rsidR="00494819" w:rsidRPr="00014275">
        <w:t>recommended that Authority applicatio</w:t>
      </w:r>
      <w:r w:rsidR="00AF69F1">
        <w:t>ns should be in writing to t</w:t>
      </w:r>
      <w:r w:rsidR="00494819" w:rsidRPr="00014275">
        <w:t>h</w:t>
      </w:r>
      <w:r w:rsidR="00BC76D0">
        <w:t xml:space="preserve">e </w:t>
      </w:r>
      <w:r w:rsidR="00E21364">
        <w:t>DHS</w:t>
      </w:r>
      <w:r w:rsidR="00551163">
        <w:t xml:space="preserve">. </w:t>
      </w:r>
    </w:p>
    <w:p w14:paraId="252BA5F1" w14:textId="77777777" w:rsidR="009C4309" w:rsidRDefault="009C4309" w:rsidP="009C4309">
      <w:r>
        <w:t xml:space="preserve">For further details refer to </w:t>
      </w:r>
      <w:r w:rsidRPr="00F65F0D">
        <w:t xml:space="preserve">the </w:t>
      </w:r>
      <w:hyperlink r:id="rId18" w:history="1">
        <w:r w:rsidRPr="0048554A">
          <w:rPr>
            <w:rStyle w:val="Hyperlink"/>
          </w:rPr>
          <w:t>Public Summary Document</w:t>
        </w:r>
      </w:hyperlink>
      <w:r w:rsidRPr="00F65F0D">
        <w:t xml:space="preserve"> from the </w:t>
      </w:r>
      <w:r>
        <w:t>November 2012 PBAC meeting.</w:t>
      </w:r>
    </w:p>
    <w:p w14:paraId="78E04984" w14:textId="342CEADC" w:rsidR="00707D74" w:rsidRDefault="00677C13" w:rsidP="003A3FA4">
      <w:r>
        <w:t>At its November 2018 meeting, the PBAC recommended extending the listing of sapropterin to include treatment of HPA caused by PKU as a Section 85 Authority Required listing</w:t>
      </w:r>
      <w:r w:rsidR="00551163">
        <w:t xml:space="preserve">. </w:t>
      </w:r>
      <w:r w:rsidR="002219DF" w:rsidRPr="002219DF">
        <w:t xml:space="preserve">The PBAC considered that the greatest clinical benefits would be achieved in children and adolescents and thus reiterated its previous consideration </w:t>
      </w:r>
      <w:r w:rsidR="002219DF">
        <w:t xml:space="preserve">in March 2018 </w:t>
      </w:r>
      <w:r w:rsidR="002219DF" w:rsidRPr="002219DF">
        <w:t>that sapropterin should only be commenced in patients who are younger than 18 years of age</w:t>
      </w:r>
      <w:r w:rsidR="00551163">
        <w:t xml:space="preserve">. </w:t>
      </w:r>
      <w:r w:rsidR="001F5683">
        <w:t xml:space="preserve">The submission proposed a continuation criteria where response is defined by a </w:t>
      </w:r>
      <w:r w:rsidR="001F5683" w:rsidRPr="001F5683">
        <w:t>≥ 30% reduction in blood</w:t>
      </w:r>
      <w:r w:rsidR="00116668">
        <w:t xml:space="preserve"> phenylalanine</w:t>
      </w:r>
      <w:r w:rsidR="001F5683" w:rsidRPr="001F5683">
        <w:t xml:space="preserve"> levels</w:t>
      </w:r>
      <w:r w:rsidR="001F5683">
        <w:t xml:space="preserve"> from baseline</w:t>
      </w:r>
      <w:r w:rsidR="00551163">
        <w:t xml:space="preserve">. </w:t>
      </w:r>
      <w:r w:rsidR="002219DF" w:rsidRPr="002219DF">
        <w:t xml:space="preserve">The PBAC considered that a ≥ 30% reduction in blood </w:t>
      </w:r>
      <w:r w:rsidR="00116668">
        <w:t>phenylalanine</w:t>
      </w:r>
      <w:r w:rsidR="002219DF" w:rsidRPr="002219DF">
        <w:t xml:space="preserve"> levels </w:t>
      </w:r>
      <w:r w:rsidR="00B35024">
        <w:t>wa</w:t>
      </w:r>
      <w:r w:rsidR="002219DF" w:rsidRPr="002219DF">
        <w:t>s consistent with the guidelines and clinical data presented in the previous submission, and represent</w:t>
      </w:r>
      <w:r w:rsidR="00B35024">
        <w:t>ed</w:t>
      </w:r>
      <w:r w:rsidR="002219DF" w:rsidRPr="002219DF">
        <w:t xml:space="preserve"> a reasonable balance between sensitivity and specificity</w:t>
      </w:r>
      <w:r w:rsidR="00551163">
        <w:t xml:space="preserve">. </w:t>
      </w:r>
      <w:r w:rsidR="002219DF" w:rsidRPr="002219DF">
        <w:t xml:space="preserve">The PBAC considered that any continuation requirements based on </w:t>
      </w:r>
      <w:r w:rsidR="00116668">
        <w:t>phenylalanine</w:t>
      </w:r>
      <w:r w:rsidR="002219DF" w:rsidRPr="002219DF">
        <w:t xml:space="preserve"> levels would potentially be confounded by intra-patient variability. Thus, the PBAC considered that the risk of use in patients not continuing to respond would be better managed through </w:t>
      </w:r>
      <w:r w:rsidR="00B35024">
        <w:t>a risk sharing arrangement</w:t>
      </w:r>
      <w:r w:rsidR="002219DF" w:rsidRPr="002219DF">
        <w:t>, rather than the PBS restriction</w:t>
      </w:r>
      <w:r w:rsidR="00551163">
        <w:t xml:space="preserve">. </w:t>
      </w:r>
    </w:p>
    <w:p w14:paraId="0383A9A4" w14:textId="2DC6B91D" w:rsidR="00677C13" w:rsidRDefault="00FD024A" w:rsidP="003A3FA4">
      <w:r>
        <w:t>T</w:t>
      </w:r>
      <w:r w:rsidR="00AF3E56">
        <w:t xml:space="preserve">he </w:t>
      </w:r>
      <w:r>
        <w:t xml:space="preserve">broader </w:t>
      </w:r>
      <w:r w:rsidR="00AF3E56">
        <w:t>listing</w:t>
      </w:r>
      <w:r w:rsidR="00707D74">
        <w:t xml:space="preserve"> for sapropterin</w:t>
      </w:r>
      <w:r w:rsidR="00AF3E56">
        <w:t xml:space="preserve"> </w:t>
      </w:r>
      <w:r>
        <w:t>commenced on 1 May 2019.</w:t>
      </w:r>
    </w:p>
    <w:p w14:paraId="6E75B557" w14:textId="0EFDD9FF" w:rsidR="005B3816" w:rsidRDefault="009C4309" w:rsidP="009C4309">
      <w:r>
        <w:t xml:space="preserve">For further details refer to </w:t>
      </w:r>
      <w:r w:rsidRPr="00F65F0D">
        <w:t xml:space="preserve">the </w:t>
      </w:r>
      <w:hyperlink r:id="rId19" w:history="1">
        <w:r w:rsidRPr="0048554A">
          <w:rPr>
            <w:rStyle w:val="Hyperlink"/>
          </w:rPr>
          <w:t>Public Summary Document</w:t>
        </w:r>
      </w:hyperlink>
      <w:r w:rsidRPr="00F65F0D">
        <w:t xml:space="preserve"> from the </w:t>
      </w:r>
      <w:r>
        <w:t>November 2018 PBAC meeting.</w:t>
      </w:r>
    </w:p>
    <w:p w14:paraId="72C2CA24" w14:textId="0CCB16C1"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14:paraId="691A0FE8" w14:textId="7D1FD9EA" w:rsidR="00CA0684" w:rsidRDefault="00A56999" w:rsidP="00452A34">
      <w:r w:rsidRPr="00A56999">
        <w:t xml:space="preserve">An epidemiological approach </w:t>
      </w:r>
      <w:r w:rsidR="00016F86">
        <w:t>was used</w:t>
      </w:r>
      <w:r w:rsidRPr="00A56999">
        <w:t xml:space="preserve"> to estimate the </w:t>
      </w:r>
      <w:r w:rsidR="006C24F4">
        <w:t xml:space="preserve">utilisation and financial implications associated with the requested PBS listing of </w:t>
      </w:r>
      <w:r w:rsidRPr="00A56999">
        <w:t>sapropterin</w:t>
      </w:r>
      <w:r w:rsidR="006C24F4">
        <w:t xml:space="preserve"> for the treatment of HPA</w:t>
      </w:r>
      <w:r w:rsidR="00551163">
        <w:t xml:space="preserve">. </w:t>
      </w:r>
    </w:p>
    <w:p w14:paraId="7E33A989" w14:textId="6A8592FC" w:rsidR="00A56999" w:rsidRDefault="00EA46F9" w:rsidP="00452A34">
      <w:r>
        <w:t>The submission applied the incidence rates of BH4 deficiency in the general population</w:t>
      </w:r>
      <w:r w:rsidR="008E3269">
        <w:t>,</w:t>
      </w:r>
      <w:r>
        <w:t xml:space="preserve"> assumed to be one to two every 1,000,000 newborns.</w:t>
      </w:r>
      <w:bookmarkStart w:id="2" w:name="_Ref7526180"/>
      <w:r w:rsidR="00F04B02">
        <w:rPr>
          <w:rStyle w:val="FootnoteReference"/>
        </w:rPr>
        <w:footnoteReference w:id="4"/>
      </w:r>
      <w:bookmarkEnd w:id="2"/>
      <w:r>
        <w:t xml:space="preserve">  The incidence rates wer</w:t>
      </w:r>
      <w:r w:rsidR="008E3269">
        <w:t>e based o</w:t>
      </w:r>
      <w:r>
        <w:t xml:space="preserve">n recent </w:t>
      </w:r>
      <w:r w:rsidR="008E3269">
        <w:t xml:space="preserve">literature </w:t>
      </w:r>
      <w:r>
        <w:t>reviews</w:t>
      </w:r>
      <w:r w:rsidR="008E3269">
        <w:t xml:space="preserve"> of BH4 deficiency</w:t>
      </w:r>
      <w:r w:rsidR="0045251B">
        <w:t xml:space="preserve"> particularly:</w:t>
      </w:r>
      <w:r>
        <w:t xml:space="preserve"> </w:t>
      </w:r>
      <w:r w:rsidR="008E3269">
        <w:t>Shintaku (2002),</w:t>
      </w:r>
      <w:r w:rsidR="00361369">
        <w:rPr>
          <w:rStyle w:val="FootnoteReference"/>
        </w:rPr>
        <w:footnoteReference w:id="5"/>
      </w:r>
      <w:r w:rsidR="008E3269">
        <w:t xml:space="preserve"> Longo (2009),</w:t>
      </w:r>
      <w:r w:rsidR="00361369">
        <w:rPr>
          <w:rStyle w:val="FootnoteReference"/>
        </w:rPr>
        <w:footnoteReference w:id="6"/>
      </w:r>
      <w:r w:rsidR="008E3269">
        <w:t xml:space="preserve"> and Bramwell (2011).</w:t>
      </w:r>
      <w:r w:rsidR="00361369">
        <w:rPr>
          <w:rStyle w:val="FootnoteReference"/>
        </w:rPr>
        <w:footnoteReference w:id="7"/>
      </w:r>
    </w:p>
    <w:p w14:paraId="4C980017" w14:textId="32DA16D5" w:rsidR="00F26648" w:rsidRDefault="0045251B" w:rsidP="00452A34">
      <w:r w:rsidRPr="0045251B">
        <w:lastRenderedPageBreak/>
        <w:t xml:space="preserve">The submission </w:t>
      </w:r>
      <w:r>
        <w:t>assumed</w:t>
      </w:r>
      <w:r w:rsidRPr="0045251B">
        <w:t xml:space="preserve"> </w:t>
      </w:r>
      <w:r w:rsidR="004D4AF2" w:rsidRPr="004D4AF2">
        <w:rPr>
          <w:highlight w:val="black"/>
        </w:rPr>
        <w:t>xxx</w:t>
      </w:r>
      <w:r w:rsidRPr="0045251B">
        <w:t>% compliance</w:t>
      </w:r>
      <w:r>
        <w:t xml:space="preserve"> of </w:t>
      </w:r>
      <w:r w:rsidRPr="0045251B">
        <w:t xml:space="preserve">all eligible patients </w:t>
      </w:r>
      <w:r>
        <w:t>with</w:t>
      </w:r>
      <w:r w:rsidRPr="0045251B">
        <w:t xml:space="preserve"> treat</w:t>
      </w:r>
      <w:r>
        <w:t>ment</w:t>
      </w:r>
      <w:r w:rsidRPr="0045251B">
        <w:t xml:space="preserve"> from infancy to end of life at 81 years of age</w:t>
      </w:r>
      <w:r w:rsidR="00F26648">
        <w:t>.</w:t>
      </w:r>
      <w:r w:rsidR="00AB6FAA">
        <w:rPr>
          <w:rStyle w:val="FootnoteReference"/>
        </w:rPr>
        <w:fldChar w:fldCharType="begin"/>
      </w:r>
      <w:r w:rsidR="00AB6FAA">
        <w:rPr>
          <w:rStyle w:val="FootnoteReference"/>
        </w:rPr>
        <w:instrText xml:space="preserve"> NOTEREF _Ref7526180 \f </w:instrText>
      </w:r>
      <w:r w:rsidR="00AB6FAA">
        <w:rPr>
          <w:rStyle w:val="FootnoteReference"/>
        </w:rPr>
        <w:fldChar w:fldCharType="separate"/>
      </w:r>
      <w:r w:rsidR="00155C94" w:rsidRPr="00155C94">
        <w:rPr>
          <w:rStyle w:val="FootnoteReference"/>
        </w:rPr>
        <w:t>5</w:t>
      </w:r>
      <w:r w:rsidR="00AB6FAA">
        <w:rPr>
          <w:rStyle w:val="FootnoteReference"/>
        </w:rPr>
        <w:fldChar w:fldCharType="end"/>
      </w:r>
      <w:r w:rsidR="00F26648">
        <w:t xml:space="preserve">  This uptake is based on clinician survey that </w:t>
      </w:r>
      <w:r w:rsidR="004D4AF2" w:rsidRPr="004D4AF2">
        <w:rPr>
          <w:highlight w:val="black"/>
        </w:rPr>
        <w:t>xxx</w:t>
      </w:r>
      <w:r w:rsidR="00F26648">
        <w:t xml:space="preserve"> patients with BH4 deficiency would be treated with sapropterin on an ongoing basis, and that </w:t>
      </w:r>
      <w:r w:rsidR="004D4AF2" w:rsidRPr="004D4AF2">
        <w:rPr>
          <w:highlight w:val="black"/>
        </w:rPr>
        <w:t>xxx</w:t>
      </w:r>
      <w:r w:rsidR="00920D6C">
        <w:t xml:space="preserve"> </w:t>
      </w:r>
      <w:r w:rsidR="00F26648">
        <w:t>patients would respon</w:t>
      </w:r>
      <w:r w:rsidR="00524DC9">
        <w:t>d to treatment.</w:t>
      </w:r>
    </w:p>
    <w:p w14:paraId="0312FFEC" w14:textId="177D64D6" w:rsidR="00E677DD" w:rsidRPr="005E22C2" w:rsidRDefault="009C5026" w:rsidP="00524DC9">
      <w:pPr>
        <w:pStyle w:val="Heading1"/>
        <w:spacing w:before="240"/>
        <w:contextualSpacing/>
      </w:pPr>
      <w:r>
        <w:t>M</w:t>
      </w:r>
      <w:r w:rsidR="00E677DD" w:rsidRPr="005E22C2">
        <w:t>ethod</w:t>
      </w:r>
      <w:r w:rsidR="001B5D37" w:rsidRPr="005E22C2">
        <w:t>s</w:t>
      </w:r>
    </w:p>
    <w:p w14:paraId="0B2BD812" w14:textId="4AD78B2E" w:rsidR="00805846" w:rsidRDefault="00805846" w:rsidP="00524DC9">
      <w:pPr>
        <w:spacing w:before="120" w:after="120"/>
        <w:contextualSpacing/>
      </w:pPr>
      <w:r>
        <w:t xml:space="preserve">PBS &amp; RPBS (R/PBS) prescription data for sapropterin were extracted from the </w:t>
      </w:r>
      <w:r w:rsidR="00E21364">
        <w:t xml:space="preserve">DHS </w:t>
      </w:r>
      <w:r>
        <w:t xml:space="preserve">Prescription database for the period from May 2014 to </w:t>
      </w:r>
      <w:r w:rsidR="0007789B">
        <w:t>February</w:t>
      </w:r>
      <w:r>
        <w:t xml:space="preserve"> 2019 inclusive, based on the date that the prescription was supplied.</w:t>
      </w:r>
    </w:p>
    <w:p w14:paraId="4A0332AF" w14:textId="77777777" w:rsidR="00524DC9" w:rsidRPr="00524DC9" w:rsidRDefault="00524DC9" w:rsidP="00524DC9">
      <w:pPr>
        <w:spacing w:before="120" w:after="120"/>
        <w:contextualSpacing/>
        <w:rPr>
          <w:sz w:val="16"/>
          <w:szCs w:val="16"/>
        </w:rPr>
      </w:pPr>
    </w:p>
    <w:p w14:paraId="5D64ADA5" w14:textId="397A845E" w:rsidR="00581787" w:rsidRDefault="001D254E" w:rsidP="00524DC9">
      <w:pPr>
        <w:spacing w:before="120" w:after="120"/>
        <w:contextualSpacing/>
      </w:pPr>
      <w:r w:rsidRPr="005E6A06">
        <w:t xml:space="preserve">The number of prevalent patients was determined by counting the number of </w:t>
      </w:r>
      <w:r w:rsidR="005554EE">
        <w:t xml:space="preserve">individuals </w:t>
      </w:r>
      <w:r w:rsidRPr="005E6A06">
        <w:t>supplied at least one PBS prescription of sapropterin using person specific numbers (non-identifying) in the data for the specified time periods.</w:t>
      </w:r>
    </w:p>
    <w:p w14:paraId="2C34D65A" w14:textId="77777777" w:rsidR="00524DC9" w:rsidRPr="00524DC9" w:rsidRDefault="00524DC9" w:rsidP="00524DC9">
      <w:pPr>
        <w:spacing w:before="120" w:after="120"/>
        <w:contextualSpacing/>
        <w:rPr>
          <w:sz w:val="16"/>
          <w:szCs w:val="16"/>
        </w:rPr>
      </w:pPr>
    </w:p>
    <w:p w14:paraId="425EFC70" w14:textId="53095C25" w:rsidR="001D254E" w:rsidRDefault="0007789B" w:rsidP="00524DC9">
      <w:pPr>
        <w:spacing w:before="120" w:after="120"/>
        <w:contextualSpacing/>
      </w:pPr>
      <w:r w:rsidRPr="005E6A06">
        <w:t>The number of incident patient</w:t>
      </w:r>
      <w:r w:rsidR="005554EE">
        <w:t>s</w:t>
      </w:r>
      <w:r w:rsidRPr="005E6A06">
        <w:t xml:space="preserve"> was determined </w:t>
      </w:r>
      <w:r w:rsidR="005E6A06">
        <w:t xml:space="preserve">by counting the number of new patients </w:t>
      </w:r>
      <w:r w:rsidR="005E6A06" w:rsidRPr="005E6A06">
        <w:t xml:space="preserve">based on the date of supply of </w:t>
      </w:r>
      <w:r w:rsidR="00FC7BA2">
        <w:t xml:space="preserve">the first prescription for </w:t>
      </w:r>
      <w:r w:rsidR="005E6A06" w:rsidRPr="005E6A06">
        <w:t xml:space="preserve">PBS subsidised sapropterin. This group contained patients who were naïve to sapropterin and ‘grandfathered’ patients (i.e. patients who obtained </w:t>
      </w:r>
      <w:r w:rsidR="005554EE">
        <w:t>sapropterin</w:t>
      </w:r>
      <w:r w:rsidR="005554EE" w:rsidRPr="005E6A06">
        <w:t xml:space="preserve"> </w:t>
      </w:r>
      <w:r w:rsidR="005E6A06" w:rsidRPr="005E6A06">
        <w:t>through other means prior to listing on the PBS and then commenced PBS-subsidised treatment).</w:t>
      </w:r>
    </w:p>
    <w:p w14:paraId="2920E25E" w14:textId="77777777" w:rsidR="00524DC9" w:rsidRPr="00524DC9" w:rsidRDefault="00524DC9" w:rsidP="00524DC9">
      <w:pPr>
        <w:spacing w:before="120" w:after="120"/>
        <w:contextualSpacing/>
        <w:rPr>
          <w:sz w:val="16"/>
          <w:szCs w:val="16"/>
        </w:rPr>
      </w:pPr>
    </w:p>
    <w:p w14:paraId="151A5050" w14:textId="4D4AB6C9" w:rsidR="005E6A06" w:rsidRDefault="005E6A06" w:rsidP="00524DC9">
      <w:pPr>
        <w:spacing w:before="120" w:after="120"/>
        <w:contextualSpacing/>
      </w:pPr>
      <w:r>
        <w:t>The number of dispensed packs was determined by the number of units supplied per dispensing divided by the number of units per pack (i.e. 30 tablets is the listed pack size of sapropterin).</w:t>
      </w:r>
    </w:p>
    <w:p w14:paraId="46531356" w14:textId="77777777" w:rsidR="00524DC9" w:rsidRPr="00524DC9" w:rsidRDefault="00524DC9" w:rsidP="00524DC9">
      <w:pPr>
        <w:spacing w:before="120" w:after="120"/>
        <w:contextualSpacing/>
        <w:rPr>
          <w:sz w:val="16"/>
          <w:szCs w:val="16"/>
        </w:rPr>
      </w:pPr>
    </w:p>
    <w:p w14:paraId="786AB5DD" w14:textId="1A23A889" w:rsidR="0007789B" w:rsidRDefault="00B1182D" w:rsidP="00524DC9">
      <w:pPr>
        <w:spacing w:before="120" w:after="120"/>
        <w:contextualSpacing/>
      </w:pPr>
      <w:r>
        <w:t>Length of trea</w:t>
      </w:r>
      <w:r w:rsidR="00274D58">
        <w:t>tment</w:t>
      </w:r>
      <w:r w:rsidR="000C2EBC">
        <w:t xml:space="preserve"> was determined by the number of days between the initial supply and the</w:t>
      </w:r>
      <w:r w:rsidR="000F15FA">
        <w:t xml:space="preserve"> last supply of an initiating patient in a one year period</w:t>
      </w:r>
      <w:r w:rsidR="00524DC9">
        <w:t xml:space="preserve">. </w:t>
      </w:r>
      <w:r w:rsidR="00676AB1">
        <w:t xml:space="preserve">Kaplan-Meier analysis of time on therapy with sapropterin (including treatment breaks) was performed for patients initiating in the first year of listing with follow-up to </w:t>
      </w:r>
      <w:r w:rsidR="003C0C9E">
        <w:t>28 February</w:t>
      </w:r>
      <w:r w:rsidR="00676AB1">
        <w:t xml:space="preserve"> 2019. Patients were considered to be on continuing treatment if their last supply date was within 90 days of the data period (Note: 90 days is three times the median length of refills between supplies). Continuing patients were censored f</w:t>
      </w:r>
      <w:r w:rsidR="00524DC9">
        <w:t>rom the Kaplan-Meier estimate.</w:t>
      </w:r>
    </w:p>
    <w:p w14:paraId="65056257" w14:textId="77777777" w:rsidR="00524DC9" w:rsidRPr="00524DC9" w:rsidRDefault="00524DC9" w:rsidP="00524DC9">
      <w:pPr>
        <w:spacing w:before="120" w:after="120"/>
        <w:contextualSpacing/>
        <w:rPr>
          <w:sz w:val="16"/>
          <w:szCs w:val="16"/>
        </w:rPr>
      </w:pPr>
    </w:p>
    <w:p w14:paraId="074106F6" w14:textId="3B52442F" w:rsidR="000B10BC" w:rsidRDefault="000B10BC" w:rsidP="00524DC9">
      <w:pPr>
        <w:spacing w:before="120" w:after="120"/>
        <w:contextualSpacing/>
      </w:pPr>
      <w:r>
        <w:t xml:space="preserve">The number of prescriptions supplied per patient was counted over a 12 month period from when the patient first initiated on sapropterin. Patients initiating on sapropterin up to </w:t>
      </w:r>
      <w:r w:rsidR="00372A55">
        <w:t>28 February</w:t>
      </w:r>
      <w:r>
        <w:t xml:space="preserve"> 2018 were included to allow a follow-up period of at least 12 months from the end date of the analysis period (28 February 2019).</w:t>
      </w:r>
      <w:r w:rsidR="0044687F">
        <w:t xml:space="preserve"> The mean and median number of prescriptions supplied per patient was calculated.</w:t>
      </w:r>
    </w:p>
    <w:p w14:paraId="2791CC36" w14:textId="50164620" w:rsidR="00126467" w:rsidRDefault="00924F89" w:rsidP="00524DC9">
      <w:pPr>
        <w:pStyle w:val="NormalWeb"/>
        <w:shd w:val="clear" w:color="auto" w:fill="FFFFFF"/>
        <w:spacing w:before="120" w:beforeAutospacing="0" w:after="120" w:afterAutospacing="0"/>
        <w:contextualSpacing/>
        <w:rPr>
          <w:rFonts w:asciiTheme="minorHAnsi" w:eastAsia="Calibri" w:hAnsiTheme="minorHAnsi"/>
        </w:rPr>
      </w:pPr>
      <w:r w:rsidRPr="00924F89">
        <w:rPr>
          <w:rFonts w:asciiTheme="minorHAnsi" w:eastAsia="Calibri" w:hAnsiTheme="minorHAnsi"/>
        </w:rPr>
        <w:t>To identify co-administration of sapropterin with a PKU nutritional product, all PBS supplies of PKU nutritional products were obtained for patients who had been also been supplied sapropterin.</w:t>
      </w:r>
      <w:r>
        <w:t xml:space="preserve"> </w:t>
      </w:r>
      <w:r>
        <w:rPr>
          <w:rFonts w:asciiTheme="minorHAnsi" w:eastAsia="Calibri" w:hAnsiTheme="minorHAnsi"/>
        </w:rPr>
        <w:t xml:space="preserve">The prescription records for sapropterin and the PKU nutritional products were combined and the records for each patient were sorted by the date of supply to obtain the temporal sequence of the medicines. For each prescription record, the time between a given medicine relative to the last and next medicine was obtained. </w:t>
      </w:r>
      <w:r w:rsidR="00126467">
        <w:rPr>
          <w:rFonts w:asciiTheme="minorHAnsi" w:eastAsia="Calibri" w:hAnsiTheme="minorHAnsi"/>
        </w:rPr>
        <w:t xml:space="preserve">The co-administration of sapropterin with a nutritional product was assumed if their supplies occurred within 60 days before or within 60 days after each other. </w:t>
      </w:r>
    </w:p>
    <w:p w14:paraId="0835DB1D" w14:textId="314A1E1B" w:rsidR="00B63C28" w:rsidRDefault="001D254E" w:rsidP="00B63C28">
      <w:pPr>
        <w:rPr>
          <w:rFonts w:eastAsia="Calibri" w:cs="Times New Roman"/>
        </w:rPr>
      </w:pPr>
      <w:r>
        <w:t>Data analysis was undertaken using SAS</w:t>
      </w:r>
      <w:r w:rsidR="00500258">
        <w:t xml:space="preserve"> Enterprise Guide version 7.13</w:t>
      </w:r>
      <w:r>
        <w:t>.</w:t>
      </w:r>
    </w:p>
    <w:p w14:paraId="4F91A98A" w14:textId="13358B83" w:rsidR="00C714D0" w:rsidRPr="00B63C28" w:rsidRDefault="00C714D0" w:rsidP="00B63C28">
      <w:pPr>
        <w:pStyle w:val="Heading2"/>
      </w:pPr>
      <w:r w:rsidRPr="005E22C2">
        <w:lastRenderedPageBreak/>
        <w:t>Results</w:t>
      </w:r>
    </w:p>
    <w:p w14:paraId="2221FF19" w14:textId="7100E43A" w:rsidR="00736041"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C92F01B" w14:textId="1E870C2D" w:rsidR="00150E14" w:rsidRDefault="00150E14" w:rsidP="00361369">
      <w:pPr>
        <w:spacing w:before="240"/>
        <w:rPr>
          <w:b/>
          <w:i/>
        </w:rPr>
      </w:pPr>
      <w:r>
        <w:rPr>
          <w:b/>
          <w:i/>
        </w:rPr>
        <w:t>Number of p</w:t>
      </w:r>
      <w:r w:rsidRPr="009E600E">
        <w:rPr>
          <w:b/>
          <w:i/>
        </w:rPr>
        <w:t>atient</w:t>
      </w:r>
      <w:r>
        <w:rPr>
          <w:b/>
          <w:i/>
        </w:rPr>
        <w:t>s</w:t>
      </w:r>
    </w:p>
    <w:p w14:paraId="3DEAE74D" w14:textId="43253091" w:rsidR="00EB2122" w:rsidRPr="009E600E" w:rsidRDefault="00EB2122" w:rsidP="00150E14">
      <w:pPr>
        <w:rPr>
          <w:b/>
          <w:i/>
        </w:rPr>
      </w:pPr>
      <w:r>
        <w:rPr>
          <w:b/>
          <w:i/>
          <w:noProof/>
        </w:rPr>
        <w:drawing>
          <wp:inline distT="0" distB="0" distL="0" distR="0" wp14:anchorId="21EE0973" wp14:editId="7B94A7C6">
            <wp:extent cx="4584700" cy="2755900"/>
            <wp:effectExtent l="0" t="0" r="6350" b="6350"/>
            <wp:docPr id="5" name="Picture 5" descr="Figure 1"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A06B34F" w14:textId="461C593B" w:rsidR="00150E14" w:rsidRPr="005B49E1" w:rsidRDefault="00150E14" w:rsidP="00150E14">
      <w:pPr>
        <w:pStyle w:val="Figurecaption"/>
        <w:rPr>
          <w:b/>
          <w:sz w:val="24"/>
          <w:szCs w:val="24"/>
        </w:rPr>
      </w:pPr>
      <w:r w:rsidRPr="005B49E1">
        <w:rPr>
          <w:b/>
          <w:sz w:val="24"/>
          <w:szCs w:val="24"/>
        </w:rPr>
        <w:t>F</w:t>
      </w:r>
      <w:r w:rsidR="00676AB1">
        <w:rPr>
          <w:b/>
          <w:sz w:val="24"/>
          <w:szCs w:val="24"/>
        </w:rPr>
        <w:t>igure 1</w:t>
      </w:r>
      <w:r w:rsidRPr="005B49E1">
        <w:rPr>
          <w:b/>
          <w:sz w:val="24"/>
          <w:szCs w:val="24"/>
        </w:rPr>
        <w:t>: Patients on initiating and continuing treatment of sapropterin</w:t>
      </w:r>
      <w:r w:rsidR="00551163">
        <w:rPr>
          <w:b/>
          <w:sz w:val="24"/>
          <w:szCs w:val="24"/>
        </w:rPr>
        <w:t xml:space="preserve">. </w:t>
      </w:r>
    </w:p>
    <w:p w14:paraId="4E19B18B" w14:textId="3C5A7FD9" w:rsidR="00150E14" w:rsidRDefault="00150E14" w:rsidP="00150E14">
      <w:pPr>
        <w:pStyle w:val="Figurecaption"/>
      </w:pPr>
      <w:r>
        <w:t xml:space="preserve">Note: Listing Year covers the period from 1 May – 30 April except for Year 5 as data cut off is 28 February 2019. </w:t>
      </w:r>
      <w:r w:rsidRPr="00FE353B">
        <w:t>Where the patient or prescription count is between 1 and 5 (inclusive), a figure data point is set to 5 to protect patient confidentiality.</w:t>
      </w:r>
    </w:p>
    <w:p w14:paraId="4ABD0527" w14:textId="77777777" w:rsidR="00150E14" w:rsidRDefault="00150E14" w:rsidP="00150E14">
      <w:pPr>
        <w:pStyle w:val="Figurecaption"/>
      </w:pPr>
    </w:p>
    <w:p w14:paraId="507B72F9" w14:textId="75CAD1E9" w:rsidR="00150E14" w:rsidRDefault="00150E14" w:rsidP="00150E14">
      <w:r>
        <w:t>The number of prevalent patients has been increasing since listing until Year 5 (noting Year</w:t>
      </w:r>
      <w:r w:rsidR="009724BC">
        <w:t xml:space="preserve"> 5 only contains part year data</w:t>
      </w:r>
      <w:r w:rsidR="00426F5A">
        <w:t xml:space="preserve"> to February 2019)</w:t>
      </w:r>
      <w:r w:rsidR="00551163">
        <w:t xml:space="preserve">. </w:t>
      </w:r>
      <w:r>
        <w:t>From Year 3 onwards, the number of prevalent patients have exceeded predicted levels</w:t>
      </w:r>
      <w:r w:rsidR="00551163">
        <w:t xml:space="preserve">. </w:t>
      </w:r>
      <w:r>
        <w:t>The number of incident patients has been higher than predicted</w:t>
      </w:r>
      <w:r w:rsidR="00551163">
        <w:t xml:space="preserve">. </w:t>
      </w:r>
      <w:r>
        <w:t>No incident patients were recorded for Year 5</w:t>
      </w:r>
      <w:r w:rsidR="00551163">
        <w:t xml:space="preserve">. </w:t>
      </w:r>
      <w:r>
        <w:t>This is plausible as the expected incidence rate was estimated to be one patient every two to three years.</w:t>
      </w:r>
    </w:p>
    <w:p w14:paraId="09F8A9BC" w14:textId="32B1B36C" w:rsidR="006A44F5" w:rsidRPr="005E22C2" w:rsidRDefault="00936D96" w:rsidP="00CF5E22">
      <w:pPr>
        <w:pStyle w:val="Heading3"/>
      </w:pPr>
      <w:r>
        <w:t>Number of prescriptions</w:t>
      </w:r>
    </w:p>
    <w:p w14:paraId="64EDBC63" w14:textId="4A8FEF2B" w:rsidR="00065A7D" w:rsidRDefault="00065A7D" w:rsidP="00A35800">
      <w:r>
        <w:t xml:space="preserve">Figure </w:t>
      </w:r>
      <w:r w:rsidR="00081E6F">
        <w:t>2</w:t>
      </w:r>
      <w:r>
        <w:t xml:space="preserve"> shows the number of prescriptions of sapropterin supplied </w:t>
      </w:r>
      <w:r w:rsidR="00BB0F5E">
        <w:t xml:space="preserve">per month </w:t>
      </w:r>
      <w:r>
        <w:t xml:space="preserve">since </w:t>
      </w:r>
      <w:r w:rsidR="00833E73">
        <w:t>first listing on the PBS from</w:t>
      </w:r>
      <w:r>
        <w:t xml:space="preserve"> 1 May 2014. </w:t>
      </w:r>
      <w:r w:rsidR="00BB0F5E">
        <w:t xml:space="preserve">Refer to Table </w:t>
      </w:r>
      <w:r w:rsidR="007B22F2">
        <w:t xml:space="preserve">6 </w:t>
      </w:r>
      <w:r w:rsidR="00BB0F5E">
        <w:t>for the number of prescriptions supplied per year.</w:t>
      </w:r>
      <w:r>
        <w:t xml:space="preserve"> The PBS listing allows for up to a maximum quantity of 180 tablets or 6 packs of 30 tablets per dispe</w:t>
      </w:r>
      <w:r w:rsidR="00B71772">
        <w:t xml:space="preserve">nsing. </w:t>
      </w:r>
      <w:r>
        <w:t xml:space="preserve">Increased maximum quantities and repeats may be authorised by the </w:t>
      </w:r>
      <w:r w:rsidR="00E21364">
        <w:t>DHS</w:t>
      </w:r>
      <w:r w:rsidR="000B443E">
        <w:t xml:space="preserve"> if required</w:t>
      </w:r>
      <w:r>
        <w:t>.</w:t>
      </w:r>
    </w:p>
    <w:p w14:paraId="31400B9B" w14:textId="0573E888" w:rsidR="00065A7D" w:rsidRDefault="006177E4" w:rsidP="00A35800">
      <w:r>
        <w:rPr>
          <w:noProof/>
        </w:rPr>
        <w:lastRenderedPageBreak/>
        <w:drawing>
          <wp:inline distT="0" distB="0" distL="0" distR="0" wp14:anchorId="232FE89B" wp14:editId="787A447E">
            <wp:extent cx="4572000" cy="2743200"/>
            <wp:effectExtent l="0" t="0" r="0" b="0"/>
            <wp:docPr id="12" name="Chart 12" descr="Figure 2" title="Fig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9AD90DE" w14:textId="6C0B7A69" w:rsidR="00831B64" w:rsidRDefault="00676AB1" w:rsidP="00FE645A">
      <w:pPr>
        <w:pStyle w:val="Figurecaption"/>
        <w:rPr>
          <w:b/>
          <w:sz w:val="24"/>
          <w:szCs w:val="24"/>
        </w:rPr>
      </w:pPr>
      <w:r>
        <w:rPr>
          <w:b/>
          <w:sz w:val="24"/>
          <w:szCs w:val="24"/>
        </w:rPr>
        <w:t>Figure 2</w:t>
      </w:r>
      <w:r w:rsidR="00E1353A" w:rsidRPr="00150E14">
        <w:rPr>
          <w:b/>
          <w:sz w:val="24"/>
          <w:szCs w:val="24"/>
        </w:rPr>
        <w:t xml:space="preserve">: </w:t>
      </w:r>
      <w:r w:rsidR="00113A45" w:rsidRPr="00150E14">
        <w:rPr>
          <w:b/>
          <w:sz w:val="24"/>
          <w:szCs w:val="24"/>
        </w:rPr>
        <w:t>Sapropterin prescriptions (Item code 10086W &amp; 10087X) by month of supply</w:t>
      </w:r>
    </w:p>
    <w:p w14:paraId="223CF10D" w14:textId="01040858" w:rsidR="00A75B57" w:rsidRDefault="00A75B57" w:rsidP="00FE645A">
      <w:pPr>
        <w:pStyle w:val="Figurecaption"/>
      </w:pPr>
      <w:r w:rsidRPr="00A75B57">
        <w:t>Note: Where the patient or prescription count is between 1 and 5 (inclusive), a figure data point is set to 5 to protect patient confidentiality.</w:t>
      </w:r>
    </w:p>
    <w:p w14:paraId="1A00B67F" w14:textId="05520EAD" w:rsidR="00EB5C82" w:rsidRDefault="00831B64" w:rsidP="00FF7C78">
      <w:pPr>
        <w:rPr>
          <w:b/>
          <w:i/>
        </w:rPr>
      </w:pPr>
      <w:r>
        <w:t xml:space="preserve">The </w:t>
      </w:r>
      <w:r w:rsidR="00B35641">
        <w:t xml:space="preserve">modest </w:t>
      </w:r>
      <w:r>
        <w:t xml:space="preserve">uptake in the first few months of listing </w:t>
      </w:r>
      <w:r w:rsidR="00F33CE8">
        <w:t xml:space="preserve">may be </w:t>
      </w:r>
      <w:r>
        <w:t xml:space="preserve">due to some patients having residual supply through the </w:t>
      </w:r>
      <w:r w:rsidR="00D645BA">
        <w:t xml:space="preserve">sponsor’s </w:t>
      </w:r>
      <w:r>
        <w:t>access program</w:t>
      </w:r>
      <w:r w:rsidR="00FF7C78">
        <w:t xml:space="preserve"> or lag due to the</w:t>
      </w:r>
      <w:r>
        <w:t xml:space="preserve"> requirement for </w:t>
      </w:r>
      <w:r w:rsidR="00D645BA">
        <w:t xml:space="preserve">a </w:t>
      </w:r>
      <w:r>
        <w:t xml:space="preserve">written </w:t>
      </w:r>
      <w:r w:rsidR="00CC4BB1">
        <w:t>A</w:t>
      </w:r>
      <w:r>
        <w:t>uthority</w:t>
      </w:r>
      <w:r w:rsidR="00551163">
        <w:t xml:space="preserve">. </w:t>
      </w:r>
      <w:r>
        <w:t xml:space="preserve">The number of prescriptions </w:t>
      </w:r>
      <w:r w:rsidR="00B35641">
        <w:t xml:space="preserve">dispensed </w:t>
      </w:r>
      <w:r w:rsidR="00B438E7">
        <w:t>increased</w:t>
      </w:r>
      <w:r>
        <w:t xml:space="preserve"> steadi</w:t>
      </w:r>
      <w:r w:rsidR="00FF7C78">
        <w:t xml:space="preserve">ly </w:t>
      </w:r>
      <w:r w:rsidR="00B35641">
        <w:t xml:space="preserve">from </w:t>
      </w:r>
      <w:r w:rsidR="00FF7C78">
        <w:t xml:space="preserve">October 2014 </w:t>
      </w:r>
      <w:r w:rsidR="00B35641">
        <w:t>to December 2017</w:t>
      </w:r>
      <w:r w:rsidR="001C0AB0">
        <w:t xml:space="preserve">. There was a slowing in the growth of the number of prescriptions dispensed </w:t>
      </w:r>
      <w:r w:rsidR="00FF7C78">
        <w:t>in 2018</w:t>
      </w:r>
      <w:r w:rsidR="00916C0D">
        <w:t>, consistent with the plateau in prevalent patients from Years 4 to 5 of listing</w:t>
      </w:r>
      <w:r w:rsidR="00D645BA">
        <w:t xml:space="preserve"> (Figure 1)</w:t>
      </w:r>
      <w:r w:rsidR="00551163">
        <w:t xml:space="preserve">. </w:t>
      </w:r>
    </w:p>
    <w:p w14:paraId="131F49B6" w14:textId="241C9171" w:rsidR="009E600E" w:rsidRDefault="009E600E" w:rsidP="00361369">
      <w:pPr>
        <w:spacing w:before="240" w:line="276" w:lineRule="auto"/>
        <w:rPr>
          <w:b/>
          <w:i/>
        </w:rPr>
      </w:pPr>
      <w:r w:rsidRPr="00274D58">
        <w:rPr>
          <w:b/>
          <w:i/>
        </w:rPr>
        <w:t xml:space="preserve">Patient age </w:t>
      </w:r>
    </w:p>
    <w:p w14:paraId="12934DD7" w14:textId="6A44C9E2" w:rsidR="000D04A3" w:rsidRPr="00274D58" w:rsidRDefault="000D04A3" w:rsidP="00361369">
      <w:pPr>
        <w:spacing w:before="200" w:after="20"/>
        <w:rPr>
          <w:b/>
          <w:i/>
        </w:rPr>
      </w:pPr>
      <w:r>
        <w:rPr>
          <w:b/>
        </w:rPr>
        <w:t xml:space="preserve">Table </w:t>
      </w:r>
      <w:r w:rsidR="001122FF">
        <w:rPr>
          <w:b/>
        </w:rPr>
        <w:t>2</w:t>
      </w:r>
      <w:r w:rsidRPr="00B46015">
        <w:rPr>
          <w:b/>
        </w:rPr>
        <w:t>: Patient age at initiation of treatment</w:t>
      </w:r>
    </w:p>
    <w:tbl>
      <w:tblPr>
        <w:tblpPr w:leftFromText="180" w:rightFromText="180" w:vertAnchor="text" w:tblpY="1"/>
        <w:tblOverlap w:val="never"/>
        <w:tblW w:w="3919" w:type="dxa"/>
        <w:tblLook w:val="04A0" w:firstRow="1" w:lastRow="0" w:firstColumn="1" w:lastColumn="0" w:noHBand="0" w:noVBand="1"/>
        <w:tblCaption w:val="Table 2"/>
        <w:tblDescription w:val="Table 2"/>
      </w:tblPr>
      <w:tblGrid>
        <w:gridCol w:w="2426"/>
        <w:gridCol w:w="1493"/>
      </w:tblGrid>
      <w:tr w:rsidR="00234B67" w:rsidRPr="00234B67" w14:paraId="3439F6F0" w14:textId="77777777" w:rsidTr="00150E14">
        <w:trPr>
          <w:trHeight w:val="274"/>
        </w:trPr>
        <w:tc>
          <w:tcPr>
            <w:tcW w:w="2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0A2C" w14:textId="77777777" w:rsidR="00234B67" w:rsidRPr="00150E14" w:rsidRDefault="00234B67" w:rsidP="009C5026">
            <w:pPr>
              <w:spacing w:after="0"/>
              <w:rPr>
                <w:rFonts w:ascii="Calibri" w:eastAsia="Times New Roman" w:hAnsi="Calibri" w:cs="Calibri"/>
                <w:b/>
                <w:color w:val="000000"/>
                <w:sz w:val="22"/>
                <w:szCs w:val="22"/>
              </w:rPr>
            </w:pPr>
            <w:r w:rsidRPr="00150E14">
              <w:rPr>
                <w:rFonts w:ascii="Calibri" w:eastAsia="Times New Roman" w:hAnsi="Calibri" w:cs="Calibri"/>
                <w:b/>
                <w:color w:val="000000"/>
                <w:sz w:val="22"/>
                <w:szCs w:val="22"/>
              </w:rPr>
              <w:t xml:space="preserve">Patient age </w:t>
            </w:r>
          </w:p>
        </w:tc>
        <w:tc>
          <w:tcPr>
            <w:tcW w:w="1493" w:type="dxa"/>
            <w:tcBorders>
              <w:top w:val="single" w:sz="4" w:space="0" w:color="auto"/>
              <w:left w:val="nil"/>
              <w:bottom w:val="single" w:sz="4" w:space="0" w:color="auto"/>
              <w:right w:val="single" w:sz="4" w:space="0" w:color="auto"/>
            </w:tcBorders>
            <w:shd w:val="clear" w:color="auto" w:fill="auto"/>
            <w:noWrap/>
            <w:vAlign w:val="bottom"/>
            <w:hideMark/>
          </w:tcPr>
          <w:p w14:paraId="341C140D" w14:textId="77777777" w:rsidR="00234B67" w:rsidRPr="00150E14" w:rsidRDefault="00234B67" w:rsidP="009C5026">
            <w:pPr>
              <w:spacing w:after="0"/>
              <w:rPr>
                <w:rFonts w:ascii="Calibri" w:eastAsia="Times New Roman" w:hAnsi="Calibri" w:cs="Calibri"/>
                <w:b/>
                <w:color w:val="000000"/>
                <w:sz w:val="22"/>
                <w:szCs w:val="22"/>
              </w:rPr>
            </w:pPr>
            <w:r w:rsidRPr="00150E14">
              <w:rPr>
                <w:rFonts w:ascii="Calibri" w:eastAsia="Times New Roman" w:hAnsi="Calibri" w:cs="Calibri"/>
                <w:b/>
                <w:color w:val="000000"/>
                <w:sz w:val="22"/>
                <w:szCs w:val="22"/>
              </w:rPr>
              <w:t>Count</w:t>
            </w:r>
          </w:p>
        </w:tc>
      </w:tr>
      <w:tr w:rsidR="00234B67" w:rsidRPr="00234B67" w14:paraId="36FCE911" w14:textId="77777777" w:rsidTr="00150E14">
        <w:trPr>
          <w:trHeight w:val="412"/>
        </w:trPr>
        <w:tc>
          <w:tcPr>
            <w:tcW w:w="2426" w:type="dxa"/>
            <w:tcBorders>
              <w:top w:val="nil"/>
              <w:left w:val="single" w:sz="4" w:space="0" w:color="auto"/>
              <w:bottom w:val="single" w:sz="4" w:space="0" w:color="auto"/>
              <w:right w:val="single" w:sz="4" w:space="0" w:color="auto"/>
            </w:tcBorders>
            <w:shd w:val="clear" w:color="auto" w:fill="auto"/>
            <w:noWrap/>
            <w:vAlign w:val="bottom"/>
            <w:hideMark/>
          </w:tcPr>
          <w:p w14:paraId="2EC32237" w14:textId="77777777" w:rsidR="00234B67" w:rsidRPr="00234B67" w:rsidRDefault="00234B67" w:rsidP="009C5026">
            <w:pPr>
              <w:spacing w:after="0"/>
              <w:rPr>
                <w:rFonts w:ascii="Calibri" w:eastAsia="Times New Roman" w:hAnsi="Calibri" w:cs="Calibri"/>
                <w:color w:val="000000"/>
                <w:sz w:val="22"/>
                <w:szCs w:val="22"/>
              </w:rPr>
            </w:pPr>
            <w:r w:rsidRPr="00234B67">
              <w:rPr>
                <w:rFonts w:ascii="Calibri" w:eastAsia="Times New Roman" w:hAnsi="Calibri" w:cs="Calibri"/>
                <w:color w:val="000000"/>
                <w:sz w:val="22"/>
                <w:szCs w:val="22"/>
              </w:rPr>
              <w:t>0 to 6 years</w:t>
            </w:r>
          </w:p>
        </w:tc>
        <w:tc>
          <w:tcPr>
            <w:tcW w:w="1493" w:type="dxa"/>
            <w:tcBorders>
              <w:top w:val="nil"/>
              <w:left w:val="nil"/>
              <w:bottom w:val="single" w:sz="4" w:space="0" w:color="auto"/>
              <w:right w:val="single" w:sz="4" w:space="0" w:color="auto"/>
            </w:tcBorders>
            <w:shd w:val="clear" w:color="auto" w:fill="auto"/>
            <w:noWrap/>
            <w:vAlign w:val="bottom"/>
            <w:hideMark/>
          </w:tcPr>
          <w:p w14:paraId="0F046755" w14:textId="77777777" w:rsidR="00234B67" w:rsidRPr="00234B67" w:rsidRDefault="00234B67" w:rsidP="00150E14">
            <w:pPr>
              <w:spacing w:after="0"/>
              <w:jc w:val="center"/>
              <w:rPr>
                <w:rFonts w:ascii="Calibri" w:eastAsia="Times New Roman" w:hAnsi="Calibri" w:cs="Calibri"/>
                <w:color w:val="000000"/>
                <w:sz w:val="22"/>
                <w:szCs w:val="22"/>
              </w:rPr>
            </w:pPr>
            <w:r w:rsidRPr="00234B67">
              <w:rPr>
                <w:rFonts w:ascii="Calibri" w:eastAsia="Times New Roman" w:hAnsi="Calibri" w:cs="Calibri"/>
                <w:color w:val="000000"/>
                <w:sz w:val="22"/>
                <w:szCs w:val="22"/>
              </w:rPr>
              <w:t>8</w:t>
            </w:r>
          </w:p>
        </w:tc>
      </w:tr>
      <w:tr w:rsidR="00234B67" w:rsidRPr="00234B67" w14:paraId="600AF17B" w14:textId="77777777" w:rsidTr="009C5026">
        <w:trPr>
          <w:trHeight w:val="466"/>
        </w:trPr>
        <w:tc>
          <w:tcPr>
            <w:tcW w:w="2426" w:type="dxa"/>
            <w:tcBorders>
              <w:top w:val="nil"/>
              <w:left w:val="single" w:sz="4" w:space="0" w:color="auto"/>
              <w:bottom w:val="single" w:sz="4" w:space="0" w:color="auto"/>
              <w:right w:val="single" w:sz="4" w:space="0" w:color="auto"/>
            </w:tcBorders>
            <w:shd w:val="clear" w:color="auto" w:fill="auto"/>
            <w:noWrap/>
            <w:vAlign w:val="bottom"/>
            <w:hideMark/>
          </w:tcPr>
          <w:p w14:paraId="1F860C11" w14:textId="77777777" w:rsidR="00234B67" w:rsidRPr="00234B67" w:rsidRDefault="00234B67" w:rsidP="009C5026">
            <w:pPr>
              <w:spacing w:after="0"/>
              <w:rPr>
                <w:rFonts w:ascii="Calibri" w:eastAsia="Times New Roman" w:hAnsi="Calibri" w:cs="Calibri"/>
                <w:color w:val="000000"/>
                <w:sz w:val="22"/>
                <w:szCs w:val="22"/>
              </w:rPr>
            </w:pPr>
            <w:r w:rsidRPr="00234B67">
              <w:rPr>
                <w:rFonts w:ascii="Calibri" w:eastAsia="Times New Roman" w:hAnsi="Calibri" w:cs="Calibri"/>
                <w:color w:val="000000"/>
                <w:sz w:val="22"/>
                <w:szCs w:val="22"/>
              </w:rPr>
              <w:t>7 to 12 years</w:t>
            </w:r>
          </w:p>
        </w:tc>
        <w:tc>
          <w:tcPr>
            <w:tcW w:w="1493" w:type="dxa"/>
            <w:tcBorders>
              <w:top w:val="nil"/>
              <w:left w:val="nil"/>
              <w:bottom w:val="single" w:sz="4" w:space="0" w:color="auto"/>
              <w:right w:val="single" w:sz="4" w:space="0" w:color="auto"/>
            </w:tcBorders>
            <w:shd w:val="clear" w:color="auto" w:fill="auto"/>
            <w:noWrap/>
            <w:vAlign w:val="bottom"/>
            <w:hideMark/>
          </w:tcPr>
          <w:p w14:paraId="7489A850" w14:textId="77777777" w:rsidR="00234B67" w:rsidRPr="00234B67" w:rsidRDefault="00234B67" w:rsidP="00150E14">
            <w:pPr>
              <w:spacing w:after="0"/>
              <w:jc w:val="center"/>
              <w:rPr>
                <w:rFonts w:ascii="Calibri" w:eastAsia="Times New Roman" w:hAnsi="Calibri" w:cs="Calibri"/>
                <w:color w:val="000000"/>
                <w:sz w:val="22"/>
                <w:szCs w:val="22"/>
              </w:rPr>
            </w:pPr>
            <w:r w:rsidRPr="00234B67">
              <w:rPr>
                <w:rFonts w:ascii="Calibri" w:eastAsia="Times New Roman" w:hAnsi="Calibri" w:cs="Calibri"/>
                <w:color w:val="000000"/>
                <w:sz w:val="22"/>
                <w:szCs w:val="22"/>
              </w:rPr>
              <w:t>14</w:t>
            </w:r>
          </w:p>
        </w:tc>
      </w:tr>
      <w:tr w:rsidR="00234B67" w:rsidRPr="00234B67" w14:paraId="61212A49" w14:textId="77777777" w:rsidTr="009C5026">
        <w:trPr>
          <w:trHeight w:val="466"/>
        </w:trPr>
        <w:tc>
          <w:tcPr>
            <w:tcW w:w="2426" w:type="dxa"/>
            <w:tcBorders>
              <w:top w:val="nil"/>
              <w:left w:val="single" w:sz="4" w:space="0" w:color="auto"/>
              <w:bottom w:val="single" w:sz="4" w:space="0" w:color="auto"/>
              <w:right w:val="single" w:sz="4" w:space="0" w:color="auto"/>
            </w:tcBorders>
            <w:shd w:val="clear" w:color="auto" w:fill="auto"/>
            <w:noWrap/>
            <w:vAlign w:val="bottom"/>
            <w:hideMark/>
          </w:tcPr>
          <w:p w14:paraId="1EDEF598" w14:textId="77777777" w:rsidR="00234B67" w:rsidRPr="00234B67" w:rsidRDefault="00234B67" w:rsidP="009C5026">
            <w:pPr>
              <w:spacing w:after="0"/>
              <w:rPr>
                <w:rFonts w:ascii="Calibri" w:eastAsia="Times New Roman" w:hAnsi="Calibri" w:cs="Calibri"/>
                <w:color w:val="000000"/>
                <w:sz w:val="22"/>
                <w:szCs w:val="22"/>
              </w:rPr>
            </w:pPr>
            <w:r w:rsidRPr="00234B67">
              <w:rPr>
                <w:rFonts w:ascii="Calibri" w:eastAsia="Times New Roman" w:hAnsi="Calibri" w:cs="Calibri"/>
                <w:color w:val="000000"/>
                <w:sz w:val="22"/>
                <w:szCs w:val="22"/>
              </w:rPr>
              <w:t>13 to 18 years</w:t>
            </w:r>
          </w:p>
        </w:tc>
        <w:tc>
          <w:tcPr>
            <w:tcW w:w="1493" w:type="dxa"/>
            <w:tcBorders>
              <w:top w:val="nil"/>
              <w:left w:val="nil"/>
              <w:bottom w:val="single" w:sz="4" w:space="0" w:color="auto"/>
              <w:right w:val="single" w:sz="4" w:space="0" w:color="auto"/>
            </w:tcBorders>
            <w:shd w:val="clear" w:color="auto" w:fill="auto"/>
            <w:noWrap/>
            <w:vAlign w:val="bottom"/>
            <w:hideMark/>
          </w:tcPr>
          <w:p w14:paraId="6A808FFF" w14:textId="77777777" w:rsidR="00234B67" w:rsidRPr="00234B67" w:rsidRDefault="00234B67" w:rsidP="00150E14">
            <w:pPr>
              <w:spacing w:after="0"/>
              <w:jc w:val="center"/>
              <w:rPr>
                <w:rFonts w:ascii="Calibri" w:eastAsia="Times New Roman" w:hAnsi="Calibri" w:cs="Calibri"/>
                <w:color w:val="000000"/>
                <w:sz w:val="22"/>
                <w:szCs w:val="22"/>
              </w:rPr>
            </w:pPr>
            <w:r w:rsidRPr="00234B67">
              <w:rPr>
                <w:rFonts w:ascii="Calibri" w:eastAsia="Times New Roman" w:hAnsi="Calibri" w:cs="Calibri"/>
                <w:color w:val="000000"/>
                <w:sz w:val="22"/>
                <w:szCs w:val="22"/>
              </w:rPr>
              <w:t>14</w:t>
            </w:r>
          </w:p>
        </w:tc>
      </w:tr>
    </w:tbl>
    <w:p w14:paraId="54470867" w14:textId="3EC3931F" w:rsidR="00CA449A" w:rsidRPr="00656ECE" w:rsidRDefault="009C5026" w:rsidP="00CA449A">
      <w:pPr>
        <w:pStyle w:val="Figurecaption"/>
      </w:pPr>
      <w:r>
        <w:br w:type="textWrapping" w:clear="all"/>
      </w:r>
      <w:r w:rsidR="00656ECE" w:rsidRPr="00150E14">
        <w:t xml:space="preserve">Note: Includes all patients </w:t>
      </w:r>
      <w:r w:rsidR="00C1131A">
        <w:t xml:space="preserve">(n=36) </w:t>
      </w:r>
      <w:r w:rsidR="00656ECE" w:rsidRPr="00150E14">
        <w:t>who</w:t>
      </w:r>
      <w:r w:rsidR="004D1DDB">
        <w:t xml:space="preserve"> had</w:t>
      </w:r>
      <w:r w:rsidR="00656ECE" w:rsidRPr="00150E14">
        <w:t xml:space="preserve"> initiated on sapropterin since it was first listed on the PBS.</w:t>
      </w:r>
    </w:p>
    <w:p w14:paraId="02B5906C" w14:textId="77777777" w:rsidR="00234B67" w:rsidRDefault="00234B67" w:rsidP="00CA449A">
      <w:pPr>
        <w:pStyle w:val="Figurecaption"/>
      </w:pPr>
    </w:p>
    <w:p w14:paraId="7F364AEB" w14:textId="69988952" w:rsidR="00936F17" w:rsidRDefault="00BB30FE" w:rsidP="00BB30FE">
      <w:r>
        <w:t>The median a</w:t>
      </w:r>
      <w:r w:rsidR="00650B01">
        <w:t xml:space="preserve">ge </w:t>
      </w:r>
      <w:r w:rsidR="00341ED9">
        <w:t>at initiation</w:t>
      </w:r>
      <w:r w:rsidR="00650B01">
        <w:t xml:space="preserve"> </w:t>
      </w:r>
      <w:r w:rsidR="00D952B1">
        <w:t>wa</w:t>
      </w:r>
      <w:r w:rsidR="00650B01">
        <w:t>s 9</w:t>
      </w:r>
      <w:r>
        <w:t xml:space="preserve"> years old</w:t>
      </w:r>
      <w:r w:rsidR="00551163">
        <w:t xml:space="preserve">. </w:t>
      </w:r>
      <w:r w:rsidR="00FD6CB7">
        <w:t>The minimum and maximum age at initiation was 1 and 18 years</w:t>
      </w:r>
      <w:r w:rsidR="00592064">
        <w:t>,</w:t>
      </w:r>
      <w:r w:rsidR="00B71772">
        <w:t xml:space="preserve"> respectively.</w:t>
      </w:r>
    </w:p>
    <w:p w14:paraId="4E07CE55" w14:textId="77777777" w:rsidR="00F64BD2" w:rsidRPr="00DF024E" w:rsidRDefault="00F64BD2" w:rsidP="00F64BD2">
      <w:pPr>
        <w:pStyle w:val="Figurecaption"/>
        <w:rPr>
          <w:sz w:val="24"/>
          <w:szCs w:val="24"/>
          <w:lang w:eastAsia="en-AU"/>
        </w:rPr>
      </w:pPr>
      <w:r>
        <w:rPr>
          <w:noProof/>
          <w:lang w:eastAsia="en-AU"/>
        </w:rPr>
        <w:lastRenderedPageBreak/>
        <w:drawing>
          <wp:inline distT="0" distB="0" distL="0" distR="0" wp14:anchorId="47FDEAAE" wp14:editId="16CEBA15">
            <wp:extent cx="4572000" cy="2743200"/>
            <wp:effectExtent l="0" t="0" r="0" b="0"/>
            <wp:docPr id="2" name="Chart 2" descr="Figure 3" title="Figur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C83726A" w14:textId="6697CB83" w:rsidR="00F64BD2" w:rsidRDefault="00F64BD2" w:rsidP="00F64BD2">
      <w:pPr>
        <w:pStyle w:val="Figurecaption"/>
        <w:rPr>
          <w:b/>
          <w:sz w:val="24"/>
          <w:szCs w:val="24"/>
        </w:rPr>
      </w:pPr>
      <w:r w:rsidRPr="00676AB1">
        <w:rPr>
          <w:b/>
          <w:sz w:val="24"/>
          <w:szCs w:val="24"/>
        </w:rPr>
        <w:t>F</w:t>
      </w:r>
      <w:r>
        <w:rPr>
          <w:b/>
          <w:sz w:val="24"/>
          <w:szCs w:val="24"/>
        </w:rPr>
        <w:t>igure 3</w:t>
      </w:r>
      <w:r w:rsidRPr="00676AB1">
        <w:rPr>
          <w:b/>
          <w:sz w:val="24"/>
          <w:szCs w:val="24"/>
        </w:rPr>
        <w:t>:</w:t>
      </w:r>
      <w:r>
        <w:rPr>
          <w:b/>
          <w:sz w:val="24"/>
          <w:szCs w:val="24"/>
        </w:rPr>
        <w:t xml:space="preserve"> Mean PBS dispensed quantity versus mean age by year</w:t>
      </w:r>
    </w:p>
    <w:p w14:paraId="79C916AF" w14:textId="6B2913C3" w:rsidR="00F64BD2" w:rsidRPr="00361369" w:rsidRDefault="00B7345C" w:rsidP="00F64BD2">
      <w:pPr>
        <w:pStyle w:val="Figurecaption"/>
      </w:pPr>
      <w:r>
        <w:t xml:space="preserve">Note: Listing </w:t>
      </w:r>
      <w:r w:rsidRPr="00B7345C">
        <w:t>Year covers the period from 1 May – 30 April except for Year 5 as data cut off is 28 February 2019</w:t>
      </w:r>
      <w:r>
        <w:t>.</w:t>
      </w:r>
    </w:p>
    <w:p w14:paraId="32783109" w14:textId="2768ABB5" w:rsidR="00F64BD2" w:rsidRPr="00982FBB" w:rsidRDefault="00F64BD2" w:rsidP="00F64BD2">
      <w:pPr>
        <w:pStyle w:val="Figurecaption"/>
        <w:rPr>
          <w:sz w:val="24"/>
          <w:szCs w:val="24"/>
        </w:rPr>
      </w:pPr>
      <w:r>
        <w:rPr>
          <w:sz w:val="24"/>
          <w:szCs w:val="24"/>
        </w:rPr>
        <w:t>There is a positive correlation between mean age and mean dispensed quantity</w:t>
      </w:r>
      <w:r w:rsidR="00551163">
        <w:rPr>
          <w:sz w:val="24"/>
          <w:szCs w:val="24"/>
        </w:rPr>
        <w:t xml:space="preserve">. </w:t>
      </w:r>
      <w:r>
        <w:rPr>
          <w:sz w:val="24"/>
          <w:szCs w:val="24"/>
        </w:rPr>
        <w:t>This is plausible as sapropterin has a weight-based dosing regimen</w:t>
      </w:r>
      <w:r w:rsidR="00551163">
        <w:rPr>
          <w:sz w:val="24"/>
          <w:szCs w:val="24"/>
        </w:rPr>
        <w:t xml:space="preserve">. </w:t>
      </w:r>
      <w:r w:rsidR="00B7345C">
        <w:rPr>
          <w:sz w:val="24"/>
          <w:szCs w:val="24"/>
        </w:rPr>
        <w:t>For male patients, the mean age has slightly reduced from 15.4 in Year 1 to 13.9 in Year 5</w:t>
      </w:r>
      <w:r w:rsidR="00551163">
        <w:rPr>
          <w:sz w:val="24"/>
          <w:szCs w:val="24"/>
        </w:rPr>
        <w:t xml:space="preserve">. </w:t>
      </w:r>
      <w:r w:rsidR="00B7345C">
        <w:rPr>
          <w:sz w:val="24"/>
          <w:szCs w:val="24"/>
        </w:rPr>
        <w:t>The</w:t>
      </w:r>
      <w:r>
        <w:rPr>
          <w:sz w:val="24"/>
          <w:szCs w:val="24"/>
        </w:rPr>
        <w:t xml:space="preserve"> </w:t>
      </w:r>
      <w:r w:rsidR="00FD6CB7">
        <w:rPr>
          <w:sz w:val="24"/>
          <w:szCs w:val="24"/>
        </w:rPr>
        <w:t>mean dispensed quantity ha</w:t>
      </w:r>
      <w:r w:rsidR="004314E9">
        <w:rPr>
          <w:sz w:val="24"/>
          <w:szCs w:val="24"/>
        </w:rPr>
        <w:t>d</w:t>
      </w:r>
      <w:r w:rsidR="00FD6CB7">
        <w:rPr>
          <w:sz w:val="24"/>
          <w:szCs w:val="24"/>
        </w:rPr>
        <w:t xml:space="preserve"> stabilised to around 180 tablets (the listed maximum quantity) from Year 3 onwards</w:t>
      </w:r>
      <w:r w:rsidR="00551163">
        <w:rPr>
          <w:sz w:val="24"/>
          <w:szCs w:val="24"/>
        </w:rPr>
        <w:t xml:space="preserve">. </w:t>
      </w:r>
      <w:r w:rsidR="004254AC">
        <w:rPr>
          <w:sz w:val="24"/>
          <w:szCs w:val="24"/>
        </w:rPr>
        <w:t>For</w:t>
      </w:r>
      <w:r>
        <w:rPr>
          <w:sz w:val="24"/>
          <w:szCs w:val="24"/>
        </w:rPr>
        <w:t xml:space="preserve"> female patients</w:t>
      </w:r>
      <w:r w:rsidR="004254AC">
        <w:rPr>
          <w:sz w:val="24"/>
          <w:szCs w:val="24"/>
        </w:rPr>
        <w:t>, the mean age and mean dispensed quantity</w:t>
      </w:r>
      <w:r>
        <w:rPr>
          <w:sz w:val="24"/>
          <w:szCs w:val="24"/>
        </w:rPr>
        <w:t xml:space="preserve"> has</w:t>
      </w:r>
      <w:r w:rsidR="00FD6CB7">
        <w:rPr>
          <w:sz w:val="24"/>
          <w:szCs w:val="24"/>
        </w:rPr>
        <w:t xml:space="preserve"> gradually</w:t>
      </w:r>
      <w:r>
        <w:rPr>
          <w:sz w:val="24"/>
          <w:szCs w:val="24"/>
        </w:rPr>
        <w:t xml:space="preserve"> increased </w:t>
      </w:r>
      <w:r w:rsidR="00FD6CB7">
        <w:rPr>
          <w:sz w:val="24"/>
          <w:szCs w:val="24"/>
        </w:rPr>
        <w:t>since Year 1</w:t>
      </w:r>
      <w:r w:rsidR="00551163">
        <w:rPr>
          <w:sz w:val="24"/>
          <w:szCs w:val="24"/>
        </w:rPr>
        <w:t xml:space="preserve">. </w:t>
      </w:r>
      <w:r w:rsidR="00FD6CB7">
        <w:rPr>
          <w:sz w:val="24"/>
          <w:szCs w:val="24"/>
        </w:rPr>
        <w:t>Similar</w:t>
      </w:r>
      <w:r w:rsidR="00605AD4">
        <w:rPr>
          <w:sz w:val="24"/>
          <w:szCs w:val="24"/>
        </w:rPr>
        <w:t>ly</w:t>
      </w:r>
      <w:r w:rsidR="00FD6CB7">
        <w:rPr>
          <w:sz w:val="24"/>
          <w:szCs w:val="24"/>
        </w:rPr>
        <w:t>, the mean dispensed quantity</w:t>
      </w:r>
      <w:r w:rsidR="00605AD4">
        <w:rPr>
          <w:sz w:val="24"/>
          <w:szCs w:val="24"/>
        </w:rPr>
        <w:t xml:space="preserve"> of female patients</w:t>
      </w:r>
      <w:r w:rsidR="00FD6CB7">
        <w:rPr>
          <w:sz w:val="24"/>
          <w:szCs w:val="24"/>
        </w:rPr>
        <w:t xml:space="preserve"> has stabilised to around 180 tablets from Year 3 onwards.</w:t>
      </w:r>
    </w:p>
    <w:p w14:paraId="4035E27D" w14:textId="2451936A" w:rsidR="00274D58" w:rsidRDefault="008142A0" w:rsidP="00361369">
      <w:pPr>
        <w:spacing w:before="240"/>
        <w:rPr>
          <w:b/>
          <w:i/>
        </w:rPr>
      </w:pPr>
      <w:r>
        <w:rPr>
          <w:b/>
          <w:i/>
        </w:rPr>
        <w:t>Length</w:t>
      </w:r>
      <w:r w:rsidR="00274D58" w:rsidRPr="00274D58">
        <w:rPr>
          <w:b/>
          <w:i/>
        </w:rPr>
        <w:t xml:space="preserve"> of treatment</w:t>
      </w:r>
      <w:r w:rsidR="000C2EBC">
        <w:rPr>
          <w:b/>
          <w:i/>
        </w:rPr>
        <w:t xml:space="preserve"> </w:t>
      </w:r>
    </w:p>
    <w:p w14:paraId="063A11A3" w14:textId="3C45E90A" w:rsidR="00115852" w:rsidRDefault="00171FEF" w:rsidP="00BB30FE">
      <w:r>
        <w:t>The time on sapropterin was exam</w:t>
      </w:r>
      <w:r w:rsidR="001B7D9D">
        <w:t xml:space="preserve">ined for </w:t>
      </w:r>
      <w:r w:rsidR="00B81136">
        <w:t>15</w:t>
      </w:r>
      <w:r w:rsidR="000A3954">
        <w:t xml:space="preserve"> </w:t>
      </w:r>
      <w:r w:rsidR="001B7D9D">
        <w:t>patients who</w:t>
      </w:r>
      <w:r>
        <w:t xml:space="preserve"> initiated on this therapy in the first year of listing (1 May 2014 to 30 April </w:t>
      </w:r>
      <w:r w:rsidR="000F41FB">
        <w:t>2015)</w:t>
      </w:r>
      <w:r w:rsidR="00551163">
        <w:t xml:space="preserve">. </w:t>
      </w:r>
      <w:r w:rsidR="00B81136">
        <w:t>As at</w:t>
      </w:r>
      <w:r w:rsidR="000A3954">
        <w:t xml:space="preserve"> </w:t>
      </w:r>
      <w:r w:rsidR="00F246A0">
        <w:t xml:space="preserve">28 February </w:t>
      </w:r>
      <w:r w:rsidR="00B81136">
        <w:t xml:space="preserve">2019, </w:t>
      </w:r>
      <w:r w:rsidR="00115852">
        <w:t>all</w:t>
      </w:r>
      <w:r w:rsidR="00B81136">
        <w:t xml:space="preserve"> patients</w:t>
      </w:r>
      <w:r w:rsidR="00FB4320">
        <w:t xml:space="preserve"> from this initiating cohort</w:t>
      </w:r>
      <w:r w:rsidR="00B81136">
        <w:t xml:space="preserve"> were </w:t>
      </w:r>
      <w:r w:rsidR="00DD6624">
        <w:t>continuing to be supplied sapropterin</w:t>
      </w:r>
      <w:r w:rsidR="00115852">
        <w:t xml:space="preserve"> (Figure 4)</w:t>
      </w:r>
      <w:r w:rsidR="00551163">
        <w:t xml:space="preserve">. </w:t>
      </w:r>
    </w:p>
    <w:p w14:paraId="03D69449" w14:textId="1C6C8250" w:rsidR="00115852" w:rsidRDefault="00115852" w:rsidP="00BB30FE">
      <w:r>
        <w:t>For all (n=36) patients who had initiated on sapropterin between Year</w:t>
      </w:r>
      <w:r w:rsidR="00A47A82">
        <w:t>s 1</w:t>
      </w:r>
      <w:r>
        <w:t xml:space="preserve"> to 4 of listing (there were no initiators in Year 5), two patients discontinued PBS treatment (an initiator in Yea</w:t>
      </w:r>
      <w:r w:rsidR="00DB4BA9">
        <w:t>r 2 and an initiator in Year 3) as at February 2019.</w:t>
      </w:r>
    </w:p>
    <w:p w14:paraId="0B1EFE00" w14:textId="25DCBC69" w:rsidR="000F41FB" w:rsidRDefault="00FB4320" w:rsidP="00BB30FE">
      <w:r>
        <w:rPr>
          <w:rFonts w:ascii="Arial" w:hAnsi="Arial" w:cs="Arial"/>
          <w:noProof/>
          <w:color w:val="000000"/>
          <w:sz w:val="20"/>
          <w:szCs w:val="20"/>
        </w:rPr>
        <w:lastRenderedPageBreak/>
        <w:drawing>
          <wp:inline distT="0" distB="0" distL="0" distR="0" wp14:anchorId="6F0D2244" wp14:editId="12B206C0">
            <wp:extent cx="4608618" cy="3457904"/>
            <wp:effectExtent l="0" t="0" r="1905" b="9525"/>
            <wp:docPr id="9" name="Picture 9" descr="Figure 4" title="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22146" cy="3468054"/>
                    </a:xfrm>
                    <a:prstGeom prst="rect">
                      <a:avLst/>
                    </a:prstGeom>
                    <a:noFill/>
                    <a:ln>
                      <a:noFill/>
                    </a:ln>
                  </pic:spPr>
                </pic:pic>
              </a:graphicData>
            </a:graphic>
          </wp:inline>
        </w:drawing>
      </w:r>
    </w:p>
    <w:p w14:paraId="3BA1D40D" w14:textId="767BF22B" w:rsidR="00E923E2" w:rsidRPr="00E923E2" w:rsidRDefault="00676AB1" w:rsidP="00361369">
      <w:pPr>
        <w:spacing w:before="60" w:after="60"/>
        <w:rPr>
          <w:b/>
        </w:rPr>
      </w:pPr>
      <w:r>
        <w:rPr>
          <w:b/>
        </w:rPr>
        <w:t xml:space="preserve">Figure </w:t>
      </w:r>
      <w:r w:rsidR="00F64BD2">
        <w:rPr>
          <w:b/>
        </w:rPr>
        <w:t>4</w:t>
      </w:r>
      <w:r w:rsidR="00E923E2" w:rsidRPr="00E923E2">
        <w:rPr>
          <w:b/>
        </w:rPr>
        <w:t xml:space="preserve">: Kaplan-Meier analysis of time on therapy with sapropterin </w:t>
      </w:r>
      <w:r w:rsidR="006625FD">
        <w:rPr>
          <w:b/>
        </w:rPr>
        <w:t xml:space="preserve">(including treatment breaks) </w:t>
      </w:r>
      <w:r w:rsidR="00E923E2" w:rsidRPr="00E923E2">
        <w:rPr>
          <w:b/>
        </w:rPr>
        <w:t xml:space="preserve">for patients initiating in the first year of listing with follow-up to </w:t>
      </w:r>
      <w:r w:rsidR="00AC7A73">
        <w:rPr>
          <w:b/>
        </w:rPr>
        <w:t>28 February</w:t>
      </w:r>
      <w:r w:rsidR="00E923E2" w:rsidRPr="00E923E2">
        <w:rPr>
          <w:b/>
        </w:rPr>
        <w:t xml:space="preserve"> 2019</w:t>
      </w:r>
    </w:p>
    <w:p w14:paraId="4E0002EB" w14:textId="5682C47E" w:rsidR="000F41FB" w:rsidRDefault="000F41FB" w:rsidP="00361369">
      <w:pPr>
        <w:spacing w:before="60" w:after="60"/>
        <w:rPr>
          <w:sz w:val="20"/>
          <w:szCs w:val="20"/>
        </w:rPr>
      </w:pPr>
      <w:r w:rsidRPr="000F41FB">
        <w:rPr>
          <w:sz w:val="20"/>
          <w:szCs w:val="20"/>
        </w:rPr>
        <w:t xml:space="preserve">Note: Patients were considered to be on continuing treatment if their last supply date was within 90 days of the </w:t>
      </w:r>
      <w:r w:rsidR="00515E78">
        <w:rPr>
          <w:sz w:val="20"/>
          <w:szCs w:val="20"/>
        </w:rPr>
        <w:t xml:space="preserve">end date for the </w:t>
      </w:r>
      <w:r w:rsidRPr="000F41FB">
        <w:rPr>
          <w:sz w:val="20"/>
          <w:szCs w:val="20"/>
        </w:rPr>
        <w:t>data period (Note: 90 days is three times the median length of refills between supplies). Continuing patients were censored from the Kaplan-Meier estimate</w:t>
      </w:r>
      <w:r w:rsidR="00551163">
        <w:rPr>
          <w:sz w:val="20"/>
          <w:szCs w:val="20"/>
        </w:rPr>
        <w:t xml:space="preserve">. </w:t>
      </w:r>
    </w:p>
    <w:p w14:paraId="32DD5FF3" w14:textId="4F8BECFB" w:rsidR="00633735" w:rsidRPr="000F41FB" w:rsidRDefault="00633735" w:rsidP="00361369">
      <w:pPr>
        <w:spacing w:before="240"/>
      </w:pPr>
      <w:r>
        <w:rPr>
          <w:b/>
          <w:i/>
        </w:rPr>
        <w:t>Number of prescriptions per patient</w:t>
      </w:r>
    </w:p>
    <w:p w14:paraId="7BAE6CAD" w14:textId="605A7C9B" w:rsidR="008142A0" w:rsidRDefault="008142A0" w:rsidP="00BB30FE">
      <w:pPr>
        <w:rPr>
          <w:b/>
          <w:i/>
        </w:rPr>
      </w:pPr>
      <w:r>
        <w:rPr>
          <w:noProof/>
        </w:rPr>
        <w:drawing>
          <wp:inline distT="0" distB="0" distL="0" distR="0" wp14:anchorId="0A6B204D" wp14:editId="6D6A7EF2">
            <wp:extent cx="4762500" cy="2647950"/>
            <wp:effectExtent l="0" t="0" r="0" b="0"/>
            <wp:docPr id="7" name="Chart 7" descr="Figure 5" title="Figur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9C2355" w14:textId="6BE934CB" w:rsidR="008142A0" w:rsidRPr="00150E14" w:rsidRDefault="008142A0" w:rsidP="008142A0">
      <w:pPr>
        <w:pStyle w:val="Figurecaption"/>
        <w:rPr>
          <w:b/>
          <w:sz w:val="24"/>
          <w:szCs w:val="24"/>
        </w:rPr>
      </w:pPr>
      <w:r w:rsidRPr="00150E14">
        <w:rPr>
          <w:b/>
          <w:sz w:val="24"/>
          <w:szCs w:val="24"/>
        </w:rPr>
        <w:t xml:space="preserve">Figure </w:t>
      </w:r>
      <w:r w:rsidR="00F64BD2">
        <w:rPr>
          <w:b/>
          <w:sz w:val="24"/>
          <w:szCs w:val="24"/>
        </w:rPr>
        <w:t>5</w:t>
      </w:r>
      <w:r w:rsidRPr="00150E14">
        <w:rPr>
          <w:b/>
          <w:sz w:val="24"/>
          <w:szCs w:val="24"/>
        </w:rPr>
        <w:t xml:space="preserve">: Number of prescriptions </w:t>
      </w:r>
      <w:r w:rsidR="00C2087D">
        <w:rPr>
          <w:b/>
          <w:sz w:val="24"/>
          <w:szCs w:val="24"/>
        </w:rPr>
        <w:t>supplied per patient over a 12 month period from first initiation</w:t>
      </w:r>
      <w:r w:rsidRPr="00150E14">
        <w:rPr>
          <w:b/>
          <w:sz w:val="24"/>
          <w:szCs w:val="24"/>
        </w:rPr>
        <w:t xml:space="preserve"> </w:t>
      </w:r>
    </w:p>
    <w:p w14:paraId="0B042E40" w14:textId="6C9B3772" w:rsidR="008142A0" w:rsidRDefault="008142A0" w:rsidP="008142A0">
      <w:pPr>
        <w:pStyle w:val="Figurecaption"/>
      </w:pPr>
      <w:r>
        <w:t xml:space="preserve">Note: </w:t>
      </w:r>
      <w:r w:rsidRPr="00FE353B">
        <w:t>Where the patient or prescription count is between 1 and 5 (inclusive), a figure data point is set to 5 protect patient confidentiality.</w:t>
      </w:r>
    </w:p>
    <w:p w14:paraId="7DB46F54" w14:textId="782D72E1" w:rsidR="00F77177" w:rsidRDefault="00AB145B" w:rsidP="00F77177">
      <w:r>
        <w:lastRenderedPageBreak/>
        <w:t>Both t</w:t>
      </w:r>
      <w:r w:rsidR="00F77177">
        <w:t xml:space="preserve">he median </w:t>
      </w:r>
      <w:r>
        <w:t xml:space="preserve">and mean </w:t>
      </w:r>
      <w:r w:rsidR="00F77177">
        <w:t>number of prescription</w:t>
      </w:r>
      <w:r w:rsidR="0004553B">
        <w:t>s</w:t>
      </w:r>
      <w:r w:rsidR="00F77177">
        <w:t xml:space="preserve"> </w:t>
      </w:r>
      <w:r>
        <w:t xml:space="preserve">supplied </w:t>
      </w:r>
      <w:r w:rsidR="00F77177">
        <w:t xml:space="preserve">per patient </w:t>
      </w:r>
      <w:r w:rsidR="00A147C9">
        <w:t>wa</w:t>
      </w:r>
      <w:r w:rsidR="00F77177">
        <w:t>s 9 prescriptions per year</w:t>
      </w:r>
      <w:r w:rsidR="00551163">
        <w:t xml:space="preserve">. </w:t>
      </w:r>
      <w:r w:rsidR="00F77177">
        <w:t xml:space="preserve">The median time between prescription refills </w:t>
      </w:r>
      <w:r w:rsidR="00A147C9">
        <w:t>wa</w:t>
      </w:r>
      <w:r w:rsidR="00F77177">
        <w:t>s 30 days</w:t>
      </w:r>
      <w:r w:rsidR="00551163">
        <w:t xml:space="preserve">. </w:t>
      </w:r>
    </w:p>
    <w:p w14:paraId="5BC3AF42" w14:textId="47604C0B" w:rsidR="00274D58" w:rsidRDefault="00274D58" w:rsidP="00274D58">
      <w:pPr>
        <w:rPr>
          <w:b/>
          <w:i/>
        </w:rPr>
      </w:pPr>
      <w:r w:rsidRPr="00274D58">
        <w:rPr>
          <w:b/>
          <w:i/>
        </w:rPr>
        <w:t>Prescriber type</w:t>
      </w:r>
    </w:p>
    <w:p w14:paraId="641B066D" w14:textId="1757CF1F" w:rsidR="00676AB1" w:rsidRPr="00676AB1" w:rsidRDefault="00676AB1" w:rsidP="00361369">
      <w:pPr>
        <w:pStyle w:val="Figurecaption"/>
        <w:spacing w:before="200" w:after="20"/>
        <w:rPr>
          <w:b/>
          <w:sz w:val="24"/>
          <w:szCs w:val="24"/>
        </w:rPr>
      </w:pPr>
      <w:r w:rsidRPr="00676AB1">
        <w:rPr>
          <w:b/>
          <w:sz w:val="24"/>
          <w:szCs w:val="24"/>
        </w:rPr>
        <w:t xml:space="preserve">Table </w:t>
      </w:r>
      <w:r w:rsidR="00FD4907">
        <w:rPr>
          <w:b/>
          <w:sz w:val="24"/>
          <w:szCs w:val="24"/>
        </w:rPr>
        <w:t>3</w:t>
      </w:r>
      <w:r w:rsidRPr="00676AB1">
        <w:rPr>
          <w:b/>
          <w:sz w:val="24"/>
          <w:szCs w:val="24"/>
        </w:rPr>
        <w:t>: Sapropterin prescriptions by prescriber type</w:t>
      </w:r>
    </w:p>
    <w:tbl>
      <w:tblPr>
        <w:tblpPr w:leftFromText="180" w:rightFromText="180" w:vertAnchor="text" w:tblpY="1"/>
        <w:tblOverlap w:val="never"/>
        <w:tblW w:w="3580" w:type="dxa"/>
        <w:tblLook w:val="04A0" w:firstRow="1" w:lastRow="0" w:firstColumn="1" w:lastColumn="0" w:noHBand="0" w:noVBand="1"/>
        <w:tblCaption w:val="Table 3"/>
        <w:tblDescription w:val="Table 3"/>
      </w:tblPr>
      <w:tblGrid>
        <w:gridCol w:w="2260"/>
        <w:gridCol w:w="1320"/>
      </w:tblGrid>
      <w:tr w:rsidR="00314DC2" w:rsidRPr="00314DC2" w14:paraId="7B14D61B" w14:textId="77777777" w:rsidTr="00FB21E8">
        <w:trPr>
          <w:trHeight w:val="300"/>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2A794" w14:textId="77777777" w:rsidR="00314DC2" w:rsidRPr="00C43A08" w:rsidRDefault="00314DC2" w:rsidP="00FB21E8">
            <w:pPr>
              <w:spacing w:after="0"/>
              <w:rPr>
                <w:rFonts w:ascii="Calibri" w:eastAsia="Times New Roman" w:hAnsi="Calibri" w:cs="Calibri"/>
                <w:b/>
                <w:color w:val="000000"/>
                <w:sz w:val="22"/>
                <w:szCs w:val="22"/>
              </w:rPr>
            </w:pPr>
            <w:r w:rsidRPr="00C43A08">
              <w:rPr>
                <w:rFonts w:ascii="Calibri" w:eastAsia="Times New Roman" w:hAnsi="Calibri" w:cs="Calibri"/>
                <w:b/>
                <w:color w:val="000000"/>
                <w:sz w:val="22"/>
                <w:szCs w:val="22"/>
              </w:rPr>
              <w:t>Specialty Type</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17F3B288" w14:textId="60AA6A20" w:rsidR="00314DC2" w:rsidRPr="00C43A08" w:rsidRDefault="00314DC2" w:rsidP="00FB21E8">
            <w:pPr>
              <w:spacing w:after="0"/>
              <w:rPr>
                <w:rFonts w:ascii="Calibri" w:eastAsia="Times New Roman" w:hAnsi="Calibri" w:cs="Calibri"/>
                <w:b/>
                <w:color w:val="000000"/>
                <w:sz w:val="22"/>
                <w:szCs w:val="22"/>
              </w:rPr>
            </w:pPr>
            <w:r w:rsidRPr="00C43A08">
              <w:rPr>
                <w:rFonts w:ascii="Calibri" w:eastAsia="Times New Roman" w:hAnsi="Calibri" w:cs="Calibri"/>
                <w:b/>
                <w:color w:val="000000"/>
                <w:sz w:val="22"/>
                <w:szCs w:val="22"/>
              </w:rPr>
              <w:t>Percentage</w:t>
            </w:r>
          </w:p>
        </w:tc>
      </w:tr>
      <w:tr w:rsidR="00314DC2" w:rsidRPr="00314DC2" w14:paraId="5D64A4DF" w14:textId="77777777" w:rsidTr="00FB21E8">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966CDAE" w14:textId="77777777" w:rsidR="00314DC2" w:rsidRPr="00314DC2" w:rsidRDefault="00314DC2" w:rsidP="00FB21E8">
            <w:pPr>
              <w:spacing w:after="0"/>
              <w:rPr>
                <w:rFonts w:ascii="Calibri" w:eastAsia="Times New Roman" w:hAnsi="Calibri" w:cs="Calibri"/>
                <w:color w:val="000000"/>
                <w:sz w:val="22"/>
                <w:szCs w:val="22"/>
              </w:rPr>
            </w:pPr>
            <w:r w:rsidRPr="00314DC2">
              <w:rPr>
                <w:rFonts w:ascii="Calibri" w:eastAsia="Times New Roman" w:hAnsi="Calibri" w:cs="Calibri"/>
                <w:color w:val="000000"/>
                <w:sz w:val="22"/>
                <w:szCs w:val="22"/>
              </w:rPr>
              <w:t>Paediatric Medicine</w:t>
            </w:r>
          </w:p>
        </w:tc>
        <w:tc>
          <w:tcPr>
            <w:tcW w:w="1320" w:type="dxa"/>
            <w:tcBorders>
              <w:top w:val="nil"/>
              <w:left w:val="nil"/>
              <w:bottom w:val="single" w:sz="4" w:space="0" w:color="auto"/>
              <w:right w:val="single" w:sz="4" w:space="0" w:color="auto"/>
            </w:tcBorders>
            <w:shd w:val="clear" w:color="auto" w:fill="auto"/>
            <w:noWrap/>
            <w:vAlign w:val="bottom"/>
            <w:hideMark/>
          </w:tcPr>
          <w:p w14:paraId="27ED806D" w14:textId="77777777" w:rsidR="00314DC2" w:rsidRPr="00314DC2" w:rsidRDefault="00314DC2" w:rsidP="00FB21E8">
            <w:pPr>
              <w:spacing w:after="0"/>
              <w:jc w:val="right"/>
              <w:rPr>
                <w:rFonts w:ascii="Calibri" w:eastAsia="Times New Roman" w:hAnsi="Calibri" w:cs="Calibri"/>
                <w:color w:val="000000"/>
                <w:sz w:val="22"/>
                <w:szCs w:val="22"/>
              </w:rPr>
            </w:pPr>
            <w:r w:rsidRPr="00314DC2">
              <w:rPr>
                <w:rFonts w:ascii="Calibri" w:eastAsia="Times New Roman" w:hAnsi="Calibri" w:cs="Calibri"/>
                <w:color w:val="000000"/>
                <w:sz w:val="22"/>
                <w:szCs w:val="22"/>
              </w:rPr>
              <w:t>58.7%</w:t>
            </w:r>
          </w:p>
        </w:tc>
      </w:tr>
      <w:tr w:rsidR="00314DC2" w:rsidRPr="00314DC2" w14:paraId="5A7BFC32" w14:textId="77777777" w:rsidTr="00FB21E8">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7915DF97" w14:textId="77777777" w:rsidR="00314DC2" w:rsidRPr="00314DC2" w:rsidRDefault="00314DC2" w:rsidP="00FB21E8">
            <w:pPr>
              <w:spacing w:after="0"/>
              <w:rPr>
                <w:rFonts w:ascii="Calibri" w:eastAsia="Times New Roman" w:hAnsi="Calibri" w:cs="Calibri"/>
                <w:color w:val="000000"/>
                <w:sz w:val="22"/>
                <w:szCs w:val="22"/>
              </w:rPr>
            </w:pPr>
            <w:r w:rsidRPr="00314DC2">
              <w:rPr>
                <w:rFonts w:ascii="Calibri" w:eastAsia="Times New Roman" w:hAnsi="Calibri" w:cs="Calibri"/>
                <w:color w:val="000000"/>
                <w:sz w:val="22"/>
                <w:szCs w:val="22"/>
              </w:rPr>
              <w:t>GP</w:t>
            </w:r>
          </w:p>
        </w:tc>
        <w:tc>
          <w:tcPr>
            <w:tcW w:w="1320" w:type="dxa"/>
            <w:tcBorders>
              <w:top w:val="nil"/>
              <w:left w:val="nil"/>
              <w:bottom w:val="single" w:sz="4" w:space="0" w:color="auto"/>
              <w:right w:val="single" w:sz="4" w:space="0" w:color="auto"/>
            </w:tcBorders>
            <w:shd w:val="clear" w:color="auto" w:fill="auto"/>
            <w:noWrap/>
            <w:vAlign w:val="bottom"/>
            <w:hideMark/>
          </w:tcPr>
          <w:p w14:paraId="572FA93A" w14:textId="77777777" w:rsidR="00314DC2" w:rsidRPr="00314DC2" w:rsidRDefault="00314DC2" w:rsidP="00FB21E8">
            <w:pPr>
              <w:spacing w:after="0"/>
              <w:jc w:val="right"/>
              <w:rPr>
                <w:rFonts w:ascii="Calibri" w:eastAsia="Times New Roman" w:hAnsi="Calibri" w:cs="Calibri"/>
                <w:color w:val="000000"/>
                <w:sz w:val="22"/>
                <w:szCs w:val="22"/>
              </w:rPr>
            </w:pPr>
            <w:r w:rsidRPr="00314DC2">
              <w:rPr>
                <w:rFonts w:ascii="Calibri" w:eastAsia="Times New Roman" w:hAnsi="Calibri" w:cs="Calibri"/>
                <w:color w:val="000000"/>
                <w:sz w:val="22"/>
                <w:szCs w:val="22"/>
              </w:rPr>
              <w:t>18.7%</w:t>
            </w:r>
          </w:p>
        </w:tc>
      </w:tr>
      <w:tr w:rsidR="00314DC2" w:rsidRPr="00314DC2" w14:paraId="33F55468" w14:textId="77777777" w:rsidTr="00FB21E8">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186FA1B" w14:textId="77777777" w:rsidR="00314DC2" w:rsidRPr="00314DC2" w:rsidRDefault="00314DC2" w:rsidP="00FB21E8">
            <w:pPr>
              <w:spacing w:after="0"/>
              <w:rPr>
                <w:rFonts w:ascii="Calibri" w:eastAsia="Times New Roman" w:hAnsi="Calibri" w:cs="Calibri"/>
                <w:color w:val="000000"/>
                <w:sz w:val="22"/>
                <w:szCs w:val="22"/>
              </w:rPr>
            </w:pPr>
            <w:r w:rsidRPr="00314DC2">
              <w:rPr>
                <w:rFonts w:ascii="Calibri" w:eastAsia="Times New Roman" w:hAnsi="Calibri" w:cs="Calibri"/>
                <w:color w:val="000000"/>
                <w:sz w:val="22"/>
                <w:szCs w:val="22"/>
              </w:rPr>
              <w:t>Pathology</w:t>
            </w:r>
          </w:p>
        </w:tc>
        <w:tc>
          <w:tcPr>
            <w:tcW w:w="1320" w:type="dxa"/>
            <w:tcBorders>
              <w:top w:val="nil"/>
              <w:left w:val="nil"/>
              <w:bottom w:val="single" w:sz="4" w:space="0" w:color="auto"/>
              <w:right w:val="single" w:sz="4" w:space="0" w:color="auto"/>
            </w:tcBorders>
            <w:shd w:val="clear" w:color="auto" w:fill="auto"/>
            <w:noWrap/>
            <w:vAlign w:val="bottom"/>
            <w:hideMark/>
          </w:tcPr>
          <w:p w14:paraId="1235C5E3" w14:textId="77777777" w:rsidR="00314DC2" w:rsidRPr="00314DC2" w:rsidRDefault="00314DC2" w:rsidP="00FB21E8">
            <w:pPr>
              <w:spacing w:after="0"/>
              <w:jc w:val="right"/>
              <w:rPr>
                <w:rFonts w:ascii="Calibri" w:eastAsia="Times New Roman" w:hAnsi="Calibri" w:cs="Calibri"/>
                <w:color w:val="000000"/>
                <w:sz w:val="22"/>
                <w:szCs w:val="22"/>
              </w:rPr>
            </w:pPr>
            <w:r w:rsidRPr="00314DC2">
              <w:rPr>
                <w:rFonts w:ascii="Calibri" w:eastAsia="Times New Roman" w:hAnsi="Calibri" w:cs="Calibri"/>
                <w:color w:val="000000"/>
                <w:sz w:val="22"/>
                <w:szCs w:val="22"/>
              </w:rPr>
              <w:t>9.8%</w:t>
            </w:r>
          </w:p>
        </w:tc>
      </w:tr>
      <w:tr w:rsidR="00314DC2" w:rsidRPr="00314DC2" w14:paraId="5E32DF54" w14:textId="77777777" w:rsidTr="00FB21E8">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5B3E36F" w14:textId="77777777" w:rsidR="00314DC2" w:rsidRPr="00314DC2" w:rsidRDefault="00314DC2" w:rsidP="00FB21E8">
            <w:pPr>
              <w:spacing w:after="0"/>
              <w:rPr>
                <w:rFonts w:ascii="Calibri" w:eastAsia="Times New Roman" w:hAnsi="Calibri" w:cs="Calibri"/>
                <w:color w:val="000000"/>
                <w:sz w:val="22"/>
                <w:szCs w:val="22"/>
              </w:rPr>
            </w:pPr>
            <w:r w:rsidRPr="00314DC2">
              <w:rPr>
                <w:rFonts w:ascii="Calibri" w:eastAsia="Times New Roman" w:hAnsi="Calibri" w:cs="Calibri"/>
                <w:color w:val="000000"/>
                <w:sz w:val="22"/>
                <w:szCs w:val="22"/>
              </w:rPr>
              <w:t>Clinical Genetics</w:t>
            </w:r>
          </w:p>
        </w:tc>
        <w:tc>
          <w:tcPr>
            <w:tcW w:w="1320" w:type="dxa"/>
            <w:tcBorders>
              <w:top w:val="nil"/>
              <w:left w:val="nil"/>
              <w:bottom w:val="single" w:sz="4" w:space="0" w:color="auto"/>
              <w:right w:val="single" w:sz="4" w:space="0" w:color="auto"/>
            </w:tcBorders>
            <w:shd w:val="clear" w:color="auto" w:fill="auto"/>
            <w:noWrap/>
            <w:vAlign w:val="bottom"/>
            <w:hideMark/>
          </w:tcPr>
          <w:p w14:paraId="4129085E" w14:textId="77777777" w:rsidR="00314DC2" w:rsidRPr="00314DC2" w:rsidRDefault="00314DC2" w:rsidP="00FB21E8">
            <w:pPr>
              <w:spacing w:after="0"/>
              <w:jc w:val="right"/>
              <w:rPr>
                <w:rFonts w:ascii="Calibri" w:eastAsia="Times New Roman" w:hAnsi="Calibri" w:cs="Calibri"/>
                <w:color w:val="000000"/>
                <w:sz w:val="22"/>
                <w:szCs w:val="22"/>
              </w:rPr>
            </w:pPr>
            <w:r w:rsidRPr="00314DC2">
              <w:rPr>
                <w:rFonts w:ascii="Calibri" w:eastAsia="Times New Roman" w:hAnsi="Calibri" w:cs="Calibri"/>
                <w:color w:val="000000"/>
                <w:sz w:val="22"/>
                <w:szCs w:val="22"/>
              </w:rPr>
              <w:t>8.6%</w:t>
            </w:r>
          </w:p>
        </w:tc>
      </w:tr>
      <w:tr w:rsidR="00314DC2" w:rsidRPr="00314DC2" w14:paraId="0AA6CF6B" w14:textId="77777777" w:rsidTr="00FB21E8">
        <w:trPr>
          <w:trHeight w:val="300"/>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0AE89E8" w14:textId="63997F66" w:rsidR="00314DC2" w:rsidRPr="00314DC2" w:rsidRDefault="00314DC2" w:rsidP="00FB21E8">
            <w:pPr>
              <w:spacing w:after="0"/>
              <w:rPr>
                <w:rFonts w:ascii="Calibri" w:eastAsia="Times New Roman" w:hAnsi="Calibri" w:cs="Calibri"/>
                <w:color w:val="000000"/>
                <w:sz w:val="22"/>
                <w:szCs w:val="22"/>
              </w:rPr>
            </w:pPr>
            <w:r w:rsidRPr="00314DC2">
              <w:rPr>
                <w:rFonts w:ascii="Calibri" w:eastAsia="Times New Roman" w:hAnsi="Calibri" w:cs="Calibri"/>
                <w:color w:val="000000"/>
                <w:sz w:val="22"/>
                <w:szCs w:val="22"/>
              </w:rPr>
              <w:t>Other</w:t>
            </w:r>
            <w:r>
              <w:rPr>
                <w:rFonts w:ascii="Calibri" w:eastAsia="Times New Roman" w:hAnsi="Calibri" w:cs="Calibri"/>
                <w:color w:val="000000"/>
                <w:sz w:val="22"/>
                <w:szCs w:val="22"/>
              </w:rPr>
              <w:t xml:space="preserve"> specialties</w:t>
            </w:r>
          </w:p>
        </w:tc>
        <w:tc>
          <w:tcPr>
            <w:tcW w:w="1320" w:type="dxa"/>
            <w:tcBorders>
              <w:top w:val="nil"/>
              <w:left w:val="nil"/>
              <w:bottom w:val="single" w:sz="4" w:space="0" w:color="auto"/>
              <w:right w:val="single" w:sz="4" w:space="0" w:color="auto"/>
            </w:tcBorders>
            <w:shd w:val="clear" w:color="auto" w:fill="auto"/>
            <w:noWrap/>
            <w:vAlign w:val="bottom"/>
            <w:hideMark/>
          </w:tcPr>
          <w:p w14:paraId="22ED74CE" w14:textId="77777777" w:rsidR="00314DC2" w:rsidRPr="00314DC2" w:rsidRDefault="00314DC2" w:rsidP="00FB21E8">
            <w:pPr>
              <w:spacing w:after="0"/>
              <w:jc w:val="right"/>
              <w:rPr>
                <w:rFonts w:ascii="Calibri" w:eastAsia="Times New Roman" w:hAnsi="Calibri" w:cs="Calibri"/>
                <w:color w:val="000000"/>
                <w:sz w:val="22"/>
                <w:szCs w:val="22"/>
              </w:rPr>
            </w:pPr>
            <w:r w:rsidRPr="00314DC2">
              <w:rPr>
                <w:rFonts w:ascii="Calibri" w:eastAsia="Times New Roman" w:hAnsi="Calibri" w:cs="Calibri"/>
                <w:color w:val="000000"/>
                <w:sz w:val="22"/>
                <w:szCs w:val="22"/>
              </w:rPr>
              <w:t>4.2%</w:t>
            </w:r>
          </w:p>
        </w:tc>
      </w:tr>
    </w:tbl>
    <w:p w14:paraId="53A9000E" w14:textId="3EE73222" w:rsidR="00676AB1" w:rsidRDefault="00FB21E8" w:rsidP="00361369">
      <w:pPr>
        <w:pStyle w:val="Figurecaption"/>
        <w:spacing w:before="0" w:after="200"/>
      </w:pPr>
      <w:r>
        <w:br w:type="textWrapping" w:clear="all"/>
      </w:r>
      <w:r w:rsidR="00676AB1">
        <w:t xml:space="preserve">Note: </w:t>
      </w:r>
      <w:r w:rsidR="00676AB1" w:rsidRPr="00676AB1">
        <w:t>Other specialties include</w:t>
      </w:r>
      <w:r w:rsidR="009724BC">
        <w:t xml:space="preserve"> aggregated percentages of</w:t>
      </w:r>
      <w:r w:rsidR="00676AB1" w:rsidRPr="00676AB1">
        <w:t xml:space="preserve"> intensive care, gastroenterology and hepatology, internal medicine, and obstetrics and gynaecology</w:t>
      </w:r>
      <w:r w:rsidR="00904C2B">
        <w:t>.</w:t>
      </w:r>
    </w:p>
    <w:p w14:paraId="0FED12D3" w14:textId="371DB687" w:rsidR="000F15FA" w:rsidRDefault="000F15FA" w:rsidP="00274D58">
      <w:r>
        <w:t xml:space="preserve">The most common prescriber type </w:t>
      </w:r>
      <w:r w:rsidR="00A87A9E">
        <w:t>wa</w:t>
      </w:r>
      <w:r>
        <w:t>s P</w:t>
      </w:r>
      <w:r w:rsidR="00B73F90">
        <w:t>a</w:t>
      </w:r>
      <w:r>
        <w:t>ediatric Medicine, followed by GP and Pathology.</w:t>
      </w:r>
    </w:p>
    <w:p w14:paraId="782030B7" w14:textId="77777777" w:rsidR="00361369" w:rsidRDefault="001B5D37" w:rsidP="00361369">
      <w:pPr>
        <w:pStyle w:val="Heading2"/>
      </w:pPr>
      <w:r w:rsidRPr="005E22C2">
        <w:t xml:space="preserve">Analysis </w:t>
      </w:r>
      <w:r w:rsidR="00481108" w:rsidRPr="005E22C2">
        <w:t xml:space="preserve">of </w:t>
      </w:r>
      <w:r w:rsidR="0063631C">
        <w:t>e</w:t>
      </w:r>
      <w:r w:rsidR="00736041" w:rsidRPr="005E22C2">
        <w:t>xpenditure</w:t>
      </w:r>
    </w:p>
    <w:p w14:paraId="79F92053" w14:textId="3E4BAAC4" w:rsidR="0028239F" w:rsidRPr="0028239F" w:rsidRDefault="0028239F" w:rsidP="0028239F">
      <w:r>
        <w:rPr>
          <w:noProof/>
        </w:rPr>
        <w:drawing>
          <wp:inline distT="0" distB="0" distL="0" distR="0" wp14:anchorId="0D56D30B" wp14:editId="4BD8A82B">
            <wp:extent cx="5114925" cy="3074623"/>
            <wp:effectExtent l="0" t="0" r="0" b="0"/>
            <wp:docPr id="4" name="Picture 4" descr="Figure 6" title="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19088" cy="3077125"/>
                    </a:xfrm>
                    <a:prstGeom prst="rect">
                      <a:avLst/>
                    </a:prstGeom>
                    <a:noFill/>
                  </pic:spPr>
                </pic:pic>
              </a:graphicData>
            </a:graphic>
          </wp:inline>
        </w:drawing>
      </w:r>
    </w:p>
    <w:p w14:paraId="2EB19ED2" w14:textId="47A97783" w:rsidR="00150E14" w:rsidRPr="00676AB1" w:rsidRDefault="00150E14" w:rsidP="00150E14">
      <w:pPr>
        <w:pStyle w:val="Figurecaption"/>
        <w:rPr>
          <w:b/>
          <w:sz w:val="24"/>
          <w:szCs w:val="24"/>
        </w:rPr>
      </w:pPr>
      <w:r w:rsidRPr="00676AB1">
        <w:rPr>
          <w:b/>
          <w:sz w:val="24"/>
          <w:szCs w:val="24"/>
        </w:rPr>
        <w:t>F</w:t>
      </w:r>
      <w:r w:rsidR="00676AB1" w:rsidRPr="00676AB1">
        <w:rPr>
          <w:b/>
          <w:sz w:val="24"/>
          <w:szCs w:val="24"/>
        </w:rPr>
        <w:t>igur</w:t>
      </w:r>
      <w:r w:rsidR="00F64BD2">
        <w:rPr>
          <w:b/>
          <w:sz w:val="24"/>
          <w:szCs w:val="24"/>
        </w:rPr>
        <w:t>e 6</w:t>
      </w:r>
      <w:r w:rsidRPr="00676AB1">
        <w:rPr>
          <w:b/>
          <w:sz w:val="24"/>
          <w:szCs w:val="24"/>
        </w:rPr>
        <w:t>: Sapropterin actual ex</w:t>
      </w:r>
      <w:r w:rsidR="00676AB1">
        <w:rPr>
          <w:b/>
          <w:sz w:val="24"/>
          <w:szCs w:val="24"/>
        </w:rPr>
        <w:t>penditure by Listing</w:t>
      </w:r>
      <w:r w:rsidRPr="00676AB1">
        <w:rPr>
          <w:b/>
          <w:sz w:val="24"/>
          <w:szCs w:val="24"/>
        </w:rPr>
        <w:t xml:space="preserve"> Year.</w:t>
      </w:r>
    </w:p>
    <w:p w14:paraId="6F26A877" w14:textId="6B70E39B" w:rsidR="00150E14" w:rsidRDefault="00150E14" w:rsidP="00150E14">
      <w:pPr>
        <w:pStyle w:val="Figurecaption"/>
      </w:pPr>
      <w:r>
        <w:t xml:space="preserve">Note: </w:t>
      </w:r>
      <w:r w:rsidRPr="0009427A">
        <w:t xml:space="preserve">Year covers the period from 1 May – 30 April except for </w:t>
      </w:r>
      <w:r w:rsidR="009500E1">
        <w:t>Year 5</w:t>
      </w:r>
      <w:r w:rsidRPr="0009427A">
        <w:t xml:space="preserve"> as data cut off </w:t>
      </w:r>
      <w:r w:rsidR="000A1E53">
        <w:t>wa</w:t>
      </w:r>
      <w:r w:rsidRPr="0009427A">
        <w:t>s 28 February 2019.</w:t>
      </w:r>
    </w:p>
    <w:p w14:paraId="2533557C" w14:textId="48C2C6CD" w:rsidR="000C50CF" w:rsidRDefault="000C50CF">
      <w:pPr>
        <w:spacing w:line="276" w:lineRule="auto"/>
        <w:rPr>
          <w:b/>
          <w:sz w:val="28"/>
        </w:rPr>
      </w:pPr>
      <w:r>
        <w:br w:type="page"/>
      </w:r>
    </w:p>
    <w:p w14:paraId="5F22B4D8" w14:textId="1A7F6ADD" w:rsidR="00736041" w:rsidRDefault="00D151EB" w:rsidP="00F73113">
      <w:pPr>
        <w:pStyle w:val="Heading2"/>
      </w:pPr>
      <w:r>
        <w:lastRenderedPageBreak/>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14:paraId="35394761" w14:textId="14E333C1" w:rsidR="00581787" w:rsidRDefault="00581787" w:rsidP="0022354F">
      <w:pPr>
        <w:spacing w:before="240" w:line="276" w:lineRule="auto"/>
        <w:rPr>
          <w:b/>
        </w:rPr>
      </w:pPr>
      <w:r w:rsidRPr="00581787">
        <w:rPr>
          <w:b/>
        </w:rPr>
        <w:t>Predicted vs Actual utilisation</w:t>
      </w:r>
      <w:r w:rsidR="000C50CF">
        <w:rPr>
          <w:b/>
        </w:rPr>
        <w:t xml:space="preserve"> </w:t>
      </w:r>
    </w:p>
    <w:p w14:paraId="21DF9C22" w14:textId="68EF7C60" w:rsidR="00AD74A4" w:rsidRDefault="00AD74A4" w:rsidP="00150E14">
      <w:pPr>
        <w:pStyle w:val="Figurecaption"/>
        <w:rPr>
          <w:b/>
        </w:rPr>
      </w:pPr>
      <w:r w:rsidRPr="00150E14">
        <w:rPr>
          <w:b/>
          <w:sz w:val="24"/>
          <w:szCs w:val="24"/>
        </w:rPr>
        <w:t xml:space="preserve">Table </w:t>
      </w:r>
      <w:r w:rsidR="002A55A5">
        <w:rPr>
          <w:b/>
          <w:sz w:val="24"/>
          <w:szCs w:val="24"/>
        </w:rPr>
        <w:t>4</w:t>
      </w:r>
      <w:r w:rsidRPr="00150E14">
        <w:rPr>
          <w:b/>
          <w:sz w:val="24"/>
          <w:szCs w:val="24"/>
        </w:rPr>
        <w:t xml:space="preserve">: </w:t>
      </w:r>
      <w:r w:rsidRPr="00EB2122">
        <w:rPr>
          <w:b/>
          <w:sz w:val="24"/>
          <w:szCs w:val="24"/>
        </w:rPr>
        <w:t>Predicted versus</w:t>
      </w:r>
      <w:r w:rsidRPr="00AD74A4">
        <w:rPr>
          <w:b/>
          <w:sz w:val="24"/>
          <w:szCs w:val="24"/>
        </w:rPr>
        <w:t xml:space="preserve"> </w:t>
      </w:r>
      <w:r w:rsidR="00EB2122">
        <w:rPr>
          <w:b/>
          <w:sz w:val="24"/>
          <w:szCs w:val="24"/>
        </w:rPr>
        <w:t>a</w:t>
      </w:r>
      <w:r w:rsidRPr="00AD74A4">
        <w:rPr>
          <w:b/>
          <w:sz w:val="24"/>
          <w:szCs w:val="24"/>
        </w:rPr>
        <w:t>ctual utilisation</w:t>
      </w:r>
      <w:r w:rsidR="00D969AC">
        <w:rPr>
          <w:b/>
          <w:sz w:val="24"/>
          <w:szCs w:val="24"/>
        </w:rPr>
        <w:t xml:space="preserve"> for patients, prescriptions, packs and expenditure</w:t>
      </w:r>
    </w:p>
    <w:tbl>
      <w:tblPr>
        <w:tblStyle w:val="TableGrid"/>
        <w:tblW w:w="0" w:type="auto"/>
        <w:tblLook w:val="04A0" w:firstRow="1" w:lastRow="0" w:firstColumn="1" w:lastColumn="0" w:noHBand="0" w:noVBand="1"/>
        <w:tblCaption w:val="Table 4"/>
        <w:tblDescription w:val="Table 4"/>
      </w:tblPr>
      <w:tblGrid>
        <w:gridCol w:w="1275"/>
        <w:gridCol w:w="1697"/>
        <w:gridCol w:w="1231"/>
        <w:gridCol w:w="1179"/>
        <w:gridCol w:w="1134"/>
        <w:gridCol w:w="1276"/>
        <w:gridCol w:w="1155"/>
      </w:tblGrid>
      <w:tr w:rsidR="00FA2E4F" w14:paraId="1622FED4" w14:textId="082D26FF" w:rsidTr="00A220E6">
        <w:trPr>
          <w:tblHeader/>
        </w:trPr>
        <w:tc>
          <w:tcPr>
            <w:tcW w:w="1275" w:type="dxa"/>
            <w:tcBorders>
              <w:top w:val="single" w:sz="4" w:space="0" w:color="auto"/>
              <w:left w:val="single" w:sz="4" w:space="0" w:color="auto"/>
              <w:right w:val="nil"/>
            </w:tcBorders>
          </w:tcPr>
          <w:p w14:paraId="6BB488AA" w14:textId="77777777" w:rsidR="00FA2E4F" w:rsidRPr="00084F22" w:rsidRDefault="00FA2E4F" w:rsidP="009C19EE">
            <w:pPr>
              <w:rPr>
                <w:b/>
                <w:sz w:val="20"/>
                <w:szCs w:val="20"/>
              </w:rPr>
            </w:pPr>
          </w:p>
        </w:tc>
        <w:tc>
          <w:tcPr>
            <w:tcW w:w="1697" w:type="dxa"/>
            <w:tcBorders>
              <w:top w:val="single" w:sz="4" w:space="0" w:color="auto"/>
              <w:left w:val="nil"/>
            </w:tcBorders>
          </w:tcPr>
          <w:p w14:paraId="07EBD3A7" w14:textId="77777777" w:rsidR="00FA2E4F" w:rsidRPr="00084F22" w:rsidRDefault="00FA2E4F" w:rsidP="009C19EE">
            <w:pPr>
              <w:rPr>
                <w:b/>
                <w:sz w:val="20"/>
                <w:szCs w:val="20"/>
              </w:rPr>
            </w:pPr>
          </w:p>
        </w:tc>
        <w:tc>
          <w:tcPr>
            <w:tcW w:w="1231" w:type="dxa"/>
          </w:tcPr>
          <w:p w14:paraId="67F50F5E" w14:textId="66F40B4C" w:rsidR="0009427A" w:rsidRPr="00084F22" w:rsidRDefault="0009427A" w:rsidP="009C19EE">
            <w:pPr>
              <w:rPr>
                <w:b/>
                <w:sz w:val="20"/>
                <w:szCs w:val="20"/>
              </w:rPr>
            </w:pPr>
            <w:r w:rsidRPr="00084F22">
              <w:rPr>
                <w:b/>
                <w:sz w:val="20"/>
                <w:szCs w:val="20"/>
              </w:rPr>
              <w:t>Year 1</w:t>
            </w:r>
          </w:p>
          <w:p w14:paraId="7D2364BD" w14:textId="1025E01A" w:rsidR="00FA2E4F" w:rsidRPr="00084F22" w:rsidRDefault="00FA2E4F" w:rsidP="009C19EE">
            <w:pPr>
              <w:rPr>
                <w:b/>
                <w:sz w:val="20"/>
                <w:szCs w:val="20"/>
              </w:rPr>
            </w:pPr>
          </w:p>
        </w:tc>
        <w:tc>
          <w:tcPr>
            <w:tcW w:w="1179" w:type="dxa"/>
          </w:tcPr>
          <w:p w14:paraId="223DA633" w14:textId="77777777" w:rsidR="00AD74A4" w:rsidRPr="00084F22" w:rsidRDefault="00FA2E4F" w:rsidP="0009427A">
            <w:pPr>
              <w:rPr>
                <w:b/>
                <w:sz w:val="20"/>
                <w:szCs w:val="20"/>
              </w:rPr>
            </w:pPr>
            <w:r w:rsidRPr="00084F22">
              <w:rPr>
                <w:b/>
                <w:sz w:val="20"/>
                <w:szCs w:val="20"/>
              </w:rPr>
              <w:t xml:space="preserve">Year 2 </w:t>
            </w:r>
          </w:p>
          <w:p w14:paraId="51DC93E8" w14:textId="2B9C7DEF" w:rsidR="00FA2E4F" w:rsidRPr="00084F22" w:rsidRDefault="00FA2E4F" w:rsidP="0009427A">
            <w:pPr>
              <w:rPr>
                <w:b/>
                <w:sz w:val="20"/>
                <w:szCs w:val="20"/>
              </w:rPr>
            </w:pPr>
          </w:p>
        </w:tc>
        <w:tc>
          <w:tcPr>
            <w:tcW w:w="1134" w:type="dxa"/>
          </w:tcPr>
          <w:p w14:paraId="56CF4520" w14:textId="77777777" w:rsidR="00AD74A4" w:rsidRPr="00084F22" w:rsidRDefault="0009427A" w:rsidP="009C19EE">
            <w:pPr>
              <w:rPr>
                <w:b/>
                <w:sz w:val="20"/>
                <w:szCs w:val="20"/>
              </w:rPr>
            </w:pPr>
            <w:r w:rsidRPr="00084F22">
              <w:rPr>
                <w:b/>
                <w:sz w:val="20"/>
                <w:szCs w:val="20"/>
              </w:rPr>
              <w:t xml:space="preserve">Year 3 </w:t>
            </w:r>
          </w:p>
          <w:p w14:paraId="23DC8E78" w14:textId="6CF663D2" w:rsidR="00FA2E4F" w:rsidRPr="00084F22" w:rsidRDefault="00FA2E4F" w:rsidP="009C19EE">
            <w:pPr>
              <w:rPr>
                <w:b/>
                <w:sz w:val="20"/>
                <w:szCs w:val="20"/>
              </w:rPr>
            </w:pPr>
          </w:p>
        </w:tc>
        <w:tc>
          <w:tcPr>
            <w:tcW w:w="1276" w:type="dxa"/>
          </w:tcPr>
          <w:p w14:paraId="4AAE592F" w14:textId="77777777" w:rsidR="00AD74A4" w:rsidRPr="00084F22" w:rsidRDefault="0009427A" w:rsidP="009C19EE">
            <w:pPr>
              <w:rPr>
                <w:b/>
                <w:sz w:val="20"/>
                <w:szCs w:val="20"/>
              </w:rPr>
            </w:pPr>
            <w:r w:rsidRPr="00084F22">
              <w:rPr>
                <w:b/>
                <w:sz w:val="20"/>
                <w:szCs w:val="20"/>
              </w:rPr>
              <w:t xml:space="preserve">Year 4 </w:t>
            </w:r>
          </w:p>
          <w:p w14:paraId="28D686BC" w14:textId="3B2FF54D" w:rsidR="00FA2E4F" w:rsidRPr="00084F22" w:rsidRDefault="00FA2E4F" w:rsidP="009C19EE">
            <w:pPr>
              <w:rPr>
                <w:b/>
                <w:sz w:val="20"/>
                <w:szCs w:val="20"/>
              </w:rPr>
            </w:pPr>
          </w:p>
        </w:tc>
        <w:tc>
          <w:tcPr>
            <w:tcW w:w="1155" w:type="dxa"/>
          </w:tcPr>
          <w:p w14:paraId="473DB1BE" w14:textId="5B722A16" w:rsidR="00FA2E4F" w:rsidRPr="00084F22" w:rsidRDefault="00FA2E4F" w:rsidP="007979A2">
            <w:pPr>
              <w:rPr>
                <w:b/>
                <w:sz w:val="20"/>
                <w:szCs w:val="20"/>
              </w:rPr>
            </w:pPr>
            <w:r w:rsidRPr="00084F22">
              <w:rPr>
                <w:b/>
                <w:sz w:val="20"/>
                <w:szCs w:val="20"/>
              </w:rPr>
              <w:t xml:space="preserve">Year 5 </w:t>
            </w:r>
          </w:p>
        </w:tc>
      </w:tr>
      <w:tr w:rsidR="00FA2E4F" w14:paraId="2C0E8290" w14:textId="24D8AD34" w:rsidTr="00084F22">
        <w:tc>
          <w:tcPr>
            <w:tcW w:w="1275" w:type="dxa"/>
            <w:vMerge w:val="restart"/>
          </w:tcPr>
          <w:p w14:paraId="5796D2CC" w14:textId="5FD840AF" w:rsidR="00FA2E4F" w:rsidRPr="00084F22" w:rsidRDefault="00FA2E4F" w:rsidP="008142A0">
            <w:pPr>
              <w:rPr>
                <w:sz w:val="20"/>
                <w:szCs w:val="20"/>
              </w:rPr>
            </w:pPr>
            <w:r w:rsidRPr="00084F22">
              <w:rPr>
                <w:sz w:val="20"/>
                <w:szCs w:val="20"/>
              </w:rPr>
              <w:t>Patients</w:t>
            </w:r>
          </w:p>
        </w:tc>
        <w:tc>
          <w:tcPr>
            <w:tcW w:w="1697" w:type="dxa"/>
          </w:tcPr>
          <w:p w14:paraId="5021B666" w14:textId="65E1D369" w:rsidR="00FA2E4F" w:rsidRPr="00084F22" w:rsidRDefault="004D4AF2" w:rsidP="009C19EE">
            <w:pPr>
              <w:rPr>
                <w:sz w:val="20"/>
                <w:szCs w:val="20"/>
                <w:highlight w:val="black"/>
              </w:rPr>
            </w:pPr>
            <w:r>
              <w:rPr>
                <w:sz w:val="20"/>
                <w:szCs w:val="20"/>
                <w:highlight w:val="black"/>
              </w:rPr>
              <w:t>xxxxxxxxx</w:t>
            </w:r>
            <w:r w:rsidR="00FA2E4F" w:rsidRPr="00084F22">
              <w:rPr>
                <w:sz w:val="20"/>
                <w:szCs w:val="20"/>
                <w:highlight w:val="black"/>
              </w:rPr>
              <w:t xml:space="preserve"> </w:t>
            </w:r>
            <w:r>
              <w:rPr>
                <w:sz w:val="20"/>
                <w:szCs w:val="20"/>
                <w:highlight w:val="black"/>
              </w:rPr>
              <w:t>xxx</w:t>
            </w:r>
          </w:p>
        </w:tc>
        <w:tc>
          <w:tcPr>
            <w:tcW w:w="1231" w:type="dxa"/>
          </w:tcPr>
          <w:p w14:paraId="385F3C2D" w14:textId="02AFCAFA" w:rsidR="00FA2E4F" w:rsidRPr="00084F22" w:rsidRDefault="004D4AF2" w:rsidP="009C19EE">
            <w:pPr>
              <w:rPr>
                <w:sz w:val="20"/>
                <w:szCs w:val="20"/>
                <w:highlight w:val="black"/>
              </w:rPr>
            </w:pPr>
            <w:r>
              <w:rPr>
                <w:sz w:val="20"/>
                <w:szCs w:val="20"/>
                <w:highlight w:val="black"/>
              </w:rPr>
              <w:t>xx</w:t>
            </w:r>
          </w:p>
        </w:tc>
        <w:tc>
          <w:tcPr>
            <w:tcW w:w="1179" w:type="dxa"/>
          </w:tcPr>
          <w:p w14:paraId="38944B03" w14:textId="09ED76B2" w:rsidR="00FA2E4F" w:rsidRPr="00084F22" w:rsidRDefault="004D4AF2" w:rsidP="009C19EE">
            <w:pPr>
              <w:rPr>
                <w:sz w:val="20"/>
                <w:szCs w:val="20"/>
                <w:highlight w:val="black"/>
              </w:rPr>
            </w:pPr>
            <w:r>
              <w:rPr>
                <w:sz w:val="20"/>
                <w:szCs w:val="20"/>
                <w:highlight w:val="black"/>
              </w:rPr>
              <w:t>xx</w:t>
            </w:r>
          </w:p>
        </w:tc>
        <w:tc>
          <w:tcPr>
            <w:tcW w:w="1134" w:type="dxa"/>
          </w:tcPr>
          <w:p w14:paraId="761EA7F2" w14:textId="650289B6" w:rsidR="00FA2E4F" w:rsidRPr="00084F22" w:rsidRDefault="004D4AF2" w:rsidP="009C19EE">
            <w:pPr>
              <w:rPr>
                <w:sz w:val="20"/>
                <w:szCs w:val="20"/>
                <w:highlight w:val="black"/>
              </w:rPr>
            </w:pPr>
            <w:r>
              <w:rPr>
                <w:sz w:val="20"/>
                <w:szCs w:val="20"/>
                <w:highlight w:val="black"/>
              </w:rPr>
              <w:t>xx</w:t>
            </w:r>
          </w:p>
        </w:tc>
        <w:tc>
          <w:tcPr>
            <w:tcW w:w="1276" w:type="dxa"/>
          </w:tcPr>
          <w:p w14:paraId="7B62B293" w14:textId="6D710A35" w:rsidR="00FA2E4F" w:rsidRPr="00084F22" w:rsidRDefault="004D4AF2" w:rsidP="009C19EE">
            <w:pPr>
              <w:rPr>
                <w:sz w:val="20"/>
                <w:szCs w:val="20"/>
                <w:highlight w:val="black"/>
              </w:rPr>
            </w:pPr>
            <w:r>
              <w:rPr>
                <w:sz w:val="20"/>
                <w:szCs w:val="20"/>
                <w:highlight w:val="black"/>
              </w:rPr>
              <w:t>xx</w:t>
            </w:r>
          </w:p>
        </w:tc>
        <w:tc>
          <w:tcPr>
            <w:tcW w:w="1155" w:type="dxa"/>
          </w:tcPr>
          <w:p w14:paraId="27795BF0" w14:textId="3AFD7EF6" w:rsidR="00FA2E4F" w:rsidRPr="00084F22" w:rsidRDefault="004D4AF2" w:rsidP="009C19EE">
            <w:pPr>
              <w:rPr>
                <w:sz w:val="20"/>
                <w:szCs w:val="20"/>
                <w:highlight w:val="black"/>
              </w:rPr>
            </w:pPr>
            <w:r>
              <w:rPr>
                <w:sz w:val="20"/>
                <w:szCs w:val="20"/>
                <w:highlight w:val="black"/>
              </w:rPr>
              <w:t>xx</w:t>
            </w:r>
          </w:p>
        </w:tc>
      </w:tr>
      <w:tr w:rsidR="00FA2E4F" w14:paraId="056B9D30" w14:textId="75C8DAEE" w:rsidTr="00084F22">
        <w:tc>
          <w:tcPr>
            <w:tcW w:w="1275" w:type="dxa"/>
            <w:vMerge/>
          </w:tcPr>
          <w:p w14:paraId="43B3AB4C" w14:textId="779DC6FB" w:rsidR="00FA2E4F" w:rsidRPr="00084F22" w:rsidRDefault="00FA2E4F" w:rsidP="009C19EE">
            <w:pPr>
              <w:rPr>
                <w:sz w:val="20"/>
                <w:szCs w:val="20"/>
              </w:rPr>
            </w:pPr>
          </w:p>
        </w:tc>
        <w:tc>
          <w:tcPr>
            <w:tcW w:w="1697" w:type="dxa"/>
          </w:tcPr>
          <w:p w14:paraId="5EBF6C68" w14:textId="501726B0" w:rsidR="00FA2E4F" w:rsidRPr="00084F22" w:rsidRDefault="00FA2E4F" w:rsidP="009C19EE">
            <w:pPr>
              <w:rPr>
                <w:sz w:val="20"/>
                <w:szCs w:val="20"/>
              </w:rPr>
            </w:pPr>
            <w:r w:rsidRPr="00084F22">
              <w:rPr>
                <w:sz w:val="20"/>
                <w:szCs w:val="20"/>
              </w:rPr>
              <w:t>Actual (A)</w:t>
            </w:r>
          </w:p>
        </w:tc>
        <w:tc>
          <w:tcPr>
            <w:tcW w:w="1231" w:type="dxa"/>
          </w:tcPr>
          <w:p w14:paraId="70AEBDE6" w14:textId="0D1F1BAE" w:rsidR="00FA2E4F" w:rsidRPr="00084F22" w:rsidRDefault="00294A05" w:rsidP="009C19EE">
            <w:pPr>
              <w:rPr>
                <w:sz w:val="20"/>
                <w:szCs w:val="20"/>
              </w:rPr>
            </w:pPr>
            <w:r w:rsidRPr="00084F22">
              <w:rPr>
                <w:sz w:val="20"/>
                <w:szCs w:val="20"/>
              </w:rPr>
              <w:t>15</w:t>
            </w:r>
          </w:p>
        </w:tc>
        <w:tc>
          <w:tcPr>
            <w:tcW w:w="1179" w:type="dxa"/>
          </w:tcPr>
          <w:p w14:paraId="7AB824E0" w14:textId="2A83FE15" w:rsidR="00FA2E4F" w:rsidRPr="00084F22" w:rsidRDefault="00294A05" w:rsidP="009C19EE">
            <w:pPr>
              <w:rPr>
                <w:sz w:val="20"/>
                <w:szCs w:val="20"/>
              </w:rPr>
            </w:pPr>
            <w:r w:rsidRPr="00084F22">
              <w:rPr>
                <w:sz w:val="20"/>
                <w:szCs w:val="20"/>
              </w:rPr>
              <w:t>21</w:t>
            </w:r>
          </w:p>
        </w:tc>
        <w:tc>
          <w:tcPr>
            <w:tcW w:w="1134" w:type="dxa"/>
          </w:tcPr>
          <w:p w14:paraId="40EA4BFF" w14:textId="2ED081D7" w:rsidR="00FA2E4F" w:rsidRPr="00084F22" w:rsidRDefault="00294A05" w:rsidP="009C19EE">
            <w:pPr>
              <w:rPr>
                <w:sz w:val="20"/>
                <w:szCs w:val="20"/>
              </w:rPr>
            </w:pPr>
            <w:r w:rsidRPr="00084F22">
              <w:rPr>
                <w:sz w:val="20"/>
                <w:szCs w:val="20"/>
              </w:rPr>
              <w:t>24</w:t>
            </w:r>
          </w:p>
        </w:tc>
        <w:tc>
          <w:tcPr>
            <w:tcW w:w="1276" w:type="dxa"/>
          </w:tcPr>
          <w:p w14:paraId="32D87B33" w14:textId="6FC80C4A" w:rsidR="00FA2E4F" w:rsidRPr="00084F22" w:rsidRDefault="00294A05" w:rsidP="009C19EE">
            <w:pPr>
              <w:rPr>
                <w:sz w:val="20"/>
                <w:szCs w:val="20"/>
              </w:rPr>
            </w:pPr>
            <w:r w:rsidRPr="00084F22">
              <w:rPr>
                <w:sz w:val="20"/>
                <w:szCs w:val="20"/>
              </w:rPr>
              <w:t>34</w:t>
            </w:r>
          </w:p>
        </w:tc>
        <w:tc>
          <w:tcPr>
            <w:tcW w:w="1155" w:type="dxa"/>
          </w:tcPr>
          <w:p w14:paraId="3583C703" w14:textId="165C4FE3" w:rsidR="00FA2E4F" w:rsidRPr="00084F22" w:rsidRDefault="0022743D" w:rsidP="009C19EE">
            <w:pPr>
              <w:rPr>
                <w:sz w:val="20"/>
                <w:szCs w:val="20"/>
              </w:rPr>
            </w:pPr>
            <w:r w:rsidRPr="00084F22">
              <w:rPr>
                <w:sz w:val="20"/>
                <w:szCs w:val="20"/>
              </w:rPr>
              <w:t>34</w:t>
            </w:r>
          </w:p>
        </w:tc>
      </w:tr>
      <w:tr w:rsidR="00FA2E4F" w14:paraId="681880DE" w14:textId="1B767CF5" w:rsidTr="00084F22">
        <w:tc>
          <w:tcPr>
            <w:tcW w:w="1275" w:type="dxa"/>
            <w:vMerge/>
          </w:tcPr>
          <w:p w14:paraId="0C79FF00" w14:textId="7AE7725B" w:rsidR="00FA2E4F" w:rsidRPr="00084F22" w:rsidRDefault="00FA2E4F" w:rsidP="009C19EE">
            <w:pPr>
              <w:rPr>
                <w:sz w:val="20"/>
                <w:szCs w:val="20"/>
              </w:rPr>
            </w:pPr>
          </w:p>
        </w:tc>
        <w:tc>
          <w:tcPr>
            <w:tcW w:w="1697" w:type="dxa"/>
          </w:tcPr>
          <w:p w14:paraId="3F385E32" w14:textId="2FA2C491" w:rsidR="00FA2E4F" w:rsidRPr="00084F22" w:rsidRDefault="004D4AF2" w:rsidP="009C19EE">
            <w:pPr>
              <w:rPr>
                <w:sz w:val="20"/>
                <w:szCs w:val="20"/>
                <w:highlight w:val="black"/>
              </w:rPr>
            </w:pPr>
            <w:r>
              <w:rPr>
                <w:sz w:val="20"/>
                <w:szCs w:val="20"/>
                <w:highlight w:val="black"/>
              </w:rPr>
              <w:t>xxxxxxxxxx</w:t>
            </w:r>
            <w:r w:rsidR="00FA2E4F" w:rsidRPr="00084F22">
              <w:rPr>
                <w:sz w:val="20"/>
                <w:szCs w:val="20"/>
                <w:highlight w:val="black"/>
              </w:rPr>
              <w:t xml:space="preserve"> </w:t>
            </w:r>
            <w:r>
              <w:rPr>
                <w:sz w:val="20"/>
                <w:szCs w:val="20"/>
                <w:highlight w:val="black"/>
              </w:rPr>
              <w:t>xxxxx</w:t>
            </w:r>
          </w:p>
        </w:tc>
        <w:tc>
          <w:tcPr>
            <w:tcW w:w="1231" w:type="dxa"/>
          </w:tcPr>
          <w:p w14:paraId="70826AAB" w14:textId="21A483AC" w:rsidR="00FA2E4F" w:rsidRPr="00084F22" w:rsidRDefault="004D4AF2" w:rsidP="009C19EE">
            <w:pPr>
              <w:rPr>
                <w:sz w:val="20"/>
                <w:szCs w:val="20"/>
                <w:highlight w:val="black"/>
              </w:rPr>
            </w:pPr>
            <w:r>
              <w:rPr>
                <w:sz w:val="20"/>
                <w:szCs w:val="20"/>
                <w:highlight w:val="black"/>
              </w:rPr>
              <w:t>xx</w:t>
            </w:r>
          </w:p>
        </w:tc>
        <w:tc>
          <w:tcPr>
            <w:tcW w:w="1179" w:type="dxa"/>
          </w:tcPr>
          <w:p w14:paraId="56431F66" w14:textId="4E47CDE5" w:rsidR="00FA2E4F" w:rsidRPr="00084F22" w:rsidRDefault="004D4AF2" w:rsidP="009C19EE">
            <w:pPr>
              <w:rPr>
                <w:sz w:val="20"/>
                <w:szCs w:val="20"/>
                <w:highlight w:val="black"/>
              </w:rPr>
            </w:pPr>
            <w:r>
              <w:rPr>
                <w:sz w:val="20"/>
                <w:szCs w:val="20"/>
                <w:highlight w:val="black"/>
              </w:rPr>
              <w:t>x</w:t>
            </w:r>
          </w:p>
        </w:tc>
        <w:tc>
          <w:tcPr>
            <w:tcW w:w="1134" w:type="dxa"/>
          </w:tcPr>
          <w:p w14:paraId="759101D0" w14:textId="6842CD74" w:rsidR="00FA2E4F" w:rsidRPr="00084F22" w:rsidRDefault="004D4AF2" w:rsidP="009C19EE">
            <w:pPr>
              <w:rPr>
                <w:sz w:val="20"/>
                <w:szCs w:val="20"/>
                <w:highlight w:val="black"/>
              </w:rPr>
            </w:pPr>
            <w:r>
              <w:rPr>
                <w:sz w:val="20"/>
                <w:szCs w:val="20"/>
                <w:highlight w:val="black"/>
              </w:rPr>
              <w:t>x</w:t>
            </w:r>
          </w:p>
        </w:tc>
        <w:tc>
          <w:tcPr>
            <w:tcW w:w="1276" w:type="dxa"/>
          </w:tcPr>
          <w:p w14:paraId="7D537FFC" w14:textId="41FE2A5D" w:rsidR="00FA2E4F" w:rsidRPr="00084F22" w:rsidRDefault="004D4AF2" w:rsidP="009C19EE">
            <w:pPr>
              <w:rPr>
                <w:sz w:val="20"/>
                <w:szCs w:val="20"/>
                <w:highlight w:val="black"/>
              </w:rPr>
            </w:pPr>
            <w:r>
              <w:rPr>
                <w:sz w:val="20"/>
                <w:szCs w:val="20"/>
                <w:highlight w:val="black"/>
              </w:rPr>
              <w:t>xx</w:t>
            </w:r>
          </w:p>
        </w:tc>
        <w:tc>
          <w:tcPr>
            <w:tcW w:w="1155" w:type="dxa"/>
          </w:tcPr>
          <w:p w14:paraId="2BA485B1" w14:textId="63EBDD77" w:rsidR="00FA2E4F" w:rsidRPr="00084F22" w:rsidRDefault="004D4AF2" w:rsidP="009C19EE">
            <w:pPr>
              <w:rPr>
                <w:sz w:val="20"/>
                <w:szCs w:val="20"/>
                <w:highlight w:val="black"/>
              </w:rPr>
            </w:pPr>
            <w:r>
              <w:rPr>
                <w:sz w:val="20"/>
                <w:szCs w:val="20"/>
                <w:highlight w:val="black"/>
              </w:rPr>
              <w:t>xx</w:t>
            </w:r>
          </w:p>
        </w:tc>
      </w:tr>
      <w:tr w:rsidR="00FA2E4F" w14:paraId="5D3A8C53" w14:textId="61A9A41A" w:rsidTr="00084F22">
        <w:tc>
          <w:tcPr>
            <w:tcW w:w="1275" w:type="dxa"/>
            <w:vMerge/>
          </w:tcPr>
          <w:p w14:paraId="0F14A54F" w14:textId="1C1B11E9" w:rsidR="00FA2E4F" w:rsidRPr="00084F22" w:rsidRDefault="00FA2E4F" w:rsidP="009C19EE">
            <w:pPr>
              <w:rPr>
                <w:sz w:val="20"/>
                <w:szCs w:val="20"/>
              </w:rPr>
            </w:pPr>
          </w:p>
        </w:tc>
        <w:tc>
          <w:tcPr>
            <w:tcW w:w="1697" w:type="dxa"/>
          </w:tcPr>
          <w:p w14:paraId="26168751" w14:textId="713AF3C1" w:rsidR="00FA2E4F" w:rsidRPr="00084F22" w:rsidRDefault="004D4AF2" w:rsidP="009C19EE">
            <w:pPr>
              <w:rPr>
                <w:sz w:val="20"/>
                <w:szCs w:val="20"/>
                <w:highlight w:val="black"/>
              </w:rPr>
            </w:pPr>
            <w:r>
              <w:rPr>
                <w:sz w:val="20"/>
                <w:szCs w:val="20"/>
                <w:highlight w:val="black"/>
              </w:rPr>
              <w:t>x</w:t>
            </w:r>
            <w:r w:rsidR="00FA2E4F" w:rsidRPr="00084F22">
              <w:rPr>
                <w:sz w:val="20"/>
                <w:szCs w:val="20"/>
                <w:highlight w:val="black"/>
              </w:rPr>
              <w:t xml:space="preserve"> </w:t>
            </w:r>
            <w:r>
              <w:rPr>
                <w:sz w:val="20"/>
                <w:szCs w:val="20"/>
                <w:highlight w:val="black"/>
              </w:rPr>
              <w:t>xxxxxxxxxx</w:t>
            </w:r>
            <w:r w:rsidR="00FA2E4F" w:rsidRPr="00084F22">
              <w:rPr>
                <w:sz w:val="20"/>
                <w:szCs w:val="20"/>
                <w:highlight w:val="black"/>
              </w:rPr>
              <w:t xml:space="preserve"> </w:t>
            </w:r>
            <w:r>
              <w:rPr>
                <w:sz w:val="20"/>
                <w:szCs w:val="20"/>
                <w:highlight w:val="black"/>
              </w:rPr>
              <w:t>xxxxxxx</w:t>
            </w:r>
          </w:p>
        </w:tc>
        <w:tc>
          <w:tcPr>
            <w:tcW w:w="1231" w:type="dxa"/>
          </w:tcPr>
          <w:p w14:paraId="4951EA12" w14:textId="4A1E14A2" w:rsidR="00FA2E4F" w:rsidRPr="00084F22" w:rsidRDefault="004D4AF2" w:rsidP="009C19EE">
            <w:pPr>
              <w:rPr>
                <w:sz w:val="20"/>
                <w:szCs w:val="20"/>
                <w:highlight w:val="black"/>
              </w:rPr>
            </w:pPr>
            <w:r>
              <w:rPr>
                <w:sz w:val="20"/>
                <w:szCs w:val="20"/>
                <w:highlight w:val="black"/>
              </w:rPr>
              <w:t>xxxx</w:t>
            </w:r>
          </w:p>
        </w:tc>
        <w:tc>
          <w:tcPr>
            <w:tcW w:w="1179" w:type="dxa"/>
          </w:tcPr>
          <w:p w14:paraId="668D7E7E" w14:textId="05CC8F98" w:rsidR="00FA2E4F" w:rsidRPr="00084F22" w:rsidRDefault="004D4AF2" w:rsidP="009C19EE">
            <w:pPr>
              <w:rPr>
                <w:sz w:val="20"/>
                <w:szCs w:val="20"/>
                <w:highlight w:val="black"/>
              </w:rPr>
            </w:pPr>
            <w:r>
              <w:rPr>
                <w:sz w:val="20"/>
                <w:szCs w:val="20"/>
                <w:highlight w:val="black"/>
              </w:rPr>
              <w:t>xx</w:t>
            </w:r>
          </w:p>
        </w:tc>
        <w:tc>
          <w:tcPr>
            <w:tcW w:w="1134" w:type="dxa"/>
          </w:tcPr>
          <w:p w14:paraId="20128849" w14:textId="2E2268A3" w:rsidR="00FA2E4F" w:rsidRPr="00084F22" w:rsidRDefault="004D4AF2" w:rsidP="009C19EE">
            <w:pPr>
              <w:rPr>
                <w:sz w:val="20"/>
                <w:szCs w:val="20"/>
                <w:highlight w:val="black"/>
              </w:rPr>
            </w:pPr>
            <w:r>
              <w:rPr>
                <w:sz w:val="20"/>
                <w:szCs w:val="20"/>
                <w:highlight w:val="black"/>
              </w:rPr>
              <w:t>xxxxx</w:t>
            </w:r>
          </w:p>
        </w:tc>
        <w:tc>
          <w:tcPr>
            <w:tcW w:w="1276" w:type="dxa"/>
          </w:tcPr>
          <w:p w14:paraId="51290D92" w14:textId="38DB75E9" w:rsidR="00FA2E4F" w:rsidRPr="00084F22" w:rsidRDefault="004D4AF2" w:rsidP="009C19EE">
            <w:pPr>
              <w:rPr>
                <w:sz w:val="20"/>
                <w:szCs w:val="20"/>
                <w:highlight w:val="black"/>
              </w:rPr>
            </w:pPr>
            <w:r>
              <w:rPr>
                <w:sz w:val="20"/>
                <w:szCs w:val="20"/>
                <w:highlight w:val="black"/>
              </w:rPr>
              <w:t>xxxxx</w:t>
            </w:r>
          </w:p>
        </w:tc>
        <w:tc>
          <w:tcPr>
            <w:tcW w:w="1155" w:type="dxa"/>
          </w:tcPr>
          <w:p w14:paraId="44095A41" w14:textId="2D765EC8" w:rsidR="00FA2E4F" w:rsidRPr="00084F22" w:rsidRDefault="004D4AF2" w:rsidP="009C19EE">
            <w:pPr>
              <w:rPr>
                <w:sz w:val="20"/>
                <w:szCs w:val="20"/>
                <w:highlight w:val="black"/>
              </w:rPr>
            </w:pPr>
            <w:r>
              <w:rPr>
                <w:sz w:val="20"/>
                <w:szCs w:val="20"/>
                <w:highlight w:val="black"/>
              </w:rPr>
              <w:t>xxxxx</w:t>
            </w:r>
          </w:p>
        </w:tc>
      </w:tr>
      <w:tr w:rsidR="0007789B" w14:paraId="0A8A9EFA" w14:textId="35D83D2A" w:rsidTr="00084F22">
        <w:tc>
          <w:tcPr>
            <w:tcW w:w="1275" w:type="dxa"/>
            <w:vMerge w:val="restart"/>
          </w:tcPr>
          <w:p w14:paraId="2A264337" w14:textId="3B42F84C" w:rsidR="0007789B" w:rsidRPr="00084F22" w:rsidRDefault="0007789B" w:rsidP="0007789B">
            <w:pPr>
              <w:rPr>
                <w:sz w:val="20"/>
                <w:szCs w:val="20"/>
              </w:rPr>
            </w:pPr>
            <w:r w:rsidRPr="00084F22">
              <w:rPr>
                <w:sz w:val="20"/>
                <w:szCs w:val="20"/>
              </w:rPr>
              <w:t>Prescriptions</w:t>
            </w:r>
          </w:p>
        </w:tc>
        <w:tc>
          <w:tcPr>
            <w:tcW w:w="1697" w:type="dxa"/>
          </w:tcPr>
          <w:p w14:paraId="18ED6083" w14:textId="40C3AA79" w:rsidR="0007789B" w:rsidRPr="00084F22" w:rsidRDefault="004D4AF2" w:rsidP="0007789B">
            <w:pPr>
              <w:rPr>
                <w:sz w:val="20"/>
                <w:szCs w:val="20"/>
                <w:highlight w:val="black"/>
              </w:rPr>
            </w:pPr>
            <w:r>
              <w:rPr>
                <w:sz w:val="20"/>
                <w:szCs w:val="20"/>
                <w:highlight w:val="black"/>
              </w:rPr>
              <w:t>xxxxxxxxx</w:t>
            </w:r>
            <w:r w:rsidR="0007789B" w:rsidRPr="00084F22">
              <w:rPr>
                <w:sz w:val="20"/>
                <w:szCs w:val="20"/>
                <w:highlight w:val="black"/>
              </w:rPr>
              <w:t xml:space="preserve"> </w:t>
            </w:r>
            <w:r>
              <w:rPr>
                <w:sz w:val="20"/>
                <w:szCs w:val="20"/>
                <w:highlight w:val="black"/>
              </w:rPr>
              <w:t>xxx</w:t>
            </w:r>
          </w:p>
        </w:tc>
        <w:tc>
          <w:tcPr>
            <w:tcW w:w="1231" w:type="dxa"/>
          </w:tcPr>
          <w:p w14:paraId="659C38A9" w14:textId="07D66677" w:rsidR="0007789B" w:rsidRPr="00084F22" w:rsidRDefault="004D4AF2" w:rsidP="0007789B">
            <w:pPr>
              <w:rPr>
                <w:sz w:val="20"/>
                <w:szCs w:val="20"/>
                <w:highlight w:val="black"/>
              </w:rPr>
            </w:pPr>
            <w:r>
              <w:rPr>
                <w:sz w:val="20"/>
                <w:szCs w:val="20"/>
                <w:highlight w:val="black"/>
              </w:rPr>
              <w:t>xxx</w:t>
            </w:r>
          </w:p>
        </w:tc>
        <w:tc>
          <w:tcPr>
            <w:tcW w:w="1179" w:type="dxa"/>
          </w:tcPr>
          <w:p w14:paraId="353698A4" w14:textId="10AE2999" w:rsidR="0007789B" w:rsidRPr="00084F22" w:rsidRDefault="004D4AF2" w:rsidP="0007789B">
            <w:pPr>
              <w:rPr>
                <w:sz w:val="20"/>
                <w:szCs w:val="20"/>
                <w:highlight w:val="black"/>
              </w:rPr>
            </w:pPr>
            <w:r>
              <w:rPr>
                <w:sz w:val="20"/>
                <w:szCs w:val="20"/>
                <w:highlight w:val="black"/>
              </w:rPr>
              <w:t>xxx</w:t>
            </w:r>
          </w:p>
        </w:tc>
        <w:tc>
          <w:tcPr>
            <w:tcW w:w="1134" w:type="dxa"/>
          </w:tcPr>
          <w:p w14:paraId="4CBBC71B" w14:textId="075051DF" w:rsidR="0007789B" w:rsidRPr="00084F22" w:rsidRDefault="004D4AF2" w:rsidP="0007789B">
            <w:pPr>
              <w:rPr>
                <w:sz w:val="20"/>
                <w:szCs w:val="20"/>
                <w:highlight w:val="black"/>
              </w:rPr>
            </w:pPr>
            <w:r>
              <w:rPr>
                <w:sz w:val="20"/>
                <w:szCs w:val="20"/>
                <w:highlight w:val="black"/>
              </w:rPr>
              <w:t>xxx</w:t>
            </w:r>
          </w:p>
        </w:tc>
        <w:tc>
          <w:tcPr>
            <w:tcW w:w="1276" w:type="dxa"/>
          </w:tcPr>
          <w:p w14:paraId="57D50093" w14:textId="1650499B" w:rsidR="0007789B" w:rsidRPr="00084F22" w:rsidRDefault="004D4AF2" w:rsidP="0007789B">
            <w:pPr>
              <w:rPr>
                <w:sz w:val="20"/>
                <w:szCs w:val="20"/>
                <w:highlight w:val="black"/>
              </w:rPr>
            </w:pPr>
            <w:r>
              <w:rPr>
                <w:sz w:val="20"/>
                <w:szCs w:val="20"/>
                <w:highlight w:val="black"/>
              </w:rPr>
              <w:t>xxx</w:t>
            </w:r>
          </w:p>
        </w:tc>
        <w:tc>
          <w:tcPr>
            <w:tcW w:w="1155" w:type="dxa"/>
          </w:tcPr>
          <w:p w14:paraId="43AF4E06" w14:textId="279A1AD8" w:rsidR="0007789B" w:rsidRPr="00084F22" w:rsidRDefault="004D4AF2" w:rsidP="0007789B">
            <w:pPr>
              <w:rPr>
                <w:sz w:val="20"/>
                <w:szCs w:val="20"/>
                <w:highlight w:val="black"/>
              </w:rPr>
            </w:pPr>
            <w:r>
              <w:rPr>
                <w:sz w:val="20"/>
                <w:szCs w:val="20"/>
                <w:highlight w:val="black"/>
              </w:rPr>
              <w:t>xxx</w:t>
            </w:r>
          </w:p>
        </w:tc>
      </w:tr>
      <w:tr w:rsidR="0007789B" w14:paraId="3C068B47" w14:textId="375106E2" w:rsidTr="00084F22">
        <w:tc>
          <w:tcPr>
            <w:tcW w:w="1275" w:type="dxa"/>
            <w:vMerge/>
          </w:tcPr>
          <w:p w14:paraId="030196AB" w14:textId="77777777" w:rsidR="0007789B" w:rsidRPr="00084F22" w:rsidRDefault="0007789B" w:rsidP="0007789B">
            <w:pPr>
              <w:rPr>
                <w:sz w:val="20"/>
                <w:szCs w:val="20"/>
              </w:rPr>
            </w:pPr>
          </w:p>
        </w:tc>
        <w:tc>
          <w:tcPr>
            <w:tcW w:w="1697" w:type="dxa"/>
          </w:tcPr>
          <w:p w14:paraId="6EFDDA49" w14:textId="003748AC" w:rsidR="0007789B" w:rsidRPr="00084F22" w:rsidRDefault="0007789B" w:rsidP="0007789B">
            <w:pPr>
              <w:rPr>
                <w:sz w:val="20"/>
                <w:szCs w:val="20"/>
              </w:rPr>
            </w:pPr>
            <w:r w:rsidRPr="00084F22">
              <w:rPr>
                <w:sz w:val="20"/>
                <w:szCs w:val="20"/>
              </w:rPr>
              <w:t>Actual (A)</w:t>
            </w:r>
          </w:p>
        </w:tc>
        <w:tc>
          <w:tcPr>
            <w:tcW w:w="1231" w:type="dxa"/>
          </w:tcPr>
          <w:p w14:paraId="1BAC1D42" w14:textId="40F91D34" w:rsidR="0007789B" w:rsidRPr="00084F22" w:rsidRDefault="0007789B" w:rsidP="0007789B">
            <w:pPr>
              <w:rPr>
                <w:sz w:val="20"/>
                <w:szCs w:val="20"/>
              </w:rPr>
            </w:pPr>
            <w:r w:rsidRPr="00084F22">
              <w:rPr>
                <w:sz w:val="20"/>
                <w:szCs w:val="20"/>
              </w:rPr>
              <w:t>81</w:t>
            </w:r>
          </w:p>
        </w:tc>
        <w:tc>
          <w:tcPr>
            <w:tcW w:w="1179" w:type="dxa"/>
          </w:tcPr>
          <w:p w14:paraId="34EB2566" w14:textId="7B3C6879" w:rsidR="0007789B" w:rsidRPr="00084F22" w:rsidRDefault="0007789B" w:rsidP="0007789B">
            <w:pPr>
              <w:rPr>
                <w:sz w:val="20"/>
                <w:szCs w:val="20"/>
              </w:rPr>
            </w:pPr>
            <w:r w:rsidRPr="00084F22">
              <w:rPr>
                <w:sz w:val="20"/>
                <w:szCs w:val="20"/>
              </w:rPr>
              <w:t>197</w:t>
            </w:r>
          </w:p>
        </w:tc>
        <w:tc>
          <w:tcPr>
            <w:tcW w:w="1134" w:type="dxa"/>
          </w:tcPr>
          <w:p w14:paraId="4E02C912" w14:textId="57821D62" w:rsidR="0007789B" w:rsidRPr="00084F22" w:rsidRDefault="0007789B" w:rsidP="0007789B">
            <w:pPr>
              <w:rPr>
                <w:sz w:val="20"/>
                <w:szCs w:val="20"/>
              </w:rPr>
            </w:pPr>
            <w:r w:rsidRPr="00084F22">
              <w:rPr>
                <w:sz w:val="20"/>
                <w:szCs w:val="20"/>
              </w:rPr>
              <w:t>241</w:t>
            </w:r>
          </w:p>
        </w:tc>
        <w:tc>
          <w:tcPr>
            <w:tcW w:w="1276" w:type="dxa"/>
          </w:tcPr>
          <w:p w14:paraId="5DC91DA6" w14:textId="6D6D42C4" w:rsidR="0007789B" w:rsidRPr="00084F22" w:rsidRDefault="0007789B" w:rsidP="0007789B">
            <w:pPr>
              <w:rPr>
                <w:sz w:val="20"/>
                <w:szCs w:val="20"/>
              </w:rPr>
            </w:pPr>
            <w:r w:rsidRPr="00084F22">
              <w:rPr>
                <w:sz w:val="20"/>
                <w:szCs w:val="20"/>
              </w:rPr>
              <w:t>310</w:t>
            </w:r>
          </w:p>
        </w:tc>
        <w:tc>
          <w:tcPr>
            <w:tcW w:w="1155" w:type="dxa"/>
          </w:tcPr>
          <w:p w14:paraId="3A81E99D" w14:textId="4E6B638B" w:rsidR="0007789B" w:rsidRPr="00084F22" w:rsidRDefault="009653B2" w:rsidP="0007789B">
            <w:pPr>
              <w:rPr>
                <w:sz w:val="20"/>
                <w:szCs w:val="20"/>
              </w:rPr>
            </w:pPr>
            <w:r w:rsidRPr="00084F22">
              <w:rPr>
                <w:sz w:val="20"/>
                <w:szCs w:val="20"/>
              </w:rPr>
              <w:t>298</w:t>
            </w:r>
          </w:p>
        </w:tc>
      </w:tr>
      <w:tr w:rsidR="0007789B" w14:paraId="646DA4EB" w14:textId="77777777" w:rsidTr="00084F22">
        <w:tc>
          <w:tcPr>
            <w:tcW w:w="1275" w:type="dxa"/>
            <w:vMerge/>
          </w:tcPr>
          <w:p w14:paraId="1A653F1A" w14:textId="77777777" w:rsidR="0007789B" w:rsidRPr="00084F22" w:rsidRDefault="0007789B" w:rsidP="0007789B">
            <w:pPr>
              <w:rPr>
                <w:sz w:val="20"/>
                <w:szCs w:val="20"/>
              </w:rPr>
            </w:pPr>
          </w:p>
        </w:tc>
        <w:tc>
          <w:tcPr>
            <w:tcW w:w="1697" w:type="dxa"/>
          </w:tcPr>
          <w:p w14:paraId="39327D32" w14:textId="7C2FA641" w:rsidR="0007789B" w:rsidRPr="00084F22" w:rsidRDefault="004D4AF2" w:rsidP="0007789B">
            <w:pPr>
              <w:rPr>
                <w:sz w:val="20"/>
                <w:szCs w:val="20"/>
                <w:highlight w:val="black"/>
              </w:rPr>
            </w:pPr>
            <w:r>
              <w:rPr>
                <w:sz w:val="20"/>
                <w:szCs w:val="20"/>
                <w:highlight w:val="black"/>
              </w:rPr>
              <w:t>xxxxxxxxxx</w:t>
            </w:r>
            <w:r w:rsidR="0007789B" w:rsidRPr="00084F22">
              <w:rPr>
                <w:sz w:val="20"/>
                <w:szCs w:val="20"/>
                <w:highlight w:val="black"/>
              </w:rPr>
              <w:t xml:space="preserve"> </w:t>
            </w:r>
            <w:r>
              <w:rPr>
                <w:sz w:val="20"/>
                <w:szCs w:val="20"/>
                <w:highlight w:val="black"/>
              </w:rPr>
              <w:t>xxxxx</w:t>
            </w:r>
          </w:p>
        </w:tc>
        <w:tc>
          <w:tcPr>
            <w:tcW w:w="1231" w:type="dxa"/>
          </w:tcPr>
          <w:p w14:paraId="60F9BC35" w14:textId="292A2899" w:rsidR="0007789B" w:rsidRPr="00084F22" w:rsidRDefault="004D4AF2" w:rsidP="0007789B">
            <w:pPr>
              <w:rPr>
                <w:sz w:val="20"/>
                <w:szCs w:val="20"/>
                <w:highlight w:val="black"/>
              </w:rPr>
            </w:pPr>
            <w:r>
              <w:rPr>
                <w:sz w:val="20"/>
                <w:szCs w:val="20"/>
                <w:highlight w:val="black"/>
              </w:rPr>
              <w:t>xxxx</w:t>
            </w:r>
          </w:p>
        </w:tc>
        <w:tc>
          <w:tcPr>
            <w:tcW w:w="1179" w:type="dxa"/>
          </w:tcPr>
          <w:p w14:paraId="67B61D4F" w14:textId="142F34DB" w:rsidR="0007789B" w:rsidRPr="00084F22" w:rsidRDefault="004D4AF2" w:rsidP="0007789B">
            <w:pPr>
              <w:rPr>
                <w:sz w:val="20"/>
                <w:szCs w:val="20"/>
                <w:highlight w:val="black"/>
              </w:rPr>
            </w:pPr>
            <w:r>
              <w:rPr>
                <w:sz w:val="20"/>
                <w:szCs w:val="20"/>
                <w:highlight w:val="black"/>
              </w:rPr>
              <w:t>xxx</w:t>
            </w:r>
          </w:p>
        </w:tc>
        <w:tc>
          <w:tcPr>
            <w:tcW w:w="1134" w:type="dxa"/>
          </w:tcPr>
          <w:p w14:paraId="508F5AA8" w14:textId="5404CD34" w:rsidR="0007789B" w:rsidRPr="00084F22" w:rsidRDefault="004D4AF2" w:rsidP="0007789B">
            <w:pPr>
              <w:rPr>
                <w:sz w:val="20"/>
                <w:szCs w:val="20"/>
                <w:highlight w:val="black"/>
              </w:rPr>
            </w:pPr>
            <w:r>
              <w:rPr>
                <w:sz w:val="20"/>
                <w:szCs w:val="20"/>
                <w:highlight w:val="black"/>
              </w:rPr>
              <w:t>xxx</w:t>
            </w:r>
          </w:p>
        </w:tc>
        <w:tc>
          <w:tcPr>
            <w:tcW w:w="1276" w:type="dxa"/>
          </w:tcPr>
          <w:p w14:paraId="2695BBA5" w14:textId="395310D8" w:rsidR="0007789B" w:rsidRPr="00084F22" w:rsidRDefault="004D4AF2" w:rsidP="0007789B">
            <w:pPr>
              <w:rPr>
                <w:sz w:val="20"/>
                <w:szCs w:val="20"/>
                <w:highlight w:val="black"/>
              </w:rPr>
            </w:pPr>
            <w:r>
              <w:rPr>
                <w:sz w:val="20"/>
                <w:szCs w:val="20"/>
                <w:highlight w:val="black"/>
              </w:rPr>
              <w:t>xx</w:t>
            </w:r>
          </w:p>
        </w:tc>
        <w:tc>
          <w:tcPr>
            <w:tcW w:w="1155" w:type="dxa"/>
          </w:tcPr>
          <w:p w14:paraId="594C6FE6" w14:textId="422788E3" w:rsidR="0007789B" w:rsidRPr="00084F22" w:rsidRDefault="004D4AF2" w:rsidP="0007789B">
            <w:pPr>
              <w:rPr>
                <w:sz w:val="20"/>
                <w:szCs w:val="20"/>
                <w:highlight w:val="black"/>
              </w:rPr>
            </w:pPr>
            <w:r>
              <w:rPr>
                <w:sz w:val="20"/>
                <w:szCs w:val="20"/>
                <w:highlight w:val="black"/>
              </w:rPr>
              <w:t>xx</w:t>
            </w:r>
          </w:p>
        </w:tc>
      </w:tr>
      <w:tr w:rsidR="0007789B" w14:paraId="6A2B996D" w14:textId="77777777" w:rsidTr="00084F22">
        <w:tc>
          <w:tcPr>
            <w:tcW w:w="1275" w:type="dxa"/>
            <w:vMerge/>
          </w:tcPr>
          <w:p w14:paraId="255D2952" w14:textId="77777777" w:rsidR="0007789B" w:rsidRPr="00084F22" w:rsidRDefault="0007789B" w:rsidP="0007789B">
            <w:pPr>
              <w:rPr>
                <w:sz w:val="20"/>
                <w:szCs w:val="20"/>
              </w:rPr>
            </w:pPr>
          </w:p>
        </w:tc>
        <w:tc>
          <w:tcPr>
            <w:tcW w:w="1697" w:type="dxa"/>
          </w:tcPr>
          <w:p w14:paraId="0207064F" w14:textId="7B401479" w:rsidR="0007789B" w:rsidRPr="00084F22" w:rsidRDefault="004D4AF2" w:rsidP="0007789B">
            <w:pPr>
              <w:rPr>
                <w:sz w:val="20"/>
                <w:szCs w:val="20"/>
                <w:highlight w:val="black"/>
              </w:rPr>
            </w:pPr>
            <w:r>
              <w:rPr>
                <w:sz w:val="20"/>
                <w:szCs w:val="20"/>
                <w:highlight w:val="black"/>
              </w:rPr>
              <w:t>x</w:t>
            </w:r>
            <w:r w:rsidR="0007789B" w:rsidRPr="00084F22">
              <w:rPr>
                <w:sz w:val="20"/>
                <w:szCs w:val="20"/>
                <w:highlight w:val="black"/>
              </w:rPr>
              <w:t xml:space="preserve"> </w:t>
            </w:r>
            <w:r>
              <w:rPr>
                <w:sz w:val="20"/>
                <w:szCs w:val="20"/>
                <w:highlight w:val="black"/>
              </w:rPr>
              <w:t>xxxxxxxxxx</w:t>
            </w:r>
            <w:r w:rsidR="0007789B" w:rsidRPr="00084F22">
              <w:rPr>
                <w:sz w:val="20"/>
                <w:szCs w:val="20"/>
                <w:highlight w:val="black"/>
              </w:rPr>
              <w:t xml:space="preserve"> </w:t>
            </w:r>
            <w:r>
              <w:rPr>
                <w:sz w:val="20"/>
                <w:szCs w:val="20"/>
                <w:highlight w:val="black"/>
              </w:rPr>
              <w:t>xxxxxxx</w:t>
            </w:r>
          </w:p>
        </w:tc>
        <w:tc>
          <w:tcPr>
            <w:tcW w:w="1231" w:type="dxa"/>
          </w:tcPr>
          <w:p w14:paraId="6289BE2B" w14:textId="005E9BD9" w:rsidR="0007789B" w:rsidRPr="00084F22" w:rsidRDefault="004D4AF2" w:rsidP="0007789B">
            <w:pPr>
              <w:rPr>
                <w:sz w:val="20"/>
                <w:szCs w:val="20"/>
                <w:highlight w:val="black"/>
              </w:rPr>
            </w:pPr>
            <w:r>
              <w:rPr>
                <w:sz w:val="20"/>
                <w:szCs w:val="20"/>
                <w:highlight w:val="black"/>
              </w:rPr>
              <w:t>xxxxxx</w:t>
            </w:r>
          </w:p>
        </w:tc>
        <w:tc>
          <w:tcPr>
            <w:tcW w:w="1179" w:type="dxa"/>
          </w:tcPr>
          <w:p w14:paraId="59515DAD" w14:textId="74979EE1" w:rsidR="0007789B" w:rsidRPr="00084F22" w:rsidRDefault="004D4AF2" w:rsidP="0007789B">
            <w:pPr>
              <w:rPr>
                <w:sz w:val="20"/>
                <w:szCs w:val="20"/>
                <w:highlight w:val="black"/>
              </w:rPr>
            </w:pPr>
            <w:r>
              <w:rPr>
                <w:sz w:val="20"/>
                <w:szCs w:val="20"/>
                <w:highlight w:val="black"/>
              </w:rPr>
              <w:t>xxxxxx</w:t>
            </w:r>
          </w:p>
        </w:tc>
        <w:tc>
          <w:tcPr>
            <w:tcW w:w="1134" w:type="dxa"/>
          </w:tcPr>
          <w:p w14:paraId="21838F77" w14:textId="5CEB5B5F" w:rsidR="0007789B" w:rsidRPr="00084F22" w:rsidRDefault="004D4AF2" w:rsidP="0007789B">
            <w:pPr>
              <w:rPr>
                <w:sz w:val="20"/>
                <w:szCs w:val="20"/>
                <w:highlight w:val="black"/>
              </w:rPr>
            </w:pPr>
            <w:r>
              <w:rPr>
                <w:sz w:val="20"/>
                <w:szCs w:val="20"/>
                <w:highlight w:val="black"/>
              </w:rPr>
              <w:t>xxxxx</w:t>
            </w:r>
          </w:p>
        </w:tc>
        <w:tc>
          <w:tcPr>
            <w:tcW w:w="1276" w:type="dxa"/>
          </w:tcPr>
          <w:p w14:paraId="4F2384FF" w14:textId="7FC65AFD" w:rsidR="0007789B" w:rsidRPr="00084F22" w:rsidRDefault="004D4AF2" w:rsidP="0007789B">
            <w:pPr>
              <w:rPr>
                <w:sz w:val="20"/>
                <w:szCs w:val="20"/>
                <w:highlight w:val="black"/>
              </w:rPr>
            </w:pPr>
            <w:r>
              <w:rPr>
                <w:sz w:val="20"/>
                <w:szCs w:val="20"/>
                <w:highlight w:val="black"/>
              </w:rPr>
              <w:t>xxxxx</w:t>
            </w:r>
          </w:p>
        </w:tc>
        <w:tc>
          <w:tcPr>
            <w:tcW w:w="1155" w:type="dxa"/>
          </w:tcPr>
          <w:p w14:paraId="20B21064" w14:textId="17007F1D" w:rsidR="0007789B" w:rsidRPr="00084F22" w:rsidRDefault="004D4AF2" w:rsidP="0007789B">
            <w:pPr>
              <w:rPr>
                <w:sz w:val="20"/>
                <w:szCs w:val="20"/>
                <w:highlight w:val="black"/>
              </w:rPr>
            </w:pPr>
            <w:r>
              <w:rPr>
                <w:sz w:val="20"/>
                <w:szCs w:val="20"/>
                <w:highlight w:val="black"/>
              </w:rPr>
              <w:t>xxxxx</w:t>
            </w:r>
          </w:p>
        </w:tc>
      </w:tr>
      <w:tr w:rsidR="0007789B" w14:paraId="47F28C15" w14:textId="77777777" w:rsidTr="00084F22">
        <w:tc>
          <w:tcPr>
            <w:tcW w:w="1275" w:type="dxa"/>
            <w:vMerge w:val="restart"/>
          </w:tcPr>
          <w:p w14:paraId="753A5EFE" w14:textId="4C3AC6F2" w:rsidR="0007789B" w:rsidRPr="00084F22" w:rsidRDefault="0007789B" w:rsidP="0007789B">
            <w:pPr>
              <w:rPr>
                <w:sz w:val="20"/>
                <w:szCs w:val="20"/>
              </w:rPr>
            </w:pPr>
            <w:r w:rsidRPr="00084F22">
              <w:rPr>
                <w:sz w:val="20"/>
                <w:szCs w:val="20"/>
              </w:rPr>
              <w:t>Packs</w:t>
            </w:r>
          </w:p>
        </w:tc>
        <w:tc>
          <w:tcPr>
            <w:tcW w:w="1697" w:type="dxa"/>
          </w:tcPr>
          <w:p w14:paraId="5B5B2970" w14:textId="1429F3AE" w:rsidR="0007789B" w:rsidRPr="00084F22" w:rsidRDefault="004D4AF2" w:rsidP="0007789B">
            <w:pPr>
              <w:rPr>
                <w:sz w:val="20"/>
                <w:szCs w:val="20"/>
                <w:highlight w:val="black"/>
              </w:rPr>
            </w:pPr>
            <w:r>
              <w:rPr>
                <w:sz w:val="20"/>
                <w:szCs w:val="20"/>
                <w:highlight w:val="black"/>
              </w:rPr>
              <w:t>xxxxxxxxx</w:t>
            </w:r>
            <w:r w:rsidR="0007789B" w:rsidRPr="00084F22">
              <w:rPr>
                <w:sz w:val="20"/>
                <w:szCs w:val="20"/>
                <w:highlight w:val="black"/>
              </w:rPr>
              <w:t xml:space="preserve"> </w:t>
            </w:r>
            <w:r>
              <w:rPr>
                <w:sz w:val="20"/>
                <w:szCs w:val="20"/>
                <w:highlight w:val="black"/>
              </w:rPr>
              <w:t>xxx</w:t>
            </w:r>
          </w:p>
        </w:tc>
        <w:tc>
          <w:tcPr>
            <w:tcW w:w="1231" w:type="dxa"/>
          </w:tcPr>
          <w:p w14:paraId="53518E92" w14:textId="15F80FED" w:rsidR="0007789B" w:rsidRPr="00084F22" w:rsidRDefault="004D4AF2" w:rsidP="0007789B">
            <w:pPr>
              <w:rPr>
                <w:sz w:val="20"/>
                <w:szCs w:val="20"/>
                <w:highlight w:val="black"/>
              </w:rPr>
            </w:pPr>
            <w:r>
              <w:rPr>
                <w:sz w:val="20"/>
                <w:szCs w:val="20"/>
                <w:highlight w:val="black"/>
              </w:rPr>
              <w:t>xxxx</w:t>
            </w:r>
          </w:p>
        </w:tc>
        <w:tc>
          <w:tcPr>
            <w:tcW w:w="1179" w:type="dxa"/>
          </w:tcPr>
          <w:p w14:paraId="7AD74B8E" w14:textId="11004E3D" w:rsidR="0007789B" w:rsidRPr="00084F22" w:rsidRDefault="004D4AF2" w:rsidP="0007789B">
            <w:pPr>
              <w:rPr>
                <w:sz w:val="20"/>
                <w:szCs w:val="20"/>
                <w:highlight w:val="black"/>
              </w:rPr>
            </w:pPr>
            <w:r>
              <w:rPr>
                <w:sz w:val="20"/>
                <w:szCs w:val="20"/>
                <w:highlight w:val="black"/>
              </w:rPr>
              <w:t>xxxx</w:t>
            </w:r>
          </w:p>
        </w:tc>
        <w:tc>
          <w:tcPr>
            <w:tcW w:w="1134" w:type="dxa"/>
          </w:tcPr>
          <w:p w14:paraId="307A8298" w14:textId="71429A7F" w:rsidR="0007789B" w:rsidRPr="00084F22" w:rsidRDefault="004D4AF2" w:rsidP="0007789B">
            <w:pPr>
              <w:rPr>
                <w:sz w:val="20"/>
                <w:szCs w:val="20"/>
                <w:highlight w:val="black"/>
              </w:rPr>
            </w:pPr>
            <w:r>
              <w:rPr>
                <w:sz w:val="20"/>
                <w:szCs w:val="20"/>
                <w:highlight w:val="black"/>
              </w:rPr>
              <w:t>xxxx</w:t>
            </w:r>
          </w:p>
        </w:tc>
        <w:tc>
          <w:tcPr>
            <w:tcW w:w="1276" w:type="dxa"/>
          </w:tcPr>
          <w:p w14:paraId="66F0CC5F" w14:textId="28954D62" w:rsidR="0007789B" w:rsidRPr="00084F22" w:rsidRDefault="004D4AF2" w:rsidP="0007789B">
            <w:pPr>
              <w:rPr>
                <w:sz w:val="20"/>
                <w:szCs w:val="20"/>
                <w:highlight w:val="black"/>
              </w:rPr>
            </w:pPr>
            <w:r>
              <w:rPr>
                <w:sz w:val="20"/>
                <w:szCs w:val="20"/>
                <w:highlight w:val="black"/>
              </w:rPr>
              <w:t>xxxx</w:t>
            </w:r>
          </w:p>
        </w:tc>
        <w:tc>
          <w:tcPr>
            <w:tcW w:w="1155" w:type="dxa"/>
          </w:tcPr>
          <w:p w14:paraId="3EDD3978" w14:textId="6FA1A07B" w:rsidR="0007789B" w:rsidRPr="00084F22" w:rsidRDefault="004D4AF2" w:rsidP="0007789B">
            <w:pPr>
              <w:rPr>
                <w:sz w:val="20"/>
                <w:szCs w:val="20"/>
                <w:highlight w:val="black"/>
              </w:rPr>
            </w:pPr>
            <w:r>
              <w:rPr>
                <w:sz w:val="20"/>
                <w:szCs w:val="20"/>
                <w:highlight w:val="black"/>
              </w:rPr>
              <w:t>xxxx</w:t>
            </w:r>
          </w:p>
        </w:tc>
      </w:tr>
      <w:tr w:rsidR="0007789B" w14:paraId="38751FC4" w14:textId="77777777" w:rsidTr="00084F22">
        <w:tc>
          <w:tcPr>
            <w:tcW w:w="1275" w:type="dxa"/>
            <w:vMerge/>
          </w:tcPr>
          <w:p w14:paraId="59A9D066" w14:textId="77777777" w:rsidR="0007789B" w:rsidRPr="00084F22" w:rsidRDefault="0007789B" w:rsidP="0007789B">
            <w:pPr>
              <w:rPr>
                <w:sz w:val="20"/>
                <w:szCs w:val="20"/>
              </w:rPr>
            </w:pPr>
          </w:p>
        </w:tc>
        <w:tc>
          <w:tcPr>
            <w:tcW w:w="1697" w:type="dxa"/>
          </w:tcPr>
          <w:p w14:paraId="62ACBDFB" w14:textId="63A7318A" w:rsidR="0007789B" w:rsidRPr="00084F22" w:rsidRDefault="0007789B" w:rsidP="0007789B">
            <w:pPr>
              <w:rPr>
                <w:sz w:val="20"/>
                <w:szCs w:val="20"/>
              </w:rPr>
            </w:pPr>
            <w:r w:rsidRPr="00084F22">
              <w:rPr>
                <w:sz w:val="20"/>
                <w:szCs w:val="20"/>
              </w:rPr>
              <w:t>Actual (A)</w:t>
            </w:r>
          </w:p>
        </w:tc>
        <w:tc>
          <w:tcPr>
            <w:tcW w:w="1231" w:type="dxa"/>
          </w:tcPr>
          <w:p w14:paraId="180139BA" w14:textId="22DB0913" w:rsidR="0007789B" w:rsidRPr="00084F22" w:rsidRDefault="0007789B" w:rsidP="0007789B">
            <w:pPr>
              <w:rPr>
                <w:sz w:val="20"/>
                <w:szCs w:val="20"/>
              </w:rPr>
            </w:pPr>
            <w:r w:rsidRPr="00084F22">
              <w:rPr>
                <w:sz w:val="20"/>
                <w:szCs w:val="20"/>
              </w:rPr>
              <w:t>276</w:t>
            </w:r>
          </w:p>
        </w:tc>
        <w:tc>
          <w:tcPr>
            <w:tcW w:w="1179" w:type="dxa"/>
          </w:tcPr>
          <w:p w14:paraId="02104B7F" w14:textId="077777EA" w:rsidR="0007789B" w:rsidRPr="00084F22" w:rsidRDefault="0007789B" w:rsidP="0007789B">
            <w:pPr>
              <w:rPr>
                <w:sz w:val="20"/>
                <w:szCs w:val="20"/>
              </w:rPr>
            </w:pPr>
            <w:r w:rsidRPr="00084F22">
              <w:rPr>
                <w:sz w:val="20"/>
                <w:szCs w:val="20"/>
              </w:rPr>
              <w:t>1110</w:t>
            </w:r>
          </w:p>
        </w:tc>
        <w:tc>
          <w:tcPr>
            <w:tcW w:w="1134" w:type="dxa"/>
          </w:tcPr>
          <w:p w14:paraId="462D0015" w14:textId="66D06EFD" w:rsidR="0007789B" w:rsidRPr="00084F22" w:rsidRDefault="0007789B" w:rsidP="0007789B">
            <w:pPr>
              <w:rPr>
                <w:sz w:val="20"/>
                <w:szCs w:val="20"/>
              </w:rPr>
            </w:pPr>
            <w:r w:rsidRPr="00084F22">
              <w:rPr>
                <w:sz w:val="20"/>
                <w:szCs w:val="20"/>
              </w:rPr>
              <w:t>1442</w:t>
            </w:r>
          </w:p>
        </w:tc>
        <w:tc>
          <w:tcPr>
            <w:tcW w:w="1276" w:type="dxa"/>
          </w:tcPr>
          <w:p w14:paraId="47690145" w14:textId="7271DF7A" w:rsidR="0007789B" w:rsidRPr="00084F22" w:rsidRDefault="0007789B" w:rsidP="0007789B">
            <w:pPr>
              <w:rPr>
                <w:sz w:val="20"/>
                <w:szCs w:val="20"/>
              </w:rPr>
            </w:pPr>
            <w:r w:rsidRPr="00084F22">
              <w:rPr>
                <w:sz w:val="20"/>
                <w:szCs w:val="20"/>
              </w:rPr>
              <w:t>1823</w:t>
            </w:r>
          </w:p>
        </w:tc>
        <w:tc>
          <w:tcPr>
            <w:tcW w:w="1155" w:type="dxa"/>
          </w:tcPr>
          <w:p w14:paraId="2262842B" w14:textId="79F72B6A" w:rsidR="0007789B" w:rsidRPr="00084F22" w:rsidRDefault="00822EDA" w:rsidP="0007789B">
            <w:pPr>
              <w:rPr>
                <w:sz w:val="20"/>
                <w:szCs w:val="20"/>
              </w:rPr>
            </w:pPr>
            <w:r w:rsidRPr="00084F22">
              <w:rPr>
                <w:sz w:val="20"/>
                <w:szCs w:val="20"/>
              </w:rPr>
              <w:t>1727</w:t>
            </w:r>
          </w:p>
        </w:tc>
      </w:tr>
      <w:tr w:rsidR="0007789B" w14:paraId="4E27F151" w14:textId="77777777" w:rsidTr="00084F22">
        <w:tc>
          <w:tcPr>
            <w:tcW w:w="1275" w:type="dxa"/>
            <w:vMerge/>
          </w:tcPr>
          <w:p w14:paraId="5C55A847" w14:textId="77777777" w:rsidR="0007789B" w:rsidRPr="00084F22" w:rsidRDefault="0007789B" w:rsidP="0007789B">
            <w:pPr>
              <w:rPr>
                <w:sz w:val="20"/>
                <w:szCs w:val="20"/>
              </w:rPr>
            </w:pPr>
          </w:p>
        </w:tc>
        <w:tc>
          <w:tcPr>
            <w:tcW w:w="1697" w:type="dxa"/>
          </w:tcPr>
          <w:p w14:paraId="5D259CEF" w14:textId="40D2879B" w:rsidR="0007789B" w:rsidRPr="00084F22" w:rsidRDefault="004D4AF2" w:rsidP="0007789B">
            <w:pPr>
              <w:rPr>
                <w:sz w:val="20"/>
                <w:szCs w:val="20"/>
                <w:highlight w:val="black"/>
              </w:rPr>
            </w:pPr>
            <w:r>
              <w:rPr>
                <w:sz w:val="20"/>
                <w:szCs w:val="20"/>
                <w:highlight w:val="black"/>
              </w:rPr>
              <w:t>xxxxxxxxxx</w:t>
            </w:r>
            <w:r w:rsidR="0007789B" w:rsidRPr="00084F22">
              <w:rPr>
                <w:sz w:val="20"/>
                <w:szCs w:val="20"/>
                <w:highlight w:val="black"/>
              </w:rPr>
              <w:t xml:space="preserve"> </w:t>
            </w:r>
            <w:r>
              <w:rPr>
                <w:sz w:val="20"/>
                <w:szCs w:val="20"/>
                <w:highlight w:val="black"/>
              </w:rPr>
              <w:t>xxxxx</w:t>
            </w:r>
          </w:p>
        </w:tc>
        <w:tc>
          <w:tcPr>
            <w:tcW w:w="1231" w:type="dxa"/>
          </w:tcPr>
          <w:p w14:paraId="0702614F" w14:textId="0E6F61A5" w:rsidR="0007789B" w:rsidRPr="00084F22" w:rsidRDefault="004D4AF2" w:rsidP="0007789B">
            <w:pPr>
              <w:rPr>
                <w:sz w:val="20"/>
                <w:szCs w:val="20"/>
                <w:highlight w:val="black"/>
              </w:rPr>
            </w:pPr>
            <w:r>
              <w:rPr>
                <w:sz w:val="20"/>
                <w:szCs w:val="20"/>
                <w:highlight w:val="black"/>
              </w:rPr>
              <w:t>xxxxx</w:t>
            </w:r>
          </w:p>
        </w:tc>
        <w:tc>
          <w:tcPr>
            <w:tcW w:w="1179" w:type="dxa"/>
          </w:tcPr>
          <w:p w14:paraId="015BB712" w14:textId="453DD703" w:rsidR="0007789B" w:rsidRPr="00084F22" w:rsidRDefault="004D4AF2" w:rsidP="0007789B">
            <w:pPr>
              <w:rPr>
                <w:sz w:val="20"/>
                <w:szCs w:val="20"/>
                <w:highlight w:val="black"/>
              </w:rPr>
            </w:pPr>
            <w:r>
              <w:rPr>
                <w:sz w:val="20"/>
                <w:szCs w:val="20"/>
                <w:highlight w:val="black"/>
              </w:rPr>
              <w:t>xxxx</w:t>
            </w:r>
          </w:p>
        </w:tc>
        <w:tc>
          <w:tcPr>
            <w:tcW w:w="1134" w:type="dxa"/>
          </w:tcPr>
          <w:p w14:paraId="368AD6D3" w14:textId="4F14434C" w:rsidR="0007789B" w:rsidRPr="00084F22" w:rsidRDefault="004D4AF2" w:rsidP="0007789B">
            <w:pPr>
              <w:rPr>
                <w:sz w:val="20"/>
                <w:szCs w:val="20"/>
                <w:highlight w:val="black"/>
              </w:rPr>
            </w:pPr>
            <w:r>
              <w:rPr>
                <w:sz w:val="20"/>
                <w:szCs w:val="20"/>
                <w:highlight w:val="black"/>
              </w:rPr>
              <w:t>xxxx</w:t>
            </w:r>
          </w:p>
        </w:tc>
        <w:tc>
          <w:tcPr>
            <w:tcW w:w="1276" w:type="dxa"/>
          </w:tcPr>
          <w:p w14:paraId="076039B8" w14:textId="3518108A" w:rsidR="0007789B" w:rsidRPr="00084F22" w:rsidRDefault="004D4AF2" w:rsidP="0007789B">
            <w:pPr>
              <w:rPr>
                <w:sz w:val="20"/>
                <w:szCs w:val="20"/>
                <w:highlight w:val="black"/>
              </w:rPr>
            </w:pPr>
            <w:r>
              <w:rPr>
                <w:sz w:val="20"/>
                <w:szCs w:val="20"/>
                <w:highlight w:val="black"/>
              </w:rPr>
              <w:t>xxxx</w:t>
            </w:r>
          </w:p>
        </w:tc>
        <w:tc>
          <w:tcPr>
            <w:tcW w:w="1155" w:type="dxa"/>
          </w:tcPr>
          <w:p w14:paraId="1192F75A" w14:textId="72F27126" w:rsidR="0007789B" w:rsidRPr="00084F22" w:rsidRDefault="004D4AF2" w:rsidP="0007789B">
            <w:pPr>
              <w:rPr>
                <w:sz w:val="20"/>
                <w:szCs w:val="20"/>
                <w:highlight w:val="black"/>
              </w:rPr>
            </w:pPr>
            <w:r>
              <w:rPr>
                <w:sz w:val="20"/>
                <w:szCs w:val="20"/>
                <w:highlight w:val="black"/>
              </w:rPr>
              <w:t>xxxx</w:t>
            </w:r>
          </w:p>
        </w:tc>
      </w:tr>
      <w:tr w:rsidR="0007789B" w14:paraId="626566FD" w14:textId="77777777" w:rsidTr="00084F22">
        <w:tc>
          <w:tcPr>
            <w:tcW w:w="1275" w:type="dxa"/>
            <w:vMerge/>
          </w:tcPr>
          <w:p w14:paraId="5A1DDC29" w14:textId="77777777" w:rsidR="0007789B" w:rsidRPr="00084F22" w:rsidRDefault="0007789B" w:rsidP="0007789B">
            <w:pPr>
              <w:rPr>
                <w:sz w:val="20"/>
                <w:szCs w:val="20"/>
              </w:rPr>
            </w:pPr>
          </w:p>
        </w:tc>
        <w:tc>
          <w:tcPr>
            <w:tcW w:w="1697" w:type="dxa"/>
          </w:tcPr>
          <w:p w14:paraId="4693EEDB" w14:textId="7B6B98CD" w:rsidR="0007789B" w:rsidRPr="00084F22" w:rsidRDefault="004D4AF2" w:rsidP="0007789B">
            <w:pPr>
              <w:rPr>
                <w:sz w:val="20"/>
                <w:szCs w:val="20"/>
                <w:highlight w:val="black"/>
              </w:rPr>
            </w:pPr>
            <w:r>
              <w:rPr>
                <w:sz w:val="20"/>
                <w:szCs w:val="20"/>
                <w:highlight w:val="black"/>
              </w:rPr>
              <w:t>x</w:t>
            </w:r>
            <w:r w:rsidR="0007789B" w:rsidRPr="00084F22">
              <w:rPr>
                <w:sz w:val="20"/>
                <w:szCs w:val="20"/>
                <w:highlight w:val="black"/>
              </w:rPr>
              <w:t xml:space="preserve"> </w:t>
            </w:r>
            <w:r>
              <w:rPr>
                <w:sz w:val="20"/>
                <w:szCs w:val="20"/>
                <w:highlight w:val="black"/>
              </w:rPr>
              <w:t>xxxxxxxxxx</w:t>
            </w:r>
            <w:r w:rsidR="0007789B" w:rsidRPr="00084F22">
              <w:rPr>
                <w:sz w:val="20"/>
                <w:szCs w:val="20"/>
                <w:highlight w:val="black"/>
              </w:rPr>
              <w:t xml:space="preserve"> </w:t>
            </w:r>
            <w:r>
              <w:rPr>
                <w:sz w:val="20"/>
                <w:szCs w:val="20"/>
                <w:highlight w:val="black"/>
              </w:rPr>
              <w:t>xxxxxxx</w:t>
            </w:r>
          </w:p>
        </w:tc>
        <w:tc>
          <w:tcPr>
            <w:tcW w:w="1231" w:type="dxa"/>
          </w:tcPr>
          <w:p w14:paraId="343F18DB" w14:textId="66B37FCE" w:rsidR="0007789B" w:rsidRPr="00084F22" w:rsidRDefault="004D4AF2" w:rsidP="0007789B">
            <w:pPr>
              <w:rPr>
                <w:sz w:val="20"/>
                <w:szCs w:val="20"/>
                <w:highlight w:val="black"/>
              </w:rPr>
            </w:pPr>
            <w:r>
              <w:rPr>
                <w:sz w:val="20"/>
                <w:szCs w:val="20"/>
                <w:highlight w:val="black"/>
              </w:rPr>
              <w:t>xxxxxx</w:t>
            </w:r>
          </w:p>
        </w:tc>
        <w:tc>
          <w:tcPr>
            <w:tcW w:w="1179" w:type="dxa"/>
          </w:tcPr>
          <w:p w14:paraId="73A96678" w14:textId="38398161" w:rsidR="0007789B" w:rsidRPr="00084F22" w:rsidRDefault="004D4AF2" w:rsidP="0007789B">
            <w:pPr>
              <w:rPr>
                <w:sz w:val="20"/>
                <w:szCs w:val="20"/>
                <w:highlight w:val="black"/>
              </w:rPr>
            </w:pPr>
            <w:r>
              <w:rPr>
                <w:sz w:val="20"/>
                <w:szCs w:val="20"/>
                <w:highlight w:val="black"/>
              </w:rPr>
              <w:t>xxxxxx</w:t>
            </w:r>
          </w:p>
        </w:tc>
        <w:tc>
          <w:tcPr>
            <w:tcW w:w="1134" w:type="dxa"/>
          </w:tcPr>
          <w:p w14:paraId="44CCEC6D" w14:textId="1C0955D0" w:rsidR="0007789B" w:rsidRPr="00084F22" w:rsidRDefault="004D4AF2" w:rsidP="0007789B">
            <w:pPr>
              <w:rPr>
                <w:sz w:val="20"/>
                <w:szCs w:val="20"/>
                <w:highlight w:val="black"/>
              </w:rPr>
            </w:pPr>
            <w:r>
              <w:rPr>
                <w:sz w:val="20"/>
                <w:szCs w:val="20"/>
                <w:highlight w:val="black"/>
              </w:rPr>
              <w:t>xxxxxx</w:t>
            </w:r>
          </w:p>
        </w:tc>
        <w:tc>
          <w:tcPr>
            <w:tcW w:w="1276" w:type="dxa"/>
          </w:tcPr>
          <w:p w14:paraId="0496DB8E" w14:textId="2E64D6BF" w:rsidR="0007789B" w:rsidRPr="00084F22" w:rsidRDefault="004D4AF2" w:rsidP="0007789B">
            <w:pPr>
              <w:rPr>
                <w:sz w:val="20"/>
                <w:szCs w:val="20"/>
                <w:highlight w:val="black"/>
              </w:rPr>
            </w:pPr>
            <w:r>
              <w:rPr>
                <w:sz w:val="20"/>
                <w:szCs w:val="20"/>
                <w:highlight w:val="black"/>
              </w:rPr>
              <w:t>xxxxxx</w:t>
            </w:r>
          </w:p>
        </w:tc>
        <w:tc>
          <w:tcPr>
            <w:tcW w:w="1155" w:type="dxa"/>
          </w:tcPr>
          <w:p w14:paraId="2A7194C7" w14:textId="4A28DC6F" w:rsidR="0007789B" w:rsidRPr="00084F22" w:rsidRDefault="004D4AF2" w:rsidP="0007789B">
            <w:pPr>
              <w:rPr>
                <w:sz w:val="20"/>
                <w:szCs w:val="20"/>
                <w:highlight w:val="black"/>
              </w:rPr>
            </w:pPr>
            <w:r>
              <w:rPr>
                <w:sz w:val="20"/>
                <w:szCs w:val="20"/>
                <w:highlight w:val="black"/>
              </w:rPr>
              <w:t>xxxxxx</w:t>
            </w:r>
          </w:p>
        </w:tc>
      </w:tr>
      <w:tr w:rsidR="0007789B" w14:paraId="5AF6E6D4" w14:textId="77777777" w:rsidTr="00084F22">
        <w:tc>
          <w:tcPr>
            <w:tcW w:w="1275" w:type="dxa"/>
            <w:vMerge w:val="restart"/>
          </w:tcPr>
          <w:p w14:paraId="21F470F4" w14:textId="3A808EF1" w:rsidR="0007789B" w:rsidRPr="00084F22" w:rsidRDefault="0007789B" w:rsidP="0007789B">
            <w:pPr>
              <w:rPr>
                <w:sz w:val="20"/>
                <w:szCs w:val="20"/>
              </w:rPr>
            </w:pPr>
            <w:r w:rsidRPr="00084F22">
              <w:rPr>
                <w:sz w:val="20"/>
                <w:szCs w:val="20"/>
              </w:rPr>
              <w:t>Prescriptions per patient</w:t>
            </w:r>
          </w:p>
        </w:tc>
        <w:tc>
          <w:tcPr>
            <w:tcW w:w="1697" w:type="dxa"/>
          </w:tcPr>
          <w:p w14:paraId="399E184F" w14:textId="47E76448" w:rsidR="0007789B" w:rsidRPr="00084F22" w:rsidRDefault="004D4AF2" w:rsidP="0007789B">
            <w:pPr>
              <w:rPr>
                <w:sz w:val="20"/>
                <w:szCs w:val="20"/>
                <w:highlight w:val="black"/>
              </w:rPr>
            </w:pPr>
            <w:r>
              <w:rPr>
                <w:sz w:val="20"/>
                <w:szCs w:val="20"/>
                <w:highlight w:val="black"/>
              </w:rPr>
              <w:t>xxxxxxxxx</w:t>
            </w:r>
            <w:r w:rsidR="0007789B" w:rsidRPr="00084F22">
              <w:rPr>
                <w:sz w:val="20"/>
                <w:szCs w:val="20"/>
                <w:highlight w:val="black"/>
              </w:rPr>
              <w:t xml:space="preserve"> </w:t>
            </w:r>
            <w:r>
              <w:rPr>
                <w:sz w:val="20"/>
                <w:szCs w:val="20"/>
                <w:highlight w:val="black"/>
              </w:rPr>
              <w:t>xxx</w:t>
            </w:r>
          </w:p>
        </w:tc>
        <w:tc>
          <w:tcPr>
            <w:tcW w:w="1231" w:type="dxa"/>
          </w:tcPr>
          <w:p w14:paraId="0117561C" w14:textId="2530EA54" w:rsidR="0007789B" w:rsidRPr="00084F22" w:rsidRDefault="004D4AF2" w:rsidP="0007789B">
            <w:pPr>
              <w:rPr>
                <w:sz w:val="20"/>
                <w:szCs w:val="20"/>
                <w:highlight w:val="black"/>
              </w:rPr>
            </w:pPr>
            <w:r>
              <w:rPr>
                <w:sz w:val="20"/>
                <w:szCs w:val="20"/>
                <w:highlight w:val="black"/>
              </w:rPr>
              <w:t>xx</w:t>
            </w:r>
          </w:p>
        </w:tc>
        <w:tc>
          <w:tcPr>
            <w:tcW w:w="1179" w:type="dxa"/>
          </w:tcPr>
          <w:p w14:paraId="774F279E" w14:textId="57D76EEF" w:rsidR="0007789B" w:rsidRPr="00084F22" w:rsidRDefault="004D4AF2" w:rsidP="0007789B">
            <w:pPr>
              <w:rPr>
                <w:sz w:val="20"/>
                <w:szCs w:val="20"/>
                <w:highlight w:val="black"/>
              </w:rPr>
            </w:pPr>
            <w:r>
              <w:rPr>
                <w:sz w:val="20"/>
                <w:szCs w:val="20"/>
                <w:highlight w:val="black"/>
              </w:rPr>
              <w:t>xx</w:t>
            </w:r>
          </w:p>
        </w:tc>
        <w:tc>
          <w:tcPr>
            <w:tcW w:w="1134" w:type="dxa"/>
          </w:tcPr>
          <w:p w14:paraId="32AFC220" w14:textId="469F4FEA" w:rsidR="0007789B" w:rsidRPr="00084F22" w:rsidRDefault="004D4AF2" w:rsidP="0007789B">
            <w:pPr>
              <w:rPr>
                <w:sz w:val="20"/>
                <w:szCs w:val="20"/>
                <w:highlight w:val="black"/>
              </w:rPr>
            </w:pPr>
            <w:r>
              <w:rPr>
                <w:sz w:val="20"/>
                <w:szCs w:val="20"/>
                <w:highlight w:val="black"/>
              </w:rPr>
              <w:t>xx</w:t>
            </w:r>
          </w:p>
        </w:tc>
        <w:tc>
          <w:tcPr>
            <w:tcW w:w="1276" w:type="dxa"/>
          </w:tcPr>
          <w:p w14:paraId="1BB71008" w14:textId="10BC1E8E" w:rsidR="0007789B" w:rsidRPr="00084F22" w:rsidRDefault="004D4AF2" w:rsidP="0007789B">
            <w:pPr>
              <w:rPr>
                <w:sz w:val="20"/>
                <w:szCs w:val="20"/>
                <w:highlight w:val="black"/>
              </w:rPr>
            </w:pPr>
            <w:r>
              <w:rPr>
                <w:sz w:val="20"/>
                <w:szCs w:val="20"/>
                <w:highlight w:val="black"/>
              </w:rPr>
              <w:t>xx</w:t>
            </w:r>
          </w:p>
        </w:tc>
        <w:tc>
          <w:tcPr>
            <w:tcW w:w="1155" w:type="dxa"/>
          </w:tcPr>
          <w:p w14:paraId="58EEC48B" w14:textId="6113BAFA" w:rsidR="0007789B" w:rsidRPr="00084F22" w:rsidRDefault="004D4AF2" w:rsidP="0007789B">
            <w:pPr>
              <w:rPr>
                <w:sz w:val="20"/>
                <w:szCs w:val="20"/>
                <w:highlight w:val="black"/>
              </w:rPr>
            </w:pPr>
            <w:r>
              <w:rPr>
                <w:sz w:val="20"/>
                <w:szCs w:val="20"/>
                <w:highlight w:val="black"/>
              </w:rPr>
              <w:t>xx</w:t>
            </w:r>
          </w:p>
        </w:tc>
      </w:tr>
      <w:tr w:rsidR="0007789B" w14:paraId="5223BD14" w14:textId="77777777" w:rsidTr="00084F22">
        <w:tc>
          <w:tcPr>
            <w:tcW w:w="1275" w:type="dxa"/>
            <w:vMerge/>
          </w:tcPr>
          <w:p w14:paraId="2A3AA39E" w14:textId="77777777" w:rsidR="0007789B" w:rsidRPr="00084F22" w:rsidRDefault="0007789B" w:rsidP="0007789B">
            <w:pPr>
              <w:rPr>
                <w:sz w:val="20"/>
                <w:szCs w:val="20"/>
              </w:rPr>
            </w:pPr>
          </w:p>
        </w:tc>
        <w:tc>
          <w:tcPr>
            <w:tcW w:w="1697" w:type="dxa"/>
          </w:tcPr>
          <w:p w14:paraId="26A39F85" w14:textId="4019804F" w:rsidR="0007789B" w:rsidRPr="00084F22" w:rsidRDefault="0007789B" w:rsidP="0007789B">
            <w:pPr>
              <w:rPr>
                <w:sz w:val="20"/>
                <w:szCs w:val="20"/>
              </w:rPr>
            </w:pPr>
            <w:r w:rsidRPr="00084F22">
              <w:rPr>
                <w:sz w:val="20"/>
                <w:szCs w:val="20"/>
              </w:rPr>
              <w:t>Actual (A)</w:t>
            </w:r>
          </w:p>
        </w:tc>
        <w:tc>
          <w:tcPr>
            <w:tcW w:w="1231" w:type="dxa"/>
          </w:tcPr>
          <w:p w14:paraId="6E2B70DA" w14:textId="668972A5" w:rsidR="0007789B" w:rsidRPr="00084F22" w:rsidRDefault="009E034A" w:rsidP="0007789B">
            <w:pPr>
              <w:rPr>
                <w:sz w:val="20"/>
                <w:szCs w:val="20"/>
              </w:rPr>
            </w:pPr>
            <w:r w:rsidRPr="00084F22">
              <w:rPr>
                <w:sz w:val="20"/>
                <w:szCs w:val="20"/>
              </w:rPr>
              <w:t>5</w:t>
            </w:r>
          </w:p>
        </w:tc>
        <w:tc>
          <w:tcPr>
            <w:tcW w:w="1179" w:type="dxa"/>
          </w:tcPr>
          <w:p w14:paraId="13955C99" w14:textId="420010E3" w:rsidR="0007789B" w:rsidRPr="00084F22" w:rsidRDefault="009E034A" w:rsidP="0007789B">
            <w:pPr>
              <w:rPr>
                <w:sz w:val="20"/>
                <w:szCs w:val="20"/>
              </w:rPr>
            </w:pPr>
            <w:r w:rsidRPr="00084F22">
              <w:rPr>
                <w:sz w:val="20"/>
                <w:szCs w:val="20"/>
              </w:rPr>
              <w:t>9</w:t>
            </w:r>
          </w:p>
        </w:tc>
        <w:tc>
          <w:tcPr>
            <w:tcW w:w="1134" w:type="dxa"/>
          </w:tcPr>
          <w:p w14:paraId="640E27BB" w14:textId="1794B25A" w:rsidR="0007789B" w:rsidRPr="00084F22" w:rsidRDefault="009E034A" w:rsidP="0007789B">
            <w:pPr>
              <w:rPr>
                <w:sz w:val="20"/>
                <w:szCs w:val="20"/>
              </w:rPr>
            </w:pPr>
            <w:r w:rsidRPr="00084F22">
              <w:rPr>
                <w:sz w:val="20"/>
                <w:szCs w:val="20"/>
              </w:rPr>
              <w:t>10</w:t>
            </w:r>
          </w:p>
        </w:tc>
        <w:tc>
          <w:tcPr>
            <w:tcW w:w="1276" w:type="dxa"/>
          </w:tcPr>
          <w:p w14:paraId="0E171C16" w14:textId="3E8AF106" w:rsidR="0007789B" w:rsidRPr="00084F22" w:rsidRDefault="009E034A" w:rsidP="0007789B">
            <w:pPr>
              <w:rPr>
                <w:sz w:val="20"/>
                <w:szCs w:val="20"/>
              </w:rPr>
            </w:pPr>
            <w:r w:rsidRPr="00084F22">
              <w:rPr>
                <w:sz w:val="20"/>
                <w:szCs w:val="20"/>
              </w:rPr>
              <w:t>9</w:t>
            </w:r>
          </w:p>
        </w:tc>
        <w:tc>
          <w:tcPr>
            <w:tcW w:w="1155" w:type="dxa"/>
          </w:tcPr>
          <w:p w14:paraId="279D21BB" w14:textId="734D5436" w:rsidR="0007789B" w:rsidRPr="00084F22" w:rsidRDefault="009E034A" w:rsidP="0007789B">
            <w:pPr>
              <w:rPr>
                <w:sz w:val="20"/>
                <w:szCs w:val="20"/>
              </w:rPr>
            </w:pPr>
            <w:r w:rsidRPr="00084F22">
              <w:rPr>
                <w:sz w:val="20"/>
                <w:szCs w:val="20"/>
              </w:rPr>
              <w:t>9</w:t>
            </w:r>
          </w:p>
        </w:tc>
      </w:tr>
      <w:tr w:rsidR="0007789B" w14:paraId="66877118" w14:textId="77777777" w:rsidTr="00084F22">
        <w:tc>
          <w:tcPr>
            <w:tcW w:w="1275" w:type="dxa"/>
            <w:vMerge/>
          </w:tcPr>
          <w:p w14:paraId="581987E8" w14:textId="77777777" w:rsidR="0007789B" w:rsidRPr="00084F22" w:rsidRDefault="0007789B" w:rsidP="0007789B">
            <w:pPr>
              <w:rPr>
                <w:sz w:val="20"/>
                <w:szCs w:val="20"/>
              </w:rPr>
            </w:pPr>
          </w:p>
        </w:tc>
        <w:tc>
          <w:tcPr>
            <w:tcW w:w="1697" w:type="dxa"/>
          </w:tcPr>
          <w:p w14:paraId="667FC2BE" w14:textId="6489EE5C" w:rsidR="0007789B" w:rsidRPr="00084F22" w:rsidRDefault="004D4AF2" w:rsidP="0007789B">
            <w:pPr>
              <w:rPr>
                <w:sz w:val="20"/>
                <w:szCs w:val="20"/>
                <w:highlight w:val="black"/>
              </w:rPr>
            </w:pPr>
            <w:r>
              <w:rPr>
                <w:sz w:val="20"/>
                <w:szCs w:val="20"/>
                <w:highlight w:val="black"/>
              </w:rPr>
              <w:t>xxxxxxxxxx</w:t>
            </w:r>
            <w:r w:rsidR="0007789B" w:rsidRPr="00084F22">
              <w:rPr>
                <w:sz w:val="20"/>
                <w:szCs w:val="20"/>
                <w:highlight w:val="black"/>
              </w:rPr>
              <w:t xml:space="preserve"> </w:t>
            </w:r>
            <w:r>
              <w:rPr>
                <w:sz w:val="20"/>
                <w:szCs w:val="20"/>
                <w:highlight w:val="black"/>
              </w:rPr>
              <w:t>xxxxx</w:t>
            </w:r>
          </w:p>
        </w:tc>
        <w:tc>
          <w:tcPr>
            <w:tcW w:w="1231" w:type="dxa"/>
          </w:tcPr>
          <w:p w14:paraId="4E5EEFB4" w14:textId="66EDFCDB" w:rsidR="0007789B" w:rsidRPr="00084F22" w:rsidRDefault="004D4AF2" w:rsidP="009E034A">
            <w:pPr>
              <w:rPr>
                <w:sz w:val="20"/>
                <w:szCs w:val="20"/>
                <w:highlight w:val="black"/>
              </w:rPr>
            </w:pPr>
            <w:r>
              <w:rPr>
                <w:sz w:val="20"/>
                <w:szCs w:val="20"/>
                <w:highlight w:val="black"/>
              </w:rPr>
              <w:t>xx</w:t>
            </w:r>
          </w:p>
        </w:tc>
        <w:tc>
          <w:tcPr>
            <w:tcW w:w="1179" w:type="dxa"/>
          </w:tcPr>
          <w:p w14:paraId="2B1EAFD2" w14:textId="56DE66C0" w:rsidR="0007789B" w:rsidRPr="00084F22" w:rsidRDefault="004D4AF2" w:rsidP="0007789B">
            <w:pPr>
              <w:rPr>
                <w:sz w:val="20"/>
                <w:szCs w:val="20"/>
                <w:highlight w:val="black"/>
              </w:rPr>
            </w:pPr>
            <w:r>
              <w:rPr>
                <w:sz w:val="20"/>
                <w:szCs w:val="20"/>
                <w:highlight w:val="black"/>
              </w:rPr>
              <w:t>xx</w:t>
            </w:r>
          </w:p>
        </w:tc>
        <w:tc>
          <w:tcPr>
            <w:tcW w:w="1134" w:type="dxa"/>
          </w:tcPr>
          <w:p w14:paraId="534BE68D" w14:textId="53A78A92" w:rsidR="0007789B" w:rsidRPr="00084F22" w:rsidRDefault="004D4AF2" w:rsidP="0007789B">
            <w:pPr>
              <w:rPr>
                <w:sz w:val="20"/>
                <w:szCs w:val="20"/>
                <w:highlight w:val="black"/>
              </w:rPr>
            </w:pPr>
            <w:r>
              <w:rPr>
                <w:sz w:val="20"/>
                <w:szCs w:val="20"/>
                <w:highlight w:val="black"/>
              </w:rPr>
              <w:t>xx</w:t>
            </w:r>
          </w:p>
        </w:tc>
        <w:tc>
          <w:tcPr>
            <w:tcW w:w="1276" w:type="dxa"/>
          </w:tcPr>
          <w:p w14:paraId="21D89235" w14:textId="611CC8CA" w:rsidR="0007789B" w:rsidRPr="00084F22" w:rsidRDefault="004D4AF2" w:rsidP="009E034A">
            <w:pPr>
              <w:rPr>
                <w:sz w:val="20"/>
                <w:szCs w:val="20"/>
                <w:highlight w:val="black"/>
              </w:rPr>
            </w:pPr>
            <w:r>
              <w:rPr>
                <w:sz w:val="20"/>
                <w:szCs w:val="20"/>
                <w:highlight w:val="black"/>
              </w:rPr>
              <w:t>xx</w:t>
            </w:r>
          </w:p>
        </w:tc>
        <w:tc>
          <w:tcPr>
            <w:tcW w:w="1155" w:type="dxa"/>
          </w:tcPr>
          <w:p w14:paraId="0C6DACB6" w14:textId="7A4F323C" w:rsidR="0007789B" w:rsidRPr="00084F22" w:rsidRDefault="004D4AF2" w:rsidP="0007789B">
            <w:pPr>
              <w:rPr>
                <w:sz w:val="20"/>
                <w:szCs w:val="20"/>
                <w:highlight w:val="black"/>
              </w:rPr>
            </w:pPr>
            <w:r>
              <w:rPr>
                <w:sz w:val="20"/>
                <w:szCs w:val="20"/>
                <w:highlight w:val="black"/>
              </w:rPr>
              <w:t>xx</w:t>
            </w:r>
          </w:p>
        </w:tc>
      </w:tr>
      <w:tr w:rsidR="0007789B" w14:paraId="68CCC4F9" w14:textId="77777777" w:rsidTr="00084F22">
        <w:tc>
          <w:tcPr>
            <w:tcW w:w="1275" w:type="dxa"/>
            <w:vMerge/>
          </w:tcPr>
          <w:p w14:paraId="572DD386" w14:textId="77777777" w:rsidR="0007789B" w:rsidRPr="00084F22" w:rsidRDefault="0007789B" w:rsidP="0007789B">
            <w:pPr>
              <w:rPr>
                <w:sz w:val="20"/>
                <w:szCs w:val="20"/>
              </w:rPr>
            </w:pPr>
          </w:p>
        </w:tc>
        <w:tc>
          <w:tcPr>
            <w:tcW w:w="1697" w:type="dxa"/>
          </w:tcPr>
          <w:p w14:paraId="14189EBD" w14:textId="0FD4379D" w:rsidR="0007789B" w:rsidRPr="00084F22" w:rsidRDefault="004D4AF2" w:rsidP="0007789B">
            <w:pPr>
              <w:rPr>
                <w:sz w:val="20"/>
                <w:szCs w:val="20"/>
                <w:highlight w:val="black"/>
              </w:rPr>
            </w:pPr>
            <w:r>
              <w:rPr>
                <w:sz w:val="20"/>
                <w:szCs w:val="20"/>
                <w:highlight w:val="black"/>
              </w:rPr>
              <w:t>x</w:t>
            </w:r>
            <w:r w:rsidR="0007789B" w:rsidRPr="00084F22">
              <w:rPr>
                <w:sz w:val="20"/>
                <w:szCs w:val="20"/>
                <w:highlight w:val="black"/>
              </w:rPr>
              <w:t xml:space="preserve"> </w:t>
            </w:r>
            <w:r>
              <w:rPr>
                <w:sz w:val="20"/>
                <w:szCs w:val="20"/>
                <w:highlight w:val="black"/>
              </w:rPr>
              <w:t>xxxxxxxxxx</w:t>
            </w:r>
            <w:r w:rsidR="0007789B" w:rsidRPr="00084F22">
              <w:rPr>
                <w:sz w:val="20"/>
                <w:szCs w:val="20"/>
                <w:highlight w:val="black"/>
              </w:rPr>
              <w:t xml:space="preserve"> </w:t>
            </w:r>
            <w:r>
              <w:rPr>
                <w:sz w:val="20"/>
                <w:szCs w:val="20"/>
                <w:highlight w:val="black"/>
              </w:rPr>
              <w:t>xxxxxxx</w:t>
            </w:r>
          </w:p>
        </w:tc>
        <w:tc>
          <w:tcPr>
            <w:tcW w:w="1231" w:type="dxa"/>
          </w:tcPr>
          <w:p w14:paraId="0F8E7116" w14:textId="7E0DD573" w:rsidR="0007789B" w:rsidRPr="00084F22" w:rsidRDefault="004D4AF2" w:rsidP="0007789B">
            <w:pPr>
              <w:rPr>
                <w:sz w:val="20"/>
                <w:szCs w:val="20"/>
                <w:highlight w:val="black"/>
              </w:rPr>
            </w:pPr>
            <w:r>
              <w:rPr>
                <w:sz w:val="20"/>
                <w:szCs w:val="20"/>
                <w:highlight w:val="black"/>
              </w:rPr>
              <w:t>xxxxxx</w:t>
            </w:r>
          </w:p>
        </w:tc>
        <w:tc>
          <w:tcPr>
            <w:tcW w:w="1179" w:type="dxa"/>
          </w:tcPr>
          <w:p w14:paraId="669503D9" w14:textId="150B94DA" w:rsidR="0007789B" w:rsidRPr="00084F22" w:rsidRDefault="004D4AF2" w:rsidP="009E034A">
            <w:pPr>
              <w:rPr>
                <w:sz w:val="20"/>
                <w:szCs w:val="20"/>
                <w:highlight w:val="black"/>
              </w:rPr>
            </w:pPr>
            <w:r>
              <w:rPr>
                <w:sz w:val="20"/>
                <w:szCs w:val="20"/>
                <w:highlight w:val="black"/>
              </w:rPr>
              <w:t>xxxx</w:t>
            </w:r>
          </w:p>
        </w:tc>
        <w:tc>
          <w:tcPr>
            <w:tcW w:w="1134" w:type="dxa"/>
          </w:tcPr>
          <w:p w14:paraId="7DC19822" w14:textId="753C818C" w:rsidR="0007789B" w:rsidRPr="00084F22" w:rsidRDefault="004D4AF2" w:rsidP="0007789B">
            <w:pPr>
              <w:rPr>
                <w:sz w:val="20"/>
                <w:szCs w:val="20"/>
                <w:highlight w:val="black"/>
              </w:rPr>
            </w:pPr>
            <w:r>
              <w:rPr>
                <w:sz w:val="20"/>
                <w:szCs w:val="20"/>
                <w:highlight w:val="black"/>
              </w:rPr>
              <w:t>xxxxxx</w:t>
            </w:r>
          </w:p>
        </w:tc>
        <w:tc>
          <w:tcPr>
            <w:tcW w:w="1276" w:type="dxa"/>
          </w:tcPr>
          <w:p w14:paraId="06F65DAC" w14:textId="384A2325" w:rsidR="0007789B" w:rsidRPr="00084F22" w:rsidRDefault="004D4AF2" w:rsidP="009E034A">
            <w:pPr>
              <w:rPr>
                <w:sz w:val="20"/>
                <w:szCs w:val="20"/>
                <w:highlight w:val="black"/>
              </w:rPr>
            </w:pPr>
            <w:r>
              <w:rPr>
                <w:sz w:val="20"/>
                <w:szCs w:val="20"/>
                <w:highlight w:val="black"/>
              </w:rPr>
              <w:t>xxxx</w:t>
            </w:r>
          </w:p>
        </w:tc>
        <w:tc>
          <w:tcPr>
            <w:tcW w:w="1155" w:type="dxa"/>
          </w:tcPr>
          <w:p w14:paraId="347432C7" w14:textId="0D8A95AA" w:rsidR="0007789B" w:rsidRPr="00084F22" w:rsidRDefault="004D4AF2" w:rsidP="009E034A">
            <w:pPr>
              <w:rPr>
                <w:sz w:val="20"/>
                <w:szCs w:val="20"/>
                <w:highlight w:val="black"/>
              </w:rPr>
            </w:pPr>
            <w:r>
              <w:rPr>
                <w:sz w:val="20"/>
                <w:szCs w:val="20"/>
                <w:highlight w:val="black"/>
              </w:rPr>
              <w:t>xxxx</w:t>
            </w:r>
          </w:p>
        </w:tc>
      </w:tr>
      <w:tr w:rsidR="0007789B" w14:paraId="17BAF260" w14:textId="77777777" w:rsidTr="00084F22">
        <w:tc>
          <w:tcPr>
            <w:tcW w:w="1275" w:type="dxa"/>
            <w:vMerge w:val="restart"/>
          </w:tcPr>
          <w:p w14:paraId="33884B78" w14:textId="70468701" w:rsidR="0007789B" w:rsidRPr="00084F22" w:rsidRDefault="0007789B" w:rsidP="0007789B">
            <w:pPr>
              <w:rPr>
                <w:sz w:val="20"/>
                <w:szCs w:val="20"/>
              </w:rPr>
            </w:pPr>
            <w:r w:rsidRPr="00084F22">
              <w:rPr>
                <w:sz w:val="20"/>
                <w:szCs w:val="20"/>
              </w:rPr>
              <w:t>Packs per patient</w:t>
            </w:r>
          </w:p>
        </w:tc>
        <w:tc>
          <w:tcPr>
            <w:tcW w:w="1697" w:type="dxa"/>
          </w:tcPr>
          <w:p w14:paraId="0EC4121D" w14:textId="1E565F3F" w:rsidR="0007789B" w:rsidRPr="00084F22" w:rsidRDefault="004D4AF2" w:rsidP="0007789B">
            <w:pPr>
              <w:rPr>
                <w:sz w:val="20"/>
                <w:szCs w:val="20"/>
                <w:highlight w:val="black"/>
              </w:rPr>
            </w:pPr>
            <w:r>
              <w:rPr>
                <w:sz w:val="20"/>
                <w:szCs w:val="20"/>
                <w:highlight w:val="black"/>
              </w:rPr>
              <w:t>xxxxxxxxx</w:t>
            </w:r>
            <w:r w:rsidR="0007789B" w:rsidRPr="00084F22">
              <w:rPr>
                <w:sz w:val="20"/>
                <w:szCs w:val="20"/>
                <w:highlight w:val="black"/>
              </w:rPr>
              <w:t xml:space="preserve"> </w:t>
            </w:r>
            <w:r>
              <w:rPr>
                <w:sz w:val="20"/>
                <w:szCs w:val="20"/>
                <w:highlight w:val="black"/>
              </w:rPr>
              <w:t>xxx</w:t>
            </w:r>
          </w:p>
        </w:tc>
        <w:tc>
          <w:tcPr>
            <w:tcW w:w="1231" w:type="dxa"/>
          </w:tcPr>
          <w:p w14:paraId="12F79C02" w14:textId="420A00EF" w:rsidR="0007789B" w:rsidRPr="00084F22" w:rsidRDefault="004D4AF2" w:rsidP="0007789B">
            <w:pPr>
              <w:rPr>
                <w:sz w:val="20"/>
                <w:szCs w:val="20"/>
                <w:highlight w:val="black"/>
              </w:rPr>
            </w:pPr>
            <w:r>
              <w:rPr>
                <w:sz w:val="20"/>
                <w:szCs w:val="20"/>
                <w:highlight w:val="black"/>
              </w:rPr>
              <w:t>xxxx</w:t>
            </w:r>
          </w:p>
        </w:tc>
        <w:tc>
          <w:tcPr>
            <w:tcW w:w="1179" w:type="dxa"/>
          </w:tcPr>
          <w:p w14:paraId="4028B86A" w14:textId="5A1F8FF3" w:rsidR="0007789B" w:rsidRPr="00084F22" w:rsidRDefault="004D4AF2" w:rsidP="0007789B">
            <w:pPr>
              <w:rPr>
                <w:sz w:val="20"/>
                <w:szCs w:val="20"/>
                <w:highlight w:val="black"/>
              </w:rPr>
            </w:pPr>
            <w:r>
              <w:rPr>
                <w:sz w:val="20"/>
                <w:szCs w:val="20"/>
                <w:highlight w:val="black"/>
              </w:rPr>
              <w:t>xxxx</w:t>
            </w:r>
          </w:p>
        </w:tc>
        <w:tc>
          <w:tcPr>
            <w:tcW w:w="1134" w:type="dxa"/>
          </w:tcPr>
          <w:p w14:paraId="7537A37B" w14:textId="27986386" w:rsidR="0007789B" w:rsidRPr="00084F22" w:rsidRDefault="004D4AF2" w:rsidP="0007789B">
            <w:pPr>
              <w:rPr>
                <w:sz w:val="20"/>
                <w:szCs w:val="20"/>
                <w:highlight w:val="black"/>
              </w:rPr>
            </w:pPr>
            <w:r>
              <w:rPr>
                <w:sz w:val="20"/>
                <w:szCs w:val="20"/>
                <w:highlight w:val="black"/>
              </w:rPr>
              <w:t>xxxxx</w:t>
            </w:r>
          </w:p>
        </w:tc>
        <w:tc>
          <w:tcPr>
            <w:tcW w:w="1276" w:type="dxa"/>
          </w:tcPr>
          <w:p w14:paraId="728791E1" w14:textId="7029D9E1" w:rsidR="0007789B" w:rsidRPr="00084F22" w:rsidRDefault="004D4AF2" w:rsidP="0007789B">
            <w:pPr>
              <w:rPr>
                <w:sz w:val="20"/>
                <w:szCs w:val="20"/>
                <w:highlight w:val="black"/>
              </w:rPr>
            </w:pPr>
            <w:r>
              <w:rPr>
                <w:sz w:val="20"/>
                <w:szCs w:val="20"/>
                <w:highlight w:val="black"/>
              </w:rPr>
              <w:t>xxxxx</w:t>
            </w:r>
          </w:p>
        </w:tc>
        <w:tc>
          <w:tcPr>
            <w:tcW w:w="1155" w:type="dxa"/>
          </w:tcPr>
          <w:p w14:paraId="55F449AA" w14:textId="674FC245" w:rsidR="0007789B" w:rsidRPr="00084F22" w:rsidRDefault="004D4AF2" w:rsidP="0007789B">
            <w:pPr>
              <w:rPr>
                <w:sz w:val="20"/>
                <w:szCs w:val="20"/>
                <w:highlight w:val="black"/>
              </w:rPr>
            </w:pPr>
            <w:r>
              <w:rPr>
                <w:sz w:val="20"/>
                <w:szCs w:val="20"/>
                <w:highlight w:val="black"/>
              </w:rPr>
              <w:t>xxxxx</w:t>
            </w:r>
          </w:p>
        </w:tc>
      </w:tr>
      <w:tr w:rsidR="0007789B" w14:paraId="29AFACA9" w14:textId="77777777" w:rsidTr="00084F22">
        <w:tc>
          <w:tcPr>
            <w:tcW w:w="1275" w:type="dxa"/>
            <w:vMerge/>
          </w:tcPr>
          <w:p w14:paraId="3651EE28" w14:textId="77777777" w:rsidR="0007789B" w:rsidRPr="00084F22" w:rsidRDefault="0007789B" w:rsidP="0007789B">
            <w:pPr>
              <w:rPr>
                <w:sz w:val="20"/>
                <w:szCs w:val="20"/>
              </w:rPr>
            </w:pPr>
          </w:p>
        </w:tc>
        <w:tc>
          <w:tcPr>
            <w:tcW w:w="1697" w:type="dxa"/>
          </w:tcPr>
          <w:p w14:paraId="002A41DD" w14:textId="537FA509" w:rsidR="0007789B" w:rsidRPr="00084F22" w:rsidRDefault="0007789B" w:rsidP="0007789B">
            <w:pPr>
              <w:rPr>
                <w:sz w:val="20"/>
                <w:szCs w:val="20"/>
              </w:rPr>
            </w:pPr>
            <w:r w:rsidRPr="00084F22">
              <w:rPr>
                <w:sz w:val="20"/>
                <w:szCs w:val="20"/>
              </w:rPr>
              <w:t>Actual (A)</w:t>
            </w:r>
          </w:p>
        </w:tc>
        <w:tc>
          <w:tcPr>
            <w:tcW w:w="1231" w:type="dxa"/>
          </w:tcPr>
          <w:p w14:paraId="702D59C7" w14:textId="110690E3" w:rsidR="0007789B" w:rsidRPr="00084F22" w:rsidRDefault="007622DE" w:rsidP="0007789B">
            <w:pPr>
              <w:rPr>
                <w:sz w:val="20"/>
                <w:szCs w:val="20"/>
              </w:rPr>
            </w:pPr>
            <w:r w:rsidRPr="00084F22">
              <w:rPr>
                <w:sz w:val="20"/>
                <w:szCs w:val="20"/>
              </w:rPr>
              <w:t>18.4</w:t>
            </w:r>
          </w:p>
        </w:tc>
        <w:tc>
          <w:tcPr>
            <w:tcW w:w="1179" w:type="dxa"/>
          </w:tcPr>
          <w:p w14:paraId="16DA24BA" w14:textId="7618409C" w:rsidR="0007789B" w:rsidRPr="00084F22" w:rsidRDefault="007622DE" w:rsidP="0007789B">
            <w:pPr>
              <w:rPr>
                <w:sz w:val="20"/>
                <w:szCs w:val="20"/>
              </w:rPr>
            </w:pPr>
            <w:r w:rsidRPr="00084F22">
              <w:rPr>
                <w:sz w:val="20"/>
                <w:szCs w:val="20"/>
              </w:rPr>
              <w:t>52.9</w:t>
            </w:r>
          </w:p>
        </w:tc>
        <w:tc>
          <w:tcPr>
            <w:tcW w:w="1134" w:type="dxa"/>
          </w:tcPr>
          <w:p w14:paraId="49BFB7FB" w14:textId="5083B88D" w:rsidR="0007789B" w:rsidRPr="00084F22" w:rsidRDefault="007622DE" w:rsidP="0007789B">
            <w:pPr>
              <w:rPr>
                <w:sz w:val="20"/>
                <w:szCs w:val="20"/>
              </w:rPr>
            </w:pPr>
            <w:r w:rsidRPr="00084F22">
              <w:rPr>
                <w:sz w:val="20"/>
                <w:szCs w:val="20"/>
              </w:rPr>
              <w:t>60.0</w:t>
            </w:r>
          </w:p>
        </w:tc>
        <w:tc>
          <w:tcPr>
            <w:tcW w:w="1276" w:type="dxa"/>
          </w:tcPr>
          <w:p w14:paraId="5B01EBCD" w14:textId="7CDA3005" w:rsidR="0007789B" w:rsidRPr="00084F22" w:rsidRDefault="007622DE" w:rsidP="0007789B">
            <w:pPr>
              <w:rPr>
                <w:sz w:val="20"/>
                <w:szCs w:val="20"/>
              </w:rPr>
            </w:pPr>
            <w:r w:rsidRPr="00084F22">
              <w:rPr>
                <w:sz w:val="20"/>
                <w:szCs w:val="20"/>
              </w:rPr>
              <w:t>53.6</w:t>
            </w:r>
          </w:p>
        </w:tc>
        <w:tc>
          <w:tcPr>
            <w:tcW w:w="1155" w:type="dxa"/>
          </w:tcPr>
          <w:p w14:paraId="73C00C95" w14:textId="1237F819" w:rsidR="0007789B" w:rsidRPr="00084F22" w:rsidRDefault="007622DE" w:rsidP="0007789B">
            <w:pPr>
              <w:rPr>
                <w:sz w:val="20"/>
                <w:szCs w:val="20"/>
              </w:rPr>
            </w:pPr>
            <w:r w:rsidRPr="00084F22">
              <w:rPr>
                <w:sz w:val="20"/>
                <w:szCs w:val="20"/>
              </w:rPr>
              <w:t>50.8</w:t>
            </w:r>
          </w:p>
        </w:tc>
      </w:tr>
      <w:tr w:rsidR="0007789B" w14:paraId="5B281BE7" w14:textId="77777777" w:rsidTr="00084F22">
        <w:tc>
          <w:tcPr>
            <w:tcW w:w="1275" w:type="dxa"/>
            <w:vMerge/>
          </w:tcPr>
          <w:p w14:paraId="6DA88E7A" w14:textId="77777777" w:rsidR="0007789B" w:rsidRPr="00084F22" w:rsidRDefault="0007789B" w:rsidP="0007789B">
            <w:pPr>
              <w:rPr>
                <w:sz w:val="20"/>
                <w:szCs w:val="20"/>
              </w:rPr>
            </w:pPr>
          </w:p>
        </w:tc>
        <w:tc>
          <w:tcPr>
            <w:tcW w:w="1697" w:type="dxa"/>
          </w:tcPr>
          <w:p w14:paraId="766EDC59" w14:textId="66A2453D" w:rsidR="0007789B" w:rsidRPr="00084F22" w:rsidRDefault="004D4AF2" w:rsidP="0007789B">
            <w:pPr>
              <w:rPr>
                <w:sz w:val="20"/>
                <w:szCs w:val="20"/>
                <w:highlight w:val="black"/>
              </w:rPr>
            </w:pPr>
            <w:r>
              <w:rPr>
                <w:sz w:val="20"/>
                <w:szCs w:val="20"/>
                <w:highlight w:val="black"/>
              </w:rPr>
              <w:t>xxxxxxxxxx</w:t>
            </w:r>
            <w:r w:rsidR="0007789B" w:rsidRPr="00084F22">
              <w:rPr>
                <w:sz w:val="20"/>
                <w:szCs w:val="20"/>
                <w:highlight w:val="black"/>
              </w:rPr>
              <w:t xml:space="preserve"> </w:t>
            </w:r>
            <w:r>
              <w:rPr>
                <w:sz w:val="20"/>
                <w:szCs w:val="20"/>
                <w:highlight w:val="black"/>
              </w:rPr>
              <w:t>xxxxx</w:t>
            </w:r>
          </w:p>
        </w:tc>
        <w:tc>
          <w:tcPr>
            <w:tcW w:w="1231" w:type="dxa"/>
          </w:tcPr>
          <w:p w14:paraId="16083041" w14:textId="7732910A" w:rsidR="0007789B" w:rsidRPr="00084F22" w:rsidRDefault="004D4AF2" w:rsidP="0007789B">
            <w:pPr>
              <w:rPr>
                <w:sz w:val="20"/>
                <w:szCs w:val="20"/>
                <w:highlight w:val="black"/>
              </w:rPr>
            </w:pPr>
            <w:r>
              <w:rPr>
                <w:sz w:val="20"/>
                <w:szCs w:val="20"/>
                <w:highlight w:val="black"/>
              </w:rPr>
              <w:t>xxxxx</w:t>
            </w:r>
          </w:p>
        </w:tc>
        <w:tc>
          <w:tcPr>
            <w:tcW w:w="1179" w:type="dxa"/>
          </w:tcPr>
          <w:p w14:paraId="532FF312" w14:textId="5802980C" w:rsidR="0007789B" w:rsidRPr="00084F22" w:rsidRDefault="004D4AF2" w:rsidP="0007789B">
            <w:pPr>
              <w:rPr>
                <w:sz w:val="20"/>
                <w:szCs w:val="20"/>
                <w:highlight w:val="black"/>
              </w:rPr>
            </w:pPr>
            <w:r>
              <w:rPr>
                <w:sz w:val="20"/>
                <w:szCs w:val="20"/>
                <w:highlight w:val="black"/>
              </w:rPr>
              <w:t>xxxxx</w:t>
            </w:r>
          </w:p>
        </w:tc>
        <w:tc>
          <w:tcPr>
            <w:tcW w:w="1134" w:type="dxa"/>
          </w:tcPr>
          <w:p w14:paraId="718CE1FD" w14:textId="12947DCB" w:rsidR="0007789B" w:rsidRPr="00084F22" w:rsidRDefault="004D4AF2" w:rsidP="0007789B">
            <w:pPr>
              <w:rPr>
                <w:sz w:val="20"/>
                <w:szCs w:val="20"/>
                <w:highlight w:val="black"/>
              </w:rPr>
            </w:pPr>
            <w:r>
              <w:rPr>
                <w:sz w:val="20"/>
                <w:szCs w:val="20"/>
                <w:highlight w:val="black"/>
              </w:rPr>
              <w:t>xxxxx</w:t>
            </w:r>
          </w:p>
        </w:tc>
        <w:tc>
          <w:tcPr>
            <w:tcW w:w="1276" w:type="dxa"/>
          </w:tcPr>
          <w:p w14:paraId="44C688B1" w14:textId="7AE6CF57" w:rsidR="0007789B" w:rsidRPr="00084F22" w:rsidRDefault="004D4AF2" w:rsidP="0007789B">
            <w:pPr>
              <w:rPr>
                <w:sz w:val="20"/>
                <w:szCs w:val="20"/>
                <w:highlight w:val="black"/>
              </w:rPr>
            </w:pPr>
            <w:r>
              <w:rPr>
                <w:sz w:val="20"/>
                <w:szCs w:val="20"/>
                <w:highlight w:val="black"/>
              </w:rPr>
              <w:t>xxxxx</w:t>
            </w:r>
          </w:p>
        </w:tc>
        <w:tc>
          <w:tcPr>
            <w:tcW w:w="1155" w:type="dxa"/>
          </w:tcPr>
          <w:p w14:paraId="0F76C9CB" w14:textId="6B9F6940" w:rsidR="0007789B" w:rsidRPr="00084F22" w:rsidRDefault="004D4AF2" w:rsidP="0007789B">
            <w:pPr>
              <w:rPr>
                <w:sz w:val="20"/>
                <w:szCs w:val="20"/>
                <w:highlight w:val="black"/>
              </w:rPr>
            </w:pPr>
            <w:r>
              <w:rPr>
                <w:sz w:val="20"/>
                <w:szCs w:val="20"/>
                <w:highlight w:val="black"/>
              </w:rPr>
              <w:t>xxxxx</w:t>
            </w:r>
          </w:p>
        </w:tc>
      </w:tr>
      <w:tr w:rsidR="007622DE" w14:paraId="12BC5428" w14:textId="77777777" w:rsidTr="00084F22">
        <w:tc>
          <w:tcPr>
            <w:tcW w:w="1275" w:type="dxa"/>
            <w:vMerge/>
          </w:tcPr>
          <w:p w14:paraId="40AC0785" w14:textId="77777777" w:rsidR="007622DE" w:rsidRPr="00084F22" w:rsidRDefault="007622DE" w:rsidP="007622DE">
            <w:pPr>
              <w:rPr>
                <w:sz w:val="20"/>
                <w:szCs w:val="20"/>
              </w:rPr>
            </w:pPr>
          </w:p>
        </w:tc>
        <w:tc>
          <w:tcPr>
            <w:tcW w:w="1697" w:type="dxa"/>
          </w:tcPr>
          <w:p w14:paraId="22A949F1" w14:textId="7EDE94F4" w:rsidR="007622DE" w:rsidRPr="00084F22" w:rsidRDefault="004D4AF2" w:rsidP="007622DE">
            <w:pPr>
              <w:rPr>
                <w:sz w:val="20"/>
                <w:szCs w:val="20"/>
                <w:highlight w:val="black"/>
              </w:rPr>
            </w:pPr>
            <w:r>
              <w:rPr>
                <w:sz w:val="20"/>
                <w:szCs w:val="20"/>
                <w:highlight w:val="black"/>
              </w:rPr>
              <w:t>x</w:t>
            </w:r>
            <w:r w:rsidR="007622DE" w:rsidRPr="00084F22">
              <w:rPr>
                <w:sz w:val="20"/>
                <w:szCs w:val="20"/>
                <w:highlight w:val="black"/>
              </w:rPr>
              <w:t xml:space="preserve"> </w:t>
            </w:r>
            <w:r>
              <w:rPr>
                <w:sz w:val="20"/>
                <w:szCs w:val="20"/>
                <w:highlight w:val="black"/>
              </w:rPr>
              <w:t>xxxxxxxxxx</w:t>
            </w:r>
            <w:r w:rsidR="007622DE" w:rsidRPr="00084F22">
              <w:rPr>
                <w:sz w:val="20"/>
                <w:szCs w:val="20"/>
                <w:highlight w:val="black"/>
              </w:rPr>
              <w:t xml:space="preserve"> </w:t>
            </w:r>
            <w:r>
              <w:rPr>
                <w:sz w:val="20"/>
                <w:szCs w:val="20"/>
                <w:highlight w:val="black"/>
              </w:rPr>
              <w:t>xxxxxxx</w:t>
            </w:r>
          </w:p>
        </w:tc>
        <w:tc>
          <w:tcPr>
            <w:tcW w:w="1231" w:type="dxa"/>
          </w:tcPr>
          <w:p w14:paraId="5386671C" w14:textId="2582FE7F" w:rsidR="007622DE" w:rsidRPr="00084F22" w:rsidRDefault="004D4AF2" w:rsidP="007622DE">
            <w:pPr>
              <w:rPr>
                <w:sz w:val="20"/>
                <w:szCs w:val="20"/>
                <w:highlight w:val="black"/>
              </w:rPr>
            </w:pPr>
            <w:r>
              <w:rPr>
                <w:sz w:val="20"/>
                <w:szCs w:val="20"/>
                <w:highlight w:val="black"/>
              </w:rPr>
              <w:t>xxxxxx</w:t>
            </w:r>
          </w:p>
        </w:tc>
        <w:tc>
          <w:tcPr>
            <w:tcW w:w="1179" w:type="dxa"/>
          </w:tcPr>
          <w:p w14:paraId="662E7EBA" w14:textId="3E9E271D" w:rsidR="007622DE" w:rsidRPr="00084F22" w:rsidRDefault="004D4AF2" w:rsidP="007622DE">
            <w:pPr>
              <w:rPr>
                <w:sz w:val="20"/>
                <w:szCs w:val="20"/>
                <w:highlight w:val="black"/>
              </w:rPr>
            </w:pPr>
            <w:r>
              <w:rPr>
                <w:sz w:val="20"/>
                <w:szCs w:val="20"/>
                <w:highlight w:val="black"/>
              </w:rPr>
              <w:t>xxxxxx</w:t>
            </w:r>
          </w:p>
        </w:tc>
        <w:tc>
          <w:tcPr>
            <w:tcW w:w="1134" w:type="dxa"/>
          </w:tcPr>
          <w:p w14:paraId="20C09271" w14:textId="3AB12305" w:rsidR="007622DE" w:rsidRPr="00084F22" w:rsidRDefault="004D4AF2" w:rsidP="007622DE">
            <w:pPr>
              <w:rPr>
                <w:sz w:val="20"/>
                <w:szCs w:val="20"/>
                <w:highlight w:val="black"/>
              </w:rPr>
            </w:pPr>
            <w:r>
              <w:rPr>
                <w:sz w:val="20"/>
                <w:szCs w:val="20"/>
                <w:highlight w:val="black"/>
              </w:rPr>
              <w:t>xxxxxx</w:t>
            </w:r>
          </w:p>
        </w:tc>
        <w:tc>
          <w:tcPr>
            <w:tcW w:w="1276" w:type="dxa"/>
          </w:tcPr>
          <w:p w14:paraId="16BECFF8" w14:textId="19365ABC" w:rsidR="007622DE" w:rsidRPr="00084F22" w:rsidRDefault="004D4AF2" w:rsidP="007622DE">
            <w:pPr>
              <w:rPr>
                <w:sz w:val="20"/>
                <w:szCs w:val="20"/>
                <w:highlight w:val="black"/>
              </w:rPr>
            </w:pPr>
            <w:r>
              <w:rPr>
                <w:sz w:val="20"/>
                <w:szCs w:val="20"/>
                <w:highlight w:val="black"/>
              </w:rPr>
              <w:t>xxxxxx</w:t>
            </w:r>
          </w:p>
        </w:tc>
        <w:tc>
          <w:tcPr>
            <w:tcW w:w="1155" w:type="dxa"/>
          </w:tcPr>
          <w:p w14:paraId="313D2B8B" w14:textId="71CE562C" w:rsidR="007622DE" w:rsidRPr="00084F22" w:rsidRDefault="004D4AF2" w:rsidP="007622DE">
            <w:pPr>
              <w:rPr>
                <w:sz w:val="20"/>
                <w:szCs w:val="20"/>
                <w:highlight w:val="black"/>
              </w:rPr>
            </w:pPr>
            <w:r>
              <w:rPr>
                <w:sz w:val="20"/>
                <w:szCs w:val="20"/>
                <w:highlight w:val="black"/>
              </w:rPr>
              <w:t>xxxxxx</w:t>
            </w:r>
          </w:p>
        </w:tc>
      </w:tr>
      <w:tr w:rsidR="007622DE" w14:paraId="3FC3C99B" w14:textId="77777777" w:rsidTr="00084F22">
        <w:tc>
          <w:tcPr>
            <w:tcW w:w="1275" w:type="dxa"/>
            <w:vMerge w:val="restart"/>
          </w:tcPr>
          <w:p w14:paraId="251C9080" w14:textId="26CCED39" w:rsidR="007622DE" w:rsidRPr="00084F22" w:rsidRDefault="007622DE" w:rsidP="007622DE">
            <w:pPr>
              <w:rPr>
                <w:sz w:val="20"/>
                <w:szCs w:val="20"/>
              </w:rPr>
            </w:pPr>
            <w:r w:rsidRPr="00084F22">
              <w:rPr>
                <w:sz w:val="20"/>
                <w:szCs w:val="20"/>
              </w:rPr>
              <w:t>Expenditure</w:t>
            </w:r>
          </w:p>
        </w:tc>
        <w:tc>
          <w:tcPr>
            <w:tcW w:w="1697" w:type="dxa"/>
          </w:tcPr>
          <w:p w14:paraId="53E050FF" w14:textId="272480E1" w:rsidR="007622DE" w:rsidRPr="00084F22" w:rsidRDefault="004D4AF2" w:rsidP="007622DE">
            <w:pPr>
              <w:rPr>
                <w:sz w:val="20"/>
                <w:szCs w:val="20"/>
                <w:highlight w:val="black"/>
              </w:rPr>
            </w:pPr>
            <w:r>
              <w:rPr>
                <w:sz w:val="20"/>
                <w:szCs w:val="20"/>
                <w:highlight w:val="black"/>
              </w:rPr>
              <w:t>xxxxxxxxx</w:t>
            </w:r>
            <w:r w:rsidR="007622DE" w:rsidRPr="00084F22">
              <w:rPr>
                <w:sz w:val="20"/>
                <w:szCs w:val="20"/>
                <w:highlight w:val="black"/>
              </w:rPr>
              <w:t xml:space="preserve"> </w:t>
            </w:r>
            <w:r>
              <w:rPr>
                <w:sz w:val="20"/>
                <w:szCs w:val="20"/>
                <w:highlight w:val="black"/>
              </w:rPr>
              <w:t>xxx</w:t>
            </w:r>
          </w:p>
        </w:tc>
        <w:tc>
          <w:tcPr>
            <w:tcW w:w="1231" w:type="dxa"/>
          </w:tcPr>
          <w:p w14:paraId="5F901FF3" w14:textId="20C6D95B" w:rsidR="007622DE" w:rsidRPr="00084F22" w:rsidRDefault="004D4AF2" w:rsidP="009E034A">
            <w:pPr>
              <w:rPr>
                <w:sz w:val="20"/>
                <w:szCs w:val="20"/>
                <w:highlight w:val="black"/>
              </w:rPr>
            </w:pPr>
            <w:r>
              <w:rPr>
                <w:sz w:val="20"/>
                <w:szCs w:val="20"/>
                <w:highlight w:val="black"/>
              </w:rPr>
              <w:t>xxxxxxxxxx</w:t>
            </w:r>
          </w:p>
        </w:tc>
        <w:tc>
          <w:tcPr>
            <w:tcW w:w="1179" w:type="dxa"/>
          </w:tcPr>
          <w:p w14:paraId="37269AE6" w14:textId="7F0AE9A6" w:rsidR="007622DE" w:rsidRPr="00084F22" w:rsidRDefault="004D4AF2" w:rsidP="009E034A">
            <w:pPr>
              <w:rPr>
                <w:sz w:val="20"/>
                <w:szCs w:val="20"/>
                <w:highlight w:val="black"/>
              </w:rPr>
            </w:pPr>
            <w:r>
              <w:rPr>
                <w:sz w:val="20"/>
                <w:szCs w:val="20"/>
                <w:highlight w:val="black"/>
              </w:rPr>
              <w:t>xxxxxxxxxx</w:t>
            </w:r>
          </w:p>
        </w:tc>
        <w:tc>
          <w:tcPr>
            <w:tcW w:w="1134" w:type="dxa"/>
          </w:tcPr>
          <w:p w14:paraId="5F11396D" w14:textId="539363B0" w:rsidR="007622DE" w:rsidRPr="00084F22" w:rsidRDefault="004D4AF2" w:rsidP="007622DE">
            <w:pPr>
              <w:rPr>
                <w:sz w:val="20"/>
                <w:szCs w:val="20"/>
                <w:highlight w:val="black"/>
              </w:rPr>
            </w:pPr>
            <w:r>
              <w:rPr>
                <w:sz w:val="20"/>
                <w:szCs w:val="20"/>
                <w:highlight w:val="black"/>
              </w:rPr>
              <w:t>xxxxxxxxxx</w:t>
            </w:r>
          </w:p>
        </w:tc>
        <w:tc>
          <w:tcPr>
            <w:tcW w:w="1276" w:type="dxa"/>
          </w:tcPr>
          <w:p w14:paraId="32D4FC91" w14:textId="64F3DEBC" w:rsidR="007622DE" w:rsidRPr="00084F22" w:rsidRDefault="004D4AF2" w:rsidP="007622DE">
            <w:pPr>
              <w:rPr>
                <w:sz w:val="20"/>
                <w:szCs w:val="20"/>
                <w:highlight w:val="black"/>
              </w:rPr>
            </w:pPr>
            <w:r>
              <w:rPr>
                <w:sz w:val="20"/>
                <w:szCs w:val="20"/>
                <w:highlight w:val="black"/>
              </w:rPr>
              <w:t>xxxxxxxxxx</w:t>
            </w:r>
          </w:p>
        </w:tc>
        <w:tc>
          <w:tcPr>
            <w:tcW w:w="1155" w:type="dxa"/>
          </w:tcPr>
          <w:p w14:paraId="2FEA04B8" w14:textId="02ECCA03" w:rsidR="007622DE" w:rsidRPr="00084F22" w:rsidRDefault="004D4AF2" w:rsidP="007622DE">
            <w:pPr>
              <w:rPr>
                <w:sz w:val="20"/>
                <w:szCs w:val="20"/>
                <w:highlight w:val="black"/>
              </w:rPr>
            </w:pPr>
            <w:r>
              <w:rPr>
                <w:sz w:val="20"/>
                <w:szCs w:val="20"/>
                <w:highlight w:val="black"/>
              </w:rPr>
              <w:t>xxxxxxxxxx</w:t>
            </w:r>
          </w:p>
        </w:tc>
      </w:tr>
      <w:tr w:rsidR="007622DE" w14:paraId="4BE140C0" w14:textId="77777777" w:rsidTr="00084F22">
        <w:tc>
          <w:tcPr>
            <w:tcW w:w="1275" w:type="dxa"/>
            <w:vMerge/>
          </w:tcPr>
          <w:p w14:paraId="551A1314" w14:textId="77777777" w:rsidR="007622DE" w:rsidRPr="00084F22" w:rsidRDefault="007622DE" w:rsidP="007622DE">
            <w:pPr>
              <w:rPr>
                <w:sz w:val="20"/>
                <w:szCs w:val="20"/>
              </w:rPr>
            </w:pPr>
          </w:p>
        </w:tc>
        <w:tc>
          <w:tcPr>
            <w:tcW w:w="1697" w:type="dxa"/>
          </w:tcPr>
          <w:p w14:paraId="645AC2F3" w14:textId="5011A9BB" w:rsidR="007622DE" w:rsidRPr="00084F22" w:rsidRDefault="007622DE" w:rsidP="007622DE">
            <w:pPr>
              <w:rPr>
                <w:sz w:val="20"/>
                <w:szCs w:val="20"/>
              </w:rPr>
            </w:pPr>
            <w:r w:rsidRPr="00084F22">
              <w:rPr>
                <w:sz w:val="20"/>
                <w:szCs w:val="20"/>
              </w:rPr>
              <w:t>Actual (A)</w:t>
            </w:r>
          </w:p>
        </w:tc>
        <w:tc>
          <w:tcPr>
            <w:tcW w:w="1231" w:type="dxa"/>
          </w:tcPr>
          <w:p w14:paraId="08F5D892" w14:textId="6200A488" w:rsidR="007622DE" w:rsidRPr="00084F22" w:rsidRDefault="007622DE" w:rsidP="009E034A">
            <w:pPr>
              <w:rPr>
                <w:sz w:val="20"/>
                <w:szCs w:val="20"/>
              </w:rPr>
            </w:pPr>
            <w:r w:rsidRPr="00084F22">
              <w:rPr>
                <w:sz w:val="20"/>
                <w:szCs w:val="20"/>
              </w:rPr>
              <w:t>$246,17</w:t>
            </w:r>
            <w:r w:rsidR="009E034A" w:rsidRPr="00084F22">
              <w:rPr>
                <w:sz w:val="20"/>
                <w:szCs w:val="20"/>
              </w:rPr>
              <w:t>3</w:t>
            </w:r>
          </w:p>
        </w:tc>
        <w:tc>
          <w:tcPr>
            <w:tcW w:w="1179" w:type="dxa"/>
          </w:tcPr>
          <w:p w14:paraId="5A8208EB" w14:textId="41C3DE1F" w:rsidR="007622DE" w:rsidRPr="00084F22" w:rsidRDefault="007622DE" w:rsidP="007622DE">
            <w:pPr>
              <w:rPr>
                <w:sz w:val="20"/>
                <w:szCs w:val="20"/>
              </w:rPr>
            </w:pPr>
            <w:r w:rsidRPr="00084F22">
              <w:rPr>
                <w:sz w:val="20"/>
                <w:szCs w:val="20"/>
              </w:rPr>
              <w:t>$986,9</w:t>
            </w:r>
            <w:r w:rsidR="009E034A" w:rsidRPr="00084F22">
              <w:rPr>
                <w:sz w:val="20"/>
                <w:szCs w:val="20"/>
              </w:rPr>
              <w:t>40</w:t>
            </w:r>
          </w:p>
        </w:tc>
        <w:tc>
          <w:tcPr>
            <w:tcW w:w="1134" w:type="dxa"/>
          </w:tcPr>
          <w:p w14:paraId="499CFBD5" w14:textId="4949B730" w:rsidR="007622DE" w:rsidRPr="00084F22" w:rsidRDefault="007622DE" w:rsidP="007622DE">
            <w:pPr>
              <w:rPr>
                <w:sz w:val="20"/>
                <w:szCs w:val="20"/>
              </w:rPr>
            </w:pPr>
            <w:r w:rsidRPr="00084F22">
              <w:rPr>
                <w:sz w:val="20"/>
                <w:szCs w:val="20"/>
              </w:rPr>
              <w:t>$1,281,076</w:t>
            </w:r>
          </w:p>
        </w:tc>
        <w:tc>
          <w:tcPr>
            <w:tcW w:w="1276" w:type="dxa"/>
          </w:tcPr>
          <w:p w14:paraId="2675F9C4" w14:textId="07A1C48B" w:rsidR="007622DE" w:rsidRPr="00084F22" w:rsidRDefault="007622DE" w:rsidP="007622DE">
            <w:pPr>
              <w:rPr>
                <w:sz w:val="20"/>
                <w:szCs w:val="20"/>
              </w:rPr>
            </w:pPr>
            <w:r w:rsidRPr="00084F22">
              <w:rPr>
                <w:sz w:val="20"/>
                <w:szCs w:val="20"/>
              </w:rPr>
              <w:t>$1,648,0</w:t>
            </w:r>
            <w:r w:rsidR="009E034A" w:rsidRPr="00084F22">
              <w:rPr>
                <w:sz w:val="20"/>
                <w:szCs w:val="20"/>
              </w:rPr>
              <w:t>50</w:t>
            </w:r>
          </w:p>
        </w:tc>
        <w:tc>
          <w:tcPr>
            <w:tcW w:w="1155" w:type="dxa"/>
          </w:tcPr>
          <w:p w14:paraId="16FB9073" w14:textId="5F4774E4" w:rsidR="007622DE" w:rsidRPr="00084F22" w:rsidRDefault="007622DE" w:rsidP="007622DE">
            <w:pPr>
              <w:rPr>
                <w:sz w:val="20"/>
                <w:szCs w:val="20"/>
              </w:rPr>
            </w:pPr>
            <w:r w:rsidRPr="00084F22">
              <w:rPr>
                <w:sz w:val="20"/>
                <w:szCs w:val="20"/>
              </w:rPr>
              <w:t>$1,559,783</w:t>
            </w:r>
          </w:p>
        </w:tc>
      </w:tr>
      <w:tr w:rsidR="007622DE" w14:paraId="77ED5842" w14:textId="77777777" w:rsidTr="00084F22">
        <w:tc>
          <w:tcPr>
            <w:tcW w:w="1275" w:type="dxa"/>
            <w:vMerge/>
          </w:tcPr>
          <w:p w14:paraId="1B7DEFB3" w14:textId="77777777" w:rsidR="007622DE" w:rsidRPr="00084F22" w:rsidRDefault="007622DE" w:rsidP="007622DE">
            <w:pPr>
              <w:rPr>
                <w:sz w:val="20"/>
                <w:szCs w:val="20"/>
              </w:rPr>
            </w:pPr>
          </w:p>
        </w:tc>
        <w:tc>
          <w:tcPr>
            <w:tcW w:w="1697" w:type="dxa"/>
          </w:tcPr>
          <w:p w14:paraId="496179B9" w14:textId="1998DBC4" w:rsidR="007622DE" w:rsidRPr="00084F22" w:rsidRDefault="004D4AF2" w:rsidP="007622DE">
            <w:pPr>
              <w:rPr>
                <w:sz w:val="20"/>
                <w:szCs w:val="20"/>
                <w:highlight w:val="black"/>
              </w:rPr>
            </w:pPr>
            <w:r>
              <w:rPr>
                <w:sz w:val="20"/>
                <w:szCs w:val="20"/>
                <w:highlight w:val="black"/>
              </w:rPr>
              <w:t>xxxxxxxxxx</w:t>
            </w:r>
            <w:r w:rsidR="007622DE" w:rsidRPr="00084F22">
              <w:rPr>
                <w:sz w:val="20"/>
                <w:szCs w:val="20"/>
                <w:highlight w:val="black"/>
              </w:rPr>
              <w:t xml:space="preserve"> </w:t>
            </w:r>
            <w:r>
              <w:rPr>
                <w:sz w:val="20"/>
                <w:szCs w:val="20"/>
                <w:highlight w:val="black"/>
              </w:rPr>
              <w:t>xxxxx</w:t>
            </w:r>
          </w:p>
        </w:tc>
        <w:tc>
          <w:tcPr>
            <w:tcW w:w="1231" w:type="dxa"/>
          </w:tcPr>
          <w:p w14:paraId="3B8783ED" w14:textId="08FEA1CC" w:rsidR="007622DE" w:rsidRPr="00084F22" w:rsidRDefault="004D4AF2" w:rsidP="007622DE">
            <w:pPr>
              <w:rPr>
                <w:sz w:val="20"/>
                <w:szCs w:val="20"/>
                <w:highlight w:val="black"/>
              </w:rPr>
            </w:pPr>
            <w:r>
              <w:rPr>
                <w:sz w:val="20"/>
                <w:szCs w:val="20"/>
                <w:highlight w:val="black"/>
              </w:rPr>
              <w:t>xxxxxxxxxxx</w:t>
            </w:r>
          </w:p>
        </w:tc>
        <w:tc>
          <w:tcPr>
            <w:tcW w:w="1179" w:type="dxa"/>
          </w:tcPr>
          <w:p w14:paraId="58DCED25" w14:textId="728AC6A8" w:rsidR="007622DE" w:rsidRPr="00084F22" w:rsidRDefault="004D4AF2" w:rsidP="007622DE">
            <w:pPr>
              <w:rPr>
                <w:sz w:val="20"/>
                <w:szCs w:val="20"/>
                <w:highlight w:val="black"/>
              </w:rPr>
            </w:pPr>
            <w:r>
              <w:rPr>
                <w:sz w:val="20"/>
                <w:szCs w:val="20"/>
                <w:highlight w:val="black"/>
              </w:rPr>
              <w:t>xxxxxxxxxxx</w:t>
            </w:r>
          </w:p>
        </w:tc>
        <w:tc>
          <w:tcPr>
            <w:tcW w:w="1134" w:type="dxa"/>
          </w:tcPr>
          <w:p w14:paraId="2E827A50" w14:textId="664309C0" w:rsidR="007622DE" w:rsidRPr="00084F22" w:rsidRDefault="004D4AF2" w:rsidP="007622DE">
            <w:pPr>
              <w:rPr>
                <w:sz w:val="20"/>
                <w:szCs w:val="20"/>
                <w:highlight w:val="black"/>
              </w:rPr>
            </w:pPr>
            <w:r>
              <w:rPr>
                <w:sz w:val="20"/>
                <w:szCs w:val="20"/>
                <w:highlight w:val="black"/>
              </w:rPr>
              <w:t>xxxxxxxxx</w:t>
            </w:r>
          </w:p>
        </w:tc>
        <w:tc>
          <w:tcPr>
            <w:tcW w:w="1276" w:type="dxa"/>
          </w:tcPr>
          <w:p w14:paraId="5E9B08AE" w14:textId="581ECA51" w:rsidR="007622DE" w:rsidRPr="00084F22" w:rsidRDefault="004D4AF2" w:rsidP="007622DE">
            <w:pPr>
              <w:rPr>
                <w:sz w:val="20"/>
                <w:szCs w:val="20"/>
                <w:highlight w:val="black"/>
              </w:rPr>
            </w:pPr>
            <w:r>
              <w:rPr>
                <w:sz w:val="20"/>
                <w:szCs w:val="20"/>
                <w:highlight w:val="black"/>
              </w:rPr>
              <w:t>xxxxxxxxx</w:t>
            </w:r>
          </w:p>
        </w:tc>
        <w:tc>
          <w:tcPr>
            <w:tcW w:w="1155" w:type="dxa"/>
          </w:tcPr>
          <w:p w14:paraId="7CA8EF32" w14:textId="32ACBDB8" w:rsidR="007622DE" w:rsidRPr="00084F22" w:rsidRDefault="004D4AF2" w:rsidP="007622DE">
            <w:pPr>
              <w:rPr>
                <w:sz w:val="20"/>
                <w:szCs w:val="20"/>
                <w:highlight w:val="black"/>
              </w:rPr>
            </w:pPr>
            <w:r>
              <w:rPr>
                <w:sz w:val="20"/>
                <w:szCs w:val="20"/>
                <w:highlight w:val="black"/>
              </w:rPr>
              <w:t>xxxxxxxxx</w:t>
            </w:r>
          </w:p>
        </w:tc>
      </w:tr>
      <w:tr w:rsidR="007622DE" w14:paraId="4D99BB64" w14:textId="77777777" w:rsidTr="00084F22">
        <w:tc>
          <w:tcPr>
            <w:tcW w:w="1275" w:type="dxa"/>
            <w:vMerge/>
          </w:tcPr>
          <w:p w14:paraId="675FC8FF" w14:textId="77777777" w:rsidR="007622DE" w:rsidRPr="00084F22" w:rsidRDefault="007622DE" w:rsidP="007622DE">
            <w:pPr>
              <w:rPr>
                <w:sz w:val="20"/>
                <w:szCs w:val="20"/>
              </w:rPr>
            </w:pPr>
          </w:p>
        </w:tc>
        <w:tc>
          <w:tcPr>
            <w:tcW w:w="1697" w:type="dxa"/>
          </w:tcPr>
          <w:p w14:paraId="60AEC390" w14:textId="3A9BF2E1" w:rsidR="007622DE" w:rsidRPr="00084F22" w:rsidRDefault="004D4AF2" w:rsidP="007622DE">
            <w:pPr>
              <w:rPr>
                <w:sz w:val="20"/>
                <w:szCs w:val="20"/>
                <w:highlight w:val="black"/>
              </w:rPr>
            </w:pPr>
            <w:r>
              <w:rPr>
                <w:sz w:val="20"/>
                <w:szCs w:val="20"/>
                <w:highlight w:val="black"/>
              </w:rPr>
              <w:t>x</w:t>
            </w:r>
            <w:r w:rsidR="007622DE" w:rsidRPr="00084F22">
              <w:rPr>
                <w:sz w:val="20"/>
                <w:szCs w:val="20"/>
                <w:highlight w:val="black"/>
              </w:rPr>
              <w:t xml:space="preserve"> </w:t>
            </w:r>
            <w:r>
              <w:rPr>
                <w:sz w:val="20"/>
                <w:szCs w:val="20"/>
                <w:highlight w:val="black"/>
              </w:rPr>
              <w:t>xxxxxxxxxx</w:t>
            </w:r>
            <w:r w:rsidR="007622DE" w:rsidRPr="00084F22">
              <w:rPr>
                <w:sz w:val="20"/>
                <w:szCs w:val="20"/>
                <w:highlight w:val="black"/>
              </w:rPr>
              <w:t xml:space="preserve"> </w:t>
            </w:r>
            <w:r>
              <w:rPr>
                <w:sz w:val="20"/>
                <w:szCs w:val="20"/>
                <w:highlight w:val="black"/>
              </w:rPr>
              <w:t>xxxxxxx</w:t>
            </w:r>
          </w:p>
        </w:tc>
        <w:tc>
          <w:tcPr>
            <w:tcW w:w="1231" w:type="dxa"/>
          </w:tcPr>
          <w:p w14:paraId="2B915EDA" w14:textId="1DD96484" w:rsidR="007622DE" w:rsidRPr="00084F22" w:rsidRDefault="004D4AF2" w:rsidP="007622DE">
            <w:pPr>
              <w:rPr>
                <w:sz w:val="20"/>
                <w:szCs w:val="20"/>
                <w:highlight w:val="black"/>
              </w:rPr>
            </w:pPr>
            <w:r>
              <w:rPr>
                <w:sz w:val="20"/>
                <w:szCs w:val="20"/>
                <w:highlight w:val="black"/>
              </w:rPr>
              <w:t>xxxxxx</w:t>
            </w:r>
          </w:p>
        </w:tc>
        <w:tc>
          <w:tcPr>
            <w:tcW w:w="1179" w:type="dxa"/>
          </w:tcPr>
          <w:p w14:paraId="02F0AE7C" w14:textId="1880AA41" w:rsidR="007622DE" w:rsidRPr="00084F22" w:rsidRDefault="004D4AF2" w:rsidP="007622DE">
            <w:pPr>
              <w:rPr>
                <w:sz w:val="20"/>
                <w:szCs w:val="20"/>
                <w:highlight w:val="black"/>
              </w:rPr>
            </w:pPr>
            <w:r>
              <w:rPr>
                <w:sz w:val="20"/>
                <w:szCs w:val="20"/>
                <w:highlight w:val="black"/>
              </w:rPr>
              <w:t>xxxxxx</w:t>
            </w:r>
          </w:p>
        </w:tc>
        <w:tc>
          <w:tcPr>
            <w:tcW w:w="1134" w:type="dxa"/>
          </w:tcPr>
          <w:p w14:paraId="666283FE" w14:textId="62BBFF79" w:rsidR="007622DE" w:rsidRPr="00084F22" w:rsidRDefault="004D4AF2" w:rsidP="007622DE">
            <w:pPr>
              <w:rPr>
                <w:sz w:val="20"/>
                <w:szCs w:val="20"/>
                <w:highlight w:val="black"/>
              </w:rPr>
            </w:pPr>
            <w:r>
              <w:rPr>
                <w:sz w:val="20"/>
                <w:szCs w:val="20"/>
                <w:highlight w:val="black"/>
              </w:rPr>
              <w:t>xxxxxx</w:t>
            </w:r>
          </w:p>
        </w:tc>
        <w:tc>
          <w:tcPr>
            <w:tcW w:w="1276" w:type="dxa"/>
          </w:tcPr>
          <w:p w14:paraId="6C6E82E9" w14:textId="54ACAE4D" w:rsidR="007622DE" w:rsidRPr="00084F22" w:rsidRDefault="004D4AF2" w:rsidP="007622DE">
            <w:pPr>
              <w:rPr>
                <w:sz w:val="20"/>
                <w:szCs w:val="20"/>
                <w:highlight w:val="black"/>
              </w:rPr>
            </w:pPr>
            <w:r>
              <w:rPr>
                <w:sz w:val="20"/>
                <w:szCs w:val="20"/>
                <w:highlight w:val="black"/>
              </w:rPr>
              <w:t>xxxxxx</w:t>
            </w:r>
          </w:p>
        </w:tc>
        <w:tc>
          <w:tcPr>
            <w:tcW w:w="1155" w:type="dxa"/>
          </w:tcPr>
          <w:p w14:paraId="66A11B1B" w14:textId="05E9E6AD" w:rsidR="007622DE" w:rsidRPr="00084F22" w:rsidRDefault="004D4AF2" w:rsidP="007622DE">
            <w:pPr>
              <w:rPr>
                <w:sz w:val="20"/>
                <w:szCs w:val="20"/>
                <w:highlight w:val="black"/>
              </w:rPr>
            </w:pPr>
            <w:r>
              <w:rPr>
                <w:sz w:val="20"/>
                <w:szCs w:val="20"/>
                <w:highlight w:val="black"/>
              </w:rPr>
              <w:t>xxxxxx</w:t>
            </w:r>
          </w:p>
        </w:tc>
      </w:tr>
    </w:tbl>
    <w:p w14:paraId="7754FE3A" w14:textId="53CA90A4" w:rsidR="004103EF" w:rsidRDefault="0009427A" w:rsidP="004103EF">
      <w:pPr>
        <w:pStyle w:val="Figurecaption"/>
      </w:pPr>
      <w:r w:rsidRPr="0009427A">
        <w:t xml:space="preserve">Note: Year covers the period from 1 May – 30 April except for 2018-19 as data cut off </w:t>
      </w:r>
      <w:r w:rsidR="004C1D5A">
        <w:t>wa</w:t>
      </w:r>
      <w:r w:rsidRPr="0009427A">
        <w:t>s 28 February 2019.</w:t>
      </w:r>
    </w:p>
    <w:p w14:paraId="1DF7D05A" w14:textId="763857F6" w:rsidR="00631C87" w:rsidRDefault="00631C87" w:rsidP="004103EF">
      <w:pPr>
        <w:pStyle w:val="Figurecaption"/>
      </w:pPr>
    </w:p>
    <w:p w14:paraId="395FBA19" w14:textId="61A4A6DD" w:rsidR="00E94E76" w:rsidRDefault="00E94E76" w:rsidP="00E94E76">
      <w:pPr>
        <w:pStyle w:val="Figurecaption"/>
        <w:rPr>
          <w:sz w:val="24"/>
          <w:szCs w:val="24"/>
          <w:lang w:eastAsia="en-AU"/>
        </w:rPr>
      </w:pPr>
      <w:r w:rsidRPr="00147E02">
        <w:rPr>
          <w:sz w:val="24"/>
          <w:szCs w:val="24"/>
          <w:lang w:eastAsia="en-AU"/>
        </w:rPr>
        <w:t>The total amount of drug dispensed</w:t>
      </w:r>
      <w:r>
        <w:rPr>
          <w:sz w:val="24"/>
          <w:szCs w:val="24"/>
          <w:lang w:eastAsia="en-AU"/>
        </w:rPr>
        <w:t xml:space="preserve"> (</w:t>
      </w:r>
      <w:r w:rsidRPr="00147E02">
        <w:rPr>
          <w:sz w:val="24"/>
          <w:szCs w:val="24"/>
          <w:lang w:eastAsia="en-AU"/>
        </w:rPr>
        <w:t>milligrams</w:t>
      </w:r>
      <w:r>
        <w:rPr>
          <w:sz w:val="24"/>
          <w:szCs w:val="24"/>
          <w:lang w:eastAsia="en-AU"/>
        </w:rPr>
        <w:t>)</w:t>
      </w:r>
      <w:r w:rsidRPr="00147E02">
        <w:rPr>
          <w:sz w:val="24"/>
          <w:szCs w:val="24"/>
          <w:lang w:eastAsia="en-AU"/>
        </w:rPr>
        <w:t xml:space="preserve"> was lower than predicted</w:t>
      </w:r>
      <w:r>
        <w:rPr>
          <w:sz w:val="24"/>
          <w:szCs w:val="24"/>
          <w:lang w:eastAsia="en-AU"/>
        </w:rPr>
        <w:t xml:space="preserve"> (Figure 7)</w:t>
      </w:r>
      <w:r w:rsidR="00551163">
        <w:rPr>
          <w:sz w:val="24"/>
          <w:szCs w:val="24"/>
          <w:lang w:eastAsia="en-AU"/>
        </w:rPr>
        <w:t xml:space="preserve">. </w:t>
      </w:r>
      <w:r>
        <w:rPr>
          <w:sz w:val="24"/>
          <w:szCs w:val="24"/>
          <w:lang w:eastAsia="en-AU"/>
        </w:rPr>
        <w:t xml:space="preserve"> </w:t>
      </w:r>
      <w:r w:rsidRPr="00147E02">
        <w:rPr>
          <w:sz w:val="24"/>
          <w:szCs w:val="24"/>
          <w:lang w:eastAsia="en-AU"/>
        </w:rPr>
        <w:t xml:space="preserve">The </w:t>
      </w:r>
      <w:r>
        <w:rPr>
          <w:sz w:val="24"/>
          <w:szCs w:val="24"/>
          <w:lang w:eastAsia="en-AU"/>
        </w:rPr>
        <w:t>total amount of drug dispensed increas</w:t>
      </w:r>
      <w:r w:rsidR="000B7B87">
        <w:rPr>
          <w:sz w:val="24"/>
          <w:szCs w:val="24"/>
          <w:lang w:eastAsia="en-AU"/>
        </w:rPr>
        <w:t>ed</w:t>
      </w:r>
      <w:r>
        <w:rPr>
          <w:sz w:val="24"/>
          <w:szCs w:val="24"/>
          <w:lang w:eastAsia="en-AU"/>
        </w:rPr>
        <w:t xml:space="preserve"> steadily</w:t>
      </w:r>
      <w:r w:rsidR="000B7B87">
        <w:rPr>
          <w:sz w:val="24"/>
          <w:szCs w:val="24"/>
          <w:lang w:eastAsia="en-AU"/>
        </w:rPr>
        <w:t>,</w:t>
      </w:r>
      <w:r>
        <w:rPr>
          <w:sz w:val="24"/>
          <w:szCs w:val="24"/>
          <w:lang w:eastAsia="en-AU"/>
        </w:rPr>
        <w:t xml:space="preserve"> as shown</w:t>
      </w:r>
      <w:r w:rsidRPr="00147E02">
        <w:rPr>
          <w:sz w:val="24"/>
          <w:szCs w:val="24"/>
          <w:lang w:eastAsia="en-AU"/>
        </w:rPr>
        <w:t xml:space="preserve"> by</w:t>
      </w:r>
      <w:r>
        <w:rPr>
          <w:sz w:val="24"/>
          <w:szCs w:val="24"/>
          <w:lang w:eastAsia="en-AU"/>
        </w:rPr>
        <w:t xml:space="preserve"> the declining gap between the predicted and actual amount dispensed</w:t>
      </w:r>
      <w:r w:rsidR="000B7B87">
        <w:rPr>
          <w:sz w:val="24"/>
          <w:szCs w:val="24"/>
          <w:lang w:eastAsia="en-AU"/>
        </w:rPr>
        <w:t>,</w:t>
      </w:r>
      <w:r>
        <w:rPr>
          <w:sz w:val="24"/>
          <w:szCs w:val="24"/>
          <w:lang w:eastAsia="en-AU"/>
        </w:rPr>
        <w:t xml:space="preserve"> of </w:t>
      </w:r>
      <w:r w:rsidR="004D4AF2" w:rsidRPr="004D4AF2">
        <w:rPr>
          <w:sz w:val="24"/>
          <w:szCs w:val="24"/>
          <w:highlight w:val="black"/>
          <w:lang w:eastAsia="en-AU"/>
        </w:rPr>
        <w:t>xxxx</w:t>
      </w:r>
      <w:r>
        <w:rPr>
          <w:sz w:val="24"/>
          <w:szCs w:val="24"/>
          <w:lang w:eastAsia="en-AU"/>
        </w:rPr>
        <w:t>%,</w:t>
      </w:r>
      <w:r w:rsidRPr="00147E02">
        <w:rPr>
          <w:sz w:val="24"/>
          <w:szCs w:val="24"/>
          <w:lang w:eastAsia="en-AU"/>
        </w:rPr>
        <w:t xml:space="preserve"> </w:t>
      </w:r>
      <w:r w:rsidR="004D4AF2" w:rsidRPr="004D4AF2">
        <w:rPr>
          <w:sz w:val="24"/>
          <w:szCs w:val="24"/>
          <w:highlight w:val="black"/>
          <w:lang w:eastAsia="en-AU"/>
        </w:rPr>
        <w:t>xxxx</w:t>
      </w:r>
      <w:r>
        <w:rPr>
          <w:sz w:val="24"/>
          <w:szCs w:val="24"/>
          <w:lang w:eastAsia="en-AU"/>
        </w:rPr>
        <w:t xml:space="preserve">% and </w:t>
      </w:r>
      <w:r w:rsidR="004D4AF2" w:rsidRPr="004D4AF2">
        <w:rPr>
          <w:sz w:val="24"/>
          <w:szCs w:val="24"/>
          <w:highlight w:val="black"/>
          <w:lang w:eastAsia="en-AU"/>
        </w:rPr>
        <w:t>xxxx</w:t>
      </w:r>
      <w:r>
        <w:rPr>
          <w:sz w:val="24"/>
          <w:szCs w:val="24"/>
          <w:lang w:eastAsia="en-AU"/>
        </w:rPr>
        <w:t xml:space="preserve">% in Years 2, 3 and 4 respectively. </w:t>
      </w:r>
    </w:p>
    <w:p w14:paraId="6A9372DF" w14:textId="1B08BFAB" w:rsidR="00E94E76" w:rsidRDefault="0028239F" w:rsidP="004103EF">
      <w:pPr>
        <w:pStyle w:val="Figurecaption"/>
      </w:pPr>
      <w:r>
        <w:rPr>
          <w:noProof/>
          <w:lang w:eastAsia="en-AU"/>
        </w:rPr>
        <w:lastRenderedPageBreak/>
        <w:drawing>
          <wp:inline distT="0" distB="0" distL="0" distR="0" wp14:anchorId="46FB7AC7" wp14:editId="343CDF5A">
            <wp:extent cx="5412828" cy="3253694"/>
            <wp:effectExtent l="0" t="0" r="0" b="4445"/>
            <wp:docPr id="1" name="Picture 1" descr="Figure 7" title="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7372" cy="3256425"/>
                    </a:xfrm>
                    <a:prstGeom prst="rect">
                      <a:avLst/>
                    </a:prstGeom>
                    <a:noFill/>
                  </pic:spPr>
                </pic:pic>
              </a:graphicData>
            </a:graphic>
          </wp:inline>
        </w:drawing>
      </w:r>
    </w:p>
    <w:p w14:paraId="4CF36CF0" w14:textId="7D3C0523" w:rsidR="00274D58" w:rsidRPr="00676AB1" w:rsidRDefault="003515D0" w:rsidP="00274D58">
      <w:pPr>
        <w:pStyle w:val="Figurecaption"/>
        <w:rPr>
          <w:b/>
          <w:sz w:val="24"/>
          <w:szCs w:val="24"/>
        </w:rPr>
      </w:pPr>
      <w:r w:rsidRPr="00676AB1">
        <w:rPr>
          <w:b/>
          <w:sz w:val="24"/>
          <w:szCs w:val="24"/>
        </w:rPr>
        <w:t>F</w:t>
      </w:r>
      <w:r w:rsidR="00676AB1" w:rsidRPr="00676AB1">
        <w:rPr>
          <w:b/>
          <w:sz w:val="24"/>
          <w:szCs w:val="24"/>
        </w:rPr>
        <w:t xml:space="preserve">igure </w:t>
      </w:r>
      <w:r w:rsidR="00F64BD2">
        <w:rPr>
          <w:b/>
          <w:sz w:val="24"/>
          <w:szCs w:val="24"/>
        </w:rPr>
        <w:t>7</w:t>
      </w:r>
      <w:r w:rsidR="00274D58" w:rsidRPr="00676AB1">
        <w:rPr>
          <w:b/>
          <w:sz w:val="24"/>
          <w:szCs w:val="24"/>
        </w:rPr>
        <w:t xml:space="preserve">: Total </w:t>
      </w:r>
      <w:r w:rsidR="00631C87">
        <w:rPr>
          <w:b/>
          <w:sz w:val="24"/>
          <w:szCs w:val="24"/>
        </w:rPr>
        <w:t xml:space="preserve">amount of drug dispensed </w:t>
      </w:r>
      <w:r w:rsidR="00274D58" w:rsidRPr="00676AB1">
        <w:rPr>
          <w:b/>
          <w:sz w:val="24"/>
          <w:szCs w:val="24"/>
        </w:rPr>
        <w:t>(m</w:t>
      </w:r>
      <w:r w:rsidR="00631C87">
        <w:rPr>
          <w:b/>
          <w:sz w:val="24"/>
          <w:szCs w:val="24"/>
        </w:rPr>
        <w:t>illi</w:t>
      </w:r>
      <w:r w:rsidR="00274D58" w:rsidRPr="00676AB1">
        <w:rPr>
          <w:b/>
          <w:sz w:val="24"/>
          <w:szCs w:val="24"/>
        </w:rPr>
        <w:t>g</w:t>
      </w:r>
      <w:r w:rsidR="00631C87">
        <w:rPr>
          <w:b/>
          <w:sz w:val="24"/>
          <w:szCs w:val="24"/>
        </w:rPr>
        <w:t>rams) by year</w:t>
      </w:r>
    </w:p>
    <w:p w14:paraId="31A7089B" w14:textId="39C01AB5" w:rsidR="00274D58" w:rsidRDefault="00395A66" w:rsidP="00274D58">
      <w:pPr>
        <w:pStyle w:val="Figurecaption"/>
      </w:pPr>
      <w:r w:rsidRPr="00395A66">
        <w:t xml:space="preserve">Note: Year covers the period from 1 May – 30 April except for </w:t>
      </w:r>
      <w:r w:rsidR="009500E1">
        <w:t xml:space="preserve">Year 5 </w:t>
      </w:r>
      <w:r w:rsidRPr="00395A66">
        <w:t>as data cut off is 28 February 2019.</w:t>
      </w:r>
    </w:p>
    <w:p w14:paraId="19CD54F8" w14:textId="77777777" w:rsidR="00D81BAC" w:rsidRDefault="00D81BAC" w:rsidP="00274D58">
      <w:pPr>
        <w:pStyle w:val="Figurecaption"/>
      </w:pPr>
    </w:p>
    <w:p w14:paraId="18EADBC1" w14:textId="6868E088" w:rsidR="0052249B" w:rsidRDefault="0052249B" w:rsidP="0052249B">
      <w:pPr>
        <w:pStyle w:val="Figurecaption"/>
        <w:rPr>
          <w:sz w:val="24"/>
          <w:szCs w:val="24"/>
          <w:lang w:eastAsia="en-AU"/>
        </w:rPr>
      </w:pPr>
      <w:r>
        <w:rPr>
          <w:sz w:val="24"/>
          <w:szCs w:val="24"/>
          <w:lang w:eastAsia="en-AU"/>
        </w:rPr>
        <w:t>A considerable proportion of prescriptions were dispensed at less than the maximum quantity of 180 tablets, 57</w:t>
      </w:r>
      <w:r w:rsidR="00DE6FE9">
        <w:rPr>
          <w:sz w:val="24"/>
          <w:szCs w:val="24"/>
          <w:lang w:eastAsia="en-AU"/>
        </w:rPr>
        <w:t>.9% in Year 1 decreasing to 37.7</w:t>
      </w:r>
      <w:r>
        <w:rPr>
          <w:sz w:val="24"/>
          <w:szCs w:val="24"/>
          <w:lang w:eastAsia="en-AU"/>
        </w:rPr>
        <w:t>% in Year 5</w:t>
      </w:r>
      <w:r w:rsidR="00551163">
        <w:rPr>
          <w:sz w:val="24"/>
          <w:szCs w:val="24"/>
          <w:lang w:eastAsia="en-AU"/>
        </w:rPr>
        <w:t xml:space="preserve">. </w:t>
      </w:r>
      <w:r>
        <w:rPr>
          <w:sz w:val="24"/>
          <w:szCs w:val="24"/>
          <w:lang w:eastAsia="en-AU"/>
        </w:rPr>
        <w:t>Where the dispensed quantity was less than the maximum quantity, 30.2% were for quantities of 90 tablets or less</w:t>
      </w:r>
      <w:r w:rsidR="00551163">
        <w:rPr>
          <w:sz w:val="24"/>
          <w:szCs w:val="24"/>
          <w:lang w:eastAsia="en-AU"/>
        </w:rPr>
        <w:t xml:space="preserve">. </w:t>
      </w:r>
      <w:r>
        <w:rPr>
          <w:sz w:val="24"/>
          <w:szCs w:val="24"/>
          <w:lang w:eastAsia="en-AU"/>
        </w:rPr>
        <w:t xml:space="preserve">Prescriptions dispensed at the </w:t>
      </w:r>
      <w:r w:rsidR="00DE6FE9">
        <w:rPr>
          <w:sz w:val="24"/>
          <w:szCs w:val="24"/>
          <w:lang w:eastAsia="en-AU"/>
        </w:rPr>
        <w:t xml:space="preserve">increased </w:t>
      </w:r>
      <w:r>
        <w:rPr>
          <w:sz w:val="24"/>
          <w:szCs w:val="24"/>
          <w:lang w:eastAsia="en-AU"/>
        </w:rPr>
        <w:t>maximum quantity were 18.6% in Year 1 increasing to 37.3% in Year 5</w:t>
      </w:r>
      <w:r w:rsidR="00551163">
        <w:rPr>
          <w:sz w:val="24"/>
          <w:szCs w:val="24"/>
          <w:lang w:eastAsia="en-AU"/>
        </w:rPr>
        <w:t xml:space="preserve">. </w:t>
      </w:r>
      <w:r>
        <w:rPr>
          <w:sz w:val="24"/>
          <w:szCs w:val="24"/>
          <w:lang w:eastAsia="en-AU"/>
        </w:rPr>
        <w:t xml:space="preserve">Prescriptions dispensed at </w:t>
      </w:r>
      <w:r w:rsidR="00DE6FE9">
        <w:rPr>
          <w:sz w:val="24"/>
          <w:szCs w:val="24"/>
          <w:lang w:eastAsia="en-AU"/>
        </w:rPr>
        <w:t>the</w:t>
      </w:r>
      <w:r>
        <w:rPr>
          <w:sz w:val="24"/>
          <w:szCs w:val="24"/>
          <w:lang w:eastAsia="en-AU"/>
        </w:rPr>
        <w:t xml:space="preserve"> maximum quan</w:t>
      </w:r>
      <w:r w:rsidR="00DE6FE9">
        <w:rPr>
          <w:sz w:val="24"/>
          <w:szCs w:val="24"/>
          <w:lang w:eastAsia="en-AU"/>
        </w:rPr>
        <w:t>tity were 23.5% in Year 1 and 24</w:t>
      </w:r>
      <w:r>
        <w:rPr>
          <w:sz w:val="24"/>
          <w:szCs w:val="24"/>
          <w:lang w:eastAsia="en-AU"/>
        </w:rPr>
        <w:t>.5% in Year 5</w:t>
      </w:r>
      <w:r w:rsidR="00551163">
        <w:rPr>
          <w:sz w:val="24"/>
          <w:szCs w:val="24"/>
          <w:lang w:eastAsia="en-AU"/>
        </w:rPr>
        <w:t xml:space="preserve">. </w:t>
      </w:r>
      <w:r>
        <w:rPr>
          <w:sz w:val="24"/>
          <w:szCs w:val="24"/>
          <w:lang w:eastAsia="en-AU"/>
        </w:rPr>
        <w:t xml:space="preserve">Based on the results in Table </w:t>
      </w:r>
      <w:r w:rsidR="00275AC9">
        <w:rPr>
          <w:sz w:val="24"/>
          <w:szCs w:val="24"/>
          <w:lang w:eastAsia="en-AU"/>
        </w:rPr>
        <w:t>5</w:t>
      </w:r>
      <w:r>
        <w:rPr>
          <w:sz w:val="24"/>
          <w:szCs w:val="24"/>
          <w:lang w:eastAsia="en-AU"/>
        </w:rPr>
        <w:t xml:space="preserve">, there </w:t>
      </w:r>
      <w:r w:rsidR="00D02D1B">
        <w:rPr>
          <w:sz w:val="24"/>
          <w:szCs w:val="24"/>
          <w:lang w:eastAsia="en-AU"/>
        </w:rPr>
        <w:t>wa</w:t>
      </w:r>
      <w:r>
        <w:rPr>
          <w:sz w:val="24"/>
          <w:szCs w:val="24"/>
          <w:lang w:eastAsia="en-AU"/>
        </w:rPr>
        <w:t>s a trend towards an increase in the dispensed quantity over the first five years of listing.</w:t>
      </w:r>
    </w:p>
    <w:p w14:paraId="04FD4466" w14:textId="77777777" w:rsidR="0052249B" w:rsidRDefault="0052249B" w:rsidP="0052249B">
      <w:pPr>
        <w:pStyle w:val="Figurecaption"/>
        <w:rPr>
          <w:sz w:val="24"/>
          <w:szCs w:val="24"/>
          <w:lang w:eastAsia="en-AU"/>
        </w:rPr>
      </w:pPr>
    </w:p>
    <w:p w14:paraId="0335A2E6" w14:textId="2774AB48" w:rsidR="0052249B" w:rsidRPr="00FA591A" w:rsidRDefault="0052249B" w:rsidP="0052249B">
      <w:pPr>
        <w:pStyle w:val="Figurecaption"/>
        <w:rPr>
          <w:b/>
          <w:sz w:val="24"/>
          <w:szCs w:val="24"/>
        </w:rPr>
      </w:pPr>
      <w:r w:rsidRPr="00FA591A">
        <w:rPr>
          <w:b/>
          <w:sz w:val="24"/>
          <w:szCs w:val="24"/>
        </w:rPr>
        <w:t xml:space="preserve">Table </w:t>
      </w:r>
      <w:r w:rsidR="00275AC9">
        <w:rPr>
          <w:b/>
          <w:sz w:val="24"/>
          <w:szCs w:val="24"/>
        </w:rPr>
        <w:t>5</w:t>
      </w:r>
      <w:r w:rsidRPr="00FA591A">
        <w:rPr>
          <w:b/>
          <w:sz w:val="24"/>
          <w:szCs w:val="24"/>
        </w:rPr>
        <w:t>: Analysis of dispensed quantities</w:t>
      </w:r>
      <w:r w:rsidR="00875584">
        <w:rPr>
          <w:b/>
          <w:sz w:val="24"/>
          <w:szCs w:val="24"/>
        </w:rPr>
        <w:t xml:space="preserve"> relative to the maximum quantity</w:t>
      </w:r>
    </w:p>
    <w:tbl>
      <w:tblPr>
        <w:tblStyle w:val="TableGrid"/>
        <w:tblW w:w="8947" w:type="dxa"/>
        <w:tblLook w:val="04A0" w:firstRow="1" w:lastRow="0" w:firstColumn="1" w:lastColumn="0" w:noHBand="0" w:noVBand="1"/>
        <w:tblCaption w:val="Table 5"/>
        <w:tblDescription w:val="Table 5"/>
      </w:tblPr>
      <w:tblGrid>
        <w:gridCol w:w="2236"/>
        <w:gridCol w:w="1118"/>
        <w:gridCol w:w="1119"/>
        <w:gridCol w:w="1118"/>
        <w:gridCol w:w="1119"/>
        <w:gridCol w:w="1118"/>
        <w:gridCol w:w="1119"/>
      </w:tblGrid>
      <w:tr w:rsidR="00002143" w:rsidRPr="002027BE" w14:paraId="0DE48E3F" w14:textId="77777777" w:rsidTr="00A220E6">
        <w:trPr>
          <w:tblHeader/>
        </w:trPr>
        <w:tc>
          <w:tcPr>
            <w:tcW w:w="2236" w:type="dxa"/>
            <w:vMerge w:val="restart"/>
            <w:tcBorders>
              <w:top w:val="single" w:sz="4" w:space="0" w:color="auto"/>
              <w:left w:val="single" w:sz="4" w:space="0" w:color="auto"/>
            </w:tcBorders>
          </w:tcPr>
          <w:p w14:paraId="3BB6FA9E" w14:textId="77777777" w:rsidR="00002143" w:rsidRPr="002027BE" w:rsidRDefault="00002143" w:rsidP="00627387">
            <w:pPr>
              <w:pStyle w:val="Figurecaption"/>
              <w:rPr>
                <w:rFonts w:ascii="Arial Narrow" w:hAnsi="Arial Narrow"/>
                <w:lang w:eastAsia="en-AU"/>
              </w:rPr>
            </w:pPr>
          </w:p>
        </w:tc>
        <w:tc>
          <w:tcPr>
            <w:tcW w:w="2237" w:type="dxa"/>
            <w:gridSpan w:val="2"/>
            <w:tcBorders>
              <w:bottom w:val="single" w:sz="4" w:space="0" w:color="auto"/>
            </w:tcBorders>
          </w:tcPr>
          <w:p w14:paraId="75B9478E" w14:textId="77777777" w:rsidR="00002143" w:rsidRPr="005F0C59" w:rsidRDefault="00002143" w:rsidP="00627387">
            <w:pPr>
              <w:pStyle w:val="Figurecaption"/>
              <w:rPr>
                <w:rFonts w:ascii="Arial Narrow" w:hAnsi="Arial Narrow"/>
                <w:b/>
                <w:lang w:eastAsia="en-AU"/>
              </w:rPr>
            </w:pPr>
            <w:r w:rsidRPr="005F0C59">
              <w:rPr>
                <w:rFonts w:ascii="Arial Narrow" w:hAnsi="Arial Narrow"/>
                <w:b/>
                <w:lang w:eastAsia="en-AU"/>
              </w:rPr>
              <w:t>Less than max qty</w:t>
            </w:r>
          </w:p>
        </w:tc>
        <w:tc>
          <w:tcPr>
            <w:tcW w:w="2237" w:type="dxa"/>
            <w:gridSpan w:val="2"/>
            <w:tcBorders>
              <w:bottom w:val="single" w:sz="4" w:space="0" w:color="auto"/>
            </w:tcBorders>
          </w:tcPr>
          <w:p w14:paraId="5FFB005B" w14:textId="77777777" w:rsidR="00002143" w:rsidRPr="005F0C59" w:rsidRDefault="00002143" w:rsidP="00627387">
            <w:pPr>
              <w:pStyle w:val="Figurecaption"/>
              <w:rPr>
                <w:rFonts w:ascii="Arial Narrow" w:hAnsi="Arial Narrow"/>
                <w:b/>
                <w:lang w:eastAsia="en-AU"/>
              </w:rPr>
            </w:pPr>
            <w:r w:rsidRPr="005F0C59">
              <w:rPr>
                <w:rFonts w:ascii="Arial Narrow" w:hAnsi="Arial Narrow"/>
                <w:b/>
                <w:lang w:eastAsia="en-AU"/>
              </w:rPr>
              <w:t>Equal to max qty</w:t>
            </w:r>
          </w:p>
        </w:tc>
        <w:tc>
          <w:tcPr>
            <w:tcW w:w="2237" w:type="dxa"/>
            <w:gridSpan w:val="2"/>
            <w:tcBorders>
              <w:bottom w:val="single" w:sz="4" w:space="0" w:color="auto"/>
            </w:tcBorders>
          </w:tcPr>
          <w:p w14:paraId="3B4980F2" w14:textId="77777777" w:rsidR="00002143" w:rsidRPr="005F0C59" w:rsidRDefault="00002143" w:rsidP="00627387">
            <w:pPr>
              <w:pStyle w:val="Figurecaption"/>
              <w:rPr>
                <w:rFonts w:ascii="Arial Narrow" w:hAnsi="Arial Narrow"/>
                <w:b/>
                <w:lang w:eastAsia="en-AU"/>
              </w:rPr>
            </w:pPr>
            <w:r w:rsidRPr="005F0C59">
              <w:rPr>
                <w:rFonts w:ascii="Arial Narrow" w:hAnsi="Arial Narrow"/>
                <w:b/>
                <w:lang w:eastAsia="en-AU"/>
              </w:rPr>
              <w:t>More than max qty</w:t>
            </w:r>
          </w:p>
        </w:tc>
      </w:tr>
      <w:tr w:rsidR="00002143" w:rsidRPr="002027BE" w14:paraId="5644FE94" w14:textId="77777777" w:rsidTr="00002143">
        <w:tc>
          <w:tcPr>
            <w:tcW w:w="2236" w:type="dxa"/>
            <w:vMerge/>
            <w:tcBorders>
              <w:left w:val="single" w:sz="4" w:space="0" w:color="auto"/>
            </w:tcBorders>
          </w:tcPr>
          <w:p w14:paraId="7CD56C70" w14:textId="77777777" w:rsidR="00002143" w:rsidRPr="002027BE" w:rsidRDefault="00002143" w:rsidP="00627387">
            <w:pPr>
              <w:pStyle w:val="Figurecaption"/>
              <w:rPr>
                <w:rFonts w:ascii="Arial Narrow" w:hAnsi="Arial Narrow"/>
                <w:lang w:eastAsia="en-AU"/>
              </w:rPr>
            </w:pPr>
          </w:p>
        </w:tc>
        <w:tc>
          <w:tcPr>
            <w:tcW w:w="1118" w:type="dxa"/>
            <w:tcBorders>
              <w:bottom w:val="single" w:sz="4" w:space="0" w:color="auto"/>
            </w:tcBorders>
          </w:tcPr>
          <w:p w14:paraId="0A82C3D8" w14:textId="79B4C0E9" w:rsidR="00002143" w:rsidRPr="005F0C59" w:rsidRDefault="00002143" w:rsidP="00627387">
            <w:pPr>
              <w:pStyle w:val="Figurecaption"/>
              <w:rPr>
                <w:rFonts w:ascii="Arial Narrow" w:hAnsi="Arial Narrow"/>
                <w:b/>
                <w:lang w:eastAsia="en-AU"/>
              </w:rPr>
            </w:pPr>
            <w:r>
              <w:rPr>
                <w:rFonts w:ascii="Arial Narrow" w:hAnsi="Arial Narrow"/>
                <w:b/>
                <w:lang w:eastAsia="en-AU"/>
              </w:rPr>
              <w:t>Actual</w:t>
            </w:r>
          </w:p>
        </w:tc>
        <w:tc>
          <w:tcPr>
            <w:tcW w:w="1119" w:type="dxa"/>
            <w:tcBorders>
              <w:bottom w:val="single" w:sz="4" w:space="0" w:color="auto"/>
            </w:tcBorders>
          </w:tcPr>
          <w:p w14:paraId="22AE02DE" w14:textId="79183905" w:rsidR="00002143" w:rsidRPr="005F0C59" w:rsidRDefault="00002143" w:rsidP="00627387">
            <w:pPr>
              <w:pStyle w:val="Figurecaption"/>
              <w:rPr>
                <w:rFonts w:ascii="Arial Narrow" w:hAnsi="Arial Narrow"/>
                <w:b/>
                <w:lang w:eastAsia="en-AU"/>
              </w:rPr>
            </w:pPr>
            <w:r>
              <w:rPr>
                <w:rFonts w:ascii="Arial Narrow" w:hAnsi="Arial Narrow"/>
                <w:b/>
                <w:lang w:eastAsia="en-AU"/>
              </w:rPr>
              <w:t>Predicted</w:t>
            </w:r>
          </w:p>
        </w:tc>
        <w:tc>
          <w:tcPr>
            <w:tcW w:w="1118" w:type="dxa"/>
            <w:tcBorders>
              <w:bottom w:val="single" w:sz="4" w:space="0" w:color="auto"/>
            </w:tcBorders>
          </w:tcPr>
          <w:p w14:paraId="33D15C29" w14:textId="7ABAD2A4" w:rsidR="00002143" w:rsidRPr="005F0C59" w:rsidRDefault="00002143" w:rsidP="00627387">
            <w:pPr>
              <w:pStyle w:val="Figurecaption"/>
              <w:rPr>
                <w:rFonts w:ascii="Arial Narrow" w:hAnsi="Arial Narrow"/>
                <w:b/>
                <w:lang w:eastAsia="en-AU"/>
              </w:rPr>
            </w:pPr>
            <w:r>
              <w:rPr>
                <w:rFonts w:ascii="Arial Narrow" w:hAnsi="Arial Narrow"/>
                <w:b/>
                <w:lang w:eastAsia="en-AU"/>
              </w:rPr>
              <w:t>Actual</w:t>
            </w:r>
          </w:p>
        </w:tc>
        <w:tc>
          <w:tcPr>
            <w:tcW w:w="1119" w:type="dxa"/>
            <w:tcBorders>
              <w:bottom w:val="single" w:sz="4" w:space="0" w:color="auto"/>
            </w:tcBorders>
          </w:tcPr>
          <w:p w14:paraId="08B0D3FF" w14:textId="272823DC" w:rsidR="00002143" w:rsidRPr="005F0C59" w:rsidRDefault="00002143" w:rsidP="00627387">
            <w:pPr>
              <w:pStyle w:val="Figurecaption"/>
              <w:rPr>
                <w:rFonts w:ascii="Arial Narrow" w:hAnsi="Arial Narrow"/>
                <w:b/>
                <w:lang w:eastAsia="en-AU"/>
              </w:rPr>
            </w:pPr>
            <w:r>
              <w:rPr>
                <w:rFonts w:ascii="Arial Narrow" w:hAnsi="Arial Narrow"/>
                <w:b/>
                <w:lang w:eastAsia="en-AU"/>
              </w:rPr>
              <w:t>Predicted</w:t>
            </w:r>
          </w:p>
        </w:tc>
        <w:tc>
          <w:tcPr>
            <w:tcW w:w="1118" w:type="dxa"/>
            <w:tcBorders>
              <w:bottom w:val="single" w:sz="4" w:space="0" w:color="auto"/>
            </w:tcBorders>
          </w:tcPr>
          <w:p w14:paraId="4ACBA822" w14:textId="311A7CEA" w:rsidR="00002143" w:rsidRPr="005F0C59" w:rsidRDefault="00002143" w:rsidP="00627387">
            <w:pPr>
              <w:pStyle w:val="Figurecaption"/>
              <w:rPr>
                <w:rFonts w:ascii="Arial Narrow" w:hAnsi="Arial Narrow"/>
                <w:b/>
                <w:lang w:eastAsia="en-AU"/>
              </w:rPr>
            </w:pPr>
            <w:r>
              <w:rPr>
                <w:rFonts w:ascii="Arial Narrow" w:hAnsi="Arial Narrow"/>
                <w:b/>
                <w:lang w:eastAsia="en-AU"/>
              </w:rPr>
              <w:t>Actual</w:t>
            </w:r>
          </w:p>
        </w:tc>
        <w:tc>
          <w:tcPr>
            <w:tcW w:w="1119" w:type="dxa"/>
            <w:tcBorders>
              <w:bottom w:val="single" w:sz="4" w:space="0" w:color="auto"/>
            </w:tcBorders>
          </w:tcPr>
          <w:p w14:paraId="02C18CD8" w14:textId="59591541" w:rsidR="00002143" w:rsidRPr="005F0C59" w:rsidRDefault="00002143" w:rsidP="00627387">
            <w:pPr>
              <w:pStyle w:val="Figurecaption"/>
              <w:rPr>
                <w:rFonts w:ascii="Arial Narrow" w:hAnsi="Arial Narrow"/>
                <w:b/>
                <w:lang w:eastAsia="en-AU"/>
              </w:rPr>
            </w:pPr>
            <w:r>
              <w:rPr>
                <w:rFonts w:ascii="Arial Narrow" w:hAnsi="Arial Narrow"/>
                <w:b/>
                <w:lang w:eastAsia="en-AU"/>
              </w:rPr>
              <w:t>Predicted</w:t>
            </w:r>
          </w:p>
        </w:tc>
      </w:tr>
      <w:tr w:rsidR="00535C95" w:rsidRPr="002027BE" w14:paraId="4D59A30C" w14:textId="77777777" w:rsidTr="00535C95">
        <w:tc>
          <w:tcPr>
            <w:tcW w:w="2236" w:type="dxa"/>
          </w:tcPr>
          <w:p w14:paraId="1431C18F" w14:textId="77777777" w:rsidR="00172774" w:rsidRPr="002027BE" w:rsidRDefault="00172774" w:rsidP="00172774">
            <w:pPr>
              <w:pStyle w:val="Figurecaption"/>
              <w:rPr>
                <w:rFonts w:ascii="Arial Narrow" w:hAnsi="Arial Narrow"/>
                <w:lang w:eastAsia="en-AU"/>
              </w:rPr>
            </w:pPr>
            <w:r w:rsidRPr="002027BE">
              <w:rPr>
                <w:rFonts w:ascii="Arial Narrow" w:hAnsi="Arial Narrow"/>
                <w:lang w:eastAsia="en-AU"/>
              </w:rPr>
              <w:t>Year 1</w:t>
            </w:r>
          </w:p>
        </w:tc>
        <w:tc>
          <w:tcPr>
            <w:tcW w:w="1118" w:type="dxa"/>
            <w:tcBorders>
              <w:top w:val="single" w:sz="4" w:space="0" w:color="auto"/>
              <w:left w:val="nil"/>
              <w:bottom w:val="single" w:sz="4" w:space="0" w:color="auto"/>
              <w:right w:val="single" w:sz="4" w:space="0" w:color="auto"/>
            </w:tcBorders>
            <w:shd w:val="clear" w:color="auto" w:fill="auto"/>
            <w:vAlign w:val="bottom"/>
          </w:tcPr>
          <w:p w14:paraId="4AE567FE" w14:textId="090A6213" w:rsidR="00172774" w:rsidRPr="00450163" w:rsidRDefault="00172774" w:rsidP="00172774">
            <w:pPr>
              <w:pStyle w:val="Figurecaption"/>
              <w:rPr>
                <w:rFonts w:ascii="Arial Narrow" w:hAnsi="Arial Narrow"/>
                <w:b/>
                <w:lang w:eastAsia="en-AU"/>
              </w:rPr>
            </w:pPr>
            <w:r w:rsidRPr="00535C95">
              <w:rPr>
                <w:rFonts w:ascii="Arial Narrow" w:hAnsi="Arial Narrow" w:cs="Calibri"/>
              </w:rPr>
              <w:t>57.9%</w:t>
            </w:r>
          </w:p>
        </w:tc>
        <w:tc>
          <w:tcPr>
            <w:tcW w:w="1119" w:type="dxa"/>
            <w:tcBorders>
              <w:top w:val="single" w:sz="4" w:space="0" w:color="auto"/>
              <w:left w:val="nil"/>
              <w:bottom w:val="single" w:sz="4" w:space="0" w:color="auto"/>
              <w:right w:val="single" w:sz="4" w:space="0" w:color="auto"/>
            </w:tcBorders>
            <w:shd w:val="clear" w:color="auto" w:fill="auto"/>
            <w:vAlign w:val="bottom"/>
          </w:tcPr>
          <w:p w14:paraId="53DB470A" w14:textId="24DD3AA8" w:rsidR="00172774" w:rsidRPr="004D4AF2" w:rsidRDefault="004D4AF2" w:rsidP="00172774">
            <w:pPr>
              <w:pStyle w:val="Figurecaption"/>
              <w:rPr>
                <w:rFonts w:ascii="Arial Narrow" w:hAnsi="Arial Narrow"/>
                <w:b/>
                <w:highlight w:val="black"/>
                <w:lang w:eastAsia="en-AU"/>
              </w:rPr>
            </w:pPr>
            <w:r w:rsidRPr="004D4AF2">
              <w:rPr>
                <w:rFonts w:ascii="Arial Narrow" w:hAnsi="Arial Narrow" w:cs="Arial"/>
                <w:highlight w:val="black"/>
              </w:rPr>
              <w:t>xxxxx</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14:paraId="699F933C" w14:textId="4FBC0FFE" w:rsidR="00172774" w:rsidRPr="00172774" w:rsidRDefault="00172774" w:rsidP="00172774">
            <w:pPr>
              <w:pStyle w:val="Figurecaption"/>
              <w:rPr>
                <w:rFonts w:ascii="Arial Narrow" w:hAnsi="Arial Narrow"/>
                <w:lang w:eastAsia="en-AU"/>
              </w:rPr>
            </w:pPr>
            <w:r w:rsidRPr="00172774">
              <w:rPr>
                <w:rFonts w:ascii="Arial Narrow" w:hAnsi="Arial Narrow" w:cs="Calibri"/>
              </w:rPr>
              <w:t>23.5%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tcPr>
          <w:p w14:paraId="1E413E66" w14:textId="24E61D09" w:rsidR="00172774" w:rsidRPr="004D4AF2" w:rsidRDefault="004D4AF2" w:rsidP="00172774">
            <w:pPr>
              <w:pStyle w:val="Figurecaption"/>
              <w:rPr>
                <w:rFonts w:ascii="Arial Narrow" w:hAnsi="Arial Narrow"/>
                <w:highlight w:val="black"/>
                <w:lang w:eastAsia="en-AU"/>
              </w:rPr>
            </w:pPr>
            <w:r w:rsidRPr="004D4AF2">
              <w:rPr>
                <w:rFonts w:ascii="Arial Narrow" w:hAnsi="Arial Narrow" w:cs="Arial"/>
                <w:highlight w:val="black"/>
              </w:rPr>
              <w:t>xxxx</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14:paraId="54134237" w14:textId="259AAF0E" w:rsidR="00172774" w:rsidRPr="00172774" w:rsidRDefault="00172774" w:rsidP="00172774">
            <w:pPr>
              <w:pStyle w:val="Figurecaption"/>
              <w:rPr>
                <w:rFonts w:ascii="Arial Narrow" w:hAnsi="Arial Narrow" w:cs="Calibri"/>
              </w:rPr>
            </w:pPr>
            <w:r w:rsidRPr="00172774">
              <w:rPr>
                <w:rFonts w:ascii="Arial Narrow" w:hAnsi="Arial Narrow" w:cs="Calibri"/>
              </w:rPr>
              <w:t>18.6%</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tcPr>
          <w:p w14:paraId="48039AE2" w14:textId="070730B2" w:rsidR="00172774" w:rsidRPr="004D4AF2" w:rsidRDefault="004D4AF2" w:rsidP="00172774">
            <w:pPr>
              <w:pStyle w:val="Figurecaption"/>
              <w:rPr>
                <w:rFonts w:ascii="Arial Narrow" w:hAnsi="Arial Narrow" w:cs="Calibri"/>
                <w:highlight w:val="black"/>
              </w:rPr>
            </w:pPr>
            <w:r w:rsidRPr="004D4AF2">
              <w:rPr>
                <w:rFonts w:ascii="Arial Narrow" w:hAnsi="Arial Narrow" w:cs="Arial"/>
                <w:highlight w:val="black"/>
              </w:rPr>
              <w:t>xxxxx</w:t>
            </w:r>
          </w:p>
        </w:tc>
      </w:tr>
      <w:tr w:rsidR="00535C95" w:rsidRPr="002027BE" w14:paraId="03ABB207" w14:textId="77777777" w:rsidTr="00535C95">
        <w:tc>
          <w:tcPr>
            <w:tcW w:w="2236" w:type="dxa"/>
          </w:tcPr>
          <w:p w14:paraId="02D0E020" w14:textId="77777777" w:rsidR="00172774" w:rsidRPr="002027BE" w:rsidRDefault="00172774" w:rsidP="00172774">
            <w:pPr>
              <w:pStyle w:val="Figurecaption"/>
              <w:rPr>
                <w:rFonts w:ascii="Arial Narrow" w:hAnsi="Arial Narrow"/>
                <w:lang w:eastAsia="en-AU"/>
              </w:rPr>
            </w:pPr>
            <w:r w:rsidRPr="002027BE">
              <w:rPr>
                <w:rFonts w:ascii="Arial Narrow" w:hAnsi="Arial Narrow"/>
                <w:lang w:eastAsia="en-AU"/>
              </w:rPr>
              <w:t>Year 2</w:t>
            </w:r>
          </w:p>
        </w:tc>
        <w:tc>
          <w:tcPr>
            <w:tcW w:w="1118" w:type="dxa"/>
            <w:tcBorders>
              <w:top w:val="single" w:sz="4" w:space="0" w:color="auto"/>
              <w:left w:val="nil"/>
              <w:bottom w:val="single" w:sz="4" w:space="0" w:color="auto"/>
              <w:right w:val="single" w:sz="4" w:space="0" w:color="auto"/>
            </w:tcBorders>
            <w:shd w:val="clear" w:color="auto" w:fill="auto"/>
            <w:vAlign w:val="bottom"/>
          </w:tcPr>
          <w:p w14:paraId="01E0FF5E" w14:textId="2ABD68C1" w:rsidR="00172774" w:rsidRPr="00450163" w:rsidRDefault="00172774" w:rsidP="00172774">
            <w:pPr>
              <w:pStyle w:val="Figurecaption"/>
              <w:rPr>
                <w:rFonts w:ascii="Arial Narrow" w:hAnsi="Arial Narrow"/>
                <w:lang w:eastAsia="en-AU"/>
              </w:rPr>
            </w:pPr>
            <w:r>
              <w:rPr>
                <w:rFonts w:ascii="Arial Narrow" w:hAnsi="Arial Narrow" w:cs="Calibri"/>
              </w:rPr>
              <w:t>48.9</w:t>
            </w:r>
            <w:r w:rsidRPr="00535C95">
              <w:rPr>
                <w:rFonts w:ascii="Arial Narrow" w:hAnsi="Arial Narrow" w:cs="Calibri"/>
              </w:rPr>
              <w:t>%</w:t>
            </w:r>
          </w:p>
        </w:tc>
        <w:tc>
          <w:tcPr>
            <w:tcW w:w="1119" w:type="dxa"/>
            <w:tcBorders>
              <w:top w:val="single" w:sz="4" w:space="0" w:color="auto"/>
              <w:left w:val="nil"/>
              <w:bottom w:val="single" w:sz="4" w:space="0" w:color="auto"/>
              <w:right w:val="single" w:sz="4" w:space="0" w:color="auto"/>
            </w:tcBorders>
            <w:shd w:val="clear" w:color="auto" w:fill="auto"/>
            <w:vAlign w:val="bottom"/>
          </w:tcPr>
          <w:p w14:paraId="2232DA28" w14:textId="754734A4" w:rsidR="00172774" w:rsidRPr="004D4AF2" w:rsidRDefault="004D4AF2" w:rsidP="00172774">
            <w:pPr>
              <w:pStyle w:val="Figurecaption"/>
              <w:rPr>
                <w:rFonts w:ascii="Arial Narrow" w:hAnsi="Arial Narrow"/>
                <w:highlight w:val="black"/>
                <w:lang w:eastAsia="en-AU"/>
              </w:rPr>
            </w:pPr>
            <w:r w:rsidRPr="004D4AF2">
              <w:rPr>
                <w:rFonts w:ascii="Arial Narrow" w:hAnsi="Arial Narrow" w:cs="Arial"/>
                <w:highlight w:val="black"/>
              </w:rPr>
              <w:t>xxxxx</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14:paraId="6EC9830C" w14:textId="2C82E4AB" w:rsidR="00172774" w:rsidRPr="00172774" w:rsidRDefault="00172774" w:rsidP="00172774">
            <w:pPr>
              <w:pStyle w:val="Figurecaption"/>
              <w:rPr>
                <w:rFonts w:ascii="Arial Narrow" w:hAnsi="Arial Narrow"/>
                <w:lang w:eastAsia="en-AU"/>
              </w:rPr>
            </w:pPr>
            <w:r w:rsidRPr="00172774">
              <w:rPr>
                <w:rFonts w:ascii="Arial Narrow" w:hAnsi="Arial Narrow" w:cs="Calibri"/>
              </w:rPr>
              <w:t>24.7%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tcPr>
          <w:p w14:paraId="13E802A8" w14:textId="7DA448C3" w:rsidR="00172774" w:rsidRPr="004D4AF2" w:rsidRDefault="004D4AF2" w:rsidP="00172774">
            <w:pPr>
              <w:pStyle w:val="Figurecaption"/>
              <w:rPr>
                <w:rFonts w:ascii="Arial Narrow" w:hAnsi="Arial Narrow"/>
                <w:highlight w:val="black"/>
                <w:lang w:eastAsia="en-AU"/>
              </w:rPr>
            </w:pPr>
            <w:r w:rsidRPr="004D4AF2">
              <w:rPr>
                <w:rFonts w:ascii="Arial Narrow" w:hAnsi="Arial Narrow" w:cs="Arial"/>
                <w:highlight w:val="black"/>
              </w:rPr>
              <w:t>xxxx</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14:paraId="192E7DD8" w14:textId="3A3A85B3" w:rsidR="00172774" w:rsidRPr="00172774" w:rsidRDefault="00172774" w:rsidP="00172774">
            <w:pPr>
              <w:pStyle w:val="Figurecaption"/>
              <w:rPr>
                <w:rFonts w:ascii="Arial Narrow" w:hAnsi="Arial Narrow" w:cs="Calibri"/>
              </w:rPr>
            </w:pPr>
            <w:r w:rsidRPr="00172774">
              <w:rPr>
                <w:rFonts w:ascii="Arial Narrow" w:hAnsi="Arial Narrow" w:cs="Calibri"/>
              </w:rPr>
              <w:t>26.5%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tcPr>
          <w:p w14:paraId="46BAB482" w14:textId="64C91720" w:rsidR="00172774" w:rsidRPr="004D4AF2" w:rsidRDefault="004D4AF2" w:rsidP="00172774">
            <w:pPr>
              <w:pStyle w:val="Figurecaption"/>
              <w:rPr>
                <w:rFonts w:ascii="Arial Narrow" w:hAnsi="Arial Narrow" w:cs="Calibri"/>
                <w:highlight w:val="black"/>
              </w:rPr>
            </w:pPr>
            <w:r w:rsidRPr="004D4AF2">
              <w:rPr>
                <w:rFonts w:ascii="Arial Narrow" w:hAnsi="Arial Narrow" w:cs="Arial"/>
                <w:highlight w:val="black"/>
              </w:rPr>
              <w:t>xxxxx</w:t>
            </w:r>
          </w:p>
        </w:tc>
      </w:tr>
      <w:tr w:rsidR="00535C95" w:rsidRPr="002027BE" w14:paraId="52869E6D" w14:textId="77777777" w:rsidTr="00535C95">
        <w:tc>
          <w:tcPr>
            <w:tcW w:w="2236" w:type="dxa"/>
          </w:tcPr>
          <w:p w14:paraId="6CD95F00" w14:textId="77777777" w:rsidR="00172774" w:rsidRPr="002027BE" w:rsidRDefault="00172774" w:rsidP="00172774">
            <w:pPr>
              <w:pStyle w:val="Figurecaption"/>
              <w:rPr>
                <w:rFonts w:ascii="Arial Narrow" w:hAnsi="Arial Narrow"/>
                <w:lang w:eastAsia="en-AU"/>
              </w:rPr>
            </w:pPr>
            <w:r w:rsidRPr="002027BE">
              <w:rPr>
                <w:rFonts w:ascii="Arial Narrow" w:hAnsi="Arial Narrow"/>
                <w:lang w:eastAsia="en-AU"/>
              </w:rPr>
              <w:t>Year 3</w:t>
            </w:r>
          </w:p>
        </w:tc>
        <w:tc>
          <w:tcPr>
            <w:tcW w:w="1118" w:type="dxa"/>
            <w:tcBorders>
              <w:top w:val="single" w:sz="4" w:space="0" w:color="auto"/>
              <w:left w:val="nil"/>
              <w:bottom w:val="single" w:sz="4" w:space="0" w:color="auto"/>
              <w:right w:val="single" w:sz="4" w:space="0" w:color="auto"/>
            </w:tcBorders>
            <w:shd w:val="clear" w:color="auto" w:fill="auto"/>
            <w:vAlign w:val="bottom"/>
          </w:tcPr>
          <w:p w14:paraId="438462E9" w14:textId="280C8FD2" w:rsidR="00172774" w:rsidRPr="00450163" w:rsidRDefault="00172774" w:rsidP="00172774">
            <w:pPr>
              <w:pStyle w:val="Figurecaption"/>
              <w:rPr>
                <w:rFonts w:ascii="Arial Narrow" w:hAnsi="Arial Narrow"/>
                <w:lang w:eastAsia="en-AU"/>
              </w:rPr>
            </w:pPr>
            <w:r>
              <w:rPr>
                <w:rFonts w:ascii="Arial Narrow" w:hAnsi="Arial Narrow" w:cs="Calibri"/>
              </w:rPr>
              <w:t>43.4</w:t>
            </w:r>
            <w:r w:rsidRPr="00535C95">
              <w:rPr>
                <w:rFonts w:ascii="Arial Narrow" w:hAnsi="Arial Narrow" w:cs="Calibri"/>
              </w:rPr>
              <w:t>%</w:t>
            </w:r>
          </w:p>
        </w:tc>
        <w:tc>
          <w:tcPr>
            <w:tcW w:w="1119" w:type="dxa"/>
            <w:tcBorders>
              <w:top w:val="single" w:sz="4" w:space="0" w:color="auto"/>
              <w:left w:val="nil"/>
              <w:bottom w:val="single" w:sz="4" w:space="0" w:color="auto"/>
              <w:right w:val="single" w:sz="4" w:space="0" w:color="auto"/>
            </w:tcBorders>
            <w:shd w:val="clear" w:color="auto" w:fill="auto"/>
            <w:vAlign w:val="bottom"/>
          </w:tcPr>
          <w:p w14:paraId="6A1E867F" w14:textId="500EC4F6" w:rsidR="00172774" w:rsidRPr="004D4AF2" w:rsidRDefault="004D4AF2" w:rsidP="00172774">
            <w:pPr>
              <w:pStyle w:val="Figurecaption"/>
              <w:rPr>
                <w:rFonts w:ascii="Arial Narrow" w:hAnsi="Arial Narrow"/>
                <w:highlight w:val="black"/>
                <w:lang w:eastAsia="en-AU"/>
              </w:rPr>
            </w:pPr>
            <w:r w:rsidRPr="004D4AF2">
              <w:rPr>
                <w:rFonts w:ascii="Arial Narrow" w:hAnsi="Arial Narrow" w:cs="Arial"/>
                <w:highlight w:val="black"/>
              </w:rPr>
              <w:t>xxxxx</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14:paraId="3275112E" w14:textId="5C4F49AA" w:rsidR="00172774" w:rsidRPr="00172774" w:rsidRDefault="00172774" w:rsidP="00172774">
            <w:pPr>
              <w:pStyle w:val="Figurecaption"/>
              <w:rPr>
                <w:rFonts w:ascii="Arial Narrow" w:hAnsi="Arial Narrow"/>
                <w:lang w:eastAsia="en-AU"/>
              </w:rPr>
            </w:pPr>
            <w:r w:rsidRPr="00172774">
              <w:rPr>
                <w:rFonts w:ascii="Arial Narrow" w:hAnsi="Arial Narrow" w:cs="Calibri"/>
              </w:rPr>
              <w:t>23.4%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tcPr>
          <w:p w14:paraId="301AADF3" w14:textId="5DC4E8F7" w:rsidR="00172774" w:rsidRPr="004D4AF2" w:rsidRDefault="004D4AF2" w:rsidP="00172774">
            <w:pPr>
              <w:pStyle w:val="Figurecaption"/>
              <w:rPr>
                <w:rFonts w:ascii="Arial Narrow" w:hAnsi="Arial Narrow"/>
                <w:highlight w:val="black"/>
                <w:lang w:eastAsia="en-AU"/>
              </w:rPr>
            </w:pPr>
            <w:r w:rsidRPr="004D4AF2">
              <w:rPr>
                <w:rFonts w:ascii="Arial Narrow" w:hAnsi="Arial Narrow" w:cs="Arial"/>
                <w:highlight w:val="black"/>
              </w:rPr>
              <w:t>xxxx</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14:paraId="04995977" w14:textId="72280728" w:rsidR="00172774" w:rsidRPr="00172774" w:rsidRDefault="00172774" w:rsidP="00172774">
            <w:pPr>
              <w:pStyle w:val="Figurecaption"/>
              <w:rPr>
                <w:rFonts w:ascii="Arial Narrow" w:hAnsi="Arial Narrow" w:cs="Calibri"/>
              </w:rPr>
            </w:pPr>
            <w:r w:rsidRPr="00172774">
              <w:rPr>
                <w:rFonts w:ascii="Arial Narrow" w:hAnsi="Arial Narrow" w:cs="Calibri"/>
              </w:rPr>
              <w:t>33.2%</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tcPr>
          <w:p w14:paraId="0A9007C4" w14:textId="7B68B2C4" w:rsidR="00172774" w:rsidRPr="004D4AF2" w:rsidRDefault="004D4AF2" w:rsidP="00172774">
            <w:pPr>
              <w:pStyle w:val="Figurecaption"/>
              <w:rPr>
                <w:rFonts w:ascii="Arial Narrow" w:hAnsi="Arial Narrow" w:cs="Calibri"/>
                <w:highlight w:val="black"/>
              </w:rPr>
            </w:pPr>
            <w:r w:rsidRPr="004D4AF2">
              <w:rPr>
                <w:rFonts w:ascii="Arial Narrow" w:hAnsi="Arial Narrow" w:cs="Arial"/>
                <w:highlight w:val="black"/>
              </w:rPr>
              <w:t>xxxxx</w:t>
            </w:r>
          </w:p>
        </w:tc>
      </w:tr>
      <w:tr w:rsidR="00535C95" w:rsidRPr="002027BE" w14:paraId="4E0A5428" w14:textId="77777777" w:rsidTr="00535C95">
        <w:tc>
          <w:tcPr>
            <w:tcW w:w="2236" w:type="dxa"/>
          </w:tcPr>
          <w:p w14:paraId="1178AC98" w14:textId="77777777" w:rsidR="00172774" w:rsidRPr="002027BE" w:rsidRDefault="00172774" w:rsidP="00172774">
            <w:pPr>
              <w:pStyle w:val="Figurecaption"/>
              <w:rPr>
                <w:rFonts w:ascii="Arial Narrow" w:hAnsi="Arial Narrow"/>
                <w:lang w:eastAsia="en-AU"/>
              </w:rPr>
            </w:pPr>
            <w:r w:rsidRPr="002027BE">
              <w:rPr>
                <w:rFonts w:ascii="Arial Narrow" w:hAnsi="Arial Narrow"/>
                <w:lang w:eastAsia="en-AU"/>
              </w:rPr>
              <w:t>Year 4</w:t>
            </w:r>
          </w:p>
        </w:tc>
        <w:tc>
          <w:tcPr>
            <w:tcW w:w="1118" w:type="dxa"/>
            <w:tcBorders>
              <w:top w:val="single" w:sz="4" w:space="0" w:color="auto"/>
              <w:left w:val="nil"/>
              <w:bottom w:val="single" w:sz="4" w:space="0" w:color="auto"/>
              <w:right w:val="single" w:sz="4" w:space="0" w:color="auto"/>
            </w:tcBorders>
            <w:shd w:val="clear" w:color="auto" w:fill="auto"/>
            <w:vAlign w:val="bottom"/>
          </w:tcPr>
          <w:p w14:paraId="0DB93933" w14:textId="5502697C" w:rsidR="00172774" w:rsidRPr="00450163" w:rsidRDefault="00172774" w:rsidP="00172774">
            <w:pPr>
              <w:pStyle w:val="Figurecaption"/>
              <w:rPr>
                <w:rFonts w:ascii="Arial Narrow" w:hAnsi="Arial Narrow"/>
                <w:lang w:eastAsia="en-AU"/>
              </w:rPr>
            </w:pPr>
            <w:r>
              <w:rPr>
                <w:rFonts w:ascii="Arial Narrow" w:hAnsi="Arial Narrow" w:cs="Calibri"/>
              </w:rPr>
              <w:t>39.6</w:t>
            </w:r>
            <w:r w:rsidRPr="00535C95">
              <w:rPr>
                <w:rFonts w:ascii="Arial Narrow" w:hAnsi="Arial Narrow" w:cs="Calibri"/>
              </w:rPr>
              <w:t>%</w:t>
            </w:r>
          </w:p>
        </w:tc>
        <w:tc>
          <w:tcPr>
            <w:tcW w:w="1119" w:type="dxa"/>
            <w:tcBorders>
              <w:top w:val="single" w:sz="4" w:space="0" w:color="auto"/>
              <w:left w:val="nil"/>
              <w:bottom w:val="single" w:sz="4" w:space="0" w:color="auto"/>
              <w:right w:val="single" w:sz="4" w:space="0" w:color="auto"/>
            </w:tcBorders>
            <w:shd w:val="clear" w:color="auto" w:fill="auto"/>
            <w:vAlign w:val="bottom"/>
          </w:tcPr>
          <w:p w14:paraId="5D81F365" w14:textId="41BD1204" w:rsidR="00172774" w:rsidRPr="004D4AF2" w:rsidRDefault="004D4AF2" w:rsidP="00172774">
            <w:pPr>
              <w:pStyle w:val="Figurecaption"/>
              <w:rPr>
                <w:rFonts w:ascii="Arial Narrow" w:hAnsi="Arial Narrow"/>
                <w:highlight w:val="black"/>
                <w:lang w:eastAsia="en-AU"/>
              </w:rPr>
            </w:pPr>
            <w:r w:rsidRPr="004D4AF2">
              <w:rPr>
                <w:rFonts w:ascii="Arial Narrow" w:hAnsi="Arial Narrow" w:cs="Arial"/>
                <w:highlight w:val="black"/>
              </w:rPr>
              <w:t>xxxxx</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14:paraId="1DF3694D" w14:textId="220E7CB0" w:rsidR="00172774" w:rsidRPr="00172774" w:rsidRDefault="00172774" w:rsidP="00172774">
            <w:pPr>
              <w:pStyle w:val="Figurecaption"/>
              <w:rPr>
                <w:rFonts w:ascii="Arial Narrow" w:hAnsi="Arial Narrow"/>
                <w:lang w:eastAsia="en-AU"/>
              </w:rPr>
            </w:pPr>
            <w:r w:rsidRPr="00172774">
              <w:rPr>
                <w:rFonts w:ascii="Arial Narrow" w:hAnsi="Arial Narrow" w:cs="Calibri"/>
              </w:rPr>
              <w:t>22.0%</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tcPr>
          <w:p w14:paraId="5D636206" w14:textId="0D8B11C9" w:rsidR="00172774" w:rsidRPr="004D4AF2" w:rsidRDefault="004D4AF2" w:rsidP="00172774">
            <w:pPr>
              <w:pStyle w:val="Figurecaption"/>
              <w:rPr>
                <w:rFonts w:ascii="Arial Narrow" w:hAnsi="Arial Narrow"/>
                <w:highlight w:val="black"/>
                <w:lang w:eastAsia="en-AU"/>
              </w:rPr>
            </w:pPr>
            <w:r w:rsidRPr="004D4AF2">
              <w:rPr>
                <w:rFonts w:ascii="Arial Narrow" w:hAnsi="Arial Narrow" w:cs="Arial"/>
                <w:highlight w:val="black"/>
              </w:rPr>
              <w:t>xxxx</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14:paraId="71CBEAA1" w14:textId="04A76F4A" w:rsidR="00172774" w:rsidRPr="00172774" w:rsidRDefault="00172774" w:rsidP="00172774">
            <w:pPr>
              <w:pStyle w:val="Figurecaption"/>
              <w:rPr>
                <w:rFonts w:ascii="Arial Narrow" w:hAnsi="Arial Narrow" w:cs="Calibri"/>
              </w:rPr>
            </w:pPr>
            <w:r w:rsidRPr="00172774">
              <w:rPr>
                <w:rFonts w:ascii="Arial Narrow" w:hAnsi="Arial Narrow" w:cs="Calibri"/>
              </w:rPr>
              <w:t>38.4%</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tcPr>
          <w:p w14:paraId="48B47571" w14:textId="544F1D83" w:rsidR="00172774" w:rsidRPr="004D4AF2" w:rsidRDefault="004D4AF2" w:rsidP="00172774">
            <w:pPr>
              <w:pStyle w:val="Figurecaption"/>
              <w:rPr>
                <w:rFonts w:ascii="Arial Narrow" w:hAnsi="Arial Narrow" w:cs="Calibri"/>
                <w:highlight w:val="black"/>
              </w:rPr>
            </w:pPr>
            <w:r w:rsidRPr="004D4AF2">
              <w:rPr>
                <w:rFonts w:ascii="Arial Narrow" w:hAnsi="Arial Narrow" w:cs="Arial"/>
                <w:highlight w:val="black"/>
              </w:rPr>
              <w:t>xxxxx</w:t>
            </w:r>
          </w:p>
        </w:tc>
      </w:tr>
      <w:tr w:rsidR="00535C95" w:rsidRPr="002027BE" w14:paraId="63646F0B" w14:textId="77777777" w:rsidTr="00535C95">
        <w:tc>
          <w:tcPr>
            <w:tcW w:w="2236" w:type="dxa"/>
          </w:tcPr>
          <w:p w14:paraId="7D4B4FC7" w14:textId="77777777" w:rsidR="00172774" w:rsidRPr="002027BE" w:rsidRDefault="00172774" w:rsidP="00172774">
            <w:pPr>
              <w:pStyle w:val="Figurecaption"/>
              <w:rPr>
                <w:rFonts w:ascii="Arial Narrow" w:hAnsi="Arial Narrow"/>
                <w:lang w:eastAsia="en-AU"/>
              </w:rPr>
            </w:pPr>
            <w:r w:rsidRPr="002027BE">
              <w:rPr>
                <w:rFonts w:ascii="Arial Narrow" w:hAnsi="Arial Narrow"/>
                <w:lang w:eastAsia="en-AU"/>
              </w:rPr>
              <w:t>Year 5</w:t>
            </w:r>
          </w:p>
        </w:tc>
        <w:tc>
          <w:tcPr>
            <w:tcW w:w="1118" w:type="dxa"/>
            <w:tcBorders>
              <w:top w:val="single" w:sz="4" w:space="0" w:color="auto"/>
              <w:left w:val="nil"/>
              <w:bottom w:val="single" w:sz="4" w:space="0" w:color="auto"/>
              <w:right w:val="single" w:sz="4" w:space="0" w:color="auto"/>
            </w:tcBorders>
            <w:shd w:val="clear" w:color="auto" w:fill="auto"/>
            <w:vAlign w:val="bottom"/>
          </w:tcPr>
          <w:p w14:paraId="4795D5EF" w14:textId="23BFC69A" w:rsidR="00172774" w:rsidRPr="00450163" w:rsidRDefault="00172774" w:rsidP="00172774">
            <w:pPr>
              <w:pStyle w:val="Figurecaption"/>
              <w:rPr>
                <w:rFonts w:ascii="Arial Narrow" w:hAnsi="Arial Narrow"/>
                <w:lang w:eastAsia="en-AU"/>
              </w:rPr>
            </w:pPr>
            <w:r>
              <w:rPr>
                <w:rFonts w:ascii="Arial Narrow" w:hAnsi="Arial Narrow" w:cs="Calibri"/>
              </w:rPr>
              <w:t>37.7</w:t>
            </w:r>
            <w:r w:rsidRPr="00535C95">
              <w:rPr>
                <w:rFonts w:ascii="Arial Narrow" w:hAnsi="Arial Narrow" w:cs="Calibri"/>
              </w:rPr>
              <w:t>%</w:t>
            </w:r>
          </w:p>
        </w:tc>
        <w:tc>
          <w:tcPr>
            <w:tcW w:w="1119" w:type="dxa"/>
            <w:tcBorders>
              <w:top w:val="single" w:sz="4" w:space="0" w:color="auto"/>
              <w:left w:val="nil"/>
              <w:bottom w:val="single" w:sz="4" w:space="0" w:color="auto"/>
              <w:right w:val="single" w:sz="4" w:space="0" w:color="auto"/>
            </w:tcBorders>
            <w:shd w:val="clear" w:color="auto" w:fill="auto"/>
            <w:vAlign w:val="bottom"/>
          </w:tcPr>
          <w:p w14:paraId="4D408FE9" w14:textId="05A74227" w:rsidR="00172774" w:rsidRPr="004D4AF2" w:rsidRDefault="004D4AF2" w:rsidP="00172774">
            <w:pPr>
              <w:pStyle w:val="Figurecaption"/>
              <w:rPr>
                <w:rFonts w:ascii="Arial Narrow" w:hAnsi="Arial Narrow"/>
                <w:highlight w:val="black"/>
                <w:lang w:eastAsia="en-AU"/>
              </w:rPr>
            </w:pPr>
            <w:r w:rsidRPr="004D4AF2">
              <w:rPr>
                <w:rFonts w:ascii="Arial Narrow" w:hAnsi="Arial Narrow" w:cs="Arial"/>
                <w:highlight w:val="black"/>
              </w:rPr>
              <w:t>xxxxx</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14:paraId="0B0EAE2A" w14:textId="3AEBD613" w:rsidR="00172774" w:rsidRPr="00172774" w:rsidRDefault="00172774" w:rsidP="00172774">
            <w:pPr>
              <w:pStyle w:val="Figurecaption"/>
              <w:rPr>
                <w:rFonts w:ascii="Arial Narrow" w:hAnsi="Arial Narrow"/>
                <w:lang w:eastAsia="en-AU"/>
              </w:rPr>
            </w:pPr>
            <w:r w:rsidRPr="00172774">
              <w:rPr>
                <w:rFonts w:ascii="Arial Narrow" w:hAnsi="Arial Narrow" w:cs="Calibri"/>
              </w:rPr>
              <w:t>24.5%</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tcPr>
          <w:p w14:paraId="40DDB8FB" w14:textId="5DFDC0AD" w:rsidR="00172774" w:rsidRPr="004D4AF2" w:rsidRDefault="004D4AF2" w:rsidP="00172774">
            <w:pPr>
              <w:pStyle w:val="Figurecaption"/>
              <w:rPr>
                <w:rFonts w:ascii="Arial Narrow" w:hAnsi="Arial Narrow"/>
                <w:highlight w:val="black"/>
                <w:lang w:eastAsia="en-AU"/>
              </w:rPr>
            </w:pPr>
            <w:r w:rsidRPr="004D4AF2">
              <w:rPr>
                <w:rFonts w:ascii="Arial Narrow" w:hAnsi="Arial Narrow" w:cs="Arial"/>
                <w:highlight w:val="black"/>
              </w:rPr>
              <w:t>xxxx</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14:paraId="3A6F75CA" w14:textId="266510C6" w:rsidR="00172774" w:rsidRPr="00172774" w:rsidRDefault="00172774" w:rsidP="00172774">
            <w:pPr>
              <w:pStyle w:val="Figurecaption"/>
              <w:rPr>
                <w:rFonts w:ascii="Arial Narrow" w:hAnsi="Arial Narrow" w:cs="Calibri"/>
              </w:rPr>
            </w:pPr>
            <w:r w:rsidRPr="00172774">
              <w:rPr>
                <w:rFonts w:ascii="Arial Narrow" w:hAnsi="Arial Narrow" w:cs="Calibri"/>
              </w:rPr>
              <w:t>37.7%</w:t>
            </w:r>
          </w:p>
        </w:tc>
        <w:tc>
          <w:tcPr>
            <w:tcW w:w="1119" w:type="dxa"/>
            <w:tcBorders>
              <w:top w:val="single" w:sz="4" w:space="0" w:color="auto"/>
              <w:left w:val="single" w:sz="4" w:space="0" w:color="auto"/>
              <w:bottom w:val="single" w:sz="4" w:space="0" w:color="auto"/>
              <w:right w:val="single" w:sz="4" w:space="0" w:color="auto"/>
            </w:tcBorders>
            <w:shd w:val="clear" w:color="auto" w:fill="auto"/>
            <w:vAlign w:val="bottom"/>
          </w:tcPr>
          <w:p w14:paraId="150E5F23" w14:textId="21262B5D" w:rsidR="00172774" w:rsidRPr="004D4AF2" w:rsidRDefault="004D4AF2" w:rsidP="00172774">
            <w:pPr>
              <w:pStyle w:val="Figurecaption"/>
              <w:rPr>
                <w:rFonts w:ascii="Arial Narrow" w:hAnsi="Arial Narrow" w:cs="Calibri"/>
                <w:highlight w:val="black"/>
              </w:rPr>
            </w:pPr>
            <w:r w:rsidRPr="004D4AF2">
              <w:rPr>
                <w:rFonts w:ascii="Arial Narrow" w:hAnsi="Arial Narrow" w:cs="Arial"/>
                <w:highlight w:val="black"/>
              </w:rPr>
              <w:t>xxxxx</w:t>
            </w:r>
          </w:p>
        </w:tc>
      </w:tr>
    </w:tbl>
    <w:p w14:paraId="1F04F514" w14:textId="77777777" w:rsidR="0052249B" w:rsidRPr="000E6419" w:rsidRDefault="0052249B" w:rsidP="0052249B">
      <w:pPr>
        <w:pStyle w:val="Figurecaption"/>
      </w:pPr>
      <w:r w:rsidRPr="000E6419">
        <w:t xml:space="preserve">Note: Year covers the period from 1 May – 30 April except for Year 5 as data cut off </w:t>
      </w:r>
      <w:r>
        <w:t>wa</w:t>
      </w:r>
      <w:r w:rsidRPr="000E6419">
        <w:t>s 28 February 2019.</w:t>
      </w:r>
    </w:p>
    <w:p w14:paraId="6F66163F" w14:textId="77777777" w:rsidR="00D81BAC" w:rsidRDefault="00D81BAC" w:rsidP="00D81BAC">
      <w:pPr>
        <w:spacing w:before="60" w:after="60"/>
      </w:pPr>
    </w:p>
    <w:p w14:paraId="3411466C" w14:textId="77777777" w:rsidR="00571EC1" w:rsidRDefault="00571EC1">
      <w:pPr>
        <w:spacing w:line="276" w:lineRule="auto"/>
      </w:pPr>
      <w:r>
        <w:br w:type="page"/>
      </w:r>
    </w:p>
    <w:p w14:paraId="179A8AD3" w14:textId="5FE7E690" w:rsidR="00274D58" w:rsidRDefault="00274D58" w:rsidP="00274D58">
      <w:r>
        <w:lastRenderedPageBreak/>
        <w:t xml:space="preserve">Patient dose was further analysed </w:t>
      </w:r>
      <w:r w:rsidR="00BE26C2">
        <w:t xml:space="preserve">based on </w:t>
      </w:r>
      <w:r>
        <w:t>the sequence of the dispensed pack size</w:t>
      </w:r>
      <w:r w:rsidR="00091149">
        <w:t xml:space="preserve"> (Table </w:t>
      </w:r>
      <w:r w:rsidR="00EA00E6">
        <w:t>6</w:t>
      </w:r>
      <w:r w:rsidR="00091149">
        <w:t>)</w:t>
      </w:r>
      <w:r w:rsidR="00551163">
        <w:t xml:space="preserve">. </w:t>
      </w:r>
      <w:r w:rsidR="00BE26C2">
        <w:t>I</w:t>
      </w:r>
      <w:r>
        <w:t xml:space="preserve">f the original dispensed pack size is different to the next, then a dose adjustment </w:t>
      </w:r>
      <w:r w:rsidR="001F7D4D">
        <w:t>wa</w:t>
      </w:r>
      <w:r>
        <w:t>s assumed</w:t>
      </w:r>
      <w:r w:rsidR="00551163">
        <w:t xml:space="preserve">. </w:t>
      </w:r>
      <w:r>
        <w:t>The dose adjustment was then further categorised to whether it was an increase or decrease from the initial dose</w:t>
      </w:r>
      <w:r w:rsidR="001F7D4D">
        <w:t xml:space="preserve">, or </w:t>
      </w:r>
      <w:r w:rsidR="00B252B9">
        <w:t xml:space="preserve">if the sequence of dispensed pack quantity was </w:t>
      </w:r>
      <w:r w:rsidR="00002143">
        <w:t>variable</w:t>
      </w:r>
      <w:r w:rsidR="00551163">
        <w:t xml:space="preserve">. </w:t>
      </w:r>
      <w:r>
        <w:t xml:space="preserve"> Patients were grouped into the following age categories:</w:t>
      </w:r>
    </w:p>
    <w:p w14:paraId="1ECC78ED" w14:textId="7B42DB3C" w:rsidR="00274D58" w:rsidRDefault="00274D58" w:rsidP="00274D58">
      <w:pPr>
        <w:pStyle w:val="ListParagraph"/>
        <w:numPr>
          <w:ilvl w:val="0"/>
          <w:numId w:val="5"/>
        </w:numPr>
      </w:pPr>
      <w:r>
        <w:t>0 – 6 years;</w:t>
      </w:r>
    </w:p>
    <w:p w14:paraId="2547DF63" w14:textId="4EE1831C" w:rsidR="00274D58" w:rsidRDefault="00274D58" w:rsidP="00274D58">
      <w:pPr>
        <w:pStyle w:val="ListParagraph"/>
        <w:numPr>
          <w:ilvl w:val="0"/>
          <w:numId w:val="5"/>
        </w:numPr>
      </w:pPr>
      <w:r>
        <w:t>7 – 12 years;</w:t>
      </w:r>
      <w:r w:rsidR="00DD1ED2">
        <w:t xml:space="preserve"> and</w:t>
      </w:r>
    </w:p>
    <w:p w14:paraId="7532F3E2" w14:textId="0FEBB152" w:rsidR="001F7D4D" w:rsidRDefault="00274D58" w:rsidP="00535C95">
      <w:pPr>
        <w:pStyle w:val="ListParagraph"/>
        <w:numPr>
          <w:ilvl w:val="0"/>
          <w:numId w:val="5"/>
        </w:numPr>
      </w:pPr>
      <w:r>
        <w:t>13 &amp; above years</w:t>
      </w:r>
      <w:r w:rsidR="00535C95">
        <w:t>.</w:t>
      </w:r>
    </w:p>
    <w:p w14:paraId="4B3C4633" w14:textId="40E541E8" w:rsidR="00B243ED" w:rsidRPr="00B243ED" w:rsidRDefault="00B243ED" w:rsidP="00D81BAC">
      <w:pPr>
        <w:spacing w:before="200" w:after="20"/>
        <w:rPr>
          <w:b/>
        </w:rPr>
      </w:pPr>
      <w:r>
        <w:rPr>
          <w:b/>
        </w:rPr>
        <w:t xml:space="preserve">Table </w:t>
      </w:r>
      <w:r w:rsidR="00EA00E6">
        <w:rPr>
          <w:b/>
        </w:rPr>
        <w:t>6</w:t>
      </w:r>
      <w:r>
        <w:rPr>
          <w:b/>
        </w:rPr>
        <w:t>: Sequence of dispensed pack quantity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w:tblDescription w:val="Table 6"/>
      </w:tblPr>
      <w:tblGrid>
        <w:gridCol w:w="3151"/>
        <w:gridCol w:w="1021"/>
        <w:gridCol w:w="993"/>
        <w:gridCol w:w="1634"/>
      </w:tblGrid>
      <w:tr w:rsidR="001F7D4D" w:rsidRPr="00A57377" w14:paraId="13819D1F" w14:textId="77777777" w:rsidTr="00627387">
        <w:trPr>
          <w:trHeight w:val="300"/>
        </w:trPr>
        <w:tc>
          <w:tcPr>
            <w:tcW w:w="0" w:type="auto"/>
            <w:tcBorders>
              <w:bottom w:val="nil"/>
            </w:tcBorders>
            <w:shd w:val="clear" w:color="auto" w:fill="auto"/>
            <w:noWrap/>
            <w:vAlign w:val="bottom"/>
          </w:tcPr>
          <w:p w14:paraId="5A74F546" w14:textId="77777777" w:rsidR="001F7D4D" w:rsidRPr="009B5FD5" w:rsidRDefault="001F7D4D" w:rsidP="00627387">
            <w:pPr>
              <w:spacing w:after="0"/>
              <w:jc w:val="center"/>
              <w:rPr>
                <w:rFonts w:ascii="Arial Narrow" w:eastAsia="Times New Roman" w:hAnsi="Arial Narrow" w:cs="Calibri"/>
                <w:b/>
                <w:color w:val="000000"/>
                <w:sz w:val="20"/>
                <w:szCs w:val="20"/>
              </w:rPr>
            </w:pPr>
            <w:r w:rsidRPr="009B5FD5">
              <w:rPr>
                <w:rFonts w:ascii="Arial Narrow" w:eastAsia="Times New Roman" w:hAnsi="Arial Narrow" w:cs="Calibri"/>
                <w:b/>
                <w:color w:val="000000"/>
                <w:sz w:val="20"/>
                <w:szCs w:val="20"/>
              </w:rPr>
              <w:t>Sequence of dispensed pack quantity</w:t>
            </w:r>
          </w:p>
        </w:tc>
        <w:tc>
          <w:tcPr>
            <w:tcW w:w="3648" w:type="dxa"/>
            <w:gridSpan w:val="3"/>
            <w:shd w:val="clear" w:color="auto" w:fill="auto"/>
            <w:noWrap/>
            <w:vAlign w:val="bottom"/>
          </w:tcPr>
          <w:p w14:paraId="53F25A5E" w14:textId="77777777" w:rsidR="001F7D4D" w:rsidRPr="009B5FD5" w:rsidRDefault="001F7D4D" w:rsidP="00627387">
            <w:pPr>
              <w:spacing w:after="0"/>
              <w:jc w:val="center"/>
              <w:rPr>
                <w:rFonts w:ascii="Arial Narrow" w:eastAsia="Times New Roman" w:hAnsi="Arial Narrow" w:cs="Calibri"/>
                <w:b/>
                <w:color w:val="000000"/>
                <w:sz w:val="20"/>
                <w:szCs w:val="20"/>
              </w:rPr>
            </w:pPr>
            <w:r w:rsidRPr="009B5FD5">
              <w:rPr>
                <w:rFonts w:ascii="Arial Narrow" w:eastAsia="Times New Roman" w:hAnsi="Arial Narrow" w:cs="Calibri"/>
                <w:b/>
                <w:color w:val="000000"/>
                <w:sz w:val="20"/>
                <w:szCs w:val="20"/>
              </w:rPr>
              <w:t>Age category</w:t>
            </w:r>
          </w:p>
        </w:tc>
      </w:tr>
      <w:tr w:rsidR="001F7D4D" w:rsidRPr="00A57377" w14:paraId="69178207" w14:textId="77777777" w:rsidTr="00627387">
        <w:trPr>
          <w:trHeight w:val="300"/>
        </w:trPr>
        <w:tc>
          <w:tcPr>
            <w:tcW w:w="0" w:type="auto"/>
            <w:tcBorders>
              <w:top w:val="nil"/>
              <w:bottom w:val="nil"/>
            </w:tcBorders>
            <w:shd w:val="clear" w:color="auto" w:fill="auto"/>
            <w:noWrap/>
          </w:tcPr>
          <w:p w14:paraId="6E7560FC" w14:textId="77777777" w:rsidR="001F7D4D" w:rsidRPr="009B5FD5" w:rsidRDefault="001F7D4D" w:rsidP="00627387">
            <w:pPr>
              <w:spacing w:after="0"/>
              <w:jc w:val="center"/>
              <w:rPr>
                <w:rFonts w:ascii="Arial Narrow" w:eastAsia="Times New Roman" w:hAnsi="Arial Narrow" w:cs="Calibri"/>
                <w:b/>
                <w:color w:val="000000"/>
                <w:sz w:val="20"/>
                <w:szCs w:val="20"/>
              </w:rPr>
            </w:pPr>
          </w:p>
        </w:tc>
        <w:tc>
          <w:tcPr>
            <w:tcW w:w="1021" w:type="dxa"/>
            <w:tcBorders>
              <w:bottom w:val="nil"/>
            </w:tcBorders>
            <w:shd w:val="clear" w:color="auto" w:fill="auto"/>
            <w:noWrap/>
          </w:tcPr>
          <w:p w14:paraId="2816A2A1" w14:textId="77777777" w:rsidR="001F7D4D" w:rsidRPr="009B5FD5" w:rsidRDefault="001F7D4D" w:rsidP="00627387">
            <w:pPr>
              <w:spacing w:after="0"/>
              <w:jc w:val="center"/>
              <w:rPr>
                <w:rFonts w:ascii="Arial Narrow" w:eastAsia="Times New Roman" w:hAnsi="Arial Narrow" w:cs="Calibri"/>
                <w:b/>
                <w:color w:val="000000"/>
                <w:sz w:val="20"/>
                <w:szCs w:val="20"/>
              </w:rPr>
            </w:pPr>
            <w:r w:rsidRPr="009B5FD5">
              <w:rPr>
                <w:rFonts w:ascii="Arial Narrow" w:eastAsia="Times New Roman" w:hAnsi="Arial Narrow" w:cs="Calibri"/>
                <w:b/>
                <w:color w:val="000000"/>
                <w:sz w:val="20"/>
                <w:szCs w:val="20"/>
              </w:rPr>
              <w:t>0-6 years</w:t>
            </w:r>
          </w:p>
        </w:tc>
        <w:tc>
          <w:tcPr>
            <w:tcW w:w="993" w:type="dxa"/>
            <w:tcBorders>
              <w:bottom w:val="nil"/>
            </w:tcBorders>
          </w:tcPr>
          <w:p w14:paraId="0769B05E" w14:textId="77777777" w:rsidR="001F7D4D" w:rsidRPr="009B5FD5" w:rsidRDefault="001F7D4D" w:rsidP="00627387">
            <w:pPr>
              <w:spacing w:after="0"/>
              <w:jc w:val="center"/>
              <w:rPr>
                <w:rFonts w:ascii="Arial Narrow" w:eastAsia="Times New Roman" w:hAnsi="Arial Narrow" w:cs="Calibri"/>
                <w:b/>
                <w:color w:val="000000"/>
                <w:sz w:val="20"/>
                <w:szCs w:val="20"/>
              </w:rPr>
            </w:pPr>
            <w:r w:rsidRPr="009B5FD5">
              <w:rPr>
                <w:rFonts w:ascii="Arial Narrow" w:eastAsia="Times New Roman" w:hAnsi="Arial Narrow" w:cs="Calibri"/>
                <w:b/>
                <w:color w:val="000000"/>
                <w:sz w:val="20"/>
                <w:szCs w:val="20"/>
              </w:rPr>
              <w:t>7-12</w:t>
            </w:r>
          </w:p>
          <w:p w14:paraId="7C9FAA43" w14:textId="77777777" w:rsidR="001F7D4D" w:rsidRPr="009B5FD5" w:rsidRDefault="001F7D4D" w:rsidP="00627387">
            <w:pPr>
              <w:spacing w:after="0"/>
              <w:jc w:val="center"/>
              <w:rPr>
                <w:rFonts w:ascii="Arial Narrow" w:eastAsia="Times New Roman" w:hAnsi="Arial Narrow" w:cs="Calibri"/>
                <w:b/>
                <w:color w:val="000000"/>
                <w:sz w:val="20"/>
                <w:szCs w:val="20"/>
              </w:rPr>
            </w:pPr>
            <w:r w:rsidRPr="009B5FD5">
              <w:rPr>
                <w:rFonts w:ascii="Arial Narrow" w:eastAsia="Times New Roman" w:hAnsi="Arial Narrow" w:cs="Calibri"/>
                <w:b/>
                <w:color w:val="000000"/>
                <w:sz w:val="20"/>
                <w:szCs w:val="20"/>
              </w:rPr>
              <w:t>Years</w:t>
            </w:r>
            <w:r>
              <w:rPr>
                <w:rFonts w:ascii="Arial Narrow" w:eastAsia="Times New Roman" w:hAnsi="Arial Narrow" w:cs="Calibri"/>
                <w:b/>
                <w:color w:val="000000"/>
                <w:sz w:val="20"/>
                <w:szCs w:val="20"/>
              </w:rPr>
              <w:t xml:space="preserve"> </w:t>
            </w:r>
          </w:p>
        </w:tc>
        <w:tc>
          <w:tcPr>
            <w:tcW w:w="1634" w:type="dxa"/>
            <w:tcBorders>
              <w:bottom w:val="nil"/>
            </w:tcBorders>
          </w:tcPr>
          <w:p w14:paraId="1453BB50" w14:textId="77777777" w:rsidR="001F7D4D" w:rsidRPr="009B5FD5" w:rsidRDefault="001F7D4D" w:rsidP="00627387">
            <w:pPr>
              <w:spacing w:after="0"/>
              <w:jc w:val="center"/>
              <w:rPr>
                <w:rFonts w:ascii="Arial Narrow" w:eastAsia="Times New Roman" w:hAnsi="Arial Narrow" w:cs="Calibri"/>
                <w:b/>
                <w:color w:val="000000"/>
                <w:sz w:val="20"/>
                <w:szCs w:val="20"/>
              </w:rPr>
            </w:pPr>
            <w:r w:rsidRPr="009B5FD5">
              <w:rPr>
                <w:rFonts w:ascii="Arial Narrow" w:eastAsia="Times New Roman" w:hAnsi="Arial Narrow" w:cs="Calibri"/>
                <w:b/>
                <w:color w:val="000000"/>
                <w:sz w:val="20"/>
                <w:szCs w:val="20"/>
              </w:rPr>
              <w:t>13 and above</w:t>
            </w:r>
          </w:p>
          <w:p w14:paraId="6B459FFC" w14:textId="77777777" w:rsidR="001F7D4D" w:rsidRPr="009B5FD5" w:rsidRDefault="001F7D4D" w:rsidP="00627387">
            <w:pPr>
              <w:spacing w:after="0"/>
              <w:jc w:val="center"/>
              <w:rPr>
                <w:rFonts w:ascii="Arial Narrow" w:eastAsia="Times New Roman" w:hAnsi="Arial Narrow" w:cs="Calibri"/>
                <w:b/>
                <w:color w:val="000000"/>
                <w:sz w:val="20"/>
                <w:szCs w:val="20"/>
              </w:rPr>
            </w:pPr>
            <w:r w:rsidRPr="009B5FD5">
              <w:rPr>
                <w:rFonts w:ascii="Arial Narrow" w:eastAsia="Times New Roman" w:hAnsi="Arial Narrow" w:cs="Calibri"/>
                <w:b/>
                <w:color w:val="000000"/>
                <w:sz w:val="20"/>
                <w:szCs w:val="20"/>
              </w:rPr>
              <w:t>Years</w:t>
            </w:r>
          </w:p>
        </w:tc>
      </w:tr>
      <w:tr w:rsidR="001F7D4D" w:rsidRPr="00A57377" w14:paraId="746E3DA5" w14:textId="77777777" w:rsidTr="00627387">
        <w:trPr>
          <w:trHeight w:val="300"/>
        </w:trPr>
        <w:tc>
          <w:tcPr>
            <w:tcW w:w="0" w:type="auto"/>
            <w:tcBorders>
              <w:top w:val="nil"/>
            </w:tcBorders>
            <w:shd w:val="clear" w:color="auto" w:fill="auto"/>
            <w:noWrap/>
            <w:hideMark/>
          </w:tcPr>
          <w:p w14:paraId="45E42D92" w14:textId="77777777" w:rsidR="001F7D4D" w:rsidRPr="009B5FD5" w:rsidRDefault="001F7D4D" w:rsidP="00627387">
            <w:pPr>
              <w:spacing w:after="0"/>
              <w:rPr>
                <w:rFonts w:ascii="Arial Narrow" w:eastAsia="Times New Roman" w:hAnsi="Arial Narrow" w:cs="Calibri"/>
                <w:b/>
                <w:color w:val="000000"/>
                <w:sz w:val="20"/>
                <w:szCs w:val="20"/>
              </w:rPr>
            </w:pPr>
          </w:p>
        </w:tc>
        <w:tc>
          <w:tcPr>
            <w:tcW w:w="1021" w:type="dxa"/>
            <w:tcBorders>
              <w:top w:val="nil"/>
            </w:tcBorders>
            <w:shd w:val="clear" w:color="auto" w:fill="auto"/>
            <w:noWrap/>
            <w:hideMark/>
          </w:tcPr>
          <w:p w14:paraId="5DB50A83" w14:textId="77777777" w:rsidR="001F7D4D" w:rsidRPr="009B5FD5" w:rsidRDefault="001F7D4D" w:rsidP="00627387">
            <w:pPr>
              <w:spacing w:after="0"/>
              <w:jc w:val="center"/>
              <w:rPr>
                <w:rFonts w:ascii="Arial Narrow" w:eastAsia="Times New Roman" w:hAnsi="Arial Narrow" w:cs="Calibri"/>
                <w:b/>
                <w:color w:val="000000"/>
                <w:sz w:val="20"/>
                <w:szCs w:val="20"/>
              </w:rPr>
            </w:pPr>
            <w:r>
              <w:rPr>
                <w:rFonts w:ascii="Arial Narrow" w:eastAsia="Times New Roman" w:hAnsi="Arial Narrow" w:cs="Calibri"/>
                <w:b/>
                <w:color w:val="000000"/>
                <w:sz w:val="20"/>
                <w:szCs w:val="20"/>
              </w:rPr>
              <w:t>(</w:t>
            </w:r>
            <w:r w:rsidRPr="009B5FD5">
              <w:rPr>
                <w:rFonts w:ascii="Arial Narrow" w:eastAsia="Times New Roman" w:hAnsi="Arial Narrow" w:cs="Calibri"/>
                <w:b/>
                <w:color w:val="000000"/>
                <w:sz w:val="20"/>
                <w:szCs w:val="20"/>
              </w:rPr>
              <w:t>Percent</w:t>
            </w:r>
            <w:r>
              <w:rPr>
                <w:rFonts w:ascii="Arial Narrow" w:eastAsia="Times New Roman" w:hAnsi="Arial Narrow" w:cs="Calibri"/>
                <w:b/>
                <w:color w:val="000000"/>
                <w:sz w:val="20"/>
                <w:szCs w:val="20"/>
              </w:rPr>
              <w:t>)</w:t>
            </w:r>
          </w:p>
        </w:tc>
        <w:tc>
          <w:tcPr>
            <w:tcW w:w="993" w:type="dxa"/>
            <w:tcBorders>
              <w:top w:val="nil"/>
            </w:tcBorders>
          </w:tcPr>
          <w:p w14:paraId="05612094" w14:textId="77777777" w:rsidR="001F7D4D" w:rsidRPr="009B5FD5" w:rsidRDefault="001F7D4D" w:rsidP="00627387">
            <w:pPr>
              <w:spacing w:after="0"/>
              <w:jc w:val="center"/>
              <w:rPr>
                <w:rFonts w:ascii="Arial Narrow" w:eastAsia="Times New Roman" w:hAnsi="Arial Narrow" w:cs="Calibri"/>
                <w:b/>
                <w:color w:val="000000"/>
                <w:sz w:val="20"/>
                <w:szCs w:val="20"/>
              </w:rPr>
            </w:pPr>
            <w:r>
              <w:rPr>
                <w:rFonts w:ascii="Arial Narrow" w:eastAsia="Times New Roman" w:hAnsi="Arial Narrow" w:cs="Calibri"/>
                <w:b/>
                <w:color w:val="000000"/>
                <w:sz w:val="20"/>
                <w:szCs w:val="20"/>
              </w:rPr>
              <w:t>(</w:t>
            </w:r>
            <w:r w:rsidRPr="009B5FD5">
              <w:rPr>
                <w:rFonts w:ascii="Arial Narrow" w:eastAsia="Times New Roman" w:hAnsi="Arial Narrow" w:cs="Calibri"/>
                <w:b/>
                <w:color w:val="000000"/>
                <w:sz w:val="20"/>
                <w:szCs w:val="20"/>
              </w:rPr>
              <w:t>Percent</w:t>
            </w:r>
            <w:r>
              <w:rPr>
                <w:rFonts w:ascii="Arial Narrow" w:eastAsia="Times New Roman" w:hAnsi="Arial Narrow" w:cs="Calibri"/>
                <w:b/>
                <w:color w:val="000000"/>
                <w:sz w:val="20"/>
                <w:szCs w:val="20"/>
              </w:rPr>
              <w:t>)</w:t>
            </w:r>
          </w:p>
        </w:tc>
        <w:tc>
          <w:tcPr>
            <w:tcW w:w="1634" w:type="dxa"/>
            <w:tcBorders>
              <w:top w:val="nil"/>
            </w:tcBorders>
          </w:tcPr>
          <w:p w14:paraId="7A2B9133" w14:textId="77777777" w:rsidR="001F7D4D" w:rsidRPr="009B5FD5" w:rsidRDefault="001F7D4D" w:rsidP="00627387">
            <w:pPr>
              <w:spacing w:after="0"/>
              <w:jc w:val="center"/>
              <w:rPr>
                <w:rFonts w:ascii="Arial Narrow" w:eastAsia="Times New Roman" w:hAnsi="Arial Narrow" w:cs="Calibri"/>
                <w:b/>
                <w:color w:val="000000"/>
                <w:sz w:val="20"/>
                <w:szCs w:val="20"/>
              </w:rPr>
            </w:pPr>
            <w:r>
              <w:rPr>
                <w:rFonts w:ascii="Arial Narrow" w:eastAsia="Times New Roman" w:hAnsi="Arial Narrow" w:cs="Calibri"/>
                <w:b/>
                <w:color w:val="000000"/>
                <w:sz w:val="20"/>
                <w:szCs w:val="20"/>
              </w:rPr>
              <w:t>(</w:t>
            </w:r>
            <w:r w:rsidRPr="009B5FD5">
              <w:rPr>
                <w:rFonts w:ascii="Arial Narrow" w:eastAsia="Times New Roman" w:hAnsi="Arial Narrow" w:cs="Calibri"/>
                <w:b/>
                <w:color w:val="000000"/>
                <w:sz w:val="20"/>
                <w:szCs w:val="20"/>
              </w:rPr>
              <w:t>Percent</w:t>
            </w:r>
            <w:r>
              <w:rPr>
                <w:rFonts w:ascii="Arial Narrow" w:eastAsia="Times New Roman" w:hAnsi="Arial Narrow" w:cs="Calibri"/>
                <w:b/>
                <w:color w:val="000000"/>
                <w:sz w:val="20"/>
                <w:szCs w:val="20"/>
              </w:rPr>
              <w:t>)</w:t>
            </w:r>
          </w:p>
        </w:tc>
      </w:tr>
      <w:tr w:rsidR="001F7D4D" w:rsidRPr="00A57377" w14:paraId="727C0FC5" w14:textId="77777777" w:rsidTr="00627387">
        <w:trPr>
          <w:trHeight w:val="300"/>
        </w:trPr>
        <w:tc>
          <w:tcPr>
            <w:tcW w:w="0" w:type="auto"/>
            <w:shd w:val="clear" w:color="auto" w:fill="auto"/>
            <w:noWrap/>
            <w:vAlign w:val="bottom"/>
            <w:hideMark/>
          </w:tcPr>
          <w:p w14:paraId="443FE757" w14:textId="77777777" w:rsidR="001F7D4D" w:rsidRPr="00A57377" w:rsidRDefault="001F7D4D" w:rsidP="00627387">
            <w:pPr>
              <w:spacing w:after="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Increase in pack size</w:t>
            </w:r>
          </w:p>
        </w:tc>
        <w:tc>
          <w:tcPr>
            <w:tcW w:w="1021" w:type="dxa"/>
            <w:shd w:val="clear" w:color="auto" w:fill="auto"/>
            <w:noWrap/>
            <w:vAlign w:val="bottom"/>
            <w:hideMark/>
          </w:tcPr>
          <w:p w14:paraId="629ACCF2" w14:textId="77777777" w:rsidR="001F7D4D" w:rsidRPr="00A57377" w:rsidRDefault="001F7D4D" w:rsidP="00627387">
            <w:pPr>
              <w:spacing w:after="0"/>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N/A</w:t>
            </w:r>
          </w:p>
        </w:tc>
        <w:tc>
          <w:tcPr>
            <w:tcW w:w="993" w:type="dxa"/>
            <w:vAlign w:val="bottom"/>
          </w:tcPr>
          <w:p w14:paraId="67B53FAC" w14:textId="77777777" w:rsidR="001F7D4D" w:rsidRPr="00A57377" w:rsidRDefault="001F7D4D" w:rsidP="00627387">
            <w:pPr>
              <w:spacing w:after="0"/>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27.8%</w:t>
            </w:r>
          </w:p>
        </w:tc>
        <w:tc>
          <w:tcPr>
            <w:tcW w:w="1634" w:type="dxa"/>
            <w:vAlign w:val="bottom"/>
          </w:tcPr>
          <w:p w14:paraId="2F588892" w14:textId="77777777" w:rsidR="001F7D4D" w:rsidRPr="00A57377" w:rsidRDefault="001F7D4D" w:rsidP="00627387">
            <w:pPr>
              <w:spacing w:after="0"/>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22.2%</w:t>
            </w:r>
          </w:p>
        </w:tc>
      </w:tr>
      <w:tr w:rsidR="001F7D4D" w:rsidRPr="00A57377" w14:paraId="3F48E61C" w14:textId="77777777" w:rsidTr="00627387">
        <w:trPr>
          <w:trHeight w:val="300"/>
        </w:trPr>
        <w:tc>
          <w:tcPr>
            <w:tcW w:w="0" w:type="auto"/>
            <w:shd w:val="clear" w:color="auto" w:fill="auto"/>
            <w:noWrap/>
            <w:vAlign w:val="bottom"/>
            <w:hideMark/>
          </w:tcPr>
          <w:p w14:paraId="1C75E464" w14:textId="77777777" w:rsidR="001F7D4D" w:rsidRPr="00A57377" w:rsidRDefault="001F7D4D" w:rsidP="00627387">
            <w:pPr>
              <w:spacing w:after="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Decrease in pack size</w:t>
            </w:r>
          </w:p>
        </w:tc>
        <w:tc>
          <w:tcPr>
            <w:tcW w:w="1021" w:type="dxa"/>
            <w:shd w:val="clear" w:color="auto" w:fill="auto"/>
            <w:noWrap/>
            <w:vAlign w:val="bottom"/>
            <w:hideMark/>
          </w:tcPr>
          <w:p w14:paraId="71C7927D" w14:textId="77777777" w:rsidR="001F7D4D" w:rsidRPr="00A57377" w:rsidRDefault="001F7D4D" w:rsidP="00627387">
            <w:pPr>
              <w:spacing w:after="0"/>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10.0%</w:t>
            </w:r>
          </w:p>
        </w:tc>
        <w:tc>
          <w:tcPr>
            <w:tcW w:w="993" w:type="dxa"/>
            <w:vAlign w:val="bottom"/>
          </w:tcPr>
          <w:p w14:paraId="104BAE2A" w14:textId="77777777" w:rsidR="001F7D4D" w:rsidRPr="00A57377" w:rsidRDefault="001F7D4D" w:rsidP="00627387">
            <w:pPr>
              <w:spacing w:after="0"/>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16.7%</w:t>
            </w:r>
          </w:p>
        </w:tc>
        <w:tc>
          <w:tcPr>
            <w:tcW w:w="1634" w:type="dxa"/>
            <w:vAlign w:val="bottom"/>
          </w:tcPr>
          <w:p w14:paraId="42653256" w14:textId="77777777" w:rsidR="001F7D4D" w:rsidRPr="00A57377" w:rsidRDefault="001F7D4D" w:rsidP="00627387">
            <w:pPr>
              <w:spacing w:after="0"/>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27.8%</w:t>
            </w:r>
          </w:p>
        </w:tc>
      </w:tr>
      <w:tr w:rsidR="001F7D4D" w:rsidRPr="00A57377" w14:paraId="35A1E9AA" w14:textId="77777777" w:rsidTr="00627387">
        <w:trPr>
          <w:trHeight w:val="300"/>
        </w:trPr>
        <w:tc>
          <w:tcPr>
            <w:tcW w:w="0" w:type="auto"/>
            <w:shd w:val="clear" w:color="auto" w:fill="auto"/>
            <w:noWrap/>
            <w:vAlign w:val="bottom"/>
            <w:hideMark/>
          </w:tcPr>
          <w:p w14:paraId="6AB083FB" w14:textId="77777777" w:rsidR="001F7D4D" w:rsidRPr="00A57377" w:rsidRDefault="001F7D4D" w:rsidP="00627387">
            <w:pPr>
              <w:spacing w:after="0"/>
              <w:rPr>
                <w:rFonts w:ascii="Arial Narrow" w:eastAsia="Times New Roman" w:hAnsi="Arial Narrow" w:cs="Calibri"/>
                <w:color w:val="000000"/>
                <w:sz w:val="20"/>
                <w:szCs w:val="20"/>
              </w:rPr>
            </w:pPr>
            <w:r>
              <w:rPr>
                <w:rFonts w:ascii="Arial Narrow" w:eastAsia="Times New Roman" w:hAnsi="Arial Narrow" w:cs="Calibri"/>
                <w:color w:val="000000"/>
                <w:sz w:val="20"/>
                <w:szCs w:val="20"/>
              </w:rPr>
              <w:t>Variable</w:t>
            </w:r>
          </w:p>
        </w:tc>
        <w:tc>
          <w:tcPr>
            <w:tcW w:w="1021" w:type="dxa"/>
            <w:shd w:val="clear" w:color="auto" w:fill="auto"/>
            <w:noWrap/>
            <w:vAlign w:val="bottom"/>
            <w:hideMark/>
          </w:tcPr>
          <w:p w14:paraId="10C41CC9" w14:textId="77777777" w:rsidR="001F7D4D" w:rsidRPr="00A57377" w:rsidRDefault="001F7D4D" w:rsidP="00627387">
            <w:pPr>
              <w:spacing w:after="0"/>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10.0%</w:t>
            </w:r>
          </w:p>
        </w:tc>
        <w:tc>
          <w:tcPr>
            <w:tcW w:w="993" w:type="dxa"/>
            <w:vAlign w:val="bottom"/>
          </w:tcPr>
          <w:p w14:paraId="4E911460" w14:textId="77777777" w:rsidR="001F7D4D" w:rsidRPr="00A57377" w:rsidRDefault="001F7D4D" w:rsidP="00627387">
            <w:pPr>
              <w:spacing w:after="0"/>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N/A</w:t>
            </w:r>
          </w:p>
        </w:tc>
        <w:tc>
          <w:tcPr>
            <w:tcW w:w="1634" w:type="dxa"/>
            <w:vAlign w:val="bottom"/>
          </w:tcPr>
          <w:p w14:paraId="2EC77A0C" w14:textId="77777777" w:rsidR="001F7D4D" w:rsidRPr="00A57377" w:rsidRDefault="001F7D4D" w:rsidP="00627387">
            <w:pPr>
              <w:spacing w:after="0"/>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16.7%</w:t>
            </w:r>
          </w:p>
        </w:tc>
      </w:tr>
    </w:tbl>
    <w:p w14:paraId="43B20109" w14:textId="77777777" w:rsidR="00D81BAC" w:rsidRDefault="00D81BAC" w:rsidP="00D81BAC">
      <w:pPr>
        <w:spacing w:after="0"/>
      </w:pPr>
    </w:p>
    <w:p w14:paraId="412C5539" w14:textId="60311297" w:rsidR="00274D58" w:rsidRDefault="00274D58" w:rsidP="00274D58">
      <w:r>
        <w:t>The highest percentage of dose adjustment was observed in the ‘13 &amp; above’ age group, at 66.</w:t>
      </w:r>
      <w:r w:rsidR="00BE26C2">
        <w:t>7</w:t>
      </w:r>
      <w:r>
        <w:t>%, where half of which were for dose increases and the other half were for dose decreases</w:t>
      </w:r>
      <w:r w:rsidR="00551163">
        <w:t xml:space="preserve">. </w:t>
      </w:r>
      <w:r>
        <w:t>For the ‘7 – 12’ age group, 28% of the dose was increased, while 17% was decreased</w:t>
      </w:r>
      <w:r w:rsidR="00551163">
        <w:t xml:space="preserve">. </w:t>
      </w:r>
      <w:r>
        <w:t>The ‘0 – 6’ age group had the lowest dose adjustment of 20%, where half of which we</w:t>
      </w:r>
      <w:r w:rsidR="000C50CF">
        <w:t>r</w:t>
      </w:r>
      <w:r>
        <w:t>e for dose increases and the other half were for dose decreases</w:t>
      </w:r>
      <w:r w:rsidR="000F33F9">
        <w:t>.</w:t>
      </w:r>
    </w:p>
    <w:p w14:paraId="56582E17" w14:textId="772364F2" w:rsidR="001900B6" w:rsidRPr="005E496E" w:rsidRDefault="00CF0383" w:rsidP="001900B6">
      <w:r>
        <w:t>The influence of c</w:t>
      </w:r>
      <w:r w:rsidR="001900B6">
        <w:t xml:space="preserve">o-administration </w:t>
      </w:r>
      <w:r w:rsidR="007948F3">
        <w:t xml:space="preserve">of sapropterin </w:t>
      </w:r>
      <w:r w:rsidR="001900B6">
        <w:t xml:space="preserve">with nutritional products for PKU </w:t>
      </w:r>
      <w:r>
        <w:t>on patient dose was examined</w:t>
      </w:r>
      <w:r w:rsidR="00551163">
        <w:t xml:space="preserve">. </w:t>
      </w:r>
      <w:r w:rsidR="001900B6">
        <w:t>Nutritional products were considered to be used for PKU if the restriction text contain</w:t>
      </w:r>
      <w:r w:rsidR="00A52296">
        <w:t>ed the terms</w:t>
      </w:r>
      <w:r w:rsidR="001900B6">
        <w:t xml:space="preserve"> “</w:t>
      </w:r>
      <w:r w:rsidR="009724BC">
        <w:t>p</w:t>
      </w:r>
      <w:r w:rsidR="001900B6">
        <w:t>henylketonuria” and the drug name contain</w:t>
      </w:r>
      <w:r w:rsidR="00A52296">
        <w:t>ed</w:t>
      </w:r>
      <w:r w:rsidR="001900B6">
        <w:t xml:space="preserve"> the text “without phenylalanine”</w:t>
      </w:r>
      <w:r w:rsidR="00551163">
        <w:t xml:space="preserve">. </w:t>
      </w:r>
      <w:r w:rsidR="001900B6">
        <w:t>Patients were considered to be co-administering if the supply date of a PKU nutritional product was</w:t>
      </w:r>
      <w:r w:rsidR="001900B6" w:rsidRPr="00E25041">
        <w:t xml:space="preserve"> within 60 days </w:t>
      </w:r>
      <w:r w:rsidR="001900B6">
        <w:t xml:space="preserve">before or after the supply date of sapropterin. Out of </w:t>
      </w:r>
      <w:r w:rsidR="00A52296">
        <w:t>all</w:t>
      </w:r>
      <w:r w:rsidR="001900B6">
        <w:t xml:space="preserve"> 36 patients</w:t>
      </w:r>
      <w:r w:rsidR="00A52296">
        <w:t xml:space="preserve"> who have been supplied sapropterin through the PBS</w:t>
      </w:r>
      <w:r w:rsidR="001900B6">
        <w:t>, 18 patients we</w:t>
      </w:r>
      <w:r w:rsidR="00A52296">
        <w:t xml:space="preserve">re identified as potentially having </w:t>
      </w:r>
      <w:r w:rsidR="001900B6">
        <w:t xml:space="preserve">sapropterin </w:t>
      </w:r>
      <w:r w:rsidR="00A52296">
        <w:t xml:space="preserve">co-administered </w:t>
      </w:r>
      <w:r w:rsidR="001900B6">
        <w:t>with PKU products</w:t>
      </w:r>
      <w:r w:rsidR="00551163">
        <w:t xml:space="preserve">. </w:t>
      </w:r>
      <w:r w:rsidR="001900B6">
        <w:t>Of the</w:t>
      </w:r>
      <w:r w:rsidR="00A52296">
        <w:t>se</w:t>
      </w:r>
      <w:r w:rsidR="001900B6">
        <w:t xml:space="preserve"> 18 patients, 12 patients either had their sapropterin dispensed pack quantity increased, decreased or varied during the co-administration period. </w:t>
      </w:r>
    </w:p>
    <w:p w14:paraId="3555DFBA" w14:textId="52E52C36" w:rsidR="00591512" w:rsidRDefault="00AB3733" w:rsidP="00F73113">
      <w:pPr>
        <w:pStyle w:val="Heading1"/>
      </w:pPr>
      <w:r>
        <w:t>D</w:t>
      </w:r>
      <w:r w:rsidR="007346C7" w:rsidRPr="005E22C2">
        <w:t>iscussion</w:t>
      </w:r>
    </w:p>
    <w:p w14:paraId="71371A61" w14:textId="2A77C8F1" w:rsidR="00921023" w:rsidRDefault="001F5D52" w:rsidP="00F1132C">
      <w:r>
        <w:t xml:space="preserve">There </w:t>
      </w:r>
      <w:r w:rsidR="0079083C">
        <w:t>are few</w:t>
      </w:r>
      <w:r w:rsidR="00C6226C">
        <w:t xml:space="preserve"> </w:t>
      </w:r>
      <w:r w:rsidR="00E91BCD">
        <w:t xml:space="preserve">published </w:t>
      </w:r>
      <w:r>
        <w:t>guidelines for</w:t>
      </w:r>
      <w:r w:rsidR="00C21624">
        <w:t xml:space="preserve"> using</w:t>
      </w:r>
      <w:r>
        <w:t xml:space="preserve"> BH4 or sapropterin therapy</w:t>
      </w:r>
      <w:r w:rsidR="00C21624">
        <w:t xml:space="preserve"> to manage </w:t>
      </w:r>
      <w:r w:rsidR="00C21624" w:rsidRPr="00535C95">
        <w:rPr>
          <w:rFonts w:hint="eastAsia"/>
        </w:rPr>
        <w:t>hyperphenylalaninaemia</w:t>
      </w:r>
      <w:r w:rsidR="00551163">
        <w:t xml:space="preserve">. </w:t>
      </w:r>
      <w:r w:rsidR="00BD7D6C">
        <w:t xml:space="preserve">The </w:t>
      </w:r>
      <w:r>
        <w:t>current</w:t>
      </w:r>
      <w:r w:rsidR="00512E81">
        <w:t xml:space="preserve"> PBS</w:t>
      </w:r>
      <w:r>
        <w:t xml:space="preserve"> restriction</w:t>
      </w:r>
      <w:r w:rsidR="00512E81">
        <w:t xml:space="preserve"> for sapropterin</w:t>
      </w:r>
      <w:r>
        <w:t xml:space="preserve"> </w:t>
      </w:r>
      <w:r w:rsidR="00620EC8">
        <w:t xml:space="preserve">requires </w:t>
      </w:r>
      <w:r w:rsidR="00512E81">
        <w:t>confirm</w:t>
      </w:r>
      <w:r w:rsidR="00620EC8">
        <w:t>ation of</w:t>
      </w:r>
      <w:r w:rsidR="00DA7413" w:rsidRPr="00DA7413">
        <w:t xml:space="preserve"> BH4 deficiency using tests for BH4 loading and/or urine pterin metabolites, blood spot dihydropteridine reductase and </w:t>
      </w:r>
      <w:r w:rsidR="00521886">
        <w:t>have</w:t>
      </w:r>
      <w:r w:rsidR="006D5BB9">
        <w:t xml:space="preserve"> </w:t>
      </w:r>
      <w:r w:rsidR="00DA7413" w:rsidRPr="00DA7413">
        <w:t>cerebrospinal fluid neurotransmitter metabolites</w:t>
      </w:r>
      <w:r w:rsidR="00521886">
        <w:t xml:space="preserve"> measured</w:t>
      </w:r>
      <w:r w:rsidR="00551163">
        <w:t xml:space="preserve">. </w:t>
      </w:r>
      <w:r w:rsidR="007B4B8C">
        <w:t>In most cases, BH4 deficiency is determined through a loading test using 20 mg/kg BH4 with monitoring over 24 hours to assess responsiveness</w:t>
      </w:r>
      <w:r w:rsidR="00551163">
        <w:t xml:space="preserve">. </w:t>
      </w:r>
      <w:r w:rsidR="00914B3E">
        <w:t xml:space="preserve">A clinically significant response to BH4 therapy is defined </w:t>
      </w:r>
      <w:r w:rsidR="00512E81">
        <w:t>as</w:t>
      </w:r>
      <w:r w:rsidR="00914B3E">
        <w:t xml:space="preserve"> a </w:t>
      </w:r>
      <w:r>
        <w:t>≥30% reduction in blood phenylalanine</w:t>
      </w:r>
      <w:r w:rsidR="00914B3E" w:rsidRPr="00914B3E">
        <w:t xml:space="preserve"> levels following treatment.</w:t>
      </w:r>
      <w:r w:rsidR="007B4B8C">
        <w:t xml:space="preserve"> </w:t>
      </w:r>
      <w:r w:rsidR="00BD7D6C">
        <w:t xml:space="preserve">Around 20%-50% of all patients with PKU respond to a BH4 </w:t>
      </w:r>
      <w:r>
        <w:t xml:space="preserve">loading </w:t>
      </w:r>
      <w:r w:rsidR="00BD7D6C">
        <w:lastRenderedPageBreak/>
        <w:t xml:space="preserve">dose with lower blood </w:t>
      </w:r>
      <w:r>
        <w:t>phenylalanine levels</w:t>
      </w:r>
      <w:r w:rsidR="00512E81">
        <w:t xml:space="preserve"> allowing a less restrictive diet in these patients</w:t>
      </w:r>
      <w:r w:rsidR="003218F7">
        <w:t>.</w:t>
      </w:r>
      <w:bookmarkStart w:id="3" w:name="_Ref7521025"/>
      <w:r w:rsidR="00002143">
        <w:rPr>
          <w:rStyle w:val="FootnoteReference"/>
        </w:rPr>
        <w:footnoteReference w:id="8"/>
      </w:r>
      <w:bookmarkEnd w:id="3"/>
    </w:p>
    <w:p w14:paraId="7CE280E0" w14:textId="5DBC40B4" w:rsidR="00244AE3" w:rsidRDefault="009707A2" w:rsidP="00F1132C">
      <w:r>
        <w:t xml:space="preserve">It is well established that </w:t>
      </w:r>
      <w:r w:rsidR="00AE249C">
        <w:t>BH4</w:t>
      </w:r>
      <w:r>
        <w:t xml:space="preserve">, particularly in patients with higher residual activity of phenylalanine hydroxylase, </w:t>
      </w:r>
      <w:r w:rsidR="00AE249C" w:rsidRPr="00AE249C">
        <w:t>ma</w:t>
      </w:r>
      <w:r w:rsidR="00AE249C">
        <w:t xml:space="preserve">y improve blood phenylalanine </w:t>
      </w:r>
      <w:r w:rsidR="00AE249C" w:rsidRPr="00AE249C">
        <w:t>control and allow so</w:t>
      </w:r>
      <w:r w:rsidR="00AE249C">
        <w:t>me relaxation of the dietary phenylalanine</w:t>
      </w:r>
      <w:r w:rsidR="00AE249C" w:rsidRPr="00AE249C">
        <w:t xml:space="preserve"> restriction in </w:t>
      </w:r>
      <w:r>
        <w:t>PKU patients</w:t>
      </w:r>
      <w:r w:rsidR="00551163">
        <w:t xml:space="preserve">. </w:t>
      </w:r>
      <w:r w:rsidR="00AE249C">
        <w:t>Additionally,</w:t>
      </w:r>
      <w:r w:rsidR="00AE249C" w:rsidRPr="00AE249C">
        <w:t xml:space="preserve"> </w:t>
      </w:r>
      <w:r w:rsidR="00AE249C">
        <w:t>t</w:t>
      </w:r>
      <w:r w:rsidR="00512E81">
        <w:t xml:space="preserve">here is </w:t>
      </w:r>
      <w:r w:rsidR="00921023">
        <w:t xml:space="preserve">a </w:t>
      </w:r>
      <w:r w:rsidR="00B4434E">
        <w:t xml:space="preserve">general </w:t>
      </w:r>
      <w:r w:rsidR="00512E81">
        <w:t xml:space="preserve">consensus </w:t>
      </w:r>
      <w:r w:rsidR="00B4434E">
        <w:t xml:space="preserve">amongst Australasian PKU experts that patients with moderate PKU (i.e. phenylalanine levels between </w:t>
      </w:r>
      <w:r w:rsidR="00B4434E" w:rsidRPr="00B4434E">
        <w:t>&gt;600-1200μmol/L</w:t>
      </w:r>
      <w:r w:rsidR="00B4434E">
        <w:t>)</w:t>
      </w:r>
      <w:r w:rsidR="00B4434E" w:rsidRPr="00B4434E">
        <w:t xml:space="preserve"> at diagnosis</w:t>
      </w:r>
      <w:r w:rsidR="00B4434E">
        <w:t xml:space="preserve"> should be offered a trial of BH4 therapy.</w:t>
      </w:r>
      <w:r w:rsidR="00AB6FAA">
        <w:rPr>
          <w:rStyle w:val="FootnoteReference"/>
        </w:rPr>
        <w:fldChar w:fldCharType="begin"/>
      </w:r>
      <w:r w:rsidR="00AB6FAA">
        <w:rPr>
          <w:rStyle w:val="FootnoteReference"/>
        </w:rPr>
        <w:instrText xml:space="preserve"> NOTEREF _Ref7521025 \f </w:instrText>
      </w:r>
      <w:r w:rsidR="00AB6FAA">
        <w:rPr>
          <w:rStyle w:val="FootnoteReference"/>
        </w:rPr>
        <w:fldChar w:fldCharType="separate"/>
      </w:r>
      <w:r w:rsidR="00155C94" w:rsidRPr="00155C94">
        <w:rPr>
          <w:rStyle w:val="FootnoteReference"/>
        </w:rPr>
        <w:t>9</w:t>
      </w:r>
      <w:r w:rsidR="00AB6FAA">
        <w:rPr>
          <w:rStyle w:val="FootnoteReference"/>
        </w:rPr>
        <w:fldChar w:fldCharType="end"/>
      </w:r>
      <w:r w:rsidR="00B4434E">
        <w:t xml:space="preserve">   </w:t>
      </w:r>
      <w:r w:rsidR="00AE249C" w:rsidRPr="00AE249C">
        <w:t xml:space="preserve">It is possible that some of the patients </w:t>
      </w:r>
      <w:r w:rsidR="00214EE8">
        <w:t>who have</w:t>
      </w:r>
      <w:r w:rsidR="00214EE8" w:rsidRPr="00AE249C">
        <w:t xml:space="preserve"> </w:t>
      </w:r>
      <w:r w:rsidR="00AE249C" w:rsidRPr="00AE249C">
        <w:t xml:space="preserve">initiated </w:t>
      </w:r>
      <w:r w:rsidR="00214EE8">
        <w:t>on PBS listed sapropterin</w:t>
      </w:r>
      <w:r w:rsidR="00AE249C" w:rsidRPr="00AE249C">
        <w:t xml:space="preserve"> </w:t>
      </w:r>
      <w:r w:rsidR="00AE249C">
        <w:t>are</w:t>
      </w:r>
      <w:r w:rsidR="00AE249C" w:rsidRPr="00AE249C">
        <w:t xml:space="preserve"> patients with moderate to severe PKU who </w:t>
      </w:r>
      <w:r w:rsidR="003E32DB">
        <w:t xml:space="preserve">have </w:t>
      </w:r>
      <w:r w:rsidR="00AE249C" w:rsidRPr="00AE249C">
        <w:t>responded positively to a BH4 loading test, and have since been maintained as continuing patients</w:t>
      </w:r>
      <w:r w:rsidR="00551163">
        <w:t xml:space="preserve">. </w:t>
      </w:r>
      <w:r w:rsidR="00AE249C">
        <w:t xml:space="preserve"> </w:t>
      </w:r>
      <w:r w:rsidR="003218F7">
        <w:t>This could</w:t>
      </w:r>
      <w:r w:rsidR="00512E81">
        <w:t xml:space="preserve"> </w:t>
      </w:r>
      <w:r w:rsidR="00B4434E">
        <w:t xml:space="preserve">explain </w:t>
      </w:r>
      <w:r w:rsidR="003218F7">
        <w:t xml:space="preserve">some of </w:t>
      </w:r>
      <w:r w:rsidR="00B4434E">
        <w:t>the increa</w:t>
      </w:r>
      <w:r w:rsidR="00F72BAE">
        <w:t>se in patient numbers in Year 3</w:t>
      </w:r>
      <w:r w:rsidR="00B4434E">
        <w:t xml:space="preserve"> (Figure </w:t>
      </w:r>
      <w:r w:rsidR="00556DC0">
        <w:t>1</w:t>
      </w:r>
      <w:r w:rsidR="00B4434E">
        <w:t>) and the higher than predicted</w:t>
      </w:r>
      <w:r w:rsidR="00AE249C">
        <w:t xml:space="preserve"> patient numbers</w:t>
      </w:r>
      <w:r w:rsidR="00F72BAE">
        <w:t xml:space="preserve"> </w:t>
      </w:r>
      <w:r w:rsidR="00AE249C">
        <w:t>which was observed from Year 3 onwards</w:t>
      </w:r>
      <w:r w:rsidR="00551163">
        <w:t xml:space="preserve">. </w:t>
      </w:r>
    </w:p>
    <w:p w14:paraId="362CDAF4" w14:textId="5566CDC8" w:rsidR="00B4434E" w:rsidRDefault="00B4434E" w:rsidP="008A1FB7">
      <w:r>
        <w:t xml:space="preserve">Further analysis </w:t>
      </w:r>
      <w:r w:rsidR="00397A1F">
        <w:t xml:space="preserve">on the </w:t>
      </w:r>
      <w:r w:rsidR="00244AE3">
        <w:t>incident patients in Year 3</w:t>
      </w:r>
      <w:r w:rsidR="00397A1F">
        <w:t xml:space="preserve"> showed that </w:t>
      </w:r>
      <w:r w:rsidR="00F72BAE">
        <w:t>91% of the dispensings were</w:t>
      </w:r>
      <w:r w:rsidR="00397A1F">
        <w:t xml:space="preserve"> attributed to </w:t>
      </w:r>
      <w:r w:rsidR="00F72BAE">
        <w:t>Victoria</w:t>
      </w:r>
      <w:r w:rsidR="00551163">
        <w:t xml:space="preserve">. </w:t>
      </w:r>
      <w:r w:rsidR="00835E33">
        <w:t>The</w:t>
      </w:r>
      <w:r w:rsidR="007A598F">
        <w:t xml:space="preserve"> </w:t>
      </w:r>
      <w:r w:rsidR="00FB204C" w:rsidRPr="00FB204C">
        <w:t xml:space="preserve">Australasian Society for Inborn Errors of Metabolism </w:t>
      </w:r>
      <w:r w:rsidR="00FB204C">
        <w:t>Clinical Guideline d</w:t>
      </w:r>
      <w:r w:rsidR="007A598F">
        <w:t xml:space="preserve">ocument </w:t>
      </w:r>
      <w:r w:rsidR="00835E33">
        <w:t xml:space="preserve">states that </w:t>
      </w:r>
      <w:r w:rsidR="00835E33" w:rsidRPr="00835E33">
        <w:t>a small num</w:t>
      </w:r>
      <w:r w:rsidR="00835E33">
        <w:t xml:space="preserve">ber of </w:t>
      </w:r>
      <w:r w:rsidR="009707A2">
        <w:t>PKU patients</w:t>
      </w:r>
      <w:r w:rsidR="00835E33">
        <w:t>,</w:t>
      </w:r>
      <w:r w:rsidR="00835E33" w:rsidRPr="00835E33">
        <w:t xml:space="preserve"> </w:t>
      </w:r>
      <w:r w:rsidR="00835E33">
        <w:t xml:space="preserve">mainly in Victoria, are </w:t>
      </w:r>
      <w:r w:rsidR="00695AE6">
        <w:t xml:space="preserve">currently </w:t>
      </w:r>
      <w:r w:rsidR="00835E33">
        <w:t xml:space="preserve">treated with </w:t>
      </w:r>
      <w:r w:rsidR="009707A2">
        <w:t>BH4.</w:t>
      </w:r>
      <w:r w:rsidR="009707A2" w:rsidRPr="009707A2">
        <w:rPr>
          <w:vertAlign w:val="superscript"/>
        </w:rPr>
        <w:t xml:space="preserve"> </w:t>
      </w:r>
      <w:r w:rsidR="000712F5">
        <w:rPr>
          <w:vertAlign w:val="superscript"/>
        </w:rPr>
        <w:t>8</w:t>
      </w:r>
      <w:r w:rsidR="009707A2">
        <w:t xml:space="preserve">   </w:t>
      </w:r>
      <w:r w:rsidR="00F338C7">
        <w:t>Although sapropterin is a synthetic form of BH4, and the term BH4 also includes other formulations,</w:t>
      </w:r>
      <w:r w:rsidR="00634B18">
        <w:t xml:space="preserve"> the clinical trial (PKU-007) cited in the July 2012 submission was a study consisting of nine patients switching from a non-registered formulation of BH4 to sapropterin.</w:t>
      </w:r>
      <w:r w:rsidR="00F338C7">
        <w:t xml:space="preserve"> </w:t>
      </w:r>
      <w:r w:rsidR="008A1FB7">
        <w:t xml:space="preserve">The submission </w:t>
      </w:r>
      <w:r w:rsidR="000F2C25">
        <w:t xml:space="preserve">also </w:t>
      </w:r>
      <w:r w:rsidR="008A1FB7">
        <w:t>assumed that sapropterin is equally efficacious as the synthetic BH4 described in other published citations</w:t>
      </w:r>
      <w:r w:rsidR="00551163">
        <w:t xml:space="preserve">. </w:t>
      </w:r>
      <w:r w:rsidR="000712F5">
        <w:t xml:space="preserve">The </w:t>
      </w:r>
      <w:r w:rsidR="00F338C7">
        <w:t>highe</w:t>
      </w:r>
      <w:r w:rsidR="00B620D6">
        <w:t>r than expected patient n</w:t>
      </w:r>
      <w:r w:rsidR="0017784D">
        <w:t xml:space="preserve">umbers observed for sapropterin </w:t>
      </w:r>
      <w:r w:rsidR="000712F5">
        <w:t xml:space="preserve">may </w:t>
      </w:r>
      <w:r w:rsidR="0017784D">
        <w:t xml:space="preserve">be </w:t>
      </w:r>
      <w:r w:rsidR="000F2C25">
        <w:t xml:space="preserve">due to treatment of patients with HPA other than caused by BH4 deficiency, including </w:t>
      </w:r>
      <w:r w:rsidR="0017784D">
        <w:t>BH4-responsive PKU patients.</w:t>
      </w:r>
    </w:p>
    <w:p w14:paraId="3A57DBFD" w14:textId="6D857B42" w:rsidR="002711E6" w:rsidRDefault="002B585D" w:rsidP="002711E6">
      <w:r>
        <w:t xml:space="preserve">The most widely recommended target of blood phenylalanine levels for children less than 12 years of age is </w:t>
      </w:r>
      <w:r w:rsidRPr="002B585D">
        <w:t>120-360μmol/L</w:t>
      </w:r>
      <w:r w:rsidR="00551163">
        <w:t xml:space="preserve">. </w:t>
      </w:r>
      <w:r w:rsidR="00A76637">
        <w:t xml:space="preserve">In patients over 12 years of age, phenylalanine levels above </w:t>
      </w:r>
      <w:r w:rsidR="00A76637" w:rsidRPr="00A76637">
        <w:t>360μmol/L</w:t>
      </w:r>
      <w:r w:rsidR="00A76637">
        <w:t xml:space="preserve"> </w:t>
      </w:r>
      <w:r w:rsidR="002C446B">
        <w:t>may be appropriate, however there is a lack of consensus of the target phenylalanine leve</w:t>
      </w:r>
      <w:r w:rsidR="00D2303A">
        <w:t>ls for adolescence and adults.</w:t>
      </w:r>
      <w:bookmarkStart w:id="4" w:name="_Ref7521388"/>
      <w:r w:rsidR="008F5774">
        <w:rPr>
          <w:rStyle w:val="FootnoteReference"/>
        </w:rPr>
        <w:footnoteReference w:id="9"/>
      </w:r>
      <w:bookmarkEnd w:id="4"/>
      <w:r w:rsidR="00EA1812" w:rsidRPr="00EA1812">
        <w:rPr>
          <w:vertAlign w:val="superscript"/>
        </w:rPr>
        <w:t>,</w:t>
      </w:r>
      <w:bookmarkStart w:id="5" w:name="_Ref7521394"/>
      <w:r w:rsidR="008F5774">
        <w:rPr>
          <w:rStyle w:val="FootnoteReference"/>
        </w:rPr>
        <w:footnoteReference w:id="10"/>
      </w:r>
      <w:bookmarkEnd w:id="5"/>
      <w:r w:rsidR="00EA1812" w:rsidRPr="00EA1812">
        <w:rPr>
          <w:vertAlign w:val="superscript"/>
        </w:rPr>
        <w:t xml:space="preserve"> ,</w:t>
      </w:r>
      <w:bookmarkStart w:id="6" w:name="_Ref7521397"/>
      <w:r w:rsidR="008F5774">
        <w:rPr>
          <w:rStyle w:val="FootnoteReference"/>
        </w:rPr>
        <w:footnoteReference w:id="11"/>
      </w:r>
      <w:bookmarkEnd w:id="6"/>
      <w:r w:rsidR="00D2303A">
        <w:t xml:space="preserve">  </w:t>
      </w:r>
      <w:r w:rsidR="00F338C7">
        <w:t>I</w:t>
      </w:r>
      <w:r w:rsidR="008F5774">
        <w:t>t is</w:t>
      </w:r>
      <w:r w:rsidR="00D2303A">
        <w:t xml:space="preserve"> recommended </w:t>
      </w:r>
      <w:r w:rsidR="008F5774">
        <w:t xml:space="preserve">for women with PKU who wish to become pregnant </w:t>
      </w:r>
      <w:r w:rsidR="00D2303A">
        <w:t xml:space="preserve">to maintain phenylalanine levels between </w:t>
      </w:r>
      <w:r w:rsidR="00D2303A" w:rsidRPr="00D2303A">
        <w:t xml:space="preserve">70 – 250 μmol/L for 3 months prior to conception </w:t>
      </w:r>
      <w:r w:rsidR="00D2303A">
        <w:t>to achieve best infant outcomes.</w:t>
      </w:r>
      <w:bookmarkStart w:id="7" w:name="_Ref7521399"/>
      <w:r w:rsidR="00EA1812">
        <w:rPr>
          <w:rStyle w:val="FootnoteReference"/>
        </w:rPr>
        <w:footnoteReference w:id="12"/>
      </w:r>
      <w:bookmarkEnd w:id="7"/>
      <w:r w:rsidR="005955C1">
        <w:t xml:space="preserve"> </w:t>
      </w:r>
      <w:r w:rsidR="00D2303A">
        <w:t xml:space="preserve"> </w:t>
      </w:r>
      <w:r w:rsidR="00F338C7">
        <w:t>In addition to the broad target range,</w:t>
      </w:r>
      <w:r w:rsidR="00006466">
        <w:t xml:space="preserve"> fluctuations in phenylalanine levels due to other causes such as changes in diet or intercurrent illness </w:t>
      </w:r>
      <w:r w:rsidR="00F338C7">
        <w:t>can also occur</w:t>
      </w:r>
      <w:r w:rsidR="00551163">
        <w:t xml:space="preserve">. </w:t>
      </w:r>
      <w:r w:rsidR="002711E6">
        <w:t>There was variation in the dispensed pack quantity of individual patients</w:t>
      </w:r>
      <w:r w:rsidR="00551163">
        <w:t xml:space="preserve">. </w:t>
      </w:r>
      <w:r w:rsidR="00006466">
        <w:t xml:space="preserve"> </w:t>
      </w:r>
      <w:r>
        <w:t>T</w:t>
      </w:r>
      <w:r w:rsidRPr="002B585D">
        <w:t>he</w:t>
      </w:r>
      <w:r w:rsidR="00006466">
        <w:t xml:space="preserve"> intra-patient variability</w:t>
      </w:r>
      <w:r w:rsidR="00F338C7">
        <w:t xml:space="preserve"> and the broad range of </w:t>
      </w:r>
      <w:r>
        <w:t xml:space="preserve">target blood </w:t>
      </w:r>
      <w:r w:rsidR="008F5774">
        <w:t>p</w:t>
      </w:r>
      <w:r>
        <w:t>henylalanine</w:t>
      </w:r>
      <w:r w:rsidRPr="002B585D">
        <w:t xml:space="preserve"> levels </w:t>
      </w:r>
      <w:r>
        <w:t xml:space="preserve">may explain the </w:t>
      </w:r>
      <w:r w:rsidR="00A76637">
        <w:t xml:space="preserve">variation in the dispensed pack quantity </w:t>
      </w:r>
      <w:r w:rsidR="00F31882">
        <w:t>observed in the data (</w:t>
      </w:r>
      <w:r w:rsidR="007C4BDD">
        <w:t xml:space="preserve">Table </w:t>
      </w:r>
      <w:r w:rsidR="00EA00E6">
        <w:t>6</w:t>
      </w:r>
      <w:r w:rsidR="007C4BDD">
        <w:t>)</w:t>
      </w:r>
      <w:r w:rsidR="00551163">
        <w:t xml:space="preserve">. </w:t>
      </w:r>
      <w:r w:rsidR="002711E6">
        <w:t>As per Clinical Guidelines, sapropterin has a range of recommended weight-based dose.</w:t>
      </w:r>
      <w:r w:rsidR="002711E6" w:rsidRPr="00EE1633">
        <w:rPr>
          <w:vertAlign w:val="superscript"/>
        </w:rPr>
        <w:fldChar w:fldCharType="begin"/>
      </w:r>
      <w:r w:rsidR="002711E6" w:rsidRPr="00EE1633">
        <w:rPr>
          <w:vertAlign w:val="superscript"/>
        </w:rPr>
        <w:instrText xml:space="preserve"> NOTEREF _Ref7519963 \f </w:instrText>
      </w:r>
      <w:r w:rsidR="002711E6">
        <w:rPr>
          <w:vertAlign w:val="superscript"/>
        </w:rPr>
        <w:instrText xml:space="preserve"> \* MERGEFORMAT </w:instrText>
      </w:r>
      <w:r w:rsidR="002711E6" w:rsidRPr="00EE1633">
        <w:rPr>
          <w:vertAlign w:val="superscript"/>
        </w:rPr>
        <w:fldChar w:fldCharType="separate"/>
      </w:r>
      <w:r w:rsidR="00155C94" w:rsidRPr="00155C94">
        <w:rPr>
          <w:rStyle w:val="FootnoteReference"/>
        </w:rPr>
        <w:t>2</w:t>
      </w:r>
      <w:r w:rsidR="002711E6" w:rsidRPr="00EE1633">
        <w:rPr>
          <w:vertAlign w:val="superscript"/>
        </w:rPr>
        <w:fldChar w:fldCharType="end"/>
      </w:r>
      <w:r w:rsidR="002711E6" w:rsidRPr="00EE1633">
        <w:rPr>
          <w:vertAlign w:val="superscript"/>
        </w:rPr>
        <w:t>,</w:t>
      </w:r>
      <w:r w:rsidR="002711E6" w:rsidRPr="00EE1633">
        <w:rPr>
          <w:vertAlign w:val="superscript"/>
        </w:rPr>
        <w:fldChar w:fldCharType="begin"/>
      </w:r>
      <w:r w:rsidR="002711E6" w:rsidRPr="00EE1633">
        <w:rPr>
          <w:vertAlign w:val="superscript"/>
        </w:rPr>
        <w:instrText xml:space="preserve"> NOTEREF _Ref7521388 \f </w:instrText>
      </w:r>
      <w:r w:rsidR="002711E6">
        <w:rPr>
          <w:vertAlign w:val="superscript"/>
        </w:rPr>
        <w:instrText xml:space="preserve"> \* MERGEFORMAT </w:instrText>
      </w:r>
      <w:r w:rsidR="002711E6" w:rsidRPr="00EE1633">
        <w:rPr>
          <w:vertAlign w:val="superscript"/>
        </w:rPr>
        <w:fldChar w:fldCharType="separate"/>
      </w:r>
      <w:r w:rsidR="00155C94" w:rsidRPr="00155C94">
        <w:rPr>
          <w:rStyle w:val="FootnoteReference"/>
        </w:rPr>
        <w:t>10</w:t>
      </w:r>
      <w:r w:rsidR="002711E6" w:rsidRPr="00EE1633">
        <w:rPr>
          <w:vertAlign w:val="superscript"/>
        </w:rPr>
        <w:fldChar w:fldCharType="end"/>
      </w:r>
      <w:r w:rsidR="002711E6" w:rsidRPr="00EE1633">
        <w:rPr>
          <w:vertAlign w:val="superscript"/>
        </w:rPr>
        <w:t>,</w:t>
      </w:r>
      <w:r w:rsidR="002711E6" w:rsidRPr="00EE1633">
        <w:rPr>
          <w:vertAlign w:val="superscript"/>
        </w:rPr>
        <w:fldChar w:fldCharType="begin"/>
      </w:r>
      <w:r w:rsidR="002711E6" w:rsidRPr="00EE1633">
        <w:rPr>
          <w:vertAlign w:val="superscript"/>
        </w:rPr>
        <w:instrText xml:space="preserve"> NOTEREF _Ref7521394 \f </w:instrText>
      </w:r>
      <w:r w:rsidR="002711E6">
        <w:rPr>
          <w:vertAlign w:val="superscript"/>
        </w:rPr>
        <w:instrText xml:space="preserve"> \* MERGEFORMAT </w:instrText>
      </w:r>
      <w:r w:rsidR="002711E6" w:rsidRPr="00EE1633">
        <w:rPr>
          <w:vertAlign w:val="superscript"/>
        </w:rPr>
        <w:fldChar w:fldCharType="separate"/>
      </w:r>
      <w:r w:rsidR="00155C94" w:rsidRPr="00155C94">
        <w:rPr>
          <w:rStyle w:val="FootnoteReference"/>
        </w:rPr>
        <w:t>11</w:t>
      </w:r>
      <w:r w:rsidR="002711E6" w:rsidRPr="00EE1633">
        <w:rPr>
          <w:vertAlign w:val="superscript"/>
        </w:rPr>
        <w:fldChar w:fldCharType="end"/>
      </w:r>
      <w:r w:rsidR="002711E6" w:rsidRPr="00EE1633">
        <w:rPr>
          <w:vertAlign w:val="superscript"/>
        </w:rPr>
        <w:t>,</w:t>
      </w:r>
      <w:r w:rsidR="002711E6" w:rsidRPr="00EE1633">
        <w:rPr>
          <w:vertAlign w:val="superscript"/>
        </w:rPr>
        <w:fldChar w:fldCharType="begin"/>
      </w:r>
      <w:r w:rsidR="002711E6" w:rsidRPr="00EE1633">
        <w:rPr>
          <w:vertAlign w:val="superscript"/>
        </w:rPr>
        <w:instrText xml:space="preserve"> NOTEREF _Ref7521397 \f </w:instrText>
      </w:r>
      <w:r w:rsidR="002711E6">
        <w:rPr>
          <w:vertAlign w:val="superscript"/>
        </w:rPr>
        <w:instrText xml:space="preserve"> \* MERGEFORMAT </w:instrText>
      </w:r>
      <w:r w:rsidR="002711E6" w:rsidRPr="00EE1633">
        <w:rPr>
          <w:vertAlign w:val="superscript"/>
        </w:rPr>
        <w:fldChar w:fldCharType="separate"/>
      </w:r>
      <w:r w:rsidR="00155C94" w:rsidRPr="00155C94">
        <w:rPr>
          <w:rStyle w:val="FootnoteReference"/>
        </w:rPr>
        <w:t>12</w:t>
      </w:r>
      <w:r w:rsidR="002711E6" w:rsidRPr="00EE1633">
        <w:rPr>
          <w:vertAlign w:val="superscript"/>
        </w:rPr>
        <w:fldChar w:fldCharType="end"/>
      </w:r>
      <w:r w:rsidR="002711E6">
        <w:t xml:space="preserve">   It is likely that the variation in the dispensed </w:t>
      </w:r>
      <w:r w:rsidR="002711E6">
        <w:lastRenderedPageBreak/>
        <w:t>pack quantity is related to patient dose as this could be titrated up or down according to patient response or tolerability to sapropterin</w:t>
      </w:r>
      <w:r w:rsidR="00551163">
        <w:t xml:space="preserve">. </w:t>
      </w:r>
      <w:r w:rsidR="002711E6">
        <w:t xml:space="preserve">The financial estimates model assumed that patient dose would steadily increase as patients get older and heavier each year until an upper limit weight of </w:t>
      </w:r>
      <w:r w:rsidR="004D4AF2" w:rsidRPr="004D4AF2">
        <w:rPr>
          <w:highlight w:val="black"/>
        </w:rPr>
        <w:t>xxxx</w:t>
      </w:r>
      <w:r w:rsidR="002711E6">
        <w:t xml:space="preserve"> kg is reached where a dose of </w:t>
      </w:r>
      <w:r w:rsidR="004D4AF2" w:rsidRPr="004D4AF2">
        <w:rPr>
          <w:highlight w:val="black"/>
        </w:rPr>
        <w:t>xxxx</w:t>
      </w:r>
      <w:r w:rsidR="002711E6">
        <w:t xml:space="preserve"> mg is then maintained for any subsequent years.</w:t>
      </w:r>
    </w:p>
    <w:p w14:paraId="008E56F8" w14:textId="2626E57A" w:rsidR="003218F7" w:rsidRDefault="00331DD6" w:rsidP="00F1132C">
      <w:r>
        <w:t>The actual median number of prescriptions per patient was 9</w:t>
      </w:r>
      <w:r w:rsidR="00123434">
        <w:t xml:space="preserve"> (Figure 5)</w:t>
      </w:r>
      <w:r w:rsidR="00551163">
        <w:t xml:space="preserve">. </w:t>
      </w:r>
      <w:r w:rsidR="00312F27">
        <w:t>G</w:t>
      </w:r>
      <w:r w:rsidR="00312F27" w:rsidRPr="00312F27">
        <w:t xml:space="preserve">iven the wide range of  </w:t>
      </w:r>
      <w:r w:rsidR="00625E4D">
        <w:t>the recommended daily dose to achieve and maintain adequate blood phenylalanine levels (</w:t>
      </w:r>
      <w:r w:rsidR="00625E4D" w:rsidRPr="00625E4D">
        <w:t>between 2 and 20 mg/kg/day</w:t>
      </w:r>
      <w:r w:rsidR="00625E4D">
        <w:t>)</w:t>
      </w:r>
      <w:r w:rsidR="00625E4D">
        <w:rPr>
          <w:vertAlign w:val="superscript"/>
        </w:rPr>
        <w:t>4</w:t>
      </w:r>
      <w:r w:rsidR="00312F27">
        <w:t xml:space="preserve">, </w:t>
      </w:r>
      <w:r>
        <w:t xml:space="preserve">less than full compliance to sapropterin in practice is not unexpected. </w:t>
      </w:r>
    </w:p>
    <w:p w14:paraId="28CDEEEA" w14:textId="1138A1C3" w:rsidR="00A220E6" w:rsidRDefault="003040AE" w:rsidP="00F1132C">
      <w:r>
        <w:t xml:space="preserve">The predicted versus actual </w:t>
      </w:r>
      <w:r w:rsidR="00656AFE">
        <w:t>analysis showed</w:t>
      </w:r>
      <w:r w:rsidR="00960BF5">
        <w:t xml:space="preserve"> that there has been </w:t>
      </w:r>
      <w:r w:rsidR="00656AFE">
        <w:t xml:space="preserve">a </w:t>
      </w:r>
      <w:r w:rsidR="00960BF5">
        <w:t xml:space="preserve">lower than expected number of prescriptions per patient, at </w:t>
      </w:r>
      <w:r w:rsidR="004D4AF2">
        <w:rPr>
          <w:highlight w:val="black"/>
        </w:rPr>
        <w:t>xx</w:t>
      </w:r>
      <w:r w:rsidR="003B05DD">
        <w:t xml:space="preserve">% </w:t>
      </w:r>
      <w:r w:rsidR="00960BF5">
        <w:t>in Year</w:t>
      </w:r>
      <w:r w:rsidR="003B05DD">
        <w:t>s</w:t>
      </w:r>
      <w:r w:rsidR="00960BF5">
        <w:t xml:space="preserve"> 4 and 5</w:t>
      </w:r>
      <w:r w:rsidR="00551163">
        <w:t xml:space="preserve">. </w:t>
      </w:r>
      <w:r w:rsidR="00960BF5">
        <w:t>A similar percentage of shortfall in expenditure is obser</w:t>
      </w:r>
      <w:r w:rsidR="00371D07">
        <w:t xml:space="preserve">ved in the same period, at </w:t>
      </w:r>
      <w:r w:rsidR="004D4AF2">
        <w:rPr>
          <w:highlight w:val="black"/>
        </w:rPr>
        <w:t>xx</w:t>
      </w:r>
      <w:r w:rsidR="00960BF5">
        <w:t xml:space="preserve"> and </w:t>
      </w:r>
      <w:r w:rsidR="004D4AF2">
        <w:rPr>
          <w:highlight w:val="black"/>
        </w:rPr>
        <w:t>xx</w:t>
      </w:r>
      <w:r w:rsidR="00960BF5" w:rsidRPr="00960BF5">
        <w:t>%</w:t>
      </w:r>
      <w:r w:rsidR="00960BF5">
        <w:t xml:space="preserve"> in Year 4 and 5 respectively</w:t>
      </w:r>
      <w:r w:rsidR="00551163">
        <w:t xml:space="preserve">. </w:t>
      </w:r>
      <w:r w:rsidR="00960BF5">
        <w:t>As the higher than expected patient numbers did not translate to higher expenditure, the lower than expected prescription per patient could explain the lo</w:t>
      </w:r>
      <w:r w:rsidR="00A220E6">
        <w:t>wer than expected expenditure.</w:t>
      </w:r>
    </w:p>
    <w:p w14:paraId="306F29A1" w14:textId="3EE2E276" w:rsidR="005E2A35" w:rsidRDefault="00EE1633" w:rsidP="00F1132C">
      <w:r>
        <w:t>Another possible contributor to the lower costs is that t</w:t>
      </w:r>
      <w:r w:rsidR="007B22F2">
        <w:t>he dispens</w:t>
      </w:r>
      <w:r w:rsidR="00A5652A">
        <w:t xml:space="preserve">ed quantity per </w:t>
      </w:r>
      <w:r w:rsidR="00535C95">
        <w:t>prescription</w:t>
      </w:r>
      <w:r w:rsidR="00A5652A">
        <w:t xml:space="preserve"> has </w:t>
      </w:r>
      <w:r w:rsidR="007B22F2">
        <w:t>been less than anticipated</w:t>
      </w:r>
      <w:r w:rsidR="00551163">
        <w:t xml:space="preserve">. </w:t>
      </w:r>
      <w:r w:rsidR="00535C95">
        <w:t xml:space="preserve">Compared to the predicted levels, there was a higher proportion of prescriptions dispensed at less than the maximum quantity, and a lower proportion of prescriptions dispensed at more than the maximum quantity </w:t>
      </w:r>
      <w:r w:rsidR="007B22F2">
        <w:t xml:space="preserve">(Table </w:t>
      </w:r>
      <w:r w:rsidR="00EA00E6">
        <w:t>5</w:t>
      </w:r>
      <w:r w:rsidR="00A5652A">
        <w:t>)</w:t>
      </w:r>
      <w:r w:rsidR="00551163">
        <w:t xml:space="preserve">. </w:t>
      </w:r>
      <w:r w:rsidR="005E2A35">
        <w:t>The lower dispensed quantity could be due to lower than predicted patient</w:t>
      </w:r>
      <w:r w:rsidR="000F2CB1">
        <w:t xml:space="preserve"> weights</w:t>
      </w:r>
      <w:r w:rsidR="005E2A35">
        <w:t xml:space="preserve"> </w:t>
      </w:r>
      <w:r w:rsidR="000F2CB1">
        <w:t>as initiators were younger and lighter than predicted</w:t>
      </w:r>
      <w:r w:rsidR="00EA00E6">
        <w:t xml:space="preserve"> (Table 2</w:t>
      </w:r>
      <w:r w:rsidR="005E2A35">
        <w:t>), individual variation in quant</w:t>
      </w:r>
      <w:r w:rsidR="00EA00E6">
        <w:t>ity dispensed over time (Table 6</w:t>
      </w:r>
      <w:r w:rsidR="005E2A35">
        <w:t>), and potential dose adjustments</w:t>
      </w:r>
      <w:r w:rsidR="000F2CB1">
        <w:t xml:space="preserve"> during intercurrent illness or</w:t>
      </w:r>
      <w:r w:rsidR="005E2A35">
        <w:t xml:space="preserve"> when sapropterin is used with nutritional products for PKU.</w:t>
      </w:r>
    </w:p>
    <w:p w14:paraId="19030B4C" w14:textId="2EC234FE" w:rsidR="00546ACE" w:rsidRDefault="00546ACE" w:rsidP="00546ACE">
      <w:pPr>
        <w:pStyle w:val="Heading1"/>
      </w:pPr>
      <w:r>
        <w:t>DUSC consideration</w:t>
      </w:r>
    </w:p>
    <w:p w14:paraId="6B77BC81" w14:textId="79BDCA55" w:rsidR="00546ACE" w:rsidRPr="00546ACE" w:rsidRDefault="00FF0566" w:rsidP="00B63C28">
      <w:pPr>
        <w:spacing w:after="0"/>
      </w:pPr>
      <w:r>
        <w:t>DUSC noted that t</w:t>
      </w:r>
      <w:r w:rsidR="00B63C28">
        <w:t>he majority of patients (over 90%) who had first initiated on sapropterin within its first four years of listing were continuing to be supplied sapropterin, including all patients who initiated therapy in the first year of listing. The number of patients who were supplied sapropterin was similar to predicted in the first two years of listing, and exceeded predicted levels thereafter. However the higher than predicted number of patients did not translate to a greater expenditure on sapropterin than anticipated</w:t>
      </w:r>
      <w:r w:rsidR="00551163">
        <w:t xml:space="preserve">. </w:t>
      </w:r>
      <w:r w:rsidR="00B63C28">
        <w:t xml:space="preserve">This was mainly because of a lower than predicted number of prescriptions </w:t>
      </w:r>
      <w:r>
        <w:t xml:space="preserve">dispensed per patient per year. </w:t>
      </w:r>
      <w:r w:rsidR="00B63C28">
        <w:t>DUSC considered that this could be due to dose variability resulting from the weight-based dosing regimen of sapropterin, and the use of</w:t>
      </w:r>
      <w:r>
        <w:t xml:space="preserve"> different target phenylalanine </w:t>
      </w:r>
      <w:r w:rsidR="00B63C28">
        <w:t>levels by prescribers for adolescents and adults.</w:t>
      </w:r>
    </w:p>
    <w:p w14:paraId="2ECBFE48" w14:textId="3B4B0900" w:rsidR="001310AE" w:rsidRDefault="00546ACE" w:rsidP="00F73113">
      <w:pPr>
        <w:pStyle w:val="Heading1"/>
      </w:pPr>
      <w:r>
        <w:t>DUSC actions</w:t>
      </w:r>
    </w:p>
    <w:p w14:paraId="701565AB" w14:textId="4FC30D23" w:rsidR="00094C5E" w:rsidRDefault="00B63C28" w:rsidP="00893F90">
      <w:r>
        <w:t>DUSC requested that the report be provided to the PBAC</w:t>
      </w:r>
      <w:r w:rsidR="00094C5E">
        <w:t>.</w:t>
      </w:r>
    </w:p>
    <w:p w14:paraId="23FEB210" w14:textId="526F3271" w:rsidR="00546ACE" w:rsidRDefault="00546ACE" w:rsidP="00546ACE">
      <w:pPr>
        <w:pStyle w:val="Heading1"/>
      </w:pPr>
      <w:r>
        <w:lastRenderedPageBreak/>
        <w:t>Context for analysis</w:t>
      </w:r>
    </w:p>
    <w:p w14:paraId="3D5FF344" w14:textId="77777777" w:rsidR="00B63C28" w:rsidRDefault="00B63C28" w:rsidP="00B63C28">
      <w:pPr>
        <w:spacing w:after="0"/>
      </w:pPr>
      <w:r>
        <w:t>The DUSC is a Sub Committee of the Pharmaceutical Benefits Advisory Committee (PBAC).</w:t>
      </w:r>
    </w:p>
    <w:p w14:paraId="25044302" w14:textId="35AF62BB" w:rsidR="00B63C28" w:rsidRDefault="00B63C28" w:rsidP="00B63C28">
      <w:pPr>
        <w:spacing w:after="0"/>
      </w:pPr>
      <w:r>
        <w:t>The DUSC assesses estimates on projected usage and financial cost of medicines.</w:t>
      </w:r>
    </w:p>
    <w:p w14:paraId="246B6552" w14:textId="77777777" w:rsidR="00845F40" w:rsidRDefault="00845F40" w:rsidP="00B63C28">
      <w:pPr>
        <w:spacing w:after="0"/>
      </w:pPr>
    </w:p>
    <w:p w14:paraId="0EA69899" w14:textId="13F85E5D" w:rsidR="00B63C28" w:rsidRDefault="00B63C28" w:rsidP="00B63C28">
      <w:pPr>
        <w:spacing w:after="0"/>
      </w:pPr>
      <w:r>
        <w:t>The DUSC also analyses data on actual use of medicines, i</w:t>
      </w:r>
      <w:r w:rsidR="00FF0566">
        <w:t xml:space="preserve">ncluding the utilisation of PBS </w:t>
      </w:r>
      <w:r>
        <w:t xml:space="preserve">listed medicines, and provides advice to the PBAC on </w:t>
      </w:r>
      <w:r w:rsidR="00FF0566">
        <w:t xml:space="preserve">these matters. This may include </w:t>
      </w:r>
      <w:r>
        <w:t>outlining how the current utilisation of PBS med</w:t>
      </w:r>
      <w:r w:rsidR="00FF0566">
        <w:t xml:space="preserve">icines compares with the use as </w:t>
      </w:r>
      <w:r>
        <w:t>recommended by the PBAC.</w:t>
      </w:r>
    </w:p>
    <w:p w14:paraId="22087EE6" w14:textId="77777777" w:rsidR="00845F40" w:rsidRDefault="00845F40" w:rsidP="00B63C28">
      <w:pPr>
        <w:spacing w:after="0"/>
      </w:pPr>
    </w:p>
    <w:p w14:paraId="2838D2D7" w14:textId="77777777" w:rsidR="00B63C28" w:rsidRDefault="00B63C28" w:rsidP="00B63C28">
      <w:pPr>
        <w:spacing w:after="0"/>
      </w:pPr>
      <w:r>
        <w:t>The DUSC operates in accordance with the quality use of medicines objective of the</w:t>
      </w:r>
    </w:p>
    <w:p w14:paraId="127C3011" w14:textId="1AFA708C" w:rsidR="00B63C28" w:rsidRDefault="00B63C28" w:rsidP="00B63C28">
      <w:pPr>
        <w:spacing w:after="0"/>
      </w:pPr>
      <w:r>
        <w:t>National Medicines Policy and considers that the DUSC u</w:t>
      </w:r>
      <w:r w:rsidR="00FF0566">
        <w:t xml:space="preserve">tilisation analyses will assist </w:t>
      </w:r>
      <w:r>
        <w:t>consumers and health professionals to better understand t</w:t>
      </w:r>
      <w:r w:rsidR="00FF0566">
        <w:t xml:space="preserve">he costs, benefits and risks of </w:t>
      </w:r>
      <w:r>
        <w:t>medicines.</w:t>
      </w:r>
    </w:p>
    <w:p w14:paraId="7C66FC34" w14:textId="77777777" w:rsidR="00845F40" w:rsidRDefault="00845F40" w:rsidP="00B63C28">
      <w:pPr>
        <w:spacing w:after="0"/>
      </w:pPr>
    </w:p>
    <w:p w14:paraId="0EEEEAA7" w14:textId="73CB18A5" w:rsidR="00546ACE" w:rsidRPr="00546ACE" w:rsidRDefault="00B63C28" w:rsidP="00B63C28">
      <w:pPr>
        <w:spacing w:after="0"/>
      </w:pPr>
      <w:r>
        <w:t>The utilisation analysis report was provided to the pharm</w:t>
      </w:r>
      <w:r w:rsidR="00FF0566">
        <w:t xml:space="preserve">aceutical sponsors of each drug </w:t>
      </w:r>
      <w:r>
        <w:t>and comments on the report were provided to DUSC prior to its consideration of th</w:t>
      </w:r>
      <w:r w:rsidR="00FF0566">
        <w:t xml:space="preserve">e </w:t>
      </w:r>
      <w:r>
        <w:t>analysis.</w:t>
      </w:r>
    </w:p>
    <w:p w14:paraId="31BEAF11" w14:textId="78A74C02" w:rsidR="00546ACE" w:rsidRDefault="00546ACE" w:rsidP="00546ACE">
      <w:pPr>
        <w:pStyle w:val="Heading1"/>
      </w:pPr>
      <w:r>
        <w:t>Sponsor’s comment</w:t>
      </w:r>
    </w:p>
    <w:p w14:paraId="2B5CBA8B" w14:textId="3192CAEE" w:rsidR="00CB676F" w:rsidRDefault="001F34F8" w:rsidP="00CB676F">
      <w:r>
        <w:t>The sponsor has no comment</w:t>
      </w:r>
      <w:r w:rsidR="00CB676F" w:rsidRPr="009E4F5E">
        <w:t>.</w:t>
      </w:r>
    </w:p>
    <w:p w14:paraId="35AA6988" w14:textId="64A81006" w:rsidR="004B306F" w:rsidRDefault="004B306F" w:rsidP="00F73113">
      <w:pPr>
        <w:pStyle w:val="Heading1"/>
      </w:pPr>
      <w:r>
        <w:t>References</w:t>
      </w:r>
    </w:p>
    <w:p w14:paraId="09687C8B" w14:textId="77777777" w:rsidR="00606367" w:rsidRDefault="00606367" w:rsidP="00606367">
      <w:r>
        <w:rPr>
          <w:vertAlign w:val="superscript"/>
        </w:rPr>
        <w:t xml:space="preserve">1 </w:t>
      </w:r>
      <w:r w:rsidRPr="0089686A">
        <w:t xml:space="preserve">Sapropterin (Kuvan) Product Information. Available from </w:t>
      </w:r>
      <w:hyperlink r:id="rId27" w:history="1">
        <w:r w:rsidRPr="00165A72">
          <w:rPr>
            <w:rStyle w:val="Hyperlink"/>
          </w:rPr>
          <w:t>https://www.ebs.tga.gov.au</w:t>
        </w:r>
      </w:hyperlink>
      <w:r w:rsidRPr="0089686A">
        <w:t>.</w:t>
      </w:r>
    </w:p>
    <w:p w14:paraId="087E91BA" w14:textId="2DABF0D3" w:rsidR="00606367" w:rsidRDefault="00606367" w:rsidP="00606367">
      <w:r>
        <w:rPr>
          <w:vertAlign w:val="superscript"/>
        </w:rPr>
        <w:t>2</w:t>
      </w:r>
      <w:r>
        <w:t xml:space="preserve"> The PKU Handbook: Australasian Society for Inborn Errors </w:t>
      </w:r>
      <w:r w:rsidR="00FF0566">
        <w:t>of Metabolism</w:t>
      </w:r>
      <w:r w:rsidR="00551163">
        <w:t xml:space="preserve">. </w:t>
      </w:r>
      <w:r w:rsidR="00FF0566">
        <w:t xml:space="preserve">Available from </w:t>
      </w:r>
      <w:hyperlink r:id="rId28" w:history="1">
        <w:r w:rsidR="00FF0566" w:rsidRPr="00165A72">
          <w:rPr>
            <w:rStyle w:val="Hyperlink"/>
          </w:rPr>
          <w:t>https://www.mdda.org.au/wp-content/uploads/2016/02/ASIEM-Phenylketonuria-PKU-Handbook-.pdf</w:t>
        </w:r>
      </w:hyperlink>
    </w:p>
    <w:p w14:paraId="7AA94D01" w14:textId="7D5A8D85" w:rsidR="00606367" w:rsidRDefault="00606367" w:rsidP="00606367">
      <w:r>
        <w:rPr>
          <w:vertAlign w:val="superscript"/>
        </w:rPr>
        <w:t xml:space="preserve">3 </w:t>
      </w:r>
      <w:r>
        <w:t>American College of Medical Genetics and Genomics (US)</w:t>
      </w:r>
      <w:r w:rsidR="00551163">
        <w:t xml:space="preserve">. </w:t>
      </w:r>
      <w:r>
        <w:t>Phenylalanine hydroxylase deficiency: diagnosis and management guideline [Internet][cited 27 March 2019]</w:t>
      </w:r>
      <w:r w:rsidR="00551163">
        <w:t xml:space="preserve">. </w:t>
      </w:r>
      <w:r>
        <w:t xml:space="preserve">Available from: </w:t>
      </w:r>
      <w:hyperlink r:id="rId29" w:history="1">
        <w:r w:rsidR="00FF0566" w:rsidRPr="00165A72">
          <w:rPr>
            <w:rStyle w:val="Hyperlink"/>
          </w:rPr>
          <w:t>https://www.acmg.net//PDFLibrary/Phenylalanine-Hydroxylase-Deficiency-Diagnosis-Management.pdf</w:t>
        </w:r>
      </w:hyperlink>
    </w:p>
    <w:p w14:paraId="4BFC27A8" w14:textId="505B2522" w:rsidR="00606367" w:rsidRDefault="00606367" w:rsidP="00606367">
      <w:r w:rsidRPr="0089686A">
        <w:rPr>
          <w:vertAlign w:val="superscript"/>
        </w:rPr>
        <w:t>4</w:t>
      </w:r>
      <w:r>
        <w:t xml:space="preserve"> Sapropterin Public Summary Document – November 2012 PBAC Meeting</w:t>
      </w:r>
      <w:r w:rsidR="00551163">
        <w:t xml:space="preserve">. </w:t>
      </w:r>
      <w:r>
        <w:t xml:space="preserve">Available from </w:t>
      </w:r>
      <w:hyperlink r:id="rId30" w:history="1">
        <w:r w:rsidR="00FF0566" w:rsidRPr="00165A72">
          <w:rPr>
            <w:rStyle w:val="Hyperlink"/>
          </w:rPr>
          <w:t>http://www.pbs.gov.au/info/industry/listing/elements/pbac-meetings/psd/2012-11/sapropterin</w:t>
        </w:r>
      </w:hyperlink>
    </w:p>
    <w:p w14:paraId="238A4175" w14:textId="77777777" w:rsidR="00606367" w:rsidRDefault="00606367" w:rsidP="00606367">
      <w:r>
        <w:rPr>
          <w:vertAlign w:val="superscript"/>
        </w:rPr>
        <w:t xml:space="preserve">5 </w:t>
      </w:r>
      <w:r>
        <w:t>Shintaku H. Disorders of tetrahydrobiopterin metabolism and their treatment. Current Drug Metabolism 2002 3:2 (123-131).</w:t>
      </w:r>
    </w:p>
    <w:p w14:paraId="09FDEECA" w14:textId="77777777" w:rsidR="00606367" w:rsidRDefault="00606367" w:rsidP="00606367">
      <w:r>
        <w:rPr>
          <w:vertAlign w:val="superscript"/>
        </w:rPr>
        <w:t xml:space="preserve">6 </w:t>
      </w:r>
      <w:r>
        <w:t>Longo N. Disorders of biopterin metabolism. Journal of Inherited Metabolic Disease 2009 32:3 (333-342) Sanford M. et al.</w:t>
      </w:r>
    </w:p>
    <w:p w14:paraId="6DBE6138" w14:textId="77777777" w:rsidR="00606367" w:rsidRDefault="00606367" w:rsidP="00606367">
      <w:r>
        <w:rPr>
          <w:vertAlign w:val="superscript"/>
        </w:rPr>
        <w:lastRenderedPageBreak/>
        <w:t xml:space="preserve">7 </w:t>
      </w:r>
      <w:r>
        <w:t>Bramwell B. Folinic acid, L-DOPA and 5-hydroxytryptophan in tetrahydrobiopterin deficiency: Treatment plan for a pediatric patient. International Journal of Pharmaceutical Compounding 2011 15:4 (316-319).</w:t>
      </w:r>
    </w:p>
    <w:p w14:paraId="3BA49722" w14:textId="1712C43A" w:rsidR="00606367" w:rsidRDefault="00606367" w:rsidP="00606367">
      <w:r>
        <w:rPr>
          <w:vertAlign w:val="superscript"/>
        </w:rPr>
        <w:t>8</w:t>
      </w:r>
      <w:r>
        <w:t xml:space="preserve"> </w:t>
      </w:r>
      <w:r w:rsidRPr="0089686A">
        <w:t>BH4 in the management of phenylketonuria. ASIEM Clinical Guideline Document</w:t>
      </w:r>
      <w:r w:rsidR="00551163">
        <w:t xml:space="preserve">. </w:t>
      </w:r>
      <w:r w:rsidRPr="0089686A">
        <w:t xml:space="preserve">Available from </w:t>
      </w:r>
      <w:hyperlink r:id="rId31" w:history="1">
        <w:r w:rsidRPr="00165A72">
          <w:rPr>
            <w:rStyle w:val="Hyperlink"/>
          </w:rPr>
          <w:t>https://www.mdda.org.au/wp-content/uploads/2017/10/Australasian-BH4-Guidelines-Document-ASIEM-Endorsed-06.09.2017.pdf</w:t>
        </w:r>
      </w:hyperlink>
      <w:r w:rsidRPr="0089686A">
        <w:t>.</w:t>
      </w:r>
    </w:p>
    <w:p w14:paraId="3446BB82" w14:textId="77777777" w:rsidR="00606367" w:rsidRDefault="00606367" w:rsidP="00606367">
      <w:r>
        <w:rPr>
          <w:vertAlign w:val="superscript"/>
        </w:rPr>
        <w:t xml:space="preserve">9 </w:t>
      </w:r>
      <w:r>
        <w:t>Enns G M, Koch R, Brumm V, Blakely E, Suter R and Jurecki E. Suboptimal outcomes in patients with PKU treated early with diet alone: Revisiting the evidence. Molecular Genetics and Metabolics. 2010, 101: 99-109.</w:t>
      </w:r>
    </w:p>
    <w:p w14:paraId="189440FF" w14:textId="77777777" w:rsidR="00606367" w:rsidRDefault="00606367" w:rsidP="00606367">
      <w:r>
        <w:rPr>
          <w:vertAlign w:val="superscript"/>
        </w:rPr>
        <w:t xml:space="preserve">10 </w:t>
      </w:r>
      <w:r>
        <w:t>Ogier de Baulny H, Abadie V, Feillet F, De Parscau L. Management of Phenylketonuria and Hyperphenylalaninemia. The Journal of Nutrition. 2007; 137: 1561S-1563S.</w:t>
      </w:r>
    </w:p>
    <w:p w14:paraId="0A8E3727" w14:textId="77777777" w:rsidR="00606367" w:rsidRDefault="00606367" w:rsidP="00606367">
      <w:r>
        <w:rPr>
          <w:vertAlign w:val="superscript"/>
        </w:rPr>
        <w:t xml:space="preserve">11 </w:t>
      </w:r>
      <w:r>
        <w:t>Vockley J, Andersson HC, Antshel KM, Braverman NE, Burton BK, Frazier DM, et al. Phenylalanine hydroxylase deficiency: diagnosis and management guideline. Genetics in medicine: official journal of the American College of Medical Genetics. 2014 Feb;16 (2):188-200. PubMed PMID: 24385074.</w:t>
      </w:r>
    </w:p>
    <w:p w14:paraId="0CE695B5" w14:textId="0D15A9F5" w:rsidR="00606367" w:rsidRDefault="00606367" w:rsidP="00606367">
      <w:r>
        <w:rPr>
          <w:vertAlign w:val="superscript"/>
        </w:rPr>
        <w:t xml:space="preserve">12 </w:t>
      </w:r>
      <w:r>
        <w:t xml:space="preserve">Australasian consensus guidelines for the management of maternal phenylketonuria (PKU) Available from </w:t>
      </w:r>
      <w:hyperlink r:id="rId32" w:history="1">
        <w:r w:rsidR="00FF0566" w:rsidRPr="00165A72">
          <w:rPr>
            <w:rStyle w:val="Hyperlink"/>
          </w:rPr>
          <w:t>https://www.hgsa.org.au/documents/item/6357</w:t>
        </w:r>
      </w:hyperlink>
      <w:r w:rsidR="00FF0566">
        <w:t xml:space="preserve"> </w:t>
      </w:r>
    </w:p>
    <w:p w14:paraId="1E7DDAF9" w14:textId="47B99E51" w:rsidR="00546ACE" w:rsidRDefault="00546ACE" w:rsidP="00546ACE">
      <w:pPr>
        <w:pStyle w:val="Heading1"/>
      </w:pPr>
      <w:r w:rsidRPr="00546ACE">
        <w:t>Disclaimer</w:t>
      </w:r>
    </w:p>
    <w:p w14:paraId="62653A69" w14:textId="12DF15F8" w:rsidR="00546ACE" w:rsidRDefault="00546ACE" w:rsidP="00546ACE">
      <w:pPr>
        <w:spacing w:after="0"/>
      </w:pPr>
      <w:r w:rsidRPr="00546ACE">
        <w:t>The information provided in this report does not const</w:t>
      </w:r>
      <w:r w:rsidR="00D86C1F">
        <w:t xml:space="preserve">itute medical advice and is not </w:t>
      </w:r>
      <w:r w:rsidRPr="00546ACE">
        <w:t>intended to take the place of professional medical advice</w:t>
      </w:r>
      <w:r w:rsidR="00D86C1F">
        <w:t xml:space="preserve"> or care. It is not intended to </w:t>
      </w:r>
      <w:r w:rsidRPr="00546ACE">
        <w:t xml:space="preserve">define what constitutes reasonable, appropriate or best </w:t>
      </w:r>
      <w:r w:rsidR="00D86C1F">
        <w:t xml:space="preserve">care for any individual for any </w:t>
      </w:r>
      <w:r w:rsidRPr="00546ACE">
        <w:t>given health issue. The information should not be used as</w:t>
      </w:r>
      <w:r w:rsidR="00D86C1F">
        <w:t xml:space="preserve"> a substitute for the judgement </w:t>
      </w:r>
      <w:r w:rsidRPr="00546ACE">
        <w:t>and skill of a medical practitioner.</w:t>
      </w:r>
    </w:p>
    <w:p w14:paraId="570638D7" w14:textId="77777777" w:rsidR="00546ACE" w:rsidRPr="00546ACE" w:rsidRDefault="00546ACE" w:rsidP="00546ACE">
      <w:pPr>
        <w:spacing w:after="0"/>
      </w:pPr>
    </w:p>
    <w:p w14:paraId="5437790D" w14:textId="1F354EAD" w:rsidR="00546ACE" w:rsidRPr="00546ACE" w:rsidRDefault="00546ACE" w:rsidP="00546ACE">
      <w:pPr>
        <w:spacing w:after="0"/>
      </w:pPr>
      <w:r w:rsidRPr="00546ACE">
        <w:t>The Department of Health (DoH) has made all reasonable efforts to ensure that information</w:t>
      </w:r>
      <w:r w:rsidR="00D86C1F">
        <w:t xml:space="preserve"> provided </w:t>
      </w:r>
      <w:r w:rsidRPr="00546ACE">
        <w:t>in this report is accurate. The information provide</w:t>
      </w:r>
      <w:r w:rsidR="00D86C1F">
        <w:t xml:space="preserve">d in this report was up-to-date </w:t>
      </w:r>
      <w:r w:rsidRPr="00546ACE">
        <w:t>when it was considered by the Drug Utilisation Sub-committee of the Pharmaceutical</w:t>
      </w:r>
    </w:p>
    <w:p w14:paraId="7BB64E1A" w14:textId="354953F6" w:rsidR="00546ACE" w:rsidRDefault="00546ACE" w:rsidP="00546ACE">
      <w:pPr>
        <w:spacing w:after="0"/>
      </w:pPr>
      <w:r w:rsidRPr="00546ACE">
        <w:t>Benefits Advisory Committee. The context for that inf</w:t>
      </w:r>
      <w:r w:rsidR="00D86C1F">
        <w:t xml:space="preserve">ormation may have changed since </w:t>
      </w:r>
      <w:r w:rsidRPr="00546ACE">
        <w:t>publication.</w:t>
      </w:r>
    </w:p>
    <w:p w14:paraId="0CCD55B5" w14:textId="77777777" w:rsidR="00546ACE" w:rsidRPr="00546ACE" w:rsidRDefault="00546ACE" w:rsidP="00546ACE">
      <w:pPr>
        <w:spacing w:after="0"/>
      </w:pPr>
    </w:p>
    <w:p w14:paraId="17C71073" w14:textId="6E8BD08F" w:rsidR="00D86C1F" w:rsidRDefault="00546ACE" w:rsidP="00546ACE">
      <w:pPr>
        <w:spacing w:after="0"/>
      </w:pPr>
      <w:r w:rsidRPr="00546ACE">
        <w:t>To the extent provided by law, DoH makes no warranties or</w:t>
      </w:r>
      <w:r w:rsidR="00D86C1F">
        <w:t xml:space="preserve"> representations as to accuracy </w:t>
      </w:r>
      <w:r w:rsidRPr="00546ACE">
        <w:t>or completeness of information contained in this report.</w:t>
      </w:r>
    </w:p>
    <w:p w14:paraId="04CCE5BB" w14:textId="77777777" w:rsidR="00FF0566" w:rsidRDefault="00FF0566" w:rsidP="00546ACE">
      <w:pPr>
        <w:spacing w:after="0"/>
      </w:pPr>
    </w:p>
    <w:p w14:paraId="26CFD741" w14:textId="71F405AF" w:rsidR="00546ACE" w:rsidRPr="00546ACE" w:rsidRDefault="00546ACE" w:rsidP="00546ACE">
      <w:pPr>
        <w:spacing w:after="0"/>
      </w:pPr>
      <w:r w:rsidRPr="00546ACE">
        <w:t>To the fullest extent permitted by law, neither the DoH nor</w:t>
      </w:r>
      <w:r w:rsidR="00D86C1F">
        <w:t xml:space="preserve"> any DoH employee is liable for </w:t>
      </w:r>
      <w:r w:rsidRPr="00546ACE">
        <w:t>any liability, loss, claim, damage, expense, injury or personal injury (including death),</w:t>
      </w:r>
    </w:p>
    <w:p w14:paraId="36FB649D" w14:textId="2A6C6250" w:rsidR="00546ACE" w:rsidRPr="00546ACE" w:rsidRDefault="00546ACE" w:rsidP="00546ACE">
      <w:pPr>
        <w:spacing w:after="0"/>
      </w:pPr>
      <w:r w:rsidRPr="00546ACE">
        <w:t>whether direct or indirect (including consequential loss and loss of profits) and however</w:t>
      </w:r>
      <w:r>
        <w:t xml:space="preserve"> incurred (including in tort), caused or contributed to by any person’s use or misuse of the information available from this report or contained on any third party website referred to in this report.</w:t>
      </w:r>
    </w:p>
    <w:sectPr w:rsidR="00546ACE" w:rsidRPr="00546ACE" w:rsidSect="00D31C4F">
      <w:type w:val="continuous"/>
      <w:pgSz w:w="11906" w:h="16838"/>
      <w:pgMar w:top="1418"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0FC2" w14:textId="77777777" w:rsidR="00B63C28" w:rsidRDefault="00B63C28" w:rsidP="00A35800">
      <w:r>
        <w:separator/>
      </w:r>
    </w:p>
  </w:endnote>
  <w:endnote w:type="continuationSeparator" w:id="0">
    <w:p w14:paraId="45A4A8C8" w14:textId="77777777" w:rsidR="00B63C28" w:rsidRDefault="00B63C2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9D5E5" w14:textId="77777777" w:rsidR="00B63C28" w:rsidRDefault="00B63C28"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B63C28" w:rsidRDefault="00B63C28"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123B4C87" w14:textId="6D272C24" w:rsidR="00B63C28" w:rsidRDefault="00B63C28" w:rsidP="000E72C6">
            <w:pPr>
              <w:pStyle w:val="Footer"/>
              <w:jc w:val="center"/>
            </w:pPr>
          </w:p>
          <w:p w14:paraId="7A595D16" w14:textId="48804007" w:rsidR="00B63C28" w:rsidRPr="000E72C6" w:rsidRDefault="00B63C28" w:rsidP="000E72C6">
            <w:pPr>
              <w:pStyle w:val="Footer"/>
              <w:jc w:val="center"/>
              <w:rPr>
                <w:i/>
                <w:sz w:val="20"/>
              </w:rPr>
            </w:pPr>
            <w:r>
              <w:rPr>
                <w:i/>
                <w:sz w:val="20"/>
              </w:rPr>
              <w:t>Public Release Document, June 2019 DUSC Meeting</w:t>
            </w:r>
          </w:p>
          <w:p w14:paraId="10292A9A" w14:textId="3717A002" w:rsidR="00B63C28" w:rsidRDefault="00B63C28"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551163">
              <w:rPr>
                <w:bCs/>
                <w:i/>
                <w:noProof/>
                <w:sz w:val="20"/>
              </w:rPr>
              <w:t>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551163">
              <w:rPr>
                <w:bCs/>
                <w:i/>
                <w:noProof/>
                <w:sz w:val="20"/>
              </w:rPr>
              <w:t>19</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2E1F" w14:textId="77777777" w:rsidR="00B63C28" w:rsidRDefault="00B63C28" w:rsidP="007A5733">
    <w:pPr>
      <w:pStyle w:val="Footer"/>
      <w:jc w:val="center"/>
      <w:rPr>
        <w:rStyle w:val="PageNumber"/>
      </w:rPr>
    </w:pPr>
    <w:r>
      <w:rPr>
        <w:rStyle w:val="PageNumber"/>
      </w:rPr>
      <w:t>Committee-in-Confidence</w:t>
    </w:r>
  </w:p>
  <w:p w14:paraId="3CE6880B" w14:textId="77777777" w:rsidR="00B63C28" w:rsidRDefault="00B63C28"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EEDE" w14:textId="77777777" w:rsidR="00B63C28" w:rsidRDefault="00B63C28" w:rsidP="00A35800">
      <w:r>
        <w:separator/>
      </w:r>
    </w:p>
  </w:footnote>
  <w:footnote w:type="continuationSeparator" w:id="0">
    <w:p w14:paraId="7E2CA1E4" w14:textId="77777777" w:rsidR="00B63C28" w:rsidRDefault="00B63C28" w:rsidP="00A35800">
      <w:r>
        <w:continuationSeparator/>
      </w:r>
    </w:p>
  </w:footnote>
  <w:footnote w:id="1">
    <w:p w14:paraId="19C0FCAF" w14:textId="52B470A7" w:rsidR="00B63C28" w:rsidRPr="001A2864" w:rsidRDefault="00B63C28" w:rsidP="001A2864">
      <w:pPr>
        <w:pStyle w:val="FootnoteText"/>
      </w:pPr>
      <w:r>
        <w:rPr>
          <w:rStyle w:val="FootnoteReference"/>
        </w:rPr>
        <w:footnoteRef/>
      </w:r>
      <w:r w:rsidRPr="001A2864">
        <w:t xml:space="preserve">Sapropterin (Kuvan) Product Information. Available </w:t>
      </w:r>
      <w:r>
        <w:t>from https://www.ebs.tga.gov.au</w:t>
      </w:r>
      <w:r w:rsidR="00F04B02">
        <w:t>.</w:t>
      </w:r>
    </w:p>
  </w:footnote>
  <w:footnote w:id="2">
    <w:p w14:paraId="54722C11" w14:textId="53C75DAD" w:rsidR="00B63C28" w:rsidRPr="006D795B" w:rsidRDefault="00B63C28" w:rsidP="006D795B">
      <w:pPr>
        <w:pStyle w:val="FootnoteText"/>
        <w:rPr>
          <w:lang w:val="en-US"/>
        </w:rPr>
      </w:pPr>
      <w:r>
        <w:rPr>
          <w:rStyle w:val="FootnoteReference"/>
        </w:rPr>
        <w:footnoteRef/>
      </w:r>
      <w:r>
        <w:t xml:space="preserve"> </w:t>
      </w:r>
      <w:r>
        <w:rPr>
          <w:lang w:val="en-US"/>
        </w:rPr>
        <w:t xml:space="preserve">The PKU Handbook: </w:t>
      </w:r>
      <w:r w:rsidRPr="006D795B">
        <w:rPr>
          <w:lang w:val="en-US"/>
        </w:rPr>
        <w:t>Australasian Society for Inborn Errors of Metabolism</w:t>
      </w:r>
      <w:r w:rsidR="00551163">
        <w:rPr>
          <w:lang w:val="en-US"/>
        </w:rPr>
        <w:t xml:space="preserve">. </w:t>
      </w:r>
      <w:r>
        <w:rPr>
          <w:lang w:val="en-US"/>
        </w:rPr>
        <w:t xml:space="preserve">Available from  </w:t>
      </w:r>
      <w:hyperlink r:id="rId1" w:history="1">
        <w:r w:rsidRPr="00F107C7">
          <w:rPr>
            <w:rStyle w:val="Hyperlink"/>
            <w:lang w:val="en-US"/>
          </w:rPr>
          <w:t>https://www.mdda.org.au/wp-content/uploads/2016/02/ASIEM-Phenylketonuria-PKU-Handbook-.pdf</w:t>
        </w:r>
      </w:hyperlink>
      <w:r>
        <w:rPr>
          <w:lang w:val="en-US"/>
        </w:rPr>
        <w:t xml:space="preserve">  </w:t>
      </w:r>
    </w:p>
  </w:footnote>
  <w:footnote w:id="3">
    <w:p w14:paraId="78D58C3E" w14:textId="5A69D8A7" w:rsidR="00B63C28" w:rsidRPr="00DE6431" w:rsidRDefault="00B63C28" w:rsidP="00002143">
      <w:pPr>
        <w:pStyle w:val="FootnoteText"/>
        <w:rPr>
          <w:lang w:val="en-US"/>
        </w:rPr>
      </w:pPr>
      <w:r>
        <w:rPr>
          <w:rStyle w:val="FootnoteReference"/>
        </w:rPr>
        <w:footnoteRef/>
      </w:r>
      <w:r>
        <w:t xml:space="preserve"> American College of Medical Genetics and Genomics (US)</w:t>
      </w:r>
      <w:r w:rsidR="00551163">
        <w:t xml:space="preserve">. </w:t>
      </w:r>
      <w:r>
        <w:t>Phenylalanine hydroxylase deficiency: diagnosis and management guideline [Internet][cited 27 March 2019]</w:t>
      </w:r>
      <w:r w:rsidR="00551163">
        <w:t xml:space="preserve">. </w:t>
      </w:r>
      <w:r>
        <w:t xml:space="preserve">Available from: </w:t>
      </w:r>
      <w:hyperlink r:id="rId2" w:history="1">
        <w:r w:rsidRPr="002A10C3">
          <w:rPr>
            <w:rStyle w:val="Hyperlink"/>
          </w:rPr>
          <w:t>https://www.acmg.net//PDFLibrary/Phenylalanine-Hydroxylase-Deficiency-Diagnosis-Management.pdf</w:t>
        </w:r>
      </w:hyperlink>
      <w:r>
        <w:t xml:space="preserve">  </w:t>
      </w:r>
    </w:p>
  </w:footnote>
  <w:footnote w:id="4">
    <w:p w14:paraId="3D8CC4E6" w14:textId="6524B1D0" w:rsidR="00F04B02" w:rsidRPr="00535C95" w:rsidRDefault="00F04B02" w:rsidP="00F04B02">
      <w:pPr>
        <w:pStyle w:val="FootnoteText"/>
        <w:rPr>
          <w:lang w:val="en-US"/>
        </w:rPr>
      </w:pPr>
      <w:r>
        <w:rPr>
          <w:rStyle w:val="FootnoteReference"/>
        </w:rPr>
        <w:footnoteRef/>
      </w:r>
      <w:r>
        <w:t xml:space="preserve"> Sapropterin Public Summary Document – November 2012 PBAC Meeting</w:t>
      </w:r>
      <w:r w:rsidR="00551163">
        <w:t xml:space="preserve">. </w:t>
      </w:r>
      <w:r>
        <w:t xml:space="preserve">Available from </w:t>
      </w:r>
      <w:hyperlink r:id="rId3" w:history="1">
        <w:r w:rsidRPr="00F23B8B">
          <w:rPr>
            <w:rStyle w:val="Hyperlink"/>
          </w:rPr>
          <w:t>http://www.pbs.gov.au/info/industry/listing/elements/pbac-meetings/psd/2012-11/sapropterin</w:t>
        </w:r>
      </w:hyperlink>
      <w:r>
        <w:t xml:space="preserve">  </w:t>
      </w:r>
    </w:p>
  </w:footnote>
  <w:footnote w:id="5">
    <w:p w14:paraId="12EB9EF4" w14:textId="77777777" w:rsidR="00361369" w:rsidRPr="001A2864" w:rsidRDefault="00361369" w:rsidP="00361369">
      <w:pPr>
        <w:pStyle w:val="FootnoteText"/>
        <w:rPr>
          <w:lang w:val="en-US"/>
        </w:rPr>
      </w:pPr>
      <w:r>
        <w:rPr>
          <w:rStyle w:val="FootnoteReference"/>
        </w:rPr>
        <w:footnoteRef/>
      </w:r>
      <w:r>
        <w:t xml:space="preserve"> </w:t>
      </w:r>
      <w:r w:rsidRPr="001F3017">
        <w:t>Shintaku H. Disorders of tetrahydrobiopterin metabolism and their treatment. Current Drug Metabolism 2002 3:2 (123-131)</w:t>
      </w:r>
      <w:r>
        <w:t>.</w:t>
      </w:r>
    </w:p>
  </w:footnote>
  <w:footnote w:id="6">
    <w:p w14:paraId="7540BECC" w14:textId="77777777" w:rsidR="00361369" w:rsidRPr="001F3017" w:rsidRDefault="00361369" w:rsidP="00361369">
      <w:pPr>
        <w:pStyle w:val="FootnoteText"/>
      </w:pPr>
      <w:r>
        <w:rPr>
          <w:rStyle w:val="FootnoteReference"/>
        </w:rPr>
        <w:footnoteRef/>
      </w:r>
      <w:r>
        <w:t xml:space="preserve"> </w:t>
      </w:r>
      <w:r w:rsidRPr="001F3017">
        <w:t>Longo N. Disorders of biopterin metabolism. Journal of Inherited Metabolic Disease 2009 3</w:t>
      </w:r>
      <w:r>
        <w:t>2:3 (333-342) Sanford M. et al.</w:t>
      </w:r>
    </w:p>
  </w:footnote>
  <w:footnote w:id="7">
    <w:p w14:paraId="468D26AB" w14:textId="77777777" w:rsidR="00361369" w:rsidRPr="001F3017" w:rsidRDefault="00361369" w:rsidP="00361369">
      <w:pPr>
        <w:pStyle w:val="FootnoteText"/>
        <w:rPr>
          <w:lang w:val="en-US"/>
        </w:rPr>
      </w:pPr>
      <w:r>
        <w:rPr>
          <w:rStyle w:val="FootnoteReference"/>
        </w:rPr>
        <w:footnoteRef/>
      </w:r>
      <w:r>
        <w:t xml:space="preserve"> </w:t>
      </w:r>
      <w:r w:rsidRPr="001F3017">
        <w:t>Bramwell B. Folinic acid, L-DOPA and 5-hydroxytryptophan in tetrahydrobiopterin deficiency: Treatment plan for a pediatric patient. International Journal of Pharmaceutical Compounding 2011 15:4 (316-319)</w:t>
      </w:r>
      <w:r>
        <w:t>.</w:t>
      </w:r>
    </w:p>
  </w:footnote>
  <w:footnote w:id="8">
    <w:p w14:paraId="56F984E7" w14:textId="1587463C" w:rsidR="00B63C28" w:rsidRPr="00002143" w:rsidRDefault="00B63C28" w:rsidP="00002143">
      <w:pPr>
        <w:pStyle w:val="FootnoteText"/>
        <w:rPr>
          <w:lang w:val="en-US"/>
        </w:rPr>
      </w:pPr>
      <w:r>
        <w:rPr>
          <w:rStyle w:val="FootnoteReference"/>
        </w:rPr>
        <w:footnoteRef/>
      </w:r>
      <w:r>
        <w:t xml:space="preserve"> </w:t>
      </w:r>
      <w:r w:rsidRPr="00002143">
        <w:t>BH4 in the management of phenylketonuria. ASIEM Clinical Guideline Document</w:t>
      </w:r>
      <w:r w:rsidR="00551163">
        <w:t xml:space="preserve">. </w:t>
      </w:r>
      <w:r w:rsidRPr="00002143">
        <w:t>Available from https://www.mdda.org.au/wp-content/uploads/2017/10/Australasian-BH4-Guidelines-Document-ASIEM-Endorsed-06.09.2017.pdf</w:t>
      </w:r>
      <w:r>
        <w:t>.</w:t>
      </w:r>
    </w:p>
  </w:footnote>
  <w:footnote w:id="9">
    <w:p w14:paraId="0777ADE5" w14:textId="5E0753C4" w:rsidR="00B63C28" w:rsidRPr="008F5774" w:rsidRDefault="00B63C28">
      <w:pPr>
        <w:pStyle w:val="FootnoteText"/>
      </w:pPr>
      <w:r>
        <w:rPr>
          <w:rStyle w:val="FootnoteReference"/>
        </w:rPr>
        <w:footnoteRef/>
      </w:r>
      <w:r>
        <w:t xml:space="preserve"> </w:t>
      </w:r>
      <w:r w:rsidRPr="008F5774">
        <w:t>Enns G M, Koch R, Brumm V, Blakely E, Suter R and Jurecki E. Suboptimal outcomes in patients with PKU treated early with diet alone: Revisiting the evidence. Molecular Genetics and Metabolics. 2010, 101: 99-109.</w:t>
      </w:r>
    </w:p>
  </w:footnote>
  <w:footnote w:id="10">
    <w:p w14:paraId="7A57EAD0" w14:textId="203CB3F9" w:rsidR="00B63C28" w:rsidRPr="008F5774" w:rsidRDefault="00B63C28">
      <w:pPr>
        <w:pStyle w:val="FootnoteText"/>
        <w:rPr>
          <w:lang w:val="en-US"/>
        </w:rPr>
      </w:pPr>
      <w:r>
        <w:rPr>
          <w:rStyle w:val="FootnoteReference"/>
        </w:rPr>
        <w:footnoteRef/>
      </w:r>
      <w:r>
        <w:t xml:space="preserve"> </w:t>
      </w:r>
      <w:r w:rsidRPr="008F5774">
        <w:t>Ogier de Baulny H, Abadie V, Feillet F, De Parscau L. Management of Phenylketonuria and Hyperphenylalaninemia. The Journal of Nutrition. 2007; 137: 1561S-1563S.</w:t>
      </w:r>
    </w:p>
  </w:footnote>
  <w:footnote w:id="11">
    <w:p w14:paraId="09B30493" w14:textId="7C6396E8" w:rsidR="00B63C28" w:rsidRPr="008F5774" w:rsidRDefault="00B63C28">
      <w:pPr>
        <w:pStyle w:val="FootnoteText"/>
        <w:rPr>
          <w:lang w:val="en-US"/>
        </w:rPr>
      </w:pPr>
      <w:r>
        <w:rPr>
          <w:rStyle w:val="FootnoteReference"/>
        </w:rPr>
        <w:footnoteRef/>
      </w:r>
      <w:r>
        <w:t xml:space="preserve"> </w:t>
      </w:r>
      <w:r w:rsidRPr="008F5774">
        <w:t>Vockley J, Andersson HC, Antshel KM, Braverman NE, Burton BK, Frazier DM, et al. Phenylalanine hydroxylase deficiency: diagnosis and management guideline. Genetics in medicine: official journal of the American College of Medical Genetics. 2014 Feb;16 (2):188-200. PubMed PMID: 24385074.</w:t>
      </w:r>
    </w:p>
  </w:footnote>
  <w:footnote w:id="12">
    <w:p w14:paraId="7211F635" w14:textId="4577C8FD" w:rsidR="00B63C28" w:rsidRPr="00EA1812" w:rsidRDefault="00B63C28">
      <w:pPr>
        <w:pStyle w:val="FootnoteText"/>
        <w:rPr>
          <w:lang w:val="en-US"/>
        </w:rPr>
      </w:pPr>
      <w:r>
        <w:rPr>
          <w:rStyle w:val="FootnoteReference"/>
        </w:rPr>
        <w:footnoteRef/>
      </w:r>
      <w:r>
        <w:t xml:space="preserve"> </w:t>
      </w:r>
      <w:r w:rsidRPr="00EA1812">
        <w:t>Australasian consensus guidelines for the management of maternal phenylketonuria (PKU) Available from https://www.hgsa.org.au/documents/item/6357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0730F" w14:textId="77777777" w:rsidR="00A220E6" w:rsidRDefault="00A22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2AF19" w14:textId="77777777" w:rsidR="00A220E6" w:rsidRDefault="00A22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88EC" w14:textId="77777777" w:rsidR="00A220E6" w:rsidRDefault="00A22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A92"/>
    <w:multiLevelType w:val="hybridMultilevel"/>
    <w:tmpl w:val="41DE5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7C410D"/>
    <w:multiLevelType w:val="hybridMultilevel"/>
    <w:tmpl w:val="8A149168"/>
    <w:lvl w:ilvl="0" w:tplc="2A3EEAF8">
      <w:start w:val="50"/>
      <w:numFmt w:val="bullet"/>
      <w:lvlText w:val="-"/>
      <w:lvlJc w:val="left"/>
      <w:pPr>
        <w:ind w:left="1800" w:hanging="360"/>
      </w:pPr>
      <w:rPr>
        <w:rFonts w:ascii="Calibri" w:eastAsiaTheme="minorEastAsia"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C944E08"/>
    <w:multiLevelType w:val="hybridMultilevel"/>
    <w:tmpl w:val="84647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E5027"/>
    <w:multiLevelType w:val="hybridMultilevel"/>
    <w:tmpl w:val="553C5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C16299"/>
    <w:multiLevelType w:val="hybridMultilevel"/>
    <w:tmpl w:val="BD1EB32C"/>
    <w:lvl w:ilvl="0" w:tplc="2A3EEAF8">
      <w:start w:val="50"/>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534201"/>
    <w:multiLevelType w:val="hybridMultilevel"/>
    <w:tmpl w:val="A1EA2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D84295"/>
    <w:multiLevelType w:val="hybridMultilevel"/>
    <w:tmpl w:val="00A06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552DA8"/>
    <w:multiLevelType w:val="hybridMultilevel"/>
    <w:tmpl w:val="81C04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937340"/>
    <w:multiLevelType w:val="hybridMultilevel"/>
    <w:tmpl w:val="364EDC6C"/>
    <w:lvl w:ilvl="0" w:tplc="3A14937A">
      <w:start w:val="50"/>
      <w:numFmt w:val="bullet"/>
      <w:lvlText w:val="-"/>
      <w:lvlJc w:val="left"/>
      <w:pPr>
        <w:ind w:left="720" w:hanging="360"/>
      </w:pPr>
      <w:rPr>
        <w:rFonts w:ascii="Calibri" w:eastAsiaTheme="minorEastAsia"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52336A"/>
    <w:multiLevelType w:val="hybridMultilevel"/>
    <w:tmpl w:val="3E48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2880EB7"/>
    <w:multiLevelType w:val="hybridMultilevel"/>
    <w:tmpl w:val="7F4861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11"/>
  </w:num>
  <w:num w:numId="3">
    <w:abstractNumId w:val="5"/>
  </w:num>
  <w:num w:numId="4">
    <w:abstractNumId w:val="2"/>
  </w:num>
  <w:num w:numId="5">
    <w:abstractNumId w:val="10"/>
  </w:num>
  <w:num w:numId="6">
    <w:abstractNumId w:val="6"/>
  </w:num>
  <w:num w:numId="7">
    <w:abstractNumId w:val="0"/>
  </w:num>
  <w:num w:numId="8">
    <w:abstractNumId w:val="8"/>
  </w:num>
  <w:num w:numId="9">
    <w:abstractNumId w:val="9"/>
  </w:num>
  <w:num w:numId="10">
    <w:abstractNumId w:val="4"/>
  </w:num>
  <w:num w:numId="11">
    <w:abstractNumId w:val="3"/>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041"/>
    <w:rsid w:val="00000E51"/>
    <w:rsid w:val="00001C32"/>
    <w:rsid w:val="00001F5E"/>
    <w:rsid w:val="00002143"/>
    <w:rsid w:val="0000394E"/>
    <w:rsid w:val="00006466"/>
    <w:rsid w:val="000071F7"/>
    <w:rsid w:val="00007E85"/>
    <w:rsid w:val="00012A33"/>
    <w:rsid w:val="00013465"/>
    <w:rsid w:val="00014275"/>
    <w:rsid w:val="00015AF2"/>
    <w:rsid w:val="00016F86"/>
    <w:rsid w:val="000226B3"/>
    <w:rsid w:val="00023C96"/>
    <w:rsid w:val="00024549"/>
    <w:rsid w:val="00026572"/>
    <w:rsid w:val="00026E81"/>
    <w:rsid w:val="00030420"/>
    <w:rsid w:val="00031569"/>
    <w:rsid w:val="00035D6A"/>
    <w:rsid w:val="00036119"/>
    <w:rsid w:val="000422D3"/>
    <w:rsid w:val="00042A08"/>
    <w:rsid w:val="000435E5"/>
    <w:rsid w:val="0004553B"/>
    <w:rsid w:val="00050924"/>
    <w:rsid w:val="000544B6"/>
    <w:rsid w:val="00057793"/>
    <w:rsid w:val="000604AF"/>
    <w:rsid w:val="000614CF"/>
    <w:rsid w:val="00064011"/>
    <w:rsid w:val="00065597"/>
    <w:rsid w:val="00065A7D"/>
    <w:rsid w:val="00066E72"/>
    <w:rsid w:val="00070B82"/>
    <w:rsid w:val="000712F5"/>
    <w:rsid w:val="0007789B"/>
    <w:rsid w:val="00081E6F"/>
    <w:rsid w:val="00084F22"/>
    <w:rsid w:val="00086C11"/>
    <w:rsid w:val="00087F95"/>
    <w:rsid w:val="00091025"/>
    <w:rsid w:val="00091149"/>
    <w:rsid w:val="0009427A"/>
    <w:rsid w:val="00094C5E"/>
    <w:rsid w:val="00094DCF"/>
    <w:rsid w:val="0009715D"/>
    <w:rsid w:val="000A13BE"/>
    <w:rsid w:val="000A1E2C"/>
    <w:rsid w:val="000A1E53"/>
    <w:rsid w:val="000A3954"/>
    <w:rsid w:val="000A4B2D"/>
    <w:rsid w:val="000A5732"/>
    <w:rsid w:val="000A6665"/>
    <w:rsid w:val="000A6CFD"/>
    <w:rsid w:val="000B0982"/>
    <w:rsid w:val="000B10BC"/>
    <w:rsid w:val="000B124E"/>
    <w:rsid w:val="000B443E"/>
    <w:rsid w:val="000B796C"/>
    <w:rsid w:val="000B7B87"/>
    <w:rsid w:val="000C0527"/>
    <w:rsid w:val="000C233D"/>
    <w:rsid w:val="000C2CCB"/>
    <w:rsid w:val="000C2EBC"/>
    <w:rsid w:val="000C46BB"/>
    <w:rsid w:val="000C4D9D"/>
    <w:rsid w:val="000C4EB3"/>
    <w:rsid w:val="000C50CF"/>
    <w:rsid w:val="000C61C2"/>
    <w:rsid w:val="000C7C4B"/>
    <w:rsid w:val="000C7D8B"/>
    <w:rsid w:val="000D036E"/>
    <w:rsid w:val="000D04A3"/>
    <w:rsid w:val="000D0903"/>
    <w:rsid w:val="000D40E7"/>
    <w:rsid w:val="000E0182"/>
    <w:rsid w:val="000E485D"/>
    <w:rsid w:val="000E51B8"/>
    <w:rsid w:val="000E593C"/>
    <w:rsid w:val="000E6419"/>
    <w:rsid w:val="000E6D2D"/>
    <w:rsid w:val="000E72C6"/>
    <w:rsid w:val="000F15FA"/>
    <w:rsid w:val="000F1730"/>
    <w:rsid w:val="000F1893"/>
    <w:rsid w:val="000F2344"/>
    <w:rsid w:val="000F2C25"/>
    <w:rsid w:val="000F2CB1"/>
    <w:rsid w:val="000F2F51"/>
    <w:rsid w:val="000F33F9"/>
    <w:rsid w:val="000F41FB"/>
    <w:rsid w:val="000F50DF"/>
    <w:rsid w:val="00100F4C"/>
    <w:rsid w:val="00101296"/>
    <w:rsid w:val="00101A52"/>
    <w:rsid w:val="00101BEA"/>
    <w:rsid w:val="001028E7"/>
    <w:rsid w:val="00102BF3"/>
    <w:rsid w:val="00103E7F"/>
    <w:rsid w:val="001122FF"/>
    <w:rsid w:val="00113A45"/>
    <w:rsid w:val="00113CF8"/>
    <w:rsid w:val="00113D74"/>
    <w:rsid w:val="00115852"/>
    <w:rsid w:val="00116668"/>
    <w:rsid w:val="00117C5C"/>
    <w:rsid w:val="00120B07"/>
    <w:rsid w:val="001219CD"/>
    <w:rsid w:val="00123434"/>
    <w:rsid w:val="0012365C"/>
    <w:rsid w:val="00125C22"/>
    <w:rsid w:val="00126467"/>
    <w:rsid w:val="001310AE"/>
    <w:rsid w:val="0013313E"/>
    <w:rsid w:val="001420B3"/>
    <w:rsid w:val="001460C4"/>
    <w:rsid w:val="00147E02"/>
    <w:rsid w:val="00150B25"/>
    <w:rsid w:val="00150E14"/>
    <w:rsid w:val="0015355A"/>
    <w:rsid w:val="0015594F"/>
    <w:rsid w:val="00155C94"/>
    <w:rsid w:val="00155DC5"/>
    <w:rsid w:val="0015691C"/>
    <w:rsid w:val="001621F7"/>
    <w:rsid w:val="001624D7"/>
    <w:rsid w:val="001649BC"/>
    <w:rsid w:val="001675D0"/>
    <w:rsid w:val="001705C6"/>
    <w:rsid w:val="001713AE"/>
    <w:rsid w:val="00171FEF"/>
    <w:rsid w:val="00171FF0"/>
    <w:rsid w:val="00172774"/>
    <w:rsid w:val="0017784D"/>
    <w:rsid w:val="00177B86"/>
    <w:rsid w:val="00181714"/>
    <w:rsid w:val="00182585"/>
    <w:rsid w:val="001834D2"/>
    <w:rsid w:val="00183E71"/>
    <w:rsid w:val="0018500C"/>
    <w:rsid w:val="00185E29"/>
    <w:rsid w:val="001900B6"/>
    <w:rsid w:val="00191182"/>
    <w:rsid w:val="001932F6"/>
    <w:rsid w:val="0019333D"/>
    <w:rsid w:val="00193475"/>
    <w:rsid w:val="001937A2"/>
    <w:rsid w:val="001953CC"/>
    <w:rsid w:val="0019664D"/>
    <w:rsid w:val="001A13A9"/>
    <w:rsid w:val="001A2864"/>
    <w:rsid w:val="001A6103"/>
    <w:rsid w:val="001B5D37"/>
    <w:rsid w:val="001B6C4A"/>
    <w:rsid w:val="001B7D9D"/>
    <w:rsid w:val="001C0AB0"/>
    <w:rsid w:val="001C2940"/>
    <w:rsid w:val="001C4016"/>
    <w:rsid w:val="001C548D"/>
    <w:rsid w:val="001C6A5D"/>
    <w:rsid w:val="001C77D7"/>
    <w:rsid w:val="001D254E"/>
    <w:rsid w:val="001E31A6"/>
    <w:rsid w:val="001E42C7"/>
    <w:rsid w:val="001E4CAB"/>
    <w:rsid w:val="001F0391"/>
    <w:rsid w:val="001F0769"/>
    <w:rsid w:val="001F0A4E"/>
    <w:rsid w:val="001F2F3E"/>
    <w:rsid w:val="001F3017"/>
    <w:rsid w:val="001F34F8"/>
    <w:rsid w:val="001F4906"/>
    <w:rsid w:val="001F5683"/>
    <w:rsid w:val="001F5D52"/>
    <w:rsid w:val="001F5E62"/>
    <w:rsid w:val="001F7C4A"/>
    <w:rsid w:val="001F7D4D"/>
    <w:rsid w:val="002015A2"/>
    <w:rsid w:val="002027BE"/>
    <w:rsid w:val="0020578A"/>
    <w:rsid w:val="00205BCF"/>
    <w:rsid w:val="0020756A"/>
    <w:rsid w:val="00207631"/>
    <w:rsid w:val="00214013"/>
    <w:rsid w:val="00214EE8"/>
    <w:rsid w:val="00220FC1"/>
    <w:rsid w:val="002219DF"/>
    <w:rsid w:val="00221BB7"/>
    <w:rsid w:val="0022251D"/>
    <w:rsid w:val="00222E9A"/>
    <w:rsid w:val="0022354F"/>
    <w:rsid w:val="00224AC5"/>
    <w:rsid w:val="0022743D"/>
    <w:rsid w:val="00230A3F"/>
    <w:rsid w:val="0023179D"/>
    <w:rsid w:val="00234B67"/>
    <w:rsid w:val="00244AE3"/>
    <w:rsid w:val="00245496"/>
    <w:rsid w:val="00245707"/>
    <w:rsid w:val="0025389D"/>
    <w:rsid w:val="002540D7"/>
    <w:rsid w:val="00254E02"/>
    <w:rsid w:val="00255586"/>
    <w:rsid w:val="002558CF"/>
    <w:rsid w:val="0026265F"/>
    <w:rsid w:val="00265A2E"/>
    <w:rsid w:val="00270ADB"/>
    <w:rsid w:val="002711E6"/>
    <w:rsid w:val="00274D58"/>
    <w:rsid w:val="0027508E"/>
    <w:rsid w:val="00275AC9"/>
    <w:rsid w:val="0028056B"/>
    <w:rsid w:val="0028239F"/>
    <w:rsid w:val="00284341"/>
    <w:rsid w:val="002854B0"/>
    <w:rsid w:val="00286C3A"/>
    <w:rsid w:val="00286E6F"/>
    <w:rsid w:val="00290FF5"/>
    <w:rsid w:val="002930F5"/>
    <w:rsid w:val="00294A05"/>
    <w:rsid w:val="00297F31"/>
    <w:rsid w:val="002A06B7"/>
    <w:rsid w:val="002A4D71"/>
    <w:rsid w:val="002A55A5"/>
    <w:rsid w:val="002A6EF2"/>
    <w:rsid w:val="002B4379"/>
    <w:rsid w:val="002B44FE"/>
    <w:rsid w:val="002B585D"/>
    <w:rsid w:val="002B65D9"/>
    <w:rsid w:val="002B755D"/>
    <w:rsid w:val="002C446B"/>
    <w:rsid w:val="002C47A5"/>
    <w:rsid w:val="002C6E0C"/>
    <w:rsid w:val="002D144A"/>
    <w:rsid w:val="002D5897"/>
    <w:rsid w:val="002D6085"/>
    <w:rsid w:val="002D664D"/>
    <w:rsid w:val="002E0FB5"/>
    <w:rsid w:val="002E19A3"/>
    <w:rsid w:val="002E212B"/>
    <w:rsid w:val="002E3337"/>
    <w:rsid w:val="002E33F1"/>
    <w:rsid w:val="002E3D3C"/>
    <w:rsid w:val="002E6AE3"/>
    <w:rsid w:val="002E6D03"/>
    <w:rsid w:val="002F1DF6"/>
    <w:rsid w:val="002F3DD1"/>
    <w:rsid w:val="002F49A8"/>
    <w:rsid w:val="002F5E66"/>
    <w:rsid w:val="002F61CA"/>
    <w:rsid w:val="0030010D"/>
    <w:rsid w:val="003040AE"/>
    <w:rsid w:val="00312F27"/>
    <w:rsid w:val="0031486E"/>
    <w:rsid w:val="00314DC2"/>
    <w:rsid w:val="0031632D"/>
    <w:rsid w:val="00316991"/>
    <w:rsid w:val="00320D82"/>
    <w:rsid w:val="00321803"/>
    <w:rsid w:val="003218F7"/>
    <w:rsid w:val="00321BE2"/>
    <w:rsid w:val="003250A1"/>
    <w:rsid w:val="00331DD6"/>
    <w:rsid w:val="00332616"/>
    <w:rsid w:val="003343AE"/>
    <w:rsid w:val="0033504C"/>
    <w:rsid w:val="00336816"/>
    <w:rsid w:val="0033689A"/>
    <w:rsid w:val="003370D0"/>
    <w:rsid w:val="00337355"/>
    <w:rsid w:val="003402E4"/>
    <w:rsid w:val="003408F3"/>
    <w:rsid w:val="00340F95"/>
    <w:rsid w:val="00341D5C"/>
    <w:rsid w:val="00341ED9"/>
    <w:rsid w:val="0034357D"/>
    <w:rsid w:val="003515D0"/>
    <w:rsid w:val="003523CA"/>
    <w:rsid w:val="003531ED"/>
    <w:rsid w:val="0035377F"/>
    <w:rsid w:val="00355D3A"/>
    <w:rsid w:val="00360B9A"/>
    <w:rsid w:val="00361369"/>
    <w:rsid w:val="0036365C"/>
    <w:rsid w:val="00371D07"/>
    <w:rsid w:val="00372A55"/>
    <w:rsid w:val="00372A85"/>
    <w:rsid w:val="003750B5"/>
    <w:rsid w:val="0039017F"/>
    <w:rsid w:val="003922A4"/>
    <w:rsid w:val="00394AEE"/>
    <w:rsid w:val="00395A66"/>
    <w:rsid w:val="00396ECE"/>
    <w:rsid w:val="00397A1F"/>
    <w:rsid w:val="003A0017"/>
    <w:rsid w:val="003A19BF"/>
    <w:rsid w:val="003A1AB8"/>
    <w:rsid w:val="003A3A74"/>
    <w:rsid w:val="003A3FA4"/>
    <w:rsid w:val="003A5975"/>
    <w:rsid w:val="003B05DD"/>
    <w:rsid w:val="003B0771"/>
    <w:rsid w:val="003B4200"/>
    <w:rsid w:val="003B4A8A"/>
    <w:rsid w:val="003B5EC0"/>
    <w:rsid w:val="003C0C9E"/>
    <w:rsid w:val="003C2857"/>
    <w:rsid w:val="003C2D98"/>
    <w:rsid w:val="003C6622"/>
    <w:rsid w:val="003D2D2B"/>
    <w:rsid w:val="003D3A96"/>
    <w:rsid w:val="003D3B4E"/>
    <w:rsid w:val="003D3B9C"/>
    <w:rsid w:val="003E1237"/>
    <w:rsid w:val="003E261C"/>
    <w:rsid w:val="003E32DB"/>
    <w:rsid w:val="003E48FA"/>
    <w:rsid w:val="003F20B0"/>
    <w:rsid w:val="003F2EAF"/>
    <w:rsid w:val="003F5F52"/>
    <w:rsid w:val="004000F0"/>
    <w:rsid w:val="00404F03"/>
    <w:rsid w:val="004103EF"/>
    <w:rsid w:val="00412051"/>
    <w:rsid w:val="004123DA"/>
    <w:rsid w:val="004146B9"/>
    <w:rsid w:val="004207C8"/>
    <w:rsid w:val="00423B94"/>
    <w:rsid w:val="004245AF"/>
    <w:rsid w:val="004254AC"/>
    <w:rsid w:val="0042616B"/>
    <w:rsid w:val="00426D8F"/>
    <w:rsid w:val="00426F5A"/>
    <w:rsid w:val="004314E9"/>
    <w:rsid w:val="00431D9E"/>
    <w:rsid w:val="00435AF5"/>
    <w:rsid w:val="00440A2F"/>
    <w:rsid w:val="00440BB5"/>
    <w:rsid w:val="00442FDB"/>
    <w:rsid w:val="0044687F"/>
    <w:rsid w:val="00447F7B"/>
    <w:rsid w:val="00450163"/>
    <w:rsid w:val="00452133"/>
    <w:rsid w:val="0045251B"/>
    <w:rsid w:val="00452A34"/>
    <w:rsid w:val="00454FAD"/>
    <w:rsid w:val="00463731"/>
    <w:rsid w:val="0046400A"/>
    <w:rsid w:val="00466E50"/>
    <w:rsid w:val="0046727D"/>
    <w:rsid w:val="004678CC"/>
    <w:rsid w:val="00467B25"/>
    <w:rsid w:val="004706BB"/>
    <w:rsid w:val="00474736"/>
    <w:rsid w:val="00475C20"/>
    <w:rsid w:val="00476845"/>
    <w:rsid w:val="00476EA2"/>
    <w:rsid w:val="00480C33"/>
    <w:rsid w:val="00481108"/>
    <w:rsid w:val="004836EA"/>
    <w:rsid w:val="00484BF9"/>
    <w:rsid w:val="0048554A"/>
    <w:rsid w:val="00487B42"/>
    <w:rsid w:val="0049042B"/>
    <w:rsid w:val="004936E7"/>
    <w:rsid w:val="00494819"/>
    <w:rsid w:val="00495473"/>
    <w:rsid w:val="004A20A2"/>
    <w:rsid w:val="004A458E"/>
    <w:rsid w:val="004A5050"/>
    <w:rsid w:val="004B118C"/>
    <w:rsid w:val="004B23E7"/>
    <w:rsid w:val="004B306F"/>
    <w:rsid w:val="004B3321"/>
    <w:rsid w:val="004C1D5A"/>
    <w:rsid w:val="004C3186"/>
    <w:rsid w:val="004C3485"/>
    <w:rsid w:val="004C5042"/>
    <w:rsid w:val="004C696A"/>
    <w:rsid w:val="004D0A39"/>
    <w:rsid w:val="004D1DDB"/>
    <w:rsid w:val="004D4AF2"/>
    <w:rsid w:val="004D666E"/>
    <w:rsid w:val="004E310F"/>
    <w:rsid w:val="004E3AB7"/>
    <w:rsid w:val="004E4422"/>
    <w:rsid w:val="004F1BDE"/>
    <w:rsid w:val="004F4A4E"/>
    <w:rsid w:val="004F4E84"/>
    <w:rsid w:val="004F6E3F"/>
    <w:rsid w:val="00500258"/>
    <w:rsid w:val="00502CC5"/>
    <w:rsid w:val="005031D0"/>
    <w:rsid w:val="00503998"/>
    <w:rsid w:val="00505A57"/>
    <w:rsid w:val="0050623B"/>
    <w:rsid w:val="00511A81"/>
    <w:rsid w:val="00512E81"/>
    <w:rsid w:val="00515E78"/>
    <w:rsid w:val="00521886"/>
    <w:rsid w:val="0052249B"/>
    <w:rsid w:val="00523181"/>
    <w:rsid w:val="005246AA"/>
    <w:rsid w:val="00524975"/>
    <w:rsid w:val="00524D13"/>
    <w:rsid w:val="00524DC9"/>
    <w:rsid w:val="00526C4E"/>
    <w:rsid w:val="00526E7D"/>
    <w:rsid w:val="0053036C"/>
    <w:rsid w:val="005339F6"/>
    <w:rsid w:val="00534B7E"/>
    <w:rsid w:val="00535C95"/>
    <w:rsid w:val="00546ACE"/>
    <w:rsid w:val="00547B81"/>
    <w:rsid w:val="00551163"/>
    <w:rsid w:val="005541CF"/>
    <w:rsid w:val="00554B6D"/>
    <w:rsid w:val="005554EE"/>
    <w:rsid w:val="00556DC0"/>
    <w:rsid w:val="00563B1A"/>
    <w:rsid w:val="00564558"/>
    <w:rsid w:val="00570D75"/>
    <w:rsid w:val="00571EC1"/>
    <w:rsid w:val="00576B18"/>
    <w:rsid w:val="0057719D"/>
    <w:rsid w:val="005803FA"/>
    <w:rsid w:val="00581787"/>
    <w:rsid w:val="00583398"/>
    <w:rsid w:val="005874CC"/>
    <w:rsid w:val="00587724"/>
    <w:rsid w:val="00591512"/>
    <w:rsid w:val="00592064"/>
    <w:rsid w:val="0059477B"/>
    <w:rsid w:val="00594A94"/>
    <w:rsid w:val="0059517D"/>
    <w:rsid w:val="005955C1"/>
    <w:rsid w:val="0059578D"/>
    <w:rsid w:val="00595FB7"/>
    <w:rsid w:val="005B1108"/>
    <w:rsid w:val="005B2D91"/>
    <w:rsid w:val="005B3816"/>
    <w:rsid w:val="005B48B4"/>
    <w:rsid w:val="005C193B"/>
    <w:rsid w:val="005C6661"/>
    <w:rsid w:val="005C6E3B"/>
    <w:rsid w:val="005D2225"/>
    <w:rsid w:val="005D2260"/>
    <w:rsid w:val="005D38A3"/>
    <w:rsid w:val="005D3985"/>
    <w:rsid w:val="005D474B"/>
    <w:rsid w:val="005D58AB"/>
    <w:rsid w:val="005E085C"/>
    <w:rsid w:val="005E147D"/>
    <w:rsid w:val="005E1D67"/>
    <w:rsid w:val="005E22C2"/>
    <w:rsid w:val="005E2A35"/>
    <w:rsid w:val="005E496E"/>
    <w:rsid w:val="005E57BB"/>
    <w:rsid w:val="005E6A06"/>
    <w:rsid w:val="005F0017"/>
    <w:rsid w:val="005F0C59"/>
    <w:rsid w:val="005F3EC5"/>
    <w:rsid w:val="005F7B00"/>
    <w:rsid w:val="006014F1"/>
    <w:rsid w:val="0060265C"/>
    <w:rsid w:val="006045EB"/>
    <w:rsid w:val="00605AD4"/>
    <w:rsid w:val="00606367"/>
    <w:rsid w:val="006065B4"/>
    <w:rsid w:val="006102C6"/>
    <w:rsid w:val="00610788"/>
    <w:rsid w:val="006112DC"/>
    <w:rsid w:val="0061357B"/>
    <w:rsid w:val="006149FA"/>
    <w:rsid w:val="00614A7D"/>
    <w:rsid w:val="006177E4"/>
    <w:rsid w:val="00620EC8"/>
    <w:rsid w:val="0062102F"/>
    <w:rsid w:val="0062118E"/>
    <w:rsid w:val="00621C17"/>
    <w:rsid w:val="0062394E"/>
    <w:rsid w:val="00625E4D"/>
    <w:rsid w:val="00627387"/>
    <w:rsid w:val="00630E57"/>
    <w:rsid w:val="00631C87"/>
    <w:rsid w:val="0063321E"/>
    <w:rsid w:val="00633735"/>
    <w:rsid w:val="00634B18"/>
    <w:rsid w:val="006358C8"/>
    <w:rsid w:val="0063631C"/>
    <w:rsid w:val="00636B7E"/>
    <w:rsid w:val="0063757B"/>
    <w:rsid w:val="006377CE"/>
    <w:rsid w:val="00640CCF"/>
    <w:rsid w:val="0064580F"/>
    <w:rsid w:val="00650B01"/>
    <w:rsid w:val="0065134D"/>
    <w:rsid w:val="00651C9B"/>
    <w:rsid w:val="006537D9"/>
    <w:rsid w:val="0065697D"/>
    <w:rsid w:val="00656AFE"/>
    <w:rsid w:val="00656B95"/>
    <w:rsid w:val="00656ECE"/>
    <w:rsid w:val="00657644"/>
    <w:rsid w:val="006625FD"/>
    <w:rsid w:val="00664410"/>
    <w:rsid w:val="00664A48"/>
    <w:rsid w:val="00665DEF"/>
    <w:rsid w:val="006677B8"/>
    <w:rsid w:val="00670426"/>
    <w:rsid w:val="00671EFF"/>
    <w:rsid w:val="006723FD"/>
    <w:rsid w:val="00675BB1"/>
    <w:rsid w:val="00676AB1"/>
    <w:rsid w:val="006775F1"/>
    <w:rsid w:val="00677C13"/>
    <w:rsid w:val="00682CE7"/>
    <w:rsid w:val="00692AA7"/>
    <w:rsid w:val="00693FCC"/>
    <w:rsid w:val="00694DA8"/>
    <w:rsid w:val="00695AE6"/>
    <w:rsid w:val="00697FEC"/>
    <w:rsid w:val="006A175F"/>
    <w:rsid w:val="006A2692"/>
    <w:rsid w:val="006A44F5"/>
    <w:rsid w:val="006B25EB"/>
    <w:rsid w:val="006B3819"/>
    <w:rsid w:val="006B4537"/>
    <w:rsid w:val="006B47E1"/>
    <w:rsid w:val="006B4D48"/>
    <w:rsid w:val="006B560A"/>
    <w:rsid w:val="006B5F85"/>
    <w:rsid w:val="006B6623"/>
    <w:rsid w:val="006B6929"/>
    <w:rsid w:val="006B709B"/>
    <w:rsid w:val="006C24F4"/>
    <w:rsid w:val="006C54AF"/>
    <w:rsid w:val="006C59D7"/>
    <w:rsid w:val="006D0BA7"/>
    <w:rsid w:val="006D4306"/>
    <w:rsid w:val="006D5BB9"/>
    <w:rsid w:val="006D6B37"/>
    <w:rsid w:val="006D772D"/>
    <w:rsid w:val="006D795B"/>
    <w:rsid w:val="006E0181"/>
    <w:rsid w:val="006E250E"/>
    <w:rsid w:val="006E69C6"/>
    <w:rsid w:val="006F1BC4"/>
    <w:rsid w:val="006F3E6E"/>
    <w:rsid w:val="00700C0E"/>
    <w:rsid w:val="00705DAD"/>
    <w:rsid w:val="00706829"/>
    <w:rsid w:val="00707D74"/>
    <w:rsid w:val="00710621"/>
    <w:rsid w:val="00710D53"/>
    <w:rsid w:val="007172B7"/>
    <w:rsid w:val="00722A37"/>
    <w:rsid w:val="007247B9"/>
    <w:rsid w:val="00724E75"/>
    <w:rsid w:val="00727D85"/>
    <w:rsid w:val="00727F64"/>
    <w:rsid w:val="00731350"/>
    <w:rsid w:val="00733DF6"/>
    <w:rsid w:val="007346C7"/>
    <w:rsid w:val="00734B23"/>
    <w:rsid w:val="00736041"/>
    <w:rsid w:val="007408C7"/>
    <w:rsid w:val="00743BCA"/>
    <w:rsid w:val="007448D4"/>
    <w:rsid w:val="007465DA"/>
    <w:rsid w:val="00746F6B"/>
    <w:rsid w:val="00752C7F"/>
    <w:rsid w:val="007556C5"/>
    <w:rsid w:val="007622DE"/>
    <w:rsid w:val="00764897"/>
    <w:rsid w:val="00770366"/>
    <w:rsid w:val="00772D83"/>
    <w:rsid w:val="00776598"/>
    <w:rsid w:val="007765EE"/>
    <w:rsid w:val="00776AF6"/>
    <w:rsid w:val="007838D6"/>
    <w:rsid w:val="00787F80"/>
    <w:rsid w:val="0079083C"/>
    <w:rsid w:val="00792948"/>
    <w:rsid w:val="007948F3"/>
    <w:rsid w:val="00795960"/>
    <w:rsid w:val="00796E84"/>
    <w:rsid w:val="00797337"/>
    <w:rsid w:val="00797424"/>
    <w:rsid w:val="007979A2"/>
    <w:rsid w:val="00797A61"/>
    <w:rsid w:val="007A0FDB"/>
    <w:rsid w:val="007A2843"/>
    <w:rsid w:val="007A36A6"/>
    <w:rsid w:val="007A3ADE"/>
    <w:rsid w:val="007A4E5B"/>
    <w:rsid w:val="007A5733"/>
    <w:rsid w:val="007A5774"/>
    <w:rsid w:val="007A598F"/>
    <w:rsid w:val="007A6317"/>
    <w:rsid w:val="007B22F2"/>
    <w:rsid w:val="007B354C"/>
    <w:rsid w:val="007B4B8C"/>
    <w:rsid w:val="007B5F71"/>
    <w:rsid w:val="007C1DF1"/>
    <w:rsid w:val="007C4BDD"/>
    <w:rsid w:val="007D0CF8"/>
    <w:rsid w:val="007D23B9"/>
    <w:rsid w:val="007D5A54"/>
    <w:rsid w:val="007D66E0"/>
    <w:rsid w:val="007D737A"/>
    <w:rsid w:val="007E047E"/>
    <w:rsid w:val="007E2B68"/>
    <w:rsid w:val="007E570F"/>
    <w:rsid w:val="007E7069"/>
    <w:rsid w:val="007E7F98"/>
    <w:rsid w:val="007F40D8"/>
    <w:rsid w:val="00801107"/>
    <w:rsid w:val="00801E74"/>
    <w:rsid w:val="00803090"/>
    <w:rsid w:val="0080416C"/>
    <w:rsid w:val="0080485E"/>
    <w:rsid w:val="00805846"/>
    <w:rsid w:val="0080632C"/>
    <w:rsid w:val="0080663A"/>
    <w:rsid w:val="0080765E"/>
    <w:rsid w:val="008142A0"/>
    <w:rsid w:val="008142B4"/>
    <w:rsid w:val="00816B9B"/>
    <w:rsid w:val="008177CB"/>
    <w:rsid w:val="00822EDA"/>
    <w:rsid w:val="008242F8"/>
    <w:rsid w:val="008306C8"/>
    <w:rsid w:val="00831A43"/>
    <w:rsid w:val="00831B64"/>
    <w:rsid w:val="00832324"/>
    <w:rsid w:val="00833E73"/>
    <w:rsid w:val="008343E4"/>
    <w:rsid w:val="00835337"/>
    <w:rsid w:val="00835E33"/>
    <w:rsid w:val="008423BF"/>
    <w:rsid w:val="00845F40"/>
    <w:rsid w:val="00846DCD"/>
    <w:rsid w:val="008479F5"/>
    <w:rsid w:val="00851D85"/>
    <w:rsid w:val="008541D4"/>
    <w:rsid w:val="008568D2"/>
    <w:rsid w:val="00856E22"/>
    <w:rsid w:val="0086041D"/>
    <w:rsid w:val="00860CCB"/>
    <w:rsid w:val="00865537"/>
    <w:rsid w:val="00866AB9"/>
    <w:rsid w:val="008731C0"/>
    <w:rsid w:val="008740A3"/>
    <w:rsid w:val="00875584"/>
    <w:rsid w:val="0088120A"/>
    <w:rsid w:val="00883600"/>
    <w:rsid w:val="00885443"/>
    <w:rsid w:val="00887393"/>
    <w:rsid w:val="0089297B"/>
    <w:rsid w:val="008930FB"/>
    <w:rsid w:val="00893F90"/>
    <w:rsid w:val="00897DE5"/>
    <w:rsid w:val="008A17E3"/>
    <w:rsid w:val="008A1FB7"/>
    <w:rsid w:val="008B1118"/>
    <w:rsid w:val="008B169D"/>
    <w:rsid w:val="008B39D0"/>
    <w:rsid w:val="008C36CA"/>
    <w:rsid w:val="008C3863"/>
    <w:rsid w:val="008C67F1"/>
    <w:rsid w:val="008D0C06"/>
    <w:rsid w:val="008D4DEB"/>
    <w:rsid w:val="008D72B5"/>
    <w:rsid w:val="008E169A"/>
    <w:rsid w:val="008E16A3"/>
    <w:rsid w:val="008E3269"/>
    <w:rsid w:val="008E3F8C"/>
    <w:rsid w:val="008F41B0"/>
    <w:rsid w:val="008F5774"/>
    <w:rsid w:val="008F614D"/>
    <w:rsid w:val="008F731C"/>
    <w:rsid w:val="00902FD0"/>
    <w:rsid w:val="00903B05"/>
    <w:rsid w:val="00904C2B"/>
    <w:rsid w:val="009053D3"/>
    <w:rsid w:val="0090691F"/>
    <w:rsid w:val="00910564"/>
    <w:rsid w:val="00910719"/>
    <w:rsid w:val="00914B3E"/>
    <w:rsid w:val="009160EE"/>
    <w:rsid w:val="009162E9"/>
    <w:rsid w:val="00916C0D"/>
    <w:rsid w:val="00920108"/>
    <w:rsid w:val="00920D6C"/>
    <w:rsid w:val="00920E97"/>
    <w:rsid w:val="00921023"/>
    <w:rsid w:val="00923225"/>
    <w:rsid w:val="00924A80"/>
    <w:rsid w:val="00924F89"/>
    <w:rsid w:val="0093111F"/>
    <w:rsid w:val="00935689"/>
    <w:rsid w:val="00936D96"/>
    <w:rsid w:val="00936F17"/>
    <w:rsid w:val="009500E1"/>
    <w:rsid w:val="0095303B"/>
    <w:rsid w:val="00960BF5"/>
    <w:rsid w:val="00961E27"/>
    <w:rsid w:val="00964580"/>
    <w:rsid w:val="009653B2"/>
    <w:rsid w:val="009663B6"/>
    <w:rsid w:val="009707A2"/>
    <w:rsid w:val="00971B9E"/>
    <w:rsid w:val="009724BC"/>
    <w:rsid w:val="00974A47"/>
    <w:rsid w:val="00980286"/>
    <w:rsid w:val="00982534"/>
    <w:rsid w:val="00982FBB"/>
    <w:rsid w:val="00990DCF"/>
    <w:rsid w:val="00997DB0"/>
    <w:rsid w:val="009A4CD6"/>
    <w:rsid w:val="009A537C"/>
    <w:rsid w:val="009A69ED"/>
    <w:rsid w:val="009B0470"/>
    <w:rsid w:val="009B542F"/>
    <w:rsid w:val="009B56F6"/>
    <w:rsid w:val="009B6B8E"/>
    <w:rsid w:val="009B72F7"/>
    <w:rsid w:val="009C0330"/>
    <w:rsid w:val="009C0886"/>
    <w:rsid w:val="009C19EE"/>
    <w:rsid w:val="009C28D0"/>
    <w:rsid w:val="009C35F2"/>
    <w:rsid w:val="009C3A85"/>
    <w:rsid w:val="009C4309"/>
    <w:rsid w:val="009C5026"/>
    <w:rsid w:val="009C57E7"/>
    <w:rsid w:val="009C6A54"/>
    <w:rsid w:val="009C7782"/>
    <w:rsid w:val="009D1BBA"/>
    <w:rsid w:val="009D1ED5"/>
    <w:rsid w:val="009D4C13"/>
    <w:rsid w:val="009E034A"/>
    <w:rsid w:val="009E19B4"/>
    <w:rsid w:val="009E21A7"/>
    <w:rsid w:val="009E2F5C"/>
    <w:rsid w:val="009E340B"/>
    <w:rsid w:val="009E4AEE"/>
    <w:rsid w:val="009E4F5E"/>
    <w:rsid w:val="009E600E"/>
    <w:rsid w:val="009F2610"/>
    <w:rsid w:val="009F2EF4"/>
    <w:rsid w:val="009F3CCD"/>
    <w:rsid w:val="009F4333"/>
    <w:rsid w:val="009F681C"/>
    <w:rsid w:val="00A001F6"/>
    <w:rsid w:val="00A0180F"/>
    <w:rsid w:val="00A02109"/>
    <w:rsid w:val="00A05234"/>
    <w:rsid w:val="00A07DAD"/>
    <w:rsid w:val="00A103ED"/>
    <w:rsid w:val="00A11F52"/>
    <w:rsid w:val="00A13C60"/>
    <w:rsid w:val="00A147C9"/>
    <w:rsid w:val="00A15134"/>
    <w:rsid w:val="00A151A3"/>
    <w:rsid w:val="00A155E7"/>
    <w:rsid w:val="00A165F5"/>
    <w:rsid w:val="00A17BA9"/>
    <w:rsid w:val="00A17E6C"/>
    <w:rsid w:val="00A220E6"/>
    <w:rsid w:val="00A2473D"/>
    <w:rsid w:val="00A316DC"/>
    <w:rsid w:val="00A31A1D"/>
    <w:rsid w:val="00A341A3"/>
    <w:rsid w:val="00A35800"/>
    <w:rsid w:val="00A42CF9"/>
    <w:rsid w:val="00A45F89"/>
    <w:rsid w:val="00A46A9F"/>
    <w:rsid w:val="00A47A82"/>
    <w:rsid w:val="00A51A9D"/>
    <w:rsid w:val="00A52296"/>
    <w:rsid w:val="00A52918"/>
    <w:rsid w:val="00A52E55"/>
    <w:rsid w:val="00A547B3"/>
    <w:rsid w:val="00A5652A"/>
    <w:rsid w:val="00A56999"/>
    <w:rsid w:val="00A57377"/>
    <w:rsid w:val="00A60303"/>
    <w:rsid w:val="00A65C88"/>
    <w:rsid w:val="00A671A0"/>
    <w:rsid w:val="00A6740B"/>
    <w:rsid w:val="00A70418"/>
    <w:rsid w:val="00A70E82"/>
    <w:rsid w:val="00A73AFD"/>
    <w:rsid w:val="00A75B57"/>
    <w:rsid w:val="00A76637"/>
    <w:rsid w:val="00A77F29"/>
    <w:rsid w:val="00A81604"/>
    <w:rsid w:val="00A84CAD"/>
    <w:rsid w:val="00A87A9E"/>
    <w:rsid w:val="00A90E50"/>
    <w:rsid w:val="00A91196"/>
    <w:rsid w:val="00A9229D"/>
    <w:rsid w:val="00A94B91"/>
    <w:rsid w:val="00A95F8D"/>
    <w:rsid w:val="00A95FA5"/>
    <w:rsid w:val="00A96D92"/>
    <w:rsid w:val="00AA7770"/>
    <w:rsid w:val="00AB08D8"/>
    <w:rsid w:val="00AB145B"/>
    <w:rsid w:val="00AB199C"/>
    <w:rsid w:val="00AB3733"/>
    <w:rsid w:val="00AB57BD"/>
    <w:rsid w:val="00AB588C"/>
    <w:rsid w:val="00AB6837"/>
    <w:rsid w:val="00AB6E2F"/>
    <w:rsid w:val="00AB6FAA"/>
    <w:rsid w:val="00AB7192"/>
    <w:rsid w:val="00AB7897"/>
    <w:rsid w:val="00AB7D4F"/>
    <w:rsid w:val="00AC2EC8"/>
    <w:rsid w:val="00AC355A"/>
    <w:rsid w:val="00AC489B"/>
    <w:rsid w:val="00AC5054"/>
    <w:rsid w:val="00AC64CF"/>
    <w:rsid w:val="00AC7A73"/>
    <w:rsid w:val="00AD3C4E"/>
    <w:rsid w:val="00AD74A4"/>
    <w:rsid w:val="00AD7618"/>
    <w:rsid w:val="00AE249C"/>
    <w:rsid w:val="00AE372A"/>
    <w:rsid w:val="00AE3ECB"/>
    <w:rsid w:val="00AE4BAC"/>
    <w:rsid w:val="00AF2972"/>
    <w:rsid w:val="00AF3E56"/>
    <w:rsid w:val="00AF69F1"/>
    <w:rsid w:val="00B01759"/>
    <w:rsid w:val="00B01A0C"/>
    <w:rsid w:val="00B034FC"/>
    <w:rsid w:val="00B05310"/>
    <w:rsid w:val="00B06E85"/>
    <w:rsid w:val="00B07481"/>
    <w:rsid w:val="00B10A0B"/>
    <w:rsid w:val="00B1182D"/>
    <w:rsid w:val="00B11AA5"/>
    <w:rsid w:val="00B140CA"/>
    <w:rsid w:val="00B1771B"/>
    <w:rsid w:val="00B20DDD"/>
    <w:rsid w:val="00B2221D"/>
    <w:rsid w:val="00B243ED"/>
    <w:rsid w:val="00B252B9"/>
    <w:rsid w:val="00B26B19"/>
    <w:rsid w:val="00B30D85"/>
    <w:rsid w:val="00B31708"/>
    <w:rsid w:val="00B35024"/>
    <w:rsid w:val="00B35641"/>
    <w:rsid w:val="00B35A4A"/>
    <w:rsid w:val="00B42753"/>
    <w:rsid w:val="00B438E7"/>
    <w:rsid w:val="00B4434E"/>
    <w:rsid w:val="00B453CF"/>
    <w:rsid w:val="00B47154"/>
    <w:rsid w:val="00B51706"/>
    <w:rsid w:val="00B553FB"/>
    <w:rsid w:val="00B56601"/>
    <w:rsid w:val="00B61176"/>
    <w:rsid w:val="00B620D6"/>
    <w:rsid w:val="00B63C28"/>
    <w:rsid w:val="00B63FD7"/>
    <w:rsid w:val="00B71772"/>
    <w:rsid w:val="00B7345C"/>
    <w:rsid w:val="00B73F90"/>
    <w:rsid w:val="00B7426E"/>
    <w:rsid w:val="00B7476B"/>
    <w:rsid w:val="00B81136"/>
    <w:rsid w:val="00B816D9"/>
    <w:rsid w:val="00B9120F"/>
    <w:rsid w:val="00B9216C"/>
    <w:rsid w:val="00B924A4"/>
    <w:rsid w:val="00B93047"/>
    <w:rsid w:val="00B940E1"/>
    <w:rsid w:val="00BA0E45"/>
    <w:rsid w:val="00BA19E0"/>
    <w:rsid w:val="00BA7923"/>
    <w:rsid w:val="00BB0D1A"/>
    <w:rsid w:val="00BB0F5E"/>
    <w:rsid w:val="00BB1D3B"/>
    <w:rsid w:val="00BB30FE"/>
    <w:rsid w:val="00BB4C39"/>
    <w:rsid w:val="00BB67D7"/>
    <w:rsid w:val="00BC2651"/>
    <w:rsid w:val="00BC35ED"/>
    <w:rsid w:val="00BC6C15"/>
    <w:rsid w:val="00BC76D0"/>
    <w:rsid w:val="00BC7A9F"/>
    <w:rsid w:val="00BD15F4"/>
    <w:rsid w:val="00BD78AD"/>
    <w:rsid w:val="00BD7D62"/>
    <w:rsid w:val="00BD7D6C"/>
    <w:rsid w:val="00BE205A"/>
    <w:rsid w:val="00BE26C2"/>
    <w:rsid w:val="00BE3802"/>
    <w:rsid w:val="00BF2122"/>
    <w:rsid w:val="00BF238E"/>
    <w:rsid w:val="00BF2F4A"/>
    <w:rsid w:val="00BF544D"/>
    <w:rsid w:val="00C0076F"/>
    <w:rsid w:val="00C01418"/>
    <w:rsid w:val="00C0301C"/>
    <w:rsid w:val="00C050B6"/>
    <w:rsid w:val="00C05E20"/>
    <w:rsid w:val="00C10F12"/>
    <w:rsid w:val="00C11180"/>
    <w:rsid w:val="00C1131A"/>
    <w:rsid w:val="00C13592"/>
    <w:rsid w:val="00C14144"/>
    <w:rsid w:val="00C15E79"/>
    <w:rsid w:val="00C164C7"/>
    <w:rsid w:val="00C2087D"/>
    <w:rsid w:val="00C21624"/>
    <w:rsid w:val="00C245EA"/>
    <w:rsid w:val="00C24947"/>
    <w:rsid w:val="00C256F6"/>
    <w:rsid w:val="00C3097E"/>
    <w:rsid w:val="00C30E6D"/>
    <w:rsid w:val="00C31B03"/>
    <w:rsid w:val="00C35ECC"/>
    <w:rsid w:val="00C361A8"/>
    <w:rsid w:val="00C37E83"/>
    <w:rsid w:val="00C41246"/>
    <w:rsid w:val="00C43A08"/>
    <w:rsid w:val="00C45E5F"/>
    <w:rsid w:val="00C46291"/>
    <w:rsid w:val="00C54767"/>
    <w:rsid w:val="00C567D0"/>
    <w:rsid w:val="00C60364"/>
    <w:rsid w:val="00C61941"/>
    <w:rsid w:val="00C6226C"/>
    <w:rsid w:val="00C63412"/>
    <w:rsid w:val="00C66380"/>
    <w:rsid w:val="00C67783"/>
    <w:rsid w:val="00C714D0"/>
    <w:rsid w:val="00C728CD"/>
    <w:rsid w:val="00C800F8"/>
    <w:rsid w:val="00C85773"/>
    <w:rsid w:val="00C90EF4"/>
    <w:rsid w:val="00CA015A"/>
    <w:rsid w:val="00CA0684"/>
    <w:rsid w:val="00CA0A38"/>
    <w:rsid w:val="00CA449A"/>
    <w:rsid w:val="00CA5F8A"/>
    <w:rsid w:val="00CB33E8"/>
    <w:rsid w:val="00CB676F"/>
    <w:rsid w:val="00CC1AA3"/>
    <w:rsid w:val="00CC2433"/>
    <w:rsid w:val="00CC2A5E"/>
    <w:rsid w:val="00CC2DFF"/>
    <w:rsid w:val="00CC3F72"/>
    <w:rsid w:val="00CC4BB1"/>
    <w:rsid w:val="00CC563B"/>
    <w:rsid w:val="00CC6912"/>
    <w:rsid w:val="00CD4486"/>
    <w:rsid w:val="00CD743D"/>
    <w:rsid w:val="00CE3368"/>
    <w:rsid w:val="00CE54FD"/>
    <w:rsid w:val="00CF0383"/>
    <w:rsid w:val="00CF5E22"/>
    <w:rsid w:val="00CF7494"/>
    <w:rsid w:val="00D02D1B"/>
    <w:rsid w:val="00D04797"/>
    <w:rsid w:val="00D068BD"/>
    <w:rsid w:val="00D06A44"/>
    <w:rsid w:val="00D13B0A"/>
    <w:rsid w:val="00D151EB"/>
    <w:rsid w:val="00D2303A"/>
    <w:rsid w:val="00D300E0"/>
    <w:rsid w:val="00D31C4F"/>
    <w:rsid w:val="00D374CD"/>
    <w:rsid w:val="00D40E93"/>
    <w:rsid w:val="00D44AC6"/>
    <w:rsid w:val="00D458DD"/>
    <w:rsid w:val="00D50469"/>
    <w:rsid w:val="00D539C8"/>
    <w:rsid w:val="00D645BA"/>
    <w:rsid w:val="00D650CE"/>
    <w:rsid w:val="00D71719"/>
    <w:rsid w:val="00D720EB"/>
    <w:rsid w:val="00D776DA"/>
    <w:rsid w:val="00D800C0"/>
    <w:rsid w:val="00D81BAC"/>
    <w:rsid w:val="00D82241"/>
    <w:rsid w:val="00D85C52"/>
    <w:rsid w:val="00D86C1F"/>
    <w:rsid w:val="00D8758B"/>
    <w:rsid w:val="00D91F65"/>
    <w:rsid w:val="00D942B3"/>
    <w:rsid w:val="00D94863"/>
    <w:rsid w:val="00D952B1"/>
    <w:rsid w:val="00D969AC"/>
    <w:rsid w:val="00DA27B1"/>
    <w:rsid w:val="00DA53AE"/>
    <w:rsid w:val="00DA6134"/>
    <w:rsid w:val="00DA7413"/>
    <w:rsid w:val="00DA75DE"/>
    <w:rsid w:val="00DA7D09"/>
    <w:rsid w:val="00DB1EBC"/>
    <w:rsid w:val="00DB4A19"/>
    <w:rsid w:val="00DB4BA9"/>
    <w:rsid w:val="00DB56DD"/>
    <w:rsid w:val="00DC11AC"/>
    <w:rsid w:val="00DC2297"/>
    <w:rsid w:val="00DC2630"/>
    <w:rsid w:val="00DC49E9"/>
    <w:rsid w:val="00DC55E4"/>
    <w:rsid w:val="00DC7D71"/>
    <w:rsid w:val="00DD188C"/>
    <w:rsid w:val="00DD1ED2"/>
    <w:rsid w:val="00DD29A3"/>
    <w:rsid w:val="00DD48EE"/>
    <w:rsid w:val="00DD6624"/>
    <w:rsid w:val="00DE0B96"/>
    <w:rsid w:val="00DE10B9"/>
    <w:rsid w:val="00DE231A"/>
    <w:rsid w:val="00DE2671"/>
    <w:rsid w:val="00DE2E2B"/>
    <w:rsid w:val="00DE6431"/>
    <w:rsid w:val="00DE6FE9"/>
    <w:rsid w:val="00DF024E"/>
    <w:rsid w:val="00DF0B13"/>
    <w:rsid w:val="00DF134B"/>
    <w:rsid w:val="00DF2EB8"/>
    <w:rsid w:val="00DF3821"/>
    <w:rsid w:val="00DF4A94"/>
    <w:rsid w:val="00DF59CC"/>
    <w:rsid w:val="00DF6003"/>
    <w:rsid w:val="00DF6AE8"/>
    <w:rsid w:val="00E00095"/>
    <w:rsid w:val="00E010AC"/>
    <w:rsid w:val="00E04418"/>
    <w:rsid w:val="00E066C3"/>
    <w:rsid w:val="00E069C8"/>
    <w:rsid w:val="00E07DBE"/>
    <w:rsid w:val="00E10D8C"/>
    <w:rsid w:val="00E1353A"/>
    <w:rsid w:val="00E1564B"/>
    <w:rsid w:val="00E17D7D"/>
    <w:rsid w:val="00E208A0"/>
    <w:rsid w:val="00E21364"/>
    <w:rsid w:val="00E215FE"/>
    <w:rsid w:val="00E23BFF"/>
    <w:rsid w:val="00E25041"/>
    <w:rsid w:val="00E25B49"/>
    <w:rsid w:val="00E338C2"/>
    <w:rsid w:val="00E371EA"/>
    <w:rsid w:val="00E528A4"/>
    <w:rsid w:val="00E52C8F"/>
    <w:rsid w:val="00E6121B"/>
    <w:rsid w:val="00E64429"/>
    <w:rsid w:val="00E677DD"/>
    <w:rsid w:val="00E67BC6"/>
    <w:rsid w:val="00E70954"/>
    <w:rsid w:val="00E70E35"/>
    <w:rsid w:val="00E7594B"/>
    <w:rsid w:val="00E806F6"/>
    <w:rsid w:val="00E82142"/>
    <w:rsid w:val="00E91BCD"/>
    <w:rsid w:val="00E923E2"/>
    <w:rsid w:val="00E94E76"/>
    <w:rsid w:val="00E9632D"/>
    <w:rsid w:val="00EA00E6"/>
    <w:rsid w:val="00EA1812"/>
    <w:rsid w:val="00EA46F9"/>
    <w:rsid w:val="00EA4D77"/>
    <w:rsid w:val="00EB12C9"/>
    <w:rsid w:val="00EB1375"/>
    <w:rsid w:val="00EB2122"/>
    <w:rsid w:val="00EB36AC"/>
    <w:rsid w:val="00EB4489"/>
    <w:rsid w:val="00EB4688"/>
    <w:rsid w:val="00EB4AC5"/>
    <w:rsid w:val="00EB5527"/>
    <w:rsid w:val="00EB5C82"/>
    <w:rsid w:val="00EB6C07"/>
    <w:rsid w:val="00EC028D"/>
    <w:rsid w:val="00EC08FB"/>
    <w:rsid w:val="00EC3F05"/>
    <w:rsid w:val="00ED4AB7"/>
    <w:rsid w:val="00ED633B"/>
    <w:rsid w:val="00EE1633"/>
    <w:rsid w:val="00EE2626"/>
    <w:rsid w:val="00EE2BBB"/>
    <w:rsid w:val="00EE2F1C"/>
    <w:rsid w:val="00EE478C"/>
    <w:rsid w:val="00EE68E7"/>
    <w:rsid w:val="00EF5921"/>
    <w:rsid w:val="00EF6EF1"/>
    <w:rsid w:val="00F01825"/>
    <w:rsid w:val="00F01D6D"/>
    <w:rsid w:val="00F0295D"/>
    <w:rsid w:val="00F04B02"/>
    <w:rsid w:val="00F052B5"/>
    <w:rsid w:val="00F05DEE"/>
    <w:rsid w:val="00F10860"/>
    <w:rsid w:val="00F1132C"/>
    <w:rsid w:val="00F15DD5"/>
    <w:rsid w:val="00F17D4B"/>
    <w:rsid w:val="00F23139"/>
    <w:rsid w:val="00F246A0"/>
    <w:rsid w:val="00F26648"/>
    <w:rsid w:val="00F26EF0"/>
    <w:rsid w:val="00F27D80"/>
    <w:rsid w:val="00F30CF3"/>
    <w:rsid w:val="00F31882"/>
    <w:rsid w:val="00F331E3"/>
    <w:rsid w:val="00F338C7"/>
    <w:rsid w:val="00F33CE8"/>
    <w:rsid w:val="00F37124"/>
    <w:rsid w:val="00F40AC3"/>
    <w:rsid w:val="00F5163F"/>
    <w:rsid w:val="00F521A6"/>
    <w:rsid w:val="00F52491"/>
    <w:rsid w:val="00F534E9"/>
    <w:rsid w:val="00F540F5"/>
    <w:rsid w:val="00F551BB"/>
    <w:rsid w:val="00F55716"/>
    <w:rsid w:val="00F56414"/>
    <w:rsid w:val="00F64BD2"/>
    <w:rsid w:val="00F65BD5"/>
    <w:rsid w:val="00F66CD5"/>
    <w:rsid w:val="00F67A9A"/>
    <w:rsid w:val="00F70F4E"/>
    <w:rsid w:val="00F72BAE"/>
    <w:rsid w:val="00F73113"/>
    <w:rsid w:val="00F75FC4"/>
    <w:rsid w:val="00F77177"/>
    <w:rsid w:val="00F77509"/>
    <w:rsid w:val="00F80360"/>
    <w:rsid w:val="00F83755"/>
    <w:rsid w:val="00F85981"/>
    <w:rsid w:val="00F87263"/>
    <w:rsid w:val="00F91532"/>
    <w:rsid w:val="00F91BA2"/>
    <w:rsid w:val="00F93725"/>
    <w:rsid w:val="00F953AB"/>
    <w:rsid w:val="00F95622"/>
    <w:rsid w:val="00F97CA3"/>
    <w:rsid w:val="00FA2E4F"/>
    <w:rsid w:val="00FA424A"/>
    <w:rsid w:val="00FA4890"/>
    <w:rsid w:val="00FA5165"/>
    <w:rsid w:val="00FA591A"/>
    <w:rsid w:val="00FB0D50"/>
    <w:rsid w:val="00FB204C"/>
    <w:rsid w:val="00FB21E8"/>
    <w:rsid w:val="00FB3D12"/>
    <w:rsid w:val="00FB40CE"/>
    <w:rsid w:val="00FB4320"/>
    <w:rsid w:val="00FB5073"/>
    <w:rsid w:val="00FB55D1"/>
    <w:rsid w:val="00FB650B"/>
    <w:rsid w:val="00FB7617"/>
    <w:rsid w:val="00FB77FA"/>
    <w:rsid w:val="00FC0BD1"/>
    <w:rsid w:val="00FC0CDF"/>
    <w:rsid w:val="00FC0F76"/>
    <w:rsid w:val="00FC3B3C"/>
    <w:rsid w:val="00FC3B4D"/>
    <w:rsid w:val="00FC3C70"/>
    <w:rsid w:val="00FC4A73"/>
    <w:rsid w:val="00FC4F8C"/>
    <w:rsid w:val="00FC559C"/>
    <w:rsid w:val="00FC68A2"/>
    <w:rsid w:val="00FC6F25"/>
    <w:rsid w:val="00FC7BA2"/>
    <w:rsid w:val="00FC7F0D"/>
    <w:rsid w:val="00FD024A"/>
    <w:rsid w:val="00FD20AD"/>
    <w:rsid w:val="00FD3F5A"/>
    <w:rsid w:val="00FD44ED"/>
    <w:rsid w:val="00FD450B"/>
    <w:rsid w:val="00FD4907"/>
    <w:rsid w:val="00FD503B"/>
    <w:rsid w:val="00FD6CB7"/>
    <w:rsid w:val="00FD7590"/>
    <w:rsid w:val="00FD7F43"/>
    <w:rsid w:val="00FE11A7"/>
    <w:rsid w:val="00FE353B"/>
    <w:rsid w:val="00FE645A"/>
    <w:rsid w:val="00FF0566"/>
    <w:rsid w:val="00FF25FA"/>
    <w:rsid w:val="00FF6102"/>
    <w:rsid w:val="00FF6ACD"/>
    <w:rsid w:val="00FF7C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qFormat/>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link w:val="TableheadingChar"/>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styleId="FollowedHyperlink">
    <w:name w:val="FollowedHyperlink"/>
    <w:basedOn w:val="DefaultParagraphFont"/>
    <w:uiPriority w:val="99"/>
    <w:semiHidden/>
    <w:unhideWhenUsed/>
    <w:rsid w:val="007E2B68"/>
    <w:rPr>
      <w:color w:val="800080" w:themeColor="followedHyperlink"/>
      <w:u w:val="single"/>
    </w:rPr>
  </w:style>
  <w:style w:type="paragraph" w:styleId="Caption">
    <w:name w:val="caption"/>
    <w:aliases w:val="Caption10,Caption Char1 Char,Caption Char Char Char,Caption Char1 Char Char Char,Caption Char Char Char Char Char,Caption Char Char1 Char,Caption Char1 Char1,Caption Char Char Char1,Caption Char Char,Caption Char1,IB Caption,Medical Caption"/>
    <w:basedOn w:val="Normal"/>
    <w:next w:val="Normal"/>
    <w:link w:val="CaptionChar"/>
    <w:unhideWhenUsed/>
    <w:qFormat/>
    <w:rsid w:val="008E3269"/>
    <w:pPr>
      <w:spacing w:line="276" w:lineRule="auto"/>
      <w:jc w:val="both"/>
    </w:pPr>
    <w:rPr>
      <w:rFonts w:ascii="Arial Narrow" w:eastAsia="SimSun" w:hAnsi="Arial Narrow" w:cs="Times New Roman"/>
      <w:b/>
      <w:bCs/>
      <w:sz w:val="20"/>
      <w:szCs w:val="18"/>
      <w:lang w:val="x-none" w:eastAsia="zh-CN"/>
    </w:rPr>
  </w:style>
  <w:style w:type="character" w:customStyle="1" w:styleId="CaptionChar">
    <w:name w:val="Caption Char"/>
    <w:aliases w:val="Caption10 Char,Caption Char1 Char Char,Caption Char Char Char Char,Caption Char1 Char Char Char Char,Caption Char Char Char Char Char Char,Caption Char Char1 Char Char,Caption Char1 Char1 Char,Caption Char Char Char1 Char,IB Caption Char"/>
    <w:link w:val="Caption"/>
    <w:rsid w:val="008E3269"/>
    <w:rPr>
      <w:rFonts w:ascii="Arial Narrow" w:eastAsia="SimSun" w:hAnsi="Arial Narrow" w:cs="Times New Roman"/>
      <w:b/>
      <w:bCs/>
      <w:sz w:val="20"/>
      <w:szCs w:val="18"/>
      <w:lang w:val="x-none" w:eastAsia="zh-CN"/>
    </w:rPr>
  </w:style>
  <w:style w:type="paragraph" w:customStyle="1" w:styleId="Tabletext">
    <w:name w:val="Table text"/>
    <w:basedOn w:val="Normal"/>
    <w:qFormat/>
    <w:rsid w:val="008E3269"/>
    <w:pPr>
      <w:keepNext/>
      <w:spacing w:before="60" w:after="40"/>
    </w:pPr>
    <w:rPr>
      <w:rFonts w:ascii="Arial Narrow" w:eastAsia="Times New Roman" w:hAnsi="Arial Narrow" w:cs="Times New Roman"/>
      <w:sz w:val="20"/>
      <w:szCs w:val="20"/>
      <w:lang w:eastAsia="en-US"/>
    </w:rPr>
  </w:style>
  <w:style w:type="character" w:customStyle="1" w:styleId="TableheadingChar">
    <w:name w:val="Table heading Char"/>
    <w:link w:val="Tableheading"/>
    <w:rsid w:val="008E3269"/>
    <w:rPr>
      <w:rFonts w:cs="Calibri"/>
      <w:b/>
      <w:sz w:val="24"/>
      <w:szCs w:val="24"/>
    </w:rPr>
  </w:style>
  <w:style w:type="paragraph" w:customStyle="1" w:styleId="NormalPBAC">
    <w:name w:val="Normal PBAC"/>
    <w:basedOn w:val="Normal"/>
    <w:link w:val="NormalPBACChar"/>
    <w:qFormat/>
    <w:rsid w:val="00920D6C"/>
    <w:pPr>
      <w:spacing w:after="240" w:line="276" w:lineRule="auto"/>
    </w:pPr>
    <w:rPr>
      <w:rFonts w:ascii="Arial Narrow" w:eastAsia="Times New Roman" w:hAnsi="Arial Narrow" w:cs="Times New Roman"/>
      <w:sz w:val="22"/>
      <w:lang w:eastAsia="en-US"/>
    </w:rPr>
  </w:style>
  <w:style w:type="character" w:customStyle="1" w:styleId="NormalPBACChar">
    <w:name w:val="Normal PBAC Char"/>
    <w:basedOn w:val="DefaultParagraphFont"/>
    <w:link w:val="NormalPBAC"/>
    <w:rsid w:val="00920D6C"/>
    <w:rPr>
      <w:rFonts w:ascii="Arial Narrow" w:eastAsia="Times New Roman" w:hAnsi="Arial Narrow" w:cs="Times New Roman"/>
      <w:szCs w:val="24"/>
      <w:lang w:eastAsia="en-US"/>
    </w:rPr>
  </w:style>
  <w:style w:type="character" w:styleId="LineNumber">
    <w:name w:val="line number"/>
    <w:basedOn w:val="DefaultParagraphFont"/>
    <w:uiPriority w:val="99"/>
    <w:semiHidden/>
    <w:unhideWhenUsed/>
    <w:rsid w:val="00A151A3"/>
  </w:style>
  <w:style w:type="paragraph" w:styleId="EndnoteText">
    <w:name w:val="endnote text"/>
    <w:basedOn w:val="Normal"/>
    <w:link w:val="EndnoteTextChar"/>
    <w:uiPriority w:val="99"/>
    <w:semiHidden/>
    <w:unhideWhenUsed/>
    <w:rsid w:val="001A2864"/>
    <w:pPr>
      <w:spacing w:after="0"/>
    </w:pPr>
    <w:rPr>
      <w:sz w:val="20"/>
      <w:szCs w:val="20"/>
    </w:rPr>
  </w:style>
  <w:style w:type="character" w:customStyle="1" w:styleId="EndnoteTextChar">
    <w:name w:val="Endnote Text Char"/>
    <w:basedOn w:val="DefaultParagraphFont"/>
    <w:link w:val="EndnoteText"/>
    <w:uiPriority w:val="99"/>
    <w:semiHidden/>
    <w:rsid w:val="001A2864"/>
    <w:rPr>
      <w:sz w:val="20"/>
      <w:szCs w:val="20"/>
    </w:rPr>
  </w:style>
  <w:style w:type="character" w:styleId="EndnoteReference">
    <w:name w:val="endnote reference"/>
    <w:basedOn w:val="DefaultParagraphFont"/>
    <w:uiPriority w:val="99"/>
    <w:semiHidden/>
    <w:unhideWhenUsed/>
    <w:rsid w:val="001A2864"/>
    <w:rPr>
      <w:vertAlign w:val="superscript"/>
    </w:rPr>
  </w:style>
  <w:style w:type="paragraph" w:styleId="Revision">
    <w:name w:val="Revision"/>
    <w:hidden/>
    <w:uiPriority w:val="99"/>
    <w:semiHidden/>
    <w:rsid w:val="002B65D9"/>
    <w:pPr>
      <w:spacing w:after="0" w:line="240" w:lineRule="auto"/>
    </w:pPr>
    <w:rPr>
      <w:sz w:val="24"/>
      <w:szCs w:val="24"/>
    </w:rPr>
  </w:style>
  <w:style w:type="character" w:styleId="Emphasis">
    <w:name w:val="Emphasis"/>
    <w:basedOn w:val="DefaultParagraphFont"/>
    <w:uiPriority w:val="20"/>
    <w:qFormat/>
    <w:rsid w:val="00E67BC6"/>
    <w:rPr>
      <w:i/>
      <w:iCs/>
    </w:rPr>
  </w:style>
  <w:style w:type="paragraph" w:styleId="NormalWeb">
    <w:name w:val="Normal (Web)"/>
    <w:basedOn w:val="Normal"/>
    <w:uiPriority w:val="99"/>
    <w:unhideWhenUsed/>
    <w:rsid w:val="00924F8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8612">
      <w:bodyDiv w:val="1"/>
      <w:marLeft w:val="0"/>
      <w:marRight w:val="0"/>
      <w:marTop w:val="0"/>
      <w:marBottom w:val="0"/>
      <w:divBdr>
        <w:top w:val="none" w:sz="0" w:space="0" w:color="auto"/>
        <w:left w:val="none" w:sz="0" w:space="0" w:color="auto"/>
        <w:bottom w:val="none" w:sz="0" w:space="0" w:color="auto"/>
        <w:right w:val="none" w:sz="0" w:space="0" w:color="auto"/>
      </w:divBdr>
    </w:div>
    <w:div w:id="224802924">
      <w:bodyDiv w:val="1"/>
      <w:marLeft w:val="0"/>
      <w:marRight w:val="0"/>
      <w:marTop w:val="0"/>
      <w:marBottom w:val="0"/>
      <w:divBdr>
        <w:top w:val="none" w:sz="0" w:space="0" w:color="auto"/>
        <w:left w:val="none" w:sz="0" w:space="0" w:color="auto"/>
        <w:bottom w:val="none" w:sz="0" w:space="0" w:color="auto"/>
        <w:right w:val="none" w:sz="0" w:space="0" w:color="auto"/>
      </w:divBdr>
    </w:div>
    <w:div w:id="277611169">
      <w:bodyDiv w:val="1"/>
      <w:marLeft w:val="0"/>
      <w:marRight w:val="0"/>
      <w:marTop w:val="0"/>
      <w:marBottom w:val="0"/>
      <w:divBdr>
        <w:top w:val="none" w:sz="0" w:space="0" w:color="auto"/>
        <w:left w:val="none" w:sz="0" w:space="0" w:color="auto"/>
        <w:bottom w:val="none" w:sz="0" w:space="0" w:color="auto"/>
        <w:right w:val="none" w:sz="0" w:space="0" w:color="auto"/>
      </w:divBdr>
    </w:div>
    <w:div w:id="287859733">
      <w:bodyDiv w:val="1"/>
      <w:marLeft w:val="0"/>
      <w:marRight w:val="0"/>
      <w:marTop w:val="0"/>
      <w:marBottom w:val="0"/>
      <w:divBdr>
        <w:top w:val="none" w:sz="0" w:space="0" w:color="auto"/>
        <w:left w:val="none" w:sz="0" w:space="0" w:color="auto"/>
        <w:bottom w:val="none" w:sz="0" w:space="0" w:color="auto"/>
        <w:right w:val="none" w:sz="0" w:space="0" w:color="auto"/>
      </w:divBdr>
    </w:div>
    <w:div w:id="384840713">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642464137">
      <w:bodyDiv w:val="1"/>
      <w:marLeft w:val="0"/>
      <w:marRight w:val="0"/>
      <w:marTop w:val="0"/>
      <w:marBottom w:val="0"/>
      <w:divBdr>
        <w:top w:val="none" w:sz="0" w:space="0" w:color="auto"/>
        <w:left w:val="none" w:sz="0" w:space="0" w:color="auto"/>
        <w:bottom w:val="none" w:sz="0" w:space="0" w:color="auto"/>
        <w:right w:val="none" w:sz="0" w:space="0" w:color="auto"/>
      </w:divBdr>
    </w:div>
    <w:div w:id="899485927">
      <w:bodyDiv w:val="1"/>
      <w:marLeft w:val="0"/>
      <w:marRight w:val="0"/>
      <w:marTop w:val="0"/>
      <w:marBottom w:val="0"/>
      <w:divBdr>
        <w:top w:val="none" w:sz="0" w:space="0" w:color="auto"/>
        <w:left w:val="none" w:sz="0" w:space="0" w:color="auto"/>
        <w:bottom w:val="none" w:sz="0" w:space="0" w:color="auto"/>
        <w:right w:val="none" w:sz="0" w:space="0" w:color="auto"/>
      </w:divBdr>
    </w:div>
    <w:div w:id="1092124017">
      <w:bodyDiv w:val="1"/>
      <w:marLeft w:val="0"/>
      <w:marRight w:val="0"/>
      <w:marTop w:val="0"/>
      <w:marBottom w:val="0"/>
      <w:divBdr>
        <w:top w:val="none" w:sz="0" w:space="0" w:color="auto"/>
        <w:left w:val="none" w:sz="0" w:space="0" w:color="auto"/>
        <w:bottom w:val="none" w:sz="0" w:space="0" w:color="auto"/>
        <w:right w:val="none" w:sz="0" w:space="0" w:color="auto"/>
      </w:divBdr>
    </w:div>
    <w:div w:id="1096827770">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33794678">
      <w:bodyDiv w:val="1"/>
      <w:marLeft w:val="0"/>
      <w:marRight w:val="0"/>
      <w:marTop w:val="0"/>
      <w:marBottom w:val="0"/>
      <w:divBdr>
        <w:top w:val="none" w:sz="0" w:space="0" w:color="auto"/>
        <w:left w:val="none" w:sz="0" w:space="0" w:color="auto"/>
        <w:bottom w:val="none" w:sz="0" w:space="0" w:color="auto"/>
        <w:right w:val="none" w:sz="0" w:space="0" w:color="auto"/>
      </w:divBdr>
    </w:div>
    <w:div w:id="1179193400">
      <w:bodyDiv w:val="1"/>
      <w:marLeft w:val="0"/>
      <w:marRight w:val="0"/>
      <w:marTop w:val="0"/>
      <w:marBottom w:val="0"/>
      <w:divBdr>
        <w:top w:val="none" w:sz="0" w:space="0" w:color="auto"/>
        <w:left w:val="none" w:sz="0" w:space="0" w:color="auto"/>
        <w:bottom w:val="none" w:sz="0" w:space="0" w:color="auto"/>
        <w:right w:val="none" w:sz="0" w:space="0" w:color="auto"/>
      </w:divBdr>
    </w:div>
    <w:div w:id="1357151970">
      <w:bodyDiv w:val="1"/>
      <w:marLeft w:val="0"/>
      <w:marRight w:val="0"/>
      <w:marTop w:val="0"/>
      <w:marBottom w:val="0"/>
      <w:divBdr>
        <w:top w:val="none" w:sz="0" w:space="0" w:color="auto"/>
        <w:left w:val="none" w:sz="0" w:space="0" w:color="auto"/>
        <w:bottom w:val="none" w:sz="0" w:space="0" w:color="auto"/>
        <w:right w:val="none" w:sz="0" w:space="0" w:color="auto"/>
      </w:divBdr>
    </w:div>
    <w:div w:id="1869218372">
      <w:bodyDiv w:val="1"/>
      <w:marLeft w:val="0"/>
      <w:marRight w:val="0"/>
      <w:marTop w:val="0"/>
      <w:marBottom w:val="0"/>
      <w:divBdr>
        <w:top w:val="none" w:sz="0" w:space="0" w:color="auto"/>
        <w:left w:val="none" w:sz="0" w:space="0" w:color="auto"/>
        <w:bottom w:val="none" w:sz="0" w:space="0" w:color="auto"/>
        <w:right w:val="none" w:sz="0" w:space="0" w:color="auto"/>
      </w:divBdr>
    </w:div>
    <w:div w:id="20956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bs.gov.au/info/industry/listing/elements/pbac-meetings/psd/2012-11/sapropterin"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pbs.gov.au/pbs/industry/listing/elements/pbac-meetings/psd/2012-07/sapropterin"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bs.gov.au/info/industry/listing/elements/pbac-meetings/psd/2011-11/pbac-psd-sapropterin-nov11" TargetMode="External"/><Relationship Id="rId20" Type="http://schemas.openxmlformats.org/officeDocument/2006/relationships/image" Target="media/image1.png"/><Relationship Id="rId29" Type="http://schemas.openxmlformats.org/officeDocument/2006/relationships/hyperlink" Target="https://www.acmg.net//PDFLibrary/Phenylalanine-Hydroxylase-Deficiency-Diagnosis-Manag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hyperlink" Target="https://www.hgsa.org.au/documents/item/6357" TargetMode="External"/><Relationship Id="rId5" Type="http://schemas.openxmlformats.org/officeDocument/2006/relationships/webSettings" Target="webSettings.xml"/><Relationship Id="rId15" Type="http://schemas.openxmlformats.org/officeDocument/2006/relationships/hyperlink" Target="file:///\\central.health\DFSGroupData\Sites\CO1\CO\PBD\PEB\EVAL\DUSC\DUSC%20Documents\Predicted%20vs%20actual%20usage\pbs.gov.au" TargetMode="External"/><Relationship Id="rId23" Type="http://schemas.openxmlformats.org/officeDocument/2006/relationships/image" Target="media/image2.png"/><Relationship Id="rId28" Type="http://schemas.openxmlformats.org/officeDocument/2006/relationships/hyperlink" Target="https://www.mdda.org.au/wp-content/uploads/2016/02/ASIEM-Phenylketonuria-PKU-Handbook-.pdf" TargetMode="External"/><Relationship Id="rId10" Type="http://schemas.openxmlformats.org/officeDocument/2006/relationships/footer" Target="footer1.xml"/><Relationship Id="rId19" Type="http://schemas.openxmlformats.org/officeDocument/2006/relationships/hyperlink" Target="http://www.pbs.gov.au/industry/listing/elements/pbac-meetings/psd/2018-11/files/sapropterin-psd-november-2018.pdf" TargetMode="External"/><Relationship Id="rId31" Type="http://schemas.openxmlformats.org/officeDocument/2006/relationships/hyperlink" Target="https://www.mdda.org.au/wp-content/uploads/2017/10/Australasian-BH4-Guidelines-Document-ASIEM-Endorsed-06.09.2017.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bs.gov.au/medicine/item/10086W-10087X" TargetMode="External"/><Relationship Id="rId22" Type="http://schemas.openxmlformats.org/officeDocument/2006/relationships/chart" Target="charts/chart2.xml"/><Relationship Id="rId27" Type="http://schemas.openxmlformats.org/officeDocument/2006/relationships/hyperlink" Target="https://www.ebs.tga.gov.au" TargetMode="External"/><Relationship Id="rId30" Type="http://schemas.openxmlformats.org/officeDocument/2006/relationships/hyperlink" Target="http://www.pbs.gov.au/info/industry/listing/elements/pbac-meetings/psd/2012-11/sapropteri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bs.gov.au/info/industry/listing/elements/pbac-meetings/psd/2012-11/sapropterin" TargetMode="External"/><Relationship Id="rId2" Type="http://schemas.openxmlformats.org/officeDocument/2006/relationships/hyperlink" Target="https://www.acmg.net//PDFLibrary/Phenylalanine-Hydroxylase-Deficiency-Diagnosis-Management.pdf" TargetMode="External"/><Relationship Id="rId1" Type="http://schemas.openxmlformats.org/officeDocument/2006/relationships/hyperlink" Target="https://www.mdda.org.au/wp-content/uploads/2016/02/ASIEM-Phenylketonuria-PKU-Handbook-.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UserEnv\Users\User_25\siaoch\Desktop\DUSC%20Reports\Sapropterin\Sapropterin%20scripts%20and%20prev%20patien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entral.health\DFSApps\ServerApps\Staging\DUSC\DUSC%20Database\Data%20Requests\Requests%202019\D1151%20-%20sapropterin\PAT_SUMMARY_QTY_GENDER_AG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25\siaoch\Desktop\DUSC%20Reports\Sapropterin\Sapropterin%20length%20of%20treatment%20scripts%20per%20yea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MARKET_SUMMARY!$G$1</c:f>
              <c:strCache>
                <c:ptCount val="1"/>
                <c:pt idx="0">
                  <c:v>scripts</c:v>
                </c:pt>
              </c:strCache>
            </c:strRef>
          </c:tx>
          <c:spPr>
            <a:ln w="28575" cap="rnd">
              <a:solidFill>
                <a:schemeClr val="accent1"/>
              </a:solidFill>
              <a:round/>
            </a:ln>
            <a:effectLst/>
          </c:spPr>
          <c:marker>
            <c:symbol val="none"/>
          </c:marker>
          <c:cat>
            <c:strRef>
              <c:f>MARKET_SUMMARY!$F$2:$F$58</c:f>
              <c:strCache>
                <c:ptCount val="57"/>
                <c:pt idx="0">
                  <c:v>201406</c:v>
                </c:pt>
                <c:pt idx="1">
                  <c:v>201407</c:v>
                </c:pt>
                <c:pt idx="2">
                  <c:v>201408</c:v>
                </c:pt>
                <c:pt idx="3">
                  <c:v>201409</c:v>
                </c:pt>
                <c:pt idx="4">
                  <c:v>201410</c:v>
                </c:pt>
                <c:pt idx="5">
                  <c:v>201411</c:v>
                </c:pt>
                <c:pt idx="6">
                  <c:v>201412</c:v>
                </c:pt>
                <c:pt idx="7">
                  <c:v>201501</c:v>
                </c:pt>
                <c:pt idx="8">
                  <c:v>201502</c:v>
                </c:pt>
                <c:pt idx="9">
                  <c:v>201503</c:v>
                </c:pt>
                <c:pt idx="10">
                  <c:v>201504</c:v>
                </c:pt>
                <c:pt idx="11">
                  <c:v>201505</c:v>
                </c:pt>
                <c:pt idx="12">
                  <c:v>201506</c:v>
                </c:pt>
                <c:pt idx="13">
                  <c:v>201507</c:v>
                </c:pt>
                <c:pt idx="14">
                  <c:v>201508</c:v>
                </c:pt>
                <c:pt idx="15">
                  <c:v>201509</c:v>
                </c:pt>
                <c:pt idx="16">
                  <c:v>201510</c:v>
                </c:pt>
                <c:pt idx="17">
                  <c:v>201511</c:v>
                </c:pt>
                <c:pt idx="18">
                  <c:v>201512</c:v>
                </c:pt>
                <c:pt idx="19">
                  <c:v>201601</c:v>
                </c:pt>
                <c:pt idx="20">
                  <c:v>201602</c:v>
                </c:pt>
                <c:pt idx="21">
                  <c:v>201603</c:v>
                </c:pt>
                <c:pt idx="22">
                  <c:v>201604</c:v>
                </c:pt>
                <c:pt idx="23">
                  <c:v>201605</c:v>
                </c:pt>
                <c:pt idx="24">
                  <c:v>201606</c:v>
                </c:pt>
                <c:pt idx="25">
                  <c:v>201607</c:v>
                </c:pt>
                <c:pt idx="26">
                  <c:v>201608</c:v>
                </c:pt>
                <c:pt idx="27">
                  <c:v>201609</c:v>
                </c:pt>
                <c:pt idx="28">
                  <c:v>201610</c:v>
                </c:pt>
                <c:pt idx="29">
                  <c:v>201611</c:v>
                </c:pt>
                <c:pt idx="30">
                  <c:v>201612</c:v>
                </c:pt>
                <c:pt idx="31">
                  <c:v>201701</c:v>
                </c:pt>
                <c:pt idx="32">
                  <c:v>201702</c:v>
                </c:pt>
                <c:pt idx="33">
                  <c:v>201703</c:v>
                </c:pt>
                <c:pt idx="34">
                  <c:v>201704</c:v>
                </c:pt>
                <c:pt idx="35">
                  <c:v>201705</c:v>
                </c:pt>
                <c:pt idx="36">
                  <c:v>201706</c:v>
                </c:pt>
                <c:pt idx="37">
                  <c:v>201707</c:v>
                </c:pt>
                <c:pt idx="38">
                  <c:v>201708</c:v>
                </c:pt>
                <c:pt idx="39">
                  <c:v>201709</c:v>
                </c:pt>
                <c:pt idx="40">
                  <c:v>201710</c:v>
                </c:pt>
                <c:pt idx="41">
                  <c:v>201711</c:v>
                </c:pt>
                <c:pt idx="42">
                  <c:v>201712</c:v>
                </c:pt>
                <c:pt idx="43">
                  <c:v>201801</c:v>
                </c:pt>
                <c:pt idx="44">
                  <c:v>201802</c:v>
                </c:pt>
                <c:pt idx="45">
                  <c:v>201803</c:v>
                </c:pt>
                <c:pt idx="46">
                  <c:v>201804</c:v>
                </c:pt>
                <c:pt idx="47">
                  <c:v>201805</c:v>
                </c:pt>
                <c:pt idx="48">
                  <c:v>201806</c:v>
                </c:pt>
                <c:pt idx="49">
                  <c:v>201807</c:v>
                </c:pt>
                <c:pt idx="50">
                  <c:v>201808</c:v>
                </c:pt>
                <c:pt idx="51">
                  <c:v>201809</c:v>
                </c:pt>
                <c:pt idx="52">
                  <c:v>201810</c:v>
                </c:pt>
                <c:pt idx="53">
                  <c:v>201811</c:v>
                </c:pt>
                <c:pt idx="54">
                  <c:v>201812</c:v>
                </c:pt>
                <c:pt idx="55">
                  <c:v>201901</c:v>
                </c:pt>
                <c:pt idx="56">
                  <c:v>201902</c:v>
                </c:pt>
              </c:strCache>
            </c:strRef>
          </c:cat>
          <c:val>
            <c:numRef>
              <c:f>MARKET_SUMMARY!$G$2:$G$58</c:f>
              <c:numCache>
                <c:formatCode>General</c:formatCode>
                <c:ptCount val="57"/>
                <c:pt idx="0">
                  <c:v>5</c:v>
                </c:pt>
                <c:pt idx="1">
                  <c:v>5</c:v>
                </c:pt>
                <c:pt idx="2">
                  <c:v>5</c:v>
                </c:pt>
                <c:pt idx="3">
                  <c:v>5</c:v>
                </c:pt>
                <c:pt idx="4">
                  <c:v>5</c:v>
                </c:pt>
                <c:pt idx="5">
                  <c:v>9</c:v>
                </c:pt>
                <c:pt idx="6">
                  <c:v>13</c:v>
                </c:pt>
                <c:pt idx="7">
                  <c:v>13</c:v>
                </c:pt>
                <c:pt idx="8">
                  <c:v>10</c:v>
                </c:pt>
                <c:pt idx="9">
                  <c:v>15</c:v>
                </c:pt>
                <c:pt idx="10">
                  <c:v>11</c:v>
                </c:pt>
                <c:pt idx="11">
                  <c:v>12</c:v>
                </c:pt>
                <c:pt idx="12">
                  <c:v>15</c:v>
                </c:pt>
                <c:pt idx="13">
                  <c:v>17</c:v>
                </c:pt>
                <c:pt idx="14">
                  <c:v>18</c:v>
                </c:pt>
                <c:pt idx="15">
                  <c:v>13</c:v>
                </c:pt>
                <c:pt idx="16">
                  <c:v>18</c:v>
                </c:pt>
                <c:pt idx="17">
                  <c:v>17</c:v>
                </c:pt>
                <c:pt idx="18">
                  <c:v>24</c:v>
                </c:pt>
                <c:pt idx="19">
                  <c:v>12</c:v>
                </c:pt>
                <c:pt idx="20">
                  <c:v>18</c:v>
                </c:pt>
                <c:pt idx="21">
                  <c:v>18</c:v>
                </c:pt>
                <c:pt idx="22">
                  <c:v>15</c:v>
                </c:pt>
                <c:pt idx="23">
                  <c:v>20</c:v>
                </c:pt>
                <c:pt idx="24">
                  <c:v>22</c:v>
                </c:pt>
                <c:pt idx="25">
                  <c:v>11</c:v>
                </c:pt>
                <c:pt idx="26">
                  <c:v>21</c:v>
                </c:pt>
                <c:pt idx="27">
                  <c:v>19</c:v>
                </c:pt>
                <c:pt idx="28">
                  <c:v>19</c:v>
                </c:pt>
                <c:pt idx="29">
                  <c:v>22</c:v>
                </c:pt>
                <c:pt idx="30">
                  <c:v>22</c:v>
                </c:pt>
                <c:pt idx="31">
                  <c:v>19</c:v>
                </c:pt>
                <c:pt idx="32">
                  <c:v>16</c:v>
                </c:pt>
                <c:pt idx="33">
                  <c:v>23</c:v>
                </c:pt>
                <c:pt idx="34">
                  <c:v>27</c:v>
                </c:pt>
                <c:pt idx="35">
                  <c:v>23</c:v>
                </c:pt>
                <c:pt idx="36">
                  <c:v>23</c:v>
                </c:pt>
                <c:pt idx="37">
                  <c:v>26</c:v>
                </c:pt>
                <c:pt idx="38">
                  <c:v>25</c:v>
                </c:pt>
                <c:pt idx="39">
                  <c:v>25</c:v>
                </c:pt>
                <c:pt idx="40">
                  <c:v>24</c:v>
                </c:pt>
                <c:pt idx="41">
                  <c:v>24</c:v>
                </c:pt>
                <c:pt idx="42">
                  <c:v>31</c:v>
                </c:pt>
                <c:pt idx="43">
                  <c:v>27</c:v>
                </c:pt>
                <c:pt idx="44">
                  <c:v>26</c:v>
                </c:pt>
                <c:pt idx="45">
                  <c:v>31</c:v>
                </c:pt>
                <c:pt idx="46">
                  <c:v>25</c:v>
                </c:pt>
                <c:pt idx="47">
                  <c:v>20</c:v>
                </c:pt>
                <c:pt idx="48">
                  <c:v>27</c:v>
                </c:pt>
                <c:pt idx="49">
                  <c:v>37</c:v>
                </c:pt>
                <c:pt idx="50">
                  <c:v>25</c:v>
                </c:pt>
                <c:pt idx="51">
                  <c:v>34</c:v>
                </c:pt>
                <c:pt idx="52">
                  <c:v>31</c:v>
                </c:pt>
                <c:pt idx="53">
                  <c:v>23</c:v>
                </c:pt>
                <c:pt idx="54">
                  <c:v>30</c:v>
                </c:pt>
                <c:pt idx="55">
                  <c:v>26</c:v>
                </c:pt>
                <c:pt idx="56">
                  <c:v>25</c:v>
                </c:pt>
              </c:numCache>
            </c:numRef>
          </c:val>
          <c:smooth val="0"/>
          <c:extLst>
            <c:ext xmlns:c16="http://schemas.microsoft.com/office/drawing/2014/chart" uri="{C3380CC4-5D6E-409C-BE32-E72D297353CC}">
              <c16:uniqueId val="{00000000-2EA0-4FBB-914E-2D97A89B3B42}"/>
            </c:ext>
          </c:extLst>
        </c:ser>
        <c:dLbls>
          <c:showLegendKey val="0"/>
          <c:showVal val="0"/>
          <c:showCatName val="0"/>
          <c:showSerName val="0"/>
          <c:showPercent val="0"/>
          <c:showBubbleSize val="0"/>
        </c:dLbls>
        <c:smooth val="0"/>
        <c:axId val="997693016"/>
        <c:axId val="997695312"/>
      </c:lineChart>
      <c:catAx>
        <c:axId val="997693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a:t>
                </a:r>
                <a:r>
                  <a:rPr lang="en-AU" baseline="0"/>
                  <a:t> by month</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695312"/>
        <c:crosses val="autoZero"/>
        <c:auto val="1"/>
        <c:lblAlgn val="ctr"/>
        <c:lblOffset val="100"/>
        <c:noMultiLvlLbl val="0"/>
      </c:catAx>
      <c:valAx>
        <c:axId val="997695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7693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'[PAT_SUMMARY_QTY_GENDER_AGE plus GRAPH.xlsx]PAT_SUMMARY_QTY_GENDER_AGE'!$B$14</c:f>
              <c:strCache>
                <c:ptCount val="1"/>
                <c:pt idx="0">
                  <c:v>Mean age (Male)</c:v>
                </c:pt>
              </c:strCache>
            </c:strRef>
          </c:tx>
          <c:spPr>
            <a:solidFill>
              <a:schemeClr val="accent1"/>
            </a:solidFill>
            <a:ln>
              <a:noFill/>
            </a:ln>
            <a:effectLst/>
          </c:spPr>
          <c:invertIfNegative val="0"/>
          <c:cat>
            <c:strRef>
              <c:f>'[PAT_SUMMARY_QTY_GENDER_AGE plus GRAPH.xlsx]PAT_SUMMARY_QTY_GENDER_AGE'!$A$15:$A$19</c:f>
              <c:strCache>
                <c:ptCount val="5"/>
                <c:pt idx="0">
                  <c:v>YEAR 1</c:v>
                </c:pt>
                <c:pt idx="1">
                  <c:v>YEAR 2</c:v>
                </c:pt>
                <c:pt idx="2">
                  <c:v>YEAR 3</c:v>
                </c:pt>
                <c:pt idx="3">
                  <c:v>YEAR 4</c:v>
                </c:pt>
                <c:pt idx="4">
                  <c:v>YEAR 5</c:v>
                </c:pt>
              </c:strCache>
            </c:strRef>
          </c:cat>
          <c:val>
            <c:numRef>
              <c:f>'[PAT_SUMMARY_QTY_GENDER_AGE plus GRAPH.xlsx]PAT_SUMMARY_QTY_GENDER_AGE'!$B$15:$B$19</c:f>
              <c:numCache>
                <c:formatCode>General</c:formatCode>
                <c:ptCount val="5"/>
                <c:pt idx="0">
                  <c:v>15.448275862069</c:v>
                </c:pt>
                <c:pt idx="1">
                  <c:v>15.0793650793651</c:v>
                </c:pt>
                <c:pt idx="2">
                  <c:v>15.2417582417582</c:v>
                </c:pt>
                <c:pt idx="3">
                  <c:v>13.587786259542</c:v>
                </c:pt>
                <c:pt idx="4">
                  <c:v>13.886178861788601</c:v>
                </c:pt>
              </c:numCache>
            </c:numRef>
          </c:val>
          <c:extLst>
            <c:ext xmlns:c16="http://schemas.microsoft.com/office/drawing/2014/chart" uri="{C3380CC4-5D6E-409C-BE32-E72D297353CC}">
              <c16:uniqueId val="{00000000-AD89-4090-8BFB-85BF733FAEBA}"/>
            </c:ext>
          </c:extLst>
        </c:ser>
        <c:ser>
          <c:idx val="1"/>
          <c:order val="1"/>
          <c:tx>
            <c:strRef>
              <c:f>'[PAT_SUMMARY_QTY_GENDER_AGE plus GRAPH.xlsx]PAT_SUMMARY_QTY_GENDER_AGE'!$C$14</c:f>
              <c:strCache>
                <c:ptCount val="1"/>
                <c:pt idx="0">
                  <c:v>Mean age (Female)</c:v>
                </c:pt>
              </c:strCache>
            </c:strRef>
          </c:tx>
          <c:spPr>
            <a:solidFill>
              <a:schemeClr val="accent2"/>
            </a:solidFill>
            <a:ln>
              <a:noFill/>
            </a:ln>
            <a:effectLst/>
          </c:spPr>
          <c:invertIfNegative val="0"/>
          <c:cat>
            <c:strRef>
              <c:f>'[PAT_SUMMARY_QTY_GENDER_AGE plus GRAPH.xlsx]PAT_SUMMARY_QTY_GENDER_AGE'!$A$15:$A$19</c:f>
              <c:strCache>
                <c:ptCount val="5"/>
                <c:pt idx="0">
                  <c:v>YEAR 1</c:v>
                </c:pt>
                <c:pt idx="1">
                  <c:v>YEAR 2</c:v>
                </c:pt>
                <c:pt idx="2">
                  <c:v>YEAR 3</c:v>
                </c:pt>
                <c:pt idx="3">
                  <c:v>YEAR 4</c:v>
                </c:pt>
                <c:pt idx="4">
                  <c:v>YEAR 5</c:v>
                </c:pt>
              </c:strCache>
            </c:strRef>
          </c:cat>
          <c:val>
            <c:numRef>
              <c:f>'[PAT_SUMMARY_QTY_GENDER_AGE plus GRAPH.xlsx]PAT_SUMMARY_QTY_GENDER_AGE'!$C$15:$C$19</c:f>
              <c:numCache>
                <c:formatCode>General</c:formatCode>
                <c:ptCount val="5"/>
                <c:pt idx="0">
                  <c:v>9.9423076923076898</c:v>
                </c:pt>
                <c:pt idx="1">
                  <c:v>11.791044776119399</c:v>
                </c:pt>
                <c:pt idx="2">
                  <c:v>12.8333333333333</c:v>
                </c:pt>
                <c:pt idx="3">
                  <c:v>12.9497206703911</c:v>
                </c:pt>
                <c:pt idx="4">
                  <c:v>13.6012658227848</c:v>
                </c:pt>
              </c:numCache>
            </c:numRef>
          </c:val>
          <c:extLst>
            <c:ext xmlns:c16="http://schemas.microsoft.com/office/drawing/2014/chart" uri="{C3380CC4-5D6E-409C-BE32-E72D297353CC}">
              <c16:uniqueId val="{00000001-AD89-4090-8BFB-85BF733FAEBA}"/>
            </c:ext>
          </c:extLst>
        </c:ser>
        <c:dLbls>
          <c:showLegendKey val="0"/>
          <c:showVal val="0"/>
          <c:showCatName val="0"/>
          <c:showSerName val="0"/>
          <c:showPercent val="0"/>
          <c:showBubbleSize val="0"/>
        </c:dLbls>
        <c:gapWidth val="150"/>
        <c:axId val="742143888"/>
        <c:axId val="742145856"/>
      </c:barChart>
      <c:lineChart>
        <c:grouping val="standard"/>
        <c:varyColors val="0"/>
        <c:ser>
          <c:idx val="2"/>
          <c:order val="2"/>
          <c:tx>
            <c:strRef>
              <c:f>'[PAT_SUMMARY_QTY_GENDER_AGE plus GRAPH.xlsx]PAT_SUMMARY_QTY_GENDER_AGE'!$D$14</c:f>
              <c:strCache>
                <c:ptCount val="1"/>
                <c:pt idx="0">
                  <c:v>Mean PBS Qty (Male)</c:v>
                </c:pt>
              </c:strCache>
            </c:strRef>
          </c:tx>
          <c:spPr>
            <a:ln w="28575" cap="rnd">
              <a:solidFill>
                <a:schemeClr val="accent1">
                  <a:lumMod val="60000"/>
                  <a:lumOff val="40000"/>
                </a:schemeClr>
              </a:solidFill>
              <a:round/>
            </a:ln>
            <a:effectLst/>
          </c:spPr>
          <c:marker>
            <c:symbol val="none"/>
          </c:marker>
          <c:cat>
            <c:strRef>
              <c:f>'[PAT_SUMMARY_QTY_GENDER_AGE plus GRAPH.xlsx]PAT_SUMMARY_QTY_GENDER_AGE'!$A$15:$A$19</c:f>
              <c:strCache>
                <c:ptCount val="5"/>
                <c:pt idx="0">
                  <c:v>YEAR 1</c:v>
                </c:pt>
                <c:pt idx="1">
                  <c:v>YEAR 2</c:v>
                </c:pt>
                <c:pt idx="2">
                  <c:v>YEAR 3</c:v>
                </c:pt>
                <c:pt idx="3">
                  <c:v>YEAR 4</c:v>
                </c:pt>
                <c:pt idx="4">
                  <c:v>YEAR 5</c:v>
                </c:pt>
              </c:strCache>
            </c:strRef>
          </c:cat>
          <c:val>
            <c:numRef>
              <c:f>'[PAT_SUMMARY_QTY_GENDER_AGE plus GRAPH.xlsx]PAT_SUMMARY_QTY_GENDER_AGE'!$D$15:$D$19</c:f>
              <c:numCache>
                <c:formatCode>General</c:formatCode>
                <c:ptCount val="5"/>
                <c:pt idx="0">
                  <c:v>108.620689655172</c:v>
                </c:pt>
                <c:pt idx="1">
                  <c:v>190.95238095238099</c:v>
                </c:pt>
                <c:pt idx="2">
                  <c:v>179.01098901098899</c:v>
                </c:pt>
                <c:pt idx="3">
                  <c:v>176.79389312977099</c:v>
                </c:pt>
                <c:pt idx="4">
                  <c:v>162.43902439024399</c:v>
                </c:pt>
              </c:numCache>
            </c:numRef>
          </c:val>
          <c:smooth val="0"/>
          <c:extLst>
            <c:ext xmlns:c16="http://schemas.microsoft.com/office/drawing/2014/chart" uri="{C3380CC4-5D6E-409C-BE32-E72D297353CC}">
              <c16:uniqueId val="{00000002-AD89-4090-8BFB-85BF733FAEBA}"/>
            </c:ext>
          </c:extLst>
        </c:ser>
        <c:ser>
          <c:idx val="3"/>
          <c:order val="3"/>
          <c:tx>
            <c:strRef>
              <c:f>'[PAT_SUMMARY_QTY_GENDER_AGE plus GRAPH.xlsx]PAT_SUMMARY_QTY_GENDER_AGE'!$E$14</c:f>
              <c:strCache>
                <c:ptCount val="1"/>
                <c:pt idx="0">
                  <c:v>Mean PBS Qty (Female)</c:v>
                </c:pt>
              </c:strCache>
            </c:strRef>
          </c:tx>
          <c:spPr>
            <a:ln w="28575" cap="rnd">
              <a:solidFill>
                <a:schemeClr val="accent2">
                  <a:lumMod val="40000"/>
                  <a:lumOff val="60000"/>
                </a:schemeClr>
              </a:solidFill>
              <a:round/>
            </a:ln>
            <a:effectLst/>
          </c:spPr>
          <c:marker>
            <c:symbol val="none"/>
          </c:marker>
          <c:cat>
            <c:strRef>
              <c:f>'[PAT_SUMMARY_QTY_GENDER_AGE plus GRAPH.xlsx]PAT_SUMMARY_QTY_GENDER_AGE'!$A$15:$A$19</c:f>
              <c:strCache>
                <c:ptCount val="5"/>
                <c:pt idx="0">
                  <c:v>YEAR 1</c:v>
                </c:pt>
                <c:pt idx="1">
                  <c:v>YEAR 2</c:v>
                </c:pt>
                <c:pt idx="2">
                  <c:v>YEAR 3</c:v>
                </c:pt>
                <c:pt idx="3">
                  <c:v>YEAR 4</c:v>
                </c:pt>
                <c:pt idx="4">
                  <c:v>YEAR 5</c:v>
                </c:pt>
              </c:strCache>
            </c:strRef>
          </c:cat>
          <c:val>
            <c:numRef>
              <c:f>'[PAT_SUMMARY_QTY_GENDER_AGE plus GRAPH.xlsx]PAT_SUMMARY_QTY_GENDER_AGE'!$E$15:$E$19</c:f>
              <c:numCache>
                <c:formatCode>General</c:formatCode>
                <c:ptCount val="5"/>
                <c:pt idx="0">
                  <c:v>98.653846153846203</c:v>
                </c:pt>
                <c:pt idx="1">
                  <c:v>158.73134328358199</c:v>
                </c:pt>
                <c:pt idx="2">
                  <c:v>179.8</c:v>
                </c:pt>
                <c:pt idx="3">
                  <c:v>176.14525139664801</c:v>
                </c:pt>
                <c:pt idx="4">
                  <c:v>178.291139240506</c:v>
                </c:pt>
              </c:numCache>
            </c:numRef>
          </c:val>
          <c:smooth val="0"/>
          <c:extLst>
            <c:ext xmlns:c16="http://schemas.microsoft.com/office/drawing/2014/chart" uri="{C3380CC4-5D6E-409C-BE32-E72D297353CC}">
              <c16:uniqueId val="{00000003-AD89-4090-8BFB-85BF733FAEBA}"/>
            </c:ext>
          </c:extLst>
        </c:ser>
        <c:dLbls>
          <c:showLegendKey val="0"/>
          <c:showVal val="0"/>
          <c:showCatName val="0"/>
          <c:showSerName val="0"/>
          <c:showPercent val="0"/>
          <c:showBubbleSize val="0"/>
        </c:dLbls>
        <c:marker val="1"/>
        <c:smooth val="0"/>
        <c:axId val="742111416"/>
        <c:axId val="742115024"/>
      </c:lineChart>
      <c:catAx>
        <c:axId val="742111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115024"/>
        <c:crosses val="autoZero"/>
        <c:auto val="1"/>
        <c:lblAlgn val="ctr"/>
        <c:lblOffset val="100"/>
        <c:noMultiLvlLbl val="0"/>
      </c:catAx>
      <c:valAx>
        <c:axId val="742115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PBS dispensed quantity</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111416"/>
        <c:crosses val="autoZero"/>
        <c:crossBetween val="between"/>
      </c:valAx>
      <c:valAx>
        <c:axId val="74214585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2143888"/>
        <c:crosses val="max"/>
        <c:crossBetween val="between"/>
      </c:valAx>
      <c:catAx>
        <c:axId val="742143888"/>
        <c:scaling>
          <c:orientation val="minMax"/>
        </c:scaling>
        <c:delete val="1"/>
        <c:axPos val="b"/>
        <c:numFmt formatCode="General" sourceLinked="1"/>
        <c:majorTickMark val="out"/>
        <c:minorTickMark val="none"/>
        <c:tickLblPos val="nextTo"/>
        <c:crossAx val="74214585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'Median script per year'!$E$1</c:f>
              <c:strCache>
                <c:ptCount val="1"/>
                <c:pt idx="0">
                  <c:v>Frequency</c:v>
                </c:pt>
              </c:strCache>
            </c:strRef>
          </c:tx>
          <c:spPr>
            <a:solidFill>
              <a:schemeClr val="accent1"/>
            </a:solidFill>
            <a:ln>
              <a:noFill/>
            </a:ln>
            <a:effectLst/>
          </c:spPr>
          <c:invertIfNegative val="0"/>
          <c:cat>
            <c:strRef>
              <c:f>'Median script per year'!$D$2:$D$6</c:f>
              <c:strCache>
                <c:ptCount val="5"/>
                <c:pt idx="0">
                  <c:v>1 to 4</c:v>
                </c:pt>
                <c:pt idx="1">
                  <c:v>5 to 8</c:v>
                </c:pt>
                <c:pt idx="2">
                  <c:v>9 to 12</c:v>
                </c:pt>
                <c:pt idx="3">
                  <c:v>13 to 16</c:v>
                </c:pt>
                <c:pt idx="4">
                  <c:v>17 to 20</c:v>
                </c:pt>
              </c:strCache>
            </c:strRef>
          </c:cat>
          <c:val>
            <c:numRef>
              <c:f>'Median script per year'!$E$2:$E$6</c:f>
              <c:numCache>
                <c:formatCode>General</c:formatCode>
                <c:ptCount val="5"/>
                <c:pt idx="0">
                  <c:v>5</c:v>
                </c:pt>
                <c:pt idx="1">
                  <c:v>11</c:v>
                </c:pt>
                <c:pt idx="2">
                  <c:v>15</c:v>
                </c:pt>
                <c:pt idx="3">
                  <c:v>6</c:v>
                </c:pt>
                <c:pt idx="4">
                  <c:v>5</c:v>
                </c:pt>
              </c:numCache>
            </c:numRef>
          </c:val>
          <c:extLst>
            <c:ext xmlns:c16="http://schemas.microsoft.com/office/drawing/2014/chart" uri="{C3380CC4-5D6E-409C-BE32-E72D297353CC}">
              <c16:uniqueId val="{00000000-FE21-4213-8A87-B5255B823096}"/>
            </c:ext>
          </c:extLst>
        </c:ser>
        <c:dLbls>
          <c:showLegendKey val="0"/>
          <c:showVal val="0"/>
          <c:showCatName val="0"/>
          <c:showSerName val="0"/>
          <c:showPercent val="0"/>
          <c:showBubbleSize val="0"/>
        </c:dLbls>
        <c:gapWidth val="219"/>
        <c:overlap val="-27"/>
        <c:axId val="749868560"/>
        <c:axId val="749869216"/>
      </c:barChart>
      <c:catAx>
        <c:axId val="749868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prescriptions</a:t>
                </a:r>
                <a:r>
                  <a:rPr lang="en-US" baseline="0"/>
                  <a:t> per year</a:t>
                </a:r>
                <a:endParaRPr lang="en-US"/>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869216"/>
        <c:crosses val="autoZero"/>
        <c:auto val="1"/>
        <c:lblAlgn val="ctr"/>
        <c:lblOffset val="100"/>
        <c:noMultiLvlLbl val="0"/>
      </c:catAx>
      <c:valAx>
        <c:axId val="749869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868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3A28-BC40-4660-BDDB-C49AE976F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5671</Words>
  <Characters>32327</Characters>
  <Application>Microsoft Office Word</Application>
  <DocSecurity>0</DocSecurity>
  <Lines>269</Lines>
  <Paragraphs>75</Paragraphs>
  <ScaleCrop>false</ScaleCrop>
  <Company/>
  <LinksUpToDate>false</LinksUpToDate>
  <CharactersWithSpaces>37923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2019-10-23T06:49:00Z</dcterms:created>
  <dcterms:modified xsi:type="dcterms:W3CDTF">2019-10-25T04:28:00Z</dcterms:modified>
</cp:coreProperties>
</file>