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A3C130" w14:textId="13B4A4AE" w:rsidR="00832324" w:rsidRDefault="005D3F14" w:rsidP="00F73113">
      <w:pPr>
        <w:pStyle w:val="Title"/>
      </w:pPr>
      <w:r>
        <w:t>Eculizumab for aHUS</w:t>
      </w:r>
      <w:r w:rsidR="001750B0">
        <w:t>: utilisation update</w:t>
      </w:r>
      <w:r w:rsidR="001C4016">
        <w:t xml:space="preserve"> </w:t>
      </w:r>
    </w:p>
    <w:p w14:paraId="68F00614" w14:textId="799F8740" w:rsidR="00736041" w:rsidRDefault="009053D3" w:rsidP="00F73113">
      <w:pPr>
        <w:pStyle w:val="Title2"/>
      </w:pPr>
      <w:r>
        <w:t>D</w:t>
      </w:r>
      <w:r w:rsidR="00832324" w:rsidRPr="0063631C">
        <w:t xml:space="preserve">rug utilisation sub-committee </w:t>
      </w:r>
      <w:r w:rsidR="00832324">
        <w:t>(DUSC)</w:t>
      </w:r>
    </w:p>
    <w:p w14:paraId="78148839" w14:textId="3A102C06" w:rsidR="009053D3" w:rsidRPr="00F73113" w:rsidRDefault="005D3F14" w:rsidP="00F73113">
      <w:pPr>
        <w:pStyle w:val="Meetingdate"/>
      </w:pPr>
      <w:r>
        <w:t>February 2019</w:t>
      </w:r>
    </w:p>
    <w:p w14:paraId="1494B8AD" w14:textId="77777777" w:rsidR="005C6661" w:rsidRPr="00CF5E22" w:rsidRDefault="005C6661" w:rsidP="00CF5E22">
      <w:pPr>
        <w:pStyle w:val="Heading2"/>
      </w:pPr>
      <w:r w:rsidRPr="00CF5E22">
        <w:t>Abstract</w:t>
      </w:r>
    </w:p>
    <w:p w14:paraId="287D7939" w14:textId="77777777" w:rsidR="005C6661" w:rsidRPr="00CF5E22" w:rsidRDefault="005C6661" w:rsidP="00CF5E22">
      <w:pPr>
        <w:pStyle w:val="Heading3"/>
      </w:pPr>
      <w:r w:rsidRPr="00CF5E22">
        <w:t>Purpose</w:t>
      </w:r>
    </w:p>
    <w:p w14:paraId="70A05845" w14:textId="1724FDB7" w:rsidR="005C6661" w:rsidRDefault="00916362" w:rsidP="00AA7770">
      <w:r>
        <w:t xml:space="preserve">In September 2017, DUSC considered a 24 month predicted versus actual utilisation analysis of eculizumab for the treatment of </w:t>
      </w:r>
      <w:r w:rsidRPr="00926C59">
        <w:t>atypical haemolytic uraemic syndrome (aHUS</w:t>
      </w:r>
      <w:r>
        <w:t>). The committee requested a brief update on utilisation when an additional 12 months of data were available; including t</w:t>
      </w:r>
      <w:r w:rsidR="005D3F14" w:rsidRPr="005D3F14">
        <w:t>he number of initiating and prevalent patients, and the extent of continuation, stopping and restarting therapy.</w:t>
      </w:r>
    </w:p>
    <w:p w14:paraId="03538E7F" w14:textId="322BB850" w:rsidR="002D144A" w:rsidRDefault="002D144A" w:rsidP="00CF5E22">
      <w:pPr>
        <w:pStyle w:val="Heading3"/>
      </w:pPr>
      <w:r>
        <w:t>Date of listing on the P</w:t>
      </w:r>
      <w:r w:rsidR="00A95FA5">
        <w:t xml:space="preserve">harmaceutical </w:t>
      </w:r>
      <w:r>
        <w:t>B</w:t>
      </w:r>
      <w:r w:rsidR="00A95FA5">
        <w:t xml:space="preserve">enefits </w:t>
      </w:r>
      <w:r>
        <w:t>S</w:t>
      </w:r>
      <w:r w:rsidR="00A95FA5">
        <w:t>cheme (PBS)</w:t>
      </w:r>
    </w:p>
    <w:p w14:paraId="1307B412" w14:textId="77777777" w:rsidR="00D15B33" w:rsidRPr="002D144A" w:rsidRDefault="00D15B33" w:rsidP="00D15B33">
      <w:r>
        <w:t>1 December 2014</w:t>
      </w:r>
    </w:p>
    <w:p w14:paraId="526743BB" w14:textId="77777777" w:rsidR="005C6661" w:rsidRDefault="005C6661" w:rsidP="00CF5E22">
      <w:pPr>
        <w:pStyle w:val="Heading3"/>
      </w:pPr>
      <w:r>
        <w:t>Data Source / methodology</w:t>
      </w:r>
    </w:p>
    <w:p w14:paraId="34AAD011" w14:textId="1A48C672" w:rsidR="00D15B33" w:rsidRPr="001750B0" w:rsidRDefault="00D15B33" w:rsidP="00D15B33">
      <w:pPr>
        <w:pStyle w:val="NoSpacing"/>
      </w:pPr>
      <w:r w:rsidRPr="001750B0">
        <w:t>The analyses used data from the Department of Human Services (DHS) supplied prescriptions database for dates o</w:t>
      </w:r>
      <w:r w:rsidR="001750B0" w:rsidRPr="001750B0">
        <w:t>f supply up to and including 30 September 2018</w:t>
      </w:r>
      <w:r w:rsidRPr="001750B0">
        <w:t>. Analyses in the report include:</w:t>
      </w:r>
    </w:p>
    <w:p w14:paraId="5C3AC2DC" w14:textId="524F11F6" w:rsidR="00D15B33" w:rsidRPr="001750B0" w:rsidRDefault="00D15B33" w:rsidP="00D15B33">
      <w:pPr>
        <w:pStyle w:val="NoSpacing"/>
        <w:numPr>
          <w:ilvl w:val="0"/>
          <w:numId w:val="4"/>
        </w:numPr>
      </w:pPr>
      <w:r w:rsidRPr="001750B0">
        <w:t xml:space="preserve">New and </w:t>
      </w:r>
      <w:r w:rsidR="002D3404" w:rsidRPr="001750B0">
        <w:t>prevalent</w:t>
      </w:r>
      <w:r w:rsidRPr="001750B0">
        <w:t xml:space="preserve"> patient counts by year </w:t>
      </w:r>
    </w:p>
    <w:p w14:paraId="4C45BFA2" w14:textId="77777777" w:rsidR="001750B0" w:rsidRPr="001750B0" w:rsidRDefault="001750B0" w:rsidP="001750B0">
      <w:pPr>
        <w:pStyle w:val="NoSpacing"/>
        <w:numPr>
          <w:ilvl w:val="0"/>
          <w:numId w:val="4"/>
        </w:numPr>
      </w:pPr>
      <w:r w:rsidRPr="001750B0">
        <w:t>Prescriptions by treatment phase</w:t>
      </w:r>
    </w:p>
    <w:p w14:paraId="555259C6" w14:textId="77777777" w:rsidR="00D15B33" w:rsidRPr="001750B0" w:rsidRDefault="00D15B33" w:rsidP="00D15B33">
      <w:pPr>
        <w:pStyle w:val="NoSpacing"/>
        <w:numPr>
          <w:ilvl w:val="0"/>
          <w:numId w:val="4"/>
        </w:numPr>
      </w:pPr>
      <w:r w:rsidRPr="001750B0">
        <w:t xml:space="preserve">Patient age at initiation </w:t>
      </w:r>
    </w:p>
    <w:p w14:paraId="784D5988" w14:textId="77777777" w:rsidR="00D15B33" w:rsidRPr="001750B0" w:rsidRDefault="00D15B33" w:rsidP="00D15B33">
      <w:pPr>
        <w:pStyle w:val="NoSpacing"/>
        <w:numPr>
          <w:ilvl w:val="0"/>
          <w:numId w:val="4"/>
        </w:numPr>
      </w:pPr>
      <w:r w:rsidRPr="001750B0">
        <w:t xml:space="preserve">Hospital setting </w:t>
      </w:r>
    </w:p>
    <w:p w14:paraId="4A70A453" w14:textId="77777777" w:rsidR="00D15B33" w:rsidRPr="001750B0" w:rsidRDefault="00D15B33" w:rsidP="00D15B33">
      <w:pPr>
        <w:pStyle w:val="NoSpacing"/>
        <w:numPr>
          <w:ilvl w:val="0"/>
          <w:numId w:val="4"/>
        </w:numPr>
      </w:pPr>
      <w:r w:rsidRPr="001750B0">
        <w:t xml:space="preserve">Prescriber type </w:t>
      </w:r>
    </w:p>
    <w:p w14:paraId="2E6F0BE9" w14:textId="4529E25E" w:rsidR="00D15B33" w:rsidRPr="001750B0" w:rsidRDefault="00D15B33" w:rsidP="001750B0">
      <w:pPr>
        <w:pStyle w:val="NoSpacing"/>
        <w:numPr>
          <w:ilvl w:val="0"/>
          <w:numId w:val="4"/>
        </w:numPr>
      </w:pPr>
      <w:r w:rsidRPr="001750B0">
        <w:t xml:space="preserve">Length of treatment </w:t>
      </w:r>
    </w:p>
    <w:p w14:paraId="7599E7C1" w14:textId="77777777" w:rsidR="005C6661" w:rsidRDefault="005C6661" w:rsidP="00CF5E22">
      <w:pPr>
        <w:pStyle w:val="Heading3"/>
      </w:pPr>
      <w:r>
        <w:t>Key Findings</w:t>
      </w:r>
    </w:p>
    <w:p w14:paraId="54437418" w14:textId="68E5D159" w:rsidR="006F79B8" w:rsidRDefault="002E0683" w:rsidP="001072E8">
      <w:pPr>
        <w:pStyle w:val="NoSpacing"/>
        <w:numPr>
          <w:ilvl w:val="0"/>
          <w:numId w:val="1"/>
        </w:numPr>
      </w:pPr>
      <w:r>
        <w:t>S</w:t>
      </w:r>
      <w:r w:rsidRPr="00A570CB">
        <w:t>ince its listing in December 2014</w:t>
      </w:r>
      <w:r>
        <w:t>, 220 patients have been supplied eculizumab for aHUS</w:t>
      </w:r>
      <w:r w:rsidRPr="00A570CB">
        <w:t xml:space="preserve"> </w:t>
      </w:r>
      <w:r>
        <w:t xml:space="preserve">(to September </w:t>
      </w:r>
      <w:r w:rsidRPr="002E0683">
        <w:t>2018).</w:t>
      </w:r>
      <w:r w:rsidR="006F79B8">
        <w:t xml:space="preserve"> Of these 220 people, </w:t>
      </w:r>
    </w:p>
    <w:p w14:paraId="55984DF9" w14:textId="77777777" w:rsidR="006F79B8" w:rsidRDefault="006F79B8" w:rsidP="006F79B8">
      <w:pPr>
        <w:pStyle w:val="NoSpacing"/>
        <w:numPr>
          <w:ilvl w:val="0"/>
          <w:numId w:val="5"/>
        </w:numPr>
      </w:pPr>
      <w:r>
        <w:t xml:space="preserve">82 people were on treatment at the end of the analysis period (September 2018); meaning 138 people had stopped treatment. </w:t>
      </w:r>
    </w:p>
    <w:p w14:paraId="674D2990" w14:textId="0B3D270B" w:rsidR="006F79B8" w:rsidRPr="00A570CB" w:rsidRDefault="006F79B8" w:rsidP="006F79B8">
      <w:pPr>
        <w:pStyle w:val="NoSpacing"/>
        <w:numPr>
          <w:ilvl w:val="0"/>
          <w:numId w:val="5"/>
        </w:numPr>
      </w:pPr>
      <w:r>
        <w:t>12</w:t>
      </w:r>
      <w:r w:rsidRPr="00334D4D">
        <w:t xml:space="preserve"> </w:t>
      </w:r>
      <w:r>
        <w:t xml:space="preserve">had </w:t>
      </w:r>
      <w:r w:rsidRPr="00334D4D">
        <w:t>a break</w:t>
      </w:r>
      <w:r w:rsidR="00F83D57">
        <w:t xml:space="preserve"> (of more than </w:t>
      </w:r>
      <w:r>
        <w:t xml:space="preserve">84 days) </w:t>
      </w:r>
      <w:r w:rsidRPr="00334D4D">
        <w:t>followed by a second treatment episode.</w:t>
      </w:r>
    </w:p>
    <w:p w14:paraId="013B8A7D" w14:textId="160493A7" w:rsidR="005C6661" w:rsidRDefault="002E0683" w:rsidP="005C6661">
      <w:pPr>
        <w:pStyle w:val="NoSpacing"/>
        <w:numPr>
          <w:ilvl w:val="0"/>
          <w:numId w:val="1"/>
        </w:numPr>
      </w:pPr>
      <w:r w:rsidRPr="002E0683">
        <w:t>In 2017</w:t>
      </w:r>
      <w:r>
        <w:t>,</w:t>
      </w:r>
      <w:r w:rsidRPr="002E0683">
        <w:t xml:space="preserve"> there were 109 patients supplied eculizumab</w:t>
      </w:r>
      <w:r>
        <w:t>;</w:t>
      </w:r>
      <w:r w:rsidRPr="002E0683">
        <w:t xml:space="preserve"> of whom 48 receive</w:t>
      </w:r>
      <w:r>
        <w:t>d their first PBS supply in 2017</w:t>
      </w:r>
      <w:r w:rsidRPr="002E0683">
        <w:t xml:space="preserve">. </w:t>
      </w:r>
    </w:p>
    <w:p w14:paraId="48A13680" w14:textId="3D8063EA" w:rsidR="006842D1" w:rsidRDefault="006842D1" w:rsidP="006842D1">
      <w:pPr>
        <w:pStyle w:val="NoSpacing"/>
        <w:numPr>
          <w:ilvl w:val="0"/>
          <w:numId w:val="1"/>
        </w:numPr>
      </w:pPr>
      <w:r>
        <w:t xml:space="preserve">The rate of growth in PBS patients has declined each year. </w:t>
      </w:r>
    </w:p>
    <w:p w14:paraId="38B57ECC" w14:textId="77777777" w:rsidR="00BB0D1A" w:rsidRDefault="00BB0D1A">
      <w:pPr>
        <w:spacing w:line="276" w:lineRule="auto"/>
        <w:rPr>
          <w:rFonts w:eastAsiaTheme="majorEastAsia" w:cstheme="majorBidi"/>
          <w:b/>
          <w:bCs/>
          <w:sz w:val="32"/>
          <w:szCs w:val="26"/>
        </w:rPr>
      </w:pPr>
      <w:r>
        <w:br w:type="page"/>
      </w:r>
    </w:p>
    <w:p w14:paraId="5B262047" w14:textId="525241DC" w:rsidR="00E677DD" w:rsidRPr="00CF5E22" w:rsidRDefault="00E677DD" w:rsidP="00CF5E22">
      <w:pPr>
        <w:pStyle w:val="Heading1"/>
      </w:pPr>
      <w:r w:rsidRPr="00CF5E22">
        <w:lastRenderedPageBreak/>
        <w:t xml:space="preserve">Purpose of </w:t>
      </w:r>
      <w:r w:rsidR="00D151EB" w:rsidRPr="00CF5E22">
        <w:t>analysis</w:t>
      </w:r>
    </w:p>
    <w:p w14:paraId="77B0DA3D" w14:textId="47B02D50" w:rsidR="00916362" w:rsidRDefault="00916362" w:rsidP="00916362">
      <w:r>
        <w:t xml:space="preserve">In September 2017, DUSC considered a 24 month predicted versus actual utilisation analysis of eculizumab for the treatment of </w:t>
      </w:r>
      <w:r w:rsidRPr="00926C59">
        <w:t>atypical haemolytic uraemic syndrome (aHUS</w:t>
      </w:r>
      <w:r>
        <w:t>).</w:t>
      </w:r>
      <w:r w:rsidR="00F0419A">
        <w:t xml:space="preserve"> For details refer to the </w:t>
      </w:r>
      <w:hyperlink r:id="rId8" w:history="1">
        <w:r w:rsidR="00F0419A" w:rsidRPr="006115CA">
          <w:rPr>
            <w:rStyle w:val="Hyperlink"/>
          </w:rPr>
          <w:t>Public Release Document</w:t>
        </w:r>
      </w:hyperlink>
      <w:r w:rsidR="00F0419A">
        <w:t xml:space="preserve">. </w:t>
      </w:r>
      <w:r>
        <w:t>The committee requested a brief update on utilisation when an additional 12 months of data were available; including t</w:t>
      </w:r>
      <w:r w:rsidRPr="005D3F14">
        <w:t>he number of initiating and prevalent patients, and the extent of continuation, stopping and restarting therapy.</w:t>
      </w:r>
    </w:p>
    <w:p w14:paraId="0A7F0B57" w14:textId="034D22D5" w:rsidR="006537D9" w:rsidRPr="005E22C2" w:rsidRDefault="00736041" w:rsidP="00CF5E22">
      <w:pPr>
        <w:pStyle w:val="Heading1"/>
      </w:pPr>
      <w:r w:rsidRPr="005E22C2">
        <w:t>Background</w:t>
      </w:r>
    </w:p>
    <w:p w14:paraId="0DEBD50F" w14:textId="662D06DF" w:rsidR="00094DCF" w:rsidRDefault="00ED633B" w:rsidP="00CF5E22">
      <w:pPr>
        <w:pStyle w:val="Heading2"/>
      </w:pPr>
      <w:r>
        <w:t xml:space="preserve">Previous reviews by </w:t>
      </w:r>
      <w:r w:rsidR="00177B86">
        <w:t xml:space="preserve">the </w:t>
      </w:r>
      <w:r>
        <w:t>DUSC</w:t>
      </w:r>
    </w:p>
    <w:p w14:paraId="5C143877" w14:textId="6652A7EE" w:rsidR="00E371EA" w:rsidRPr="00ED633B" w:rsidRDefault="009E7016" w:rsidP="00A35800">
      <w:r>
        <w:t>This report does not replicate background information contained in the previous report</w:t>
      </w:r>
      <w:r w:rsidR="009A4877">
        <w:t xml:space="preserve">. </w:t>
      </w:r>
      <w:r w:rsidR="00F0419A">
        <w:t xml:space="preserve">For background </w:t>
      </w:r>
      <w:r>
        <w:t>information,</w:t>
      </w:r>
      <w:r w:rsidR="00F0419A">
        <w:t xml:space="preserve"> refer to the 24 month predicted versus actual utilisation analysis of eculizumab for aHUS </w:t>
      </w:r>
      <w:hyperlink r:id="rId9" w:history="1">
        <w:r w:rsidR="00F0419A" w:rsidRPr="006115CA">
          <w:rPr>
            <w:rStyle w:val="Hyperlink"/>
          </w:rPr>
          <w:t>Public Release Document</w:t>
        </w:r>
      </w:hyperlink>
      <w:r w:rsidR="00F0419A">
        <w:rPr>
          <w:rStyle w:val="Hyperlink"/>
        </w:rPr>
        <w:t xml:space="preserve">. </w:t>
      </w:r>
    </w:p>
    <w:p w14:paraId="0312FFEC" w14:textId="5C6A9662" w:rsidR="00E677DD" w:rsidRPr="005E22C2" w:rsidRDefault="00E677DD" w:rsidP="00CF5E22">
      <w:pPr>
        <w:pStyle w:val="Heading1"/>
      </w:pPr>
      <w:r w:rsidRPr="005E22C2">
        <w:t>Method</w:t>
      </w:r>
      <w:r w:rsidR="001B5D37" w:rsidRPr="005E22C2">
        <w:t>s</w:t>
      </w:r>
    </w:p>
    <w:p w14:paraId="3B1DBB6C" w14:textId="0E9A256E" w:rsidR="009E7016" w:rsidRPr="00042910" w:rsidRDefault="009E7016" w:rsidP="009E7016">
      <w:r w:rsidRPr="00042910">
        <w:t xml:space="preserve">The analyses used data from the Department of Human Services (DHS) supplied prescriptions database for dates </w:t>
      </w:r>
      <w:r w:rsidR="00042910" w:rsidRPr="00042910">
        <w:t>of supply up to and including 30 September 2018; extracted 19</w:t>
      </w:r>
      <w:r w:rsidRPr="00042910">
        <w:t> </w:t>
      </w:r>
      <w:r w:rsidR="00042910" w:rsidRPr="00042910">
        <w:t>November</w:t>
      </w:r>
      <w:r w:rsidRPr="00042910">
        <w:t xml:space="preserve"> 201</w:t>
      </w:r>
      <w:r w:rsidR="00042910" w:rsidRPr="00042910">
        <w:t>8</w:t>
      </w:r>
      <w:r w:rsidRPr="00042910">
        <w:t xml:space="preserve">. The DHS supplied prescriptions database includes data submitted to DHS for payment of an R/PBS subsidy by the Government by all approved pharmacies in Australia. This dataset contains de-identified information that includes a unique patient identification number (PIN), dates and quantities of supply of all PBS listed drugs, prescriber and pharmacy information. DHS also maintains the authority approval database. Prescribers provide necessary information to DHS to support approval for a PBS Authority Required prescription. De-identified information is recorded by PIN and can be matched to the prescriptions database. </w:t>
      </w:r>
    </w:p>
    <w:p w14:paraId="7EAC0256" w14:textId="77777777" w:rsidR="009E7016" w:rsidRPr="001750B0" w:rsidRDefault="009E7016" w:rsidP="009E7016">
      <w:pPr>
        <w:spacing w:after="0"/>
      </w:pPr>
      <w:r w:rsidRPr="001750B0">
        <w:t>Analyses in the report include:</w:t>
      </w:r>
    </w:p>
    <w:p w14:paraId="3909653F" w14:textId="21322D6D" w:rsidR="001750B0" w:rsidRPr="00F56771" w:rsidRDefault="001750B0" w:rsidP="001750B0">
      <w:pPr>
        <w:pStyle w:val="NoSpacing"/>
        <w:numPr>
          <w:ilvl w:val="0"/>
          <w:numId w:val="4"/>
        </w:numPr>
      </w:pPr>
      <w:r w:rsidRPr="00F56771">
        <w:t>New and prevalent patient counts by year (</w:t>
      </w:r>
      <w:hyperlink w:anchor="_Overall_utilisation" w:history="1">
        <w:r w:rsidRPr="00F56771">
          <w:rPr>
            <w:rStyle w:val="Hyperlink"/>
            <w:color w:val="auto"/>
          </w:rPr>
          <w:t>Figure 1</w:t>
        </w:r>
      </w:hyperlink>
      <w:r w:rsidRPr="00F56771">
        <w:t xml:space="preserve"> and </w:t>
      </w:r>
      <w:hyperlink w:anchor="Table1" w:history="1">
        <w:r w:rsidRPr="00F56771">
          <w:rPr>
            <w:rStyle w:val="Hyperlink"/>
            <w:color w:val="auto"/>
          </w:rPr>
          <w:t>Table 1</w:t>
        </w:r>
      </w:hyperlink>
      <w:r w:rsidRPr="00F56771">
        <w:t>)</w:t>
      </w:r>
    </w:p>
    <w:p w14:paraId="387DE300" w14:textId="063CB30A" w:rsidR="001750B0" w:rsidRPr="00F56771" w:rsidRDefault="001750B0" w:rsidP="001750B0">
      <w:pPr>
        <w:pStyle w:val="NoSpacing"/>
        <w:numPr>
          <w:ilvl w:val="0"/>
          <w:numId w:val="4"/>
        </w:numPr>
      </w:pPr>
      <w:r w:rsidRPr="00F56771">
        <w:t>Prescriptions by treatment phase (</w:t>
      </w:r>
      <w:hyperlink w:anchor="Figure2" w:history="1">
        <w:r w:rsidRPr="00F56771">
          <w:rPr>
            <w:rStyle w:val="Hyperlink"/>
            <w:color w:val="auto"/>
          </w:rPr>
          <w:t>Figure 2</w:t>
        </w:r>
      </w:hyperlink>
      <w:r w:rsidRPr="00F56771">
        <w:t>)</w:t>
      </w:r>
    </w:p>
    <w:p w14:paraId="507A4AEB" w14:textId="59C4A93B" w:rsidR="001750B0" w:rsidRPr="00F56771" w:rsidRDefault="001750B0" w:rsidP="001750B0">
      <w:pPr>
        <w:pStyle w:val="NoSpacing"/>
        <w:numPr>
          <w:ilvl w:val="0"/>
          <w:numId w:val="4"/>
        </w:numPr>
      </w:pPr>
      <w:r w:rsidRPr="00F56771">
        <w:t>Patient age at initiation (</w:t>
      </w:r>
      <w:hyperlink w:anchor="_Utilisation_by_age" w:history="1">
        <w:r w:rsidRPr="00F56771">
          <w:rPr>
            <w:rStyle w:val="Hyperlink"/>
            <w:color w:val="auto"/>
          </w:rPr>
          <w:t>Table 2</w:t>
        </w:r>
      </w:hyperlink>
      <w:r w:rsidRPr="00F56771">
        <w:t>)</w:t>
      </w:r>
    </w:p>
    <w:p w14:paraId="0025EA72" w14:textId="62219596" w:rsidR="001750B0" w:rsidRPr="00F56771" w:rsidRDefault="00D6164F" w:rsidP="001750B0">
      <w:pPr>
        <w:numPr>
          <w:ilvl w:val="0"/>
          <w:numId w:val="4"/>
        </w:numPr>
        <w:spacing w:after="0"/>
      </w:pPr>
      <w:hyperlink w:anchor="_Utilisation_by_setting" w:history="1">
        <w:r w:rsidR="001750B0" w:rsidRPr="00F56771">
          <w:rPr>
            <w:rStyle w:val="Hyperlink"/>
            <w:color w:val="auto"/>
          </w:rPr>
          <w:t>Hospital setting</w:t>
        </w:r>
      </w:hyperlink>
      <w:r w:rsidR="001750B0" w:rsidRPr="00F56771">
        <w:t xml:space="preserve"> (public or private) based on the pharmacy dispensing eculizumab</w:t>
      </w:r>
    </w:p>
    <w:p w14:paraId="4F3B1352" w14:textId="64D7BDD7" w:rsidR="001750B0" w:rsidRPr="00F56771" w:rsidRDefault="00D6164F" w:rsidP="001750B0">
      <w:pPr>
        <w:pStyle w:val="NoSpacing"/>
        <w:numPr>
          <w:ilvl w:val="0"/>
          <w:numId w:val="4"/>
        </w:numPr>
      </w:pPr>
      <w:hyperlink w:anchor="_Utilisation_by_prescriber" w:history="1">
        <w:r w:rsidR="001750B0" w:rsidRPr="00F56771">
          <w:rPr>
            <w:rStyle w:val="Hyperlink"/>
            <w:color w:val="auto"/>
          </w:rPr>
          <w:t>Prescriber type</w:t>
        </w:r>
      </w:hyperlink>
      <w:r w:rsidR="001750B0" w:rsidRPr="00F56771">
        <w:t xml:space="preserve"> (Figure 3)</w:t>
      </w:r>
    </w:p>
    <w:p w14:paraId="286107EF" w14:textId="1ED4DD01" w:rsidR="001750B0" w:rsidRPr="00F56771" w:rsidRDefault="00D6164F" w:rsidP="001750B0">
      <w:pPr>
        <w:pStyle w:val="NoSpacing"/>
        <w:numPr>
          <w:ilvl w:val="0"/>
          <w:numId w:val="4"/>
        </w:numPr>
      </w:pPr>
      <w:hyperlink w:anchor="_Duration_of_therapy" w:history="1">
        <w:r w:rsidR="001750B0" w:rsidRPr="00F56771">
          <w:rPr>
            <w:rStyle w:val="Hyperlink"/>
            <w:color w:val="auto"/>
          </w:rPr>
          <w:t>Length of treatment</w:t>
        </w:r>
      </w:hyperlink>
      <w:r w:rsidR="001750B0" w:rsidRPr="00F56771">
        <w:t xml:space="preserve"> (Figure 4 and Table 3)</w:t>
      </w:r>
    </w:p>
    <w:p w14:paraId="0894B7DC" w14:textId="77777777" w:rsidR="00042910" w:rsidRDefault="00042910" w:rsidP="009E7016">
      <w:pPr>
        <w:rPr>
          <w:highlight w:val="yellow"/>
        </w:rPr>
      </w:pPr>
    </w:p>
    <w:p w14:paraId="1122D803" w14:textId="59F0DE80" w:rsidR="009E7016" w:rsidRPr="00042910" w:rsidRDefault="009E7016" w:rsidP="009E7016">
      <w:r w:rsidRPr="00042910">
        <w:t>A patient was defined as an initiator (or ‘new patient’) based on the date of first supply of PBS subsidised eculizumab from the date of listing. This group contained patients who were naïve to eculizumab and ‘grandfathered’ patients; i.e. patients who obtained eculizumab through other means prior to listing on the PBS and then commenced PBS-subsidised treatment.</w:t>
      </w:r>
    </w:p>
    <w:p w14:paraId="00C59B46" w14:textId="680BDAC0" w:rsidR="009E7016" w:rsidRPr="00042910" w:rsidRDefault="009E7016" w:rsidP="009E7016">
      <w:r w:rsidRPr="00042910">
        <w:lastRenderedPageBreak/>
        <w:t xml:space="preserve">To count patients by treatment phase, data from the DHS supplied prescriptions database </w:t>
      </w:r>
      <w:r w:rsidR="00042910" w:rsidRPr="00042910">
        <w:t>were</w:t>
      </w:r>
      <w:r w:rsidRPr="00042910">
        <w:t xml:space="preserve"> merged with data from the DHS Authority approvals database. This allowed delineation of the patient’s place in the continuum of therapy as described under the PBS item number restrictions.</w:t>
      </w:r>
    </w:p>
    <w:p w14:paraId="37E2780A" w14:textId="77777777" w:rsidR="009E7016" w:rsidRPr="00042910" w:rsidRDefault="009E7016" w:rsidP="009E7016">
      <w:r w:rsidRPr="00042910">
        <w:t xml:space="preserve">Prescriber type was attributed to the de-identified approval number of the prescriber by the DHS and was based on the major field of specialty, derived from the combination of the current registered specialty and the most Medicare services provided per quarter. Prescribers can work in several different specialties but are allocated by DHS to one major field of specialty per quarter. </w:t>
      </w:r>
    </w:p>
    <w:p w14:paraId="0623E68A" w14:textId="2DFAAF98" w:rsidR="009E7016" w:rsidRPr="00042910" w:rsidRDefault="009E7016" w:rsidP="009E7016">
      <w:r w:rsidRPr="00042910">
        <w:t xml:space="preserve">The length of treatment analyses used the Kaplan Meier (aka Product-Limit) method. Two ways of measuring length of treatment were undertaken to account for patients stopping medicine for periods of time (called a ‘break’ in therapy). One analysis excluded the time of any breaks in treatment (i.e. reports the total time a patient is actually receiving regular supplies of the medicine) and the other did not. A patient was deemed to have a break in treatment if the time between two of their supplied prescriptions was </w:t>
      </w:r>
      <w:r w:rsidR="00042910" w:rsidRPr="00042910">
        <w:t>more than 3 times the</w:t>
      </w:r>
      <w:r w:rsidRPr="00042910">
        <w:t xml:space="preserve"> median time to resupply (i.e. 3 x 28 </w:t>
      </w:r>
      <w:r w:rsidR="00042910" w:rsidRPr="00042910">
        <w:t>days)</w:t>
      </w:r>
      <w:r w:rsidRPr="00042910">
        <w:t>, which is an estimated br</w:t>
      </w:r>
      <w:r w:rsidR="00042910" w:rsidRPr="00042910">
        <w:t>eak in treatment of at least 2 times the</w:t>
      </w:r>
      <w:r w:rsidRPr="00042910">
        <w:t xml:space="preserve"> median time to resupply. </w:t>
      </w:r>
    </w:p>
    <w:p w14:paraId="2A4FDEFA" w14:textId="17F9ED94" w:rsidR="009E7016" w:rsidRPr="00EA5C2D" w:rsidRDefault="009E7016" w:rsidP="009E7016">
      <w:r w:rsidRPr="00EA5C2D">
        <w:t xml:space="preserve">A censoring definition was applied in the length of treatment analysis, to account for the end of the data observation period where patients who might be continuing supply appear to stop treatment (because there is no further data for supplies). A patient was deemed to be continuing treatment (classified as censored in the Product-Limit method) at the end of the data period (i.e. the end of </w:t>
      </w:r>
      <w:r w:rsidR="00042910" w:rsidRPr="00EA5C2D">
        <w:t>September 2018</w:t>
      </w:r>
      <w:r w:rsidRPr="00EA5C2D">
        <w:t>) if their l</w:t>
      </w:r>
      <w:r w:rsidR="00042910" w:rsidRPr="00EA5C2D">
        <w:t xml:space="preserve">ast prescription was within 3 times the </w:t>
      </w:r>
      <w:r w:rsidRPr="00EA5C2D">
        <w:t xml:space="preserve">median time to resupply of this end date. </w:t>
      </w:r>
      <w:r w:rsidR="00967DCB" w:rsidRPr="00EA5C2D">
        <w:t>Otherwise,</w:t>
      </w:r>
      <w:r w:rsidRPr="00EA5C2D">
        <w:t xml:space="preserve"> the patient was deemed to have ceased treatment with the treatment coverage end date being the supply date of their last prescription plus a median time to resupply.</w:t>
      </w:r>
    </w:p>
    <w:p w14:paraId="5529E20E" w14:textId="7BB9F486" w:rsidR="009E7016" w:rsidRPr="00042910" w:rsidRDefault="009E7016" w:rsidP="009E7016">
      <w:r w:rsidRPr="00042910">
        <w:t>As this analysis uses date of supply prescription data, there may be small differences in total number of supplies of eculizumab in the same period compared with publicly available Department of Human Services (DHS) Medicare date of processing data.</w:t>
      </w:r>
      <w:r w:rsidR="00F96263" w:rsidRPr="00042910">
        <w:rPr>
          <w:vertAlign w:val="superscript"/>
        </w:rPr>
        <w:footnoteReference w:id="1"/>
      </w:r>
      <w:r w:rsidR="00F96263" w:rsidRPr="00042910">
        <w:t xml:space="preserve"> </w:t>
      </w:r>
      <w:r w:rsidRPr="00042910">
        <w:t xml:space="preserve"> </w:t>
      </w:r>
    </w:p>
    <w:p w14:paraId="0D21ACE8" w14:textId="77777777" w:rsidR="00F81AB6" w:rsidRDefault="00F81AB6">
      <w:pPr>
        <w:spacing w:line="276" w:lineRule="auto"/>
        <w:rPr>
          <w:rFonts w:eastAsiaTheme="majorEastAsia" w:cstheme="majorBidi"/>
          <w:b/>
          <w:bCs/>
          <w:sz w:val="32"/>
          <w:szCs w:val="32"/>
        </w:rPr>
      </w:pPr>
      <w:r>
        <w:br w:type="page"/>
      </w:r>
    </w:p>
    <w:p w14:paraId="4F91A98A" w14:textId="498EFA35" w:rsidR="00C714D0" w:rsidRPr="005E22C2" w:rsidRDefault="00C714D0" w:rsidP="00CF5E22">
      <w:pPr>
        <w:pStyle w:val="Heading1"/>
      </w:pPr>
      <w:r w:rsidRPr="005E22C2">
        <w:lastRenderedPageBreak/>
        <w:t>Results</w:t>
      </w:r>
    </w:p>
    <w:p w14:paraId="2221FF19" w14:textId="336CE8B2" w:rsidR="00736041" w:rsidRPr="005E22C2" w:rsidRDefault="001B5D37" w:rsidP="00CF5E22">
      <w:pPr>
        <w:pStyle w:val="Heading2"/>
      </w:pPr>
      <w:r w:rsidRPr="005E22C2">
        <w:t xml:space="preserve">Analysis </w:t>
      </w:r>
      <w:r w:rsidR="00736041" w:rsidRPr="005E22C2">
        <w:t xml:space="preserve">of </w:t>
      </w:r>
      <w:r w:rsidR="0063631C">
        <w:t>d</w:t>
      </w:r>
      <w:r w:rsidR="00E677DD" w:rsidRPr="005E22C2">
        <w:t xml:space="preserve">rug </w:t>
      </w:r>
      <w:r w:rsidR="0063631C">
        <w:t>u</w:t>
      </w:r>
      <w:r w:rsidR="00E677DD" w:rsidRPr="005E22C2">
        <w:t>tilisation</w:t>
      </w:r>
    </w:p>
    <w:p w14:paraId="09F8A9BC" w14:textId="35E50016" w:rsidR="006A44F5" w:rsidRPr="005E22C2" w:rsidRDefault="00736041" w:rsidP="00CF5E22">
      <w:pPr>
        <w:pStyle w:val="Heading3"/>
      </w:pPr>
      <w:bookmarkStart w:id="0" w:name="_Overall_utilisation"/>
      <w:bookmarkEnd w:id="0"/>
      <w:r w:rsidRPr="005E22C2">
        <w:t>Overall utilisation</w:t>
      </w:r>
    </w:p>
    <w:p w14:paraId="0E2E2818" w14:textId="451BBC8D" w:rsidR="006115CA" w:rsidRDefault="006115CA" w:rsidP="00A35800">
      <w:pPr>
        <w:rPr>
          <w:highlight w:val="yellow"/>
        </w:rPr>
      </w:pPr>
      <w:r>
        <w:rPr>
          <w:noProof/>
        </w:rPr>
        <w:drawing>
          <wp:inline distT="0" distB="0" distL="0" distR="0" wp14:anchorId="541D3F91" wp14:editId="4777C3E1">
            <wp:extent cx="5648325" cy="3038475"/>
            <wp:effectExtent l="0" t="0" r="9525" b="9525"/>
            <wp:docPr id="1" name="Chart 1" descr="Figure 1 shows the total number of patients who were supplied eculizumab by listing year and of those patients how many received their first ever PBS supply of eculizumab in that listing year. " title="Figure 1: Initiating patients and total number of patients supplied eculizumab for aHUS"/>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46C00A3" w14:textId="24BCCB65" w:rsidR="006115CA" w:rsidRDefault="001B349B" w:rsidP="001B349B">
      <w:pPr>
        <w:pStyle w:val="Figuretitle"/>
        <w:rPr>
          <w:highlight w:val="yellow"/>
        </w:rPr>
      </w:pPr>
      <w:r w:rsidRPr="004263BD">
        <w:t>Figure 1: Initiating</w:t>
      </w:r>
      <w:r>
        <w:t xml:space="preserve"> patients and total number of p</w:t>
      </w:r>
      <w:r w:rsidRPr="00450A5E">
        <w:t>atients supplied eculizumab for aHUS</w:t>
      </w:r>
    </w:p>
    <w:p w14:paraId="758DFF70" w14:textId="1D79E7D0" w:rsidR="000215CC" w:rsidRPr="008626DC" w:rsidRDefault="001B349B" w:rsidP="008626DC">
      <w:pPr>
        <w:pStyle w:val="Figurecaption"/>
      </w:pPr>
      <w:r w:rsidRPr="008626DC">
        <w:t>Initiators are people supplied their first PBS-subsidised prescr</w:t>
      </w:r>
      <w:r w:rsidR="000215CC" w:rsidRPr="008626DC">
        <w:t>iption</w:t>
      </w:r>
      <w:r w:rsidRPr="008626DC">
        <w:t xml:space="preserve">. </w:t>
      </w:r>
    </w:p>
    <w:p w14:paraId="1832E667" w14:textId="29351C5E" w:rsidR="001B349B" w:rsidRPr="008626DC" w:rsidRDefault="000215CC" w:rsidP="008626DC">
      <w:pPr>
        <w:pStyle w:val="Figurecaption"/>
      </w:pPr>
      <w:r w:rsidRPr="008626DC">
        <w:t xml:space="preserve">Listing year is December to November; year 4 is part-year to 30 September 2018. </w:t>
      </w:r>
    </w:p>
    <w:p w14:paraId="73BDAE7E" w14:textId="784983F1" w:rsidR="001B349B" w:rsidRPr="008626DC" w:rsidRDefault="001B349B" w:rsidP="008626DC">
      <w:pPr>
        <w:pStyle w:val="Figurecaption"/>
      </w:pPr>
      <w:r w:rsidRPr="008626DC">
        <w:t>Source: PIN count, DHS supplied prescriptions database to 3</w:t>
      </w:r>
      <w:r w:rsidR="004263BD" w:rsidRPr="008626DC">
        <w:t>0 September 2018; extracted 19</w:t>
      </w:r>
      <w:r w:rsidRPr="008626DC">
        <w:t> </w:t>
      </w:r>
      <w:r w:rsidR="004263BD" w:rsidRPr="008626DC">
        <w:t>November 2018</w:t>
      </w:r>
      <w:r w:rsidRPr="008626DC">
        <w:t>.</w:t>
      </w:r>
    </w:p>
    <w:p w14:paraId="18E96B83" w14:textId="77777777" w:rsidR="000215CC" w:rsidRDefault="000215CC" w:rsidP="009E7016"/>
    <w:p w14:paraId="5A1C2FE4" w14:textId="6F5B3411" w:rsidR="009E7016" w:rsidRDefault="009E7016" w:rsidP="000C57D2">
      <w:r>
        <w:t xml:space="preserve">Figure 1 shows the total number of patients who were supplied eculizumab by listing year and of those patients how many received their first ever PBS supply of eculizumab in that listing year. </w:t>
      </w:r>
      <w:r w:rsidRPr="003E0D8C">
        <w:t xml:space="preserve">These categories were determined from PBS supply data regardless of which restriction code (treatment phase) </w:t>
      </w:r>
      <w:r w:rsidRPr="00F707D9">
        <w:t>was used. Initiating patients include people receiving supply under the initial treatment restriction and the grandfather restriction. While grandfathered patients are continuing the</w:t>
      </w:r>
      <w:r w:rsidR="00F707D9" w:rsidRPr="00F707D9">
        <w:t>ir</w:t>
      </w:r>
      <w:r w:rsidRPr="00F707D9">
        <w:t xml:space="preserve"> eculizumab </w:t>
      </w:r>
      <w:r w:rsidR="002E0683" w:rsidRPr="00F707D9">
        <w:t>supply,</w:t>
      </w:r>
      <w:r w:rsidRPr="00F707D9">
        <w:t xml:space="preserve"> they are considered new to PBS supply. The eculizumab listings include</w:t>
      </w:r>
      <w:r>
        <w:t xml:space="preserve"> a range of treatment phases, summarised as initial, continuing, re-</w:t>
      </w:r>
      <w:r w:rsidRPr="00CF24D1">
        <w:t xml:space="preserve">commencement (see </w:t>
      </w:r>
      <w:r w:rsidRPr="00CF24D1">
        <w:rPr>
          <w:u w:val="single"/>
        </w:rPr>
        <w:fldChar w:fldCharType="begin"/>
      </w:r>
      <w:r w:rsidRPr="00CF24D1">
        <w:rPr>
          <w:u w:val="single"/>
        </w:rPr>
        <w:instrText xml:space="preserve"> REF _Ref491349204 \h  \* MERGEFORMAT </w:instrText>
      </w:r>
      <w:r w:rsidRPr="00CF24D1">
        <w:rPr>
          <w:u w:val="single"/>
        </w:rPr>
      </w:r>
      <w:r w:rsidRPr="00CF24D1">
        <w:rPr>
          <w:u w:val="single"/>
        </w:rPr>
        <w:fldChar w:fldCharType="separate"/>
      </w:r>
      <w:r w:rsidRPr="00CF24D1">
        <w:rPr>
          <w:u w:val="single"/>
        </w:rPr>
        <w:t>Appendix A</w:t>
      </w:r>
      <w:r w:rsidRPr="00CF24D1">
        <w:rPr>
          <w:u w:val="single"/>
        </w:rPr>
        <w:fldChar w:fldCharType="end"/>
      </w:r>
      <w:r w:rsidRPr="00CF24D1">
        <w:t xml:space="preserve"> for further restriction details).</w:t>
      </w:r>
      <w:r>
        <w:t xml:space="preserve"> </w:t>
      </w:r>
    </w:p>
    <w:p w14:paraId="77C20428" w14:textId="70ED4FAC" w:rsidR="002E0683" w:rsidRPr="002E0683" w:rsidRDefault="009E7016" w:rsidP="000C57D2">
      <w:pPr>
        <w:pStyle w:val="NoSpacing"/>
        <w:spacing w:after="200"/>
      </w:pPr>
      <w:r w:rsidRPr="00B8136C">
        <w:t xml:space="preserve">The number of patients supplied eculizumab has steadily increased since the time of listing, </w:t>
      </w:r>
      <w:r w:rsidR="00B8136C" w:rsidRPr="00B8136C">
        <w:t xml:space="preserve">with 69 patients in Year 1, increasing to 114 patients in the current listing year to date (10 months of data from December 2017 to September 2018 inclusive). While the current year to date is incomplete, it appears that the number of PBS patients per year may be steadying. However, the number of initiating patients in the current listing year to date (54) has exceeded the numbers in listing years </w:t>
      </w:r>
      <w:r w:rsidR="00594A09" w:rsidRPr="00B8136C">
        <w:t>two</w:t>
      </w:r>
      <w:r w:rsidR="00B8136C" w:rsidRPr="00B8136C">
        <w:t xml:space="preserve"> and </w:t>
      </w:r>
      <w:r w:rsidR="00594A09">
        <w:t>three</w:t>
      </w:r>
      <w:r w:rsidR="00B8136C" w:rsidRPr="00B8136C">
        <w:t xml:space="preserve"> (49 and 48 patients respectively), which had been stable. </w:t>
      </w:r>
      <w:r w:rsidR="00F81AB6" w:rsidRPr="00B8136C">
        <w:t>In</w:t>
      </w:r>
      <w:r w:rsidR="00F81AB6">
        <w:t xml:space="preserve"> total,</w:t>
      </w:r>
      <w:r w:rsidR="00F81AB6" w:rsidRPr="00F81AB6">
        <w:t xml:space="preserve"> 220</w:t>
      </w:r>
      <w:r>
        <w:t xml:space="preserve"> unique patients have been supplied eculizumab from the time of PBS listing (1 December 20</w:t>
      </w:r>
      <w:r w:rsidR="002E0683">
        <w:t>14) to the most recent data (30 </w:t>
      </w:r>
      <w:r w:rsidR="00F81AB6">
        <w:t>September 2018</w:t>
      </w:r>
      <w:r>
        <w:t xml:space="preserve">). </w:t>
      </w:r>
    </w:p>
    <w:p w14:paraId="11BE5B38" w14:textId="2911D6E5" w:rsidR="004263BD" w:rsidRPr="004263BD" w:rsidRDefault="002D3404" w:rsidP="006374A9">
      <w:pPr>
        <w:pStyle w:val="Tabletitle"/>
        <w:spacing w:before="200"/>
      </w:pPr>
      <w:bookmarkStart w:id="1" w:name="Table1"/>
      <w:r>
        <w:lastRenderedPageBreak/>
        <w:t xml:space="preserve">Table </w:t>
      </w:r>
      <w:bookmarkEnd w:id="1"/>
      <w:r>
        <w:t>1</w:t>
      </w:r>
      <w:r w:rsidR="004263BD" w:rsidRPr="004263BD">
        <w:t>: Patients supplied eculizumab for the treatment of aHUS by year</w:t>
      </w:r>
    </w:p>
    <w:tbl>
      <w:tblPr>
        <w:tblStyle w:val="TableGrid"/>
        <w:tblW w:w="0" w:type="auto"/>
        <w:tblLook w:val="04A0" w:firstRow="1" w:lastRow="0" w:firstColumn="1" w:lastColumn="0" w:noHBand="0" w:noVBand="1"/>
        <w:tblCaption w:val="Table 1: Patients supplied eculizumab for the treatment of aHUS by year"/>
        <w:tblDescription w:val="Table 1 depicts the total number of patients and number of new patients by calendar year. "/>
      </w:tblPr>
      <w:tblGrid>
        <w:gridCol w:w="2518"/>
        <w:gridCol w:w="1985"/>
        <w:gridCol w:w="1985"/>
        <w:gridCol w:w="1985"/>
      </w:tblGrid>
      <w:tr w:rsidR="003C634B" w:rsidRPr="004263BD" w14:paraId="37FF54D0" w14:textId="5F5E7085" w:rsidTr="008F4189">
        <w:trPr>
          <w:trHeight w:val="300"/>
          <w:tblHeader/>
        </w:trPr>
        <w:tc>
          <w:tcPr>
            <w:tcW w:w="2518" w:type="dxa"/>
            <w:shd w:val="clear" w:color="auto" w:fill="BFBFBF" w:themeFill="background1" w:themeFillShade="BF"/>
            <w:noWrap/>
            <w:hideMark/>
          </w:tcPr>
          <w:p w14:paraId="49429B86" w14:textId="7DAFA2DB" w:rsidR="003C634B" w:rsidRPr="004263BD" w:rsidRDefault="003C634B" w:rsidP="006374A9">
            <w:pPr>
              <w:pStyle w:val="Tablewriting"/>
              <w:jc w:val="center"/>
              <w:rPr>
                <w:b/>
              </w:rPr>
            </w:pPr>
            <w:r w:rsidRPr="004263BD">
              <w:rPr>
                <w:b/>
              </w:rPr>
              <w:t>Year</w:t>
            </w:r>
          </w:p>
        </w:tc>
        <w:tc>
          <w:tcPr>
            <w:tcW w:w="1985" w:type="dxa"/>
            <w:shd w:val="clear" w:color="auto" w:fill="BFBFBF" w:themeFill="background1" w:themeFillShade="BF"/>
            <w:noWrap/>
            <w:hideMark/>
          </w:tcPr>
          <w:p w14:paraId="1B5544F0" w14:textId="4B03B333" w:rsidR="003C634B" w:rsidRPr="004263BD" w:rsidRDefault="003C634B" w:rsidP="006374A9">
            <w:pPr>
              <w:pStyle w:val="Tablewriting"/>
              <w:jc w:val="center"/>
              <w:rPr>
                <w:b/>
              </w:rPr>
            </w:pPr>
            <w:r w:rsidRPr="004263BD">
              <w:rPr>
                <w:b/>
              </w:rPr>
              <w:t>PBS initiators</w:t>
            </w:r>
          </w:p>
        </w:tc>
        <w:tc>
          <w:tcPr>
            <w:tcW w:w="1985" w:type="dxa"/>
            <w:shd w:val="clear" w:color="auto" w:fill="BFBFBF" w:themeFill="background1" w:themeFillShade="BF"/>
            <w:noWrap/>
            <w:hideMark/>
          </w:tcPr>
          <w:p w14:paraId="31427C30" w14:textId="5AA6368C" w:rsidR="003C634B" w:rsidRPr="004263BD" w:rsidRDefault="003C634B" w:rsidP="006374A9">
            <w:pPr>
              <w:pStyle w:val="Tablewriting"/>
              <w:jc w:val="center"/>
              <w:rPr>
                <w:b/>
              </w:rPr>
            </w:pPr>
            <w:r>
              <w:rPr>
                <w:b/>
              </w:rPr>
              <w:t xml:space="preserve">Total </w:t>
            </w:r>
            <w:r w:rsidRPr="004263BD">
              <w:rPr>
                <w:b/>
              </w:rPr>
              <w:t>PBS patients</w:t>
            </w:r>
          </w:p>
        </w:tc>
        <w:tc>
          <w:tcPr>
            <w:tcW w:w="1985" w:type="dxa"/>
            <w:shd w:val="clear" w:color="auto" w:fill="BFBFBF" w:themeFill="background1" w:themeFillShade="BF"/>
          </w:tcPr>
          <w:p w14:paraId="450F81AC" w14:textId="77D49A55" w:rsidR="003C634B" w:rsidRDefault="003C634B" w:rsidP="006374A9">
            <w:pPr>
              <w:pStyle w:val="Tablewriting"/>
              <w:jc w:val="center"/>
              <w:rPr>
                <w:b/>
              </w:rPr>
            </w:pPr>
            <w:r>
              <w:rPr>
                <w:b/>
              </w:rPr>
              <w:t>% growth in PBS patients p.a.</w:t>
            </w:r>
          </w:p>
        </w:tc>
      </w:tr>
      <w:tr w:rsidR="003C634B" w:rsidRPr="004263BD" w14:paraId="3ED7F0D0" w14:textId="7EEE77C6" w:rsidTr="008F4189">
        <w:trPr>
          <w:trHeight w:val="300"/>
        </w:trPr>
        <w:tc>
          <w:tcPr>
            <w:tcW w:w="2518" w:type="dxa"/>
            <w:noWrap/>
            <w:hideMark/>
          </w:tcPr>
          <w:p w14:paraId="596574DF" w14:textId="2704E1A6" w:rsidR="003C634B" w:rsidRPr="004263BD" w:rsidRDefault="003C634B" w:rsidP="004263BD">
            <w:pPr>
              <w:pStyle w:val="Tablewriting"/>
              <w:jc w:val="center"/>
            </w:pPr>
            <w:r w:rsidRPr="004263BD">
              <w:t>2014</w:t>
            </w:r>
            <w:r>
              <w:t xml:space="preserve"> (Dec only)</w:t>
            </w:r>
          </w:p>
        </w:tc>
        <w:tc>
          <w:tcPr>
            <w:tcW w:w="1985" w:type="dxa"/>
            <w:noWrap/>
            <w:hideMark/>
          </w:tcPr>
          <w:p w14:paraId="24416987" w14:textId="77777777" w:rsidR="003C634B" w:rsidRPr="004263BD" w:rsidRDefault="003C634B" w:rsidP="004263BD">
            <w:pPr>
              <w:pStyle w:val="Tablewriting"/>
              <w:jc w:val="center"/>
            </w:pPr>
            <w:r w:rsidRPr="004263BD">
              <w:t>28</w:t>
            </w:r>
          </w:p>
        </w:tc>
        <w:tc>
          <w:tcPr>
            <w:tcW w:w="1985" w:type="dxa"/>
            <w:noWrap/>
            <w:hideMark/>
          </w:tcPr>
          <w:p w14:paraId="7C7A23B3" w14:textId="77777777" w:rsidR="003C634B" w:rsidRPr="004263BD" w:rsidRDefault="003C634B" w:rsidP="004263BD">
            <w:pPr>
              <w:pStyle w:val="Tablewriting"/>
              <w:jc w:val="center"/>
            </w:pPr>
            <w:r w:rsidRPr="004263BD">
              <w:t>28</w:t>
            </w:r>
          </w:p>
        </w:tc>
        <w:tc>
          <w:tcPr>
            <w:tcW w:w="1985" w:type="dxa"/>
            <w:tcBorders>
              <w:bottom w:val="single" w:sz="4" w:space="0" w:color="auto"/>
            </w:tcBorders>
          </w:tcPr>
          <w:p w14:paraId="1D75F466" w14:textId="313278BA" w:rsidR="003C634B" w:rsidRPr="004263BD" w:rsidRDefault="003C634B" w:rsidP="004263BD">
            <w:pPr>
              <w:pStyle w:val="Tablewriting"/>
              <w:jc w:val="center"/>
            </w:pPr>
            <w:r>
              <w:t>-</w:t>
            </w:r>
          </w:p>
        </w:tc>
      </w:tr>
      <w:tr w:rsidR="003C634B" w:rsidRPr="004263BD" w14:paraId="5EBCC582" w14:textId="512D9E22" w:rsidTr="008F4189">
        <w:trPr>
          <w:trHeight w:val="300"/>
        </w:trPr>
        <w:tc>
          <w:tcPr>
            <w:tcW w:w="2518" w:type="dxa"/>
            <w:noWrap/>
            <w:hideMark/>
          </w:tcPr>
          <w:p w14:paraId="7D3E2CA2" w14:textId="77777777" w:rsidR="003C634B" w:rsidRPr="004263BD" w:rsidRDefault="003C634B" w:rsidP="003C634B">
            <w:pPr>
              <w:pStyle w:val="Tablewriting"/>
              <w:jc w:val="center"/>
            </w:pPr>
            <w:r w:rsidRPr="004263BD">
              <w:t>2015</w:t>
            </w:r>
          </w:p>
        </w:tc>
        <w:tc>
          <w:tcPr>
            <w:tcW w:w="1985" w:type="dxa"/>
            <w:noWrap/>
            <w:hideMark/>
          </w:tcPr>
          <w:p w14:paraId="55433138" w14:textId="77777777" w:rsidR="003C634B" w:rsidRPr="004263BD" w:rsidRDefault="003C634B" w:rsidP="003C634B">
            <w:pPr>
              <w:pStyle w:val="Tablewriting"/>
              <w:jc w:val="center"/>
            </w:pPr>
            <w:r w:rsidRPr="004263BD">
              <w:t>48</w:t>
            </w:r>
          </w:p>
        </w:tc>
        <w:tc>
          <w:tcPr>
            <w:tcW w:w="1985" w:type="dxa"/>
            <w:noWrap/>
            <w:hideMark/>
          </w:tcPr>
          <w:p w14:paraId="0DC4209E" w14:textId="77777777" w:rsidR="003C634B" w:rsidRPr="004263BD" w:rsidRDefault="003C634B" w:rsidP="003C634B">
            <w:pPr>
              <w:pStyle w:val="Tablewriting"/>
              <w:jc w:val="center"/>
            </w:pPr>
            <w:r w:rsidRPr="004263BD">
              <w:t>74</w:t>
            </w:r>
          </w:p>
        </w:tc>
        <w:tc>
          <w:tcPr>
            <w:tcW w:w="1985" w:type="dxa"/>
            <w:tcBorders>
              <w:top w:val="single" w:sz="4" w:space="0" w:color="auto"/>
              <w:left w:val="nil"/>
              <w:bottom w:val="single" w:sz="4" w:space="0" w:color="auto"/>
              <w:right w:val="single" w:sz="4" w:space="0" w:color="auto"/>
            </w:tcBorders>
            <w:shd w:val="clear" w:color="auto" w:fill="auto"/>
            <w:vAlign w:val="bottom"/>
          </w:tcPr>
          <w:p w14:paraId="5E185737" w14:textId="4EE19ADF" w:rsidR="003C634B" w:rsidRPr="004263BD" w:rsidRDefault="003C634B" w:rsidP="003C634B">
            <w:pPr>
              <w:pStyle w:val="Tablewriting"/>
              <w:jc w:val="center"/>
            </w:pPr>
            <w:r w:rsidRPr="003C634B">
              <w:t>164%</w:t>
            </w:r>
          </w:p>
        </w:tc>
      </w:tr>
      <w:tr w:rsidR="003C634B" w:rsidRPr="004263BD" w14:paraId="20958CA3" w14:textId="66D6C327" w:rsidTr="008F4189">
        <w:trPr>
          <w:trHeight w:val="300"/>
        </w:trPr>
        <w:tc>
          <w:tcPr>
            <w:tcW w:w="2518" w:type="dxa"/>
            <w:noWrap/>
            <w:hideMark/>
          </w:tcPr>
          <w:p w14:paraId="0AF1F49B" w14:textId="77777777" w:rsidR="003C634B" w:rsidRPr="004263BD" w:rsidRDefault="003C634B" w:rsidP="003C634B">
            <w:pPr>
              <w:pStyle w:val="Tablewriting"/>
              <w:jc w:val="center"/>
            </w:pPr>
            <w:r w:rsidRPr="004263BD">
              <w:t>2016</w:t>
            </w:r>
          </w:p>
        </w:tc>
        <w:tc>
          <w:tcPr>
            <w:tcW w:w="1985" w:type="dxa"/>
            <w:noWrap/>
            <w:hideMark/>
          </w:tcPr>
          <w:p w14:paraId="7F4192C1" w14:textId="77777777" w:rsidR="003C634B" w:rsidRPr="004263BD" w:rsidRDefault="003C634B" w:rsidP="003C634B">
            <w:pPr>
              <w:pStyle w:val="Tablewriting"/>
              <w:jc w:val="center"/>
            </w:pPr>
            <w:r w:rsidRPr="004263BD">
              <w:t>48</w:t>
            </w:r>
          </w:p>
        </w:tc>
        <w:tc>
          <w:tcPr>
            <w:tcW w:w="1985" w:type="dxa"/>
            <w:noWrap/>
            <w:hideMark/>
          </w:tcPr>
          <w:p w14:paraId="11A7FC03" w14:textId="77777777" w:rsidR="003C634B" w:rsidRPr="004263BD" w:rsidRDefault="003C634B" w:rsidP="003C634B">
            <w:pPr>
              <w:pStyle w:val="Tablewriting"/>
              <w:jc w:val="center"/>
            </w:pPr>
            <w:r w:rsidRPr="004263BD">
              <w:t>92</w:t>
            </w:r>
          </w:p>
        </w:tc>
        <w:tc>
          <w:tcPr>
            <w:tcW w:w="1985" w:type="dxa"/>
            <w:tcBorders>
              <w:top w:val="single" w:sz="4" w:space="0" w:color="auto"/>
              <w:left w:val="nil"/>
              <w:bottom w:val="single" w:sz="4" w:space="0" w:color="auto"/>
              <w:right w:val="single" w:sz="4" w:space="0" w:color="auto"/>
            </w:tcBorders>
            <w:shd w:val="clear" w:color="auto" w:fill="auto"/>
            <w:vAlign w:val="bottom"/>
          </w:tcPr>
          <w:p w14:paraId="580997C4" w14:textId="3FFF35CD" w:rsidR="003C634B" w:rsidRPr="004263BD" w:rsidRDefault="003C634B" w:rsidP="003C634B">
            <w:pPr>
              <w:pStyle w:val="Tablewriting"/>
              <w:jc w:val="center"/>
            </w:pPr>
            <w:r w:rsidRPr="003C634B">
              <w:t>24%</w:t>
            </w:r>
          </w:p>
        </w:tc>
      </w:tr>
      <w:tr w:rsidR="003C634B" w:rsidRPr="004263BD" w14:paraId="1663CC78" w14:textId="031029ED" w:rsidTr="008F4189">
        <w:trPr>
          <w:trHeight w:val="300"/>
        </w:trPr>
        <w:tc>
          <w:tcPr>
            <w:tcW w:w="2518" w:type="dxa"/>
            <w:noWrap/>
            <w:hideMark/>
          </w:tcPr>
          <w:p w14:paraId="2440FDD1" w14:textId="77777777" w:rsidR="003C634B" w:rsidRPr="004263BD" w:rsidRDefault="003C634B" w:rsidP="003C634B">
            <w:pPr>
              <w:pStyle w:val="Tablewriting"/>
              <w:jc w:val="center"/>
            </w:pPr>
            <w:r w:rsidRPr="004263BD">
              <w:t>2017</w:t>
            </w:r>
          </w:p>
        </w:tc>
        <w:tc>
          <w:tcPr>
            <w:tcW w:w="1985" w:type="dxa"/>
            <w:noWrap/>
            <w:hideMark/>
          </w:tcPr>
          <w:p w14:paraId="6C560208" w14:textId="77777777" w:rsidR="003C634B" w:rsidRPr="004263BD" w:rsidRDefault="003C634B" w:rsidP="003C634B">
            <w:pPr>
              <w:pStyle w:val="Tablewriting"/>
              <w:jc w:val="center"/>
            </w:pPr>
            <w:r w:rsidRPr="004263BD">
              <w:t>48</w:t>
            </w:r>
          </w:p>
        </w:tc>
        <w:tc>
          <w:tcPr>
            <w:tcW w:w="1985" w:type="dxa"/>
            <w:noWrap/>
            <w:hideMark/>
          </w:tcPr>
          <w:p w14:paraId="3A98D535" w14:textId="764B48B3" w:rsidR="003C634B" w:rsidRPr="004263BD" w:rsidRDefault="003C634B" w:rsidP="003C634B">
            <w:pPr>
              <w:pStyle w:val="Tablewriting"/>
              <w:jc w:val="center"/>
            </w:pPr>
            <w:r w:rsidRPr="004263BD">
              <w:t>109</w:t>
            </w:r>
          </w:p>
        </w:tc>
        <w:tc>
          <w:tcPr>
            <w:tcW w:w="1985" w:type="dxa"/>
            <w:tcBorders>
              <w:top w:val="single" w:sz="4" w:space="0" w:color="auto"/>
              <w:left w:val="nil"/>
              <w:bottom w:val="single" w:sz="4" w:space="0" w:color="auto"/>
              <w:right w:val="single" w:sz="4" w:space="0" w:color="auto"/>
            </w:tcBorders>
            <w:shd w:val="clear" w:color="auto" w:fill="auto"/>
            <w:vAlign w:val="bottom"/>
          </w:tcPr>
          <w:p w14:paraId="1E2515E8" w14:textId="580B736E" w:rsidR="003C634B" w:rsidRPr="004263BD" w:rsidRDefault="00D30BCF" w:rsidP="003C634B">
            <w:pPr>
              <w:pStyle w:val="Tablewriting"/>
              <w:jc w:val="center"/>
            </w:pPr>
            <w:r>
              <w:t>18</w:t>
            </w:r>
            <w:r w:rsidR="003C634B" w:rsidRPr="003C634B">
              <w:t>%</w:t>
            </w:r>
          </w:p>
        </w:tc>
      </w:tr>
      <w:tr w:rsidR="003C634B" w:rsidRPr="004263BD" w14:paraId="066FC37A" w14:textId="0FC63097" w:rsidTr="008F4189">
        <w:trPr>
          <w:trHeight w:val="300"/>
        </w:trPr>
        <w:tc>
          <w:tcPr>
            <w:tcW w:w="2518" w:type="dxa"/>
            <w:noWrap/>
            <w:hideMark/>
          </w:tcPr>
          <w:p w14:paraId="0DA7C7DA" w14:textId="56B333EE" w:rsidR="003C634B" w:rsidRPr="004263BD" w:rsidRDefault="003C634B" w:rsidP="003C634B">
            <w:pPr>
              <w:pStyle w:val="Tablewriting"/>
              <w:jc w:val="center"/>
            </w:pPr>
            <w:r w:rsidRPr="004263BD">
              <w:t>2018</w:t>
            </w:r>
            <w:r>
              <w:t xml:space="preserve"> (Jan-Sept inclusive)</w:t>
            </w:r>
          </w:p>
        </w:tc>
        <w:tc>
          <w:tcPr>
            <w:tcW w:w="1985" w:type="dxa"/>
            <w:tcBorders>
              <w:bottom w:val="single" w:sz="4" w:space="0" w:color="auto"/>
            </w:tcBorders>
            <w:noWrap/>
            <w:hideMark/>
          </w:tcPr>
          <w:p w14:paraId="78AAA8C5" w14:textId="77777777" w:rsidR="003C634B" w:rsidRPr="004263BD" w:rsidRDefault="003C634B" w:rsidP="003C634B">
            <w:pPr>
              <w:pStyle w:val="Tablewriting"/>
              <w:jc w:val="center"/>
            </w:pPr>
            <w:r w:rsidRPr="004263BD">
              <w:t>48</w:t>
            </w:r>
          </w:p>
        </w:tc>
        <w:tc>
          <w:tcPr>
            <w:tcW w:w="1985" w:type="dxa"/>
            <w:noWrap/>
            <w:hideMark/>
          </w:tcPr>
          <w:p w14:paraId="46197EB5" w14:textId="77777777" w:rsidR="003C634B" w:rsidRPr="004263BD" w:rsidRDefault="003C634B" w:rsidP="003C634B">
            <w:pPr>
              <w:pStyle w:val="Tablewriting"/>
              <w:jc w:val="center"/>
            </w:pPr>
            <w:r w:rsidRPr="004263BD">
              <w:t>110</w:t>
            </w:r>
          </w:p>
        </w:tc>
        <w:tc>
          <w:tcPr>
            <w:tcW w:w="1985" w:type="dxa"/>
            <w:tcBorders>
              <w:top w:val="single" w:sz="4" w:space="0" w:color="auto"/>
              <w:left w:val="nil"/>
              <w:bottom w:val="single" w:sz="4" w:space="0" w:color="auto"/>
              <w:right w:val="single" w:sz="4" w:space="0" w:color="auto"/>
            </w:tcBorders>
            <w:shd w:val="clear" w:color="auto" w:fill="auto"/>
            <w:vAlign w:val="bottom"/>
          </w:tcPr>
          <w:p w14:paraId="4142CA07" w14:textId="29B449FA" w:rsidR="003C634B" w:rsidRPr="004263BD" w:rsidRDefault="00D30BCF" w:rsidP="003C634B">
            <w:pPr>
              <w:pStyle w:val="Tablewriting"/>
              <w:jc w:val="center"/>
            </w:pPr>
            <w:r>
              <w:t>1</w:t>
            </w:r>
            <w:r w:rsidR="003C634B" w:rsidRPr="003C634B">
              <w:t>%</w:t>
            </w:r>
          </w:p>
        </w:tc>
      </w:tr>
      <w:tr w:rsidR="003C634B" w:rsidRPr="004263BD" w14:paraId="6622C5E7" w14:textId="3A4D38B9" w:rsidTr="008F4189">
        <w:trPr>
          <w:trHeight w:val="300"/>
        </w:trPr>
        <w:tc>
          <w:tcPr>
            <w:tcW w:w="2518" w:type="dxa"/>
            <w:noWrap/>
            <w:hideMark/>
          </w:tcPr>
          <w:p w14:paraId="08AAD6C5" w14:textId="26D23946" w:rsidR="003C634B" w:rsidRPr="004263BD" w:rsidRDefault="003C634B" w:rsidP="003C634B">
            <w:pPr>
              <w:pStyle w:val="Tablewriting"/>
              <w:jc w:val="center"/>
            </w:pPr>
            <w:r w:rsidRPr="004263BD">
              <w:t>Total</w:t>
            </w:r>
          </w:p>
        </w:tc>
        <w:tc>
          <w:tcPr>
            <w:tcW w:w="1985" w:type="dxa"/>
            <w:noWrap/>
            <w:hideMark/>
          </w:tcPr>
          <w:p w14:paraId="1CFE06EE" w14:textId="77777777" w:rsidR="003C634B" w:rsidRPr="004263BD" w:rsidRDefault="003C634B" w:rsidP="003C634B">
            <w:pPr>
              <w:pStyle w:val="Tablewriting"/>
              <w:jc w:val="center"/>
            </w:pPr>
            <w:r w:rsidRPr="004263BD">
              <w:t>220</w:t>
            </w:r>
          </w:p>
        </w:tc>
        <w:tc>
          <w:tcPr>
            <w:tcW w:w="1985" w:type="dxa"/>
            <w:noWrap/>
            <w:hideMark/>
          </w:tcPr>
          <w:p w14:paraId="585C9740" w14:textId="06BEC7DF" w:rsidR="003C634B" w:rsidRPr="004263BD" w:rsidRDefault="003C634B" w:rsidP="003C634B">
            <w:pPr>
              <w:pStyle w:val="Tablewriting"/>
              <w:jc w:val="center"/>
            </w:pPr>
            <w:r w:rsidRPr="004263BD">
              <w:t>-</w:t>
            </w:r>
          </w:p>
        </w:tc>
        <w:tc>
          <w:tcPr>
            <w:tcW w:w="1985" w:type="dxa"/>
            <w:tcBorders>
              <w:top w:val="single" w:sz="4" w:space="0" w:color="auto"/>
            </w:tcBorders>
          </w:tcPr>
          <w:p w14:paraId="3F85E44E" w14:textId="572FEA5A" w:rsidR="003C634B" w:rsidRPr="004263BD" w:rsidRDefault="003C634B" w:rsidP="003C634B">
            <w:pPr>
              <w:pStyle w:val="Tablewriting"/>
              <w:jc w:val="center"/>
            </w:pPr>
            <w:r>
              <w:t>-</w:t>
            </w:r>
          </w:p>
        </w:tc>
      </w:tr>
    </w:tbl>
    <w:p w14:paraId="03A7FC24" w14:textId="77777777" w:rsidR="004263BD" w:rsidRPr="00450A5E" w:rsidRDefault="004263BD" w:rsidP="002D3404">
      <w:pPr>
        <w:pStyle w:val="Figurecaption"/>
        <w:spacing w:after="0"/>
      </w:pPr>
      <w:r w:rsidRPr="004263BD">
        <w:t>Source: PIN count, DHS supplied prescriptions database to 30 September 2018; extracted 19 November 2018.</w:t>
      </w:r>
    </w:p>
    <w:p w14:paraId="57430E62" w14:textId="22A3FF81" w:rsidR="006115CA" w:rsidRDefault="004263BD" w:rsidP="00A35800">
      <w:pPr>
        <w:rPr>
          <w:sz w:val="20"/>
          <w:szCs w:val="20"/>
          <w:lang w:eastAsia="en-US"/>
        </w:rPr>
      </w:pPr>
      <w:r w:rsidRPr="004263BD">
        <w:rPr>
          <w:sz w:val="20"/>
          <w:szCs w:val="20"/>
          <w:lang w:eastAsia="en-US"/>
        </w:rPr>
        <w:t>Initiators are people supplied their first PBS-subsidised prescription</w:t>
      </w:r>
      <w:r>
        <w:rPr>
          <w:sz w:val="20"/>
          <w:szCs w:val="20"/>
          <w:lang w:eastAsia="en-US"/>
        </w:rPr>
        <w:t xml:space="preserve"> in that year. </w:t>
      </w:r>
    </w:p>
    <w:p w14:paraId="41333234" w14:textId="737EB6A4" w:rsidR="00FE1131" w:rsidRDefault="002D3404" w:rsidP="000C57D2">
      <w:r>
        <w:t>Table 1</w:t>
      </w:r>
      <w:r w:rsidR="007F5213">
        <w:t xml:space="preserve"> depicts t</w:t>
      </w:r>
      <w:r w:rsidR="00FE1131">
        <w:t>he total number of patients and number of new patients by calendar year</w:t>
      </w:r>
      <w:r w:rsidR="007F5213">
        <w:t>. In 2017, 109</w:t>
      </w:r>
      <w:r w:rsidR="00FE1131">
        <w:t xml:space="preserve"> patients were supplied eculizumab under the aHUS restrictions</w:t>
      </w:r>
      <w:r w:rsidR="003C634B">
        <w:t>. Of these patients, 48 (44</w:t>
      </w:r>
      <w:r w:rsidR="00FE1131" w:rsidRPr="00450A5E">
        <w:t>%) received their first PBS-su</w:t>
      </w:r>
      <w:r w:rsidR="00D30BCF">
        <w:t xml:space="preserve">bsidised supply of eculizumab. While the number of PBS patients has increased each year, the rate of growth is decreasing (noting that data presented for 2018 is part-year). </w:t>
      </w:r>
    </w:p>
    <w:p w14:paraId="18EDFCD4" w14:textId="596E289F" w:rsidR="00A54AD0" w:rsidRDefault="00A54AD0" w:rsidP="00FE1131">
      <w:r>
        <w:rPr>
          <w:noProof/>
        </w:rPr>
        <w:drawing>
          <wp:inline distT="0" distB="0" distL="0" distR="0" wp14:anchorId="72194230" wp14:editId="6C9A5A9A">
            <wp:extent cx="5553075" cy="3600450"/>
            <wp:effectExtent l="0" t="0" r="9525" b="0"/>
            <wp:docPr id="4" name="Chart 4" descr="Figure 2 shows the number of eculizumab prescriptions supplied by quarter by the phase of treatment as per the Authorities database. " title="Figure 2: Prescriptions by treatment pha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A2F0D71" w14:textId="7FF0A25B" w:rsidR="001750B0" w:rsidRDefault="001750B0" w:rsidP="000C57D2">
      <w:pPr>
        <w:pStyle w:val="Figuretitle"/>
        <w:rPr>
          <w:highlight w:val="yellow"/>
        </w:rPr>
      </w:pPr>
      <w:bookmarkStart w:id="2" w:name="Figure2"/>
      <w:r w:rsidRPr="004263BD">
        <w:t>Figure</w:t>
      </w:r>
      <w:r>
        <w:t xml:space="preserve"> 2</w:t>
      </w:r>
      <w:bookmarkEnd w:id="2"/>
      <w:r w:rsidRPr="004263BD">
        <w:t xml:space="preserve">: </w:t>
      </w:r>
      <w:r>
        <w:t>Prescriptions by treatment phase</w:t>
      </w:r>
    </w:p>
    <w:p w14:paraId="4F8E6952" w14:textId="77777777" w:rsidR="001750B0" w:rsidRPr="00450A5E" w:rsidRDefault="001750B0" w:rsidP="000C57D2">
      <w:pPr>
        <w:pStyle w:val="Figurecaption"/>
      </w:pPr>
      <w:r>
        <w:t>Extended and balance of supply restrictions are included within these simplified treatment phases</w:t>
      </w:r>
    </w:p>
    <w:p w14:paraId="7CFBF35D" w14:textId="293B626F" w:rsidR="001750B0" w:rsidRDefault="001750B0" w:rsidP="001750B0">
      <w:pPr>
        <w:pStyle w:val="Figurecaption"/>
      </w:pPr>
      <w:r w:rsidRPr="004263BD">
        <w:t>S</w:t>
      </w:r>
      <w:r w:rsidR="002658E3">
        <w:t xml:space="preserve">ource: </w:t>
      </w:r>
      <w:r w:rsidRPr="00B02AE6">
        <w:t>DHS supplied prescriptions database</w:t>
      </w:r>
      <w:r w:rsidR="002658E3">
        <w:t xml:space="preserve"> and Authorities database</w:t>
      </w:r>
      <w:r w:rsidRPr="00B02AE6">
        <w:t xml:space="preserve"> to 30 September 2018; extracted 19 November 2018.</w:t>
      </w:r>
    </w:p>
    <w:p w14:paraId="5B769EB6" w14:textId="5C318752" w:rsidR="00967DCB" w:rsidRDefault="00967DCB" w:rsidP="001750B0">
      <w:pPr>
        <w:pStyle w:val="Figurecaption"/>
      </w:pPr>
    </w:p>
    <w:p w14:paraId="73213EE2" w14:textId="69334411" w:rsidR="00967DCB" w:rsidRPr="00967DCB" w:rsidRDefault="00967DCB" w:rsidP="000C57D2">
      <w:pPr>
        <w:pStyle w:val="Figurecaption"/>
        <w:spacing w:before="0" w:after="200"/>
        <w:rPr>
          <w:sz w:val="24"/>
          <w:szCs w:val="24"/>
          <w:lang w:eastAsia="en-AU"/>
        </w:rPr>
      </w:pPr>
      <w:r w:rsidRPr="00967DCB">
        <w:rPr>
          <w:sz w:val="24"/>
          <w:szCs w:val="24"/>
          <w:lang w:eastAsia="en-AU"/>
        </w:rPr>
        <w:lastRenderedPageBreak/>
        <w:t>Figure 2</w:t>
      </w:r>
      <w:r w:rsidR="002658E3">
        <w:rPr>
          <w:sz w:val="24"/>
          <w:szCs w:val="24"/>
          <w:lang w:eastAsia="en-AU"/>
        </w:rPr>
        <w:t xml:space="preserve"> shows the number of eculizumab prescriptions supplied by quarter by the phase of treatment as per the Authorities database. </w:t>
      </w:r>
      <w:r w:rsidR="008D1B80">
        <w:rPr>
          <w:sz w:val="24"/>
          <w:szCs w:val="24"/>
          <w:lang w:eastAsia="en-AU"/>
        </w:rPr>
        <w:t xml:space="preserve">Overall, the number of prescriptions supplied per quarter has increased over the period, from 102 in the first complete quarter </w:t>
      </w:r>
      <w:r w:rsidR="008A5083">
        <w:rPr>
          <w:sz w:val="24"/>
          <w:szCs w:val="24"/>
          <w:lang w:eastAsia="en-AU"/>
        </w:rPr>
        <w:t xml:space="preserve">(2015Q1) </w:t>
      </w:r>
      <w:r w:rsidR="008D1B80">
        <w:rPr>
          <w:sz w:val="24"/>
          <w:szCs w:val="24"/>
          <w:lang w:eastAsia="en-AU"/>
        </w:rPr>
        <w:t xml:space="preserve">to 230 </w:t>
      </w:r>
      <w:r w:rsidR="008A5083">
        <w:rPr>
          <w:sz w:val="24"/>
          <w:szCs w:val="24"/>
          <w:lang w:eastAsia="en-AU"/>
        </w:rPr>
        <w:t xml:space="preserve">in the latest complete quarter (2018Q3). </w:t>
      </w:r>
      <w:r w:rsidR="00DD60D6">
        <w:rPr>
          <w:sz w:val="24"/>
          <w:szCs w:val="24"/>
          <w:lang w:eastAsia="en-AU"/>
        </w:rPr>
        <w:t>Over the listing per</w:t>
      </w:r>
      <w:r w:rsidR="008A5083">
        <w:rPr>
          <w:sz w:val="24"/>
          <w:szCs w:val="24"/>
          <w:lang w:eastAsia="en-AU"/>
        </w:rPr>
        <w:t>iod to date, there have been 41 </w:t>
      </w:r>
      <w:r w:rsidR="00DD60D6">
        <w:rPr>
          <w:sz w:val="24"/>
          <w:szCs w:val="24"/>
          <w:lang w:eastAsia="en-AU"/>
        </w:rPr>
        <w:t>prescriptions supplied under the recommencement of treatment restriction (not includ</w:t>
      </w:r>
      <w:r w:rsidR="00DD7C59">
        <w:rPr>
          <w:sz w:val="24"/>
          <w:szCs w:val="24"/>
          <w:lang w:eastAsia="en-AU"/>
        </w:rPr>
        <w:t>ing continuing recommencement</w:t>
      </w:r>
      <w:r w:rsidR="00774AD4">
        <w:rPr>
          <w:sz w:val="24"/>
          <w:szCs w:val="24"/>
          <w:lang w:eastAsia="en-AU"/>
        </w:rPr>
        <w:t>).</w:t>
      </w:r>
      <w:r w:rsidR="00DD7C59">
        <w:rPr>
          <w:sz w:val="24"/>
          <w:szCs w:val="24"/>
          <w:lang w:eastAsia="en-AU"/>
        </w:rPr>
        <w:t xml:space="preserve"> </w:t>
      </w:r>
    </w:p>
    <w:p w14:paraId="09F9D349" w14:textId="2C5E1C94" w:rsidR="00736041" w:rsidRDefault="00736041" w:rsidP="000C57D2">
      <w:pPr>
        <w:pStyle w:val="Heading3"/>
      </w:pPr>
      <w:bookmarkStart w:id="3" w:name="_Utilisation_by_age"/>
      <w:bookmarkEnd w:id="3"/>
      <w:r w:rsidRPr="005E22C2">
        <w:t xml:space="preserve">Utilisation by </w:t>
      </w:r>
      <w:r w:rsidR="00F53FCF">
        <w:t>age</w:t>
      </w:r>
    </w:p>
    <w:p w14:paraId="52BCA1DA" w14:textId="54805D7F" w:rsidR="00F53FCF" w:rsidRDefault="00F53FCF" w:rsidP="000C57D2">
      <w:r>
        <w:rPr>
          <w:rFonts w:eastAsiaTheme="minorHAnsi"/>
        </w:rPr>
        <w:t xml:space="preserve">Table </w:t>
      </w:r>
      <w:r w:rsidR="002D3404">
        <w:rPr>
          <w:rFonts w:eastAsiaTheme="minorHAnsi"/>
        </w:rPr>
        <w:t>2</w:t>
      </w:r>
      <w:r>
        <w:rPr>
          <w:rFonts w:eastAsiaTheme="minorHAnsi"/>
        </w:rPr>
        <w:t xml:space="preserve"> shows that, from the time of listing to the most recent data, the proportion of adult patients (18 years and over) was 90%. D</w:t>
      </w:r>
      <w:r>
        <w:t>ata are presented as aggregate over the listing period rather than by year due to small patient numbers; however, the trend of paediatric to adult patients was similar in each year (proportion of adult patients ranged from 86</w:t>
      </w:r>
      <w:r>
        <w:noBreakHyphen/>
        <w:t xml:space="preserve">94%). </w:t>
      </w:r>
    </w:p>
    <w:p w14:paraId="55F7AB43" w14:textId="539E4CB6" w:rsidR="00ED7366" w:rsidRPr="00450A5E" w:rsidRDefault="00ED7366" w:rsidP="000C57D2">
      <w:pPr>
        <w:pStyle w:val="Tabletitle"/>
        <w:spacing w:before="200"/>
      </w:pPr>
      <w:r w:rsidRPr="00450A5E">
        <w:t xml:space="preserve">Table </w:t>
      </w:r>
      <w:r w:rsidR="002D3404">
        <w:t>2</w:t>
      </w:r>
      <w:r w:rsidRPr="00450A5E">
        <w:t xml:space="preserve">: </w:t>
      </w:r>
      <w:r>
        <w:t>P</w:t>
      </w:r>
      <w:r w:rsidRPr="00450A5E">
        <w:t>atient age at initiation</w:t>
      </w:r>
    </w:p>
    <w:tbl>
      <w:tblPr>
        <w:tblW w:w="38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2248"/>
      </w:tblGrid>
      <w:tr w:rsidR="00733BBB" w:rsidRPr="00733BBB" w14:paraId="34778F08" w14:textId="77777777" w:rsidTr="00DD7C59">
        <w:trPr>
          <w:trHeight w:val="300"/>
        </w:trPr>
        <w:tc>
          <w:tcPr>
            <w:tcW w:w="1580" w:type="dxa"/>
            <w:tcBorders>
              <w:bottom w:val="single" w:sz="4" w:space="0" w:color="auto"/>
            </w:tcBorders>
            <w:shd w:val="clear" w:color="auto" w:fill="BFBFBF" w:themeFill="background1" w:themeFillShade="BF"/>
            <w:noWrap/>
            <w:vAlign w:val="bottom"/>
            <w:hideMark/>
          </w:tcPr>
          <w:p w14:paraId="3860220C" w14:textId="782D95E3" w:rsidR="00733BBB" w:rsidRPr="00733BBB" w:rsidRDefault="00733BBB" w:rsidP="00733BBB">
            <w:pPr>
              <w:pStyle w:val="Tablewriting"/>
              <w:jc w:val="center"/>
              <w:rPr>
                <w:b/>
              </w:rPr>
            </w:pPr>
            <w:r w:rsidRPr="001750B0">
              <w:rPr>
                <w:b/>
              </w:rPr>
              <w:t>Age range</w:t>
            </w:r>
          </w:p>
        </w:tc>
        <w:tc>
          <w:tcPr>
            <w:tcW w:w="2248" w:type="dxa"/>
            <w:tcBorders>
              <w:bottom w:val="single" w:sz="4" w:space="0" w:color="auto"/>
            </w:tcBorders>
            <w:shd w:val="clear" w:color="auto" w:fill="BFBFBF" w:themeFill="background1" w:themeFillShade="BF"/>
            <w:noWrap/>
            <w:vAlign w:val="bottom"/>
            <w:hideMark/>
          </w:tcPr>
          <w:p w14:paraId="5B06F1D0" w14:textId="4A098C17" w:rsidR="00733BBB" w:rsidRPr="00733BBB" w:rsidRDefault="00733BBB" w:rsidP="00733BBB">
            <w:pPr>
              <w:pStyle w:val="Tablewriting"/>
              <w:jc w:val="center"/>
              <w:rPr>
                <w:b/>
              </w:rPr>
            </w:pPr>
            <w:r w:rsidRPr="001750B0">
              <w:rPr>
                <w:b/>
              </w:rPr>
              <w:t>PBS initiators</w:t>
            </w:r>
          </w:p>
        </w:tc>
      </w:tr>
      <w:tr w:rsidR="00733BBB" w:rsidRPr="00733BBB" w14:paraId="315E767D" w14:textId="77777777" w:rsidTr="00DD7C59">
        <w:trPr>
          <w:trHeight w:val="300"/>
        </w:trPr>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B6F0E8" w14:textId="77777777" w:rsidR="00733BBB" w:rsidRPr="00733BBB" w:rsidRDefault="00733BBB" w:rsidP="00733BBB">
            <w:pPr>
              <w:pStyle w:val="Tablewriting"/>
              <w:jc w:val="center"/>
            </w:pPr>
            <w:r w:rsidRPr="00733BBB">
              <w:t xml:space="preserve"> 0-11 years</w:t>
            </w:r>
          </w:p>
        </w:tc>
        <w:tc>
          <w:tcPr>
            <w:tcW w:w="22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44EDAB" w14:textId="77777777" w:rsidR="00733BBB" w:rsidRPr="00733BBB" w:rsidRDefault="00733BBB" w:rsidP="00733BBB">
            <w:pPr>
              <w:pStyle w:val="Tablewriting"/>
              <w:jc w:val="center"/>
            </w:pPr>
            <w:r w:rsidRPr="00733BBB">
              <w:t>14</w:t>
            </w:r>
          </w:p>
        </w:tc>
      </w:tr>
      <w:tr w:rsidR="00733BBB" w:rsidRPr="00733BBB" w14:paraId="73513D5A" w14:textId="77777777" w:rsidTr="00DD7C59">
        <w:trPr>
          <w:trHeight w:val="300"/>
        </w:trPr>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F46A30" w14:textId="77777777" w:rsidR="00733BBB" w:rsidRPr="00733BBB" w:rsidRDefault="00733BBB" w:rsidP="00733BBB">
            <w:pPr>
              <w:pStyle w:val="Tablewriting"/>
              <w:jc w:val="center"/>
            </w:pPr>
            <w:r w:rsidRPr="00733BBB">
              <w:t>12-17 years</w:t>
            </w:r>
          </w:p>
        </w:tc>
        <w:tc>
          <w:tcPr>
            <w:tcW w:w="22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A5F92" w14:textId="77777777" w:rsidR="00733BBB" w:rsidRPr="00733BBB" w:rsidRDefault="00733BBB" w:rsidP="00733BBB">
            <w:pPr>
              <w:pStyle w:val="Tablewriting"/>
              <w:jc w:val="center"/>
            </w:pPr>
            <w:r w:rsidRPr="00733BBB">
              <w:t>9</w:t>
            </w:r>
          </w:p>
        </w:tc>
      </w:tr>
      <w:tr w:rsidR="00733BBB" w:rsidRPr="00733BBB" w14:paraId="047AE773" w14:textId="77777777" w:rsidTr="00DD7C59">
        <w:trPr>
          <w:trHeight w:val="300"/>
        </w:trPr>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AB9352" w14:textId="77777777" w:rsidR="00733BBB" w:rsidRPr="00733BBB" w:rsidRDefault="00733BBB" w:rsidP="00733BBB">
            <w:pPr>
              <w:pStyle w:val="Tablewriting"/>
              <w:jc w:val="center"/>
            </w:pPr>
            <w:r w:rsidRPr="00733BBB">
              <w:t>18+ years</w:t>
            </w:r>
          </w:p>
        </w:tc>
        <w:tc>
          <w:tcPr>
            <w:tcW w:w="22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3F5A5F" w14:textId="77777777" w:rsidR="00733BBB" w:rsidRPr="00733BBB" w:rsidRDefault="00733BBB" w:rsidP="00733BBB">
            <w:pPr>
              <w:pStyle w:val="Tablewriting"/>
              <w:jc w:val="center"/>
            </w:pPr>
            <w:r w:rsidRPr="00733BBB">
              <w:t>197</w:t>
            </w:r>
          </w:p>
        </w:tc>
      </w:tr>
      <w:tr w:rsidR="00733BBB" w:rsidRPr="00733BBB" w14:paraId="0BFD7982" w14:textId="77777777" w:rsidTr="00DD7C59">
        <w:trPr>
          <w:trHeight w:val="300"/>
        </w:trPr>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0DE0B2" w14:textId="3ACCD041" w:rsidR="00733BBB" w:rsidRPr="00733BBB" w:rsidRDefault="00733BBB" w:rsidP="00733BBB">
            <w:pPr>
              <w:pStyle w:val="Tablewriting"/>
              <w:jc w:val="center"/>
            </w:pPr>
            <w:r w:rsidRPr="00733BBB">
              <w:t>Total</w:t>
            </w:r>
          </w:p>
        </w:tc>
        <w:tc>
          <w:tcPr>
            <w:tcW w:w="22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71F62B" w14:textId="77777777" w:rsidR="00733BBB" w:rsidRPr="00733BBB" w:rsidRDefault="00733BBB" w:rsidP="00733BBB">
            <w:pPr>
              <w:pStyle w:val="Tablewriting"/>
              <w:jc w:val="center"/>
            </w:pPr>
            <w:r w:rsidRPr="00733BBB">
              <w:t>220</w:t>
            </w:r>
          </w:p>
        </w:tc>
      </w:tr>
    </w:tbl>
    <w:p w14:paraId="2514DE5C" w14:textId="267CDF4E" w:rsidR="006A5B81" w:rsidRDefault="006A5B81" w:rsidP="00E5745E">
      <w:pPr>
        <w:pStyle w:val="Figurecaption"/>
        <w:spacing w:after="0"/>
      </w:pPr>
      <w:r>
        <w:t xml:space="preserve">Time period: December 2014 – September 2018. </w:t>
      </w:r>
    </w:p>
    <w:p w14:paraId="7FE9E256" w14:textId="60E750D5" w:rsidR="00733BBB" w:rsidRDefault="006A5B81" w:rsidP="006A5B81">
      <w:pPr>
        <w:pStyle w:val="Figurecaption"/>
      </w:pPr>
      <w:r w:rsidRPr="006A5B81">
        <w:t>Source: PIN count, DHS supplied prescriptions database to 30 September 2018; extracted 19 November 2018.</w:t>
      </w:r>
    </w:p>
    <w:p w14:paraId="7A49CD42" w14:textId="77777777" w:rsidR="00ED7366" w:rsidRPr="002B1C94" w:rsidRDefault="00ED7366" w:rsidP="000C57D2">
      <w:pPr>
        <w:pStyle w:val="Heading3"/>
      </w:pPr>
      <w:bookmarkStart w:id="4" w:name="_Utilisation_by_setting"/>
      <w:bookmarkEnd w:id="4"/>
      <w:r w:rsidRPr="002B1C94">
        <w:t xml:space="preserve">Utilisation by </w:t>
      </w:r>
      <w:r>
        <w:t>setting</w:t>
      </w:r>
    </w:p>
    <w:p w14:paraId="7C545B61" w14:textId="147324AB" w:rsidR="00ED7366" w:rsidRDefault="00ED7366" w:rsidP="000C57D2">
      <w:r>
        <w:t xml:space="preserve">The proportion of use by setting, based on dispensing pharmacy, was </w:t>
      </w:r>
      <w:r w:rsidRPr="001C40B3">
        <w:t>86% public</w:t>
      </w:r>
      <w:r>
        <w:t xml:space="preserve"> hospital</w:t>
      </w:r>
      <w:r w:rsidRPr="001C40B3">
        <w:t xml:space="preserve"> and 14% private</w:t>
      </w:r>
      <w:r>
        <w:t xml:space="preserve"> hospital</w:t>
      </w:r>
      <w:r w:rsidRPr="001C40B3">
        <w:t xml:space="preserve"> over the period from listing (December 2014) to the most recently available data (</w:t>
      </w:r>
      <w:r w:rsidR="00CC791B">
        <w:t>September</w:t>
      </w:r>
      <w:r w:rsidRPr="001C40B3">
        <w:t xml:space="preserve"> 201</w:t>
      </w:r>
      <w:r w:rsidR="00CC791B">
        <w:t>8</w:t>
      </w:r>
      <w:r w:rsidRPr="001C40B3">
        <w:t>).</w:t>
      </w:r>
      <w:r w:rsidR="00CC791B">
        <w:t xml:space="preserve"> These proportions are equivalent to the previous analysis. </w:t>
      </w:r>
      <w:r>
        <w:t xml:space="preserve"> The difference in cost between the public and private hospital prescriptions (</w:t>
      </w:r>
      <w:r w:rsidR="00730B02">
        <w:t>currently $47.29</w:t>
      </w:r>
      <w:r>
        <w:t>) is small as a proportion of</w:t>
      </w:r>
      <w:r w:rsidR="00D91C82">
        <w:t xml:space="preserve"> the</w:t>
      </w:r>
      <w:r>
        <w:t xml:space="preserve"> total cost per supply. </w:t>
      </w:r>
    </w:p>
    <w:p w14:paraId="4F6E3211" w14:textId="77777777" w:rsidR="00D91C82" w:rsidRPr="00D91C82" w:rsidRDefault="00D91C82" w:rsidP="000C57D2">
      <w:pPr>
        <w:pStyle w:val="Heading3"/>
      </w:pPr>
      <w:bookmarkStart w:id="5" w:name="_Utilisation_by_prescriber"/>
      <w:bookmarkEnd w:id="5"/>
      <w:r w:rsidRPr="00D91C82">
        <w:t>Utilisation by prescriber type</w:t>
      </w:r>
    </w:p>
    <w:p w14:paraId="51839A0E" w14:textId="09B39C8F" w:rsidR="00D91C82" w:rsidRPr="00D91C82" w:rsidRDefault="001750B0" w:rsidP="000C57D2">
      <w:r>
        <w:t>Figure 3</w:t>
      </w:r>
      <w:r w:rsidR="00D91C82" w:rsidRPr="00D91C82">
        <w:t xml:space="preserve"> presents prescriptions by prescriber type </w:t>
      </w:r>
      <w:r w:rsidR="00DE3E12">
        <w:t>over the</w:t>
      </w:r>
      <w:r w:rsidR="00D91C82">
        <w:t xml:space="preserve"> PBS listing </w:t>
      </w:r>
      <w:r w:rsidR="00DE3E12">
        <w:t xml:space="preserve">period to the most recent data available </w:t>
      </w:r>
      <w:r w:rsidR="00D91C82">
        <w:t>(December </w:t>
      </w:r>
      <w:r w:rsidR="00D91C82" w:rsidRPr="00DE3E12">
        <w:t>201</w:t>
      </w:r>
      <w:r w:rsidR="00DE3E12" w:rsidRPr="00DE3E12">
        <w:t>4</w:t>
      </w:r>
      <w:r w:rsidR="00D91C82" w:rsidRPr="00DE3E12">
        <w:t xml:space="preserve"> to </w:t>
      </w:r>
      <w:r w:rsidR="00DE3E12" w:rsidRPr="00DE3E12">
        <w:t>September 2018</w:t>
      </w:r>
      <w:r w:rsidR="00D91C82" w:rsidRPr="00D91C82">
        <w:t xml:space="preserve">). In this period, the specialty that prescribed the highest number of supplied prescriptions </w:t>
      </w:r>
      <w:r w:rsidR="00DE3E12" w:rsidRPr="00DE3E12">
        <w:t xml:space="preserve">was nephrologists (1,176 </w:t>
      </w:r>
      <w:r w:rsidR="00D91C82" w:rsidRPr="00D91C82">
        <w:t>prescriptions; 4</w:t>
      </w:r>
      <w:r w:rsidR="00DE3E12" w:rsidRPr="00DE3E12">
        <w:t>4</w:t>
      </w:r>
      <w:r w:rsidR="00D91C82" w:rsidRPr="00D91C82">
        <w:t>% of prescriptions supplied). This was followed by general practitioners</w:t>
      </w:r>
      <w:r w:rsidR="00DE3E12" w:rsidRPr="00DE3E12">
        <w:t xml:space="preserve"> (753 prescriptions; 28%) and haematologists (</w:t>
      </w:r>
      <w:r w:rsidR="00D91C82" w:rsidRPr="00D91C82">
        <w:t>3</w:t>
      </w:r>
      <w:r w:rsidR="00DE3E12" w:rsidRPr="00DE3E12">
        <w:t>96 prescriptions; 15</w:t>
      </w:r>
      <w:r w:rsidR="00D91C82" w:rsidRPr="00D91C82">
        <w:t xml:space="preserve">%). </w:t>
      </w:r>
      <w:r w:rsidR="00DE3E12">
        <w:t xml:space="preserve">Specialists wrote the majority of supplied prescriptions. </w:t>
      </w:r>
      <w:r w:rsidR="00D15BF6">
        <w:t xml:space="preserve">These results are similar to the previous report. </w:t>
      </w:r>
      <w:r w:rsidR="00D91C82" w:rsidRPr="00D91C82">
        <w:t>The restriction states that the patient ‘Must be treated by a paediatric nephrologist, a nephrologist, a paediatric haematologist or a haematologist, or, must be in consultation with a paediatric nephrologist, a nephrologist, a paediatric haematologist or a haematologist.’ Therefore</w:t>
      </w:r>
      <w:r w:rsidR="00D91C82">
        <w:t>,</w:t>
      </w:r>
      <w:r w:rsidR="00D91C82" w:rsidRPr="00D91C82">
        <w:t xml:space="preserve"> it is possible for non-specialist medical doctors (e.g. general practitioners) to prescribe eculizumab in consultation with the primary specialist managing the patient care. </w:t>
      </w:r>
    </w:p>
    <w:p w14:paraId="40B9E9CC" w14:textId="4128B297" w:rsidR="00D91C82" w:rsidRDefault="008B3B9E" w:rsidP="00D91C82">
      <w:pPr>
        <w:rPr>
          <w:rFonts w:ascii="Arial" w:hAnsi="Arial" w:cs="Arial"/>
          <w:color w:val="222222"/>
          <w:sz w:val="20"/>
          <w:szCs w:val="20"/>
        </w:rPr>
      </w:pPr>
      <w:r>
        <w:rPr>
          <w:noProof/>
        </w:rPr>
        <w:lastRenderedPageBreak/>
        <w:drawing>
          <wp:inline distT="0" distB="0" distL="0" distR="0" wp14:anchorId="51582DAF" wp14:editId="361C8C3F">
            <wp:extent cx="5581650" cy="2743200"/>
            <wp:effectExtent l="0" t="0" r="0" b="0"/>
            <wp:docPr id="2" name="Chart 2" descr="Figure 3 presents prescriptions by prescriber type over the PBS listing period to the most recent data available (December 2014 to September 2018). " title="Figure 3: Prescriptions supplied listing by prescriber type"/>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EC8177D" w14:textId="4A578B30" w:rsidR="008B3B9E" w:rsidRDefault="001750B0" w:rsidP="008D2921">
      <w:pPr>
        <w:pStyle w:val="Figuretitle"/>
      </w:pPr>
      <w:r>
        <w:t>Figure 3</w:t>
      </w:r>
      <w:r w:rsidR="008B3B9E" w:rsidRPr="00450A5E">
        <w:t>: Prescriptions</w:t>
      </w:r>
      <w:r w:rsidR="008B3B9E">
        <w:t xml:space="preserve"> supplied listing by prescriber type</w:t>
      </w:r>
    </w:p>
    <w:p w14:paraId="6D39E66E" w14:textId="35E0F408" w:rsidR="008B3B9E" w:rsidRPr="008B3B9E" w:rsidRDefault="008B3B9E" w:rsidP="008D2921">
      <w:pPr>
        <w:pStyle w:val="Figurecaption"/>
      </w:pPr>
      <w:r w:rsidRPr="008B3B9E">
        <w:t>Data are presented as aggregate over the listing period.</w:t>
      </w:r>
      <w:r>
        <w:t xml:space="preserve"> Other includes unknown, medical oncology, cardiology, immunology and respiratory specialties. </w:t>
      </w:r>
    </w:p>
    <w:p w14:paraId="614A09DD" w14:textId="726888A5" w:rsidR="008B3B9E" w:rsidRPr="008B3B9E" w:rsidRDefault="008B3B9E" w:rsidP="008D2921">
      <w:pPr>
        <w:pStyle w:val="Figurecaption"/>
      </w:pPr>
      <w:r w:rsidRPr="008B3B9E">
        <w:t>Source: DHS supplied prescriptions database to 3</w:t>
      </w:r>
      <w:r>
        <w:t>0 September 2018; extracted 19 November 2018</w:t>
      </w:r>
      <w:r w:rsidRPr="008B3B9E">
        <w:t>.</w:t>
      </w:r>
    </w:p>
    <w:p w14:paraId="49007CE4" w14:textId="77777777" w:rsidR="00E96CB7" w:rsidRPr="002B1C94" w:rsidRDefault="00E96CB7" w:rsidP="008D2921">
      <w:pPr>
        <w:pStyle w:val="Heading3"/>
      </w:pPr>
      <w:bookmarkStart w:id="6" w:name="_Duration_of_therapy"/>
      <w:bookmarkEnd w:id="6"/>
      <w:r>
        <w:t>Duration of therapy</w:t>
      </w:r>
    </w:p>
    <w:p w14:paraId="32C40D5F" w14:textId="21437D57" w:rsidR="00E96CB7" w:rsidRDefault="00E96CB7" w:rsidP="008D2921">
      <w:r>
        <w:t>Figure</w:t>
      </w:r>
      <w:r w:rsidR="001750B0">
        <w:t xml:space="preserve"> 4</w:t>
      </w:r>
      <w:r w:rsidRPr="00450A5E">
        <w:t xml:space="preserve"> depicts the length of treatment analysis. </w:t>
      </w:r>
      <w:r>
        <w:t>The total period of observation of prescriptions supplied was 1 December 2014 to 30 September 2018. Prescriptions supplied for all</w:t>
      </w:r>
      <w:r w:rsidRPr="00450A5E">
        <w:t xml:space="preserve"> </w:t>
      </w:r>
      <w:r w:rsidR="00A10B68">
        <w:t>220</w:t>
      </w:r>
      <w:r w:rsidRPr="00450A5E">
        <w:t xml:space="preserve"> patients </w:t>
      </w:r>
      <w:r>
        <w:t xml:space="preserve">were included. </w:t>
      </w:r>
    </w:p>
    <w:p w14:paraId="4917F46B" w14:textId="18122009" w:rsidR="007F44ED" w:rsidRDefault="00E96CB7" w:rsidP="008D2921">
      <w:r>
        <w:t>Under the definition that allows for right censoring</w:t>
      </w:r>
      <w:r w:rsidR="00A73BE8">
        <w:t>,</w:t>
      </w:r>
      <w:r w:rsidRPr="00450A5E">
        <w:t xml:space="preserve"> </w:t>
      </w:r>
      <w:r w:rsidR="00334D4D" w:rsidRPr="00334D4D">
        <w:t>82</w:t>
      </w:r>
      <w:r w:rsidRPr="00334D4D">
        <w:t xml:space="preserve"> </w:t>
      </w:r>
      <w:r w:rsidR="00334D4D">
        <w:t>people</w:t>
      </w:r>
      <w:r>
        <w:t xml:space="preserve"> were </w:t>
      </w:r>
      <w:r w:rsidRPr="00450A5E">
        <w:t>deemed</w:t>
      </w:r>
      <w:r w:rsidR="00A10B68">
        <w:t xml:space="preserve"> as</w:t>
      </w:r>
      <w:r w:rsidRPr="00260A25">
        <w:t xml:space="preserve"> continuing treatment at the end of the data period (i</w:t>
      </w:r>
      <w:r>
        <w:t>.</w:t>
      </w:r>
      <w:r w:rsidRPr="00260A25">
        <w:t xml:space="preserve">e. end of </w:t>
      </w:r>
      <w:r>
        <w:t>September 2018</w:t>
      </w:r>
      <w:r w:rsidRPr="00260A25">
        <w:t>)</w:t>
      </w:r>
      <w:r w:rsidR="00334D4D">
        <w:t xml:space="preserve"> and 138 were deemed to have finished treatment</w:t>
      </w:r>
      <w:r>
        <w:t xml:space="preserve">. </w:t>
      </w:r>
      <w:r w:rsidR="00334D4D">
        <w:t>T</w:t>
      </w:r>
      <w:r w:rsidR="00334D4D" w:rsidRPr="00334D4D">
        <w:t>here were 12 people deemed to have had a break followed by a second treatment episode. There were no instances of people with two breaks and three episodes.</w:t>
      </w:r>
      <w:r w:rsidR="00334D4D">
        <w:t xml:space="preserve"> Fifteen</w:t>
      </w:r>
      <w:r w:rsidR="00A73BE8">
        <w:t xml:space="preserve"> </w:t>
      </w:r>
      <w:r w:rsidR="00334D4D">
        <w:t>people</w:t>
      </w:r>
      <w:r w:rsidR="00A73BE8">
        <w:t xml:space="preserve"> were treate</w:t>
      </w:r>
      <w:r w:rsidR="00334D4D">
        <w:t>d for at least 1,250 days (i.e. </w:t>
      </w:r>
      <w:r w:rsidR="00A73BE8">
        <w:t xml:space="preserve">3.4 years, where the period of listing to the most recent data was approximately 3.8 years). </w:t>
      </w:r>
      <w:r>
        <w:t>The mean</w:t>
      </w:r>
      <w:r w:rsidR="00A10B68">
        <w:t xml:space="preserve"> and median duration of trea</w:t>
      </w:r>
      <w:r w:rsidR="00496172">
        <w:t>tment with and without breaks are</w:t>
      </w:r>
      <w:r w:rsidR="00334D4D">
        <w:t xml:space="preserve"> </w:t>
      </w:r>
      <w:r w:rsidR="00A73BE8">
        <w:t>presented in Table 4.</w:t>
      </w:r>
    </w:p>
    <w:p w14:paraId="2641C77C" w14:textId="5BDAA555" w:rsidR="00E96CB7" w:rsidRDefault="00E96CB7" w:rsidP="00E96CB7"/>
    <w:p w14:paraId="448EAEF2" w14:textId="15C6404A" w:rsidR="00E96CB7" w:rsidRDefault="00E96CB7" w:rsidP="00E96CB7">
      <w:pPr>
        <w:rPr>
          <w:rFonts w:ascii="Arial" w:hAnsi="Arial" w:cs="Arial"/>
          <w:color w:val="1F497D"/>
          <w:sz w:val="18"/>
          <w:szCs w:val="18"/>
        </w:rPr>
      </w:pPr>
      <w:r>
        <w:rPr>
          <w:noProof/>
          <w:color w:val="1F497D"/>
        </w:rPr>
        <w:lastRenderedPageBreak/>
        <w:drawing>
          <wp:inline distT="0" distB="0" distL="0" distR="0" wp14:anchorId="22C3142A" wp14:editId="7CAF429C">
            <wp:extent cx="5687695" cy="4265771"/>
            <wp:effectExtent l="0" t="0" r="8255" b="1905"/>
            <wp:docPr id="3" name="Picture 3" descr="img0.png&#10;&#10;Figure 4 depicts the length of treatment analysis. The total period of observation of prescriptions supplied was 1 December 2014 to 30 September 2018. " title="Figure 4: Length of treatment analysis using the Product-Limit meth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0.png"/>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687695" cy="4265771"/>
                    </a:xfrm>
                    <a:prstGeom prst="rect">
                      <a:avLst/>
                    </a:prstGeom>
                    <a:noFill/>
                    <a:ln>
                      <a:noFill/>
                    </a:ln>
                  </pic:spPr>
                </pic:pic>
              </a:graphicData>
            </a:graphic>
          </wp:inline>
        </w:drawing>
      </w:r>
    </w:p>
    <w:p w14:paraId="1CF73736" w14:textId="48F1A248" w:rsidR="00E96CB7" w:rsidRDefault="00E96CB7" w:rsidP="008D2921">
      <w:pPr>
        <w:pStyle w:val="Figuretitle"/>
      </w:pPr>
      <w:r w:rsidRPr="00450A5E">
        <w:t xml:space="preserve">Figure </w:t>
      </w:r>
      <w:r w:rsidR="001750B0">
        <w:t>4</w:t>
      </w:r>
      <w:r w:rsidRPr="00450A5E">
        <w:t>: Length</w:t>
      </w:r>
      <w:r>
        <w:t xml:space="preserve"> of treatment analysis using the Product-Limit method</w:t>
      </w:r>
    </w:p>
    <w:p w14:paraId="530DC3FE" w14:textId="3E177B50" w:rsidR="00E96CB7" w:rsidRPr="00E96CB7" w:rsidRDefault="00E96CB7" w:rsidP="008D2921">
      <w:pPr>
        <w:pStyle w:val="Figurecaption"/>
      </w:pPr>
      <w:r w:rsidRPr="00E96CB7">
        <w:t>Source: DHS supplied prescriptions database to</w:t>
      </w:r>
      <w:r>
        <w:t xml:space="preserve"> 30 September 2018</w:t>
      </w:r>
      <w:r w:rsidRPr="00E96CB7">
        <w:t xml:space="preserve">; extracted </w:t>
      </w:r>
      <w:r>
        <w:t xml:space="preserve">19 November 2018. </w:t>
      </w:r>
    </w:p>
    <w:p w14:paraId="1A8AAD1B" w14:textId="04C7828D" w:rsidR="00A10B68" w:rsidRDefault="002D3404" w:rsidP="008D2921">
      <w:pPr>
        <w:pStyle w:val="Tabletitle"/>
        <w:spacing w:before="200"/>
        <w:rPr>
          <w:color w:val="1F497D"/>
        </w:rPr>
      </w:pPr>
      <w:r w:rsidRPr="002D3404">
        <w:t xml:space="preserve">Table 3: </w:t>
      </w:r>
      <w:r w:rsidR="00496172">
        <w:t xml:space="preserve">Length of treatment analysis descriptive statistics </w:t>
      </w:r>
    </w:p>
    <w:tbl>
      <w:tblPr>
        <w:tblStyle w:val="TableGrid"/>
        <w:tblW w:w="0" w:type="auto"/>
        <w:tblLook w:val="04A0" w:firstRow="1" w:lastRow="0" w:firstColumn="1" w:lastColumn="0" w:noHBand="0" w:noVBand="1"/>
        <w:tblCaption w:val="Table 3: Length of treatment analysis descriptive statistics "/>
        <w:tblDescription w:val="Descriptive statistics for the length of treatment analysis"/>
      </w:tblPr>
      <w:tblGrid>
        <w:gridCol w:w="3057"/>
        <w:gridCol w:w="1418"/>
        <w:gridCol w:w="1418"/>
      </w:tblGrid>
      <w:tr w:rsidR="00A10B68" w14:paraId="45412F93" w14:textId="77777777" w:rsidTr="008F4189">
        <w:trPr>
          <w:tblHeader/>
        </w:trPr>
        <w:tc>
          <w:tcPr>
            <w:tcW w:w="3057" w:type="dxa"/>
            <w:shd w:val="clear" w:color="auto" w:fill="BFBFBF" w:themeFill="background1" w:themeFillShade="BF"/>
          </w:tcPr>
          <w:p w14:paraId="0D15ADE5" w14:textId="5CD92E42" w:rsidR="00A10B68" w:rsidRPr="00496172" w:rsidRDefault="00A10B68" w:rsidP="008D2921">
            <w:pPr>
              <w:pStyle w:val="Tablewriting"/>
              <w:jc w:val="center"/>
              <w:rPr>
                <w:b/>
                <w:color w:val="auto"/>
              </w:rPr>
            </w:pPr>
            <w:r w:rsidRPr="00496172">
              <w:rPr>
                <w:b/>
                <w:color w:val="auto"/>
              </w:rPr>
              <w:t>Length of treatment analysis</w:t>
            </w:r>
          </w:p>
        </w:tc>
        <w:tc>
          <w:tcPr>
            <w:tcW w:w="1418" w:type="dxa"/>
            <w:shd w:val="clear" w:color="auto" w:fill="BFBFBF" w:themeFill="background1" w:themeFillShade="BF"/>
          </w:tcPr>
          <w:p w14:paraId="13BCDD5F" w14:textId="7B121FF7" w:rsidR="00A10B68" w:rsidRPr="00496172" w:rsidRDefault="00A10B68" w:rsidP="008D2921">
            <w:pPr>
              <w:pStyle w:val="Tablewriting"/>
              <w:jc w:val="center"/>
              <w:rPr>
                <w:b/>
                <w:color w:val="auto"/>
              </w:rPr>
            </w:pPr>
            <w:r w:rsidRPr="00496172">
              <w:rPr>
                <w:b/>
                <w:color w:val="auto"/>
              </w:rPr>
              <w:t>Mean</w:t>
            </w:r>
          </w:p>
        </w:tc>
        <w:tc>
          <w:tcPr>
            <w:tcW w:w="1418" w:type="dxa"/>
            <w:shd w:val="clear" w:color="auto" w:fill="BFBFBF" w:themeFill="background1" w:themeFillShade="BF"/>
          </w:tcPr>
          <w:p w14:paraId="4F853B4F" w14:textId="3C15DE7D" w:rsidR="00A10B68" w:rsidRPr="00496172" w:rsidRDefault="00A10B68" w:rsidP="008D2921">
            <w:pPr>
              <w:pStyle w:val="Tablewriting"/>
              <w:jc w:val="center"/>
              <w:rPr>
                <w:b/>
                <w:color w:val="auto"/>
              </w:rPr>
            </w:pPr>
            <w:r w:rsidRPr="00496172">
              <w:rPr>
                <w:b/>
                <w:color w:val="auto"/>
              </w:rPr>
              <w:t>Median</w:t>
            </w:r>
          </w:p>
        </w:tc>
      </w:tr>
      <w:tr w:rsidR="00A10B68" w14:paraId="0EE67D33" w14:textId="77777777" w:rsidTr="00496172">
        <w:tc>
          <w:tcPr>
            <w:tcW w:w="3057" w:type="dxa"/>
          </w:tcPr>
          <w:p w14:paraId="70CAE720" w14:textId="06A8F7D8" w:rsidR="00A10B68" w:rsidRPr="00496172" w:rsidRDefault="00A10B68" w:rsidP="00496172">
            <w:pPr>
              <w:pStyle w:val="Tablewriting"/>
              <w:jc w:val="center"/>
              <w:rPr>
                <w:color w:val="auto"/>
              </w:rPr>
            </w:pPr>
            <w:r w:rsidRPr="00496172">
              <w:rPr>
                <w:color w:val="auto"/>
              </w:rPr>
              <w:t>Excluding breaks</w:t>
            </w:r>
          </w:p>
        </w:tc>
        <w:tc>
          <w:tcPr>
            <w:tcW w:w="1418" w:type="dxa"/>
          </w:tcPr>
          <w:p w14:paraId="3311B6D4" w14:textId="3E343C0D" w:rsidR="00A10B68" w:rsidRPr="00496172" w:rsidRDefault="00A10B68" w:rsidP="00496172">
            <w:pPr>
              <w:pStyle w:val="Tablewriting"/>
              <w:jc w:val="center"/>
              <w:rPr>
                <w:color w:val="auto"/>
              </w:rPr>
            </w:pPr>
            <w:r w:rsidRPr="00496172">
              <w:rPr>
                <w:color w:val="auto"/>
              </w:rPr>
              <w:t>412</w:t>
            </w:r>
          </w:p>
        </w:tc>
        <w:tc>
          <w:tcPr>
            <w:tcW w:w="1418" w:type="dxa"/>
          </w:tcPr>
          <w:p w14:paraId="499FB4C3" w14:textId="71D0B697" w:rsidR="00A10B68" w:rsidRPr="00496172" w:rsidRDefault="00A10B68" w:rsidP="00496172">
            <w:pPr>
              <w:pStyle w:val="Tablewriting"/>
              <w:jc w:val="center"/>
              <w:rPr>
                <w:color w:val="auto"/>
              </w:rPr>
            </w:pPr>
            <w:r w:rsidRPr="00496172">
              <w:rPr>
                <w:color w:val="auto"/>
              </w:rPr>
              <w:t>323</w:t>
            </w:r>
          </w:p>
        </w:tc>
      </w:tr>
      <w:tr w:rsidR="00A10B68" w14:paraId="41A465DB" w14:textId="77777777" w:rsidTr="00496172">
        <w:tc>
          <w:tcPr>
            <w:tcW w:w="3057" w:type="dxa"/>
          </w:tcPr>
          <w:p w14:paraId="3B5DD7A2" w14:textId="21E40B63" w:rsidR="00A10B68" w:rsidRPr="00496172" w:rsidRDefault="00A10B68" w:rsidP="00496172">
            <w:pPr>
              <w:pStyle w:val="Tablewriting"/>
              <w:jc w:val="center"/>
              <w:rPr>
                <w:color w:val="auto"/>
              </w:rPr>
            </w:pPr>
            <w:r w:rsidRPr="00496172">
              <w:rPr>
                <w:color w:val="auto"/>
              </w:rPr>
              <w:t>Including breaks</w:t>
            </w:r>
          </w:p>
        </w:tc>
        <w:tc>
          <w:tcPr>
            <w:tcW w:w="1418" w:type="dxa"/>
          </w:tcPr>
          <w:p w14:paraId="1A262DFB" w14:textId="0BBC588C" w:rsidR="00A10B68" w:rsidRPr="00496172" w:rsidRDefault="00A10B68" w:rsidP="00496172">
            <w:pPr>
              <w:pStyle w:val="Tablewriting"/>
              <w:jc w:val="center"/>
              <w:rPr>
                <w:color w:val="auto"/>
              </w:rPr>
            </w:pPr>
            <w:r w:rsidRPr="00496172">
              <w:rPr>
                <w:color w:val="auto"/>
              </w:rPr>
              <w:t>420</w:t>
            </w:r>
          </w:p>
        </w:tc>
        <w:tc>
          <w:tcPr>
            <w:tcW w:w="1418" w:type="dxa"/>
          </w:tcPr>
          <w:p w14:paraId="45BEBEA4" w14:textId="507875C2" w:rsidR="00A10B68" w:rsidRPr="00496172" w:rsidRDefault="00A10B68" w:rsidP="00496172">
            <w:pPr>
              <w:pStyle w:val="Tablewriting"/>
              <w:jc w:val="center"/>
              <w:rPr>
                <w:color w:val="auto"/>
              </w:rPr>
            </w:pPr>
            <w:r w:rsidRPr="00496172">
              <w:rPr>
                <w:color w:val="auto"/>
              </w:rPr>
              <w:t>335</w:t>
            </w:r>
          </w:p>
        </w:tc>
      </w:tr>
    </w:tbl>
    <w:p w14:paraId="3555DFBA" w14:textId="7E47127A" w:rsidR="00591512" w:rsidRDefault="00AB3733" w:rsidP="000A328F">
      <w:pPr>
        <w:pStyle w:val="Heading1"/>
      </w:pPr>
      <w:r>
        <w:t>D</w:t>
      </w:r>
      <w:r w:rsidR="007346C7" w:rsidRPr="005E22C2">
        <w:t>iscussion</w:t>
      </w:r>
      <w:r w:rsidR="008774F5">
        <w:t xml:space="preserve"> and DUSC consideration</w:t>
      </w:r>
    </w:p>
    <w:p w14:paraId="6C96475D" w14:textId="7A7B5C38" w:rsidR="009F6BF9" w:rsidRPr="00EB0439" w:rsidRDefault="003B2417" w:rsidP="00EB0439">
      <w:pPr>
        <w:spacing w:line="259" w:lineRule="auto"/>
        <w:rPr>
          <w:rFonts w:eastAsia="Calibri" w:cs="Times New Roman"/>
        </w:rPr>
      </w:pPr>
      <w:r w:rsidRPr="00EB0439">
        <w:t xml:space="preserve">In the September 2017 report of eculizumab use, it was unclear whether the patient numbers were starting to plateau or would continue to rise. </w:t>
      </w:r>
      <w:r w:rsidR="00F54E5A">
        <w:t>DUSC noted that t</w:t>
      </w:r>
      <w:r w:rsidR="00846246" w:rsidRPr="00EB0439">
        <w:t xml:space="preserve">he current report demonstrates that the rate of growth in PBS patients has declined in each year and appears to be plateauing (although the current year of data is incomplete). </w:t>
      </w:r>
      <w:r w:rsidR="008A5083" w:rsidRPr="00EB0439">
        <w:t>The number of prescriptions supplied has increased gradually over time and does not appear to have plateaued.</w:t>
      </w:r>
      <w:r w:rsidR="009F6BF9" w:rsidRPr="00EB0439">
        <w:rPr>
          <w:rFonts w:cs="Times New Roman"/>
        </w:rPr>
        <w:t xml:space="preserve"> In its response, the sponsor suggested that growth would continue. The sponsor presented prescription data by date of processing from the online Medicare PBS statistics to show an alternative growth rate. DUSC considered that date of supply data is a more appropriate measure of actual use, since processing is an administrative measure. </w:t>
      </w:r>
    </w:p>
    <w:p w14:paraId="2C5C8647" w14:textId="77777777" w:rsidR="009F6BF9" w:rsidRPr="00EB0439" w:rsidRDefault="009F6BF9" w:rsidP="000E4E8F">
      <w:pPr>
        <w:spacing w:line="259" w:lineRule="auto"/>
        <w:rPr>
          <w:rFonts w:eastAsia="Calibri" w:cs="Times New Roman"/>
        </w:rPr>
      </w:pPr>
      <w:r w:rsidRPr="00EB0439">
        <w:rPr>
          <w:rFonts w:eastAsia="Calibri" w:cs="Times New Roman"/>
        </w:rPr>
        <w:lastRenderedPageBreak/>
        <w:t xml:space="preserve">The length of treatment analysis indicated that few patients have a break in eculizumab treatment. It is not possible to obtain the reason for any discontinuation of supply from the available data. DUSC noted the length of treatment analysis also showed that there are key milestone steps visible in the chart that align with the various restriction stages. DUSC suggested that future analyses could show length of treatment by these milestones. </w:t>
      </w:r>
    </w:p>
    <w:p w14:paraId="3EC1A8D4" w14:textId="40EB9DD7" w:rsidR="008774F5" w:rsidRDefault="008774F5" w:rsidP="00EB0439">
      <w:pPr>
        <w:pStyle w:val="Heading1"/>
      </w:pPr>
      <w:r>
        <w:t>DUSC actions</w:t>
      </w:r>
    </w:p>
    <w:p w14:paraId="77982925" w14:textId="77777777" w:rsidR="009F6BF9" w:rsidRPr="00EB0439" w:rsidRDefault="009F6BF9" w:rsidP="00EB0439">
      <w:pPr>
        <w:numPr>
          <w:ilvl w:val="0"/>
          <w:numId w:val="6"/>
        </w:numPr>
        <w:spacing w:line="259" w:lineRule="auto"/>
        <w:ind w:left="357" w:hanging="357"/>
        <w:contextualSpacing/>
        <w:rPr>
          <w:rFonts w:eastAsia="Calibri" w:cs="Times New Roman"/>
        </w:rPr>
      </w:pPr>
      <w:r w:rsidRPr="00EB0439">
        <w:rPr>
          <w:rFonts w:eastAsia="Calibri" w:cs="Times New Roman"/>
        </w:rPr>
        <w:t xml:space="preserve">DUSC requested that the report be provided to the PBAC for noting. </w:t>
      </w:r>
    </w:p>
    <w:p w14:paraId="312DC018" w14:textId="77777777" w:rsidR="00DC3AE9" w:rsidRPr="00EB0439" w:rsidRDefault="009F6BF9" w:rsidP="00EB0439">
      <w:pPr>
        <w:numPr>
          <w:ilvl w:val="0"/>
          <w:numId w:val="6"/>
        </w:numPr>
        <w:spacing w:line="259" w:lineRule="auto"/>
        <w:ind w:left="357" w:hanging="357"/>
        <w:contextualSpacing/>
      </w:pPr>
      <w:r w:rsidRPr="00EB0439">
        <w:rPr>
          <w:rFonts w:eastAsia="Calibri" w:cs="Times New Roman"/>
        </w:rPr>
        <w:t xml:space="preserve">DUSC requested that the PBAC consider the request from the sponsor regarding separate item codes for recommencement and continuing prescriptions. </w:t>
      </w:r>
    </w:p>
    <w:p w14:paraId="2A130A76" w14:textId="4F9C1065" w:rsidR="009F6BF9" w:rsidRPr="00EB0439" w:rsidRDefault="009F6BF9" w:rsidP="00EB0439">
      <w:pPr>
        <w:numPr>
          <w:ilvl w:val="0"/>
          <w:numId w:val="6"/>
        </w:numPr>
        <w:spacing w:line="259" w:lineRule="auto"/>
        <w:ind w:left="357" w:hanging="357"/>
        <w:contextualSpacing/>
      </w:pPr>
      <w:r w:rsidRPr="00EB0439">
        <w:rPr>
          <w:rFonts w:cs="Times New Roman"/>
        </w:rPr>
        <w:t xml:space="preserve">DUSC considered that it was still appropriate to proceed with a further report on eculizumab use in 2020. </w:t>
      </w:r>
    </w:p>
    <w:p w14:paraId="4FEB4BD1" w14:textId="77777777" w:rsidR="008774F5" w:rsidRPr="008774F5" w:rsidRDefault="008774F5" w:rsidP="008774F5">
      <w:pPr>
        <w:keepNext/>
        <w:keepLines/>
        <w:spacing w:before="480" w:after="240"/>
        <w:outlineLvl w:val="0"/>
        <w:rPr>
          <w:rFonts w:eastAsiaTheme="majorEastAsia" w:cstheme="majorBidi"/>
          <w:b/>
          <w:bCs/>
          <w:sz w:val="32"/>
          <w:szCs w:val="32"/>
        </w:rPr>
      </w:pPr>
      <w:r w:rsidRPr="008774F5">
        <w:rPr>
          <w:rFonts w:eastAsiaTheme="majorEastAsia" w:cstheme="majorBidi"/>
          <w:b/>
          <w:bCs/>
          <w:sz w:val="32"/>
          <w:szCs w:val="32"/>
        </w:rPr>
        <w:t>Context for analysis</w:t>
      </w:r>
    </w:p>
    <w:p w14:paraId="10C85DF5" w14:textId="77777777" w:rsidR="008774F5" w:rsidRPr="008774F5" w:rsidRDefault="008774F5" w:rsidP="008774F5">
      <w:r w:rsidRPr="008774F5">
        <w:t>The DUSC is a Sub Committee of the Pharmaceutical Benefits Advisory Committee (PBAC). The DUSC assesses estimates on projected usage and financial cost of medicines.</w:t>
      </w:r>
    </w:p>
    <w:p w14:paraId="71C928FD" w14:textId="77777777" w:rsidR="008774F5" w:rsidRPr="008774F5" w:rsidRDefault="008774F5" w:rsidP="008774F5">
      <w:r w:rsidRPr="008774F5">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14:paraId="4D365976" w14:textId="77777777" w:rsidR="008774F5" w:rsidRPr="008774F5" w:rsidRDefault="008774F5" w:rsidP="008774F5">
      <w:r w:rsidRPr="008774F5">
        <w:t>The DUSC operates in accordance with the quality use of medicines objective of the National Medicines Policy and considers that the DUSC utilisation analyses will assist consumers and health professionals to better understand the costs, benefits and risks of medicines.</w:t>
      </w:r>
    </w:p>
    <w:p w14:paraId="3912DEE8" w14:textId="77777777" w:rsidR="008774F5" w:rsidRPr="008774F5" w:rsidRDefault="008774F5" w:rsidP="008774F5">
      <w:r w:rsidRPr="008774F5">
        <w:t>The utilisation analysis report was provided to the pharmaceutical sponsors of each drug and comments on the report were provided to DUSC prior to its consideration of the analysis.</w:t>
      </w:r>
    </w:p>
    <w:p w14:paraId="367A2E42" w14:textId="3C119852" w:rsidR="008774F5" w:rsidRDefault="008774F5" w:rsidP="008774F5">
      <w:pPr>
        <w:keepNext/>
        <w:keepLines/>
        <w:spacing w:before="480" w:after="240"/>
        <w:outlineLvl w:val="0"/>
        <w:rPr>
          <w:rFonts w:eastAsiaTheme="majorEastAsia" w:cstheme="majorBidi"/>
          <w:b/>
          <w:bCs/>
          <w:sz w:val="32"/>
          <w:szCs w:val="32"/>
        </w:rPr>
      </w:pPr>
      <w:r w:rsidRPr="008774F5">
        <w:rPr>
          <w:rFonts w:eastAsiaTheme="majorEastAsia" w:cstheme="majorBidi"/>
          <w:b/>
          <w:bCs/>
          <w:sz w:val="32"/>
          <w:szCs w:val="32"/>
        </w:rPr>
        <w:t>Sponsors’ comments</w:t>
      </w:r>
    </w:p>
    <w:p w14:paraId="0A0D5410" w14:textId="6108F6CB" w:rsidR="00D6164F" w:rsidRDefault="00D6164F" w:rsidP="00D6164F">
      <w:pPr>
        <w:rPr>
          <w:rFonts w:eastAsiaTheme="majorEastAsia" w:cstheme="majorBidi"/>
          <w:b/>
          <w:bCs/>
          <w:sz w:val="32"/>
          <w:szCs w:val="32"/>
        </w:rPr>
      </w:pPr>
      <w:r w:rsidRPr="00D6164F">
        <w:t xml:space="preserve">The Sponsor notes the comments by DUSC and PBAC and suggests they reconsider the request to separate the reporting of recommencement scripts from continuation scripts. This would enable a greater understanding of TMA recurrence rates in Australia and help inform best patient management. </w:t>
      </w:r>
      <w:bookmarkStart w:id="7" w:name="_GoBack"/>
      <w:bookmarkEnd w:id="7"/>
    </w:p>
    <w:p w14:paraId="14BDEC1F" w14:textId="23A3BBCB" w:rsidR="008774F5" w:rsidRPr="008774F5" w:rsidRDefault="008774F5" w:rsidP="008774F5"/>
    <w:p w14:paraId="655BD00C" w14:textId="720D82E4" w:rsidR="00774AD4" w:rsidRPr="00774AD4" w:rsidRDefault="00A54AD0" w:rsidP="000E3F75">
      <w:r>
        <w:br w:type="page"/>
      </w:r>
    </w:p>
    <w:p w14:paraId="13252D6F" w14:textId="77777777" w:rsidR="00CF24D1" w:rsidRDefault="00CF24D1" w:rsidP="00CF24D1">
      <w:pPr>
        <w:pStyle w:val="Heading2"/>
      </w:pPr>
      <w:bookmarkStart w:id="8" w:name="_Ref491349204"/>
      <w:r w:rsidRPr="00701F07">
        <w:lastRenderedPageBreak/>
        <w:t>Appendix A</w:t>
      </w:r>
      <w:bookmarkEnd w:id="8"/>
    </w:p>
    <w:p w14:paraId="786DA1BF" w14:textId="1567A641" w:rsidR="00A54AD0" w:rsidRPr="00701F07" w:rsidRDefault="00A54AD0" w:rsidP="00A54AD0">
      <w:pPr>
        <w:pStyle w:val="Tabletitle"/>
      </w:pPr>
      <w:r w:rsidRPr="00701F07">
        <w:t xml:space="preserve">Table A1: </w:t>
      </w:r>
      <w:r>
        <w:t>abridged</w:t>
      </w:r>
      <w:r w:rsidRPr="00701F07">
        <w:t xml:space="preserve"> eculizumab restrictions</w:t>
      </w:r>
      <w:r>
        <w:t xml:space="preserve"> (December 2018)</w:t>
      </w:r>
    </w:p>
    <w:tbl>
      <w:tblPr>
        <w:tblStyle w:val="TableGrid"/>
        <w:tblW w:w="0" w:type="auto"/>
        <w:tblLook w:val="04A0" w:firstRow="1" w:lastRow="0" w:firstColumn="1" w:lastColumn="0" w:noHBand="0" w:noVBand="1"/>
        <w:tblCaption w:val="Table A1: abridged eculizumab restrictions (December 2018)"/>
        <w:tblDescription w:val="summary of the eculizumab restrictions"/>
      </w:tblPr>
      <w:tblGrid>
        <w:gridCol w:w="1264"/>
        <w:gridCol w:w="7683"/>
      </w:tblGrid>
      <w:tr w:rsidR="00A54AD0" w:rsidRPr="00E707E6" w14:paraId="42C9EA3E" w14:textId="77777777" w:rsidTr="008F4189">
        <w:trPr>
          <w:tblHeader/>
        </w:trPr>
        <w:tc>
          <w:tcPr>
            <w:tcW w:w="9173" w:type="dxa"/>
            <w:gridSpan w:val="2"/>
          </w:tcPr>
          <w:p w14:paraId="20E315D9" w14:textId="77777777" w:rsidR="00A54AD0" w:rsidRPr="00E707E6" w:rsidRDefault="00A54AD0" w:rsidP="00D92400">
            <w:pPr>
              <w:rPr>
                <w:sz w:val="20"/>
                <w:szCs w:val="20"/>
              </w:rPr>
            </w:pPr>
            <w:r w:rsidRPr="00E707E6">
              <w:rPr>
                <w:b/>
                <w:sz w:val="20"/>
                <w:szCs w:val="20"/>
              </w:rPr>
              <w:t>Condition:</w:t>
            </w:r>
            <w:r w:rsidRPr="00E707E6">
              <w:rPr>
                <w:sz w:val="20"/>
                <w:szCs w:val="20"/>
              </w:rPr>
              <w:t xml:space="preserve"> aHUS</w:t>
            </w:r>
          </w:p>
        </w:tc>
      </w:tr>
      <w:tr w:rsidR="00A54AD0" w:rsidRPr="00E707E6" w14:paraId="52D9FA31" w14:textId="77777777" w:rsidTr="00D92400">
        <w:tc>
          <w:tcPr>
            <w:tcW w:w="9173" w:type="dxa"/>
            <w:gridSpan w:val="2"/>
          </w:tcPr>
          <w:p w14:paraId="572C2024" w14:textId="77777777" w:rsidR="00A54AD0" w:rsidRPr="00E707E6" w:rsidRDefault="00A54AD0" w:rsidP="00D92400">
            <w:pPr>
              <w:rPr>
                <w:b/>
                <w:sz w:val="20"/>
                <w:szCs w:val="20"/>
              </w:rPr>
            </w:pPr>
            <w:r w:rsidRPr="00E707E6">
              <w:rPr>
                <w:b/>
                <w:sz w:val="20"/>
                <w:szCs w:val="20"/>
              </w:rPr>
              <w:t>Treatment phase:</w:t>
            </w:r>
            <w:r w:rsidRPr="00E707E6">
              <w:rPr>
                <w:sz w:val="20"/>
                <w:szCs w:val="20"/>
              </w:rPr>
              <w:t xml:space="preserve"> Initial treatment</w:t>
            </w:r>
          </w:p>
        </w:tc>
      </w:tr>
      <w:tr w:rsidR="00A54AD0" w:rsidRPr="00E707E6" w14:paraId="330B2B8B" w14:textId="77777777" w:rsidTr="00D92400">
        <w:tc>
          <w:tcPr>
            <w:tcW w:w="1271" w:type="dxa"/>
          </w:tcPr>
          <w:p w14:paraId="0F5FFFF9" w14:textId="77777777" w:rsidR="00A54AD0" w:rsidRPr="00E707E6" w:rsidRDefault="00A54AD0" w:rsidP="00D92400">
            <w:pPr>
              <w:spacing w:after="200"/>
              <w:rPr>
                <w:sz w:val="20"/>
                <w:szCs w:val="20"/>
              </w:rPr>
            </w:pPr>
            <w:r w:rsidRPr="00E707E6">
              <w:rPr>
                <w:b/>
                <w:bCs/>
                <w:sz w:val="20"/>
                <w:szCs w:val="20"/>
              </w:rPr>
              <w:t xml:space="preserve">Clinical criteria </w:t>
            </w:r>
          </w:p>
          <w:p w14:paraId="70EBA296" w14:textId="77777777" w:rsidR="00A54AD0" w:rsidRPr="00E707E6" w:rsidRDefault="00A54AD0" w:rsidP="00D92400">
            <w:pPr>
              <w:rPr>
                <w:b/>
                <w:sz w:val="20"/>
                <w:szCs w:val="20"/>
              </w:rPr>
            </w:pPr>
          </w:p>
        </w:tc>
        <w:tc>
          <w:tcPr>
            <w:tcW w:w="7902" w:type="dxa"/>
          </w:tcPr>
          <w:p w14:paraId="1AC93800" w14:textId="77777777" w:rsidR="00A54AD0" w:rsidRPr="00E707E6" w:rsidRDefault="00A54AD0" w:rsidP="00D92400">
            <w:pPr>
              <w:pStyle w:val="ListParagraph"/>
              <w:numPr>
                <w:ilvl w:val="0"/>
                <w:numId w:val="1"/>
              </w:numPr>
              <w:rPr>
                <w:sz w:val="20"/>
                <w:szCs w:val="20"/>
              </w:rPr>
            </w:pPr>
            <w:r w:rsidRPr="00E707E6">
              <w:rPr>
                <w:sz w:val="20"/>
                <w:szCs w:val="20"/>
              </w:rPr>
              <w:t xml:space="preserve">Patient must have active and progressing thrombotic microangiopathy (TMA) caused by aHUS, </w:t>
            </w:r>
            <w:r w:rsidRPr="00E707E6">
              <w:rPr>
                <w:b/>
                <w:bCs/>
                <w:sz w:val="20"/>
                <w:szCs w:val="20"/>
              </w:rPr>
              <w:t xml:space="preserve">AND </w:t>
            </w:r>
          </w:p>
          <w:p w14:paraId="347613DE" w14:textId="77777777" w:rsidR="00A54AD0" w:rsidRPr="00E707E6" w:rsidRDefault="00A54AD0" w:rsidP="00D92400">
            <w:pPr>
              <w:pStyle w:val="ListParagraph"/>
              <w:numPr>
                <w:ilvl w:val="0"/>
                <w:numId w:val="1"/>
              </w:numPr>
              <w:rPr>
                <w:sz w:val="20"/>
                <w:szCs w:val="20"/>
              </w:rPr>
            </w:pPr>
            <w:r w:rsidRPr="00E707E6">
              <w:rPr>
                <w:sz w:val="20"/>
                <w:szCs w:val="20"/>
              </w:rPr>
              <w:t xml:space="preserve">Patient must have ADAMTS-13 activity of greater than or equal to 10% on a blood sample taken prior to plasma exchange or infusion; or, if ADAMTS-13 activity was not collected prior to plasma exchange or infusion, patient must have platelet counts of greater than 30x10^9/L and a serum creatinine of greater than 150 mol/L, </w:t>
            </w:r>
            <w:r w:rsidRPr="00E707E6">
              <w:rPr>
                <w:b/>
                <w:bCs/>
                <w:sz w:val="20"/>
                <w:szCs w:val="20"/>
              </w:rPr>
              <w:t xml:space="preserve">AND </w:t>
            </w:r>
          </w:p>
          <w:p w14:paraId="30E50A82" w14:textId="77777777" w:rsidR="00A54AD0" w:rsidRPr="00E707E6" w:rsidRDefault="00A54AD0" w:rsidP="00D92400">
            <w:pPr>
              <w:pStyle w:val="ListParagraph"/>
              <w:numPr>
                <w:ilvl w:val="0"/>
                <w:numId w:val="1"/>
              </w:numPr>
              <w:rPr>
                <w:sz w:val="20"/>
                <w:szCs w:val="20"/>
              </w:rPr>
            </w:pPr>
            <w:r w:rsidRPr="00E707E6">
              <w:rPr>
                <w:sz w:val="20"/>
                <w:szCs w:val="20"/>
              </w:rPr>
              <w:t xml:space="preserve">Patient must have a confirmed negative STEC (Shiga toxin-producing E.Coli) result if the patient has had diarrhoea in the preceding 14 days, </w:t>
            </w:r>
            <w:r w:rsidRPr="00E707E6">
              <w:rPr>
                <w:b/>
                <w:bCs/>
                <w:sz w:val="20"/>
                <w:szCs w:val="20"/>
              </w:rPr>
              <w:t xml:space="preserve">AND </w:t>
            </w:r>
          </w:p>
          <w:p w14:paraId="5DD0F56A" w14:textId="77777777" w:rsidR="00A54AD0" w:rsidRPr="00E707E6" w:rsidRDefault="00A54AD0" w:rsidP="00D92400">
            <w:pPr>
              <w:pStyle w:val="ListParagraph"/>
              <w:numPr>
                <w:ilvl w:val="0"/>
                <w:numId w:val="1"/>
              </w:numPr>
              <w:rPr>
                <w:sz w:val="20"/>
                <w:szCs w:val="20"/>
              </w:rPr>
            </w:pPr>
            <w:r w:rsidRPr="00E707E6">
              <w:rPr>
                <w:sz w:val="20"/>
                <w:szCs w:val="20"/>
              </w:rPr>
              <w:t xml:space="preserve">Patient must have clinical features of active organ damage or impairment, </w:t>
            </w:r>
            <w:r w:rsidRPr="00E707E6">
              <w:rPr>
                <w:b/>
                <w:bCs/>
                <w:sz w:val="20"/>
                <w:szCs w:val="20"/>
              </w:rPr>
              <w:t xml:space="preserve">AND </w:t>
            </w:r>
          </w:p>
          <w:p w14:paraId="3463DBB2" w14:textId="77777777" w:rsidR="00A54AD0" w:rsidRPr="00E707E6" w:rsidRDefault="00A54AD0" w:rsidP="00D92400">
            <w:pPr>
              <w:pStyle w:val="ListParagraph"/>
              <w:numPr>
                <w:ilvl w:val="0"/>
                <w:numId w:val="1"/>
              </w:numPr>
              <w:rPr>
                <w:sz w:val="20"/>
                <w:szCs w:val="20"/>
              </w:rPr>
            </w:pPr>
            <w:r w:rsidRPr="00E707E6">
              <w:rPr>
                <w:sz w:val="20"/>
                <w:szCs w:val="20"/>
              </w:rPr>
              <w:t xml:space="preserve">Patient must not receive more than 4 weeks of treatment under this restriction. </w:t>
            </w:r>
          </w:p>
          <w:p w14:paraId="75EFFCA0" w14:textId="77777777" w:rsidR="00A54AD0" w:rsidRPr="00E707E6" w:rsidRDefault="00A54AD0" w:rsidP="00D92400">
            <w:pPr>
              <w:rPr>
                <w:sz w:val="20"/>
                <w:szCs w:val="20"/>
              </w:rPr>
            </w:pPr>
          </w:p>
          <w:p w14:paraId="12BB7279" w14:textId="77777777" w:rsidR="00A54AD0" w:rsidRPr="00E707E6" w:rsidRDefault="00A54AD0" w:rsidP="00D92400">
            <w:pPr>
              <w:rPr>
                <w:sz w:val="20"/>
                <w:szCs w:val="20"/>
              </w:rPr>
            </w:pPr>
            <w:r w:rsidRPr="00E707E6">
              <w:rPr>
                <w:sz w:val="20"/>
                <w:szCs w:val="20"/>
              </w:rPr>
              <w:t>The restriction provides definitions for evidence of active and progressing TMA.</w:t>
            </w:r>
          </w:p>
          <w:p w14:paraId="3C23589C" w14:textId="77777777" w:rsidR="00A54AD0" w:rsidRPr="00E707E6" w:rsidRDefault="00A54AD0" w:rsidP="00D92400">
            <w:pPr>
              <w:rPr>
                <w:sz w:val="20"/>
                <w:szCs w:val="20"/>
              </w:rPr>
            </w:pPr>
          </w:p>
        </w:tc>
      </w:tr>
      <w:tr w:rsidR="00A54AD0" w:rsidRPr="00E707E6" w14:paraId="3F3D0355" w14:textId="77777777" w:rsidTr="00D92400">
        <w:tc>
          <w:tcPr>
            <w:tcW w:w="1271" w:type="dxa"/>
          </w:tcPr>
          <w:p w14:paraId="4E92494A" w14:textId="77777777" w:rsidR="00A54AD0" w:rsidRPr="00E707E6" w:rsidRDefault="00A54AD0" w:rsidP="00D92400">
            <w:pPr>
              <w:rPr>
                <w:b/>
                <w:sz w:val="20"/>
                <w:szCs w:val="20"/>
              </w:rPr>
            </w:pPr>
            <w:r w:rsidRPr="00E707E6">
              <w:rPr>
                <w:b/>
                <w:bCs/>
                <w:sz w:val="20"/>
                <w:szCs w:val="20"/>
              </w:rPr>
              <w:t>Treatment criteria</w:t>
            </w:r>
          </w:p>
        </w:tc>
        <w:tc>
          <w:tcPr>
            <w:tcW w:w="7902" w:type="dxa"/>
          </w:tcPr>
          <w:p w14:paraId="5D1274E5" w14:textId="77777777" w:rsidR="00A54AD0" w:rsidRPr="00E707E6" w:rsidRDefault="00A54AD0" w:rsidP="00D92400">
            <w:pPr>
              <w:rPr>
                <w:sz w:val="20"/>
                <w:szCs w:val="20"/>
              </w:rPr>
            </w:pPr>
            <w:r w:rsidRPr="00E707E6">
              <w:rPr>
                <w:sz w:val="20"/>
                <w:szCs w:val="20"/>
              </w:rPr>
              <w:t>Must be treated by a paediatric nephrologist, a nephrologist, a paediatric haematologist or a haematologist, or, must be in consultation with a paediatric nephrologist, a nephrologist, a paediatric haematologist or a haematologist.</w:t>
            </w:r>
          </w:p>
          <w:p w14:paraId="281B6D4E" w14:textId="77777777" w:rsidR="00A54AD0" w:rsidRPr="00E707E6" w:rsidRDefault="00A54AD0" w:rsidP="00D92400">
            <w:pPr>
              <w:rPr>
                <w:b/>
                <w:sz w:val="20"/>
                <w:szCs w:val="20"/>
              </w:rPr>
            </w:pPr>
          </w:p>
        </w:tc>
      </w:tr>
      <w:tr w:rsidR="00A54AD0" w:rsidRPr="00E707E6" w14:paraId="2C7A98AD" w14:textId="77777777" w:rsidTr="00D92400">
        <w:tc>
          <w:tcPr>
            <w:tcW w:w="9173" w:type="dxa"/>
            <w:gridSpan w:val="2"/>
          </w:tcPr>
          <w:p w14:paraId="22B59DFC" w14:textId="77777777" w:rsidR="00A54AD0" w:rsidRPr="00E707E6" w:rsidRDefault="00A54AD0" w:rsidP="00D92400">
            <w:pPr>
              <w:rPr>
                <w:b/>
                <w:sz w:val="20"/>
                <w:szCs w:val="20"/>
              </w:rPr>
            </w:pPr>
            <w:r w:rsidRPr="00E707E6">
              <w:rPr>
                <w:b/>
                <w:sz w:val="20"/>
                <w:szCs w:val="20"/>
              </w:rPr>
              <w:t>Treatment phase:</w:t>
            </w:r>
            <w:r w:rsidRPr="00E707E6">
              <w:rPr>
                <w:sz w:val="20"/>
                <w:szCs w:val="20"/>
              </w:rPr>
              <w:t xml:space="preserve"> Initial treatment – balance of supply</w:t>
            </w:r>
          </w:p>
        </w:tc>
      </w:tr>
      <w:tr w:rsidR="00A54AD0" w:rsidRPr="00E707E6" w14:paraId="27724645" w14:textId="77777777" w:rsidTr="00D92400">
        <w:tc>
          <w:tcPr>
            <w:tcW w:w="1271" w:type="dxa"/>
          </w:tcPr>
          <w:p w14:paraId="763FED4D" w14:textId="77777777" w:rsidR="00A54AD0" w:rsidRPr="00E707E6" w:rsidRDefault="00A54AD0" w:rsidP="00D92400">
            <w:pPr>
              <w:spacing w:after="200"/>
              <w:rPr>
                <w:sz w:val="20"/>
                <w:szCs w:val="20"/>
              </w:rPr>
            </w:pPr>
            <w:r w:rsidRPr="00E707E6">
              <w:rPr>
                <w:b/>
                <w:bCs/>
                <w:sz w:val="20"/>
                <w:szCs w:val="20"/>
              </w:rPr>
              <w:t xml:space="preserve">Clinical criteria </w:t>
            </w:r>
          </w:p>
          <w:p w14:paraId="0D7F959E" w14:textId="77777777" w:rsidR="00A54AD0" w:rsidRPr="00E707E6" w:rsidRDefault="00A54AD0" w:rsidP="00D92400">
            <w:pPr>
              <w:rPr>
                <w:b/>
                <w:sz w:val="20"/>
                <w:szCs w:val="20"/>
              </w:rPr>
            </w:pPr>
          </w:p>
        </w:tc>
        <w:tc>
          <w:tcPr>
            <w:tcW w:w="7902" w:type="dxa"/>
          </w:tcPr>
          <w:p w14:paraId="729B7E93" w14:textId="77777777" w:rsidR="00A54AD0" w:rsidRPr="00E707E6" w:rsidRDefault="00A54AD0" w:rsidP="00D92400">
            <w:pPr>
              <w:pStyle w:val="ListParagraph"/>
              <w:numPr>
                <w:ilvl w:val="0"/>
                <w:numId w:val="1"/>
              </w:numPr>
              <w:rPr>
                <w:sz w:val="20"/>
                <w:szCs w:val="20"/>
              </w:rPr>
            </w:pPr>
            <w:r w:rsidRPr="00E707E6">
              <w:rPr>
                <w:sz w:val="20"/>
                <w:szCs w:val="20"/>
              </w:rPr>
              <w:t xml:space="preserve">Patient must have received PBS-subsidised initial supply of eculizumab for this condition, AND </w:t>
            </w:r>
          </w:p>
          <w:p w14:paraId="5253C5BD" w14:textId="77777777" w:rsidR="00A54AD0" w:rsidRPr="00E707E6" w:rsidRDefault="00A54AD0" w:rsidP="00D92400">
            <w:pPr>
              <w:pStyle w:val="ListParagraph"/>
              <w:numPr>
                <w:ilvl w:val="0"/>
                <w:numId w:val="1"/>
              </w:numPr>
              <w:rPr>
                <w:sz w:val="20"/>
                <w:szCs w:val="20"/>
              </w:rPr>
            </w:pPr>
            <w:r w:rsidRPr="00E707E6">
              <w:rPr>
                <w:sz w:val="20"/>
                <w:szCs w:val="20"/>
              </w:rPr>
              <w:t xml:space="preserve">Patient must have ADAMTS-13 activity of greater than or equal to 10% on a blood sample, AND </w:t>
            </w:r>
          </w:p>
          <w:p w14:paraId="72D5B2B5" w14:textId="77777777" w:rsidR="00A54AD0" w:rsidRPr="00E707E6" w:rsidRDefault="00A54AD0" w:rsidP="00D92400">
            <w:pPr>
              <w:pStyle w:val="ListParagraph"/>
              <w:numPr>
                <w:ilvl w:val="0"/>
                <w:numId w:val="1"/>
              </w:numPr>
              <w:rPr>
                <w:sz w:val="20"/>
                <w:szCs w:val="20"/>
              </w:rPr>
            </w:pPr>
            <w:r w:rsidRPr="00E707E6">
              <w:rPr>
                <w:sz w:val="20"/>
                <w:szCs w:val="20"/>
              </w:rPr>
              <w:t xml:space="preserve">Patient must not receive more than 20 weeks supply under this restriction. </w:t>
            </w:r>
          </w:p>
          <w:p w14:paraId="0B35BBCC" w14:textId="77777777" w:rsidR="00A54AD0" w:rsidRPr="00E707E6" w:rsidRDefault="00A54AD0" w:rsidP="00D92400">
            <w:pPr>
              <w:pStyle w:val="ListParagraph"/>
              <w:ind w:left="360"/>
              <w:rPr>
                <w:sz w:val="20"/>
                <w:szCs w:val="20"/>
              </w:rPr>
            </w:pPr>
          </w:p>
        </w:tc>
      </w:tr>
      <w:tr w:rsidR="00A54AD0" w:rsidRPr="00E707E6" w14:paraId="722632D7" w14:textId="77777777" w:rsidTr="00D92400">
        <w:tc>
          <w:tcPr>
            <w:tcW w:w="9173" w:type="dxa"/>
            <w:gridSpan w:val="2"/>
          </w:tcPr>
          <w:p w14:paraId="65FE91A4" w14:textId="77777777" w:rsidR="00A54AD0" w:rsidRPr="00E707E6" w:rsidRDefault="00A54AD0" w:rsidP="00D92400">
            <w:pPr>
              <w:autoSpaceDE w:val="0"/>
              <w:autoSpaceDN w:val="0"/>
              <w:adjustRightInd w:val="0"/>
              <w:rPr>
                <w:sz w:val="20"/>
                <w:szCs w:val="20"/>
              </w:rPr>
            </w:pPr>
            <w:r w:rsidRPr="00E707E6">
              <w:rPr>
                <w:b/>
                <w:sz w:val="20"/>
                <w:szCs w:val="20"/>
              </w:rPr>
              <w:t>Treatment Phase:</w:t>
            </w:r>
            <w:r w:rsidRPr="00E707E6">
              <w:rPr>
                <w:sz w:val="20"/>
                <w:szCs w:val="20"/>
              </w:rPr>
              <w:t xml:space="preserve"> Extended initial treatment - Assessment phase </w:t>
            </w:r>
          </w:p>
        </w:tc>
      </w:tr>
      <w:tr w:rsidR="00A54AD0" w:rsidRPr="00E707E6" w14:paraId="72FAD5F0" w14:textId="77777777" w:rsidTr="00D92400">
        <w:tc>
          <w:tcPr>
            <w:tcW w:w="1271" w:type="dxa"/>
          </w:tcPr>
          <w:p w14:paraId="3E796262" w14:textId="77777777" w:rsidR="00A54AD0" w:rsidRPr="00E707E6" w:rsidRDefault="00A54AD0" w:rsidP="00D92400">
            <w:pPr>
              <w:spacing w:after="200"/>
              <w:rPr>
                <w:sz w:val="20"/>
                <w:szCs w:val="20"/>
              </w:rPr>
            </w:pPr>
            <w:r w:rsidRPr="00E707E6">
              <w:rPr>
                <w:b/>
                <w:bCs/>
                <w:sz w:val="20"/>
                <w:szCs w:val="20"/>
              </w:rPr>
              <w:t xml:space="preserve">Clinical criteria </w:t>
            </w:r>
          </w:p>
          <w:p w14:paraId="51C0223E" w14:textId="77777777" w:rsidR="00A54AD0" w:rsidRPr="00E707E6" w:rsidRDefault="00A54AD0" w:rsidP="00D92400">
            <w:pPr>
              <w:rPr>
                <w:b/>
                <w:sz w:val="20"/>
                <w:szCs w:val="20"/>
              </w:rPr>
            </w:pPr>
          </w:p>
        </w:tc>
        <w:tc>
          <w:tcPr>
            <w:tcW w:w="7902" w:type="dxa"/>
          </w:tcPr>
          <w:p w14:paraId="52EE79CA" w14:textId="77777777" w:rsidR="00A54AD0" w:rsidRPr="00E707E6" w:rsidRDefault="00A54AD0" w:rsidP="00D92400">
            <w:pPr>
              <w:pStyle w:val="ListParagraph"/>
              <w:numPr>
                <w:ilvl w:val="0"/>
                <w:numId w:val="1"/>
              </w:numPr>
              <w:rPr>
                <w:sz w:val="20"/>
                <w:szCs w:val="20"/>
              </w:rPr>
            </w:pPr>
            <w:r w:rsidRPr="00E707E6">
              <w:rPr>
                <w:sz w:val="20"/>
                <w:szCs w:val="20"/>
              </w:rPr>
              <w:t xml:space="preserve">Patient must have received treatment under the initial restriction with PBS subsidised eculizumab for this condition, </w:t>
            </w:r>
            <w:r w:rsidRPr="00E707E6">
              <w:rPr>
                <w:b/>
                <w:sz w:val="20"/>
                <w:szCs w:val="20"/>
              </w:rPr>
              <w:t>AND</w:t>
            </w:r>
            <w:r w:rsidRPr="00E707E6">
              <w:rPr>
                <w:sz w:val="20"/>
                <w:szCs w:val="20"/>
              </w:rPr>
              <w:t xml:space="preserve"> </w:t>
            </w:r>
          </w:p>
          <w:p w14:paraId="21C32F59" w14:textId="77777777" w:rsidR="00A54AD0" w:rsidRPr="00E707E6" w:rsidRDefault="00A54AD0" w:rsidP="00D92400">
            <w:pPr>
              <w:pStyle w:val="ListParagraph"/>
              <w:numPr>
                <w:ilvl w:val="0"/>
                <w:numId w:val="1"/>
              </w:numPr>
              <w:rPr>
                <w:sz w:val="20"/>
                <w:szCs w:val="20"/>
              </w:rPr>
            </w:pPr>
            <w:r w:rsidRPr="00E707E6">
              <w:rPr>
                <w:sz w:val="20"/>
                <w:szCs w:val="20"/>
              </w:rPr>
              <w:t xml:space="preserve">Patient must have demonstrated on-going treatment response of PBS-subsidised eculizumab treatment for this condition, </w:t>
            </w:r>
            <w:r w:rsidRPr="00E707E6">
              <w:rPr>
                <w:b/>
                <w:sz w:val="20"/>
                <w:szCs w:val="20"/>
              </w:rPr>
              <w:t>AND</w:t>
            </w:r>
            <w:r w:rsidRPr="00E707E6">
              <w:rPr>
                <w:sz w:val="20"/>
                <w:szCs w:val="20"/>
              </w:rPr>
              <w:t xml:space="preserve"> </w:t>
            </w:r>
          </w:p>
          <w:p w14:paraId="57FC3190" w14:textId="77777777" w:rsidR="00A54AD0" w:rsidRPr="00E707E6" w:rsidRDefault="00A54AD0" w:rsidP="00D92400">
            <w:pPr>
              <w:pStyle w:val="ListParagraph"/>
              <w:numPr>
                <w:ilvl w:val="0"/>
                <w:numId w:val="1"/>
              </w:numPr>
              <w:rPr>
                <w:sz w:val="20"/>
                <w:szCs w:val="20"/>
              </w:rPr>
            </w:pPr>
            <w:r w:rsidRPr="00E707E6">
              <w:rPr>
                <w:sz w:val="20"/>
                <w:szCs w:val="20"/>
              </w:rPr>
              <w:t xml:space="preserve">Patient must not have experienced treatment failure with eculizumab including PBS-subsidised eculizumab for this condition, </w:t>
            </w:r>
            <w:r w:rsidRPr="00E707E6">
              <w:rPr>
                <w:b/>
                <w:sz w:val="20"/>
                <w:szCs w:val="20"/>
              </w:rPr>
              <w:t>AND</w:t>
            </w:r>
            <w:r w:rsidRPr="00E707E6">
              <w:rPr>
                <w:sz w:val="20"/>
                <w:szCs w:val="20"/>
              </w:rPr>
              <w:t xml:space="preserve"> </w:t>
            </w:r>
          </w:p>
          <w:p w14:paraId="01063F0D" w14:textId="77777777" w:rsidR="00A54AD0" w:rsidRPr="00E707E6" w:rsidRDefault="00A54AD0" w:rsidP="00D92400">
            <w:pPr>
              <w:pStyle w:val="ListParagraph"/>
              <w:numPr>
                <w:ilvl w:val="0"/>
                <w:numId w:val="1"/>
              </w:numPr>
              <w:rPr>
                <w:sz w:val="20"/>
                <w:szCs w:val="20"/>
              </w:rPr>
            </w:pPr>
            <w:r w:rsidRPr="00E707E6">
              <w:rPr>
                <w:sz w:val="20"/>
                <w:szCs w:val="20"/>
              </w:rPr>
              <w:t xml:space="preserve">Patient must not receive more than 56 weeks of treatment under this restriction. </w:t>
            </w:r>
          </w:p>
          <w:p w14:paraId="67AD921D" w14:textId="77777777" w:rsidR="00A54AD0" w:rsidRPr="00E707E6" w:rsidRDefault="00A54AD0" w:rsidP="00D92400">
            <w:pPr>
              <w:rPr>
                <w:sz w:val="20"/>
                <w:szCs w:val="20"/>
              </w:rPr>
            </w:pPr>
          </w:p>
          <w:p w14:paraId="08CB4BD0" w14:textId="77777777" w:rsidR="00A54AD0" w:rsidRPr="00E707E6" w:rsidRDefault="00A54AD0" w:rsidP="00D92400">
            <w:pPr>
              <w:rPr>
                <w:sz w:val="20"/>
                <w:szCs w:val="20"/>
              </w:rPr>
            </w:pPr>
            <w:r w:rsidRPr="00E707E6">
              <w:rPr>
                <w:sz w:val="20"/>
                <w:szCs w:val="20"/>
              </w:rPr>
              <w:t xml:space="preserve">The restriction provides definitions of treatment response. </w:t>
            </w:r>
          </w:p>
          <w:p w14:paraId="7A28315E" w14:textId="77777777" w:rsidR="00A54AD0" w:rsidRPr="00E707E6" w:rsidRDefault="00A54AD0" w:rsidP="00D92400">
            <w:pPr>
              <w:rPr>
                <w:b/>
                <w:sz w:val="20"/>
                <w:szCs w:val="20"/>
              </w:rPr>
            </w:pPr>
          </w:p>
        </w:tc>
      </w:tr>
      <w:tr w:rsidR="00A54AD0" w:rsidRPr="00E707E6" w14:paraId="1D947630" w14:textId="77777777" w:rsidTr="00D92400">
        <w:tc>
          <w:tcPr>
            <w:tcW w:w="9173" w:type="dxa"/>
            <w:gridSpan w:val="2"/>
          </w:tcPr>
          <w:p w14:paraId="1BEE3C85" w14:textId="77777777" w:rsidR="00A54AD0" w:rsidRPr="00E707E6" w:rsidRDefault="00A54AD0" w:rsidP="00D92400">
            <w:pPr>
              <w:rPr>
                <w:b/>
                <w:sz w:val="20"/>
                <w:szCs w:val="20"/>
              </w:rPr>
            </w:pPr>
            <w:r w:rsidRPr="00E707E6">
              <w:rPr>
                <w:b/>
                <w:sz w:val="20"/>
                <w:szCs w:val="20"/>
              </w:rPr>
              <w:t xml:space="preserve">Treatment Phase: </w:t>
            </w:r>
            <w:r w:rsidRPr="00E707E6">
              <w:rPr>
                <w:sz w:val="20"/>
                <w:szCs w:val="20"/>
              </w:rPr>
              <w:t>Continuing treatment</w:t>
            </w:r>
            <w:r w:rsidRPr="00E707E6">
              <w:rPr>
                <w:b/>
                <w:sz w:val="20"/>
                <w:szCs w:val="20"/>
              </w:rPr>
              <w:t xml:space="preserve"> </w:t>
            </w:r>
          </w:p>
        </w:tc>
      </w:tr>
      <w:tr w:rsidR="00A54AD0" w:rsidRPr="00E707E6" w14:paraId="56BAF4C9" w14:textId="77777777" w:rsidTr="00D92400">
        <w:tc>
          <w:tcPr>
            <w:tcW w:w="1271" w:type="dxa"/>
          </w:tcPr>
          <w:p w14:paraId="6386C7EE" w14:textId="77777777" w:rsidR="00A54AD0" w:rsidRPr="00E707E6" w:rsidRDefault="00A54AD0" w:rsidP="00D92400">
            <w:pPr>
              <w:spacing w:after="200"/>
              <w:rPr>
                <w:sz w:val="20"/>
                <w:szCs w:val="20"/>
              </w:rPr>
            </w:pPr>
            <w:r w:rsidRPr="00E707E6">
              <w:rPr>
                <w:b/>
                <w:bCs/>
                <w:sz w:val="20"/>
                <w:szCs w:val="20"/>
              </w:rPr>
              <w:t xml:space="preserve">Clinical criteria </w:t>
            </w:r>
          </w:p>
          <w:p w14:paraId="44B0F404" w14:textId="77777777" w:rsidR="00A54AD0" w:rsidRPr="00E707E6" w:rsidRDefault="00A54AD0" w:rsidP="00D92400">
            <w:pPr>
              <w:rPr>
                <w:b/>
                <w:sz w:val="20"/>
                <w:szCs w:val="20"/>
              </w:rPr>
            </w:pPr>
          </w:p>
        </w:tc>
        <w:tc>
          <w:tcPr>
            <w:tcW w:w="7902" w:type="dxa"/>
          </w:tcPr>
          <w:p w14:paraId="538E0F46" w14:textId="77777777" w:rsidR="00A54AD0" w:rsidRPr="00E707E6" w:rsidRDefault="00A54AD0" w:rsidP="00D92400">
            <w:pPr>
              <w:pStyle w:val="ListParagraph"/>
              <w:numPr>
                <w:ilvl w:val="0"/>
                <w:numId w:val="1"/>
              </w:numPr>
              <w:rPr>
                <w:sz w:val="20"/>
                <w:szCs w:val="20"/>
              </w:rPr>
            </w:pPr>
            <w:r w:rsidRPr="00E707E6">
              <w:rPr>
                <w:sz w:val="20"/>
                <w:szCs w:val="20"/>
              </w:rPr>
              <w:t xml:space="preserve">Patient must have received treatment under Extended Initial restriction with PBS subsidised eculizumab for this condition, </w:t>
            </w:r>
            <w:r w:rsidRPr="00E707E6">
              <w:rPr>
                <w:b/>
                <w:sz w:val="20"/>
                <w:szCs w:val="20"/>
              </w:rPr>
              <w:t>AND</w:t>
            </w:r>
            <w:r w:rsidRPr="00E707E6">
              <w:rPr>
                <w:sz w:val="20"/>
                <w:szCs w:val="20"/>
              </w:rPr>
              <w:t xml:space="preserve"> </w:t>
            </w:r>
          </w:p>
          <w:p w14:paraId="0BECD7C2" w14:textId="77777777" w:rsidR="00A54AD0" w:rsidRPr="00E707E6" w:rsidRDefault="00A54AD0" w:rsidP="00D92400">
            <w:pPr>
              <w:pStyle w:val="ListParagraph"/>
              <w:numPr>
                <w:ilvl w:val="0"/>
                <w:numId w:val="1"/>
              </w:numPr>
              <w:rPr>
                <w:sz w:val="20"/>
                <w:szCs w:val="20"/>
              </w:rPr>
            </w:pPr>
            <w:r w:rsidRPr="00E707E6">
              <w:rPr>
                <w:sz w:val="20"/>
                <w:szCs w:val="20"/>
              </w:rPr>
              <w:t xml:space="preserve">Patient must have demonstrated on-going treatment response of PBS-subsidised eculizumab treatment for this condition, </w:t>
            </w:r>
            <w:r w:rsidRPr="00E707E6">
              <w:rPr>
                <w:b/>
                <w:sz w:val="20"/>
                <w:szCs w:val="20"/>
              </w:rPr>
              <w:t>AND</w:t>
            </w:r>
            <w:r w:rsidRPr="00E707E6">
              <w:rPr>
                <w:sz w:val="20"/>
                <w:szCs w:val="20"/>
              </w:rPr>
              <w:t xml:space="preserve"> </w:t>
            </w:r>
          </w:p>
          <w:p w14:paraId="181DF376" w14:textId="77777777" w:rsidR="00A54AD0" w:rsidRPr="00E707E6" w:rsidRDefault="00A54AD0" w:rsidP="00D92400">
            <w:pPr>
              <w:pStyle w:val="ListParagraph"/>
              <w:numPr>
                <w:ilvl w:val="0"/>
                <w:numId w:val="1"/>
              </w:numPr>
              <w:rPr>
                <w:sz w:val="20"/>
                <w:szCs w:val="20"/>
              </w:rPr>
            </w:pPr>
            <w:r w:rsidRPr="00E707E6">
              <w:rPr>
                <w:sz w:val="20"/>
                <w:szCs w:val="20"/>
              </w:rPr>
              <w:t xml:space="preserve">Patient must not have experienced treatment failure with eculizumab including PBS-subsidised eculizumab for this condition, </w:t>
            </w:r>
            <w:r w:rsidRPr="00E707E6">
              <w:rPr>
                <w:b/>
                <w:sz w:val="20"/>
                <w:szCs w:val="20"/>
              </w:rPr>
              <w:t>AND</w:t>
            </w:r>
            <w:r w:rsidRPr="00E707E6">
              <w:rPr>
                <w:sz w:val="20"/>
                <w:szCs w:val="20"/>
              </w:rPr>
              <w:t xml:space="preserve"> </w:t>
            </w:r>
          </w:p>
          <w:p w14:paraId="5011C25E" w14:textId="77777777" w:rsidR="00A54AD0" w:rsidRPr="00E707E6" w:rsidRDefault="00A54AD0" w:rsidP="00D92400">
            <w:pPr>
              <w:pStyle w:val="ListParagraph"/>
              <w:numPr>
                <w:ilvl w:val="0"/>
                <w:numId w:val="1"/>
              </w:numPr>
              <w:rPr>
                <w:sz w:val="20"/>
                <w:szCs w:val="20"/>
              </w:rPr>
            </w:pPr>
            <w:r w:rsidRPr="00E707E6">
              <w:rPr>
                <w:sz w:val="20"/>
                <w:szCs w:val="20"/>
              </w:rPr>
              <w:t xml:space="preserve">Patient must not receive more than 24 weeks of treatment under this restriction. </w:t>
            </w:r>
          </w:p>
          <w:p w14:paraId="545A7B72" w14:textId="77777777" w:rsidR="00A54AD0" w:rsidRPr="00E707E6" w:rsidRDefault="00A54AD0" w:rsidP="00D92400">
            <w:pPr>
              <w:rPr>
                <w:sz w:val="20"/>
                <w:szCs w:val="20"/>
              </w:rPr>
            </w:pPr>
          </w:p>
          <w:p w14:paraId="2E3EA273" w14:textId="77777777" w:rsidR="00A54AD0" w:rsidRPr="00E707E6" w:rsidRDefault="00A54AD0" w:rsidP="00D92400">
            <w:pPr>
              <w:rPr>
                <w:sz w:val="20"/>
                <w:szCs w:val="20"/>
              </w:rPr>
            </w:pPr>
            <w:r w:rsidRPr="00E707E6">
              <w:rPr>
                <w:sz w:val="20"/>
                <w:szCs w:val="20"/>
              </w:rPr>
              <w:t xml:space="preserve">The restriction provides definitions of treatment response. </w:t>
            </w:r>
          </w:p>
          <w:p w14:paraId="33EAEE0B" w14:textId="77777777" w:rsidR="00A54AD0" w:rsidRPr="00E707E6" w:rsidRDefault="00A54AD0" w:rsidP="00D92400">
            <w:pPr>
              <w:rPr>
                <w:b/>
                <w:sz w:val="20"/>
                <w:szCs w:val="20"/>
              </w:rPr>
            </w:pPr>
          </w:p>
        </w:tc>
      </w:tr>
      <w:tr w:rsidR="00A54AD0" w:rsidRPr="00E707E6" w14:paraId="06EEC56F" w14:textId="77777777" w:rsidTr="00D92400">
        <w:tc>
          <w:tcPr>
            <w:tcW w:w="9173" w:type="dxa"/>
            <w:gridSpan w:val="2"/>
          </w:tcPr>
          <w:p w14:paraId="5D4DA639" w14:textId="77777777" w:rsidR="00A54AD0" w:rsidRPr="00E707E6" w:rsidRDefault="00A54AD0" w:rsidP="00D92400">
            <w:pPr>
              <w:rPr>
                <w:b/>
                <w:sz w:val="20"/>
                <w:szCs w:val="20"/>
              </w:rPr>
            </w:pPr>
            <w:r w:rsidRPr="00E707E6">
              <w:rPr>
                <w:b/>
                <w:sz w:val="20"/>
                <w:szCs w:val="20"/>
              </w:rPr>
              <w:t xml:space="preserve">Treatment Phase: </w:t>
            </w:r>
            <w:r w:rsidRPr="00E707E6">
              <w:rPr>
                <w:sz w:val="20"/>
                <w:szCs w:val="20"/>
              </w:rPr>
              <w:t>Extended</w:t>
            </w:r>
            <w:r w:rsidRPr="00E707E6">
              <w:rPr>
                <w:b/>
                <w:sz w:val="20"/>
                <w:szCs w:val="20"/>
              </w:rPr>
              <w:t xml:space="preserve"> </w:t>
            </w:r>
            <w:r w:rsidRPr="00E707E6">
              <w:rPr>
                <w:sz w:val="20"/>
                <w:szCs w:val="20"/>
              </w:rPr>
              <w:t>Continuing treatment</w:t>
            </w:r>
          </w:p>
        </w:tc>
      </w:tr>
      <w:tr w:rsidR="00A54AD0" w:rsidRPr="00E707E6" w14:paraId="2C37179F" w14:textId="77777777" w:rsidTr="00D92400">
        <w:tc>
          <w:tcPr>
            <w:tcW w:w="1271" w:type="dxa"/>
          </w:tcPr>
          <w:p w14:paraId="1118D5F2" w14:textId="77777777" w:rsidR="00A54AD0" w:rsidRPr="00E707E6" w:rsidRDefault="00A54AD0" w:rsidP="00D92400">
            <w:pPr>
              <w:spacing w:after="200"/>
              <w:rPr>
                <w:sz w:val="20"/>
                <w:szCs w:val="20"/>
              </w:rPr>
            </w:pPr>
            <w:r w:rsidRPr="00E707E6">
              <w:rPr>
                <w:b/>
                <w:bCs/>
                <w:sz w:val="20"/>
                <w:szCs w:val="20"/>
              </w:rPr>
              <w:lastRenderedPageBreak/>
              <w:t xml:space="preserve">Clinical criteria </w:t>
            </w:r>
          </w:p>
          <w:p w14:paraId="00D4553F" w14:textId="77777777" w:rsidR="00A54AD0" w:rsidRPr="00E707E6" w:rsidRDefault="00A54AD0" w:rsidP="00D92400">
            <w:pPr>
              <w:rPr>
                <w:b/>
                <w:sz w:val="20"/>
                <w:szCs w:val="20"/>
              </w:rPr>
            </w:pPr>
          </w:p>
        </w:tc>
        <w:tc>
          <w:tcPr>
            <w:tcW w:w="7902" w:type="dxa"/>
          </w:tcPr>
          <w:p w14:paraId="6CD70B6E" w14:textId="77777777" w:rsidR="00A54AD0" w:rsidRPr="00E707E6" w:rsidRDefault="00A54AD0" w:rsidP="00D92400">
            <w:pPr>
              <w:pStyle w:val="ListParagraph"/>
              <w:numPr>
                <w:ilvl w:val="0"/>
                <w:numId w:val="1"/>
              </w:numPr>
              <w:rPr>
                <w:sz w:val="20"/>
                <w:szCs w:val="20"/>
              </w:rPr>
            </w:pPr>
            <w:r w:rsidRPr="00E707E6">
              <w:rPr>
                <w:sz w:val="20"/>
                <w:szCs w:val="20"/>
              </w:rPr>
              <w:t xml:space="preserve">Patient must have received treatment under the Continuing treatment with PBS-subsidised eculizumab for this condition, </w:t>
            </w:r>
            <w:r w:rsidRPr="00E707E6">
              <w:rPr>
                <w:b/>
                <w:sz w:val="20"/>
                <w:szCs w:val="20"/>
              </w:rPr>
              <w:t>AND</w:t>
            </w:r>
            <w:r w:rsidRPr="00E707E6">
              <w:rPr>
                <w:sz w:val="20"/>
                <w:szCs w:val="20"/>
              </w:rPr>
              <w:t xml:space="preserve"> </w:t>
            </w:r>
          </w:p>
          <w:p w14:paraId="10DE67FC" w14:textId="77777777" w:rsidR="00A54AD0" w:rsidRPr="00E707E6" w:rsidRDefault="00A54AD0" w:rsidP="00D92400">
            <w:pPr>
              <w:pStyle w:val="ListParagraph"/>
              <w:numPr>
                <w:ilvl w:val="0"/>
                <w:numId w:val="1"/>
              </w:numPr>
              <w:rPr>
                <w:sz w:val="20"/>
                <w:szCs w:val="20"/>
              </w:rPr>
            </w:pPr>
            <w:r w:rsidRPr="00E707E6">
              <w:rPr>
                <w:sz w:val="20"/>
                <w:szCs w:val="20"/>
              </w:rPr>
              <w:t xml:space="preserve">Patient must have demonstrated on-going treatment response with PBS-subsidised eculizumab for this condition, </w:t>
            </w:r>
            <w:r w:rsidRPr="00E707E6">
              <w:rPr>
                <w:b/>
                <w:sz w:val="20"/>
                <w:szCs w:val="20"/>
              </w:rPr>
              <w:t>AND</w:t>
            </w:r>
            <w:r w:rsidRPr="00E707E6">
              <w:rPr>
                <w:sz w:val="20"/>
                <w:szCs w:val="20"/>
              </w:rPr>
              <w:t xml:space="preserve"> </w:t>
            </w:r>
          </w:p>
          <w:p w14:paraId="3F47F8A7" w14:textId="77777777" w:rsidR="00A54AD0" w:rsidRPr="00E707E6" w:rsidRDefault="00A54AD0" w:rsidP="00D92400">
            <w:pPr>
              <w:pStyle w:val="ListParagraph"/>
              <w:numPr>
                <w:ilvl w:val="0"/>
                <w:numId w:val="1"/>
              </w:numPr>
              <w:rPr>
                <w:sz w:val="20"/>
                <w:szCs w:val="20"/>
              </w:rPr>
            </w:pPr>
            <w:r w:rsidRPr="00E707E6">
              <w:rPr>
                <w:sz w:val="20"/>
                <w:szCs w:val="20"/>
              </w:rPr>
              <w:t xml:space="preserve">Patient must not have ever experienced treatment failure with eculizumab including PBS-subsidised eculizumab for this condition, </w:t>
            </w:r>
            <w:r w:rsidRPr="00E707E6">
              <w:rPr>
                <w:b/>
                <w:sz w:val="20"/>
                <w:szCs w:val="20"/>
              </w:rPr>
              <w:t>AND</w:t>
            </w:r>
            <w:r w:rsidRPr="00E707E6">
              <w:rPr>
                <w:sz w:val="20"/>
                <w:szCs w:val="20"/>
              </w:rPr>
              <w:t xml:space="preserve"> </w:t>
            </w:r>
          </w:p>
          <w:p w14:paraId="471AEACC" w14:textId="77777777" w:rsidR="00A54AD0" w:rsidRPr="00E707E6" w:rsidRDefault="00A54AD0" w:rsidP="00D92400">
            <w:pPr>
              <w:pStyle w:val="ListParagraph"/>
              <w:numPr>
                <w:ilvl w:val="0"/>
                <w:numId w:val="1"/>
              </w:numPr>
              <w:rPr>
                <w:sz w:val="20"/>
                <w:szCs w:val="20"/>
              </w:rPr>
            </w:pPr>
            <w:r w:rsidRPr="00E707E6">
              <w:rPr>
                <w:sz w:val="20"/>
                <w:szCs w:val="20"/>
              </w:rPr>
              <w:t xml:space="preserve">Patient must have a TMA-related cardiomyopathy as evidenced by left ventricular ejection fraction &lt; 40% on current objective measurement; </w:t>
            </w:r>
            <w:r w:rsidRPr="00E707E6">
              <w:rPr>
                <w:b/>
                <w:sz w:val="20"/>
                <w:szCs w:val="20"/>
              </w:rPr>
              <w:t>OR</w:t>
            </w:r>
            <w:r w:rsidRPr="00E707E6">
              <w:rPr>
                <w:sz w:val="20"/>
                <w:szCs w:val="20"/>
              </w:rPr>
              <w:t xml:space="preserve"> </w:t>
            </w:r>
          </w:p>
          <w:p w14:paraId="6EAE5C90" w14:textId="77777777" w:rsidR="00A54AD0" w:rsidRPr="00E707E6" w:rsidRDefault="00A54AD0" w:rsidP="00D92400">
            <w:pPr>
              <w:pStyle w:val="ListParagraph"/>
              <w:numPr>
                <w:ilvl w:val="0"/>
                <w:numId w:val="1"/>
              </w:numPr>
              <w:rPr>
                <w:sz w:val="20"/>
                <w:szCs w:val="20"/>
              </w:rPr>
            </w:pPr>
            <w:r w:rsidRPr="00E707E6">
              <w:rPr>
                <w:sz w:val="20"/>
                <w:szCs w:val="20"/>
              </w:rPr>
              <w:t xml:space="preserve">Patient must have severe TMA-related neurological impairment; </w:t>
            </w:r>
            <w:r w:rsidRPr="00E707E6">
              <w:rPr>
                <w:b/>
                <w:sz w:val="20"/>
                <w:szCs w:val="20"/>
              </w:rPr>
              <w:t>OR</w:t>
            </w:r>
            <w:r w:rsidRPr="00E707E6">
              <w:rPr>
                <w:sz w:val="20"/>
                <w:szCs w:val="20"/>
              </w:rPr>
              <w:t xml:space="preserve"> </w:t>
            </w:r>
          </w:p>
          <w:p w14:paraId="3221F2F4" w14:textId="77777777" w:rsidR="00A54AD0" w:rsidRPr="00E707E6" w:rsidRDefault="00A54AD0" w:rsidP="00D92400">
            <w:pPr>
              <w:pStyle w:val="ListParagraph"/>
              <w:numPr>
                <w:ilvl w:val="0"/>
                <w:numId w:val="1"/>
              </w:numPr>
              <w:rPr>
                <w:sz w:val="20"/>
                <w:szCs w:val="20"/>
              </w:rPr>
            </w:pPr>
            <w:r w:rsidRPr="00E707E6">
              <w:rPr>
                <w:sz w:val="20"/>
                <w:szCs w:val="20"/>
              </w:rPr>
              <w:t xml:space="preserve">Patient must have severe TMA-related gastrointestinal impairment; </w:t>
            </w:r>
            <w:r w:rsidRPr="00E707E6">
              <w:rPr>
                <w:b/>
                <w:sz w:val="20"/>
                <w:szCs w:val="20"/>
              </w:rPr>
              <w:t>OR</w:t>
            </w:r>
            <w:r w:rsidRPr="00E707E6">
              <w:rPr>
                <w:sz w:val="20"/>
                <w:szCs w:val="20"/>
              </w:rPr>
              <w:t xml:space="preserve"> </w:t>
            </w:r>
          </w:p>
          <w:p w14:paraId="5B72512E" w14:textId="77777777" w:rsidR="00A54AD0" w:rsidRPr="00E707E6" w:rsidRDefault="00A54AD0" w:rsidP="00D92400">
            <w:pPr>
              <w:pStyle w:val="ListParagraph"/>
              <w:numPr>
                <w:ilvl w:val="0"/>
                <w:numId w:val="1"/>
              </w:numPr>
              <w:rPr>
                <w:sz w:val="20"/>
                <w:szCs w:val="20"/>
              </w:rPr>
            </w:pPr>
            <w:r w:rsidRPr="00E707E6">
              <w:rPr>
                <w:sz w:val="20"/>
                <w:szCs w:val="20"/>
              </w:rPr>
              <w:t xml:space="preserve">Patient must have severe TMA-related pulmonary impairment on current objective measurement; </w:t>
            </w:r>
            <w:r w:rsidRPr="00E707E6">
              <w:rPr>
                <w:b/>
                <w:sz w:val="20"/>
                <w:szCs w:val="20"/>
              </w:rPr>
              <w:t>OR</w:t>
            </w:r>
            <w:r w:rsidRPr="00E707E6">
              <w:rPr>
                <w:sz w:val="20"/>
                <w:szCs w:val="20"/>
              </w:rPr>
              <w:t xml:space="preserve"> </w:t>
            </w:r>
          </w:p>
          <w:p w14:paraId="4BA14A0C" w14:textId="77777777" w:rsidR="00A54AD0" w:rsidRPr="00E707E6" w:rsidRDefault="00A54AD0" w:rsidP="00D92400">
            <w:pPr>
              <w:pStyle w:val="ListParagraph"/>
              <w:numPr>
                <w:ilvl w:val="0"/>
                <w:numId w:val="1"/>
              </w:numPr>
              <w:rPr>
                <w:sz w:val="20"/>
                <w:szCs w:val="20"/>
              </w:rPr>
            </w:pPr>
            <w:r w:rsidRPr="00E707E6">
              <w:rPr>
                <w:sz w:val="20"/>
                <w:szCs w:val="20"/>
              </w:rPr>
              <w:t xml:space="preserve">Patient must have grade 4 or 5 chronic kidney disease (eGFR of less than 30 mL/min); </w:t>
            </w:r>
            <w:r w:rsidRPr="00E707E6">
              <w:rPr>
                <w:b/>
                <w:sz w:val="20"/>
                <w:szCs w:val="20"/>
              </w:rPr>
              <w:t>OR</w:t>
            </w:r>
            <w:r w:rsidRPr="00E707E6">
              <w:rPr>
                <w:sz w:val="20"/>
                <w:szCs w:val="20"/>
              </w:rPr>
              <w:t xml:space="preserve"> </w:t>
            </w:r>
          </w:p>
          <w:p w14:paraId="05A27D43" w14:textId="77777777" w:rsidR="00A54AD0" w:rsidRPr="00E707E6" w:rsidRDefault="00A54AD0" w:rsidP="00D92400">
            <w:pPr>
              <w:pStyle w:val="ListParagraph"/>
              <w:numPr>
                <w:ilvl w:val="0"/>
                <w:numId w:val="1"/>
              </w:numPr>
              <w:rPr>
                <w:sz w:val="20"/>
                <w:szCs w:val="20"/>
              </w:rPr>
            </w:pPr>
            <w:r w:rsidRPr="00E707E6">
              <w:rPr>
                <w:sz w:val="20"/>
                <w:szCs w:val="20"/>
              </w:rPr>
              <w:t xml:space="preserve">Patient must have a high risk of aHUS recurrence in the short term in the absence of continued treatment with eculizumab, </w:t>
            </w:r>
            <w:r w:rsidRPr="00E707E6">
              <w:rPr>
                <w:b/>
                <w:sz w:val="20"/>
                <w:szCs w:val="20"/>
              </w:rPr>
              <w:t>AND</w:t>
            </w:r>
            <w:r w:rsidRPr="00E707E6">
              <w:rPr>
                <w:sz w:val="20"/>
                <w:szCs w:val="20"/>
              </w:rPr>
              <w:t xml:space="preserve"> </w:t>
            </w:r>
          </w:p>
          <w:p w14:paraId="45AC3115" w14:textId="77777777" w:rsidR="00A54AD0" w:rsidRPr="00E707E6" w:rsidRDefault="00A54AD0" w:rsidP="00D92400">
            <w:pPr>
              <w:pStyle w:val="ListParagraph"/>
              <w:numPr>
                <w:ilvl w:val="0"/>
                <w:numId w:val="1"/>
              </w:numPr>
              <w:rPr>
                <w:sz w:val="20"/>
                <w:szCs w:val="20"/>
              </w:rPr>
            </w:pPr>
            <w:r w:rsidRPr="00E707E6">
              <w:rPr>
                <w:sz w:val="20"/>
                <w:szCs w:val="20"/>
              </w:rPr>
              <w:t xml:space="preserve">Patient must not receive more than 24 weeks of treatment per continuing treatment course authorised under this restriction. </w:t>
            </w:r>
          </w:p>
          <w:p w14:paraId="79E3BFE0" w14:textId="77777777" w:rsidR="00A54AD0" w:rsidRPr="00E707E6" w:rsidRDefault="00A54AD0" w:rsidP="00D92400">
            <w:pPr>
              <w:rPr>
                <w:b/>
                <w:sz w:val="20"/>
                <w:szCs w:val="20"/>
              </w:rPr>
            </w:pPr>
          </w:p>
          <w:p w14:paraId="3144FEFE" w14:textId="77777777" w:rsidR="00A54AD0" w:rsidRPr="00E707E6" w:rsidRDefault="00A54AD0" w:rsidP="00D92400">
            <w:pPr>
              <w:rPr>
                <w:sz w:val="20"/>
                <w:szCs w:val="20"/>
              </w:rPr>
            </w:pPr>
            <w:r w:rsidRPr="00E707E6">
              <w:rPr>
                <w:sz w:val="20"/>
                <w:szCs w:val="20"/>
              </w:rPr>
              <w:t xml:space="preserve">The restriction provides definitions of treatment response. </w:t>
            </w:r>
          </w:p>
          <w:p w14:paraId="3EF7319D" w14:textId="77777777" w:rsidR="00A54AD0" w:rsidRPr="00E707E6" w:rsidRDefault="00A54AD0" w:rsidP="00D92400">
            <w:pPr>
              <w:rPr>
                <w:b/>
                <w:sz w:val="20"/>
                <w:szCs w:val="20"/>
              </w:rPr>
            </w:pPr>
          </w:p>
        </w:tc>
      </w:tr>
      <w:tr w:rsidR="00A54AD0" w:rsidRPr="00E707E6" w14:paraId="74751838" w14:textId="77777777" w:rsidTr="00D92400">
        <w:tc>
          <w:tcPr>
            <w:tcW w:w="9173" w:type="dxa"/>
            <w:gridSpan w:val="2"/>
          </w:tcPr>
          <w:p w14:paraId="58920275" w14:textId="77777777" w:rsidR="00A54AD0" w:rsidRPr="00E707E6" w:rsidRDefault="00A54AD0" w:rsidP="00D92400">
            <w:pPr>
              <w:rPr>
                <w:sz w:val="20"/>
                <w:szCs w:val="20"/>
              </w:rPr>
            </w:pPr>
            <w:r w:rsidRPr="00E707E6">
              <w:rPr>
                <w:b/>
                <w:sz w:val="20"/>
                <w:szCs w:val="20"/>
              </w:rPr>
              <w:t>Treatment Phase:</w:t>
            </w:r>
            <w:r w:rsidRPr="00E707E6">
              <w:rPr>
                <w:sz w:val="20"/>
                <w:szCs w:val="20"/>
              </w:rPr>
              <w:t xml:space="preserve"> Recommencement of treatment</w:t>
            </w:r>
          </w:p>
        </w:tc>
      </w:tr>
      <w:tr w:rsidR="00A54AD0" w:rsidRPr="00E707E6" w14:paraId="332B1943" w14:textId="77777777" w:rsidTr="00D92400">
        <w:tc>
          <w:tcPr>
            <w:tcW w:w="1271" w:type="dxa"/>
          </w:tcPr>
          <w:p w14:paraId="4B2F14C1" w14:textId="77777777" w:rsidR="00A54AD0" w:rsidRPr="00E707E6" w:rsidRDefault="00A54AD0" w:rsidP="00D92400">
            <w:pPr>
              <w:spacing w:after="200"/>
              <w:rPr>
                <w:sz w:val="20"/>
                <w:szCs w:val="20"/>
              </w:rPr>
            </w:pPr>
            <w:r w:rsidRPr="00E707E6">
              <w:rPr>
                <w:b/>
                <w:bCs/>
                <w:sz w:val="20"/>
                <w:szCs w:val="20"/>
              </w:rPr>
              <w:t xml:space="preserve">Clinical criteria </w:t>
            </w:r>
          </w:p>
          <w:p w14:paraId="683C060E" w14:textId="77777777" w:rsidR="00A54AD0" w:rsidRPr="00E707E6" w:rsidRDefault="00A54AD0" w:rsidP="00D92400">
            <w:pPr>
              <w:rPr>
                <w:b/>
                <w:bCs/>
                <w:sz w:val="20"/>
                <w:szCs w:val="20"/>
              </w:rPr>
            </w:pPr>
          </w:p>
        </w:tc>
        <w:tc>
          <w:tcPr>
            <w:tcW w:w="7902" w:type="dxa"/>
          </w:tcPr>
          <w:p w14:paraId="61C12E09" w14:textId="77777777" w:rsidR="00A54AD0" w:rsidRPr="00E707E6" w:rsidRDefault="00A54AD0" w:rsidP="00D92400">
            <w:pPr>
              <w:pStyle w:val="ListParagraph"/>
              <w:numPr>
                <w:ilvl w:val="0"/>
                <w:numId w:val="1"/>
              </w:numPr>
              <w:rPr>
                <w:sz w:val="20"/>
                <w:szCs w:val="20"/>
              </w:rPr>
            </w:pPr>
            <w:r w:rsidRPr="00E707E6">
              <w:rPr>
                <w:sz w:val="20"/>
                <w:szCs w:val="20"/>
              </w:rPr>
              <w:t xml:space="preserve">Patient must have demonstrated treatment response to previous treatment with PBS-subsidised eculizumab for this condition, </w:t>
            </w:r>
            <w:r w:rsidRPr="00E707E6">
              <w:rPr>
                <w:b/>
                <w:bCs/>
                <w:sz w:val="20"/>
                <w:szCs w:val="20"/>
              </w:rPr>
              <w:t xml:space="preserve">AND </w:t>
            </w:r>
          </w:p>
          <w:p w14:paraId="4B0FFF23" w14:textId="77777777" w:rsidR="00A54AD0" w:rsidRPr="00E707E6" w:rsidRDefault="00A54AD0" w:rsidP="00D92400">
            <w:pPr>
              <w:pStyle w:val="ListParagraph"/>
              <w:numPr>
                <w:ilvl w:val="0"/>
                <w:numId w:val="1"/>
              </w:numPr>
              <w:rPr>
                <w:sz w:val="20"/>
                <w:szCs w:val="20"/>
              </w:rPr>
            </w:pPr>
            <w:r w:rsidRPr="00E707E6">
              <w:rPr>
                <w:sz w:val="20"/>
                <w:szCs w:val="20"/>
              </w:rPr>
              <w:t xml:space="preserve">Patient must not have ever experienced treatment failure with eculizumab including PBS-subsidised eculizumab for this condition, </w:t>
            </w:r>
            <w:r w:rsidRPr="00E707E6">
              <w:rPr>
                <w:b/>
                <w:bCs/>
                <w:sz w:val="20"/>
                <w:szCs w:val="20"/>
              </w:rPr>
              <w:t xml:space="preserve">AND </w:t>
            </w:r>
          </w:p>
          <w:p w14:paraId="3FBBC2D2" w14:textId="77777777" w:rsidR="00A54AD0" w:rsidRPr="00E707E6" w:rsidRDefault="00A54AD0" w:rsidP="00D92400">
            <w:pPr>
              <w:pStyle w:val="ListParagraph"/>
              <w:numPr>
                <w:ilvl w:val="0"/>
                <w:numId w:val="1"/>
              </w:numPr>
              <w:rPr>
                <w:sz w:val="20"/>
                <w:szCs w:val="20"/>
              </w:rPr>
            </w:pPr>
            <w:r w:rsidRPr="00E707E6">
              <w:rPr>
                <w:sz w:val="20"/>
                <w:szCs w:val="20"/>
              </w:rPr>
              <w:t xml:space="preserve">Patient must have the following clinical conditions:(i) either significant haemolysis as measured by low/absent haptoglobin; or presence of schistocytes on the blood film; or lactate dehydrogenase (LDH) above normal; AND(ii) either platelet consumption as measured by either 25% decline from patient baseline or thrombocytopenia (platelet count &lt;150 x 10^9/L);OR(iii) TMA-related organ impairment including on recent biopsy, </w:t>
            </w:r>
            <w:r w:rsidRPr="00E707E6">
              <w:rPr>
                <w:b/>
                <w:bCs/>
                <w:sz w:val="20"/>
                <w:szCs w:val="20"/>
              </w:rPr>
              <w:t xml:space="preserve">AND </w:t>
            </w:r>
          </w:p>
          <w:p w14:paraId="212DDBB7" w14:textId="77777777" w:rsidR="00A54AD0" w:rsidRPr="00E707E6" w:rsidRDefault="00A54AD0" w:rsidP="00D92400">
            <w:pPr>
              <w:pStyle w:val="ListParagraph"/>
              <w:numPr>
                <w:ilvl w:val="0"/>
                <w:numId w:val="1"/>
              </w:numPr>
              <w:rPr>
                <w:sz w:val="20"/>
                <w:szCs w:val="20"/>
              </w:rPr>
            </w:pPr>
            <w:r w:rsidRPr="00E707E6">
              <w:rPr>
                <w:sz w:val="20"/>
                <w:szCs w:val="20"/>
              </w:rPr>
              <w:t xml:space="preserve">Patient must not receive more than 24 weeks of treatment under this restriction. </w:t>
            </w:r>
          </w:p>
          <w:p w14:paraId="7752C4C2" w14:textId="77777777" w:rsidR="00A54AD0" w:rsidRPr="00E707E6" w:rsidRDefault="00A54AD0" w:rsidP="00D92400">
            <w:pPr>
              <w:rPr>
                <w:sz w:val="20"/>
                <w:szCs w:val="20"/>
              </w:rPr>
            </w:pPr>
          </w:p>
          <w:p w14:paraId="3D53390B" w14:textId="77777777" w:rsidR="00A54AD0" w:rsidRPr="00E707E6" w:rsidRDefault="00A54AD0" w:rsidP="00D92400">
            <w:pPr>
              <w:rPr>
                <w:sz w:val="20"/>
                <w:szCs w:val="20"/>
              </w:rPr>
            </w:pPr>
            <w:r w:rsidRPr="00E707E6">
              <w:rPr>
                <w:sz w:val="20"/>
                <w:szCs w:val="20"/>
              </w:rPr>
              <w:t xml:space="preserve">The restriction provides definitions of treatment response. </w:t>
            </w:r>
          </w:p>
          <w:p w14:paraId="3CC02A7F" w14:textId="77777777" w:rsidR="00A54AD0" w:rsidRPr="00E707E6" w:rsidRDefault="00A54AD0" w:rsidP="00D92400">
            <w:pPr>
              <w:rPr>
                <w:sz w:val="20"/>
                <w:szCs w:val="20"/>
              </w:rPr>
            </w:pPr>
          </w:p>
        </w:tc>
      </w:tr>
      <w:tr w:rsidR="00A54AD0" w:rsidRPr="00E707E6" w14:paraId="7C7437CB" w14:textId="77777777" w:rsidTr="00D92400">
        <w:tc>
          <w:tcPr>
            <w:tcW w:w="9173" w:type="dxa"/>
            <w:gridSpan w:val="2"/>
          </w:tcPr>
          <w:p w14:paraId="1774F1FD" w14:textId="77777777" w:rsidR="00A54AD0" w:rsidRPr="00E707E6" w:rsidRDefault="00A54AD0" w:rsidP="00D92400">
            <w:pPr>
              <w:rPr>
                <w:sz w:val="20"/>
                <w:szCs w:val="20"/>
              </w:rPr>
            </w:pPr>
            <w:r w:rsidRPr="00E707E6">
              <w:rPr>
                <w:b/>
                <w:sz w:val="20"/>
                <w:szCs w:val="20"/>
              </w:rPr>
              <w:t>Treatment Phase:</w:t>
            </w:r>
            <w:r w:rsidRPr="00E707E6">
              <w:rPr>
                <w:sz w:val="20"/>
                <w:szCs w:val="20"/>
              </w:rPr>
              <w:t xml:space="preserve"> Continuing recommencement of treatment</w:t>
            </w:r>
          </w:p>
        </w:tc>
      </w:tr>
      <w:tr w:rsidR="00A54AD0" w:rsidRPr="00E707E6" w14:paraId="20DD189E" w14:textId="77777777" w:rsidTr="00D92400">
        <w:tc>
          <w:tcPr>
            <w:tcW w:w="1271" w:type="dxa"/>
          </w:tcPr>
          <w:p w14:paraId="118D727E" w14:textId="77777777" w:rsidR="00A54AD0" w:rsidRPr="00E707E6" w:rsidRDefault="00A54AD0" w:rsidP="00D92400">
            <w:pPr>
              <w:spacing w:after="200"/>
              <w:rPr>
                <w:sz w:val="20"/>
                <w:szCs w:val="20"/>
              </w:rPr>
            </w:pPr>
            <w:r w:rsidRPr="00E707E6">
              <w:rPr>
                <w:b/>
                <w:bCs/>
                <w:sz w:val="20"/>
                <w:szCs w:val="20"/>
              </w:rPr>
              <w:t xml:space="preserve">Clinical criteria </w:t>
            </w:r>
          </w:p>
          <w:p w14:paraId="7A6DF61B" w14:textId="77777777" w:rsidR="00A54AD0" w:rsidRPr="00E707E6" w:rsidRDefault="00A54AD0" w:rsidP="00D92400">
            <w:pPr>
              <w:rPr>
                <w:b/>
                <w:bCs/>
                <w:sz w:val="20"/>
                <w:szCs w:val="20"/>
              </w:rPr>
            </w:pPr>
          </w:p>
        </w:tc>
        <w:tc>
          <w:tcPr>
            <w:tcW w:w="7902" w:type="dxa"/>
          </w:tcPr>
          <w:p w14:paraId="67875BB3" w14:textId="77777777" w:rsidR="00A54AD0" w:rsidRPr="00E707E6" w:rsidRDefault="00A54AD0" w:rsidP="00D92400">
            <w:pPr>
              <w:pStyle w:val="ListParagraph"/>
              <w:numPr>
                <w:ilvl w:val="0"/>
                <w:numId w:val="1"/>
              </w:numPr>
              <w:rPr>
                <w:sz w:val="20"/>
                <w:szCs w:val="20"/>
              </w:rPr>
            </w:pPr>
            <w:r w:rsidRPr="00E707E6">
              <w:rPr>
                <w:sz w:val="20"/>
                <w:szCs w:val="20"/>
              </w:rPr>
              <w:t xml:space="preserve">Patient must have received treatment under Recommencement of treatment restriction with PBS-subsidised eculizumab for this condition, </w:t>
            </w:r>
            <w:r w:rsidRPr="00E707E6">
              <w:rPr>
                <w:b/>
                <w:bCs/>
                <w:sz w:val="20"/>
                <w:szCs w:val="20"/>
              </w:rPr>
              <w:t xml:space="preserve">AND </w:t>
            </w:r>
          </w:p>
          <w:p w14:paraId="4ED5BF76" w14:textId="77777777" w:rsidR="00A54AD0" w:rsidRPr="00E707E6" w:rsidRDefault="00A54AD0" w:rsidP="00D92400">
            <w:pPr>
              <w:pStyle w:val="ListParagraph"/>
              <w:numPr>
                <w:ilvl w:val="0"/>
                <w:numId w:val="1"/>
              </w:numPr>
              <w:rPr>
                <w:sz w:val="20"/>
                <w:szCs w:val="20"/>
              </w:rPr>
            </w:pPr>
            <w:r w:rsidRPr="00E707E6">
              <w:rPr>
                <w:sz w:val="20"/>
                <w:szCs w:val="20"/>
              </w:rPr>
              <w:t xml:space="preserve">Patient must have demonstrated ongoing treatment response to the previous 24 weeks of PBS-subsidised eculizumab for this condition, </w:t>
            </w:r>
            <w:r w:rsidRPr="00E707E6">
              <w:rPr>
                <w:b/>
                <w:bCs/>
                <w:sz w:val="20"/>
                <w:szCs w:val="20"/>
              </w:rPr>
              <w:t xml:space="preserve">AND </w:t>
            </w:r>
          </w:p>
          <w:p w14:paraId="791EFF1C" w14:textId="77777777" w:rsidR="00A54AD0" w:rsidRPr="00E707E6" w:rsidRDefault="00A54AD0" w:rsidP="00D92400">
            <w:pPr>
              <w:pStyle w:val="ListParagraph"/>
              <w:numPr>
                <w:ilvl w:val="0"/>
                <w:numId w:val="1"/>
              </w:numPr>
              <w:rPr>
                <w:sz w:val="20"/>
                <w:szCs w:val="20"/>
              </w:rPr>
            </w:pPr>
            <w:r w:rsidRPr="00E707E6">
              <w:rPr>
                <w:sz w:val="20"/>
                <w:szCs w:val="20"/>
              </w:rPr>
              <w:t xml:space="preserve">Patient must not have experienced treatment failure with eculizumab including PBS-subsidised eculizumab for this condition, </w:t>
            </w:r>
            <w:r w:rsidRPr="00E707E6">
              <w:rPr>
                <w:b/>
                <w:bCs/>
                <w:sz w:val="20"/>
                <w:szCs w:val="20"/>
              </w:rPr>
              <w:t xml:space="preserve">AND </w:t>
            </w:r>
          </w:p>
          <w:p w14:paraId="352DCEEE" w14:textId="77777777" w:rsidR="00A54AD0" w:rsidRPr="00E707E6" w:rsidRDefault="00A54AD0" w:rsidP="00D92400">
            <w:pPr>
              <w:pStyle w:val="ListParagraph"/>
              <w:numPr>
                <w:ilvl w:val="0"/>
                <w:numId w:val="1"/>
              </w:numPr>
              <w:rPr>
                <w:sz w:val="20"/>
                <w:szCs w:val="20"/>
              </w:rPr>
            </w:pPr>
            <w:r w:rsidRPr="00E707E6">
              <w:rPr>
                <w:sz w:val="20"/>
                <w:szCs w:val="20"/>
              </w:rPr>
              <w:t xml:space="preserve">Patient must not receive more than 24 weeks of treatment under this restriction. </w:t>
            </w:r>
          </w:p>
          <w:p w14:paraId="396860BF" w14:textId="77777777" w:rsidR="00A54AD0" w:rsidRPr="00E707E6" w:rsidRDefault="00A54AD0" w:rsidP="00D92400">
            <w:pPr>
              <w:rPr>
                <w:sz w:val="20"/>
                <w:szCs w:val="20"/>
              </w:rPr>
            </w:pPr>
          </w:p>
          <w:p w14:paraId="74544285" w14:textId="77777777" w:rsidR="00A54AD0" w:rsidRPr="00E707E6" w:rsidRDefault="00A54AD0" w:rsidP="00D92400">
            <w:pPr>
              <w:rPr>
                <w:sz w:val="20"/>
                <w:szCs w:val="20"/>
              </w:rPr>
            </w:pPr>
            <w:r w:rsidRPr="00E707E6">
              <w:rPr>
                <w:sz w:val="20"/>
                <w:szCs w:val="20"/>
              </w:rPr>
              <w:t xml:space="preserve">The restriction provides definitions of treatment response. </w:t>
            </w:r>
          </w:p>
          <w:p w14:paraId="5F88DEED" w14:textId="77777777" w:rsidR="00A54AD0" w:rsidRPr="00E707E6" w:rsidRDefault="00A54AD0" w:rsidP="00D92400">
            <w:pPr>
              <w:rPr>
                <w:sz w:val="20"/>
                <w:szCs w:val="20"/>
              </w:rPr>
            </w:pPr>
          </w:p>
        </w:tc>
      </w:tr>
    </w:tbl>
    <w:p w14:paraId="440AFC90" w14:textId="28B1B3D5" w:rsidR="00A54AD0" w:rsidRPr="00A54AD0" w:rsidRDefault="00A54AD0" w:rsidP="00A54AD0">
      <w:r w:rsidRPr="00A50AC0">
        <w:rPr>
          <w:sz w:val="22"/>
        </w:rPr>
        <w:t xml:space="preserve">Source: </w:t>
      </w:r>
      <w:hyperlink r:id="rId15" w:history="1">
        <w:r w:rsidRPr="00A50AC0">
          <w:rPr>
            <w:rStyle w:val="Hyperlink"/>
            <w:sz w:val="22"/>
          </w:rPr>
          <w:t>PBS website</w:t>
        </w:r>
      </w:hyperlink>
      <w:r>
        <w:rPr>
          <w:sz w:val="22"/>
        </w:rPr>
        <w:t xml:space="preserve">. </w:t>
      </w:r>
      <w:r w:rsidRPr="00427B8A">
        <w:rPr>
          <w:sz w:val="22"/>
        </w:rPr>
        <w:t xml:space="preserve">Current at </w:t>
      </w:r>
      <w:r>
        <w:rPr>
          <w:sz w:val="22"/>
        </w:rPr>
        <w:t>December 2018</w:t>
      </w:r>
      <w:r w:rsidRPr="00427B8A">
        <w:rPr>
          <w:sz w:val="22"/>
        </w:rPr>
        <w:t xml:space="preserve">.  </w:t>
      </w:r>
    </w:p>
    <w:p w14:paraId="0DD846C6" w14:textId="77777777" w:rsidR="00764F5D" w:rsidRPr="00764F5D" w:rsidRDefault="00764F5D" w:rsidP="00764F5D">
      <w:pPr>
        <w:keepNext/>
        <w:keepLines/>
        <w:spacing w:before="480" w:after="240"/>
        <w:outlineLvl w:val="0"/>
        <w:rPr>
          <w:rFonts w:eastAsiaTheme="majorEastAsia" w:cstheme="majorBidi"/>
          <w:b/>
          <w:bCs/>
          <w:sz w:val="32"/>
          <w:szCs w:val="32"/>
        </w:rPr>
      </w:pPr>
      <w:r w:rsidRPr="00764F5D">
        <w:rPr>
          <w:rFonts w:eastAsiaTheme="majorEastAsia" w:cstheme="majorBidi"/>
          <w:b/>
          <w:bCs/>
          <w:sz w:val="32"/>
          <w:szCs w:val="32"/>
        </w:rPr>
        <w:lastRenderedPageBreak/>
        <w:t>Disclaimer</w:t>
      </w:r>
    </w:p>
    <w:p w14:paraId="3D1FDFEA" w14:textId="77777777" w:rsidR="00764F5D" w:rsidRPr="00764F5D" w:rsidRDefault="00764F5D" w:rsidP="00605EFA">
      <w:r w:rsidRPr="00764F5D">
        <w:t>The information provided in this report does not constitute medical advice and is not intended to take the place of professional medical advice or care.  It is not intended to define what constitutes reasonable, appropriate or best care for any individual for any given health issue.  The information should not be used as a substitute for the judgement and skill of a medical practitioner.</w:t>
      </w:r>
    </w:p>
    <w:p w14:paraId="0ADDE083" w14:textId="77777777" w:rsidR="00764F5D" w:rsidRPr="00764F5D" w:rsidRDefault="00764F5D" w:rsidP="00605EFA">
      <w:r w:rsidRPr="00764F5D">
        <w:t>The Department of Health (DoH) has made all reasonable efforts to ensure that information provided in this report is accurate. The information provided in this report was up-to-date when it was considered by the Drug Utilisation Sub-committee of the Pharmaceutical Benefits Advisory Committee.  The context for that information may have changed since publication.</w:t>
      </w:r>
    </w:p>
    <w:p w14:paraId="7CFAC685" w14:textId="77777777" w:rsidR="00764F5D" w:rsidRPr="00764F5D" w:rsidRDefault="00764F5D" w:rsidP="00605EFA">
      <w:r w:rsidRPr="00764F5D">
        <w:t xml:space="preserve">To the extent provided by law, DoH makes no warranties or representations as to accuracy or completeness of information contained in this report. </w:t>
      </w:r>
    </w:p>
    <w:p w14:paraId="3B9EE0B7" w14:textId="77777777" w:rsidR="00764F5D" w:rsidRPr="00764F5D" w:rsidRDefault="00764F5D" w:rsidP="00605EFA">
      <w:r w:rsidRPr="00764F5D">
        <w:t>To the fullest extent permitted by law, neither the DoH nor any DoH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
    <w:p w14:paraId="553FA734" w14:textId="33B23288" w:rsidR="005F0017" w:rsidRDefault="005F0017">
      <w:pPr>
        <w:spacing w:line="276" w:lineRule="auto"/>
        <w:rPr>
          <w:b/>
          <w:sz w:val="28"/>
          <w:szCs w:val="28"/>
          <w:lang w:eastAsia="en-US"/>
        </w:rPr>
      </w:pPr>
    </w:p>
    <w:p w14:paraId="564963F8" w14:textId="4822708C" w:rsidR="00F96263" w:rsidRDefault="00F96263">
      <w:pPr>
        <w:spacing w:line="276" w:lineRule="auto"/>
        <w:rPr>
          <w:b/>
          <w:sz w:val="28"/>
          <w:szCs w:val="28"/>
          <w:lang w:eastAsia="en-US"/>
        </w:rPr>
      </w:pPr>
    </w:p>
    <w:sectPr w:rsidR="00F96263" w:rsidSect="00DD188C">
      <w:headerReference w:type="even" r:id="rId16"/>
      <w:headerReference w:type="default" r:id="rId17"/>
      <w:footerReference w:type="even" r:id="rId18"/>
      <w:footerReference w:type="default" r:id="rId19"/>
      <w:headerReference w:type="first" r:id="rId20"/>
      <w:footerReference w:type="first" r:id="rId21"/>
      <w:pgSz w:w="11906" w:h="16838"/>
      <w:pgMar w:top="1644" w:right="1361" w:bottom="1644"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350FC2" w14:textId="77777777" w:rsidR="00214013" w:rsidRDefault="00214013" w:rsidP="00A35800">
      <w:r>
        <w:separator/>
      </w:r>
    </w:p>
  </w:endnote>
  <w:endnote w:type="continuationSeparator" w:id="0">
    <w:p w14:paraId="45A4A8C8" w14:textId="77777777" w:rsidR="00214013" w:rsidRDefault="00214013" w:rsidP="00A3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9D5E5" w14:textId="77777777" w:rsidR="00214013" w:rsidRDefault="00214013"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D9F9A1E" w14:textId="77777777" w:rsidR="00214013" w:rsidRDefault="00214013" w:rsidP="00A35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0733839"/>
      <w:docPartObj>
        <w:docPartGallery w:val="Page Numbers (Bottom of Page)"/>
        <w:docPartUnique/>
      </w:docPartObj>
    </w:sdtPr>
    <w:sdtEndPr/>
    <w:sdtContent>
      <w:sdt>
        <w:sdtPr>
          <w:id w:val="-1669238322"/>
          <w:docPartObj>
            <w:docPartGallery w:val="Page Numbers (Top of Page)"/>
            <w:docPartUnique/>
          </w:docPartObj>
        </w:sdtPr>
        <w:sdtEndPr/>
        <w:sdtContent>
          <w:p w14:paraId="3F7F1942" w14:textId="77777777" w:rsidR="000F60A3" w:rsidRDefault="000F60A3" w:rsidP="000F60A3">
            <w:pPr>
              <w:pStyle w:val="Footer"/>
              <w:jc w:val="center"/>
              <w:rPr>
                <w:i/>
                <w:sz w:val="20"/>
              </w:rPr>
            </w:pPr>
            <w:r>
              <w:rPr>
                <w:i/>
                <w:sz w:val="20"/>
              </w:rPr>
              <w:t>Public Release Document, February 2019 DUSC meeting</w:t>
            </w:r>
          </w:p>
          <w:p w14:paraId="10292A9A" w14:textId="3ECABA2B" w:rsidR="00214013" w:rsidRPr="000F60A3" w:rsidRDefault="00DD188C" w:rsidP="000F60A3">
            <w:pPr>
              <w:pStyle w:val="Footer"/>
              <w:jc w:val="center"/>
              <w:rPr>
                <w:rStyle w:val="PageNumber"/>
                <w:i/>
                <w:sz w:val="20"/>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sidR="00D6164F">
              <w:rPr>
                <w:bCs/>
                <w:i/>
                <w:noProof/>
                <w:sz w:val="20"/>
              </w:rPr>
              <w:t>12</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sidR="00D6164F">
              <w:rPr>
                <w:bCs/>
                <w:i/>
                <w:noProof/>
                <w:sz w:val="20"/>
              </w:rPr>
              <w:t>12</w:t>
            </w:r>
            <w:r w:rsidRPr="00DD188C">
              <w:rPr>
                <w:bCs/>
                <w:i/>
                <w:sz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22E1F" w14:textId="77777777" w:rsidR="007A5733" w:rsidRDefault="007A5733" w:rsidP="007A5733">
    <w:pPr>
      <w:pStyle w:val="Footer"/>
      <w:jc w:val="center"/>
      <w:rPr>
        <w:rStyle w:val="PageNumber"/>
      </w:rPr>
    </w:pPr>
    <w:r>
      <w:rPr>
        <w:rStyle w:val="PageNumber"/>
      </w:rPr>
      <w:t>Committee-in-Confidence</w:t>
    </w:r>
  </w:p>
  <w:p w14:paraId="3CE6880B" w14:textId="77777777" w:rsidR="00DD188C" w:rsidRDefault="00DD188C" w:rsidP="007A573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75EEDE" w14:textId="77777777" w:rsidR="00214013" w:rsidRDefault="00214013" w:rsidP="00A35800">
      <w:r>
        <w:separator/>
      </w:r>
    </w:p>
  </w:footnote>
  <w:footnote w:type="continuationSeparator" w:id="0">
    <w:p w14:paraId="7E2CA1E4" w14:textId="77777777" w:rsidR="00214013" w:rsidRDefault="00214013" w:rsidP="00A35800">
      <w:r>
        <w:continuationSeparator/>
      </w:r>
    </w:p>
  </w:footnote>
  <w:footnote w:id="1">
    <w:p w14:paraId="42D206A2" w14:textId="77777777" w:rsidR="00F96263" w:rsidRPr="00BC5AE2" w:rsidRDefault="00F96263" w:rsidP="009E7016">
      <w:pPr>
        <w:pStyle w:val="FootnoteText"/>
      </w:pPr>
      <w:r w:rsidRPr="00BC5AE2">
        <w:rPr>
          <w:rStyle w:val="FootnoteReference"/>
        </w:rPr>
        <w:footnoteRef/>
      </w:r>
      <w:r w:rsidRPr="00BC5AE2">
        <w:t xml:space="preserve"> PBS statistics</w:t>
      </w:r>
      <w:r>
        <w:t>. Australian Government Department of Human Services Medicare. Canberra. Available from &lt;</w:t>
      </w:r>
      <w:hyperlink r:id="rId1" w:history="1">
        <w:r>
          <w:rPr>
            <w:rStyle w:val="Hyperlink"/>
          </w:rPr>
          <w:t>http://www.medicareaustralia.gov.au/provider/pbs/stats.jsp</w:t>
        </w:r>
      </w:hyperlink>
      <w:r>
        <w:t>&gt;.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67EAA" w14:textId="77777777" w:rsidR="00CD7C7A" w:rsidRDefault="00CD7C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1C29C" w14:textId="77777777" w:rsidR="00CD7C7A" w:rsidRDefault="00CD7C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F7D15" w14:textId="77777777" w:rsidR="00CD7C7A" w:rsidRDefault="00CD7C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B36E4"/>
    <w:multiLevelType w:val="hybridMultilevel"/>
    <w:tmpl w:val="E172737C"/>
    <w:lvl w:ilvl="0" w:tplc="C14AE0FC">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3CB06D0"/>
    <w:multiLevelType w:val="hybridMultilevel"/>
    <w:tmpl w:val="260E71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8644236"/>
    <w:multiLevelType w:val="hybridMultilevel"/>
    <w:tmpl w:val="829C3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0E90BBE"/>
    <w:multiLevelType w:val="hybridMultilevel"/>
    <w:tmpl w:val="5B82ED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72880EB7"/>
    <w:multiLevelType w:val="hybridMultilevel"/>
    <w:tmpl w:val="811C8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732A63BB"/>
    <w:multiLevelType w:val="hybridMultilevel"/>
    <w:tmpl w:val="FB72F52C"/>
    <w:lvl w:ilvl="0" w:tplc="2ECE21F4">
      <w:start w:val="4"/>
      <w:numFmt w:val="bullet"/>
      <w:lvlText w:val="-"/>
      <w:lvlJc w:val="left"/>
      <w:pPr>
        <w:ind w:left="1080" w:hanging="360"/>
      </w:pPr>
      <w:rPr>
        <w:rFonts w:ascii="Calibri" w:eastAsiaTheme="minorEastAsia" w:hAnsi="Calibri"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AU" w:vendorID="64" w:dllVersion="131078" w:nlCheck="1" w:checkStyle="0"/>
  <w:activeWritingStyle w:appName="MSWord" w:lang="en-US" w:vendorID="64" w:dllVersion="131078" w:nlCheck="1" w:checkStyle="0"/>
  <w:defaultTabStop w:val="720"/>
  <w:characterSpacingControl w:val="doNotCompress"/>
  <w:hdrShapeDefaults>
    <o:shapedefaults v:ext="edit" spidmax="532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041"/>
    <w:rsid w:val="00007E85"/>
    <w:rsid w:val="00013465"/>
    <w:rsid w:val="000215CC"/>
    <w:rsid w:val="000226B3"/>
    <w:rsid w:val="00024549"/>
    <w:rsid w:val="00042910"/>
    <w:rsid w:val="0005099F"/>
    <w:rsid w:val="000544B6"/>
    <w:rsid w:val="00055887"/>
    <w:rsid w:val="000604AF"/>
    <w:rsid w:val="00086C11"/>
    <w:rsid w:val="0009440D"/>
    <w:rsid w:val="00094DCF"/>
    <w:rsid w:val="000A328F"/>
    <w:rsid w:val="000A6CFD"/>
    <w:rsid w:val="000B0982"/>
    <w:rsid w:val="000B796C"/>
    <w:rsid w:val="000C46BB"/>
    <w:rsid w:val="000C4D9D"/>
    <w:rsid w:val="000C57D2"/>
    <w:rsid w:val="000C7C4B"/>
    <w:rsid w:val="000C7D8B"/>
    <w:rsid w:val="000D327F"/>
    <w:rsid w:val="000E3F75"/>
    <w:rsid w:val="000E485D"/>
    <w:rsid w:val="000E4E8F"/>
    <w:rsid w:val="000E72C6"/>
    <w:rsid w:val="000F1893"/>
    <w:rsid w:val="000F2F51"/>
    <w:rsid w:val="000F60A3"/>
    <w:rsid w:val="0010006E"/>
    <w:rsid w:val="00113CF8"/>
    <w:rsid w:val="00113D74"/>
    <w:rsid w:val="00117C5C"/>
    <w:rsid w:val="001310AE"/>
    <w:rsid w:val="001420B3"/>
    <w:rsid w:val="001460C4"/>
    <w:rsid w:val="0015691C"/>
    <w:rsid w:val="001621F7"/>
    <w:rsid w:val="001624D7"/>
    <w:rsid w:val="001750B0"/>
    <w:rsid w:val="00177B86"/>
    <w:rsid w:val="00181557"/>
    <w:rsid w:val="00182585"/>
    <w:rsid w:val="00191182"/>
    <w:rsid w:val="0019664D"/>
    <w:rsid w:val="001A6103"/>
    <w:rsid w:val="001B349B"/>
    <w:rsid w:val="001B5D37"/>
    <w:rsid w:val="001C2940"/>
    <w:rsid w:val="001C4016"/>
    <w:rsid w:val="001C548D"/>
    <w:rsid w:val="001C6A5D"/>
    <w:rsid w:val="001E31A6"/>
    <w:rsid w:val="001E42C7"/>
    <w:rsid w:val="001E4CAB"/>
    <w:rsid w:val="001F0442"/>
    <w:rsid w:val="001F0A4E"/>
    <w:rsid w:val="001F2D2A"/>
    <w:rsid w:val="001F2F3E"/>
    <w:rsid w:val="001F4906"/>
    <w:rsid w:val="001F7C4A"/>
    <w:rsid w:val="0020578A"/>
    <w:rsid w:val="00207631"/>
    <w:rsid w:val="00214013"/>
    <w:rsid w:val="00220FC1"/>
    <w:rsid w:val="00222E9A"/>
    <w:rsid w:val="0023179D"/>
    <w:rsid w:val="0025389D"/>
    <w:rsid w:val="00254E02"/>
    <w:rsid w:val="0026265F"/>
    <w:rsid w:val="002658E3"/>
    <w:rsid w:val="00286C3A"/>
    <w:rsid w:val="002930F5"/>
    <w:rsid w:val="002A06B7"/>
    <w:rsid w:val="002C6E0C"/>
    <w:rsid w:val="002D144A"/>
    <w:rsid w:val="002D3404"/>
    <w:rsid w:val="002E0683"/>
    <w:rsid w:val="002E19A3"/>
    <w:rsid w:val="002E212B"/>
    <w:rsid w:val="002E3337"/>
    <w:rsid w:val="002E6D03"/>
    <w:rsid w:val="002F49A8"/>
    <w:rsid w:val="002F5E66"/>
    <w:rsid w:val="002F61CA"/>
    <w:rsid w:val="0030010D"/>
    <w:rsid w:val="00334D4D"/>
    <w:rsid w:val="0033504C"/>
    <w:rsid w:val="00336816"/>
    <w:rsid w:val="003370D0"/>
    <w:rsid w:val="00337355"/>
    <w:rsid w:val="003402E4"/>
    <w:rsid w:val="00340F95"/>
    <w:rsid w:val="003531ED"/>
    <w:rsid w:val="00360B9A"/>
    <w:rsid w:val="0039017F"/>
    <w:rsid w:val="00394AEE"/>
    <w:rsid w:val="003A01CC"/>
    <w:rsid w:val="003B2417"/>
    <w:rsid w:val="003C2D98"/>
    <w:rsid w:val="003C634B"/>
    <w:rsid w:val="003D3A96"/>
    <w:rsid w:val="003D3B9C"/>
    <w:rsid w:val="003E331F"/>
    <w:rsid w:val="00404F03"/>
    <w:rsid w:val="00412051"/>
    <w:rsid w:val="00423B94"/>
    <w:rsid w:val="004263BD"/>
    <w:rsid w:val="0045155A"/>
    <w:rsid w:val="00463731"/>
    <w:rsid w:val="0046400A"/>
    <w:rsid w:val="00467B25"/>
    <w:rsid w:val="00481108"/>
    <w:rsid w:val="0049042B"/>
    <w:rsid w:val="00495473"/>
    <w:rsid w:val="00496172"/>
    <w:rsid w:val="004A458E"/>
    <w:rsid w:val="004B23E7"/>
    <w:rsid w:val="004B306F"/>
    <w:rsid w:val="004C3186"/>
    <w:rsid w:val="004C5042"/>
    <w:rsid w:val="004C61F2"/>
    <w:rsid w:val="004E4422"/>
    <w:rsid w:val="004F5241"/>
    <w:rsid w:val="005038B3"/>
    <w:rsid w:val="00503998"/>
    <w:rsid w:val="0050623B"/>
    <w:rsid w:val="00523181"/>
    <w:rsid w:val="00524D13"/>
    <w:rsid w:val="005339F6"/>
    <w:rsid w:val="00576B18"/>
    <w:rsid w:val="00587724"/>
    <w:rsid w:val="00591512"/>
    <w:rsid w:val="00594A09"/>
    <w:rsid w:val="005B2D91"/>
    <w:rsid w:val="005B48B4"/>
    <w:rsid w:val="005C6661"/>
    <w:rsid w:val="005C6E3B"/>
    <w:rsid w:val="005D3F14"/>
    <w:rsid w:val="005D474B"/>
    <w:rsid w:val="005E085C"/>
    <w:rsid w:val="005E147D"/>
    <w:rsid w:val="005E22C2"/>
    <w:rsid w:val="005E57BB"/>
    <w:rsid w:val="005F0017"/>
    <w:rsid w:val="006014F1"/>
    <w:rsid w:val="00605EFA"/>
    <w:rsid w:val="006115CA"/>
    <w:rsid w:val="0061357B"/>
    <w:rsid w:val="00614A7D"/>
    <w:rsid w:val="0063631C"/>
    <w:rsid w:val="006374A9"/>
    <w:rsid w:val="0063757B"/>
    <w:rsid w:val="006377CE"/>
    <w:rsid w:val="006507B7"/>
    <w:rsid w:val="006537D9"/>
    <w:rsid w:val="00664A48"/>
    <w:rsid w:val="00665DEF"/>
    <w:rsid w:val="00675BB1"/>
    <w:rsid w:val="006775F1"/>
    <w:rsid w:val="006842D1"/>
    <w:rsid w:val="00692AA7"/>
    <w:rsid w:val="00697FEC"/>
    <w:rsid w:val="006A175F"/>
    <w:rsid w:val="006A44F5"/>
    <w:rsid w:val="006A5B81"/>
    <w:rsid w:val="006B4537"/>
    <w:rsid w:val="006B5F85"/>
    <w:rsid w:val="006B6929"/>
    <w:rsid w:val="006B709B"/>
    <w:rsid w:val="006C54AF"/>
    <w:rsid w:val="006D7A38"/>
    <w:rsid w:val="006E0181"/>
    <w:rsid w:val="006F79B8"/>
    <w:rsid w:val="00700C0E"/>
    <w:rsid w:val="00705DAD"/>
    <w:rsid w:val="0071184D"/>
    <w:rsid w:val="007247B9"/>
    <w:rsid w:val="00727D85"/>
    <w:rsid w:val="00730B02"/>
    <w:rsid w:val="00733BBB"/>
    <w:rsid w:val="007346C7"/>
    <w:rsid w:val="00736041"/>
    <w:rsid w:val="007408C7"/>
    <w:rsid w:val="007465DA"/>
    <w:rsid w:val="00752C7F"/>
    <w:rsid w:val="00764F5D"/>
    <w:rsid w:val="00774AD4"/>
    <w:rsid w:val="00776598"/>
    <w:rsid w:val="00792948"/>
    <w:rsid w:val="00796E84"/>
    <w:rsid w:val="007A3ADE"/>
    <w:rsid w:val="007A5733"/>
    <w:rsid w:val="007A5774"/>
    <w:rsid w:val="007C682F"/>
    <w:rsid w:val="007E37CE"/>
    <w:rsid w:val="007F44ED"/>
    <w:rsid w:val="007F5213"/>
    <w:rsid w:val="00801E74"/>
    <w:rsid w:val="0080485E"/>
    <w:rsid w:val="008142B4"/>
    <w:rsid w:val="00832324"/>
    <w:rsid w:val="00835337"/>
    <w:rsid w:val="00846246"/>
    <w:rsid w:val="00846DCD"/>
    <w:rsid w:val="00851D85"/>
    <w:rsid w:val="0085256F"/>
    <w:rsid w:val="00860CCB"/>
    <w:rsid w:val="008626DC"/>
    <w:rsid w:val="008740A3"/>
    <w:rsid w:val="008774F5"/>
    <w:rsid w:val="0089297B"/>
    <w:rsid w:val="008A5083"/>
    <w:rsid w:val="008B3B9E"/>
    <w:rsid w:val="008C36CA"/>
    <w:rsid w:val="008D1B80"/>
    <w:rsid w:val="008D2921"/>
    <w:rsid w:val="008E3F8C"/>
    <w:rsid w:val="008F4189"/>
    <w:rsid w:val="00902FD0"/>
    <w:rsid w:val="009053D3"/>
    <w:rsid w:val="0090691F"/>
    <w:rsid w:val="00916362"/>
    <w:rsid w:val="0093111F"/>
    <w:rsid w:val="00935689"/>
    <w:rsid w:val="0095303B"/>
    <w:rsid w:val="00963147"/>
    <w:rsid w:val="009663B6"/>
    <w:rsid w:val="00967DCB"/>
    <w:rsid w:val="00974A47"/>
    <w:rsid w:val="00980286"/>
    <w:rsid w:val="00990DCF"/>
    <w:rsid w:val="0099245C"/>
    <w:rsid w:val="00994FCD"/>
    <w:rsid w:val="009A102E"/>
    <w:rsid w:val="009A4877"/>
    <w:rsid w:val="009A4CD6"/>
    <w:rsid w:val="009A537C"/>
    <w:rsid w:val="009C0886"/>
    <w:rsid w:val="009C19EE"/>
    <w:rsid w:val="009C28D0"/>
    <w:rsid w:val="009C35F2"/>
    <w:rsid w:val="009C7782"/>
    <w:rsid w:val="009D1ED5"/>
    <w:rsid w:val="009D4C13"/>
    <w:rsid w:val="009E21A7"/>
    <w:rsid w:val="009E7016"/>
    <w:rsid w:val="009F6BF9"/>
    <w:rsid w:val="00A103ED"/>
    <w:rsid w:val="00A10B68"/>
    <w:rsid w:val="00A13C60"/>
    <w:rsid w:val="00A15134"/>
    <w:rsid w:val="00A341A3"/>
    <w:rsid w:val="00A35800"/>
    <w:rsid w:val="00A45E20"/>
    <w:rsid w:val="00A52918"/>
    <w:rsid w:val="00A547B3"/>
    <w:rsid w:val="00A54AD0"/>
    <w:rsid w:val="00A70E82"/>
    <w:rsid w:val="00A73BE8"/>
    <w:rsid w:val="00A84CAD"/>
    <w:rsid w:val="00A90E50"/>
    <w:rsid w:val="00A95FA5"/>
    <w:rsid w:val="00A96D92"/>
    <w:rsid w:val="00AA7770"/>
    <w:rsid w:val="00AB199C"/>
    <w:rsid w:val="00AB3733"/>
    <w:rsid w:val="00AB588C"/>
    <w:rsid w:val="00AB7897"/>
    <w:rsid w:val="00AC5054"/>
    <w:rsid w:val="00AE4BAC"/>
    <w:rsid w:val="00B02AE6"/>
    <w:rsid w:val="00B034FC"/>
    <w:rsid w:val="00B05310"/>
    <w:rsid w:val="00B10A0B"/>
    <w:rsid w:val="00B25AB5"/>
    <w:rsid w:val="00B30D85"/>
    <w:rsid w:val="00B35A4A"/>
    <w:rsid w:val="00B453CF"/>
    <w:rsid w:val="00B63FD7"/>
    <w:rsid w:val="00B8136C"/>
    <w:rsid w:val="00B816D9"/>
    <w:rsid w:val="00B9120F"/>
    <w:rsid w:val="00B9216C"/>
    <w:rsid w:val="00B924A4"/>
    <w:rsid w:val="00BB0D1A"/>
    <w:rsid w:val="00BB1D3B"/>
    <w:rsid w:val="00BC35ED"/>
    <w:rsid w:val="00BE205A"/>
    <w:rsid w:val="00BE3802"/>
    <w:rsid w:val="00BF238E"/>
    <w:rsid w:val="00BF2F4A"/>
    <w:rsid w:val="00BF544D"/>
    <w:rsid w:val="00C0076F"/>
    <w:rsid w:val="00C0301C"/>
    <w:rsid w:val="00C050B6"/>
    <w:rsid w:val="00C10F12"/>
    <w:rsid w:val="00C245EA"/>
    <w:rsid w:val="00C256F6"/>
    <w:rsid w:val="00C3097E"/>
    <w:rsid w:val="00C35ECC"/>
    <w:rsid w:val="00C361A8"/>
    <w:rsid w:val="00C41246"/>
    <w:rsid w:val="00C45E5F"/>
    <w:rsid w:val="00C46291"/>
    <w:rsid w:val="00C63412"/>
    <w:rsid w:val="00C714D0"/>
    <w:rsid w:val="00C90EF4"/>
    <w:rsid w:val="00CA015A"/>
    <w:rsid w:val="00CC1AA3"/>
    <w:rsid w:val="00CC791B"/>
    <w:rsid w:val="00CD4486"/>
    <w:rsid w:val="00CD7C7A"/>
    <w:rsid w:val="00CF24D1"/>
    <w:rsid w:val="00CF5E22"/>
    <w:rsid w:val="00D06A44"/>
    <w:rsid w:val="00D151EB"/>
    <w:rsid w:val="00D15B33"/>
    <w:rsid w:val="00D15BF6"/>
    <w:rsid w:val="00D300E0"/>
    <w:rsid w:val="00D30BCF"/>
    <w:rsid w:val="00D374CD"/>
    <w:rsid w:val="00D6164F"/>
    <w:rsid w:val="00D650CE"/>
    <w:rsid w:val="00D71719"/>
    <w:rsid w:val="00D73183"/>
    <w:rsid w:val="00D776DA"/>
    <w:rsid w:val="00D8758B"/>
    <w:rsid w:val="00D91C82"/>
    <w:rsid w:val="00D942B3"/>
    <w:rsid w:val="00D94863"/>
    <w:rsid w:val="00DA7D09"/>
    <w:rsid w:val="00DC2630"/>
    <w:rsid w:val="00DC28D8"/>
    <w:rsid w:val="00DC3AE9"/>
    <w:rsid w:val="00DC49E9"/>
    <w:rsid w:val="00DC55E4"/>
    <w:rsid w:val="00DC7D71"/>
    <w:rsid w:val="00DD188C"/>
    <w:rsid w:val="00DD29A3"/>
    <w:rsid w:val="00DD48EE"/>
    <w:rsid w:val="00DD60D6"/>
    <w:rsid w:val="00DD7C59"/>
    <w:rsid w:val="00DE0B96"/>
    <w:rsid w:val="00DE10B9"/>
    <w:rsid w:val="00DE3E12"/>
    <w:rsid w:val="00DF0B13"/>
    <w:rsid w:val="00DF2EB8"/>
    <w:rsid w:val="00DF4A94"/>
    <w:rsid w:val="00DF6003"/>
    <w:rsid w:val="00E00095"/>
    <w:rsid w:val="00E066C3"/>
    <w:rsid w:val="00E10D8C"/>
    <w:rsid w:val="00E1353A"/>
    <w:rsid w:val="00E1564B"/>
    <w:rsid w:val="00E208A0"/>
    <w:rsid w:val="00E25B49"/>
    <w:rsid w:val="00E371EA"/>
    <w:rsid w:val="00E55D32"/>
    <w:rsid w:val="00E5745E"/>
    <w:rsid w:val="00E64429"/>
    <w:rsid w:val="00E677DD"/>
    <w:rsid w:val="00E7594B"/>
    <w:rsid w:val="00E96CB7"/>
    <w:rsid w:val="00EA5C2D"/>
    <w:rsid w:val="00EB0439"/>
    <w:rsid w:val="00EB4688"/>
    <w:rsid w:val="00EB6401"/>
    <w:rsid w:val="00EB6C07"/>
    <w:rsid w:val="00EC028D"/>
    <w:rsid w:val="00ED07F6"/>
    <w:rsid w:val="00ED633B"/>
    <w:rsid w:val="00ED7366"/>
    <w:rsid w:val="00EE0831"/>
    <w:rsid w:val="00EE2BBB"/>
    <w:rsid w:val="00EE478C"/>
    <w:rsid w:val="00F0419A"/>
    <w:rsid w:val="00F1132C"/>
    <w:rsid w:val="00F15DD5"/>
    <w:rsid w:val="00F17D4B"/>
    <w:rsid w:val="00F23139"/>
    <w:rsid w:val="00F53FCF"/>
    <w:rsid w:val="00F54E5A"/>
    <w:rsid w:val="00F56771"/>
    <w:rsid w:val="00F66CD5"/>
    <w:rsid w:val="00F67A9A"/>
    <w:rsid w:val="00F707D9"/>
    <w:rsid w:val="00F70B85"/>
    <w:rsid w:val="00F70F4E"/>
    <w:rsid w:val="00F73113"/>
    <w:rsid w:val="00F7508C"/>
    <w:rsid w:val="00F75FC4"/>
    <w:rsid w:val="00F81AB6"/>
    <w:rsid w:val="00F83D57"/>
    <w:rsid w:val="00F85981"/>
    <w:rsid w:val="00F87263"/>
    <w:rsid w:val="00F93725"/>
    <w:rsid w:val="00F96263"/>
    <w:rsid w:val="00FA4890"/>
    <w:rsid w:val="00FB77FA"/>
    <w:rsid w:val="00FC3C70"/>
    <w:rsid w:val="00FC4A73"/>
    <w:rsid w:val="00FC559C"/>
    <w:rsid w:val="00FC7F0D"/>
    <w:rsid w:val="00FE1131"/>
    <w:rsid w:val="00FE645A"/>
    <w:rsid w:val="00FF610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3249"/>
    <o:shapelayout v:ext="edit">
      <o:idmap v:ext="edit" data="1"/>
    </o:shapelayout>
  </w:shapeDefaults>
  <w:decimalSymbol w:val="."/>
  <w:listSeparator w:val=","/>
  <w14:docId w14:val="3FC01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CF5E22"/>
    <w:pPr>
      <w:keepNext/>
      <w:keepLines/>
      <w:spacing w:before="480" w:after="240"/>
      <w:outlineLvl w:val="0"/>
    </w:pPr>
    <w:rPr>
      <w:rFonts w:eastAsiaTheme="majorEastAsia" w:cstheme="majorBidi"/>
      <w:b/>
      <w:bCs/>
      <w:sz w:val="32"/>
      <w:szCs w:val="32"/>
    </w:rPr>
  </w:style>
  <w:style w:type="paragraph" w:styleId="Heading2">
    <w:name w:val="heading 2"/>
    <w:basedOn w:val="Heading4"/>
    <w:next w:val="Normal"/>
    <w:link w:val="Heading2Char"/>
    <w:uiPriority w:val="9"/>
    <w:unhideWhenUsed/>
    <w:qFormat/>
    <w:rsid w:val="00CF5E22"/>
    <w:pPr>
      <w:outlineLvl w:val="1"/>
    </w:pPr>
    <w:rPr>
      <w:i w:val="0"/>
      <w:sz w:val="28"/>
      <w:szCs w:val="24"/>
    </w:rPr>
  </w:style>
  <w:style w:type="paragraph" w:styleId="Heading3">
    <w:name w:val="heading 3"/>
    <w:basedOn w:val="Normal"/>
    <w:next w:val="Normal"/>
    <w:link w:val="Heading3Char"/>
    <w:uiPriority w:val="9"/>
    <w:unhideWhenUsed/>
    <w:qFormat/>
    <w:rsid w:val="00CF5E22"/>
    <w:pPr>
      <w:spacing w:before="240"/>
      <w:outlineLvl w:val="2"/>
    </w:pPr>
    <w:rPr>
      <w:b/>
      <w:i/>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E22"/>
    <w:rPr>
      <w:rFonts w:eastAsiaTheme="majorEastAsia" w:cstheme="majorBidi"/>
      <w:b/>
      <w:bCs/>
      <w:sz w:val="32"/>
      <w:szCs w:val="32"/>
    </w:rPr>
  </w:style>
  <w:style w:type="character" w:customStyle="1" w:styleId="Heading2Char">
    <w:name w:val="Heading 2 Char"/>
    <w:basedOn w:val="DefaultParagraphFont"/>
    <w:link w:val="Heading2"/>
    <w:uiPriority w:val="9"/>
    <w:rsid w:val="00CF5E22"/>
    <w:rPr>
      <w:b/>
      <w:sz w:val="28"/>
      <w:szCs w:val="24"/>
    </w:rPr>
  </w:style>
  <w:style w:type="character" w:customStyle="1" w:styleId="Heading3Char">
    <w:name w:val="Heading 3 Char"/>
    <w:basedOn w:val="DefaultParagraphFont"/>
    <w:link w:val="Heading3"/>
    <w:uiPriority w:val="9"/>
    <w:rsid w:val="00CF5E22"/>
    <w:rPr>
      <w:b/>
      <w:i/>
      <w:sz w:val="24"/>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semiHidden/>
    <w:unhideWhenUsed/>
    <w:rsid w:val="00E677DD"/>
    <w:rPr>
      <w:sz w:val="20"/>
      <w:szCs w:val="20"/>
    </w:rPr>
  </w:style>
  <w:style w:type="character" w:customStyle="1" w:styleId="CommentTextChar">
    <w:name w:val="Comment Text Char"/>
    <w:basedOn w:val="DefaultParagraphFont"/>
    <w:link w:val="CommentText"/>
    <w:uiPriority w:val="99"/>
    <w:semiHidden/>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F5E22"/>
    <w:pPr>
      <w:spacing w:after="20"/>
    </w:pPr>
    <w:rPr>
      <w:i w:val="0"/>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semiHidden/>
    <w:unhideWhenUsed/>
    <w:rsid w:val="008142B4"/>
    <w:pPr>
      <w:spacing w:after="0"/>
    </w:pPr>
    <w:rPr>
      <w:sz w:val="18"/>
      <w:szCs w:val="20"/>
    </w:rPr>
  </w:style>
  <w:style w:type="character" w:customStyle="1" w:styleId="FootnoteTextChar">
    <w:name w:val="Footnote Text Char"/>
    <w:basedOn w:val="DefaultParagraphFont"/>
    <w:link w:val="FootnoteText"/>
    <w:uiPriority w:val="99"/>
    <w:semiHidden/>
    <w:rsid w:val="008142B4"/>
    <w:rPr>
      <w:sz w:val="18"/>
      <w:szCs w:val="20"/>
    </w:rPr>
  </w:style>
  <w:style w:type="character" w:styleId="FootnoteReference">
    <w:name w:val="footnote reference"/>
    <w:basedOn w:val="DefaultParagraphFont"/>
    <w:uiPriority w:val="99"/>
    <w:semiHidden/>
    <w:unhideWhenUsed/>
    <w:rsid w:val="008142B4"/>
    <w:rPr>
      <w:vertAlign w:val="superscript"/>
    </w:rPr>
  </w:style>
  <w:style w:type="character" w:customStyle="1" w:styleId="TabletitleChar">
    <w:name w:val="Table title Char"/>
    <w:basedOn w:val="Heading4Char"/>
    <w:link w:val="Tabletitle"/>
    <w:rsid w:val="00CF5E22"/>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aliases w:val="Bullet point,List Paragraph1,List Paragraph11,Recommendation,BulletPoints"/>
    <w:basedOn w:val="Normal"/>
    <w:link w:val="ListParagraphChar"/>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customStyle="1" w:styleId="Title2">
    <w:name w:val="Title 2"/>
    <w:basedOn w:val="Heading1"/>
    <w:link w:val="Title2Char"/>
    <w:qFormat/>
    <w:rsid w:val="00F73113"/>
    <w:rPr>
      <w:sz w:val="40"/>
    </w:rPr>
  </w:style>
  <w:style w:type="paragraph" w:customStyle="1" w:styleId="Meetingdate">
    <w:name w:val="Meeting date"/>
    <w:basedOn w:val="Heading4"/>
    <w:link w:val="MeetingdateChar"/>
    <w:qFormat/>
    <w:rsid w:val="00F73113"/>
    <w:rPr>
      <w:sz w:val="24"/>
    </w:rPr>
  </w:style>
  <w:style w:type="character" w:customStyle="1" w:styleId="Title2Char">
    <w:name w:val="Title 2 Char"/>
    <w:basedOn w:val="Heading1Char"/>
    <w:link w:val="Title2"/>
    <w:rsid w:val="00F73113"/>
    <w:rPr>
      <w:rFonts w:eastAsiaTheme="majorEastAsia" w:cstheme="majorBidi"/>
      <w:b/>
      <w:bCs/>
      <w:sz w:val="40"/>
      <w:szCs w:val="32"/>
    </w:rPr>
  </w:style>
  <w:style w:type="character" w:customStyle="1" w:styleId="MeetingdateChar">
    <w:name w:val="Meeting date Char"/>
    <w:basedOn w:val="Heading4Char"/>
    <w:link w:val="Meetingdate"/>
    <w:rsid w:val="00F73113"/>
    <w:rPr>
      <w:b/>
      <w:i/>
      <w:sz w:val="24"/>
      <w:szCs w:val="32"/>
    </w:rPr>
  </w:style>
  <w:style w:type="paragraph" w:customStyle="1" w:styleId="Default">
    <w:name w:val="Default"/>
    <w:basedOn w:val="Normal"/>
    <w:rsid w:val="001460C4"/>
    <w:pPr>
      <w:autoSpaceDE w:val="0"/>
      <w:autoSpaceDN w:val="0"/>
      <w:spacing w:after="0"/>
    </w:pPr>
    <w:rPr>
      <w:rFonts w:ascii="Calibri" w:eastAsiaTheme="minorHAnsi" w:hAnsi="Calibri" w:cs="Times New Roman"/>
      <w:color w:val="000000"/>
      <w:lang w:eastAsia="en-US"/>
    </w:rPr>
  </w:style>
  <w:style w:type="paragraph" w:styleId="EndnoteText">
    <w:name w:val="endnote text"/>
    <w:basedOn w:val="Normal"/>
    <w:link w:val="EndnoteTextChar"/>
    <w:uiPriority w:val="99"/>
    <w:semiHidden/>
    <w:unhideWhenUsed/>
    <w:rsid w:val="009E7016"/>
    <w:pPr>
      <w:spacing w:after="0"/>
    </w:pPr>
    <w:rPr>
      <w:sz w:val="20"/>
      <w:szCs w:val="20"/>
    </w:rPr>
  </w:style>
  <w:style w:type="character" w:customStyle="1" w:styleId="EndnoteTextChar">
    <w:name w:val="Endnote Text Char"/>
    <w:basedOn w:val="DefaultParagraphFont"/>
    <w:link w:val="EndnoteText"/>
    <w:uiPriority w:val="99"/>
    <w:semiHidden/>
    <w:rsid w:val="009E7016"/>
    <w:rPr>
      <w:sz w:val="20"/>
      <w:szCs w:val="20"/>
    </w:rPr>
  </w:style>
  <w:style w:type="character" w:styleId="EndnoteReference">
    <w:name w:val="endnote reference"/>
    <w:basedOn w:val="DefaultParagraphFont"/>
    <w:uiPriority w:val="99"/>
    <w:semiHidden/>
    <w:unhideWhenUsed/>
    <w:rsid w:val="009E7016"/>
    <w:rPr>
      <w:vertAlign w:val="superscript"/>
    </w:rPr>
  </w:style>
  <w:style w:type="character" w:customStyle="1" w:styleId="ListParagraphChar">
    <w:name w:val="List Paragraph Char"/>
    <w:aliases w:val="Bullet point Char,List Paragraph1 Char,List Paragraph11 Char,Recommendation Char,BulletPoints Char"/>
    <w:link w:val="ListParagraph"/>
    <w:locked/>
    <w:rsid w:val="00A54AD0"/>
    <w:rPr>
      <w:sz w:val="24"/>
      <w:szCs w:val="24"/>
    </w:rPr>
  </w:style>
  <w:style w:type="character" w:styleId="FollowedHyperlink">
    <w:name w:val="FollowedHyperlink"/>
    <w:basedOn w:val="DefaultParagraphFont"/>
    <w:uiPriority w:val="99"/>
    <w:semiHidden/>
    <w:unhideWhenUsed/>
    <w:rsid w:val="00F70B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989381">
      <w:bodyDiv w:val="1"/>
      <w:marLeft w:val="0"/>
      <w:marRight w:val="0"/>
      <w:marTop w:val="0"/>
      <w:marBottom w:val="0"/>
      <w:divBdr>
        <w:top w:val="none" w:sz="0" w:space="0" w:color="auto"/>
        <w:left w:val="none" w:sz="0" w:space="0" w:color="auto"/>
        <w:bottom w:val="none" w:sz="0" w:space="0" w:color="auto"/>
        <w:right w:val="none" w:sz="0" w:space="0" w:color="auto"/>
      </w:divBdr>
    </w:div>
    <w:div w:id="395667520">
      <w:bodyDiv w:val="1"/>
      <w:marLeft w:val="0"/>
      <w:marRight w:val="0"/>
      <w:marTop w:val="0"/>
      <w:marBottom w:val="0"/>
      <w:divBdr>
        <w:top w:val="none" w:sz="0" w:space="0" w:color="auto"/>
        <w:left w:val="none" w:sz="0" w:space="0" w:color="auto"/>
        <w:bottom w:val="none" w:sz="0" w:space="0" w:color="auto"/>
        <w:right w:val="none" w:sz="0" w:space="0" w:color="auto"/>
      </w:divBdr>
    </w:div>
    <w:div w:id="593366977">
      <w:bodyDiv w:val="1"/>
      <w:marLeft w:val="0"/>
      <w:marRight w:val="0"/>
      <w:marTop w:val="0"/>
      <w:marBottom w:val="0"/>
      <w:divBdr>
        <w:top w:val="none" w:sz="0" w:space="0" w:color="auto"/>
        <w:left w:val="none" w:sz="0" w:space="0" w:color="auto"/>
        <w:bottom w:val="none" w:sz="0" w:space="0" w:color="auto"/>
        <w:right w:val="none" w:sz="0" w:space="0" w:color="auto"/>
      </w:divBdr>
    </w:div>
    <w:div w:id="715861530">
      <w:bodyDiv w:val="1"/>
      <w:marLeft w:val="0"/>
      <w:marRight w:val="0"/>
      <w:marTop w:val="0"/>
      <w:marBottom w:val="0"/>
      <w:divBdr>
        <w:top w:val="none" w:sz="0" w:space="0" w:color="auto"/>
        <w:left w:val="none" w:sz="0" w:space="0" w:color="auto"/>
        <w:bottom w:val="none" w:sz="0" w:space="0" w:color="auto"/>
        <w:right w:val="none" w:sz="0" w:space="0" w:color="auto"/>
      </w:divBdr>
    </w:div>
    <w:div w:id="773937016">
      <w:bodyDiv w:val="1"/>
      <w:marLeft w:val="0"/>
      <w:marRight w:val="0"/>
      <w:marTop w:val="0"/>
      <w:marBottom w:val="0"/>
      <w:divBdr>
        <w:top w:val="none" w:sz="0" w:space="0" w:color="auto"/>
        <w:left w:val="none" w:sz="0" w:space="0" w:color="auto"/>
        <w:bottom w:val="none" w:sz="0" w:space="0" w:color="auto"/>
        <w:right w:val="none" w:sz="0" w:space="0" w:color="auto"/>
      </w:divBdr>
    </w:div>
    <w:div w:id="1111436557">
      <w:bodyDiv w:val="1"/>
      <w:marLeft w:val="0"/>
      <w:marRight w:val="0"/>
      <w:marTop w:val="0"/>
      <w:marBottom w:val="0"/>
      <w:divBdr>
        <w:top w:val="none" w:sz="0" w:space="0" w:color="auto"/>
        <w:left w:val="none" w:sz="0" w:space="0" w:color="auto"/>
        <w:bottom w:val="none" w:sz="0" w:space="0" w:color="auto"/>
        <w:right w:val="none" w:sz="0" w:space="0" w:color="auto"/>
      </w:divBdr>
    </w:div>
    <w:div w:id="1253515818">
      <w:bodyDiv w:val="1"/>
      <w:marLeft w:val="0"/>
      <w:marRight w:val="0"/>
      <w:marTop w:val="0"/>
      <w:marBottom w:val="0"/>
      <w:divBdr>
        <w:top w:val="none" w:sz="0" w:space="0" w:color="auto"/>
        <w:left w:val="none" w:sz="0" w:space="0" w:color="auto"/>
        <w:bottom w:val="none" w:sz="0" w:space="0" w:color="auto"/>
        <w:right w:val="none" w:sz="0" w:space="0" w:color="auto"/>
      </w:divBdr>
    </w:div>
    <w:div w:id="1763649074">
      <w:bodyDiv w:val="1"/>
      <w:marLeft w:val="0"/>
      <w:marRight w:val="0"/>
      <w:marTop w:val="0"/>
      <w:marBottom w:val="0"/>
      <w:divBdr>
        <w:top w:val="none" w:sz="0" w:space="0" w:color="auto"/>
        <w:left w:val="none" w:sz="0" w:space="0" w:color="auto"/>
        <w:bottom w:val="none" w:sz="0" w:space="0" w:color="auto"/>
        <w:right w:val="none" w:sz="0" w:space="0" w:color="auto"/>
      </w:divBdr>
    </w:div>
    <w:div w:id="206393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bs.gov.au/info/industry/listing/participants/public-release-docs/2017-09/eculizumab-for-ahus" TargetMode="Externa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yperlink" Target="http://www.pbs.gov.au/medicine/item/10182X-10183Y-10190H-10191J-10192K-10194M-10521R-10525Y" TargetMode="External"/><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pbs.gov.au/info/industry/listing/participants/public-release-docs/2017-09/eculizumab-for-ahus" TargetMode="External"/><Relationship Id="rId14" Type="http://schemas.openxmlformats.org/officeDocument/2006/relationships/image" Target="cid:image001.png@01D48026.0DDD3360"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medicareaustralia.gov.au/provider/pbs/stats.jsp"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entral.health\DfsUserEnv\Users\User_13\MCMAHV\Documents\Offline%20Records%20(A7)\Drug%20~%20BENEFITS%20&amp;%20ACCESS%20-%20Reporting(5)\D1033_PATCNT%20by%20drug%20name%20and%20Year%20fr%20Dec,%20new%20ageranges,%20Nov%202018%20updat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entral.health\DfsUserEnv\Users\User_13\MCMAHV\Documents\Offline%20Records%20(A7)\Drug%20~%20BENEFITS%20&amp;%20ACCESS%20-%20Reporting\D1033%20-%20SCRPT_SUM%20with%20init_cont%20variable%20based%20on%20auth%20data,%20Nov%202018%20updat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entral.health\DfsUserEnv\Users\User_13\MCMAHV\Documents\Offline%20Records%20(A7)\Drug%20~%20BENEFITS%20&amp;%20ACCESS%20-%20Reporting\D1033%20-%20SCRPT_SUM%20with%20init_cont%20variable%20based%20on%20auth%20data,%20Nov%202018%20update.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Sheet2!$B$1</c:f>
              <c:strCache>
                <c:ptCount val="1"/>
                <c:pt idx="0">
                  <c:v>Initiating patients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Sheet2!$A$2:$A$5</c:f>
              <c:strCache>
                <c:ptCount val="4"/>
                <c:pt idx="0">
                  <c:v>Year 1</c:v>
                </c:pt>
                <c:pt idx="1">
                  <c:v>Year 2</c:v>
                </c:pt>
                <c:pt idx="2">
                  <c:v>Year 3</c:v>
                </c:pt>
                <c:pt idx="3">
                  <c:v>Year 4</c:v>
                </c:pt>
              </c:strCache>
            </c:strRef>
          </c:cat>
          <c:val>
            <c:numRef>
              <c:f>Sheet2!$B$2:$B$5</c:f>
              <c:numCache>
                <c:formatCode>General</c:formatCode>
                <c:ptCount val="4"/>
                <c:pt idx="0">
                  <c:v>69</c:v>
                </c:pt>
                <c:pt idx="1">
                  <c:v>49</c:v>
                </c:pt>
                <c:pt idx="2">
                  <c:v>48</c:v>
                </c:pt>
                <c:pt idx="3">
                  <c:v>54</c:v>
                </c:pt>
              </c:numCache>
            </c:numRef>
          </c:val>
          <c:smooth val="0"/>
          <c:extLst>
            <c:ext xmlns:c16="http://schemas.microsoft.com/office/drawing/2014/chart" uri="{C3380CC4-5D6E-409C-BE32-E72D297353CC}">
              <c16:uniqueId val="{00000000-FEFD-49F0-AF0B-CB5C80528151}"/>
            </c:ext>
          </c:extLst>
        </c:ser>
        <c:ser>
          <c:idx val="1"/>
          <c:order val="1"/>
          <c:tx>
            <c:strRef>
              <c:f>Sheet2!$C$1</c:f>
              <c:strCache>
                <c:ptCount val="1"/>
                <c:pt idx="0">
                  <c:v>Prevalent patients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Sheet2!$A$2:$A$5</c:f>
              <c:strCache>
                <c:ptCount val="4"/>
                <c:pt idx="0">
                  <c:v>Year 1</c:v>
                </c:pt>
                <c:pt idx="1">
                  <c:v>Year 2</c:v>
                </c:pt>
                <c:pt idx="2">
                  <c:v>Year 3</c:v>
                </c:pt>
                <c:pt idx="3">
                  <c:v>Year 4</c:v>
                </c:pt>
              </c:strCache>
            </c:strRef>
          </c:cat>
          <c:val>
            <c:numRef>
              <c:f>Sheet2!$C$2:$C$5</c:f>
              <c:numCache>
                <c:formatCode>General</c:formatCode>
                <c:ptCount val="4"/>
                <c:pt idx="0">
                  <c:v>69</c:v>
                </c:pt>
                <c:pt idx="1">
                  <c:v>93</c:v>
                </c:pt>
                <c:pt idx="2">
                  <c:v>109</c:v>
                </c:pt>
                <c:pt idx="3">
                  <c:v>114</c:v>
                </c:pt>
              </c:numCache>
            </c:numRef>
          </c:val>
          <c:smooth val="0"/>
          <c:extLst>
            <c:ext xmlns:c16="http://schemas.microsoft.com/office/drawing/2014/chart" uri="{C3380CC4-5D6E-409C-BE32-E72D297353CC}">
              <c16:uniqueId val="{00000001-FEFD-49F0-AF0B-CB5C80528151}"/>
            </c:ext>
          </c:extLst>
        </c:ser>
        <c:dLbls>
          <c:showLegendKey val="0"/>
          <c:showVal val="0"/>
          <c:showCatName val="0"/>
          <c:showSerName val="0"/>
          <c:showPercent val="0"/>
          <c:showBubbleSize val="0"/>
        </c:dLbls>
        <c:marker val="1"/>
        <c:smooth val="0"/>
        <c:axId val="428202736"/>
        <c:axId val="428202080"/>
      </c:lineChart>
      <c:catAx>
        <c:axId val="4282027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Listing year</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8202080"/>
        <c:crosses val="autoZero"/>
        <c:auto val="1"/>
        <c:lblAlgn val="ctr"/>
        <c:lblOffset val="100"/>
        <c:noMultiLvlLbl val="0"/>
      </c:catAx>
      <c:valAx>
        <c:axId val="4282020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Patients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820273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cked"/>
        <c:varyColors val="0"/>
        <c:ser>
          <c:idx val="0"/>
          <c:order val="0"/>
          <c:tx>
            <c:strRef>
              <c:f>Sheet4!$B$21</c:f>
              <c:strCache>
                <c:ptCount val="1"/>
                <c:pt idx="0">
                  <c:v>Grandfathered</c:v>
                </c:pt>
              </c:strCache>
            </c:strRef>
          </c:tx>
          <c:spPr>
            <a:solidFill>
              <a:schemeClr val="accent1"/>
            </a:solidFill>
            <a:ln>
              <a:noFill/>
            </a:ln>
            <a:effectLst/>
          </c:spPr>
          <c:cat>
            <c:strRef>
              <c:f>Sheet4!$A$22:$A$37</c:f>
              <c:strCache>
                <c:ptCount val="16"/>
                <c:pt idx="0">
                  <c:v>2014Q4</c:v>
                </c:pt>
                <c:pt idx="1">
                  <c:v>2015Q1</c:v>
                </c:pt>
                <c:pt idx="2">
                  <c:v>2015Q2</c:v>
                </c:pt>
                <c:pt idx="3">
                  <c:v>2015Q3</c:v>
                </c:pt>
                <c:pt idx="4">
                  <c:v>2015Q4</c:v>
                </c:pt>
                <c:pt idx="5">
                  <c:v>2016Q1</c:v>
                </c:pt>
                <c:pt idx="6">
                  <c:v>2016Q2</c:v>
                </c:pt>
                <c:pt idx="7">
                  <c:v>2016Q3</c:v>
                </c:pt>
                <c:pt idx="8">
                  <c:v>2016Q4</c:v>
                </c:pt>
                <c:pt idx="9">
                  <c:v>2017Q1</c:v>
                </c:pt>
                <c:pt idx="10">
                  <c:v>2017Q2</c:v>
                </c:pt>
                <c:pt idx="11">
                  <c:v>2017Q3</c:v>
                </c:pt>
                <c:pt idx="12">
                  <c:v>2017Q4</c:v>
                </c:pt>
                <c:pt idx="13">
                  <c:v>2018Q1</c:v>
                </c:pt>
                <c:pt idx="14">
                  <c:v>2018Q2</c:v>
                </c:pt>
                <c:pt idx="15">
                  <c:v>2018Q3</c:v>
                </c:pt>
              </c:strCache>
            </c:strRef>
          </c:cat>
          <c:val>
            <c:numRef>
              <c:f>Sheet4!$B$22:$B$37</c:f>
              <c:numCache>
                <c:formatCode>General</c:formatCode>
                <c:ptCount val="16"/>
                <c:pt idx="0">
                  <c:v>24</c:v>
                </c:pt>
                <c:pt idx="1">
                  <c:v>74</c:v>
                </c:pt>
                <c:pt idx="2">
                  <c:v>37</c:v>
                </c:pt>
                <c:pt idx="3">
                  <c:v>3</c:v>
                </c:pt>
              </c:numCache>
            </c:numRef>
          </c:val>
          <c:extLst>
            <c:ext xmlns:c16="http://schemas.microsoft.com/office/drawing/2014/chart" uri="{C3380CC4-5D6E-409C-BE32-E72D297353CC}">
              <c16:uniqueId val="{00000000-DF08-4432-8B5F-3B8A0A4F52AD}"/>
            </c:ext>
          </c:extLst>
        </c:ser>
        <c:ser>
          <c:idx val="1"/>
          <c:order val="1"/>
          <c:tx>
            <c:strRef>
              <c:f>Sheet4!$C$21</c:f>
              <c:strCache>
                <c:ptCount val="1"/>
                <c:pt idx="0">
                  <c:v>Initial</c:v>
                </c:pt>
              </c:strCache>
            </c:strRef>
          </c:tx>
          <c:spPr>
            <a:solidFill>
              <a:schemeClr val="accent2"/>
            </a:solidFill>
            <a:ln>
              <a:noFill/>
            </a:ln>
            <a:effectLst/>
          </c:spPr>
          <c:cat>
            <c:strRef>
              <c:f>Sheet4!$A$22:$A$37</c:f>
              <c:strCache>
                <c:ptCount val="16"/>
                <c:pt idx="0">
                  <c:v>2014Q4</c:v>
                </c:pt>
                <c:pt idx="1">
                  <c:v>2015Q1</c:v>
                </c:pt>
                <c:pt idx="2">
                  <c:v>2015Q2</c:v>
                </c:pt>
                <c:pt idx="3">
                  <c:v>2015Q3</c:v>
                </c:pt>
                <c:pt idx="4">
                  <c:v>2015Q4</c:v>
                </c:pt>
                <c:pt idx="5">
                  <c:v>2016Q1</c:v>
                </c:pt>
                <c:pt idx="6">
                  <c:v>2016Q2</c:v>
                </c:pt>
                <c:pt idx="7">
                  <c:v>2016Q3</c:v>
                </c:pt>
                <c:pt idx="8">
                  <c:v>2016Q4</c:v>
                </c:pt>
                <c:pt idx="9">
                  <c:v>2017Q1</c:v>
                </c:pt>
                <c:pt idx="10">
                  <c:v>2017Q2</c:v>
                </c:pt>
                <c:pt idx="11">
                  <c:v>2017Q3</c:v>
                </c:pt>
                <c:pt idx="12">
                  <c:v>2017Q4</c:v>
                </c:pt>
                <c:pt idx="13">
                  <c:v>2018Q1</c:v>
                </c:pt>
                <c:pt idx="14">
                  <c:v>2018Q2</c:v>
                </c:pt>
                <c:pt idx="15">
                  <c:v>2018Q3</c:v>
                </c:pt>
              </c:strCache>
            </c:strRef>
          </c:cat>
          <c:val>
            <c:numRef>
              <c:f>Sheet4!$C$22:$C$37</c:f>
              <c:numCache>
                <c:formatCode>General</c:formatCode>
                <c:ptCount val="16"/>
                <c:pt idx="0">
                  <c:v>11</c:v>
                </c:pt>
                <c:pt idx="1">
                  <c:v>27</c:v>
                </c:pt>
                <c:pt idx="2">
                  <c:v>39</c:v>
                </c:pt>
                <c:pt idx="3">
                  <c:v>32</c:v>
                </c:pt>
                <c:pt idx="4">
                  <c:v>106</c:v>
                </c:pt>
                <c:pt idx="5">
                  <c:v>120</c:v>
                </c:pt>
                <c:pt idx="6">
                  <c:v>152</c:v>
                </c:pt>
                <c:pt idx="7">
                  <c:v>125</c:v>
                </c:pt>
                <c:pt idx="8">
                  <c:v>142</c:v>
                </c:pt>
                <c:pt idx="9">
                  <c:v>136</c:v>
                </c:pt>
                <c:pt idx="10">
                  <c:v>92</c:v>
                </c:pt>
                <c:pt idx="11">
                  <c:v>91</c:v>
                </c:pt>
                <c:pt idx="12">
                  <c:v>103</c:v>
                </c:pt>
                <c:pt idx="13">
                  <c:v>124</c:v>
                </c:pt>
                <c:pt idx="14">
                  <c:v>125</c:v>
                </c:pt>
                <c:pt idx="15">
                  <c:v>130</c:v>
                </c:pt>
              </c:numCache>
            </c:numRef>
          </c:val>
          <c:extLst>
            <c:ext xmlns:c16="http://schemas.microsoft.com/office/drawing/2014/chart" uri="{C3380CC4-5D6E-409C-BE32-E72D297353CC}">
              <c16:uniqueId val="{00000001-DF08-4432-8B5F-3B8A0A4F52AD}"/>
            </c:ext>
          </c:extLst>
        </c:ser>
        <c:ser>
          <c:idx val="2"/>
          <c:order val="2"/>
          <c:tx>
            <c:strRef>
              <c:f>Sheet4!$D$21</c:f>
              <c:strCache>
                <c:ptCount val="1"/>
                <c:pt idx="0">
                  <c:v>Continuing</c:v>
                </c:pt>
              </c:strCache>
            </c:strRef>
          </c:tx>
          <c:spPr>
            <a:solidFill>
              <a:schemeClr val="accent3"/>
            </a:solidFill>
            <a:ln>
              <a:noFill/>
            </a:ln>
            <a:effectLst/>
          </c:spPr>
          <c:cat>
            <c:strRef>
              <c:f>Sheet4!$A$22:$A$37</c:f>
              <c:strCache>
                <c:ptCount val="16"/>
                <c:pt idx="0">
                  <c:v>2014Q4</c:v>
                </c:pt>
                <c:pt idx="1">
                  <c:v>2015Q1</c:v>
                </c:pt>
                <c:pt idx="2">
                  <c:v>2015Q2</c:v>
                </c:pt>
                <c:pt idx="3">
                  <c:v>2015Q3</c:v>
                </c:pt>
                <c:pt idx="4">
                  <c:v>2015Q4</c:v>
                </c:pt>
                <c:pt idx="5">
                  <c:v>2016Q1</c:v>
                </c:pt>
                <c:pt idx="6">
                  <c:v>2016Q2</c:v>
                </c:pt>
                <c:pt idx="7">
                  <c:v>2016Q3</c:v>
                </c:pt>
                <c:pt idx="8">
                  <c:v>2016Q4</c:v>
                </c:pt>
                <c:pt idx="9">
                  <c:v>2017Q1</c:v>
                </c:pt>
                <c:pt idx="10">
                  <c:v>2017Q2</c:v>
                </c:pt>
                <c:pt idx="11">
                  <c:v>2017Q3</c:v>
                </c:pt>
                <c:pt idx="12">
                  <c:v>2017Q4</c:v>
                </c:pt>
                <c:pt idx="13">
                  <c:v>2018Q1</c:v>
                </c:pt>
                <c:pt idx="14">
                  <c:v>2018Q2</c:v>
                </c:pt>
                <c:pt idx="15">
                  <c:v>2018Q3</c:v>
                </c:pt>
              </c:strCache>
            </c:strRef>
          </c:cat>
          <c:val>
            <c:numRef>
              <c:f>Sheet4!$D$22:$D$37</c:f>
              <c:numCache>
                <c:formatCode>General</c:formatCode>
                <c:ptCount val="16"/>
                <c:pt idx="0">
                  <c:v>1</c:v>
                </c:pt>
                <c:pt idx="1">
                  <c:v>1</c:v>
                </c:pt>
                <c:pt idx="2">
                  <c:v>38</c:v>
                </c:pt>
                <c:pt idx="3">
                  <c:v>91</c:v>
                </c:pt>
                <c:pt idx="4">
                  <c:v>54</c:v>
                </c:pt>
                <c:pt idx="5">
                  <c:v>28</c:v>
                </c:pt>
                <c:pt idx="6">
                  <c:v>28</c:v>
                </c:pt>
                <c:pt idx="7">
                  <c:v>52</c:v>
                </c:pt>
                <c:pt idx="8">
                  <c:v>51</c:v>
                </c:pt>
                <c:pt idx="9">
                  <c:v>48</c:v>
                </c:pt>
                <c:pt idx="10">
                  <c:v>75</c:v>
                </c:pt>
                <c:pt idx="11">
                  <c:v>85</c:v>
                </c:pt>
                <c:pt idx="12">
                  <c:v>90</c:v>
                </c:pt>
                <c:pt idx="13">
                  <c:v>80</c:v>
                </c:pt>
                <c:pt idx="14">
                  <c:v>82</c:v>
                </c:pt>
                <c:pt idx="15">
                  <c:v>87</c:v>
                </c:pt>
              </c:numCache>
            </c:numRef>
          </c:val>
          <c:extLst>
            <c:ext xmlns:c16="http://schemas.microsoft.com/office/drawing/2014/chart" uri="{C3380CC4-5D6E-409C-BE32-E72D297353CC}">
              <c16:uniqueId val="{00000002-DF08-4432-8B5F-3B8A0A4F52AD}"/>
            </c:ext>
          </c:extLst>
        </c:ser>
        <c:ser>
          <c:idx val="3"/>
          <c:order val="3"/>
          <c:tx>
            <c:strRef>
              <c:f>Sheet4!$E$21</c:f>
              <c:strCache>
                <c:ptCount val="1"/>
                <c:pt idx="0">
                  <c:v>Recommencement</c:v>
                </c:pt>
              </c:strCache>
            </c:strRef>
          </c:tx>
          <c:spPr>
            <a:solidFill>
              <a:schemeClr val="accent4"/>
            </a:solidFill>
            <a:ln>
              <a:noFill/>
            </a:ln>
            <a:effectLst/>
          </c:spPr>
          <c:cat>
            <c:strRef>
              <c:f>Sheet4!$A$22:$A$37</c:f>
              <c:strCache>
                <c:ptCount val="16"/>
                <c:pt idx="0">
                  <c:v>2014Q4</c:v>
                </c:pt>
                <c:pt idx="1">
                  <c:v>2015Q1</c:v>
                </c:pt>
                <c:pt idx="2">
                  <c:v>2015Q2</c:v>
                </c:pt>
                <c:pt idx="3">
                  <c:v>2015Q3</c:v>
                </c:pt>
                <c:pt idx="4">
                  <c:v>2015Q4</c:v>
                </c:pt>
                <c:pt idx="5">
                  <c:v>2016Q1</c:v>
                </c:pt>
                <c:pt idx="6">
                  <c:v>2016Q2</c:v>
                </c:pt>
                <c:pt idx="7">
                  <c:v>2016Q3</c:v>
                </c:pt>
                <c:pt idx="8">
                  <c:v>2016Q4</c:v>
                </c:pt>
                <c:pt idx="9">
                  <c:v>2017Q1</c:v>
                </c:pt>
                <c:pt idx="10">
                  <c:v>2017Q2</c:v>
                </c:pt>
                <c:pt idx="11">
                  <c:v>2017Q3</c:v>
                </c:pt>
                <c:pt idx="12">
                  <c:v>2017Q4</c:v>
                </c:pt>
                <c:pt idx="13">
                  <c:v>2018Q1</c:v>
                </c:pt>
                <c:pt idx="14">
                  <c:v>2018Q2</c:v>
                </c:pt>
                <c:pt idx="15">
                  <c:v>2018Q3</c:v>
                </c:pt>
              </c:strCache>
            </c:strRef>
          </c:cat>
          <c:val>
            <c:numRef>
              <c:f>Sheet4!$E$22:$E$37</c:f>
              <c:numCache>
                <c:formatCode>General</c:formatCode>
                <c:ptCount val="16"/>
                <c:pt idx="0">
                  <c:v>0</c:v>
                </c:pt>
                <c:pt idx="1">
                  <c:v>0</c:v>
                </c:pt>
                <c:pt idx="2">
                  <c:v>0</c:v>
                </c:pt>
                <c:pt idx="3">
                  <c:v>5</c:v>
                </c:pt>
                <c:pt idx="4">
                  <c:v>1</c:v>
                </c:pt>
                <c:pt idx="5">
                  <c:v>1</c:v>
                </c:pt>
                <c:pt idx="6">
                  <c:v>10</c:v>
                </c:pt>
                <c:pt idx="7">
                  <c:v>9</c:v>
                </c:pt>
                <c:pt idx="8">
                  <c:v>15</c:v>
                </c:pt>
                <c:pt idx="9">
                  <c:v>10</c:v>
                </c:pt>
                <c:pt idx="10">
                  <c:v>7</c:v>
                </c:pt>
                <c:pt idx="11">
                  <c:v>6</c:v>
                </c:pt>
                <c:pt idx="12">
                  <c:v>7</c:v>
                </c:pt>
                <c:pt idx="13">
                  <c:v>13</c:v>
                </c:pt>
                <c:pt idx="14">
                  <c:v>14</c:v>
                </c:pt>
                <c:pt idx="15">
                  <c:v>13</c:v>
                </c:pt>
              </c:numCache>
            </c:numRef>
          </c:val>
          <c:extLst>
            <c:ext xmlns:c16="http://schemas.microsoft.com/office/drawing/2014/chart" uri="{C3380CC4-5D6E-409C-BE32-E72D297353CC}">
              <c16:uniqueId val="{00000003-DF08-4432-8B5F-3B8A0A4F52AD}"/>
            </c:ext>
          </c:extLst>
        </c:ser>
        <c:dLbls>
          <c:showLegendKey val="0"/>
          <c:showVal val="0"/>
          <c:showCatName val="0"/>
          <c:showSerName val="0"/>
          <c:showPercent val="0"/>
          <c:showBubbleSize val="0"/>
        </c:dLbls>
        <c:axId val="668570264"/>
        <c:axId val="668570920"/>
      </c:areaChart>
      <c:catAx>
        <c:axId val="6685702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Quarter of supply</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8570920"/>
        <c:crosses val="autoZero"/>
        <c:auto val="1"/>
        <c:lblAlgn val="ctr"/>
        <c:lblOffset val="100"/>
        <c:noMultiLvlLbl val="0"/>
      </c:catAx>
      <c:valAx>
        <c:axId val="6685709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Prescriptions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8570264"/>
        <c:crosses val="autoZero"/>
        <c:crossBetween val="midCat"/>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Sheet1!$D$10</c:f>
              <c:strCache>
                <c:ptCount val="1"/>
                <c:pt idx="0">
                  <c:v>Nephrology</c:v>
                </c:pt>
              </c:strCache>
            </c:strRef>
          </c:tx>
          <c:spPr>
            <a:solidFill>
              <a:schemeClr val="accent1"/>
            </a:solidFill>
            <a:ln>
              <a:noFill/>
            </a:ln>
            <a:effectLst/>
          </c:spPr>
          <c:invertIfNegative val="0"/>
          <c:val>
            <c:numRef>
              <c:f>Sheet1!$E$10</c:f>
              <c:numCache>
                <c:formatCode>General</c:formatCode>
                <c:ptCount val="1"/>
                <c:pt idx="0">
                  <c:v>1176</c:v>
                </c:pt>
              </c:numCache>
            </c:numRef>
          </c:val>
          <c:extLst>
            <c:ext xmlns:c16="http://schemas.microsoft.com/office/drawing/2014/chart" uri="{C3380CC4-5D6E-409C-BE32-E72D297353CC}">
              <c16:uniqueId val="{00000000-F5E6-4041-9BA9-03DE7BDCF98E}"/>
            </c:ext>
          </c:extLst>
        </c:ser>
        <c:ser>
          <c:idx val="1"/>
          <c:order val="1"/>
          <c:tx>
            <c:strRef>
              <c:f>Sheet1!$D$11</c:f>
              <c:strCache>
                <c:ptCount val="1"/>
                <c:pt idx="0">
                  <c:v>GP</c:v>
                </c:pt>
              </c:strCache>
            </c:strRef>
          </c:tx>
          <c:spPr>
            <a:solidFill>
              <a:schemeClr val="accent2"/>
            </a:solidFill>
            <a:ln>
              <a:noFill/>
            </a:ln>
            <a:effectLst/>
          </c:spPr>
          <c:invertIfNegative val="0"/>
          <c:val>
            <c:numRef>
              <c:f>Sheet1!$E$11</c:f>
              <c:numCache>
                <c:formatCode>General</c:formatCode>
                <c:ptCount val="1"/>
                <c:pt idx="0">
                  <c:v>753</c:v>
                </c:pt>
              </c:numCache>
            </c:numRef>
          </c:val>
          <c:extLst>
            <c:ext xmlns:c16="http://schemas.microsoft.com/office/drawing/2014/chart" uri="{C3380CC4-5D6E-409C-BE32-E72D297353CC}">
              <c16:uniqueId val="{00000001-F5E6-4041-9BA9-03DE7BDCF98E}"/>
            </c:ext>
          </c:extLst>
        </c:ser>
        <c:ser>
          <c:idx val="2"/>
          <c:order val="2"/>
          <c:tx>
            <c:strRef>
              <c:f>Sheet1!$D$12</c:f>
              <c:strCache>
                <c:ptCount val="1"/>
                <c:pt idx="0">
                  <c:v>Haematology</c:v>
                </c:pt>
              </c:strCache>
            </c:strRef>
          </c:tx>
          <c:spPr>
            <a:solidFill>
              <a:schemeClr val="accent3"/>
            </a:solidFill>
            <a:ln>
              <a:noFill/>
            </a:ln>
            <a:effectLst/>
          </c:spPr>
          <c:invertIfNegative val="0"/>
          <c:val>
            <c:numRef>
              <c:f>Sheet1!$E$12</c:f>
              <c:numCache>
                <c:formatCode>General</c:formatCode>
                <c:ptCount val="1"/>
                <c:pt idx="0">
                  <c:v>396</c:v>
                </c:pt>
              </c:numCache>
            </c:numRef>
          </c:val>
          <c:extLst>
            <c:ext xmlns:c16="http://schemas.microsoft.com/office/drawing/2014/chart" uri="{C3380CC4-5D6E-409C-BE32-E72D297353CC}">
              <c16:uniqueId val="{00000002-F5E6-4041-9BA9-03DE7BDCF98E}"/>
            </c:ext>
          </c:extLst>
        </c:ser>
        <c:ser>
          <c:idx val="3"/>
          <c:order val="3"/>
          <c:tx>
            <c:strRef>
              <c:f>Sheet1!$D$13</c:f>
              <c:strCache>
                <c:ptCount val="1"/>
                <c:pt idx="0">
                  <c:v>Internal Medicine</c:v>
                </c:pt>
              </c:strCache>
            </c:strRef>
          </c:tx>
          <c:spPr>
            <a:solidFill>
              <a:schemeClr val="accent4"/>
            </a:solidFill>
            <a:ln>
              <a:noFill/>
            </a:ln>
            <a:effectLst/>
          </c:spPr>
          <c:invertIfNegative val="0"/>
          <c:val>
            <c:numRef>
              <c:f>Sheet1!$E$13</c:f>
              <c:numCache>
                <c:formatCode>General</c:formatCode>
                <c:ptCount val="1"/>
                <c:pt idx="0">
                  <c:v>230</c:v>
                </c:pt>
              </c:numCache>
            </c:numRef>
          </c:val>
          <c:extLst>
            <c:ext xmlns:c16="http://schemas.microsoft.com/office/drawing/2014/chart" uri="{C3380CC4-5D6E-409C-BE32-E72D297353CC}">
              <c16:uniqueId val="{00000003-F5E6-4041-9BA9-03DE7BDCF98E}"/>
            </c:ext>
          </c:extLst>
        </c:ser>
        <c:ser>
          <c:idx val="4"/>
          <c:order val="4"/>
          <c:tx>
            <c:strRef>
              <c:f>Sheet1!$D$14</c:f>
              <c:strCache>
                <c:ptCount val="1"/>
                <c:pt idx="0">
                  <c:v>Paediatric Medicine</c:v>
                </c:pt>
              </c:strCache>
            </c:strRef>
          </c:tx>
          <c:spPr>
            <a:solidFill>
              <a:schemeClr val="accent5"/>
            </a:solidFill>
            <a:ln>
              <a:noFill/>
            </a:ln>
            <a:effectLst/>
          </c:spPr>
          <c:invertIfNegative val="0"/>
          <c:val>
            <c:numRef>
              <c:f>Sheet1!$E$14</c:f>
              <c:numCache>
                <c:formatCode>General</c:formatCode>
                <c:ptCount val="1"/>
                <c:pt idx="0">
                  <c:v>57</c:v>
                </c:pt>
              </c:numCache>
            </c:numRef>
          </c:val>
          <c:extLst>
            <c:ext xmlns:c16="http://schemas.microsoft.com/office/drawing/2014/chart" uri="{C3380CC4-5D6E-409C-BE32-E72D297353CC}">
              <c16:uniqueId val="{00000004-F5E6-4041-9BA9-03DE7BDCF98E}"/>
            </c:ext>
          </c:extLst>
        </c:ser>
        <c:ser>
          <c:idx val="5"/>
          <c:order val="5"/>
          <c:tx>
            <c:strRef>
              <c:f>Sheet1!$D$15</c:f>
              <c:strCache>
                <c:ptCount val="1"/>
                <c:pt idx="0">
                  <c:v>Pathology</c:v>
                </c:pt>
              </c:strCache>
            </c:strRef>
          </c:tx>
          <c:spPr>
            <a:solidFill>
              <a:schemeClr val="accent6"/>
            </a:solidFill>
            <a:ln>
              <a:noFill/>
            </a:ln>
            <a:effectLst/>
          </c:spPr>
          <c:invertIfNegative val="0"/>
          <c:val>
            <c:numRef>
              <c:f>Sheet1!$E$15</c:f>
              <c:numCache>
                <c:formatCode>General</c:formatCode>
                <c:ptCount val="1"/>
                <c:pt idx="0">
                  <c:v>49</c:v>
                </c:pt>
              </c:numCache>
            </c:numRef>
          </c:val>
          <c:extLst>
            <c:ext xmlns:c16="http://schemas.microsoft.com/office/drawing/2014/chart" uri="{C3380CC4-5D6E-409C-BE32-E72D297353CC}">
              <c16:uniqueId val="{00000005-F5E6-4041-9BA9-03DE7BDCF98E}"/>
            </c:ext>
          </c:extLst>
        </c:ser>
        <c:ser>
          <c:idx val="6"/>
          <c:order val="6"/>
          <c:tx>
            <c:strRef>
              <c:f>Sheet1!$D$16</c:f>
              <c:strCache>
                <c:ptCount val="1"/>
                <c:pt idx="0">
                  <c:v>Other</c:v>
                </c:pt>
              </c:strCache>
            </c:strRef>
          </c:tx>
          <c:spPr>
            <a:solidFill>
              <a:schemeClr val="accent1">
                <a:lumMod val="60000"/>
              </a:schemeClr>
            </a:solidFill>
            <a:ln>
              <a:noFill/>
            </a:ln>
            <a:effectLst/>
          </c:spPr>
          <c:invertIfNegative val="0"/>
          <c:val>
            <c:numRef>
              <c:f>Sheet1!$E$16</c:f>
              <c:numCache>
                <c:formatCode>General</c:formatCode>
                <c:ptCount val="1"/>
                <c:pt idx="0">
                  <c:v>34</c:v>
                </c:pt>
              </c:numCache>
            </c:numRef>
          </c:val>
          <c:extLst>
            <c:ext xmlns:c16="http://schemas.microsoft.com/office/drawing/2014/chart" uri="{C3380CC4-5D6E-409C-BE32-E72D297353CC}">
              <c16:uniqueId val="{00000006-F5E6-4041-9BA9-03DE7BDCF98E}"/>
            </c:ext>
          </c:extLst>
        </c:ser>
        <c:dLbls>
          <c:showLegendKey val="0"/>
          <c:showVal val="0"/>
          <c:showCatName val="0"/>
          <c:showSerName val="0"/>
          <c:showPercent val="0"/>
          <c:showBubbleSize val="0"/>
        </c:dLbls>
        <c:gapWidth val="182"/>
        <c:overlap val="100"/>
        <c:axId val="658474944"/>
        <c:axId val="658476256"/>
      </c:barChart>
      <c:catAx>
        <c:axId val="658474944"/>
        <c:scaling>
          <c:orientation val="minMax"/>
        </c:scaling>
        <c:delete val="1"/>
        <c:axPos val="l"/>
        <c:numFmt formatCode="General" sourceLinked="1"/>
        <c:majorTickMark val="none"/>
        <c:minorTickMark val="none"/>
        <c:tickLblPos val="nextTo"/>
        <c:crossAx val="658476256"/>
        <c:crosses val="autoZero"/>
        <c:auto val="1"/>
        <c:lblAlgn val="ctr"/>
        <c:lblOffset val="100"/>
        <c:noMultiLvlLbl val="0"/>
      </c:catAx>
      <c:valAx>
        <c:axId val="65847625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Percentage of prescriptions supplied</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8474944"/>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BD493-1F66-4C02-B363-298C22D47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3501</Words>
  <Characters>19960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2019-05-06T04:47:00Z</dcterms:created>
  <dcterms:modified xsi:type="dcterms:W3CDTF">2019-06-24T05:41:00Z</dcterms:modified>
  <cp:contentStatus/>
</cp:coreProperties>
</file>