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CAB9C" w14:textId="77777777" w:rsidR="00431FB2" w:rsidRPr="005A3F4B" w:rsidRDefault="00F15935" w:rsidP="00431FB2">
      <w:pPr>
        <w:pStyle w:val="Title2"/>
        <w:rPr>
          <w:sz w:val="52"/>
          <w:szCs w:val="52"/>
        </w:rPr>
      </w:pPr>
      <w:r>
        <w:rPr>
          <w:sz w:val="52"/>
          <w:szCs w:val="52"/>
        </w:rPr>
        <w:t xml:space="preserve">Bendamustine </w:t>
      </w:r>
      <w:r w:rsidR="00431FB2" w:rsidRPr="005A3F4B">
        <w:rPr>
          <w:sz w:val="52"/>
          <w:szCs w:val="52"/>
        </w:rPr>
        <w:t xml:space="preserve">for the treatment of </w:t>
      </w:r>
      <w:r>
        <w:rPr>
          <w:sz w:val="52"/>
          <w:szCs w:val="52"/>
        </w:rPr>
        <w:t>lymphoma</w:t>
      </w:r>
      <w:r w:rsidR="00431FB2" w:rsidRPr="005A3F4B">
        <w:rPr>
          <w:sz w:val="52"/>
          <w:szCs w:val="52"/>
        </w:rPr>
        <w:t>: 24 month predicted versus actual analysis</w:t>
      </w:r>
    </w:p>
    <w:p w14:paraId="78E05B15" w14:textId="77777777" w:rsidR="00431FB2" w:rsidRDefault="00431FB2" w:rsidP="00431FB2">
      <w:pPr>
        <w:pStyle w:val="Title2"/>
      </w:pPr>
      <w:r>
        <w:t>D</w:t>
      </w:r>
      <w:r w:rsidRPr="0063631C">
        <w:t xml:space="preserve">rug utilisation sub-committee </w:t>
      </w:r>
      <w:r>
        <w:t>(DUSC)</w:t>
      </w:r>
    </w:p>
    <w:p w14:paraId="5213258C" w14:textId="77777777" w:rsidR="00431FB2" w:rsidRPr="00F73113" w:rsidRDefault="00F15935" w:rsidP="00431FB2">
      <w:pPr>
        <w:pStyle w:val="Meetingdate"/>
      </w:pPr>
      <w:r>
        <w:t xml:space="preserve">February </w:t>
      </w:r>
      <w:r w:rsidR="00431FB2">
        <w:t>201</w:t>
      </w:r>
      <w:r>
        <w:t>9</w:t>
      </w:r>
    </w:p>
    <w:p w14:paraId="43943B82" w14:textId="77777777" w:rsidR="00431FB2" w:rsidRPr="00CF5E22" w:rsidRDefault="00431FB2" w:rsidP="00F53E2D">
      <w:pPr>
        <w:pStyle w:val="Heading2"/>
      </w:pPr>
      <w:r w:rsidRPr="00CF5E22">
        <w:t>Abstract</w:t>
      </w:r>
    </w:p>
    <w:p w14:paraId="28BBC74A" w14:textId="77777777" w:rsidR="00431FB2" w:rsidRPr="00F53E2D" w:rsidRDefault="00431FB2" w:rsidP="00F53E2D">
      <w:pPr>
        <w:pStyle w:val="Heading3"/>
      </w:pPr>
      <w:r w:rsidRPr="00F53E2D">
        <w:t>Purpose</w:t>
      </w:r>
    </w:p>
    <w:p w14:paraId="46D92C49" w14:textId="77777777" w:rsidR="00431FB2" w:rsidRDefault="00431FB2" w:rsidP="00431FB2">
      <w:pPr>
        <w:pStyle w:val="Heading3"/>
        <w:spacing w:before="0"/>
        <w:rPr>
          <w:b w:val="0"/>
          <w:i w:val="0"/>
        </w:rPr>
      </w:pPr>
      <w:r>
        <w:rPr>
          <w:b w:val="0"/>
          <w:i w:val="0"/>
        </w:rPr>
        <w:t xml:space="preserve">To compare the predicted and actual utilisation of </w:t>
      </w:r>
      <w:proofErr w:type="spellStart"/>
      <w:r w:rsidR="00D81B0F">
        <w:rPr>
          <w:b w:val="0"/>
          <w:i w:val="0"/>
        </w:rPr>
        <w:t>b</w:t>
      </w:r>
      <w:r w:rsidR="00D81B0F" w:rsidRPr="00D81B0F">
        <w:rPr>
          <w:b w:val="0"/>
          <w:i w:val="0"/>
        </w:rPr>
        <w:t>endamustine</w:t>
      </w:r>
      <w:proofErr w:type="spellEnd"/>
      <w:r w:rsidR="00D81B0F" w:rsidRPr="00D81B0F">
        <w:rPr>
          <w:b w:val="0"/>
          <w:i w:val="0"/>
        </w:rPr>
        <w:t xml:space="preserve"> for the treatment of lymphoma </w:t>
      </w:r>
      <w:r w:rsidRPr="00DC2EF1">
        <w:rPr>
          <w:b w:val="0"/>
          <w:i w:val="0"/>
        </w:rPr>
        <w:t>i</w:t>
      </w:r>
      <w:r>
        <w:rPr>
          <w:b w:val="0"/>
          <w:i w:val="0"/>
        </w:rPr>
        <w:t xml:space="preserve">n the first 24 months of Pharmaceutical Benefits Scheme (PBS) listing. </w:t>
      </w:r>
    </w:p>
    <w:p w14:paraId="1484D486" w14:textId="77777777" w:rsidR="00431FB2" w:rsidRPr="00F53E2D" w:rsidRDefault="00431FB2" w:rsidP="00F53E2D">
      <w:pPr>
        <w:pStyle w:val="Heading3"/>
      </w:pPr>
      <w:r w:rsidRPr="00F53E2D">
        <w:t>Restriction (abridged)</w:t>
      </w:r>
    </w:p>
    <w:p w14:paraId="46D9D0A7" w14:textId="298458F1" w:rsidR="00B32234" w:rsidRDefault="00B32234" w:rsidP="00B32234">
      <w:pPr>
        <w:spacing w:after="0"/>
        <w:rPr>
          <w:b/>
        </w:rPr>
      </w:pPr>
      <w:r>
        <w:t xml:space="preserve">Previously untreated stage III or IV </w:t>
      </w:r>
      <w:r w:rsidRPr="002768C8">
        <w:t>indolent</w:t>
      </w:r>
      <w:r w:rsidRPr="00CE32C8">
        <w:t xml:space="preserve"> </w:t>
      </w:r>
      <w:r>
        <w:t xml:space="preserve">CD20 positive </w:t>
      </w:r>
      <w:r w:rsidRPr="002768C8">
        <w:t>non-Hodgkin's lymphoma</w:t>
      </w:r>
      <w:r w:rsidR="00A917A6">
        <w:rPr>
          <w:b/>
        </w:rPr>
        <w:t xml:space="preserve"> </w:t>
      </w:r>
      <w:r w:rsidR="00A917A6" w:rsidRPr="00A917A6">
        <w:t>(</w:t>
      </w:r>
      <w:proofErr w:type="spellStart"/>
      <w:r w:rsidR="00A917A6" w:rsidRPr="00A917A6">
        <w:t>iNHL</w:t>
      </w:r>
      <w:proofErr w:type="spellEnd"/>
      <w:r w:rsidR="00A917A6" w:rsidRPr="00A917A6">
        <w:t>)</w:t>
      </w:r>
    </w:p>
    <w:p w14:paraId="2D266472" w14:textId="77777777" w:rsidR="00B32234" w:rsidRDefault="00B32234" w:rsidP="00B32234">
      <w:pPr>
        <w:spacing w:after="0"/>
      </w:pPr>
      <w:r>
        <w:t xml:space="preserve">Treatment Phase: Induction treatment </w:t>
      </w:r>
    </w:p>
    <w:p w14:paraId="34E831B9" w14:textId="77777777" w:rsidR="00B32234" w:rsidRDefault="00B32234" w:rsidP="00B32234">
      <w:pPr>
        <w:spacing w:after="0"/>
      </w:pPr>
      <w:r>
        <w:t xml:space="preserve">Clinical criteria: </w:t>
      </w:r>
    </w:p>
    <w:p w14:paraId="4AC8448C" w14:textId="77777777" w:rsidR="00B32234" w:rsidRDefault="00B32234" w:rsidP="00B32234">
      <w:pPr>
        <w:spacing w:after="0"/>
      </w:pPr>
      <w:r>
        <w:sym w:font="Symbol" w:char="F0B7"/>
      </w:r>
      <w:r>
        <w:t xml:space="preserve"> The treatment must be in combination with rituximab, AND </w:t>
      </w:r>
    </w:p>
    <w:p w14:paraId="7FFA8D7D" w14:textId="77777777" w:rsidR="00B32234" w:rsidRDefault="00B32234" w:rsidP="00B32234">
      <w:pPr>
        <w:spacing w:after="0"/>
      </w:pPr>
      <w:r>
        <w:sym w:font="Symbol" w:char="F0B7"/>
      </w:r>
      <w:r>
        <w:t xml:space="preserve"> The condition must be previously untreated, AND </w:t>
      </w:r>
    </w:p>
    <w:p w14:paraId="4A13046C" w14:textId="77777777" w:rsidR="00B32234" w:rsidRDefault="00B32234" w:rsidP="00B32234">
      <w:pPr>
        <w:spacing w:after="0"/>
      </w:pPr>
      <w:r>
        <w:sym w:font="Symbol" w:char="F0B7"/>
      </w:r>
      <w:r>
        <w:t xml:space="preserve"> The condition must be symptomatic, AND </w:t>
      </w:r>
    </w:p>
    <w:p w14:paraId="569D8191" w14:textId="77777777" w:rsidR="00B32234" w:rsidRDefault="00B32234" w:rsidP="00B32234">
      <w:pPr>
        <w:spacing w:after="0"/>
      </w:pPr>
      <w:r>
        <w:sym w:font="Symbol" w:char="F0B7"/>
      </w:r>
      <w:r>
        <w:t xml:space="preserve"> The treatment must be for induction treatment purposes only, AND </w:t>
      </w:r>
    </w:p>
    <w:p w14:paraId="73808BD0" w14:textId="77777777" w:rsidR="00B32234" w:rsidRPr="005A6EB9" w:rsidRDefault="00B32234" w:rsidP="00B32234">
      <w:pPr>
        <w:spacing w:after="0"/>
      </w:pPr>
      <w:r>
        <w:sym w:font="Symbol" w:char="F0B7"/>
      </w:r>
      <w:r>
        <w:t xml:space="preserve"> Patient must not receive more than 6 cycles (12 doses) of treatment under this restriction</w:t>
      </w:r>
    </w:p>
    <w:p w14:paraId="2580993C" w14:textId="77777777" w:rsidR="00B32234" w:rsidRDefault="00B32234" w:rsidP="00B32234">
      <w:pPr>
        <w:spacing w:after="0"/>
      </w:pPr>
    </w:p>
    <w:p w14:paraId="51835136" w14:textId="77D79ECD" w:rsidR="00B32234" w:rsidRDefault="00B32234" w:rsidP="00B32234">
      <w:pPr>
        <w:spacing w:after="0"/>
      </w:pPr>
      <w:r>
        <w:t xml:space="preserve">Previously untreated stage III or IV CD20 positive </w:t>
      </w:r>
      <w:r w:rsidRPr="002768C8">
        <w:t>mantle cell lymphoma</w:t>
      </w:r>
      <w:r>
        <w:t xml:space="preserve"> </w:t>
      </w:r>
      <w:r w:rsidR="00A917A6">
        <w:t>(MCL)</w:t>
      </w:r>
    </w:p>
    <w:p w14:paraId="35CF6A39" w14:textId="77777777" w:rsidR="00E5003D" w:rsidRDefault="00E5003D" w:rsidP="00B32234">
      <w:pPr>
        <w:spacing w:after="0"/>
      </w:pPr>
      <w:r>
        <w:t>The same clinical criteria as above plus;</w:t>
      </w:r>
    </w:p>
    <w:p w14:paraId="712ACBDE" w14:textId="77777777" w:rsidR="00B32234" w:rsidRDefault="00B32234" w:rsidP="00B32234">
      <w:pPr>
        <w:spacing w:after="0"/>
      </w:pPr>
      <w:r>
        <w:sym w:font="Symbol" w:char="F0B7"/>
      </w:r>
      <w:r>
        <w:t xml:space="preserve"> Patient must not be eligible for stem cell transplantation. </w:t>
      </w:r>
    </w:p>
    <w:p w14:paraId="11DC0893" w14:textId="77777777" w:rsidR="00431FB2" w:rsidRDefault="00431FB2" w:rsidP="00431FB2">
      <w:pPr>
        <w:pStyle w:val="Heading3"/>
      </w:pPr>
      <w:r>
        <w:lastRenderedPageBreak/>
        <w:t>Data Source</w:t>
      </w:r>
    </w:p>
    <w:p w14:paraId="4141ABDF" w14:textId="77777777" w:rsidR="00431FB2" w:rsidRPr="003565E4" w:rsidRDefault="00431FB2" w:rsidP="00431FB2">
      <w:pPr>
        <w:pStyle w:val="NoSpacing"/>
        <w:spacing w:after="200"/>
        <w:rPr>
          <w:rFonts w:cstheme="minorHAnsi"/>
        </w:rPr>
      </w:pPr>
      <w:r w:rsidRPr="00EE3C8B">
        <w:rPr>
          <w:rFonts w:cstheme="minorHAnsi"/>
        </w:rPr>
        <w:t xml:space="preserve">The analyses use data from the Department of Human Services (DHS) prescriptions database </w:t>
      </w:r>
      <w:r w:rsidR="004B34DD" w:rsidRPr="00EE3C8B">
        <w:rPr>
          <w:rFonts w:cstheme="minorHAnsi"/>
        </w:rPr>
        <w:t xml:space="preserve">from </w:t>
      </w:r>
      <w:r w:rsidR="004B34DD">
        <w:rPr>
          <w:rFonts w:cstheme="minorHAnsi"/>
        </w:rPr>
        <w:t>January 2002 to the end of September </w:t>
      </w:r>
      <w:r w:rsidR="004B34DD" w:rsidRPr="00EE3C8B">
        <w:rPr>
          <w:rFonts w:cstheme="minorHAnsi"/>
        </w:rPr>
        <w:t>2018</w:t>
      </w:r>
      <w:r w:rsidR="004B34DD">
        <w:rPr>
          <w:rFonts w:cstheme="minorHAnsi"/>
        </w:rPr>
        <w:t xml:space="preserve"> a</w:t>
      </w:r>
      <w:r w:rsidRPr="00EE3C8B">
        <w:rPr>
          <w:rFonts w:cstheme="minorHAnsi"/>
        </w:rPr>
        <w:t xml:space="preserve">nd the DHS Authority approvals database from </w:t>
      </w:r>
      <w:r w:rsidR="004B34DD">
        <w:rPr>
          <w:rFonts w:cstheme="minorHAnsi"/>
        </w:rPr>
        <w:t xml:space="preserve">May 2016 (date of listing of </w:t>
      </w:r>
      <w:proofErr w:type="spellStart"/>
      <w:r w:rsidR="004B34DD">
        <w:rPr>
          <w:rFonts w:cstheme="minorHAnsi"/>
        </w:rPr>
        <w:t>bendamustine</w:t>
      </w:r>
      <w:proofErr w:type="spellEnd"/>
      <w:r w:rsidR="004B34DD">
        <w:rPr>
          <w:rFonts w:cstheme="minorHAnsi"/>
        </w:rPr>
        <w:t xml:space="preserve">) </w:t>
      </w:r>
      <w:r w:rsidR="00530131">
        <w:rPr>
          <w:rFonts w:cstheme="minorHAnsi"/>
        </w:rPr>
        <w:t xml:space="preserve">to the end of </w:t>
      </w:r>
      <w:r w:rsidR="00FB790A">
        <w:rPr>
          <w:rFonts w:cstheme="minorHAnsi"/>
        </w:rPr>
        <w:t>September</w:t>
      </w:r>
      <w:r w:rsidR="00530131">
        <w:rPr>
          <w:rFonts w:cstheme="minorHAnsi"/>
        </w:rPr>
        <w:t> </w:t>
      </w:r>
      <w:r w:rsidRPr="00EE3C8B">
        <w:rPr>
          <w:rFonts w:cstheme="minorHAnsi"/>
        </w:rPr>
        <w:t>2018.</w:t>
      </w:r>
    </w:p>
    <w:p w14:paraId="0F6B53E5" w14:textId="77777777" w:rsidR="00D8046E" w:rsidRDefault="00D8046E">
      <w:pPr>
        <w:spacing w:line="276" w:lineRule="auto"/>
        <w:rPr>
          <w:b/>
          <w:i/>
          <w:szCs w:val="28"/>
        </w:rPr>
      </w:pPr>
      <w:r>
        <w:br w:type="page"/>
      </w:r>
    </w:p>
    <w:p w14:paraId="237E2F6A" w14:textId="77777777" w:rsidR="00431FB2" w:rsidRDefault="00431FB2" w:rsidP="00431FB2">
      <w:pPr>
        <w:pStyle w:val="Heading3"/>
      </w:pPr>
      <w:r>
        <w:lastRenderedPageBreak/>
        <w:t>Key Findings</w:t>
      </w:r>
    </w:p>
    <w:p w14:paraId="3AEDCA54" w14:textId="0A54369D" w:rsidR="00434E74" w:rsidRDefault="00A54F04" w:rsidP="00CA25EC">
      <w:pPr>
        <w:pStyle w:val="ListParagraph"/>
        <w:keepNext/>
        <w:keepLines/>
        <w:numPr>
          <w:ilvl w:val="0"/>
          <w:numId w:val="9"/>
        </w:numPr>
        <w:ind w:left="426" w:hanging="426"/>
        <w:outlineLvl w:val="0"/>
        <w:rPr>
          <w:rFonts w:ascii="Calibri" w:eastAsia="MS Gothic" w:hAnsi="Calibri" w:cs="Times New Roman"/>
          <w:bCs/>
        </w:rPr>
      </w:pPr>
      <w:r>
        <w:rPr>
          <w:rFonts w:ascii="Calibri" w:eastAsia="MS Gothic" w:hAnsi="Calibri" w:cs="Times New Roman"/>
          <w:bCs/>
        </w:rPr>
        <w:t xml:space="preserve">The number of patients commencing treatment with </w:t>
      </w:r>
      <w:proofErr w:type="spellStart"/>
      <w:r>
        <w:rPr>
          <w:rFonts w:ascii="Calibri" w:eastAsia="MS Gothic" w:hAnsi="Calibri" w:cs="Times New Roman"/>
          <w:bCs/>
        </w:rPr>
        <w:t>bendamustine</w:t>
      </w:r>
      <w:proofErr w:type="spellEnd"/>
      <w:r>
        <w:rPr>
          <w:rFonts w:ascii="Calibri" w:eastAsia="MS Gothic" w:hAnsi="Calibri" w:cs="Times New Roman"/>
          <w:bCs/>
        </w:rPr>
        <w:t xml:space="preserve"> </w:t>
      </w:r>
      <w:r w:rsidR="002B489F">
        <w:rPr>
          <w:rFonts w:ascii="Calibri" w:eastAsia="MS Gothic" w:hAnsi="Calibri" w:cs="Times New Roman"/>
          <w:bCs/>
        </w:rPr>
        <w:t>w</w:t>
      </w:r>
      <w:r w:rsidR="00A57A67">
        <w:rPr>
          <w:rFonts w:ascii="Calibri" w:eastAsia="MS Gothic" w:hAnsi="Calibri" w:cs="Times New Roman"/>
          <w:bCs/>
        </w:rPr>
        <w:t>as</w:t>
      </w:r>
      <w:r w:rsidR="002B489F">
        <w:rPr>
          <w:rFonts w:ascii="Calibri" w:eastAsia="MS Gothic" w:hAnsi="Calibri" w:cs="Times New Roman"/>
          <w:bCs/>
        </w:rPr>
        <w:t xml:space="preserve"> </w:t>
      </w:r>
      <w:r w:rsidR="002E5DE1">
        <w:rPr>
          <w:rFonts w:ascii="Calibri" w:eastAsia="MS Gothic" w:hAnsi="Calibri" w:cs="Times New Roman"/>
          <w:bCs/>
        </w:rPr>
        <w:t>similar to predicted</w:t>
      </w:r>
      <w:r w:rsidR="002B489F">
        <w:rPr>
          <w:rFonts w:ascii="Calibri" w:eastAsia="MS Gothic" w:hAnsi="Calibri" w:cs="Times New Roman"/>
          <w:bCs/>
        </w:rPr>
        <w:t xml:space="preserve"> in Year</w:t>
      </w:r>
      <w:r w:rsidR="004B34DD">
        <w:rPr>
          <w:rFonts w:ascii="Calibri" w:eastAsia="MS Gothic" w:hAnsi="Calibri" w:cs="Times New Roman"/>
          <w:bCs/>
        </w:rPr>
        <w:t xml:space="preserve"> </w:t>
      </w:r>
      <w:r w:rsidR="002B489F">
        <w:rPr>
          <w:rFonts w:ascii="Calibri" w:eastAsia="MS Gothic" w:hAnsi="Calibri" w:cs="Times New Roman"/>
          <w:bCs/>
        </w:rPr>
        <w:t xml:space="preserve">1 and </w:t>
      </w:r>
      <w:proofErr w:type="gramStart"/>
      <w:r w:rsidR="00A5434D" w:rsidRPr="00A5434D">
        <w:rPr>
          <w:rFonts w:ascii="Calibri" w:eastAsia="MS Gothic" w:hAnsi="Calibri" w:cs="Times New Roman"/>
          <w:bCs/>
          <w:highlight w:val="black"/>
        </w:rPr>
        <w:t>xx</w:t>
      </w:r>
      <w:r w:rsidR="002B489F">
        <w:rPr>
          <w:rFonts w:ascii="Calibri" w:eastAsia="MS Gothic" w:hAnsi="Calibri" w:cs="Times New Roman"/>
          <w:bCs/>
        </w:rPr>
        <w:t>%</w:t>
      </w:r>
      <w:proofErr w:type="gramEnd"/>
      <w:r w:rsidR="002B489F">
        <w:rPr>
          <w:rFonts w:ascii="Calibri" w:eastAsia="MS Gothic" w:hAnsi="Calibri" w:cs="Times New Roman"/>
          <w:bCs/>
        </w:rPr>
        <w:t xml:space="preserve"> more than predicted in Year</w:t>
      </w:r>
      <w:r w:rsidR="004B34DD">
        <w:rPr>
          <w:rFonts w:ascii="Calibri" w:eastAsia="MS Gothic" w:hAnsi="Calibri" w:cs="Times New Roman"/>
          <w:bCs/>
        </w:rPr>
        <w:t xml:space="preserve"> </w:t>
      </w:r>
      <w:r w:rsidR="002B489F">
        <w:rPr>
          <w:rFonts w:ascii="Calibri" w:eastAsia="MS Gothic" w:hAnsi="Calibri" w:cs="Times New Roman"/>
          <w:bCs/>
        </w:rPr>
        <w:t>2.</w:t>
      </w:r>
    </w:p>
    <w:p w14:paraId="423A399B" w14:textId="241F355F" w:rsidR="00535506" w:rsidRDefault="009B3163" w:rsidP="00535506">
      <w:pPr>
        <w:pStyle w:val="ListParagraph"/>
        <w:keepNext/>
        <w:keepLines/>
        <w:numPr>
          <w:ilvl w:val="0"/>
          <w:numId w:val="9"/>
        </w:numPr>
        <w:ind w:left="426" w:hanging="426"/>
        <w:outlineLvl w:val="0"/>
        <w:rPr>
          <w:rFonts w:ascii="Calibri" w:eastAsia="MS Gothic" w:hAnsi="Calibri" w:cs="Times New Roman"/>
          <w:bCs/>
        </w:rPr>
      </w:pPr>
      <w:r w:rsidRPr="00535506">
        <w:rPr>
          <w:rFonts w:ascii="Calibri" w:eastAsia="MS Gothic" w:hAnsi="Calibri" w:cs="Times New Roman"/>
          <w:bCs/>
        </w:rPr>
        <w:t xml:space="preserve">The number of prescriptions supplied was </w:t>
      </w:r>
      <w:proofErr w:type="gramStart"/>
      <w:r w:rsidR="00A5434D" w:rsidRPr="00A5434D">
        <w:rPr>
          <w:rFonts w:ascii="Calibri" w:eastAsia="MS Gothic" w:hAnsi="Calibri" w:cs="Times New Roman"/>
          <w:bCs/>
          <w:highlight w:val="black"/>
        </w:rPr>
        <w:t>xx</w:t>
      </w:r>
      <w:r w:rsidRPr="00535506">
        <w:rPr>
          <w:rFonts w:ascii="Calibri" w:eastAsia="MS Gothic" w:hAnsi="Calibri" w:cs="Times New Roman"/>
          <w:bCs/>
        </w:rPr>
        <w:t>%</w:t>
      </w:r>
      <w:proofErr w:type="gramEnd"/>
      <w:r w:rsidRPr="00535506">
        <w:rPr>
          <w:rFonts w:ascii="Calibri" w:eastAsia="MS Gothic" w:hAnsi="Calibri" w:cs="Times New Roman"/>
          <w:bCs/>
        </w:rPr>
        <w:t xml:space="preserve"> less than expected in Year 1 and </w:t>
      </w:r>
      <w:r w:rsidR="002E5DE1" w:rsidRPr="00535506">
        <w:rPr>
          <w:rFonts w:ascii="Calibri" w:eastAsia="MS Gothic" w:hAnsi="Calibri" w:cs="Times New Roman"/>
          <w:bCs/>
        </w:rPr>
        <w:t>similar to p</w:t>
      </w:r>
      <w:r w:rsidRPr="00535506">
        <w:rPr>
          <w:rFonts w:ascii="Calibri" w:eastAsia="MS Gothic" w:hAnsi="Calibri" w:cs="Times New Roman"/>
          <w:bCs/>
        </w:rPr>
        <w:t>redicted in Year 2</w:t>
      </w:r>
      <w:r w:rsidR="00A54F04" w:rsidRPr="00535506">
        <w:rPr>
          <w:rFonts w:ascii="Calibri" w:eastAsia="MS Gothic" w:hAnsi="Calibri" w:cs="Times New Roman"/>
          <w:bCs/>
        </w:rPr>
        <w:t xml:space="preserve">. The lower than expected number of prescriptions </w:t>
      </w:r>
      <w:r w:rsidR="00A917A6">
        <w:rPr>
          <w:rFonts w:ascii="Calibri" w:eastAsia="MS Gothic" w:hAnsi="Calibri" w:cs="Times New Roman"/>
          <w:bCs/>
        </w:rPr>
        <w:t xml:space="preserve">per </w:t>
      </w:r>
      <w:r w:rsidR="004214E3">
        <w:rPr>
          <w:rFonts w:ascii="Calibri" w:eastAsia="MS Gothic" w:hAnsi="Calibri" w:cs="Times New Roman"/>
          <w:bCs/>
        </w:rPr>
        <w:t xml:space="preserve">patient per </w:t>
      </w:r>
      <w:r w:rsidR="00A917A6">
        <w:rPr>
          <w:rFonts w:ascii="Calibri" w:eastAsia="MS Gothic" w:hAnsi="Calibri" w:cs="Times New Roman"/>
          <w:bCs/>
        </w:rPr>
        <w:t>year</w:t>
      </w:r>
      <w:r w:rsidR="00A54F04" w:rsidRPr="00535506">
        <w:rPr>
          <w:rFonts w:ascii="Calibri" w:eastAsia="MS Gothic" w:hAnsi="Calibri" w:cs="Times New Roman"/>
          <w:bCs/>
        </w:rPr>
        <w:t xml:space="preserve"> can</w:t>
      </w:r>
      <w:r w:rsidR="00535506" w:rsidRPr="00535506">
        <w:rPr>
          <w:rFonts w:ascii="Calibri" w:eastAsia="MS Gothic" w:hAnsi="Calibri" w:cs="Times New Roman"/>
          <w:bCs/>
        </w:rPr>
        <w:t xml:space="preserve">, in part, </w:t>
      </w:r>
      <w:r w:rsidR="00A54F04" w:rsidRPr="00535506">
        <w:rPr>
          <w:rFonts w:ascii="Calibri" w:eastAsia="MS Gothic" w:hAnsi="Calibri" w:cs="Times New Roman"/>
          <w:bCs/>
        </w:rPr>
        <w:t xml:space="preserve">be explained by patients initiating toward the end of </w:t>
      </w:r>
      <w:r w:rsidR="00A917A6">
        <w:rPr>
          <w:rFonts w:ascii="Calibri" w:eastAsia="MS Gothic" w:hAnsi="Calibri" w:cs="Times New Roman"/>
          <w:bCs/>
        </w:rPr>
        <w:t xml:space="preserve">one listing year and </w:t>
      </w:r>
      <w:r w:rsidR="00952BC2" w:rsidRPr="00535506">
        <w:rPr>
          <w:rFonts w:ascii="Calibri" w:eastAsia="MS Gothic" w:hAnsi="Calibri" w:cs="Times New Roman"/>
          <w:bCs/>
        </w:rPr>
        <w:t>completing</w:t>
      </w:r>
      <w:r w:rsidR="00A54F04" w:rsidRPr="00535506">
        <w:rPr>
          <w:rFonts w:ascii="Calibri" w:eastAsia="MS Gothic" w:hAnsi="Calibri" w:cs="Times New Roman"/>
          <w:bCs/>
        </w:rPr>
        <w:t xml:space="preserve"> their induction regimen </w:t>
      </w:r>
      <w:r w:rsidR="00952BC2" w:rsidRPr="00535506">
        <w:rPr>
          <w:rFonts w:ascii="Calibri" w:eastAsia="MS Gothic" w:hAnsi="Calibri" w:cs="Times New Roman"/>
          <w:bCs/>
        </w:rPr>
        <w:t>in</w:t>
      </w:r>
      <w:r w:rsidR="00A54F04" w:rsidRPr="00535506">
        <w:rPr>
          <w:rFonts w:ascii="Calibri" w:eastAsia="MS Gothic" w:hAnsi="Calibri" w:cs="Times New Roman"/>
          <w:bCs/>
        </w:rPr>
        <w:t xml:space="preserve"> the following year.  </w:t>
      </w:r>
    </w:p>
    <w:p w14:paraId="18188F11" w14:textId="4F4FDE89" w:rsidR="00535506" w:rsidRDefault="009B3163" w:rsidP="00535506">
      <w:pPr>
        <w:pStyle w:val="ListParagraph"/>
        <w:keepNext/>
        <w:keepLines/>
        <w:numPr>
          <w:ilvl w:val="0"/>
          <w:numId w:val="9"/>
        </w:numPr>
        <w:ind w:left="426" w:hanging="426"/>
        <w:outlineLvl w:val="0"/>
        <w:rPr>
          <w:rFonts w:ascii="Calibri" w:eastAsia="MS Gothic" w:hAnsi="Calibri" w:cs="Times New Roman"/>
          <w:bCs/>
        </w:rPr>
      </w:pPr>
      <w:r w:rsidRPr="00535506">
        <w:rPr>
          <w:rFonts w:ascii="Calibri" w:eastAsia="MS Gothic" w:hAnsi="Calibri" w:cs="Times New Roman"/>
          <w:bCs/>
        </w:rPr>
        <w:t>There was so</w:t>
      </w:r>
      <w:r w:rsidR="00E12B0D" w:rsidRPr="00535506">
        <w:rPr>
          <w:rFonts w:ascii="Calibri" w:eastAsia="MS Gothic" w:hAnsi="Calibri" w:cs="Times New Roman"/>
          <w:bCs/>
        </w:rPr>
        <w:t xml:space="preserve">me use </w:t>
      </w:r>
      <w:r w:rsidR="002E5DE1" w:rsidRPr="00535506">
        <w:rPr>
          <w:rFonts w:ascii="Calibri" w:eastAsia="MS Gothic" w:hAnsi="Calibri" w:cs="Times New Roman"/>
          <w:bCs/>
        </w:rPr>
        <w:t xml:space="preserve">of </w:t>
      </w:r>
      <w:proofErr w:type="spellStart"/>
      <w:r w:rsidR="002E5DE1" w:rsidRPr="00535506">
        <w:rPr>
          <w:rFonts w:ascii="Calibri" w:eastAsia="MS Gothic" w:hAnsi="Calibri" w:cs="Times New Roman"/>
          <w:bCs/>
        </w:rPr>
        <w:t>bendamustine</w:t>
      </w:r>
      <w:proofErr w:type="spellEnd"/>
      <w:r w:rsidR="002E5DE1" w:rsidRPr="00535506">
        <w:rPr>
          <w:rFonts w:ascii="Calibri" w:eastAsia="MS Gothic" w:hAnsi="Calibri" w:cs="Times New Roman"/>
          <w:bCs/>
        </w:rPr>
        <w:t xml:space="preserve"> </w:t>
      </w:r>
      <w:r w:rsidR="00E12B0D" w:rsidRPr="00535506">
        <w:rPr>
          <w:rFonts w:ascii="Calibri" w:eastAsia="MS Gothic" w:hAnsi="Calibri" w:cs="Times New Roman"/>
          <w:bCs/>
        </w:rPr>
        <w:t>outside the restriction:</w:t>
      </w:r>
    </w:p>
    <w:p w14:paraId="139A86CE" w14:textId="77777777" w:rsidR="00535506" w:rsidRDefault="00E22E85" w:rsidP="00535506">
      <w:pPr>
        <w:pStyle w:val="ListParagraph"/>
        <w:keepNext/>
        <w:keepLines/>
        <w:numPr>
          <w:ilvl w:val="0"/>
          <w:numId w:val="31"/>
        </w:numPr>
        <w:outlineLvl w:val="0"/>
        <w:rPr>
          <w:rFonts w:ascii="Calibri" w:eastAsia="MS Gothic" w:hAnsi="Calibri" w:cs="Times New Roman"/>
          <w:bCs/>
        </w:rPr>
      </w:pPr>
      <w:r w:rsidRPr="00535506">
        <w:rPr>
          <w:rFonts w:ascii="Calibri" w:eastAsia="MS Gothic" w:hAnsi="Calibri" w:cs="Times New Roman"/>
          <w:bCs/>
        </w:rPr>
        <w:t xml:space="preserve">10.5% of patients had more than 6 cycles (12 prescriptions) of </w:t>
      </w:r>
      <w:proofErr w:type="spellStart"/>
      <w:r w:rsidRPr="00535506">
        <w:rPr>
          <w:rFonts w:ascii="Calibri" w:eastAsia="MS Gothic" w:hAnsi="Calibri" w:cs="Times New Roman"/>
          <w:bCs/>
        </w:rPr>
        <w:t>bendamustine</w:t>
      </w:r>
      <w:proofErr w:type="spellEnd"/>
      <w:r w:rsidRPr="00535506">
        <w:rPr>
          <w:rFonts w:ascii="Calibri" w:eastAsia="MS Gothic" w:hAnsi="Calibri" w:cs="Times New Roman"/>
          <w:bCs/>
        </w:rPr>
        <w:t>.</w:t>
      </w:r>
    </w:p>
    <w:p w14:paraId="0C31FAB4" w14:textId="4C33FB97" w:rsidR="00535506" w:rsidRDefault="00A917A6" w:rsidP="00535506">
      <w:pPr>
        <w:pStyle w:val="ListParagraph"/>
        <w:keepNext/>
        <w:keepLines/>
        <w:numPr>
          <w:ilvl w:val="0"/>
          <w:numId w:val="31"/>
        </w:numPr>
        <w:outlineLvl w:val="0"/>
        <w:rPr>
          <w:rFonts w:ascii="Calibri" w:eastAsia="MS Gothic" w:hAnsi="Calibri" w:cs="Times New Roman"/>
          <w:bCs/>
        </w:rPr>
      </w:pPr>
      <w:r>
        <w:rPr>
          <w:rFonts w:ascii="Calibri" w:eastAsia="MS Gothic" w:hAnsi="Calibri" w:cs="Times New Roman"/>
          <w:bCs/>
        </w:rPr>
        <w:t xml:space="preserve">at least </w:t>
      </w:r>
      <w:r w:rsidR="00535506" w:rsidRPr="00535506">
        <w:rPr>
          <w:rFonts w:ascii="Calibri" w:eastAsia="MS Gothic" w:hAnsi="Calibri" w:cs="Times New Roman"/>
          <w:bCs/>
        </w:rPr>
        <w:t xml:space="preserve">5.4% of patients treated with </w:t>
      </w:r>
      <w:proofErr w:type="spellStart"/>
      <w:r w:rsidR="00535506" w:rsidRPr="00535506">
        <w:rPr>
          <w:rFonts w:ascii="Calibri" w:eastAsia="MS Gothic" w:hAnsi="Calibri" w:cs="Times New Roman"/>
          <w:bCs/>
        </w:rPr>
        <w:t>bendamustine</w:t>
      </w:r>
      <w:proofErr w:type="spellEnd"/>
      <w:r w:rsidR="00535506" w:rsidRPr="00535506">
        <w:rPr>
          <w:rFonts w:ascii="Calibri" w:eastAsia="MS Gothic" w:hAnsi="Calibri" w:cs="Times New Roman"/>
          <w:bCs/>
        </w:rPr>
        <w:t xml:space="preserve"> had prior chemotherapy regimens</w:t>
      </w:r>
      <w:r w:rsidR="00C92243">
        <w:rPr>
          <w:rFonts w:ascii="Calibri" w:eastAsia="MS Gothic" w:hAnsi="Calibri" w:cs="Times New Roman"/>
          <w:bCs/>
        </w:rPr>
        <w:t xml:space="preserve"> </w:t>
      </w:r>
      <w:r w:rsidR="00535506" w:rsidRPr="00535506">
        <w:rPr>
          <w:rFonts w:ascii="Calibri" w:eastAsia="MS Gothic" w:hAnsi="Calibri" w:cs="Times New Roman"/>
          <w:bCs/>
        </w:rPr>
        <w:t xml:space="preserve"> indicative of treatment for </w:t>
      </w:r>
      <w:proofErr w:type="spellStart"/>
      <w:r w:rsidR="00535506" w:rsidRPr="00535506">
        <w:rPr>
          <w:rFonts w:ascii="Calibri" w:eastAsia="MS Gothic" w:hAnsi="Calibri" w:cs="Times New Roman"/>
          <w:bCs/>
        </w:rPr>
        <w:t>iNHL</w:t>
      </w:r>
      <w:proofErr w:type="spellEnd"/>
      <w:r w:rsidR="00535506" w:rsidRPr="00535506">
        <w:rPr>
          <w:rFonts w:ascii="Calibri" w:eastAsia="MS Gothic" w:hAnsi="Calibri" w:cs="Times New Roman"/>
          <w:bCs/>
        </w:rPr>
        <w:t xml:space="preserve"> or MCL</w:t>
      </w:r>
      <w:r w:rsidR="00C92243">
        <w:rPr>
          <w:rFonts w:ascii="Calibri" w:eastAsia="MS Gothic" w:hAnsi="Calibri" w:cs="Times New Roman"/>
          <w:bCs/>
        </w:rPr>
        <w:t>;</w:t>
      </w:r>
    </w:p>
    <w:p w14:paraId="23A0BC23" w14:textId="0147A7D3" w:rsidR="00C92243" w:rsidRDefault="00904B8D" w:rsidP="00C92243">
      <w:pPr>
        <w:pStyle w:val="ListParagraph"/>
        <w:keepNext/>
        <w:keepLines/>
        <w:numPr>
          <w:ilvl w:val="0"/>
          <w:numId w:val="31"/>
        </w:numPr>
        <w:outlineLvl w:val="0"/>
        <w:rPr>
          <w:rFonts w:ascii="Calibri" w:eastAsia="MS Gothic" w:hAnsi="Calibri" w:cs="Times New Roman"/>
          <w:bCs/>
        </w:rPr>
      </w:pPr>
      <w:r>
        <w:rPr>
          <w:rFonts w:ascii="Calibri" w:eastAsia="MS Gothic" w:hAnsi="Calibri" w:cs="Times New Roman"/>
          <w:bCs/>
        </w:rPr>
        <w:t>4.5</w:t>
      </w:r>
      <w:r w:rsidR="001046FA">
        <w:rPr>
          <w:rFonts w:ascii="Calibri" w:eastAsia="MS Gothic" w:hAnsi="Calibri" w:cs="Times New Roman"/>
          <w:bCs/>
        </w:rPr>
        <w:t>%</w:t>
      </w:r>
      <w:r w:rsidR="002E5DE1" w:rsidRPr="00C92243">
        <w:rPr>
          <w:rFonts w:ascii="Calibri" w:eastAsia="MS Gothic" w:hAnsi="Calibri" w:cs="Times New Roman"/>
          <w:bCs/>
        </w:rPr>
        <w:t xml:space="preserve"> </w:t>
      </w:r>
      <w:r w:rsidR="001046FA">
        <w:rPr>
          <w:rFonts w:ascii="Calibri" w:eastAsia="MS Gothic" w:hAnsi="Calibri" w:cs="Times New Roman"/>
          <w:bCs/>
        </w:rPr>
        <w:t xml:space="preserve">of patients may be being treated for </w:t>
      </w:r>
      <w:r w:rsidR="00A917A6">
        <w:rPr>
          <w:rFonts w:ascii="Calibri" w:eastAsia="MS Gothic" w:hAnsi="Calibri" w:cs="Times New Roman"/>
          <w:bCs/>
        </w:rPr>
        <w:t>chronic lymphocytic leukaemia (</w:t>
      </w:r>
      <w:r w:rsidR="002E5DE1" w:rsidRPr="00C92243">
        <w:rPr>
          <w:rFonts w:ascii="Calibri" w:eastAsia="MS Gothic" w:hAnsi="Calibri" w:cs="Times New Roman"/>
          <w:bCs/>
        </w:rPr>
        <w:t>CLL</w:t>
      </w:r>
      <w:r w:rsidR="00A917A6">
        <w:rPr>
          <w:rFonts w:ascii="Calibri" w:eastAsia="MS Gothic" w:hAnsi="Calibri" w:cs="Times New Roman"/>
          <w:bCs/>
        </w:rPr>
        <w:t>)</w:t>
      </w:r>
      <w:r w:rsidR="00C92243" w:rsidRPr="00C92243">
        <w:rPr>
          <w:rFonts w:ascii="Calibri" w:eastAsia="MS Gothic" w:hAnsi="Calibri" w:cs="Times New Roman"/>
          <w:bCs/>
        </w:rPr>
        <w:t>.</w:t>
      </w:r>
    </w:p>
    <w:p w14:paraId="409A5814" w14:textId="61F1FCBC" w:rsidR="00E12B0D" w:rsidRPr="00C92243" w:rsidRDefault="00C92243" w:rsidP="00C92243">
      <w:pPr>
        <w:pStyle w:val="ListParagraph"/>
        <w:keepNext/>
        <w:keepLines/>
        <w:numPr>
          <w:ilvl w:val="0"/>
          <w:numId w:val="9"/>
        </w:numPr>
        <w:ind w:left="426" w:hanging="426"/>
        <w:outlineLvl w:val="0"/>
        <w:rPr>
          <w:rFonts w:ascii="Calibri" w:eastAsia="MS Gothic" w:hAnsi="Calibri" w:cs="Times New Roman"/>
          <w:bCs/>
        </w:rPr>
      </w:pPr>
      <w:r w:rsidRPr="00C92243">
        <w:rPr>
          <w:rFonts w:ascii="Calibri" w:eastAsia="MS Gothic" w:hAnsi="Calibri" w:cs="Times New Roman"/>
          <w:bCs/>
        </w:rPr>
        <w:t xml:space="preserve">23% of patients receiving </w:t>
      </w:r>
      <w:proofErr w:type="spellStart"/>
      <w:r w:rsidRPr="00C92243">
        <w:rPr>
          <w:rFonts w:ascii="Calibri" w:eastAsia="MS Gothic" w:hAnsi="Calibri" w:cs="Times New Roman"/>
          <w:bCs/>
        </w:rPr>
        <w:t>bendamustine</w:t>
      </w:r>
      <w:proofErr w:type="spellEnd"/>
      <w:r w:rsidRPr="00C92243">
        <w:rPr>
          <w:rFonts w:ascii="Calibri" w:eastAsia="MS Gothic" w:hAnsi="Calibri" w:cs="Times New Roman"/>
          <w:bCs/>
        </w:rPr>
        <w:t xml:space="preserve"> ha</w:t>
      </w:r>
      <w:r>
        <w:rPr>
          <w:rFonts w:ascii="Calibri" w:eastAsia="MS Gothic" w:hAnsi="Calibri" w:cs="Times New Roman"/>
          <w:bCs/>
        </w:rPr>
        <w:t>d</w:t>
      </w:r>
      <w:r w:rsidRPr="00C92243">
        <w:rPr>
          <w:rFonts w:ascii="Calibri" w:eastAsia="MS Gothic" w:hAnsi="Calibri" w:cs="Times New Roman"/>
          <w:bCs/>
        </w:rPr>
        <w:t xml:space="preserve"> more than </w:t>
      </w:r>
      <w:proofErr w:type="gramStart"/>
      <w:r w:rsidRPr="00C92243">
        <w:rPr>
          <w:rFonts w:ascii="Calibri" w:eastAsia="MS Gothic" w:hAnsi="Calibri" w:cs="Times New Roman"/>
          <w:bCs/>
        </w:rPr>
        <w:t>6</w:t>
      </w:r>
      <w:proofErr w:type="gramEnd"/>
      <w:r w:rsidRPr="00C92243">
        <w:rPr>
          <w:rFonts w:ascii="Calibri" w:eastAsia="MS Gothic" w:hAnsi="Calibri" w:cs="Times New Roman"/>
          <w:bCs/>
        </w:rPr>
        <w:t xml:space="preserve"> rituximab prescriptions</w:t>
      </w:r>
      <w:r>
        <w:rPr>
          <w:rFonts w:ascii="Calibri" w:eastAsia="MS Gothic" w:hAnsi="Calibri" w:cs="Times New Roman"/>
          <w:bCs/>
        </w:rPr>
        <w:t xml:space="preserve"> suggesting rituximab maintenance therapy after </w:t>
      </w:r>
      <w:proofErr w:type="spellStart"/>
      <w:r w:rsidR="00A917A6">
        <w:rPr>
          <w:rFonts w:ascii="Calibri" w:eastAsia="MS Gothic" w:hAnsi="Calibri" w:cs="Times New Roman"/>
          <w:bCs/>
        </w:rPr>
        <w:t>bendamustine</w:t>
      </w:r>
      <w:proofErr w:type="spellEnd"/>
      <w:r w:rsidR="00A917A6">
        <w:rPr>
          <w:rFonts w:ascii="Calibri" w:eastAsia="MS Gothic" w:hAnsi="Calibri" w:cs="Times New Roman"/>
          <w:bCs/>
        </w:rPr>
        <w:t xml:space="preserve"> + rituximab (</w:t>
      </w:r>
      <w:r>
        <w:rPr>
          <w:rFonts w:ascii="Calibri" w:eastAsia="MS Gothic" w:hAnsi="Calibri" w:cs="Times New Roman"/>
          <w:bCs/>
        </w:rPr>
        <w:t>B-R</w:t>
      </w:r>
      <w:r w:rsidR="00A917A6">
        <w:rPr>
          <w:rFonts w:ascii="Calibri" w:eastAsia="MS Gothic" w:hAnsi="Calibri" w:cs="Times New Roman"/>
          <w:bCs/>
        </w:rPr>
        <w:t>)</w:t>
      </w:r>
      <w:r>
        <w:rPr>
          <w:rFonts w:ascii="Calibri" w:eastAsia="MS Gothic" w:hAnsi="Calibri" w:cs="Times New Roman"/>
          <w:bCs/>
        </w:rPr>
        <w:t xml:space="preserve"> induction.</w:t>
      </w:r>
      <w:r w:rsidRPr="00C92243">
        <w:rPr>
          <w:rFonts w:ascii="Calibri" w:eastAsia="MS Gothic" w:hAnsi="Calibri" w:cs="Times New Roman"/>
          <w:bCs/>
        </w:rPr>
        <w:t xml:space="preserve"> </w:t>
      </w:r>
      <w:r w:rsidRPr="00C92243">
        <w:rPr>
          <w:rFonts w:ascii="Calibri" w:eastAsia="MS Gothic" w:hAnsi="Calibri" w:cs="Times New Roman"/>
          <w:bCs/>
        </w:rPr>
        <w:br/>
      </w:r>
      <w:r w:rsidR="00E12B0D" w:rsidRPr="00C92243">
        <w:rPr>
          <w:rFonts w:ascii="Calibri" w:eastAsia="MS Gothic" w:hAnsi="Calibri" w:cs="Times New Roman"/>
          <w:bCs/>
        </w:rPr>
        <w:br/>
      </w:r>
    </w:p>
    <w:p w14:paraId="7C31D2C0" w14:textId="77777777" w:rsidR="00431FB2" w:rsidRPr="004265F1" w:rsidRDefault="00431FB2" w:rsidP="00431FB2"/>
    <w:p w14:paraId="1E6F07A3" w14:textId="77777777" w:rsidR="00431FB2" w:rsidRPr="004265F1" w:rsidRDefault="00431FB2" w:rsidP="00CA25EC">
      <w:pPr>
        <w:pStyle w:val="ListParagraph"/>
        <w:numPr>
          <w:ilvl w:val="0"/>
          <w:numId w:val="1"/>
        </w:numPr>
        <w:spacing w:line="276" w:lineRule="auto"/>
        <w:rPr>
          <w:rFonts w:eastAsiaTheme="majorEastAsia" w:cstheme="majorBidi"/>
          <w:b/>
          <w:bCs/>
          <w:sz w:val="32"/>
          <w:szCs w:val="26"/>
        </w:rPr>
      </w:pPr>
      <w:r>
        <w:br w:type="page"/>
      </w:r>
    </w:p>
    <w:p w14:paraId="2484C3AB" w14:textId="77777777" w:rsidR="00431FB2" w:rsidRDefault="00431FB2" w:rsidP="00431FB2">
      <w:pPr>
        <w:pStyle w:val="Heading1"/>
      </w:pPr>
      <w:r w:rsidRPr="00CF5E22">
        <w:lastRenderedPageBreak/>
        <w:t>Purpose of analysis</w:t>
      </w:r>
    </w:p>
    <w:p w14:paraId="14534D97" w14:textId="77777777" w:rsidR="00431FB2" w:rsidRPr="004265F1" w:rsidRDefault="00FB790A" w:rsidP="00431FB2">
      <w:r>
        <w:t xml:space="preserve">To compare the predicted and actual utilisation of </w:t>
      </w:r>
      <w:proofErr w:type="spellStart"/>
      <w:r>
        <w:t>b</w:t>
      </w:r>
      <w:r w:rsidRPr="00D81B0F">
        <w:t>endamustine</w:t>
      </w:r>
      <w:proofErr w:type="spellEnd"/>
      <w:r w:rsidRPr="00D81B0F">
        <w:t xml:space="preserve"> for the treatment of lymphoma </w:t>
      </w:r>
      <w:r w:rsidRPr="00DC2EF1">
        <w:t>i</w:t>
      </w:r>
      <w:r>
        <w:t>n the first 24 months of Pharmaceutical Benefits Scheme (PBS) listing.</w:t>
      </w:r>
      <w:r w:rsidR="00431FB2">
        <w:t xml:space="preserve"> </w:t>
      </w:r>
    </w:p>
    <w:p w14:paraId="5AD464DB" w14:textId="77777777" w:rsidR="00431FB2" w:rsidRDefault="00431FB2" w:rsidP="00431FB2">
      <w:pPr>
        <w:pStyle w:val="Heading1"/>
      </w:pPr>
      <w:r w:rsidRPr="005E22C2">
        <w:t>Background</w:t>
      </w:r>
    </w:p>
    <w:p w14:paraId="243C5045" w14:textId="44D153DF" w:rsidR="00952BC2" w:rsidRDefault="00952BC2" w:rsidP="00952BC2">
      <w:pPr>
        <w:rPr>
          <w:rFonts w:cstheme="minorHAnsi"/>
          <w:szCs w:val="20"/>
        </w:rPr>
      </w:pPr>
      <w:r w:rsidRPr="00C513C0">
        <w:rPr>
          <w:rFonts w:cstheme="minorHAnsi"/>
          <w:szCs w:val="20"/>
        </w:rPr>
        <w:t xml:space="preserve">Bendamustine was PBS listed </w:t>
      </w:r>
      <w:r>
        <w:rPr>
          <w:rFonts w:cstheme="minorHAnsi"/>
          <w:szCs w:val="20"/>
        </w:rPr>
        <w:t xml:space="preserve">on 1 May 2016 </w:t>
      </w:r>
      <w:r w:rsidRPr="00C513C0">
        <w:rPr>
          <w:rFonts w:cstheme="minorHAnsi"/>
          <w:szCs w:val="20"/>
        </w:rPr>
        <w:t>for</w:t>
      </w:r>
      <w:r>
        <w:rPr>
          <w:rFonts w:cstheme="minorHAnsi"/>
          <w:szCs w:val="20"/>
        </w:rPr>
        <w:t xml:space="preserve"> p</w:t>
      </w:r>
      <w:r w:rsidRPr="00C513C0">
        <w:rPr>
          <w:rFonts w:cstheme="minorHAnsi"/>
          <w:szCs w:val="20"/>
        </w:rPr>
        <w:t>reviously untreated stage III or IV indolent CD20 positive non-Hodgkin's lymphoma</w:t>
      </w:r>
      <w:r>
        <w:rPr>
          <w:rFonts w:cstheme="minorHAnsi"/>
          <w:szCs w:val="20"/>
        </w:rPr>
        <w:t xml:space="preserve"> (</w:t>
      </w:r>
      <w:proofErr w:type="spellStart"/>
      <w:r>
        <w:rPr>
          <w:rFonts w:cstheme="minorHAnsi"/>
          <w:szCs w:val="20"/>
        </w:rPr>
        <w:t>iNHL</w:t>
      </w:r>
      <w:proofErr w:type="spellEnd"/>
      <w:r>
        <w:rPr>
          <w:rFonts w:cstheme="minorHAnsi"/>
          <w:szCs w:val="20"/>
        </w:rPr>
        <w:t xml:space="preserve">) and </w:t>
      </w:r>
      <w:r w:rsidRPr="00C513C0">
        <w:rPr>
          <w:rFonts w:cstheme="minorHAnsi"/>
          <w:szCs w:val="20"/>
        </w:rPr>
        <w:t>mantle cell lymphoma</w:t>
      </w:r>
      <w:r>
        <w:rPr>
          <w:rFonts w:cstheme="minorHAnsi"/>
          <w:szCs w:val="20"/>
        </w:rPr>
        <w:t xml:space="preserve"> (MCL). </w:t>
      </w:r>
    </w:p>
    <w:p w14:paraId="212E1EF2" w14:textId="77777777" w:rsidR="00124E0E" w:rsidRPr="00124E0E" w:rsidRDefault="00124E0E" w:rsidP="005868AF">
      <w:pPr>
        <w:rPr>
          <w:rFonts w:cstheme="minorHAnsi"/>
        </w:rPr>
      </w:pPr>
      <w:r w:rsidRPr="00124E0E">
        <w:rPr>
          <w:rFonts w:cstheme="minorHAnsi"/>
          <w:szCs w:val="20"/>
        </w:rPr>
        <w:t>Non-Hodgkin’s lymphoma (NHL) is a general term for cancers that develop in the lymphatic tissue. Lymphomas arise when developing B- and T-cell lymphocytes undergo a malignant change and multiply in an uncontrolled way, escaping normal immune recognition.</w:t>
      </w:r>
      <w:r w:rsidRPr="00124E0E">
        <w:rPr>
          <w:rFonts w:cstheme="minorHAnsi"/>
        </w:rPr>
        <w:t xml:space="preserve"> </w:t>
      </w:r>
    </w:p>
    <w:p w14:paraId="3D6685EE" w14:textId="573B3E19" w:rsidR="00661DFA" w:rsidRDefault="00661DFA" w:rsidP="00661DFA">
      <w:pPr>
        <w:rPr>
          <w:rFonts w:cstheme="minorHAnsi"/>
        </w:rPr>
      </w:pPr>
      <w:r w:rsidRPr="00124E0E">
        <w:rPr>
          <w:rFonts w:cstheme="minorHAnsi"/>
        </w:rPr>
        <w:t xml:space="preserve">Lymphomas are staged according to the Ann </w:t>
      </w:r>
      <w:proofErr w:type="spellStart"/>
      <w:r w:rsidRPr="00124E0E">
        <w:rPr>
          <w:rFonts w:cstheme="minorHAnsi"/>
        </w:rPr>
        <w:t>Arbor</w:t>
      </w:r>
      <w:proofErr w:type="spellEnd"/>
      <w:r w:rsidRPr="00124E0E">
        <w:rPr>
          <w:rFonts w:cstheme="minorHAnsi"/>
        </w:rPr>
        <w:t xml:space="preserve"> staging system. </w:t>
      </w:r>
      <w:r>
        <w:rPr>
          <w:rFonts w:cstheme="minorHAnsi"/>
        </w:rPr>
        <w:t>S</w:t>
      </w:r>
      <w:r w:rsidRPr="00124E0E">
        <w:rPr>
          <w:rFonts w:cstheme="minorHAnsi"/>
        </w:rPr>
        <w:t xml:space="preserve">tage III and IV lymphomas </w:t>
      </w:r>
      <w:r w:rsidR="001546C5">
        <w:rPr>
          <w:rFonts w:cstheme="minorHAnsi"/>
        </w:rPr>
        <w:t>are defined as having</w:t>
      </w:r>
      <w:r w:rsidR="001546C5" w:rsidRPr="00124E0E">
        <w:rPr>
          <w:rFonts w:cstheme="minorHAnsi"/>
        </w:rPr>
        <w:t xml:space="preserve"> </w:t>
      </w:r>
      <w:r w:rsidRPr="00124E0E">
        <w:rPr>
          <w:rFonts w:cstheme="minorHAnsi"/>
        </w:rPr>
        <w:t xml:space="preserve">spread throughout the lymphoid system and involve </w:t>
      </w:r>
      <w:r>
        <w:rPr>
          <w:rFonts w:cstheme="minorHAnsi"/>
        </w:rPr>
        <w:t>disease</w:t>
      </w:r>
      <w:r w:rsidRPr="00124E0E">
        <w:rPr>
          <w:rFonts w:cstheme="minorHAnsi"/>
        </w:rPr>
        <w:t xml:space="preserve"> on </w:t>
      </w:r>
      <w:proofErr w:type="gramStart"/>
      <w:r w:rsidRPr="00124E0E">
        <w:rPr>
          <w:rFonts w:cstheme="minorHAnsi"/>
        </w:rPr>
        <w:t>both sides of the diaphragm (stage III) or</w:t>
      </w:r>
      <w:proofErr w:type="gramEnd"/>
      <w:r w:rsidRPr="00124E0E">
        <w:rPr>
          <w:rFonts w:cstheme="minorHAnsi"/>
        </w:rPr>
        <w:t xml:space="preserve"> </w:t>
      </w:r>
      <w:proofErr w:type="spellStart"/>
      <w:r>
        <w:rPr>
          <w:rFonts w:cstheme="minorHAnsi"/>
        </w:rPr>
        <w:t>extralymphatic</w:t>
      </w:r>
      <w:proofErr w:type="spellEnd"/>
      <w:r>
        <w:rPr>
          <w:rFonts w:cstheme="minorHAnsi"/>
        </w:rPr>
        <w:t xml:space="preserve"> tissues</w:t>
      </w:r>
      <w:r w:rsidRPr="00124E0E">
        <w:rPr>
          <w:rFonts w:cstheme="minorHAnsi"/>
        </w:rPr>
        <w:t xml:space="preserve"> (stage IV). </w:t>
      </w:r>
    </w:p>
    <w:p w14:paraId="212CCDF6" w14:textId="77777777" w:rsidR="00122D97" w:rsidRDefault="00661DFA" w:rsidP="00122D97">
      <w:pPr>
        <w:rPr>
          <w:rFonts w:cs="Arial"/>
          <w:szCs w:val="20"/>
        </w:rPr>
      </w:pPr>
      <w:r>
        <w:rPr>
          <w:rFonts w:cs="Arial"/>
          <w:szCs w:val="20"/>
        </w:rPr>
        <w:t>Approximately 95% of B-cell lymphomas express the CD20 antigen</w:t>
      </w:r>
      <w:r>
        <w:rPr>
          <w:rStyle w:val="FootnoteReference"/>
          <w:rFonts w:cs="Arial"/>
          <w:szCs w:val="20"/>
        </w:rPr>
        <w:footnoteReference w:id="1"/>
      </w:r>
      <w:r>
        <w:rPr>
          <w:rFonts w:cs="Arial"/>
          <w:szCs w:val="20"/>
        </w:rPr>
        <w:t>. The CD20 antigen is specific to B-cells and not expressed by T-cells.</w:t>
      </w:r>
    </w:p>
    <w:p w14:paraId="4EE614C8" w14:textId="5FB8B662" w:rsidR="002260A0" w:rsidRPr="00122D97" w:rsidRDefault="002260A0" w:rsidP="00122D97">
      <w:pPr>
        <w:rPr>
          <w:rFonts w:cstheme="minorHAnsi"/>
          <w:szCs w:val="20"/>
        </w:rPr>
      </w:pPr>
      <w:r w:rsidRPr="00122D97">
        <w:rPr>
          <w:rFonts w:cstheme="minorHAnsi"/>
          <w:szCs w:val="20"/>
        </w:rPr>
        <w:t xml:space="preserve">The </w:t>
      </w:r>
      <w:proofErr w:type="spellStart"/>
      <w:r w:rsidRPr="00122D97">
        <w:rPr>
          <w:rFonts w:cstheme="minorHAnsi"/>
          <w:szCs w:val="20"/>
        </w:rPr>
        <w:t>iNHL</w:t>
      </w:r>
      <w:proofErr w:type="spellEnd"/>
      <w:r w:rsidRPr="00122D97">
        <w:rPr>
          <w:rFonts w:cstheme="minorHAnsi"/>
          <w:szCs w:val="20"/>
        </w:rPr>
        <w:t xml:space="preserve"> group </w:t>
      </w:r>
      <w:r w:rsidR="00952BC2">
        <w:rPr>
          <w:rFonts w:cstheme="minorHAnsi"/>
          <w:szCs w:val="20"/>
        </w:rPr>
        <w:t xml:space="preserve">includes </w:t>
      </w:r>
      <w:r w:rsidR="00122D97" w:rsidRPr="00122D97">
        <w:rPr>
          <w:rFonts w:cstheme="minorHAnsi"/>
          <w:szCs w:val="20"/>
        </w:rPr>
        <w:t xml:space="preserve">follicular lymphoma (FL), </w:t>
      </w:r>
      <w:r w:rsidRPr="00122D97">
        <w:rPr>
          <w:rFonts w:cstheme="minorHAnsi"/>
          <w:szCs w:val="20"/>
        </w:rPr>
        <w:t>marginal zone lymphoma</w:t>
      </w:r>
      <w:r w:rsidR="00122D97" w:rsidRPr="00122D97">
        <w:rPr>
          <w:rFonts w:cstheme="minorHAnsi"/>
          <w:szCs w:val="20"/>
        </w:rPr>
        <w:t xml:space="preserve"> (MZL),</w:t>
      </w:r>
      <w:r w:rsidR="00122D97" w:rsidRPr="00122D97">
        <w:rPr>
          <w:rFonts w:cs="Arial"/>
          <w:szCs w:val="20"/>
        </w:rPr>
        <w:t xml:space="preserve"> small lymphocytic lymphoma (SLL), </w:t>
      </w:r>
      <w:proofErr w:type="spellStart"/>
      <w:r w:rsidR="00122D97" w:rsidRPr="00122D97">
        <w:rPr>
          <w:rFonts w:cs="Arial"/>
          <w:szCs w:val="20"/>
        </w:rPr>
        <w:t>lymphoplasmacytic</w:t>
      </w:r>
      <w:proofErr w:type="spellEnd"/>
      <w:r w:rsidR="00122D97" w:rsidRPr="00122D97">
        <w:rPr>
          <w:rFonts w:cs="Arial"/>
          <w:szCs w:val="20"/>
        </w:rPr>
        <w:t xml:space="preserve"> lymphoma (LPL) and </w:t>
      </w:r>
      <w:proofErr w:type="spellStart"/>
      <w:r w:rsidR="00122D97" w:rsidRPr="00122D97">
        <w:rPr>
          <w:rFonts w:cs="Arial"/>
          <w:szCs w:val="20"/>
        </w:rPr>
        <w:t>Waldenström's</w:t>
      </w:r>
      <w:proofErr w:type="spellEnd"/>
      <w:r w:rsidR="00122D97" w:rsidRPr="00122D97">
        <w:rPr>
          <w:rFonts w:cs="Arial"/>
          <w:szCs w:val="20"/>
        </w:rPr>
        <w:t xml:space="preserve"> </w:t>
      </w:r>
      <w:proofErr w:type="spellStart"/>
      <w:r w:rsidR="00122D97" w:rsidRPr="00122D97">
        <w:rPr>
          <w:rFonts w:cs="Arial"/>
          <w:szCs w:val="20"/>
        </w:rPr>
        <w:t>macroglobulinaemia</w:t>
      </w:r>
      <w:proofErr w:type="spellEnd"/>
      <w:r w:rsidR="00122D97" w:rsidRPr="00122D97">
        <w:rPr>
          <w:rFonts w:cs="Arial"/>
          <w:szCs w:val="20"/>
        </w:rPr>
        <w:t xml:space="preserve"> (WM)</w:t>
      </w:r>
      <w:r w:rsidR="00122D97">
        <w:rPr>
          <w:rFonts w:cstheme="minorHAnsi"/>
          <w:szCs w:val="20"/>
        </w:rPr>
        <w:t>.</w:t>
      </w:r>
    </w:p>
    <w:p w14:paraId="6BB82242" w14:textId="77777777" w:rsidR="00431FB2" w:rsidRDefault="00431FB2" w:rsidP="00431FB2">
      <w:pPr>
        <w:pStyle w:val="Heading2"/>
      </w:pPr>
      <w:r>
        <w:t>Pharmacology</w:t>
      </w:r>
      <w:bookmarkStart w:id="0" w:name="_Ref522719351"/>
      <w:r w:rsidR="005A2047">
        <w:rPr>
          <w:rStyle w:val="FootnoteReference"/>
        </w:rPr>
        <w:footnoteReference w:id="2"/>
      </w:r>
      <w:bookmarkEnd w:id="0"/>
    </w:p>
    <w:p w14:paraId="12072382" w14:textId="2010730D" w:rsidR="00447FAD" w:rsidRDefault="00447FAD" w:rsidP="00447FAD">
      <w:r>
        <w:t xml:space="preserve">Bendamustine hydrochloride is an alkylating </w:t>
      </w:r>
      <w:proofErr w:type="spellStart"/>
      <w:r>
        <w:t>antitumour</w:t>
      </w:r>
      <w:proofErr w:type="spellEnd"/>
      <w:r>
        <w:t xml:space="preserve"> agent with unique activity. The antineoplastic and </w:t>
      </w:r>
      <w:proofErr w:type="spellStart"/>
      <w:r>
        <w:t>cytocidal</w:t>
      </w:r>
      <w:proofErr w:type="spellEnd"/>
      <w:r>
        <w:t xml:space="preserve"> effect of </w:t>
      </w:r>
      <w:proofErr w:type="spellStart"/>
      <w:r>
        <w:t>bendamustine</w:t>
      </w:r>
      <w:proofErr w:type="spellEnd"/>
      <w:r>
        <w:t xml:space="preserve"> hydrochloride is based essentially on a cross-linking of DNA </w:t>
      </w:r>
      <w:r>
        <w:lastRenderedPageBreak/>
        <w:t>single and double strands by alkylation. As a result, DNA matrix functions and DNA synthesis and repair are impaired. Bendamustine is active against both quiescent and dividing cells.</w:t>
      </w:r>
    </w:p>
    <w:p w14:paraId="36E9EA80" w14:textId="77777777" w:rsidR="00447FAD" w:rsidRDefault="00447FAD" w:rsidP="00447FAD">
      <w:r>
        <w:t>The active substance revealed no or very low cross-resistance in human tumour cell lines with different resistance mechanisms.</w:t>
      </w:r>
    </w:p>
    <w:p w14:paraId="46D5F3C9" w14:textId="77777777" w:rsidR="00431FB2" w:rsidRDefault="00447FAD" w:rsidP="00431FB2">
      <w:r>
        <w:t xml:space="preserve">The exact mechanism of action of </w:t>
      </w:r>
      <w:proofErr w:type="spellStart"/>
      <w:r>
        <w:t>bendamustine</w:t>
      </w:r>
      <w:proofErr w:type="spellEnd"/>
      <w:r>
        <w:t xml:space="preserve"> remains unknown</w:t>
      </w:r>
      <w:r w:rsidR="00431FB2">
        <w:t xml:space="preserve">. </w:t>
      </w:r>
    </w:p>
    <w:p w14:paraId="6A1A7ADD" w14:textId="77777777" w:rsidR="007E731A" w:rsidRDefault="007E731A">
      <w:pPr>
        <w:spacing w:line="276" w:lineRule="auto"/>
        <w:rPr>
          <w:b/>
          <w:sz w:val="28"/>
        </w:rPr>
      </w:pPr>
      <w:r>
        <w:br w:type="page"/>
      </w:r>
    </w:p>
    <w:p w14:paraId="18F64435" w14:textId="4BE9F9A1" w:rsidR="00431FB2" w:rsidRDefault="00431FB2" w:rsidP="00431FB2">
      <w:pPr>
        <w:pStyle w:val="Heading2"/>
      </w:pPr>
      <w:r w:rsidRPr="00A52918">
        <w:lastRenderedPageBreak/>
        <w:t xml:space="preserve">Therapeutic Goods Administration </w:t>
      </w:r>
      <w:r>
        <w:t>(</w:t>
      </w:r>
      <w:r w:rsidRPr="005E22C2">
        <w:t>TGA</w:t>
      </w:r>
      <w:r>
        <w:t>)</w:t>
      </w:r>
      <w:r w:rsidRPr="005E22C2">
        <w:t xml:space="preserve"> approved </w:t>
      </w:r>
      <w:r>
        <w:t>i</w:t>
      </w:r>
      <w:r w:rsidRPr="005E22C2">
        <w:t>ndications</w:t>
      </w:r>
      <w:r w:rsidR="005A2047" w:rsidRPr="005A2047">
        <w:rPr>
          <w:vertAlign w:val="superscript"/>
        </w:rPr>
        <w:t>2</w:t>
      </w:r>
    </w:p>
    <w:p w14:paraId="3AA36518" w14:textId="77777777" w:rsidR="00E9631B" w:rsidRDefault="00E9631B" w:rsidP="00E9631B">
      <w:r>
        <w:t>Bendamustine was TGA registered on 30 June 2014 for the treatment of the following conditions:</w:t>
      </w:r>
    </w:p>
    <w:p w14:paraId="296A1A45" w14:textId="77777777" w:rsidR="00CF0E17" w:rsidRDefault="00CF0E17" w:rsidP="00CF0E17">
      <w:pPr>
        <w:pStyle w:val="ListParagraph"/>
        <w:numPr>
          <w:ilvl w:val="0"/>
          <w:numId w:val="2"/>
        </w:numPr>
      </w:pPr>
      <w:r>
        <w:t>First-line treatment of chronic lymphocytic leukaemia (</w:t>
      </w:r>
      <w:proofErr w:type="spellStart"/>
      <w:r>
        <w:t>Binet</w:t>
      </w:r>
      <w:proofErr w:type="spellEnd"/>
      <w:r>
        <w:t xml:space="preserve"> stage B or C). </w:t>
      </w:r>
    </w:p>
    <w:p w14:paraId="667E86A8" w14:textId="77777777" w:rsidR="00CF0E17" w:rsidRDefault="00CF0E17" w:rsidP="00CF0E17">
      <w:pPr>
        <w:pStyle w:val="ListParagraph"/>
        <w:numPr>
          <w:ilvl w:val="0"/>
          <w:numId w:val="2"/>
        </w:numPr>
      </w:pPr>
      <w:r>
        <w:t>Previously untreated indolent CD20-positive, stage III-IV Non-Hodgkin’s lymphoma, in combination with rituximab.</w:t>
      </w:r>
    </w:p>
    <w:p w14:paraId="1F00C0B6" w14:textId="77777777" w:rsidR="00CF0E17" w:rsidRDefault="00CF0E17" w:rsidP="00CF0E17">
      <w:pPr>
        <w:pStyle w:val="ListParagraph"/>
        <w:numPr>
          <w:ilvl w:val="0"/>
          <w:numId w:val="2"/>
        </w:numPr>
      </w:pPr>
      <w:r>
        <w:t>Previously untreated CD20-positive, stage III-IV Mantle Cell Lymphoma in combination with rituximab, in patients ineligible for autologous stem cell transplantation.</w:t>
      </w:r>
    </w:p>
    <w:p w14:paraId="7AEDCC3F" w14:textId="77777777" w:rsidR="00431FB2" w:rsidRDefault="00CF0E17" w:rsidP="00CF0E17">
      <w:pPr>
        <w:pStyle w:val="ListParagraph"/>
        <w:numPr>
          <w:ilvl w:val="0"/>
          <w:numId w:val="2"/>
        </w:numPr>
      </w:pPr>
      <w:r>
        <w:t>Relapsed/Refractory indolent Non-Hodgkin’s lymphoma.</w:t>
      </w:r>
    </w:p>
    <w:p w14:paraId="0FC18DB1" w14:textId="77777777" w:rsidR="00431FB2" w:rsidRDefault="00431FB2" w:rsidP="00431FB2">
      <w:pPr>
        <w:pStyle w:val="Heading2"/>
      </w:pPr>
      <w:r>
        <w:t>Dosage and administration</w:t>
      </w:r>
      <w:r w:rsidR="005A2047" w:rsidRPr="005A2047">
        <w:rPr>
          <w:vertAlign w:val="superscript"/>
        </w:rPr>
        <w:t>2</w:t>
      </w:r>
    </w:p>
    <w:p w14:paraId="0F657C12" w14:textId="4EEA1C04" w:rsidR="00834503" w:rsidRDefault="00834503" w:rsidP="00834503">
      <w:r>
        <w:t>Combination therapy with rituximab for first-line non-Hodgkin’s lymphoma and mantle cell lymphoma; 90 mg/m</w:t>
      </w:r>
      <w:r w:rsidRPr="003B7988">
        <w:rPr>
          <w:vertAlign w:val="superscript"/>
        </w:rPr>
        <w:t>2</w:t>
      </w:r>
      <w:r>
        <w:t xml:space="preserve"> on days 1 and 2 of a 4-week cycle for up to 6 cycles.</w:t>
      </w:r>
    </w:p>
    <w:p w14:paraId="43557DEE" w14:textId="550DCF8D" w:rsidR="003B7988" w:rsidRDefault="003B7988" w:rsidP="00834503">
      <w:r>
        <w:t xml:space="preserve">Treatment </w:t>
      </w:r>
      <w:r w:rsidR="00BC606A">
        <w:t>may be</w:t>
      </w:r>
      <w:r>
        <w:t xml:space="preserve"> interrupted, delayed or terminated or dose may be reduced in the case of toxicity. See the Product Information for more details.</w:t>
      </w:r>
    </w:p>
    <w:p w14:paraId="41CCE090" w14:textId="77777777" w:rsidR="00431FB2" w:rsidRPr="00CE5165" w:rsidDel="00EE2BBB" w:rsidRDefault="00431FB2" w:rsidP="00431FB2">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6BCFCAA1" w14:textId="77777777" w:rsidR="00431FB2" w:rsidRPr="007247B9" w:rsidDel="00EE2BBB" w:rsidRDefault="00431FB2" w:rsidP="00431FB2">
      <w:pPr>
        <w:pStyle w:val="Heading2"/>
      </w:pPr>
      <w:r w:rsidRPr="007247B9" w:rsidDel="00EE2BBB">
        <w:t>PBS listing details</w:t>
      </w:r>
      <w:r>
        <w:t xml:space="preserve"> (</w:t>
      </w:r>
      <w:r w:rsidDel="00EE2BBB">
        <w:t xml:space="preserve">as at </w:t>
      </w:r>
      <w:r w:rsidR="00B415CA">
        <w:t xml:space="preserve">October </w:t>
      </w:r>
      <w:r>
        <w:t>2018)</w:t>
      </w:r>
    </w:p>
    <w:p w14:paraId="1D9D65EC" w14:textId="77777777" w:rsidR="00431FB2" w:rsidRDefault="00431FB2" w:rsidP="004C3356">
      <w:pPr>
        <w:pStyle w:val="Heading3"/>
      </w:pPr>
      <w:r w:rsidRPr="00CE5165">
        <w:t>Date of listing on PBS</w:t>
      </w:r>
    </w:p>
    <w:p w14:paraId="3A5BC3B6" w14:textId="5D006028" w:rsidR="00431FB2" w:rsidRPr="00CE5165" w:rsidDel="00EE2BBB" w:rsidRDefault="00431FB2" w:rsidP="00431FB2">
      <w:r>
        <w:t xml:space="preserve">The </w:t>
      </w:r>
      <w:r w:rsidR="006E302E">
        <w:t>25</w:t>
      </w:r>
      <w:r w:rsidR="00A45FF9">
        <w:t> </w:t>
      </w:r>
      <w:r>
        <w:t>mg</w:t>
      </w:r>
      <w:r w:rsidR="00F553AE">
        <w:t xml:space="preserve"> and</w:t>
      </w:r>
      <w:r>
        <w:t xml:space="preserve"> 1</w:t>
      </w:r>
      <w:r w:rsidR="006E302E">
        <w:t>00</w:t>
      </w:r>
      <w:r w:rsidR="00A45FF9">
        <w:t> </w:t>
      </w:r>
      <w:r>
        <w:t xml:space="preserve">mg </w:t>
      </w:r>
      <w:r w:rsidR="006E302E">
        <w:t xml:space="preserve">injection vials </w:t>
      </w:r>
      <w:r>
        <w:t xml:space="preserve">were PBS listed on 1 </w:t>
      </w:r>
      <w:r w:rsidR="006E302E">
        <w:t>May</w:t>
      </w:r>
      <w:r>
        <w:t xml:space="preserve"> 2016</w:t>
      </w:r>
      <w:r w:rsidR="006E302E">
        <w:t>.</w:t>
      </w:r>
      <w:r>
        <w:t xml:space="preserve"> The PBS item codes are shown in Table </w:t>
      </w:r>
      <w:r w:rsidR="00952BC2">
        <w:t>1</w:t>
      </w:r>
      <w:r>
        <w:t xml:space="preserve">.  </w:t>
      </w:r>
    </w:p>
    <w:p w14:paraId="6D6FE0B3" w14:textId="3D13072C" w:rsidR="00431FB2" w:rsidRPr="001420B3" w:rsidDel="00EE2BBB" w:rsidRDefault="00431FB2" w:rsidP="00431FB2">
      <w:pPr>
        <w:pStyle w:val="Tabletitle"/>
      </w:pPr>
      <w:r>
        <w:t xml:space="preserve">Table </w:t>
      </w:r>
      <w:r w:rsidR="00952BC2">
        <w:t>1</w:t>
      </w:r>
      <w:r w:rsidRPr="001420B3" w:rsidDel="00EE2BBB">
        <w:t xml:space="preserve">: </w:t>
      </w:r>
      <w:r w:rsidDel="00EE2BBB">
        <w:t xml:space="preserve">PBS </w:t>
      </w:r>
      <w:r w:rsidR="005175A5">
        <w:t xml:space="preserve">Efficient Funding of Chemotherapy </w:t>
      </w:r>
      <w:r w:rsidDel="00EE2BBB">
        <w:t xml:space="preserve">listing of </w:t>
      </w:r>
      <w:proofErr w:type="spellStart"/>
      <w:r w:rsidR="005A6EB9">
        <w:t>bendamustine</w:t>
      </w:r>
      <w:proofErr w:type="spellEnd"/>
      <w:r w:rsidR="005175A5">
        <w:t xml:space="preserve"> </w:t>
      </w:r>
      <w:r w:rsidR="005A6EB9">
        <w:t>(1 October 2018)</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94"/>
        <w:gridCol w:w="1247"/>
        <w:gridCol w:w="624"/>
        <w:gridCol w:w="1020"/>
        <w:gridCol w:w="1020"/>
        <w:gridCol w:w="1587"/>
      </w:tblGrid>
      <w:tr w:rsidR="005175A5" w:rsidRPr="00A35800" w:rsidDel="00EE2BBB" w14:paraId="3FB5359D" w14:textId="77777777" w:rsidTr="00180DE3">
        <w:trPr>
          <w:trHeight w:val="694"/>
          <w:tblHeader/>
        </w:trPr>
        <w:tc>
          <w:tcPr>
            <w:tcW w:w="959" w:type="dxa"/>
            <w:shd w:val="clear" w:color="auto" w:fill="BFBFBF" w:themeFill="background1" w:themeFillShade="BF"/>
          </w:tcPr>
          <w:p w14:paraId="780C2D15" w14:textId="77777777" w:rsidR="005175A5" w:rsidRPr="00A35800" w:rsidDel="00EE2BBB" w:rsidRDefault="005175A5" w:rsidP="00495EE0">
            <w:pPr>
              <w:pStyle w:val="Tableheading"/>
              <w:rPr>
                <w:sz w:val="20"/>
                <w:szCs w:val="20"/>
              </w:rPr>
            </w:pPr>
            <w:r w:rsidRPr="00A35800" w:rsidDel="00EE2BBB">
              <w:rPr>
                <w:sz w:val="20"/>
                <w:szCs w:val="20"/>
              </w:rPr>
              <w:t>Item</w:t>
            </w:r>
          </w:p>
        </w:tc>
        <w:tc>
          <w:tcPr>
            <w:tcW w:w="2494" w:type="dxa"/>
            <w:shd w:val="clear" w:color="auto" w:fill="BFBFBF" w:themeFill="background1" w:themeFillShade="BF"/>
          </w:tcPr>
          <w:p w14:paraId="062A7ACA" w14:textId="77777777" w:rsidR="005175A5" w:rsidRPr="00A35800" w:rsidDel="00EE2BBB" w:rsidRDefault="005175A5" w:rsidP="00495EE0">
            <w:pPr>
              <w:pStyle w:val="Tableheading"/>
              <w:rPr>
                <w:sz w:val="20"/>
                <w:szCs w:val="20"/>
              </w:rPr>
            </w:pPr>
            <w:r w:rsidRPr="00A35800" w:rsidDel="00EE2BBB">
              <w:rPr>
                <w:sz w:val="20"/>
                <w:szCs w:val="20"/>
              </w:rPr>
              <w:t>Name, form &amp; strength, pack size</w:t>
            </w:r>
          </w:p>
        </w:tc>
        <w:tc>
          <w:tcPr>
            <w:tcW w:w="1247" w:type="dxa"/>
            <w:shd w:val="clear" w:color="auto" w:fill="BFBFBF" w:themeFill="background1" w:themeFillShade="BF"/>
          </w:tcPr>
          <w:p w14:paraId="26B54A1C" w14:textId="77777777" w:rsidR="005175A5" w:rsidRPr="00A35800" w:rsidDel="00EE2BBB" w:rsidRDefault="005175A5" w:rsidP="005A6EB9">
            <w:pPr>
              <w:pStyle w:val="Tableheading"/>
              <w:rPr>
                <w:sz w:val="20"/>
                <w:szCs w:val="20"/>
              </w:rPr>
            </w:pPr>
            <w:r w:rsidRPr="00A35800" w:rsidDel="00EE2BBB">
              <w:rPr>
                <w:sz w:val="20"/>
                <w:szCs w:val="20"/>
              </w:rPr>
              <w:t xml:space="preserve">Max. </w:t>
            </w:r>
            <w:r>
              <w:rPr>
                <w:sz w:val="20"/>
                <w:szCs w:val="20"/>
              </w:rPr>
              <w:t>Amount</w:t>
            </w:r>
          </w:p>
        </w:tc>
        <w:tc>
          <w:tcPr>
            <w:tcW w:w="624" w:type="dxa"/>
            <w:shd w:val="clear" w:color="auto" w:fill="BFBFBF" w:themeFill="background1" w:themeFillShade="BF"/>
          </w:tcPr>
          <w:p w14:paraId="13E8ECE4" w14:textId="77777777" w:rsidR="005175A5" w:rsidRPr="00A35800" w:rsidDel="00EE2BBB" w:rsidRDefault="005175A5" w:rsidP="005175A5">
            <w:pPr>
              <w:pStyle w:val="Tableheading"/>
              <w:rPr>
                <w:sz w:val="20"/>
                <w:szCs w:val="20"/>
              </w:rPr>
            </w:pPr>
            <w:proofErr w:type="spellStart"/>
            <w:r w:rsidRPr="00A35800" w:rsidDel="00EE2BBB">
              <w:rPr>
                <w:sz w:val="20"/>
                <w:szCs w:val="20"/>
              </w:rPr>
              <w:t>Rpts</w:t>
            </w:r>
            <w:proofErr w:type="spellEnd"/>
          </w:p>
        </w:tc>
        <w:tc>
          <w:tcPr>
            <w:tcW w:w="1020" w:type="dxa"/>
            <w:shd w:val="clear" w:color="auto" w:fill="BFBFBF" w:themeFill="background1" w:themeFillShade="BF"/>
          </w:tcPr>
          <w:p w14:paraId="69D49CB3" w14:textId="77777777" w:rsidR="005175A5" w:rsidRDefault="005175A5" w:rsidP="006E302E">
            <w:pPr>
              <w:pStyle w:val="Tableheading"/>
              <w:rPr>
                <w:sz w:val="20"/>
                <w:szCs w:val="20"/>
              </w:rPr>
            </w:pPr>
            <w:r>
              <w:rPr>
                <w:sz w:val="20"/>
                <w:szCs w:val="20"/>
              </w:rPr>
              <w:t>Setting</w:t>
            </w:r>
          </w:p>
        </w:tc>
        <w:tc>
          <w:tcPr>
            <w:tcW w:w="1020" w:type="dxa"/>
            <w:shd w:val="clear" w:color="auto" w:fill="BFBFBF" w:themeFill="background1" w:themeFillShade="BF"/>
          </w:tcPr>
          <w:p w14:paraId="1C8C6FDF" w14:textId="51194BD7" w:rsidR="005175A5" w:rsidRPr="00A35800" w:rsidDel="00EE2BBB" w:rsidRDefault="005175A5" w:rsidP="00E660DA">
            <w:pPr>
              <w:pStyle w:val="Tableheading"/>
              <w:rPr>
                <w:sz w:val="20"/>
                <w:szCs w:val="20"/>
              </w:rPr>
            </w:pPr>
            <w:r>
              <w:rPr>
                <w:sz w:val="20"/>
                <w:szCs w:val="20"/>
              </w:rPr>
              <w:t>DPMA</w:t>
            </w:r>
          </w:p>
        </w:tc>
        <w:tc>
          <w:tcPr>
            <w:tcW w:w="1587" w:type="dxa"/>
            <w:shd w:val="clear" w:color="auto" w:fill="BFBFBF" w:themeFill="background1" w:themeFillShade="BF"/>
          </w:tcPr>
          <w:p w14:paraId="52AC869E" w14:textId="77777777" w:rsidR="005175A5" w:rsidRPr="00A35800" w:rsidDel="00EE2BBB" w:rsidRDefault="005175A5" w:rsidP="00495EE0">
            <w:pPr>
              <w:pStyle w:val="Tableheading"/>
              <w:rPr>
                <w:sz w:val="20"/>
                <w:szCs w:val="20"/>
              </w:rPr>
            </w:pPr>
            <w:r w:rsidRPr="00A35800" w:rsidDel="00EE2BBB">
              <w:rPr>
                <w:sz w:val="20"/>
                <w:szCs w:val="20"/>
              </w:rPr>
              <w:t>Brand name and manufacturer</w:t>
            </w:r>
          </w:p>
        </w:tc>
      </w:tr>
      <w:tr w:rsidR="005175A5" w:rsidRPr="00A35800" w:rsidDel="00EE2BBB" w14:paraId="3928C152" w14:textId="77777777" w:rsidTr="00180DE3">
        <w:trPr>
          <w:trHeight w:val="20"/>
          <w:tblHeader/>
        </w:trPr>
        <w:tc>
          <w:tcPr>
            <w:tcW w:w="959" w:type="dxa"/>
            <w:shd w:val="clear" w:color="auto" w:fill="auto"/>
          </w:tcPr>
          <w:p w14:paraId="25D69630" w14:textId="77777777" w:rsidR="005175A5" w:rsidRPr="006B31EB" w:rsidDel="00EE2BBB" w:rsidRDefault="005175A5" w:rsidP="005175A5">
            <w:pPr>
              <w:pStyle w:val="Tablewriting"/>
              <w:spacing w:before="0" w:after="0"/>
            </w:pPr>
            <w:r w:rsidRPr="006B31EB">
              <w:t>10</w:t>
            </w:r>
            <w:r>
              <w:t>760L</w:t>
            </w:r>
          </w:p>
        </w:tc>
        <w:tc>
          <w:tcPr>
            <w:tcW w:w="2494" w:type="dxa"/>
            <w:shd w:val="clear" w:color="auto" w:fill="auto"/>
          </w:tcPr>
          <w:p w14:paraId="344C7439" w14:textId="77777777" w:rsidR="005175A5" w:rsidRDefault="005175A5" w:rsidP="002E388D">
            <w:pPr>
              <w:pStyle w:val="Tablewriting"/>
              <w:spacing w:before="0" w:after="0"/>
            </w:pPr>
            <w:proofErr w:type="spellStart"/>
            <w:r>
              <w:t>bendamustine</w:t>
            </w:r>
            <w:proofErr w:type="spellEnd"/>
            <w:r>
              <w:t xml:space="preserve"> hydrochloride 100 mg injection, 1 vial</w:t>
            </w:r>
          </w:p>
          <w:p w14:paraId="74137ECD" w14:textId="77777777" w:rsidR="005175A5" w:rsidRPr="006B31EB" w:rsidDel="00EE2BBB" w:rsidRDefault="005175A5" w:rsidP="005175A5">
            <w:pPr>
              <w:pStyle w:val="Tablewriting"/>
              <w:spacing w:before="0" w:after="0"/>
            </w:pPr>
            <w:proofErr w:type="spellStart"/>
            <w:r>
              <w:t>bendamustine</w:t>
            </w:r>
            <w:proofErr w:type="spellEnd"/>
            <w:r>
              <w:t xml:space="preserve"> hydrochloride 25 mg injection, 1 vial</w:t>
            </w:r>
          </w:p>
        </w:tc>
        <w:tc>
          <w:tcPr>
            <w:tcW w:w="1247" w:type="dxa"/>
            <w:shd w:val="clear" w:color="auto" w:fill="auto"/>
          </w:tcPr>
          <w:p w14:paraId="2AF48558" w14:textId="77777777" w:rsidR="005175A5" w:rsidRPr="006B31EB" w:rsidDel="00EE2BBB" w:rsidRDefault="005175A5" w:rsidP="002E388D">
            <w:pPr>
              <w:pStyle w:val="Tablewriting"/>
              <w:spacing w:before="0" w:after="0"/>
              <w:jc w:val="center"/>
            </w:pPr>
            <w:r>
              <w:t>200 mg</w:t>
            </w:r>
          </w:p>
        </w:tc>
        <w:tc>
          <w:tcPr>
            <w:tcW w:w="624" w:type="dxa"/>
            <w:shd w:val="clear" w:color="auto" w:fill="auto"/>
          </w:tcPr>
          <w:p w14:paraId="01AC5903" w14:textId="77777777" w:rsidR="005175A5" w:rsidRPr="006B31EB" w:rsidDel="00EE2BBB" w:rsidRDefault="005175A5" w:rsidP="002E388D">
            <w:pPr>
              <w:pStyle w:val="Tablewriting"/>
              <w:spacing w:before="0" w:after="0"/>
              <w:jc w:val="center"/>
            </w:pPr>
            <w:r>
              <w:t>11</w:t>
            </w:r>
          </w:p>
        </w:tc>
        <w:tc>
          <w:tcPr>
            <w:tcW w:w="1020" w:type="dxa"/>
          </w:tcPr>
          <w:p w14:paraId="4BDF8BF9" w14:textId="77777777" w:rsidR="005175A5" w:rsidRPr="004E3822" w:rsidRDefault="005175A5" w:rsidP="005175A5">
            <w:pPr>
              <w:pStyle w:val="Tablewriting"/>
              <w:spacing w:before="0" w:after="0"/>
            </w:pPr>
            <w:r>
              <w:t>Public Hospital</w:t>
            </w:r>
          </w:p>
        </w:tc>
        <w:tc>
          <w:tcPr>
            <w:tcW w:w="1020" w:type="dxa"/>
            <w:shd w:val="clear" w:color="auto" w:fill="auto"/>
          </w:tcPr>
          <w:p w14:paraId="5A09BF07" w14:textId="77777777" w:rsidR="005175A5" w:rsidRPr="006B31EB" w:rsidDel="00EE2BBB" w:rsidRDefault="005175A5" w:rsidP="005175A5">
            <w:pPr>
              <w:pStyle w:val="Tablewriting"/>
              <w:spacing w:before="0" w:after="0"/>
            </w:pPr>
            <w:r w:rsidRPr="004E3822">
              <w:t>$</w:t>
            </w:r>
            <w:r>
              <w:t>1699.08</w:t>
            </w:r>
          </w:p>
        </w:tc>
        <w:tc>
          <w:tcPr>
            <w:tcW w:w="1587" w:type="dxa"/>
            <w:vMerge w:val="restart"/>
            <w:shd w:val="clear" w:color="auto" w:fill="auto"/>
            <w:vAlign w:val="center"/>
          </w:tcPr>
          <w:p w14:paraId="42F24BC8" w14:textId="77777777" w:rsidR="005175A5" w:rsidRDefault="005175A5" w:rsidP="005175A5">
            <w:pPr>
              <w:pStyle w:val="Tablewriting"/>
              <w:jc w:val="center"/>
            </w:pPr>
            <w:proofErr w:type="spellStart"/>
            <w:r>
              <w:t>Ribomustin</w:t>
            </w:r>
            <w:proofErr w:type="spellEnd"/>
            <w:r>
              <w:t>®</w:t>
            </w:r>
          </w:p>
          <w:p w14:paraId="64520222" w14:textId="77777777" w:rsidR="005175A5" w:rsidRPr="00A35800" w:rsidDel="00EE2BBB" w:rsidRDefault="005175A5" w:rsidP="005175A5">
            <w:pPr>
              <w:pStyle w:val="Tablewriting"/>
              <w:jc w:val="center"/>
            </w:pPr>
            <w:r w:rsidRPr="005175A5">
              <w:t>Janssen-</w:t>
            </w:r>
            <w:proofErr w:type="spellStart"/>
            <w:r w:rsidRPr="005175A5">
              <w:t>Cilag</w:t>
            </w:r>
            <w:proofErr w:type="spellEnd"/>
            <w:r w:rsidRPr="005175A5">
              <w:t xml:space="preserve"> Pty Ltd</w:t>
            </w:r>
          </w:p>
        </w:tc>
      </w:tr>
      <w:tr w:rsidR="005175A5" w:rsidRPr="00A35800" w:rsidDel="00EE2BBB" w14:paraId="2C467ED3" w14:textId="77777777" w:rsidTr="00180DE3">
        <w:trPr>
          <w:trHeight w:val="20"/>
          <w:tblHeader/>
        </w:trPr>
        <w:tc>
          <w:tcPr>
            <w:tcW w:w="959" w:type="dxa"/>
            <w:shd w:val="clear" w:color="auto" w:fill="auto"/>
          </w:tcPr>
          <w:p w14:paraId="6B8D4100" w14:textId="77777777" w:rsidR="005175A5" w:rsidRPr="006B31EB" w:rsidDel="00EE2BBB" w:rsidRDefault="005175A5" w:rsidP="005A6EB9">
            <w:pPr>
              <w:pStyle w:val="Tablewriting"/>
              <w:spacing w:before="0" w:after="0"/>
            </w:pPr>
            <w:r w:rsidRPr="006B31EB">
              <w:t>10</w:t>
            </w:r>
            <w:r>
              <w:t>763L</w:t>
            </w:r>
          </w:p>
        </w:tc>
        <w:tc>
          <w:tcPr>
            <w:tcW w:w="2494" w:type="dxa"/>
            <w:shd w:val="clear" w:color="auto" w:fill="auto"/>
          </w:tcPr>
          <w:p w14:paraId="25039184" w14:textId="77777777" w:rsidR="005175A5" w:rsidRDefault="005175A5" w:rsidP="005A6EB9">
            <w:pPr>
              <w:pStyle w:val="Tablewriting"/>
              <w:spacing w:before="0" w:after="0"/>
            </w:pPr>
            <w:proofErr w:type="spellStart"/>
            <w:r>
              <w:t>bendamustine</w:t>
            </w:r>
            <w:proofErr w:type="spellEnd"/>
            <w:r>
              <w:t xml:space="preserve"> hydrochloride 100 mg injection, 1 vial</w:t>
            </w:r>
          </w:p>
          <w:p w14:paraId="14F239D1" w14:textId="77777777" w:rsidR="005175A5" w:rsidRPr="006B31EB" w:rsidDel="00EE2BBB" w:rsidRDefault="005175A5" w:rsidP="005175A5">
            <w:pPr>
              <w:pStyle w:val="Tablewriting"/>
              <w:spacing w:before="0" w:after="0"/>
            </w:pPr>
            <w:proofErr w:type="spellStart"/>
            <w:r>
              <w:t>bendamustine</w:t>
            </w:r>
            <w:proofErr w:type="spellEnd"/>
            <w:r>
              <w:t xml:space="preserve"> hydrochloride 25 mg injection, 1 vial</w:t>
            </w:r>
          </w:p>
        </w:tc>
        <w:tc>
          <w:tcPr>
            <w:tcW w:w="1247" w:type="dxa"/>
            <w:shd w:val="clear" w:color="auto" w:fill="auto"/>
          </w:tcPr>
          <w:p w14:paraId="2BA0B7A1" w14:textId="77777777" w:rsidR="005175A5" w:rsidRPr="006B31EB" w:rsidDel="00EE2BBB" w:rsidRDefault="005175A5" w:rsidP="00495EE0">
            <w:pPr>
              <w:pStyle w:val="Tablewriting"/>
              <w:spacing w:before="0" w:after="0"/>
              <w:jc w:val="center"/>
            </w:pPr>
            <w:r>
              <w:t>200 mg</w:t>
            </w:r>
          </w:p>
        </w:tc>
        <w:tc>
          <w:tcPr>
            <w:tcW w:w="624" w:type="dxa"/>
            <w:shd w:val="clear" w:color="auto" w:fill="auto"/>
          </w:tcPr>
          <w:p w14:paraId="4FB177E0" w14:textId="77777777" w:rsidR="005175A5" w:rsidRPr="006B31EB" w:rsidDel="00EE2BBB" w:rsidRDefault="005175A5" w:rsidP="00495EE0">
            <w:pPr>
              <w:pStyle w:val="Tablewriting"/>
              <w:spacing w:before="0" w:after="0"/>
              <w:jc w:val="center"/>
            </w:pPr>
            <w:r>
              <w:t>11</w:t>
            </w:r>
          </w:p>
        </w:tc>
        <w:tc>
          <w:tcPr>
            <w:tcW w:w="1020" w:type="dxa"/>
          </w:tcPr>
          <w:p w14:paraId="6650A4CA" w14:textId="77777777" w:rsidR="005175A5" w:rsidRPr="004E3822" w:rsidRDefault="005175A5" w:rsidP="005175A5">
            <w:pPr>
              <w:pStyle w:val="Tablewriting"/>
              <w:spacing w:before="0" w:after="0"/>
            </w:pPr>
            <w:r>
              <w:t>Private Hospital</w:t>
            </w:r>
          </w:p>
        </w:tc>
        <w:tc>
          <w:tcPr>
            <w:tcW w:w="1020" w:type="dxa"/>
            <w:shd w:val="clear" w:color="auto" w:fill="auto"/>
          </w:tcPr>
          <w:p w14:paraId="3ECEC01C" w14:textId="77777777" w:rsidR="005175A5" w:rsidRPr="006B31EB" w:rsidDel="00EE2BBB" w:rsidRDefault="005175A5" w:rsidP="005A6EB9">
            <w:pPr>
              <w:pStyle w:val="Tablewriting"/>
              <w:spacing w:before="0" w:after="0"/>
            </w:pPr>
            <w:r w:rsidRPr="004E3822">
              <w:t>$</w:t>
            </w:r>
            <w:r>
              <w:t>1760.90</w:t>
            </w:r>
          </w:p>
        </w:tc>
        <w:tc>
          <w:tcPr>
            <w:tcW w:w="1587" w:type="dxa"/>
            <w:vMerge/>
            <w:shd w:val="clear" w:color="auto" w:fill="auto"/>
            <w:vAlign w:val="center"/>
          </w:tcPr>
          <w:p w14:paraId="1CACCD23" w14:textId="77777777" w:rsidR="005175A5" w:rsidRPr="00A35800" w:rsidDel="00EE2BBB" w:rsidRDefault="005175A5" w:rsidP="005175A5">
            <w:pPr>
              <w:pStyle w:val="Tablewriting"/>
              <w:jc w:val="center"/>
            </w:pPr>
          </w:p>
        </w:tc>
      </w:tr>
    </w:tbl>
    <w:p w14:paraId="277C2697" w14:textId="033C84A9" w:rsidR="006E302E" w:rsidRDefault="00431FB2" w:rsidP="006E302E">
      <w:pPr>
        <w:pStyle w:val="Notes"/>
      </w:pPr>
      <w:r w:rsidRPr="00A35800" w:rsidDel="00EE2BBB">
        <w:lastRenderedPageBreak/>
        <w:t xml:space="preserve">Source: </w:t>
      </w:r>
      <w:r w:rsidDel="00EE2BBB">
        <w:t xml:space="preserve">the </w:t>
      </w:r>
      <w:hyperlink r:id="rId10" w:history="1">
        <w:r w:rsidRPr="001624D7" w:rsidDel="00EE2BBB">
          <w:rPr>
            <w:rStyle w:val="Hyperlink"/>
          </w:rPr>
          <w:t>PBS website</w:t>
        </w:r>
      </w:hyperlink>
      <w:r w:rsidDel="00EE2BBB">
        <w:t xml:space="preserve">. </w:t>
      </w:r>
    </w:p>
    <w:p w14:paraId="60E142B3" w14:textId="77777777" w:rsidR="00431FB2" w:rsidRPr="00601B3D" w:rsidRDefault="00431FB2" w:rsidP="004C3356">
      <w:pPr>
        <w:pStyle w:val="Heading3"/>
        <w:rPr>
          <w:b w:val="0"/>
          <w:i w:val="0"/>
          <w:u w:val="single"/>
        </w:rPr>
      </w:pPr>
      <w:r w:rsidRPr="00601B3D" w:rsidDel="00EE2BBB">
        <w:rPr>
          <w:b w:val="0"/>
          <w:i w:val="0"/>
          <w:u w:val="single"/>
        </w:rPr>
        <w:t>Restriction</w:t>
      </w:r>
      <w:r w:rsidR="005A6EB9" w:rsidRPr="00601B3D">
        <w:rPr>
          <w:b w:val="0"/>
          <w:i w:val="0"/>
          <w:u w:val="single"/>
        </w:rPr>
        <w:t xml:space="preserve"> from 1 May 2016 to 30 September 2018</w:t>
      </w:r>
      <w:r w:rsidR="003B7988">
        <w:rPr>
          <w:rStyle w:val="FootnoteReference"/>
          <w:b w:val="0"/>
          <w:i w:val="0"/>
          <w:u w:val="single"/>
        </w:rPr>
        <w:footnoteReference w:id="3"/>
      </w:r>
    </w:p>
    <w:p w14:paraId="3CC8B0AF" w14:textId="77777777" w:rsidR="003D3F03" w:rsidRDefault="003D3F03" w:rsidP="005A6EB9">
      <w:pPr>
        <w:spacing w:after="0"/>
      </w:pPr>
      <w:r>
        <w:t>The below restrictions apply to both PBS items.</w:t>
      </w:r>
    </w:p>
    <w:p w14:paraId="7A2EF360" w14:textId="77777777" w:rsidR="003D3F03" w:rsidRDefault="003D3F03" w:rsidP="005A6EB9">
      <w:pPr>
        <w:spacing w:after="0"/>
      </w:pPr>
    </w:p>
    <w:p w14:paraId="763BA6DA" w14:textId="77777777" w:rsidR="005A6EB9" w:rsidRDefault="005A6EB9" w:rsidP="005A6EB9">
      <w:pPr>
        <w:spacing w:after="0"/>
      </w:pPr>
      <w:r>
        <w:t>Authority required (STREAMLINED)</w:t>
      </w:r>
      <w:r w:rsidR="00601B3D">
        <w:t>:</w:t>
      </w:r>
      <w:r>
        <w:t xml:space="preserve"> 6075 </w:t>
      </w:r>
    </w:p>
    <w:p w14:paraId="697CF87F" w14:textId="77777777" w:rsidR="00AD032B" w:rsidRDefault="005A6EB9" w:rsidP="005A6EB9">
      <w:pPr>
        <w:spacing w:after="0"/>
        <w:rPr>
          <w:b/>
        </w:rPr>
      </w:pPr>
      <w:r>
        <w:t xml:space="preserve">Previously untreated stage III or IV </w:t>
      </w:r>
      <w:r w:rsidRPr="002768C8">
        <w:t>indolent</w:t>
      </w:r>
      <w:r w:rsidRPr="00610932">
        <w:t xml:space="preserve"> </w:t>
      </w:r>
      <w:r>
        <w:t xml:space="preserve">CD20 positive </w:t>
      </w:r>
      <w:r w:rsidRPr="002768C8">
        <w:t>non-Hodgkin's lymphoma</w:t>
      </w:r>
    </w:p>
    <w:p w14:paraId="7A56115A" w14:textId="77777777" w:rsidR="005A6EB9" w:rsidRDefault="005A6EB9" w:rsidP="005A6EB9">
      <w:pPr>
        <w:spacing w:after="0"/>
      </w:pPr>
      <w:r>
        <w:t xml:space="preserve">Treatment Phase: Induction treatment </w:t>
      </w:r>
    </w:p>
    <w:p w14:paraId="52E49524" w14:textId="77777777" w:rsidR="005A6EB9" w:rsidRDefault="005A6EB9" w:rsidP="005A6EB9">
      <w:pPr>
        <w:spacing w:after="0"/>
      </w:pPr>
      <w:r>
        <w:t xml:space="preserve">Clinical criteria: </w:t>
      </w:r>
    </w:p>
    <w:p w14:paraId="263A7234" w14:textId="77777777" w:rsidR="005A6EB9" w:rsidRDefault="005A6EB9" w:rsidP="005A6EB9">
      <w:pPr>
        <w:spacing w:after="0"/>
      </w:pPr>
      <w:r>
        <w:sym w:font="Symbol" w:char="F0B7"/>
      </w:r>
      <w:r>
        <w:t xml:space="preserve"> The treatment must be in combination with rituximab, AND </w:t>
      </w:r>
    </w:p>
    <w:p w14:paraId="2B3BEC7D" w14:textId="77777777" w:rsidR="005A6EB9" w:rsidRDefault="005A6EB9" w:rsidP="005A6EB9">
      <w:pPr>
        <w:spacing w:after="0"/>
      </w:pPr>
      <w:r>
        <w:sym w:font="Symbol" w:char="F0B7"/>
      </w:r>
      <w:r>
        <w:t xml:space="preserve"> The condition must be previously untreated, AND </w:t>
      </w:r>
    </w:p>
    <w:p w14:paraId="34EC48B5" w14:textId="77777777" w:rsidR="005A6EB9" w:rsidRDefault="005A6EB9" w:rsidP="005A6EB9">
      <w:pPr>
        <w:spacing w:after="0"/>
      </w:pPr>
      <w:r>
        <w:sym w:font="Symbol" w:char="F0B7"/>
      </w:r>
      <w:r>
        <w:t xml:space="preserve"> The condition must be symptomatic, AND </w:t>
      </w:r>
    </w:p>
    <w:p w14:paraId="67AE24AA" w14:textId="77777777" w:rsidR="005A6EB9" w:rsidRDefault="005A6EB9" w:rsidP="005A6EB9">
      <w:pPr>
        <w:spacing w:after="0"/>
      </w:pPr>
      <w:r>
        <w:sym w:font="Symbol" w:char="F0B7"/>
      </w:r>
      <w:r>
        <w:t xml:space="preserve"> The treatment must be for induction treatment purposes only, AND </w:t>
      </w:r>
    </w:p>
    <w:p w14:paraId="1EC17097" w14:textId="7275CDDF" w:rsidR="005A6EB9" w:rsidRPr="005A6EB9" w:rsidRDefault="005A6EB9" w:rsidP="005A6EB9">
      <w:pPr>
        <w:spacing w:after="0"/>
      </w:pPr>
      <w:r>
        <w:sym w:font="Symbol" w:char="F0B7"/>
      </w:r>
      <w:r>
        <w:t xml:space="preserve"> Patient must not receive more than 6 cycles (12 doses) of treatment under this restriction</w:t>
      </w:r>
      <w:r w:rsidR="00F553AE">
        <w:t>.</w:t>
      </w:r>
    </w:p>
    <w:p w14:paraId="7E091ABB" w14:textId="77777777" w:rsidR="005A6EB9" w:rsidRDefault="005A6EB9" w:rsidP="005A6EB9">
      <w:pPr>
        <w:spacing w:after="0"/>
      </w:pPr>
    </w:p>
    <w:p w14:paraId="3E537BE2" w14:textId="77777777" w:rsidR="005A6EB9" w:rsidRDefault="005A6EB9" w:rsidP="005A6EB9">
      <w:pPr>
        <w:spacing w:after="0"/>
      </w:pPr>
      <w:r>
        <w:t>Authority required (STREAMLINED)</w:t>
      </w:r>
      <w:r w:rsidR="00601B3D">
        <w:t>:</w:t>
      </w:r>
      <w:r>
        <w:t xml:space="preserve"> </w:t>
      </w:r>
      <w:r w:rsidRPr="005A6EB9">
        <w:t>6124</w:t>
      </w:r>
      <w:r>
        <w:t xml:space="preserve"> </w:t>
      </w:r>
    </w:p>
    <w:p w14:paraId="23C461FF" w14:textId="77777777" w:rsidR="005A6EB9" w:rsidRDefault="005A6EB9" w:rsidP="005A6EB9">
      <w:pPr>
        <w:spacing w:after="0"/>
      </w:pPr>
      <w:r>
        <w:t xml:space="preserve">Previously untreated stage III or IV CD20 positive </w:t>
      </w:r>
      <w:r w:rsidRPr="002768C8">
        <w:t>mantle cell lymphoma</w:t>
      </w:r>
      <w:r>
        <w:t xml:space="preserve"> </w:t>
      </w:r>
    </w:p>
    <w:p w14:paraId="3FF045C2" w14:textId="77777777" w:rsidR="005A6EB9" w:rsidRDefault="005A6EB9" w:rsidP="005A6EB9">
      <w:pPr>
        <w:spacing w:after="0"/>
      </w:pPr>
      <w:r>
        <w:t xml:space="preserve">Treatment Phase: Induction treatment </w:t>
      </w:r>
    </w:p>
    <w:p w14:paraId="7FB1004F" w14:textId="77777777" w:rsidR="005A6EB9" w:rsidRDefault="005A6EB9" w:rsidP="005A6EB9">
      <w:pPr>
        <w:spacing w:after="0"/>
      </w:pPr>
      <w:r>
        <w:t xml:space="preserve">Clinical criteria: </w:t>
      </w:r>
    </w:p>
    <w:p w14:paraId="4465D8ED" w14:textId="77777777" w:rsidR="005A6EB9" w:rsidRDefault="005A6EB9" w:rsidP="005A6EB9">
      <w:pPr>
        <w:spacing w:after="0"/>
      </w:pPr>
      <w:r>
        <w:sym w:font="Symbol" w:char="F0B7"/>
      </w:r>
      <w:r>
        <w:t xml:space="preserve"> The treatment must be in combination with rituximab, AND </w:t>
      </w:r>
    </w:p>
    <w:p w14:paraId="123FCA40" w14:textId="77777777" w:rsidR="005A6EB9" w:rsidRDefault="005A6EB9" w:rsidP="005A6EB9">
      <w:pPr>
        <w:spacing w:after="0"/>
      </w:pPr>
      <w:r>
        <w:sym w:font="Symbol" w:char="F0B7"/>
      </w:r>
      <w:r>
        <w:t xml:space="preserve"> The condition must be previously untreated, AND </w:t>
      </w:r>
    </w:p>
    <w:p w14:paraId="343EBE09" w14:textId="77777777" w:rsidR="005A6EB9" w:rsidRDefault="005A6EB9" w:rsidP="005A6EB9">
      <w:pPr>
        <w:spacing w:after="0"/>
      </w:pPr>
      <w:r>
        <w:sym w:font="Symbol" w:char="F0B7"/>
      </w:r>
      <w:r>
        <w:t xml:space="preserve"> The condition must be symptomatic, AND </w:t>
      </w:r>
    </w:p>
    <w:p w14:paraId="660D2F5E" w14:textId="77777777" w:rsidR="005A6EB9" w:rsidRDefault="005A6EB9" w:rsidP="005A6EB9">
      <w:pPr>
        <w:spacing w:after="0"/>
      </w:pPr>
      <w:r>
        <w:sym w:font="Symbol" w:char="F0B7"/>
      </w:r>
      <w:r>
        <w:t xml:space="preserve"> The treatment must be for induction treatment purposes only, AND </w:t>
      </w:r>
    </w:p>
    <w:p w14:paraId="22DF09A8" w14:textId="77777777" w:rsidR="005A6EB9" w:rsidRDefault="005A6EB9" w:rsidP="005A6EB9">
      <w:pPr>
        <w:spacing w:after="0"/>
      </w:pPr>
      <w:r>
        <w:sym w:font="Symbol" w:char="F0B7"/>
      </w:r>
      <w:r>
        <w:t xml:space="preserve"> Patient must not receive more than 6 cycles (12 doses) of treatment under this restriction, AND </w:t>
      </w:r>
    </w:p>
    <w:p w14:paraId="61824A12" w14:textId="77777777" w:rsidR="005A6EB9" w:rsidRDefault="005A6EB9" w:rsidP="005A6EB9">
      <w:pPr>
        <w:spacing w:after="0"/>
      </w:pPr>
      <w:r>
        <w:sym w:font="Symbol" w:char="F0B7"/>
      </w:r>
      <w:r>
        <w:t xml:space="preserve"> Patient must not be eligible for stem cell transplantation. </w:t>
      </w:r>
    </w:p>
    <w:p w14:paraId="5E607EC9" w14:textId="77777777" w:rsidR="00384AB7" w:rsidRDefault="00384AB7" w:rsidP="005A6EB9">
      <w:pPr>
        <w:spacing w:after="0"/>
      </w:pPr>
    </w:p>
    <w:p w14:paraId="36ECD497" w14:textId="77777777" w:rsidR="00431FB2" w:rsidRPr="002F61CA" w:rsidDel="00EE2BBB" w:rsidRDefault="00431FB2" w:rsidP="00431FB2">
      <w:r w:rsidRPr="002F61CA" w:rsidDel="00EE2BBB">
        <w:t xml:space="preserve">Current PBS listing details are available from </w:t>
      </w:r>
      <w:r w:rsidDel="00EE2BBB">
        <w:t xml:space="preserve">the </w:t>
      </w:r>
      <w:hyperlink r:id="rId11" w:history="1">
        <w:r w:rsidRPr="00645D51" w:rsidDel="00EE2BBB">
          <w:rPr>
            <w:rStyle w:val="Hyperlink"/>
          </w:rPr>
          <w:t>PBS website</w:t>
        </w:r>
      </w:hyperlink>
      <w:r w:rsidDel="00EE2BBB">
        <w:t>.</w:t>
      </w:r>
    </w:p>
    <w:p w14:paraId="36A46A17" w14:textId="77777777" w:rsidR="00431FB2" w:rsidRDefault="00431FB2" w:rsidP="00431FB2">
      <w:pPr>
        <w:pStyle w:val="Heading2"/>
      </w:pPr>
      <w:r>
        <w:lastRenderedPageBreak/>
        <w:t>Relevant aspects of</w:t>
      </w:r>
      <w:r w:rsidRPr="005E22C2">
        <w:t xml:space="preserve"> consideration</w:t>
      </w:r>
      <w:r>
        <w:t xml:space="preserve"> by the Pharmaceutical Benefits Advisory Committee (PBAC)</w:t>
      </w:r>
    </w:p>
    <w:p w14:paraId="5C86C7E6" w14:textId="77777777" w:rsidR="009520EB" w:rsidRPr="009520EB" w:rsidRDefault="009520EB" w:rsidP="00431FB2">
      <w:pPr>
        <w:rPr>
          <w:u w:val="single"/>
        </w:rPr>
      </w:pPr>
      <w:r w:rsidRPr="009520EB">
        <w:rPr>
          <w:u w:val="single"/>
        </w:rPr>
        <w:t>Original submission, March 2015 PBAC</w:t>
      </w:r>
    </w:p>
    <w:p w14:paraId="39AFB0B3" w14:textId="4DD68ADB" w:rsidR="00995B11" w:rsidRDefault="00995B11" w:rsidP="00431FB2">
      <w:r>
        <w:t xml:space="preserve">The first submission for </w:t>
      </w:r>
      <w:proofErr w:type="spellStart"/>
      <w:r w:rsidR="00653A4D">
        <w:t>bendamustine</w:t>
      </w:r>
      <w:proofErr w:type="spellEnd"/>
      <w:r>
        <w:t>, considered at the March 2015 PBAC meeting, requested listing for the treatment of lympho</w:t>
      </w:r>
      <w:r w:rsidR="00BC606A">
        <w:t>ma in three patient populations:</w:t>
      </w:r>
    </w:p>
    <w:p w14:paraId="241A9D51" w14:textId="77777777" w:rsidR="00E9631B" w:rsidRDefault="00995B11" w:rsidP="00995B11">
      <w:pPr>
        <w:pStyle w:val="ListParagraph"/>
        <w:numPr>
          <w:ilvl w:val="0"/>
          <w:numId w:val="16"/>
        </w:numPr>
      </w:pPr>
      <w:r w:rsidRPr="00995B11">
        <w:t>Induction for previously untreated indolent CD20 positive non-Hodgkin’s lymphoma</w:t>
      </w:r>
      <w:r>
        <w:t>.</w:t>
      </w:r>
    </w:p>
    <w:p w14:paraId="2C12018C" w14:textId="77777777" w:rsidR="00995B11" w:rsidRDefault="00995B11" w:rsidP="00995B11">
      <w:pPr>
        <w:pStyle w:val="ListParagraph"/>
        <w:numPr>
          <w:ilvl w:val="0"/>
          <w:numId w:val="16"/>
        </w:numPr>
      </w:pPr>
      <w:r w:rsidRPr="00995B11">
        <w:t>Induction for previously untreated mantle cell lymphoma</w:t>
      </w:r>
      <w:r>
        <w:t>.</w:t>
      </w:r>
    </w:p>
    <w:p w14:paraId="49D21886" w14:textId="77777777" w:rsidR="00995B11" w:rsidRDefault="00995B11" w:rsidP="00995B11">
      <w:pPr>
        <w:pStyle w:val="ListParagraph"/>
        <w:numPr>
          <w:ilvl w:val="0"/>
          <w:numId w:val="16"/>
        </w:numPr>
      </w:pPr>
      <w:r w:rsidRPr="00995B11">
        <w:t>Treatment for rituximab-refractory indolent non-Hodgkin’s lymphoma</w:t>
      </w:r>
    </w:p>
    <w:p w14:paraId="1C039D28" w14:textId="76ED63A7" w:rsidR="00653A4D" w:rsidRPr="00653A4D" w:rsidRDefault="00653A4D" w:rsidP="00807713">
      <w:pPr>
        <w:jc w:val="both"/>
        <w:rPr>
          <w:szCs w:val="22"/>
        </w:rPr>
      </w:pPr>
      <w:r w:rsidRPr="00653A4D">
        <w:rPr>
          <w:szCs w:val="22"/>
        </w:rPr>
        <w:t xml:space="preserve">The PBAC deferred its decision on </w:t>
      </w:r>
      <w:proofErr w:type="spellStart"/>
      <w:r w:rsidRPr="00653A4D">
        <w:rPr>
          <w:szCs w:val="22"/>
        </w:rPr>
        <w:t>bendamustine</w:t>
      </w:r>
      <w:proofErr w:type="spellEnd"/>
      <w:r w:rsidRPr="00653A4D">
        <w:rPr>
          <w:szCs w:val="22"/>
        </w:rPr>
        <w:t xml:space="preserve"> in previously untreated </w:t>
      </w:r>
      <w:proofErr w:type="spellStart"/>
      <w:r w:rsidRPr="00653A4D">
        <w:rPr>
          <w:szCs w:val="22"/>
        </w:rPr>
        <w:t>iNHL</w:t>
      </w:r>
      <w:proofErr w:type="spellEnd"/>
      <w:r w:rsidRPr="00653A4D">
        <w:rPr>
          <w:szCs w:val="22"/>
        </w:rPr>
        <w:t xml:space="preserve"> and MCL noting</w:t>
      </w:r>
      <w:r w:rsidR="00BC606A">
        <w:rPr>
          <w:szCs w:val="22"/>
        </w:rPr>
        <w:t>;</w:t>
      </w:r>
      <w:r w:rsidRPr="00653A4D">
        <w:rPr>
          <w:szCs w:val="22"/>
        </w:rPr>
        <w:t xml:space="preserve"> that the economic model submitted by the sponsor did not provide a reliable estimate of the cost</w:t>
      </w:r>
      <w:r w:rsidRPr="00653A4D">
        <w:rPr>
          <w:szCs w:val="22"/>
        </w:rPr>
        <w:noBreakHyphen/>
        <w:t xml:space="preserve">effectiveness of </w:t>
      </w:r>
      <w:proofErr w:type="spellStart"/>
      <w:r w:rsidRPr="00653A4D">
        <w:rPr>
          <w:szCs w:val="22"/>
        </w:rPr>
        <w:t>bendamustine</w:t>
      </w:r>
      <w:proofErr w:type="spellEnd"/>
      <w:r w:rsidRPr="00653A4D">
        <w:rPr>
          <w:szCs w:val="22"/>
        </w:rPr>
        <w:t xml:space="preserve">; the pending trial data (BRIGHT); and the high price compared to other brands of </w:t>
      </w:r>
      <w:proofErr w:type="spellStart"/>
      <w:r w:rsidRPr="00653A4D">
        <w:rPr>
          <w:szCs w:val="22"/>
        </w:rPr>
        <w:t>bendamustine</w:t>
      </w:r>
      <w:proofErr w:type="spellEnd"/>
      <w:r w:rsidRPr="00653A4D">
        <w:rPr>
          <w:szCs w:val="22"/>
        </w:rPr>
        <w:t xml:space="preserve"> imported under the TGA Special Access Scheme. The PBAC did not recommend </w:t>
      </w:r>
      <w:proofErr w:type="spellStart"/>
      <w:r w:rsidRPr="00653A4D">
        <w:rPr>
          <w:szCs w:val="22"/>
        </w:rPr>
        <w:t>bendamustine</w:t>
      </w:r>
      <w:proofErr w:type="spellEnd"/>
      <w:r w:rsidRPr="00653A4D">
        <w:rPr>
          <w:szCs w:val="22"/>
        </w:rPr>
        <w:t xml:space="preserve"> in the rituximab-refractory patient population.</w:t>
      </w:r>
    </w:p>
    <w:p w14:paraId="51B0BE27" w14:textId="223BA8F6" w:rsidR="00653A4D" w:rsidRPr="00653A4D" w:rsidRDefault="00653A4D" w:rsidP="00807713">
      <w:pPr>
        <w:jc w:val="both"/>
        <w:rPr>
          <w:szCs w:val="22"/>
        </w:rPr>
      </w:pPr>
      <w:r w:rsidRPr="00653A4D">
        <w:rPr>
          <w:szCs w:val="22"/>
        </w:rPr>
        <w:t>The PBAC agreed that R-CHOP</w:t>
      </w:r>
      <w:r w:rsidR="005D5AEA">
        <w:rPr>
          <w:rStyle w:val="FootnoteReference"/>
          <w:szCs w:val="22"/>
        </w:rPr>
        <w:footnoteReference w:id="4"/>
      </w:r>
      <w:r w:rsidRPr="00653A4D">
        <w:rPr>
          <w:szCs w:val="22"/>
        </w:rPr>
        <w:t xml:space="preserve"> was the appropriate comparator in the </w:t>
      </w:r>
      <w:proofErr w:type="spellStart"/>
      <w:r w:rsidRPr="00653A4D">
        <w:rPr>
          <w:szCs w:val="22"/>
        </w:rPr>
        <w:t>iNHL</w:t>
      </w:r>
      <w:proofErr w:type="spellEnd"/>
      <w:r w:rsidRPr="00653A4D">
        <w:rPr>
          <w:szCs w:val="22"/>
        </w:rPr>
        <w:t xml:space="preserve"> and MCL patient populations, and that best supportive care was the appropriate comparator in the rituximab-refractory patient population.  </w:t>
      </w:r>
    </w:p>
    <w:p w14:paraId="047BC7F8" w14:textId="77777777" w:rsidR="00653A4D" w:rsidRDefault="00653A4D" w:rsidP="00807713">
      <w:pPr>
        <w:jc w:val="both"/>
        <w:rPr>
          <w:szCs w:val="22"/>
        </w:rPr>
      </w:pPr>
      <w:r w:rsidRPr="00653A4D">
        <w:rPr>
          <w:szCs w:val="22"/>
        </w:rPr>
        <w:t xml:space="preserve">The PBAC welcomed the input received from individuals and organisations in support of the submission for </w:t>
      </w:r>
      <w:proofErr w:type="spellStart"/>
      <w:r w:rsidRPr="00653A4D">
        <w:rPr>
          <w:szCs w:val="22"/>
        </w:rPr>
        <w:t>bendamustine</w:t>
      </w:r>
      <w:proofErr w:type="spellEnd"/>
      <w:r w:rsidRPr="00653A4D">
        <w:rPr>
          <w:szCs w:val="22"/>
        </w:rPr>
        <w:t xml:space="preserve">, including at the consumer hearing. The comments outlined a range of benefits of </w:t>
      </w:r>
      <w:proofErr w:type="spellStart"/>
      <w:r w:rsidRPr="00653A4D">
        <w:rPr>
          <w:szCs w:val="22"/>
        </w:rPr>
        <w:t>bendamustine</w:t>
      </w:r>
      <w:proofErr w:type="spellEnd"/>
      <w:r w:rsidRPr="00653A4D">
        <w:rPr>
          <w:szCs w:val="22"/>
        </w:rPr>
        <w:t xml:space="preserve"> therapy including improved quality of life and a more favourable adverse event profile than currently available therapies. </w:t>
      </w:r>
    </w:p>
    <w:p w14:paraId="1BB33ADB" w14:textId="698CC04F" w:rsidR="00653A4D" w:rsidRDefault="00653A4D" w:rsidP="00807713">
      <w:pPr>
        <w:widowControl w:val="0"/>
        <w:jc w:val="both"/>
        <w:rPr>
          <w:szCs w:val="22"/>
        </w:rPr>
      </w:pPr>
      <w:r w:rsidRPr="00653A4D">
        <w:rPr>
          <w:szCs w:val="22"/>
        </w:rPr>
        <w:t xml:space="preserve">Bendamustine </w:t>
      </w:r>
      <w:r w:rsidR="00B81DE3">
        <w:rPr>
          <w:szCs w:val="22"/>
        </w:rPr>
        <w:t>wa</w:t>
      </w:r>
      <w:r w:rsidRPr="00653A4D">
        <w:rPr>
          <w:szCs w:val="22"/>
        </w:rPr>
        <w:t xml:space="preserve">s also TGA registered for the first line treatment of chronic lymphocytic leukaemia, and the PBAC considered this to be an area of high clinical need. However, the sponsor did not submit an application to the PBAC for this indication. </w:t>
      </w:r>
    </w:p>
    <w:p w14:paraId="45E59B28" w14:textId="33E1A75F" w:rsidR="00653A4D" w:rsidRPr="00653A4D" w:rsidRDefault="00653A4D" w:rsidP="00807713">
      <w:pPr>
        <w:widowControl w:val="0"/>
        <w:jc w:val="both"/>
        <w:rPr>
          <w:szCs w:val="22"/>
        </w:rPr>
      </w:pPr>
      <w:r w:rsidRPr="00653A4D">
        <w:rPr>
          <w:szCs w:val="22"/>
        </w:rPr>
        <w:t xml:space="preserve">For MCL, the PBAC considered that the </w:t>
      </w:r>
      <w:proofErr w:type="spellStart"/>
      <w:r w:rsidRPr="00653A4D">
        <w:rPr>
          <w:szCs w:val="22"/>
        </w:rPr>
        <w:t>bendamustine</w:t>
      </w:r>
      <w:proofErr w:type="spellEnd"/>
      <w:r w:rsidRPr="00653A4D">
        <w:rPr>
          <w:szCs w:val="22"/>
        </w:rPr>
        <w:t xml:space="preserve"> restriction </w:t>
      </w:r>
      <w:r w:rsidRPr="00653A4D">
        <w:rPr>
          <w:szCs w:val="22"/>
        </w:rPr>
        <w:lastRenderedPageBreak/>
        <w:t xml:space="preserve">should specify that use </w:t>
      </w:r>
      <w:proofErr w:type="gramStart"/>
      <w:r w:rsidRPr="00653A4D">
        <w:rPr>
          <w:szCs w:val="22"/>
        </w:rPr>
        <w:t>is</w:t>
      </w:r>
      <w:proofErr w:type="gramEnd"/>
      <w:r w:rsidRPr="00653A4D">
        <w:rPr>
          <w:szCs w:val="22"/>
        </w:rPr>
        <w:t xml:space="preserve"> for patients who are not eligible for stem cell transplant, which </w:t>
      </w:r>
      <w:r w:rsidR="00B81DE3">
        <w:rPr>
          <w:szCs w:val="22"/>
        </w:rPr>
        <w:t>wa</w:t>
      </w:r>
      <w:r w:rsidRPr="00653A4D">
        <w:rPr>
          <w:szCs w:val="22"/>
        </w:rPr>
        <w:t xml:space="preserve">s consistent with the </w:t>
      </w:r>
      <w:r w:rsidR="00B81DE3" w:rsidRPr="00B81DE3">
        <w:rPr>
          <w:szCs w:val="22"/>
        </w:rPr>
        <w:t>Study group indolent Lymphomas</w:t>
      </w:r>
      <w:r w:rsidR="00B81DE3">
        <w:rPr>
          <w:rFonts w:ascii="Arial" w:hAnsi="Arial" w:cs="Arial"/>
          <w:color w:val="505050"/>
          <w:lang w:val="en"/>
        </w:rPr>
        <w:t xml:space="preserve"> (</w:t>
      </w:r>
      <w:proofErr w:type="spellStart"/>
      <w:r w:rsidRPr="00653A4D">
        <w:rPr>
          <w:szCs w:val="22"/>
        </w:rPr>
        <w:t>StiL</w:t>
      </w:r>
      <w:proofErr w:type="spellEnd"/>
      <w:r w:rsidR="00B81DE3">
        <w:rPr>
          <w:szCs w:val="22"/>
        </w:rPr>
        <w:t>)</w:t>
      </w:r>
      <w:r w:rsidRPr="00653A4D">
        <w:rPr>
          <w:szCs w:val="22"/>
        </w:rPr>
        <w:t xml:space="preserve"> trial inclusion criteria. </w:t>
      </w:r>
    </w:p>
    <w:p w14:paraId="147E1ED5" w14:textId="65EF0CDC" w:rsidR="00653A4D" w:rsidRDefault="00653A4D" w:rsidP="00807713">
      <w:pPr>
        <w:widowControl w:val="0"/>
        <w:jc w:val="both"/>
        <w:rPr>
          <w:szCs w:val="22"/>
        </w:rPr>
      </w:pPr>
      <w:r w:rsidRPr="00653A4D">
        <w:rPr>
          <w:szCs w:val="22"/>
        </w:rPr>
        <w:t xml:space="preserve">The </w:t>
      </w:r>
      <w:proofErr w:type="spellStart"/>
      <w:r w:rsidRPr="00653A4D">
        <w:rPr>
          <w:szCs w:val="22"/>
        </w:rPr>
        <w:t>StiL</w:t>
      </w:r>
      <w:proofErr w:type="spellEnd"/>
      <w:r w:rsidRPr="00653A4D">
        <w:rPr>
          <w:szCs w:val="22"/>
        </w:rPr>
        <w:t xml:space="preserve"> trial did not include subsequent rituximab maintenance treatment. Both rituximab maintenance and </w:t>
      </w:r>
      <w:proofErr w:type="spellStart"/>
      <w:r w:rsidR="00952BC2">
        <w:rPr>
          <w:szCs w:val="22"/>
        </w:rPr>
        <w:t>bendamustine</w:t>
      </w:r>
      <w:proofErr w:type="spellEnd"/>
      <w:r w:rsidR="00952BC2">
        <w:rPr>
          <w:szCs w:val="22"/>
        </w:rPr>
        <w:t xml:space="preserve"> plus rituximab (</w:t>
      </w:r>
      <w:r w:rsidRPr="00653A4D">
        <w:rPr>
          <w:szCs w:val="22"/>
        </w:rPr>
        <w:t>B-R</w:t>
      </w:r>
      <w:r w:rsidR="00952BC2">
        <w:rPr>
          <w:szCs w:val="22"/>
        </w:rPr>
        <w:t>)</w:t>
      </w:r>
      <w:r w:rsidRPr="00653A4D">
        <w:rPr>
          <w:szCs w:val="22"/>
        </w:rPr>
        <w:t xml:space="preserve"> prolong </w:t>
      </w:r>
      <w:r w:rsidR="00C01947">
        <w:rPr>
          <w:szCs w:val="22"/>
        </w:rPr>
        <w:t>progression free survival (</w:t>
      </w:r>
      <w:r w:rsidRPr="00653A4D">
        <w:rPr>
          <w:szCs w:val="22"/>
        </w:rPr>
        <w:t>PFS</w:t>
      </w:r>
      <w:r w:rsidR="00C01947">
        <w:rPr>
          <w:szCs w:val="22"/>
        </w:rPr>
        <w:t>)</w:t>
      </w:r>
      <w:r w:rsidRPr="00653A4D">
        <w:rPr>
          <w:szCs w:val="22"/>
        </w:rPr>
        <w:t xml:space="preserve"> and no evidence was provided to demonstrate that these benefits would be additive. </w:t>
      </w:r>
      <w:r w:rsidR="00BC606A" w:rsidRPr="00653A4D">
        <w:rPr>
          <w:szCs w:val="22"/>
        </w:rPr>
        <w:t>Therefore,</w:t>
      </w:r>
      <w:r w:rsidRPr="00653A4D">
        <w:rPr>
          <w:szCs w:val="22"/>
        </w:rPr>
        <w:t xml:space="preserve"> the PBAC considered that the use of rituximab maintenance should not be permitted following induction</w:t>
      </w:r>
      <w:r w:rsidRPr="00CF1666">
        <w:t xml:space="preserve"> </w:t>
      </w:r>
      <w:r>
        <w:t xml:space="preserve">with </w:t>
      </w:r>
      <w:r w:rsidRPr="00653A4D">
        <w:rPr>
          <w:szCs w:val="22"/>
        </w:rPr>
        <w:t>B-R. This would require a flow-on change to the PBS restrictions for rituximab in the maintenance setting</w:t>
      </w:r>
      <w:r>
        <w:rPr>
          <w:szCs w:val="22"/>
        </w:rPr>
        <w:t>.</w:t>
      </w:r>
    </w:p>
    <w:p w14:paraId="457187ED" w14:textId="77777777" w:rsidR="00653A4D" w:rsidRPr="00653A4D" w:rsidRDefault="00653A4D" w:rsidP="00807713">
      <w:pPr>
        <w:jc w:val="both"/>
        <w:rPr>
          <w:i/>
          <w:szCs w:val="22"/>
        </w:rPr>
      </w:pPr>
      <w:r>
        <w:t xml:space="preserve">Therefore, the PBAC considered that the financial estimates should account for the exclusion of rituximab maintenance therapy following treatment with </w:t>
      </w:r>
      <w:proofErr w:type="spellStart"/>
      <w:r>
        <w:t>bendamustine</w:t>
      </w:r>
      <w:proofErr w:type="spellEnd"/>
      <w:r>
        <w:t>.</w:t>
      </w:r>
    </w:p>
    <w:p w14:paraId="2F7871EE" w14:textId="77777777" w:rsidR="00653A4D" w:rsidRPr="00653A4D" w:rsidRDefault="00653A4D" w:rsidP="00807713">
      <w:pPr>
        <w:rPr>
          <w:u w:val="single"/>
        </w:rPr>
      </w:pPr>
      <w:r>
        <w:t xml:space="preserve">The PBAC noted the need for patients to have subsidised access to concomitant rituximab. </w:t>
      </w:r>
    </w:p>
    <w:p w14:paraId="3AB78157" w14:textId="77777777" w:rsidR="009520EB" w:rsidRPr="009520EB" w:rsidRDefault="005B6C84" w:rsidP="0067517A">
      <w:pPr>
        <w:widowControl w:val="0"/>
        <w:jc w:val="both"/>
        <w:rPr>
          <w:szCs w:val="22"/>
        </w:rPr>
      </w:pPr>
      <w:r>
        <w:t xml:space="preserve">The submission was considered by DUSC. </w:t>
      </w:r>
      <w:r w:rsidR="009520EB" w:rsidRPr="009520EB">
        <w:rPr>
          <w:szCs w:val="22"/>
        </w:rPr>
        <w:t xml:space="preserve">The main issues identified by the DUSC in relation to the previously untreated </w:t>
      </w:r>
      <w:proofErr w:type="spellStart"/>
      <w:r w:rsidR="009520EB" w:rsidRPr="009520EB">
        <w:rPr>
          <w:szCs w:val="22"/>
        </w:rPr>
        <w:t>iNHL</w:t>
      </w:r>
      <w:proofErr w:type="spellEnd"/>
      <w:r w:rsidR="009520EB" w:rsidRPr="009520EB">
        <w:rPr>
          <w:szCs w:val="22"/>
        </w:rPr>
        <w:t xml:space="preserve"> and MCL indications were:</w:t>
      </w:r>
    </w:p>
    <w:p w14:paraId="2CE9C431" w14:textId="7528F7F2" w:rsidR="009520EB" w:rsidRPr="009520EB" w:rsidRDefault="009520EB" w:rsidP="009520EB">
      <w:pPr>
        <w:pStyle w:val="ListParagraph"/>
        <w:numPr>
          <w:ilvl w:val="0"/>
          <w:numId w:val="19"/>
        </w:numPr>
        <w:spacing w:after="0"/>
        <w:jc w:val="both"/>
        <w:rPr>
          <w:szCs w:val="22"/>
        </w:rPr>
      </w:pPr>
      <w:r w:rsidRPr="009520EB">
        <w:rPr>
          <w:szCs w:val="22"/>
        </w:rPr>
        <w:t xml:space="preserve">DUSC considered that a prevalence approach would have been preferable to the incidence approach taken particularly in year 1 of listing. DUSC </w:t>
      </w:r>
      <w:r w:rsidR="00297414">
        <w:rPr>
          <w:szCs w:val="22"/>
        </w:rPr>
        <w:t xml:space="preserve">considered </w:t>
      </w:r>
      <w:r w:rsidRPr="009520EB">
        <w:rPr>
          <w:szCs w:val="22"/>
        </w:rPr>
        <w:t xml:space="preserve">that there would be a prevalent pool of patients awaiting treatment, due to the chronic and relapsing-remitting nature of the disease. The patient numbers were therefore likely to be underestimated. </w:t>
      </w:r>
    </w:p>
    <w:p w14:paraId="1F18609F" w14:textId="77777777" w:rsidR="009520EB" w:rsidRPr="00E271F6" w:rsidRDefault="009520EB" w:rsidP="009520EB">
      <w:pPr>
        <w:pStyle w:val="ListParagraph"/>
        <w:numPr>
          <w:ilvl w:val="0"/>
          <w:numId w:val="19"/>
        </w:numPr>
        <w:spacing w:after="0"/>
        <w:jc w:val="both"/>
        <w:rPr>
          <w:szCs w:val="22"/>
        </w:rPr>
      </w:pPr>
      <w:r w:rsidRPr="00E271F6">
        <w:rPr>
          <w:szCs w:val="22"/>
        </w:rPr>
        <w:t xml:space="preserve">DUSC considered the linear incidence projections were not appropriate for all of the disease subtypes, particularly in relation to MCL, </w:t>
      </w:r>
      <w:proofErr w:type="spellStart"/>
      <w:r w:rsidRPr="00E271F6">
        <w:rPr>
          <w:szCs w:val="22"/>
        </w:rPr>
        <w:t>Waldenstrom’s</w:t>
      </w:r>
      <w:proofErr w:type="spellEnd"/>
      <w:r w:rsidRPr="00E271F6">
        <w:rPr>
          <w:szCs w:val="22"/>
        </w:rPr>
        <w:t xml:space="preserve"> </w:t>
      </w:r>
      <w:proofErr w:type="spellStart"/>
      <w:r w:rsidRPr="00E271F6">
        <w:rPr>
          <w:szCs w:val="22"/>
        </w:rPr>
        <w:t>macroglobulinaemia</w:t>
      </w:r>
      <w:proofErr w:type="spellEnd"/>
      <w:r w:rsidRPr="00E271F6">
        <w:rPr>
          <w:szCs w:val="22"/>
        </w:rPr>
        <w:t xml:space="preserve"> </w:t>
      </w:r>
      <w:r>
        <w:rPr>
          <w:szCs w:val="22"/>
        </w:rPr>
        <w:t>and small lymphocytic leukaemia.</w:t>
      </w:r>
    </w:p>
    <w:p w14:paraId="053F7EEB" w14:textId="77777777" w:rsidR="009520EB" w:rsidRPr="009520EB" w:rsidRDefault="009520EB" w:rsidP="009520EB">
      <w:pPr>
        <w:pStyle w:val="ListParagraph"/>
        <w:numPr>
          <w:ilvl w:val="0"/>
          <w:numId w:val="19"/>
        </w:numPr>
        <w:spacing w:after="0"/>
        <w:jc w:val="both"/>
        <w:rPr>
          <w:szCs w:val="22"/>
        </w:rPr>
      </w:pPr>
      <w:r w:rsidRPr="00E271F6">
        <w:rPr>
          <w:szCs w:val="22"/>
        </w:rPr>
        <w:t xml:space="preserve">DUSC expected that patients </w:t>
      </w:r>
      <w:proofErr w:type="gramStart"/>
      <w:r w:rsidRPr="00E271F6">
        <w:rPr>
          <w:szCs w:val="22"/>
        </w:rPr>
        <w:t>may</w:t>
      </w:r>
      <w:proofErr w:type="gramEnd"/>
      <w:r w:rsidRPr="00E271F6">
        <w:rPr>
          <w:szCs w:val="22"/>
        </w:rPr>
        <w:t xml:space="preserve"> cycle through all of the available treatments, such that </w:t>
      </w:r>
      <w:proofErr w:type="spellStart"/>
      <w:r w:rsidRPr="00E271F6">
        <w:rPr>
          <w:szCs w:val="22"/>
        </w:rPr>
        <w:t>bendamustine</w:t>
      </w:r>
      <w:proofErr w:type="spellEnd"/>
      <w:r w:rsidRPr="00E271F6">
        <w:rPr>
          <w:szCs w:val="22"/>
        </w:rPr>
        <w:t xml:space="preserve"> would delay rather than substitute R-CHOP or R-CVP. Therefore the DUSC considered that attributing market share proportions of the eligible population </w:t>
      </w:r>
      <w:r>
        <w:rPr>
          <w:szCs w:val="22"/>
        </w:rPr>
        <w:t>wa</w:t>
      </w:r>
      <w:r w:rsidRPr="00E271F6">
        <w:rPr>
          <w:szCs w:val="22"/>
        </w:rPr>
        <w:t xml:space="preserve">s not appropriate, when all eligible patients may try </w:t>
      </w:r>
      <w:proofErr w:type="spellStart"/>
      <w:r w:rsidRPr="00E271F6">
        <w:rPr>
          <w:szCs w:val="22"/>
        </w:rPr>
        <w:t>bendamustine</w:t>
      </w:r>
      <w:proofErr w:type="spellEnd"/>
      <w:r w:rsidRPr="00E271F6">
        <w:rPr>
          <w:szCs w:val="22"/>
        </w:rPr>
        <w:t>;</w:t>
      </w:r>
    </w:p>
    <w:p w14:paraId="6FF4B7F6" w14:textId="77777777" w:rsidR="009520EB" w:rsidRPr="00E271F6" w:rsidRDefault="009520EB" w:rsidP="009520EB">
      <w:pPr>
        <w:pStyle w:val="ListParagraph"/>
        <w:numPr>
          <w:ilvl w:val="0"/>
          <w:numId w:val="19"/>
        </w:numPr>
        <w:spacing w:after="0"/>
        <w:jc w:val="both"/>
        <w:rPr>
          <w:szCs w:val="22"/>
        </w:rPr>
      </w:pPr>
      <w:r w:rsidRPr="00E271F6">
        <w:rPr>
          <w:szCs w:val="22"/>
        </w:rPr>
        <w:t>Rituximab maintenance was not included;</w:t>
      </w:r>
    </w:p>
    <w:p w14:paraId="1A425A38" w14:textId="4700E905" w:rsidR="009520EB" w:rsidRPr="009520EB" w:rsidRDefault="009520EB" w:rsidP="009520EB">
      <w:pPr>
        <w:pStyle w:val="ListParagraph"/>
        <w:numPr>
          <w:ilvl w:val="0"/>
          <w:numId w:val="19"/>
        </w:numPr>
        <w:spacing w:after="0"/>
        <w:jc w:val="both"/>
        <w:rPr>
          <w:szCs w:val="22"/>
        </w:rPr>
      </w:pPr>
      <w:r w:rsidRPr="00E271F6">
        <w:rPr>
          <w:szCs w:val="22"/>
        </w:rPr>
        <w:lastRenderedPageBreak/>
        <w:t xml:space="preserve">There </w:t>
      </w:r>
      <w:r w:rsidR="00297414">
        <w:rPr>
          <w:szCs w:val="22"/>
        </w:rPr>
        <w:t>wa</w:t>
      </w:r>
      <w:r w:rsidRPr="00E271F6">
        <w:rPr>
          <w:szCs w:val="22"/>
        </w:rPr>
        <w:t xml:space="preserve">s potential for </w:t>
      </w:r>
      <w:proofErr w:type="spellStart"/>
      <w:r w:rsidRPr="00E271F6">
        <w:rPr>
          <w:szCs w:val="22"/>
        </w:rPr>
        <w:t>bendamustine</w:t>
      </w:r>
      <w:proofErr w:type="spellEnd"/>
      <w:r w:rsidRPr="00E271F6">
        <w:rPr>
          <w:szCs w:val="22"/>
        </w:rPr>
        <w:t xml:space="preserve"> to be used outside the requested restriction; including treatment as a second line and subsequent lines of therapy, use in rituximab-refractory MCL patients and leakage to CLL patients; and</w:t>
      </w:r>
    </w:p>
    <w:p w14:paraId="7E8BE7F0" w14:textId="77777777" w:rsidR="009520EB" w:rsidRDefault="009520EB" w:rsidP="009520EB">
      <w:pPr>
        <w:pStyle w:val="ListParagraph"/>
        <w:numPr>
          <w:ilvl w:val="0"/>
          <w:numId w:val="19"/>
        </w:numPr>
        <w:spacing w:after="0"/>
        <w:jc w:val="both"/>
        <w:rPr>
          <w:szCs w:val="22"/>
        </w:rPr>
      </w:pPr>
      <w:r w:rsidRPr="00E271F6">
        <w:rPr>
          <w:szCs w:val="22"/>
        </w:rPr>
        <w:t xml:space="preserve">Wastage of vials was not considered. </w:t>
      </w:r>
    </w:p>
    <w:p w14:paraId="584DDAF9" w14:textId="77777777" w:rsidR="009520EB" w:rsidRDefault="009520EB" w:rsidP="009520EB">
      <w:pPr>
        <w:pStyle w:val="ListParagraph"/>
        <w:spacing w:after="0"/>
        <w:ind w:left="360"/>
        <w:jc w:val="both"/>
        <w:rPr>
          <w:szCs w:val="22"/>
        </w:rPr>
      </w:pPr>
    </w:p>
    <w:p w14:paraId="14241BD9" w14:textId="77777777" w:rsidR="00431FB2" w:rsidRDefault="00431FB2" w:rsidP="00431FB2">
      <w:r>
        <w:t xml:space="preserve">For further </w:t>
      </w:r>
      <w:proofErr w:type="gramStart"/>
      <w:r>
        <w:t>details</w:t>
      </w:r>
      <w:proofErr w:type="gramEnd"/>
      <w:r>
        <w:t xml:space="preserve"> refer to </w:t>
      </w:r>
      <w:r w:rsidRPr="00F65F0D">
        <w:t>the</w:t>
      </w:r>
      <w:r>
        <w:t xml:space="preserve"> </w:t>
      </w:r>
      <w:hyperlink r:id="rId12" w:history="1">
        <w:r w:rsidRPr="00013711">
          <w:rPr>
            <w:rStyle w:val="Hyperlink"/>
          </w:rPr>
          <w:t>Public Summary Document</w:t>
        </w:r>
      </w:hyperlink>
      <w:r w:rsidRPr="00F65F0D">
        <w:t xml:space="preserve"> </w:t>
      </w:r>
      <w:r>
        <w:t xml:space="preserve">from the </w:t>
      </w:r>
      <w:r w:rsidR="002D778C">
        <w:t xml:space="preserve">March </w:t>
      </w:r>
      <w:r>
        <w:t>201</w:t>
      </w:r>
      <w:r w:rsidR="002D778C">
        <w:t>5</w:t>
      </w:r>
      <w:r>
        <w:t xml:space="preserve"> PBAC meeting.</w:t>
      </w:r>
    </w:p>
    <w:p w14:paraId="484D14B8" w14:textId="77777777" w:rsidR="009520EB" w:rsidRDefault="004266F0" w:rsidP="00431FB2">
      <w:r>
        <w:rPr>
          <w:u w:val="single"/>
        </w:rPr>
        <w:t>Minor resubmission</w:t>
      </w:r>
      <w:r w:rsidR="009520EB" w:rsidRPr="009520EB">
        <w:rPr>
          <w:u w:val="single"/>
        </w:rPr>
        <w:t xml:space="preserve">, </w:t>
      </w:r>
      <w:r>
        <w:rPr>
          <w:u w:val="single"/>
        </w:rPr>
        <w:t>July</w:t>
      </w:r>
      <w:r w:rsidR="009520EB" w:rsidRPr="009520EB">
        <w:rPr>
          <w:u w:val="single"/>
        </w:rPr>
        <w:t xml:space="preserve"> 2015 PBAC</w:t>
      </w:r>
    </w:p>
    <w:p w14:paraId="5020BC39" w14:textId="35D0F819" w:rsidR="002D778C" w:rsidRDefault="00431FB2" w:rsidP="00431FB2">
      <w:r>
        <w:t xml:space="preserve">A subsequent </w:t>
      </w:r>
      <w:r w:rsidR="002D778C">
        <w:t>minor re</w:t>
      </w:r>
      <w:r>
        <w:t>submission, considered at the July 201</w:t>
      </w:r>
      <w:r w:rsidR="002D778C">
        <w:t>5</w:t>
      </w:r>
      <w:r>
        <w:t xml:space="preserve"> </w:t>
      </w:r>
      <w:r w:rsidR="00297414">
        <w:t xml:space="preserve">PBAC </w:t>
      </w:r>
      <w:r>
        <w:t xml:space="preserve">meeting, requested </w:t>
      </w:r>
      <w:r w:rsidR="005D48D9">
        <w:t xml:space="preserve">listing for first line </w:t>
      </w:r>
      <w:proofErr w:type="spellStart"/>
      <w:r w:rsidR="005D48D9">
        <w:t>iNHL</w:t>
      </w:r>
      <w:proofErr w:type="spellEnd"/>
      <w:r w:rsidR="005D48D9">
        <w:t xml:space="preserve"> and MCL, but did not seek listing </w:t>
      </w:r>
      <w:r w:rsidR="00952BC2">
        <w:t xml:space="preserve">for </w:t>
      </w:r>
      <w:r w:rsidR="005D48D9">
        <w:t xml:space="preserve">rituximab refractory </w:t>
      </w:r>
      <w:proofErr w:type="spellStart"/>
      <w:r w:rsidR="005D48D9">
        <w:t>iNHL</w:t>
      </w:r>
      <w:proofErr w:type="spellEnd"/>
      <w:r w:rsidR="0067517A">
        <w:t>.</w:t>
      </w:r>
    </w:p>
    <w:p w14:paraId="12E1A755" w14:textId="77777777" w:rsidR="00C85E66" w:rsidRDefault="00C85E66" w:rsidP="00C85E66">
      <w:r>
        <w:t xml:space="preserve">The PBAC recommended the listing. The PBAC considered that </w:t>
      </w:r>
      <w:proofErr w:type="spellStart"/>
      <w:r>
        <w:t>bendamustine</w:t>
      </w:r>
      <w:proofErr w:type="spellEnd"/>
      <w:r>
        <w:t xml:space="preserve"> presented a less toxic alternative to existing treatments for NHL and MCL and accepted that it improved </w:t>
      </w:r>
      <w:r w:rsidR="005F6AC1">
        <w:t>PFS</w:t>
      </w:r>
      <w:r>
        <w:t>. The PBAC noted</w:t>
      </w:r>
      <w:proofErr w:type="gramStart"/>
      <w:r>
        <w:t>;</w:t>
      </w:r>
      <w:proofErr w:type="gramEnd"/>
    </w:p>
    <w:p w14:paraId="75DD2C6F" w14:textId="77777777" w:rsidR="00C85E66" w:rsidRDefault="00C85E66" w:rsidP="00C85E66">
      <w:pPr>
        <w:pStyle w:val="ListParagraph"/>
        <w:numPr>
          <w:ilvl w:val="0"/>
          <w:numId w:val="21"/>
        </w:numPr>
      </w:pPr>
      <w:r>
        <w:t xml:space="preserve">that the end of follow-up results for PFS and OS from the BRIGHT trial were anticipated to be reported in July 2017 and reiterated that it would wish to see and </w:t>
      </w:r>
      <w:r w:rsidR="00110030">
        <w:t>review these data when released;</w:t>
      </w:r>
      <w:r>
        <w:t xml:space="preserve"> </w:t>
      </w:r>
    </w:p>
    <w:p w14:paraId="043C858C" w14:textId="1182517D" w:rsidR="00C85E66" w:rsidRDefault="00C85E66" w:rsidP="00952BC2">
      <w:pPr>
        <w:pStyle w:val="ListParagraph"/>
        <w:numPr>
          <w:ilvl w:val="0"/>
          <w:numId w:val="21"/>
        </w:numPr>
      </w:pPr>
      <w:proofErr w:type="gramStart"/>
      <w:r>
        <w:t>analyses</w:t>
      </w:r>
      <w:proofErr w:type="gramEnd"/>
      <w:r>
        <w:t xml:space="preserve"> performed in the minor submission exploring the financial impact of no use of rituximab maintenance after induction therapy with </w:t>
      </w:r>
      <w:proofErr w:type="spellStart"/>
      <w:r>
        <w:t>bendamustine</w:t>
      </w:r>
      <w:proofErr w:type="spellEnd"/>
      <w:r>
        <w:t xml:space="preserve"> plus rituximab. Such maintenance </w:t>
      </w:r>
      <w:r w:rsidR="00297414">
        <w:t>wa</w:t>
      </w:r>
      <w:r>
        <w:t xml:space="preserve">s commonly used after R-CHOP induction for patients with follicular lymphoma, but is not part of the </w:t>
      </w:r>
      <w:proofErr w:type="spellStart"/>
      <w:r>
        <w:t>benda</w:t>
      </w:r>
      <w:r w:rsidR="00110030">
        <w:t>mustine</w:t>
      </w:r>
      <w:proofErr w:type="spellEnd"/>
      <w:r w:rsidR="00110030">
        <w:t xml:space="preserve"> plus rituximab regimen</w:t>
      </w:r>
      <w:r w:rsidR="00952BC2">
        <w:t>. T</w:t>
      </w:r>
      <w:r>
        <w:t xml:space="preserve">he analysis included the extreme assumption that all patients on R-CHOP would receive subsequent rituximab maintenance therapy. </w:t>
      </w:r>
      <w:proofErr w:type="gramStart"/>
      <w:r>
        <w:t>Therefore</w:t>
      </w:r>
      <w:proofErr w:type="gramEnd"/>
      <w:r>
        <w:t xml:space="preserve"> the projected cost savings of less than $10 million over 5 years were considered the upper limit of what may occur if </w:t>
      </w:r>
      <w:proofErr w:type="spellStart"/>
      <w:r>
        <w:t>bendamustine</w:t>
      </w:r>
      <w:proofErr w:type="spellEnd"/>
      <w:r>
        <w:t xml:space="preserve"> was to be PBS listed. Nevertheless, the PBAC did consider that there would be reduced expenditure on rituximab maintenance and that listing of </w:t>
      </w:r>
      <w:proofErr w:type="spellStart"/>
      <w:r>
        <w:t>bendamustine</w:t>
      </w:r>
      <w:proofErr w:type="spellEnd"/>
      <w:r>
        <w:t xml:space="preserve"> on the PBS for first line therapy of </w:t>
      </w:r>
      <w:proofErr w:type="spellStart"/>
      <w:r>
        <w:t>iNHL</w:t>
      </w:r>
      <w:proofErr w:type="spellEnd"/>
      <w:r>
        <w:t xml:space="preserve"> and mantle cell lymphoma could reasonably be expected to result in cost savings to the Commonwealth.  While the PBAC remained concerned about the limitations of the 3-state health model and the application of a 20-year time horizon in the con</w:t>
      </w:r>
      <w:r>
        <w:lastRenderedPageBreak/>
        <w:t xml:space="preserve">text of this disease, these concerns were diminished given projections that the listing of </w:t>
      </w:r>
      <w:proofErr w:type="spellStart"/>
      <w:r>
        <w:t>bendamustine</w:t>
      </w:r>
      <w:proofErr w:type="spellEnd"/>
      <w:r>
        <w:t xml:space="preserve"> could be cost saving to the Commonwealth.  In this context, the PBAC considered that the re-submission’s ICER of $15,000 - $45,000/QALY was a reasonable representation of the cost effectiveness of </w:t>
      </w:r>
      <w:proofErr w:type="spellStart"/>
      <w:r>
        <w:t>bendamustine</w:t>
      </w:r>
      <w:proofErr w:type="spellEnd"/>
      <w:r>
        <w:t>.</w:t>
      </w:r>
      <w:r w:rsidR="00110030">
        <w:t xml:space="preserve"> </w:t>
      </w:r>
      <w:r>
        <w:t xml:space="preserve">The PBAC considered, however, that these cost savings would not be realised in practice if maintenance therapy with rituximab </w:t>
      </w:r>
      <w:proofErr w:type="gramStart"/>
      <w:r>
        <w:t>was</w:t>
      </w:r>
      <w:proofErr w:type="gramEnd"/>
      <w:r>
        <w:t xml:space="preserve"> used following B</w:t>
      </w:r>
      <w:r w:rsidR="00297414">
        <w:t>-</w:t>
      </w:r>
      <w:r>
        <w:t xml:space="preserve">R induction therapy, noting that the cost-effectiveness of this approach had not been established. The PBAC recalled its advice from March 2015 that the use of rituximab maintenance should not be permitted following induction with </w:t>
      </w:r>
      <w:proofErr w:type="spellStart"/>
      <w:r>
        <w:t>bendamustine</w:t>
      </w:r>
      <w:proofErr w:type="spellEnd"/>
      <w:r>
        <w:t xml:space="preserve">, and that this would require a flow-on change to the PBS restrictions for rituximab in the maintenance setting. The PBAC thus recommended that the clinical criterion “The treatment must be for induction purposes only” should remain in the requested restriction for </w:t>
      </w:r>
      <w:proofErr w:type="spellStart"/>
      <w:r>
        <w:t>bendamustine</w:t>
      </w:r>
      <w:proofErr w:type="spellEnd"/>
      <w:r>
        <w:t xml:space="preserve">, and that the current maintenance listing for rituximab be amended to include an additional clinical criterion that precludes maintenance following </w:t>
      </w:r>
      <w:proofErr w:type="spellStart"/>
      <w:r>
        <w:t>bendamustine</w:t>
      </w:r>
      <w:proofErr w:type="spellEnd"/>
      <w:r>
        <w:t xml:space="preserve"> plus rituximab induction</w:t>
      </w:r>
      <w:r w:rsidR="00C372E0">
        <w:t>; and</w:t>
      </w:r>
      <w:r>
        <w:t xml:space="preserve"> </w:t>
      </w:r>
    </w:p>
    <w:p w14:paraId="20DC0A5A" w14:textId="47C4F067" w:rsidR="00110030" w:rsidRDefault="00110030" w:rsidP="00110030">
      <w:pPr>
        <w:pStyle w:val="ListParagraph"/>
        <w:numPr>
          <w:ilvl w:val="0"/>
          <w:numId w:val="21"/>
        </w:numPr>
      </w:pPr>
      <w:proofErr w:type="gramStart"/>
      <w:r>
        <w:t>that</w:t>
      </w:r>
      <w:proofErr w:type="gramEnd"/>
      <w:r>
        <w:t xml:space="preserve"> the submission did not address the use of </w:t>
      </w:r>
      <w:proofErr w:type="spellStart"/>
      <w:r>
        <w:t>bendamustine</w:t>
      </w:r>
      <w:proofErr w:type="spellEnd"/>
      <w:r>
        <w:t xml:space="preserve"> in CLL, and considered that a future submission for CLL would address the concerns regarding utilisation outside the restriction requested in the current restriction.</w:t>
      </w:r>
      <w:r w:rsidR="00D86C7C">
        <w:t xml:space="preserve"> </w:t>
      </w:r>
    </w:p>
    <w:p w14:paraId="3485E4E7" w14:textId="77777777" w:rsidR="00C85E66" w:rsidRDefault="00C85E66" w:rsidP="00C85E66">
      <w:r>
        <w:t xml:space="preserve">The PBAC considered that no increase to the maximum quantities or repeats should be authorised. </w:t>
      </w:r>
    </w:p>
    <w:p w14:paraId="0FAB5354" w14:textId="29A233E5" w:rsidR="00A426B8" w:rsidRPr="00587F9D" w:rsidRDefault="004B34DD" w:rsidP="00431FB2">
      <w:pPr>
        <w:rPr>
          <w:rFonts w:cstheme="minorHAnsi"/>
        </w:rPr>
      </w:pPr>
      <w:r>
        <w:rPr>
          <w:rFonts w:cstheme="minorHAnsi"/>
        </w:rPr>
        <w:t>The</w:t>
      </w:r>
      <w:r w:rsidR="00587F9D" w:rsidRPr="00587F9D">
        <w:rPr>
          <w:rFonts w:cstheme="minorHAnsi"/>
        </w:rPr>
        <w:t xml:space="preserve"> PBAC recommended that tiered financial caps should apply in order to limit the risk of use of </w:t>
      </w:r>
      <w:proofErr w:type="spellStart"/>
      <w:r w:rsidR="00587F9D" w:rsidRPr="00587F9D">
        <w:rPr>
          <w:rFonts w:cstheme="minorHAnsi"/>
        </w:rPr>
        <w:t>bendamustine</w:t>
      </w:r>
      <w:proofErr w:type="spellEnd"/>
      <w:r w:rsidR="00587F9D" w:rsidRPr="00587F9D">
        <w:rPr>
          <w:rFonts w:cstheme="minorHAnsi"/>
        </w:rPr>
        <w:t xml:space="preserve"> outside the recommended restriction. The PBAC considered that the first level of caps should be based on the patient numbers provided in the major submission for </w:t>
      </w:r>
      <w:proofErr w:type="spellStart"/>
      <w:r w:rsidR="00587F9D" w:rsidRPr="00587F9D">
        <w:rPr>
          <w:rFonts w:cstheme="minorHAnsi"/>
        </w:rPr>
        <w:t>bendamustine</w:t>
      </w:r>
      <w:proofErr w:type="spellEnd"/>
      <w:r w:rsidR="00587F9D" w:rsidRPr="00587F9D">
        <w:rPr>
          <w:rFonts w:cstheme="minorHAnsi"/>
        </w:rPr>
        <w:t xml:space="preserve"> (March 2015), with a rebate to apply above that cap to </w:t>
      </w:r>
      <w:r w:rsidR="00A5434D">
        <w:rPr>
          <w:rFonts w:cstheme="minorHAnsi"/>
          <w:noProof/>
          <w:color w:val="000000"/>
          <w:highlight w:val="black"/>
        </w:rPr>
        <w:t>xxxxxxxxxxxxxxxxxx</w:t>
      </w:r>
      <w:r w:rsidR="00587F9D" w:rsidRPr="00587F9D">
        <w:rPr>
          <w:rFonts w:cstheme="minorHAnsi"/>
          <w:noProof/>
          <w:color w:val="000000"/>
          <w:highlight w:val="black"/>
        </w:rPr>
        <w:t xml:space="preserve"> </w:t>
      </w:r>
      <w:r w:rsidR="00A5434D">
        <w:rPr>
          <w:rFonts w:cstheme="minorHAnsi"/>
          <w:noProof/>
          <w:color w:val="000000"/>
          <w:highlight w:val="black"/>
        </w:rPr>
        <w:t>xxxxxxx</w:t>
      </w:r>
      <w:r w:rsidR="00587F9D" w:rsidRPr="00587F9D">
        <w:rPr>
          <w:rFonts w:cstheme="minorHAnsi"/>
          <w:noProof/>
          <w:color w:val="000000"/>
          <w:highlight w:val="black"/>
        </w:rPr>
        <w:t xml:space="preserve"> </w:t>
      </w:r>
      <w:r w:rsidR="00A5434D">
        <w:rPr>
          <w:rFonts w:cstheme="minorHAnsi"/>
          <w:noProof/>
          <w:color w:val="000000"/>
          <w:highlight w:val="black"/>
        </w:rPr>
        <w:t>xxxxxxxxxxx</w:t>
      </w:r>
      <w:r w:rsidR="00587F9D" w:rsidRPr="00587F9D">
        <w:rPr>
          <w:rFonts w:cstheme="minorHAnsi"/>
          <w:noProof/>
          <w:color w:val="000000"/>
          <w:highlight w:val="black"/>
        </w:rPr>
        <w:t xml:space="preserve"> </w:t>
      </w:r>
      <w:r w:rsidR="00A5434D">
        <w:rPr>
          <w:rFonts w:cstheme="minorHAnsi"/>
          <w:noProof/>
          <w:color w:val="000000"/>
          <w:highlight w:val="black"/>
        </w:rPr>
        <w:t>xxxx</w:t>
      </w:r>
      <w:r w:rsidR="00587F9D" w:rsidRPr="00587F9D">
        <w:rPr>
          <w:rFonts w:cstheme="minorHAnsi"/>
          <w:noProof/>
          <w:color w:val="000000"/>
          <w:highlight w:val="black"/>
        </w:rPr>
        <w:t xml:space="preserve"> </w:t>
      </w:r>
      <w:r w:rsidR="00A5434D">
        <w:rPr>
          <w:rFonts w:cstheme="minorHAnsi"/>
          <w:noProof/>
          <w:color w:val="000000"/>
          <w:highlight w:val="black"/>
        </w:rPr>
        <w:t>xxxxxxxxxx</w:t>
      </w:r>
      <w:r w:rsidR="00587F9D" w:rsidRPr="00587F9D">
        <w:rPr>
          <w:rFonts w:cstheme="minorHAnsi"/>
          <w:noProof/>
          <w:color w:val="000000"/>
          <w:highlight w:val="black"/>
        </w:rPr>
        <w:t xml:space="preserve"> </w:t>
      </w:r>
      <w:r w:rsidR="00A5434D">
        <w:rPr>
          <w:rFonts w:cstheme="minorHAnsi"/>
          <w:noProof/>
          <w:color w:val="000000"/>
          <w:highlight w:val="black"/>
        </w:rPr>
        <w:t>xxxxx</w:t>
      </w:r>
      <w:r w:rsidR="00587F9D" w:rsidRPr="00587F9D">
        <w:rPr>
          <w:rFonts w:cstheme="minorHAnsi"/>
          <w:noProof/>
          <w:color w:val="000000"/>
          <w:highlight w:val="black"/>
        </w:rPr>
        <w:t xml:space="preserve"> </w:t>
      </w:r>
      <w:r w:rsidR="00A5434D">
        <w:rPr>
          <w:rFonts w:cstheme="minorHAnsi"/>
          <w:noProof/>
          <w:color w:val="000000"/>
          <w:highlight w:val="black"/>
        </w:rPr>
        <w:t>xxxxxxxxx</w:t>
      </w:r>
      <w:r w:rsidR="00587F9D" w:rsidRPr="00587F9D">
        <w:rPr>
          <w:rFonts w:cstheme="minorHAnsi"/>
          <w:noProof/>
          <w:color w:val="000000"/>
          <w:highlight w:val="black"/>
        </w:rPr>
        <w:t xml:space="preserve"> </w:t>
      </w:r>
      <w:r w:rsidR="00A5434D">
        <w:rPr>
          <w:rFonts w:cstheme="minorHAnsi"/>
          <w:noProof/>
          <w:color w:val="000000"/>
          <w:highlight w:val="black"/>
        </w:rPr>
        <w:t>xxxx</w:t>
      </w:r>
      <w:r w:rsidR="00587F9D" w:rsidRPr="00587F9D">
        <w:rPr>
          <w:rFonts w:cstheme="minorHAnsi"/>
          <w:noProof/>
          <w:color w:val="000000"/>
          <w:highlight w:val="black"/>
        </w:rPr>
        <w:t xml:space="preserve"> </w:t>
      </w:r>
      <w:r w:rsidR="00A5434D">
        <w:rPr>
          <w:rFonts w:cstheme="minorHAnsi"/>
          <w:noProof/>
          <w:color w:val="000000"/>
          <w:highlight w:val="black"/>
        </w:rPr>
        <w:t>xxxxxxxxxxxxxxxxxxxxxx</w:t>
      </w:r>
      <w:r w:rsidR="00587F9D" w:rsidRPr="00587F9D">
        <w:rPr>
          <w:rFonts w:cstheme="minorHAnsi"/>
        </w:rPr>
        <w:t xml:space="preserve">. The PBAC considered that if patient numbers substantially exceeded the estimates, it would most likely be driven by utilisation outside of the restriction e.g. in patients with CLL.   The PBAC therefore recommended that if utilisation exceeded </w:t>
      </w:r>
      <w:proofErr w:type="gramStart"/>
      <w:r w:rsidR="00A5434D">
        <w:rPr>
          <w:rFonts w:cstheme="minorHAnsi"/>
          <w:noProof/>
          <w:color w:val="000000"/>
          <w:highlight w:val="black"/>
        </w:rPr>
        <w:t>xxxxxx</w:t>
      </w:r>
      <w:r w:rsidR="00587F9D" w:rsidRPr="00587F9D">
        <w:rPr>
          <w:rFonts w:cstheme="minorHAnsi"/>
        </w:rPr>
        <w:t>%</w:t>
      </w:r>
      <w:proofErr w:type="gramEnd"/>
      <w:r w:rsidR="00587F9D" w:rsidRPr="00587F9D">
        <w:rPr>
          <w:rFonts w:cstheme="minorHAnsi"/>
        </w:rPr>
        <w:t xml:space="preserve"> above the cap, a </w:t>
      </w:r>
      <w:r w:rsidR="00A5434D">
        <w:rPr>
          <w:rFonts w:cstheme="minorHAnsi"/>
          <w:noProof/>
          <w:color w:val="000000"/>
          <w:highlight w:val="black"/>
        </w:rPr>
        <w:t>xxxxxxxxxx</w:t>
      </w:r>
      <w:r w:rsidR="00587F9D" w:rsidRPr="00587F9D">
        <w:rPr>
          <w:rFonts w:cstheme="minorHAnsi"/>
        </w:rPr>
        <w:t>% rebate should be implemented.</w:t>
      </w:r>
    </w:p>
    <w:p w14:paraId="3AA87616" w14:textId="77777777" w:rsidR="00431FB2" w:rsidRDefault="00431FB2" w:rsidP="00431FB2">
      <w:r>
        <w:t xml:space="preserve">For further </w:t>
      </w:r>
      <w:proofErr w:type="gramStart"/>
      <w:r>
        <w:t>details</w:t>
      </w:r>
      <w:proofErr w:type="gramEnd"/>
      <w:r>
        <w:t xml:space="preserve"> refer to </w:t>
      </w:r>
      <w:r w:rsidRPr="00F65F0D">
        <w:t>the</w:t>
      </w:r>
      <w:r>
        <w:t xml:space="preserve"> </w:t>
      </w:r>
      <w:hyperlink r:id="rId13" w:history="1">
        <w:r w:rsidRPr="00013711">
          <w:rPr>
            <w:rStyle w:val="Hyperlink"/>
          </w:rPr>
          <w:t>Public Summary Document</w:t>
        </w:r>
      </w:hyperlink>
      <w:r w:rsidRPr="00F65F0D">
        <w:t xml:space="preserve"> </w:t>
      </w:r>
      <w:r>
        <w:t xml:space="preserve">from the </w:t>
      </w:r>
      <w:r w:rsidR="00A426B8">
        <w:t xml:space="preserve">July </w:t>
      </w:r>
      <w:r>
        <w:t xml:space="preserve">2015 PBAC meeting. </w:t>
      </w:r>
    </w:p>
    <w:p w14:paraId="6BC70926" w14:textId="77777777" w:rsidR="00F5748D" w:rsidRDefault="00F5748D">
      <w:pPr>
        <w:spacing w:line="276" w:lineRule="auto"/>
        <w:rPr>
          <w:b/>
          <w:sz w:val="28"/>
        </w:rPr>
      </w:pPr>
      <w:r>
        <w:lastRenderedPageBreak/>
        <w:br w:type="page"/>
      </w:r>
    </w:p>
    <w:p w14:paraId="4DB6EADE" w14:textId="77777777" w:rsidR="000F2F51" w:rsidRDefault="00ED633B" w:rsidP="00CF5E22">
      <w:pPr>
        <w:pStyle w:val="Heading2"/>
      </w:pPr>
      <w:r>
        <w:lastRenderedPageBreak/>
        <w:t>A</w:t>
      </w:r>
      <w:r w:rsidR="000F2F51">
        <w:t xml:space="preserve">pproach </w:t>
      </w:r>
      <w:r>
        <w:t xml:space="preserve">taken to </w:t>
      </w:r>
      <w:r w:rsidR="000F2F51">
        <w:t>estimat</w:t>
      </w:r>
      <w:r>
        <w:t>e</w:t>
      </w:r>
      <w:r w:rsidR="000F2F51">
        <w:t xml:space="preserve"> utilisation</w:t>
      </w:r>
    </w:p>
    <w:p w14:paraId="7D5D2E6C" w14:textId="1C5FDBF7" w:rsidR="00050F82" w:rsidRDefault="00F94C77" w:rsidP="00050F82">
      <w:r>
        <w:t xml:space="preserve">The </w:t>
      </w:r>
      <w:r w:rsidR="00147579">
        <w:t>minor re</w:t>
      </w:r>
      <w:r>
        <w:t xml:space="preserve">submission </w:t>
      </w:r>
      <w:r w:rsidR="00147579">
        <w:t xml:space="preserve">to the July 2015 PBAC </w:t>
      </w:r>
      <w:r>
        <w:t xml:space="preserve">used an epidemiological </w:t>
      </w:r>
      <w:r w:rsidR="00147579">
        <w:t xml:space="preserve">incidence </w:t>
      </w:r>
      <w:r>
        <w:t>approach to estimate the number of pat</w:t>
      </w:r>
      <w:r w:rsidR="00680FBE">
        <w:t xml:space="preserve">ients eligible for </w:t>
      </w:r>
      <w:proofErr w:type="spellStart"/>
      <w:r w:rsidR="00147579">
        <w:t>bendamustine</w:t>
      </w:r>
      <w:proofErr w:type="spellEnd"/>
      <w:r w:rsidR="00680FBE">
        <w:t xml:space="preserve">. </w:t>
      </w:r>
      <w:r w:rsidR="00147579">
        <w:t xml:space="preserve">This followed </w:t>
      </w:r>
      <w:r w:rsidR="00110030">
        <w:t xml:space="preserve">the </w:t>
      </w:r>
      <w:r w:rsidR="00A93EF9">
        <w:t xml:space="preserve">same approach </w:t>
      </w:r>
      <w:r w:rsidR="00050F82">
        <w:t>and assumption</w:t>
      </w:r>
      <w:r w:rsidR="00952BC2">
        <w:t>s</w:t>
      </w:r>
      <w:r w:rsidR="00050F82">
        <w:t xml:space="preserve"> </w:t>
      </w:r>
      <w:r w:rsidR="00A93EF9">
        <w:t>as the original submission to the March 2015 PBAC.</w:t>
      </w:r>
    </w:p>
    <w:p w14:paraId="7ACAD506" w14:textId="1384446C" w:rsidR="00147579" w:rsidRDefault="00B061B7" w:rsidP="00F94C77">
      <w:r>
        <w:t>Table</w:t>
      </w:r>
      <w:r w:rsidR="00050F82">
        <w:t xml:space="preserve"> </w:t>
      </w:r>
      <w:r w:rsidR="00952BC2">
        <w:t>2</w:t>
      </w:r>
      <w:r>
        <w:t xml:space="preserve"> shows </w:t>
      </w:r>
      <w:r w:rsidR="00D759F8">
        <w:t xml:space="preserve">the parameters used to estimate </w:t>
      </w:r>
      <w:r w:rsidR="00E86B91">
        <w:t>utilisation and financial impact</w:t>
      </w:r>
      <w:r w:rsidR="008B4028">
        <w:t xml:space="preserve"> and is sourced</w:t>
      </w:r>
      <w:r w:rsidR="00E86B91">
        <w:t xml:space="preserve"> from the original submission to March 2015 PBAC</w:t>
      </w:r>
      <w:r w:rsidR="008B4028">
        <w:t xml:space="preserve">. </w:t>
      </w:r>
      <w:r w:rsidR="00050F82">
        <w:t xml:space="preserve">The incidence of </w:t>
      </w:r>
      <w:proofErr w:type="spellStart"/>
      <w:r w:rsidR="007533A4">
        <w:t>iNHL</w:t>
      </w:r>
      <w:proofErr w:type="spellEnd"/>
      <w:r w:rsidR="007533A4">
        <w:t xml:space="preserve"> and MCL was based on data requested from the AIHW Australian Cancer Database (ACD) from 1982 to 2009/10. These data were then projected to the estimate years of 2015 to 2020. The proportion of patients with Stage III/IV, CD20 positive</w:t>
      </w:r>
      <w:r w:rsidR="00A57A67">
        <w:t xml:space="preserve"> disease</w:t>
      </w:r>
      <w:r w:rsidR="007533A4">
        <w:t xml:space="preserve"> </w:t>
      </w:r>
      <w:r w:rsidR="004F0F43">
        <w:t>and market share w</w:t>
      </w:r>
      <w:r w:rsidR="00721283">
        <w:t>ere</w:t>
      </w:r>
      <w:r w:rsidR="004F0F43">
        <w:t xml:space="preserve"> based on published literature and market research.</w:t>
      </w:r>
    </w:p>
    <w:p w14:paraId="525B47AE" w14:textId="3F41CFCC" w:rsidR="009922B7" w:rsidRPr="00E86B91" w:rsidRDefault="00E86B91" w:rsidP="00E660DA">
      <w:pPr>
        <w:spacing w:after="0"/>
        <w:rPr>
          <w:b/>
        </w:rPr>
      </w:pPr>
      <w:bookmarkStart w:id="1" w:name="_Ref397669324"/>
      <w:r>
        <w:rPr>
          <w:b/>
        </w:rPr>
        <w:t xml:space="preserve">Table </w:t>
      </w:r>
      <w:r w:rsidR="00952BC2">
        <w:rPr>
          <w:b/>
        </w:rPr>
        <w:t>2</w:t>
      </w:r>
      <w:r w:rsidRPr="00E86B91">
        <w:rPr>
          <w:b/>
        </w:rPr>
        <w:t xml:space="preserve">: </w:t>
      </w:r>
      <w:bookmarkEnd w:id="1"/>
      <w:r w:rsidR="00952BC2">
        <w:rPr>
          <w:b/>
        </w:rPr>
        <w:t>Key p</w:t>
      </w:r>
      <w:r w:rsidRPr="00E86B91">
        <w:rPr>
          <w:b/>
        </w:rPr>
        <w:t>arameters used to estimate utilisation and financial impact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3261"/>
        <w:gridCol w:w="3084"/>
      </w:tblGrid>
      <w:tr w:rsidR="009922B7" w:rsidRPr="009922B7" w14:paraId="01A1B163" w14:textId="77777777" w:rsidTr="00E660DA">
        <w:trPr>
          <w:trHeight w:val="170"/>
        </w:trPr>
        <w:tc>
          <w:tcPr>
            <w:tcW w:w="2943" w:type="dxa"/>
            <w:shd w:val="clear" w:color="auto" w:fill="BFBFBF" w:themeFill="background1" w:themeFillShade="BF"/>
            <w:vAlign w:val="center"/>
          </w:tcPr>
          <w:p w14:paraId="12D9CBD6" w14:textId="77777777" w:rsidR="009922B7" w:rsidRPr="009922B7" w:rsidRDefault="009922B7" w:rsidP="00E660DA">
            <w:pPr>
              <w:spacing w:after="0"/>
              <w:rPr>
                <w:b/>
                <w:sz w:val="20"/>
                <w:szCs w:val="20"/>
              </w:rPr>
            </w:pPr>
            <w:r w:rsidRPr="009922B7">
              <w:rPr>
                <w:b/>
                <w:sz w:val="20"/>
                <w:szCs w:val="20"/>
              </w:rPr>
              <w:t>Data</w:t>
            </w:r>
          </w:p>
        </w:tc>
        <w:tc>
          <w:tcPr>
            <w:tcW w:w="3261" w:type="dxa"/>
            <w:shd w:val="clear" w:color="auto" w:fill="BFBFBF" w:themeFill="background1" w:themeFillShade="BF"/>
            <w:vAlign w:val="center"/>
          </w:tcPr>
          <w:p w14:paraId="486D7A41" w14:textId="77777777" w:rsidR="009922B7" w:rsidRPr="009922B7" w:rsidRDefault="009922B7" w:rsidP="00E660DA">
            <w:pPr>
              <w:spacing w:after="0"/>
              <w:rPr>
                <w:b/>
                <w:sz w:val="20"/>
                <w:szCs w:val="20"/>
              </w:rPr>
            </w:pPr>
            <w:r w:rsidRPr="009922B7">
              <w:rPr>
                <w:b/>
                <w:sz w:val="20"/>
                <w:szCs w:val="20"/>
              </w:rPr>
              <w:t>Value</w:t>
            </w:r>
          </w:p>
        </w:tc>
        <w:tc>
          <w:tcPr>
            <w:tcW w:w="3084" w:type="dxa"/>
            <w:shd w:val="clear" w:color="auto" w:fill="BFBFBF" w:themeFill="background1" w:themeFillShade="BF"/>
            <w:vAlign w:val="center"/>
          </w:tcPr>
          <w:p w14:paraId="2AF7DB38" w14:textId="77777777" w:rsidR="009922B7" w:rsidRPr="009922B7" w:rsidRDefault="009922B7" w:rsidP="00E660DA">
            <w:pPr>
              <w:spacing w:after="0"/>
              <w:rPr>
                <w:b/>
                <w:sz w:val="20"/>
                <w:szCs w:val="20"/>
              </w:rPr>
            </w:pPr>
            <w:r w:rsidRPr="009922B7">
              <w:rPr>
                <w:b/>
                <w:sz w:val="20"/>
                <w:szCs w:val="20"/>
              </w:rPr>
              <w:t>Source</w:t>
            </w:r>
          </w:p>
        </w:tc>
      </w:tr>
      <w:tr w:rsidR="009922B7" w:rsidRPr="009922B7" w14:paraId="435FE457" w14:textId="77777777" w:rsidTr="009F2BB2">
        <w:tc>
          <w:tcPr>
            <w:tcW w:w="9288" w:type="dxa"/>
            <w:gridSpan w:val="3"/>
            <w:vAlign w:val="center"/>
          </w:tcPr>
          <w:p w14:paraId="331EE5BA" w14:textId="77777777" w:rsidR="009922B7" w:rsidRPr="009922B7" w:rsidRDefault="009922B7" w:rsidP="00E660DA">
            <w:pPr>
              <w:spacing w:after="0"/>
              <w:rPr>
                <w:b/>
                <w:sz w:val="20"/>
                <w:szCs w:val="20"/>
              </w:rPr>
            </w:pPr>
            <w:r w:rsidRPr="009922B7">
              <w:rPr>
                <w:b/>
                <w:sz w:val="20"/>
                <w:szCs w:val="20"/>
              </w:rPr>
              <w:t>Estimating patient numbers</w:t>
            </w:r>
          </w:p>
        </w:tc>
      </w:tr>
      <w:tr w:rsidR="00050F82" w:rsidRPr="009922B7" w14:paraId="6B141499" w14:textId="77777777" w:rsidTr="009F2BB2">
        <w:tc>
          <w:tcPr>
            <w:tcW w:w="2943" w:type="dxa"/>
            <w:vAlign w:val="center"/>
          </w:tcPr>
          <w:p w14:paraId="50C7C5CB" w14:textId="77777777" w:rsidR="00050F82" w:rsidRPr="009922B7" w:rsidRDefault="00050F82" w:rsidP="00E660DA">
            <w:pPr>
              <w:spacing w:after="0"/>
              <w:rPr>
                <w:sz w:val="20"/>
                <w:szCs w:val="20"/>
              </w:rPr>
            </w:pPr>
            <w:r w:rsidRPr="00050F82">
              <w:rPr>
                <w:sz w:val="20"/>
                <w:szCs w:val="20"/>
              </w:rPr>
              <w:t xml:space="preserve">Incidence data (crude, age and sex-specific) for </w:t>
            </w:r>
            <w:proofErr w:type="spellStart"/>
            <w:r w:rsidRPr="00050F82">
              <w:rPr>
                <w:sz w:val="20"/>
                <w:szCs w:val="20"/>
              </w:rPr>
              <w:t>iNHL</w:t>
            </w:r>
            <w:proofErr w:type="spellEnd"/>
            <w:r w:rsidRPr="00050F82">
              <w:rPr>
                <w:sz w:val="20"/>
                <w:szCs w:val="20"/>
              </w:rPr>
              <w:t xml:space="preserve"> subtypes (FL, MZL, SLL, LPL and WM) and MCL in Australia from 1982 through to 2009/10</w:t>
            </w:r>
          </w:p>
        </w:tc>
        <w:tc>
          <w:tcPr>
            <w:tcW w:w="3261" w:type="dxa"/>
            <w:vAlign w:val="center"/>
          </w:tcPr>
          <w:p w14:paraId="1AFBD95C" w14:textId="77777777" w:rsidR="00050F82" w:rsidRPr="009922B7" w:rsidRDefault="00C21FD6" w:rsidP="00E660DA">
            <w:pPr>
              <w:spacing w:after="0"/>
              <w:rPr>
                <w:sz w:val="20"/>
                <w:szCs w:val="20"/>
              </w:rPr>
            </w:pPr>
            <w:r>
              <w:rPr>
                <w:sz w:val="20"/>
                <w:szCs w:val="20"/>
              </w:rPr>
              <w:t>Various</w:t>
            </w:r>
          </w:p>
        </w:tc>
        <w:tc>
          <w:tcPr>
            <w:tcW w:w="3084" w:type="dxa"/>
            <w:vAlign w:val="center"/>
          </w:tcPr>
          <w:p w14:paraId="4ACE6561" w14:textId="77777777" w:rsidR="00050F82" w:rsidRPr="009922B7" w:rsidRDefault="00050F82" w:rsidP="00E660DA">
            <w:pPr>
              <w:spacing w:after="0"/>
              <w:rPr>
                <w:sz w:val="20"/>
                <w:szCs w:val="20"/>
              </w:rPr>
            </w:pPr>
            <w:r>
              <w:rPr>
                <w:sz w:val="20"/>
                <w:szCs w:val="20"/>
              </w:rPr>
              <w:t>R</w:t>
            </w:r>
            <w:r w:rsidRPr="00050F82">
              <w:rPr>
                <w:sz w:val="20"/>
                <w:szCs w:val="20"/>
              </w:rPr>
              <w:t>equested from the AIHW Australian Cancer Database (ACD)</w:t>
            </w:r>
          </w:p>
        </w:tc>
      </w:tr>
      <w:tr w:rsidR="009922B7" w:rsidRPr="009922B7" w14:paraId="28FBEC5F" w14:textId="77777777" w:rsidTr="009F2BB2">
        <w:tc>
          <w:tcPr>
            <w:tcW w:w="2943" w:type="dxa"/>
            <w:vAlign w:val="center"/>
          </w:tcPr>
          <w:p w14:paraId="7C673407" w14:textId="77777777" w:rsidR="009922B7" w:rsidRPr="009922B7" w:rsidRDefault="009922B7" w:rsidP="00E660DA">
            <w:pPr>
              <w:spacing w:after="0"/>
              <w:rPr>
                <w:sz w:val="20"/>
                <w:szCs w:val="20"/>
              </w:rPr>
            </w:pPr>
            <w:r w:rsidRPr="009922B7">
              <w:rPr>
                <w:sz w:val="20"/>
                <w:szCs w:val="20"/>
              </w:rPr>
              <w:t>Proportion of FL patients with stage III/IV disease</w:t>
            </w:r>
          </w:p>
        </w:tc>
        <w:tc>
          <w:tcPr>
            <w:tcW w:w="3261" w:type="dxa"/>
            <w:vAlign w:val="center"/>
          </w:tcPr>
          <w:p w14:paraId="1E43F9E4" w14:textId="77777777" w:rsidR="009922B7" w:rsidRPr="009922B7" w:rsidRDefault="009922B7" w:rsidP="00E660DA">
            <w:pPr>
              <w:spacing w:after="0"/>
              <w:rPr>
                <w:sz w:val="20"/>
                <w:szCs w:val="20"/>
              </w:rPr>
            </w:pPr>
            <w:r w:rsidRPr="009922B7">
              <w:rPr>
                <w:sz w:val="20"/>
                <w:szCs w:val="20"/>
              </w:rPr>
              <w:t>67%</w:t>
            </w:r>
          </w:p>
        </w:tc>
        <w:tc>
          <w:tcPr>
            <w:tcW w:w="3084" w:type="dxa"/>
            <w:vAlign w:val="center"/>
          </w:tcPr>
          <w:p w14:paraId="30D6515B" w14:textId="77777777" w:rsidR="009922B7" w:rsidRPr="009922B7" w:rsidRDefault="009922B7" w:rsidP="00E660DA">
            <w:pPr>
              <w:spacing w:after="0"/>
              <w:rPr>
                <w:sz w:val="20"/>
                <w:szCs w:val="20"/>
              </w:rPr>
            </w:pPr>
            <w:r w:rsidRPr="009922B7">
              <w:rPr>
                <w:sz w:val="20"/>
                <w:szCs w:val="20"/>
              </w:rPr>
              <w:t xml:space="preserve">Armitage 1998 and </w:t>
            </w:r>
            <w:proofErr w:type="spellStart"/>
            <w:r w:rsidRPr="009922B7">
              <w:rPr>
                <w:sz w:val="20"/>
                <w:szCs w:val="20"/>
              </w:rPr>
              <w:t>Nabhan</w:t>
            </w:r>
            <w:proofErr w:type="spellEnd"/>
            <w:r w:rsidRPr="009922B7">
              <w:rPr>
                <w:sz w:val="20"/>
                <w:szCs w:val="20"/>
              </w:rPr>
              <w:t xml:space="preserve"> 2012</w:t>
            </w:r>
          </w:p>
        </w:tc>
      </w:tr>
      <w:tr w:rsidR="009922B7" w:rsidRPr="009922B7" w14:paraId="0B9590A7" w14:textId="77777777" w:rsidTr="009F2BB2">
        <w:tc>
          <w:tcPr>
            <w:tcW w:w="2943" w:type="dxa"/>
            <w:vAlign w:val="center"/>
          </w:tcPr>
          <w:p w14:paraId="63A7C9F5" w14:textId="77777777" w:rsidR="009922B7" w:rsidRPr="009922B7" w:rsidRDefault="009922B7" w:rsidP="00E660DA">
            <w:pPr>
              <w:spacing w:after="0"/>
              <w:rPr>
                <w:sz w:val="20"/>
                <w:szCs w:val="20"/>
              </w:rPr>
            </w:pPr>
            <w:r w:rsidRPr="009922B7">
              <w:rPr>
                <w:sz w:val="20"/>
                <w:szCs w:val="20"/>
              </w:rPr>
              <w:t xml:space="preserve">Proportion of </w:t>
            </w:r>
            <w:proofErr w:type="spellStart"/>
            <w:r w:rsidRPr="009922B7">
              <w:rPr>
                <w:sz w:val="20"/>
                <w:szCs w:val="20"/>
              </w:rPr>
              <w:t>iNHL</w:t>
            </w:r>
            <w:proofErr w:type="spellEnd"/>
            <w:r w:rsidRPr="009922B7">
              <w:rPr>
                <w:sz w:val="20"/>
                <w:szCs w:val="20"/>
              </w:rPr>
              <w:t xml:space="preserve"> (</w:t>
            </w:r>
            <w:proofErr w:type="spellStart"/>
            <w:r w:rsidRPr="009922B7">
              <w:rPr>
                <w:sz w:val="20"/>
                <w:szCs w:val="20"/>
              </w:rPr>
              <w:t>exc</w:t>
            </w:r>
            <w:proofErr w:type="spellEnd"/>
            <w:r w:rsidRPr="009922B7">
              <w:rPr>
                <w:sz w:val="20"/>
                <w:szCs w:val="20"/>
              </w:rPr>
              <w:t xml:space="preserve"> FL) patients with stage III/IV disease</w:t>
            </w:r>
          </w:p>
        </w:tc>
        <w:tc>
          <w:tcPr>
            <w:tcW w:w="3261" w:type="dxa"/>
            <w:vAlign w:val="center"/>
          </w:tcPr>
          <w:p w14:paraId="36FBA6DA" w14:textId="77777777" w:rsidR="009922B7" w:rsidRPr="009922B7" w:rsidRDefault="009922B7" w:rsidP="00E660DA">
            <w:pPr>
              <w:spacing w:after="0"/>
              <w:rPr>
                <w:sz w:val="20"/>
                <w:szCs w:val="20"/>
              </w:rPr>
            </w:pPr>
            <w:r w:rsidRPr="009922B7">
              <w:rPr>
                <w:sz w:val="20"/>
                <w:szCs w:val="20"/>
              </w:rPr>
              <w:t>62%</w:t>
            </w:r>
          </w:p>
        </w:tc>
        <w:tc>
          <w:tcPr>
            <w:tcW w:w="3084" w:type="dxa"/>
            <w:vAlign w:val="center"/>
          </w:tcPr>
          <w:p w14:paraId="6F3CD3C8" w14:textId="77777777" w:rsidR="009922B7" w:rsidRPr="009922B7" w:rsidRDefault="009922B7" w:rsidP="00E660DA">
            <w:pPr>
              <w:spacing w:after="0"/>
              <w:rPr>
                <w:sz w:val="20"/>
                <w:szCs w:val="20"/>
              </w:rPr>
            </w:pPr>
            <w:r w:rsidRPr="009922B7">
              <w:rPr>
                <w:sz w:val="20"/>
                <w:szCs w:val="20"/>
              </w:rPr>
              <w:t>Armitage 1998 (weighted average)</w:t>
            </w:r>
          </w:p>
        </w:tc>
      </w:tr>
      <w:tr w:rsidR="009922B7" w:rsidRPr="009922B7" w14:paraId="10C28D67" w14:textId="77777777" w:rsidTr="009F2BB2">
        <w:tc>
          <w:tcPr>
            <w:tcW w:w="2943" w:type="dxa"/>
            <w:vAlign w:val="center"/>
          </w:tcPr>
          <w:p w14:paraId="03DB06DA" w14:textId="77777777" w:rsidR="009922B7" w:rsidRPr="009922B7" w:rsidRDefault="009922B7" w:rsidP="00E660DA">
            <w:pPr>
              <w:spacing w:after="0"/>
              <w:rPr>
                <w:sz w:val="20"/>
                <w:szCs w:val="20"/>
              </w:rPr>
            </w:pPr>
            <w:r w:rsidRPr="009922B7">
              <w:rPr>
                <w:sz w:val="20"/>
                <w:szCs w:val="20"/>
              </w:rPr>
              <w:t>Proportion of MCL patients with stage III/IV disease</w:t>
            </w:r>
          </w:p>
        </w:tc>
        <w:tc>
          <w:tcPr>
            <w:tcW w:w="3261" w:type="dxa"/>
            <w:vAlign w:val="center"/>
          </w:tcPr>
          <w:p w14:paraId="04A284CF" w14:textId="77777777" w:rsidR="009922B7" w:rsidRPr="009922B7" w:rsidRDefault="009922B7" w:rsidP="00E660DA">
            <w:pPr>
              <w:spacing w:after="0"/>
              <w:rPr>
                <w:sz w:val="20"/>
                <w:szCs w:val="20"/>
              </w:rPr>
            </w:pPr>
            <w:r w:rsidRPr="009922B7">
              <w:rPr>
                <w:sz w:val="20"/>
                <w:szCs w:val="20"/>
              </w:rPr>
              <w:t>80%</w:t>
            </w:r>
          </w:p>
        </w:tc>
        <w:tc>
          <w:tcPr>
            <w:tcW w:w="3084" w:type="dxa"/>
            <w:vAlign w:val="center"/>
          </w:tcPr>
          <w:p w14:paraId="69CDA1BC" w14:textId="77777777" w:rsidR="009922B7" w:rsidRPr="009922B7" w:rsidRDefault="009922B7" w:rsidP="00E660DA">
            <w:pPr>
              <w:spacing w:after="0"/>
              <w:rPr>
                <w:sz w:val="20"/>
                <w:szCs w:val="20"/>
              </w:rPr>
            </w:pPr>
            <w:r w:rsidRPr="009922B7">
              <w:rPr>
                <w:sz w:val="20"/>
                <w:szCs w:val="20"/>
              </w:rPr>
              <w:t xml:space="preserve">Armitage 1998, </w:t>
            </w:r>
            <w:proofErr w:type="spellStart"/>
            <w:r w:rsidRPr="009922B7">
              <w:rPr>
                <w:sz w:val="20"/>
                <w:szCs w:val="20"/>
              </w:rPr>
              <w:t>Abrahamsson</w:t>
            </w:r>
            <w:proofErr w:type="spellEnd"/>
            <w:r w:rsidRPr="009922B7">
              <w:rPr>
                <w:sz w:val="20"/>
                <w:szCs w:val="20"/>
              </w:rPr>
              <w:t xml:space="preserve"> 2014 and </w:t>
            </w:r>
            <w:proofErr w:type="spellStart"/>
            <w:r w:rsidRPr="009922B7">
              <w:rPr>
                <w:sz w:val="20"/>
                <w:szCs w:val="20"/>
              </w:rPr>
              <w:t>Leux</w:t>
            </w:r>
            <w:proofErr w:type="spellEnd"/>
            <w:r w:rsidRPr="009922B7">
              <w:rPr>
                <w:sz w:val="20"/>
                <w:szCs w:val="20"/>
              </w:rPr>
              <w:t xml:space="preserve"> 2014</w:t>
            </w:r>
          </w:p>
        </w:tc>
      </w:tr>
      <w:tr w:rsidR="009922B7" w:rsidRPr="009922B7" w14:paraId="5BD7B4D3" w14:textId="77777777" w:rsidTr="009F2BB2">
        <w:tc>
          <w:tcPr>
            <w:tcW w:w="2943" w:type="dxa"/>
            <w:vAlign w:val="center"/>
          </w:tcPr>
          <w:p w14:paraId="12B775AC" w14:textId="77777777" w:rsidR="009922B7" w:rsidRPr="009922B7" w:rsidRDefault="009922B7" w:rsidP="00E660DA">
            <w:pPr>
              <w:spacing w:after="0"/>
              <w:rPr>
                <w:sz w:val="20"/>
                <w:szCs w:val="20"/>
              </w:rPr>
            </w:pPr>
            <w:r w:rsidRPr="009922B7">
              <w:rPr>
                <w:sz w:val="20"/>
                <w:szCs w:val="20"/>
              </w:rPr>
              <w:t xml:space="preserve">Proportion of </w:t>
            </w:r>
            <w:proofErr w:type="spellStart"/>
            <w:r w:rsidRPr="009922B7">
              <w:rPr>
                <w:sz w:val="20"/>
                <w:szCs w:val="20"/>
              </w:rPr>
              <w:t>iNHL</w:t>
            </w:r>
            <w:proofErr w:type="spellEnd"/>
            <w:r w:rsidRPr="009922B7">
              <w:rPr>
                <w:sz w:val="20"/>
                <w:szCs w:val="20"/>
              </w:rPr>
              <w:t xml:space="preserve"> (</w:t>
            </w:r>
            <w:proofErr w:type="spellStart"/>
            <w:r w:rsidRPr="009922B7">
              <w:rPr>
                <w:sz w:val="20"/>
                <w:szCs w:val="20"/>
              </w:rPr>
              <w:t>inc</w:t>
            </w:r>
            <w:proofErr w:type="spellEnd"/>
            <w:r w:rsidRPr="009922B7">
              <w:rPr>
                <w:sz w:val="20"/>
                <w:szCs w:val="20"/>
              </w:rPr>
              <w:t xml:space="preserve"> FL) and MCL patients who are CD20 positive </w:t>
            </w:r>
          </w:p>
        </w:tc>
        <w:tc>
          <w:tcPr>
            <w:tcW w:w="3261" w:type="dxa"/>
            <w:vAlign w:val="center"/>
          </w:tcPr>
          <w:p w14:paraId="232A0561" w14:textId="77777777" w:rsidR="009922B7" w:rsidRPr="009922B7" w:rsidRDefault="009922B7" w:rsidP="00E660DA">
            <w:pPr>
              <w:spacing w:after="0"/>
              <w:rPr>
                <w:sz w:val="20"/>
                <w:szCs w:val="20"/>
              </w:rPr>
            </w:pPr>
            <w:r w:rsidRPr="009922B7">
              <w:rPr>
                <w:sz w:val="20"/>
                <w:szCs w:val="20"/>
              </w:rPr>
              <w:t>95%</w:t>
            </w:r>
          </w:p>
        </w:tc>
        <w:tc>
          <w:tcPr>
            <w:tcW w:w="3084" w:type="dxa"/>
            <w:vAlign w:val="center"/>
          </w:tcPr>
          <w:p w14:paraId="1E1D0F11" w14:textId="77777777" w:rsidR="009922B7" w:rsidRPr="009922B7" w:rsidRDefault="009922B7" w:rsidP="00E660DA">
            <w:pPr>
              <w:spacing w:after="0"/>
              <w:rPr>
                <w:sz w:val="20"/>
                <w:szCs w:val="20"/>
              </w:rPr>
            </w:pPr>
            <w:r w:rsidRPr="009922B7">
              <w:rPr>
                <w:sz w:val="20"/>
                <w:szCs w:val="20"/>
              </w:rPr>
              <w:t>Davis 1999</w:t>
            </w:r>
          </w:p>
        </w:tc>
      </w:tr>
      <w:tr w:rsidR="009922B7" w:rsidRPr="009922B7" w14:paraId="74EC7F7A" w14:textId="77777777" w:rsidTr="009F2BB2">
        <w:tc>
          <w:tcPr>
            <w:tcW w:w="2943" w:type="dxa"/>
            <w:vAlign w:val="center"/>
          </w:tcPr>
          <w:p w14:paraId="7D40DE96" w14:textId="77777777" w:rsidR="009922B7" w:rsidRPr="009922B7" w:rsidRDefault="009922B7" w:rsidP="00E660DA">
            <w:pPr>
              <w:spacing w:after="0"/>
              <w:rPr>
                <w:sz w:val="20"/>
                <w:szCs w:val="20"/>
              </w:rPr>
            </w:pPr>
            <w:r w:rsidRPr="009922B7">
              <w:rPr>
                <w:sz w:val="20"/>
                <w:szCs w:val="20"/>
              </w:rPr>
              <w:t>Proportion of MCL patients who are ineligible for ASCT</w:t>
            </w:r>
          </w:p>
        </w:tc>
        <w:tc>
          <w:tcPr>
            <w:tcW w:w="3261" w:type="dxa"/>
            <w:vAlign w:val="center"/>
          </w:tcPr>
          <w:p w14:paraId="3CA81BD3" w14:textId="77777777" w:rsidR="009922B7" w:rsidRPr="009922B7" w:rsidRDefault="009922B7" w:rsidP="00E660DA">
            <w:pPr>
              <w:spacing w:after="0"/>
              <w:rPr>
                <w:sz w:val="20"/>
                <w:szCs w:val="20"/>
              </w:rPr>
            </w:pPr>
            <w:r w:rsidRPr="009922B7">
              <w:rPr>
                <w:sz w:val="20"/>
                <w:szCs w:val="20"/>
              </w:rPr>
              <w:t>63%</w:t>
            </w:r>
          </w:p>
        </w:tc>
        <w:tc>
          <w:tcPr>
            <w:tcW w:w="3084" w:type="dxa"/>
            <w:vAlign w:val="center"/>
          </w:tcPr>
          <w:p w14:paraId="184046E5" w14:textId="77777777" w:rsidR="009922B7" w:rsidRPr="009922B7" w:rsidRDefault="009922B7" w:rsidP="00E660DA">
            <w:pPr>
              <w:spacing w:after="0"/>
              <w:rPr>
                <w:sz w:val="20"/>
                <w:szCs w:val="20"/>
              </w:rPr>
            </w:pPr>
            <w:r w:rsidRPr="009922B7">
              <w:rPr>
                <w:sz w:val="20"/>
                <w:szCs w:val="20"/>
              </w:rPr>
              <w:t>Calculated from transplant data obtained from the ABMTR</w:t>
            </w:r>
          </w:p>
        </w:tc>
      </w:tr>
      <w:tr w:rsidR="009922B7" w:rsidRPr="009922B7" w14:paraId="4616FF4B" w14:textId="77777777" w:rsidTr="009F2BB2">
        <w:tc>
          <w:tcPr>
            <w:tcW w:w="2943" w:type="dxa"/>
            <w:vAlign w:val="center"/>
          </w:tcPr>
          <w:p w14:paraId="2FE365AE" w14:textId="77777777" w:rsidR="009922B7" w:rsidRPr="009922B7" w:rsidRDefault="009922B7" w:rsidP="00E660DA">
            <w:pPr>
              <w:spacing w:after="0"/>
              <w:rPr>
                <w:sz w:val="20"/>
                <w:szCs w:val="20"/>
              </w:rPr>
            </w:pPr>
            <w:r w:rsidRPr="009922B7">
              <w:rPr>
                <w:sz w:val="20"/>
                <w:szCs w:val="20"/>
              </w:rPr>
              <w:t xml:space="preserve">Proportion of </w:t>
            </w:r>
            <w:proofErr w:type="spellStart"/>
            <w:r w:rsidRPr="009922B7">
              <w:rPr>
                <w:sz w:val="20"/>
                <w:szCs w:val="20"/>
              </w:rPr>
              <w:t>iNHL</w:t>
            </w:r>
            <w:proofErr w:type="spellEnd"/>
            <w:r w:rsidRPr="009922B7">
              <w:rPr>
                <w:sz w:val="20"/>
                <w:szCs w:val="20"/>
              </w:rPr>
              <w:t xml:space="preserve"> (</w:t>
            </w:r>
            <w:proofErr w:type="spellStart"/>
            <w:r w:rsidRPr="009922B7">
              <w:rPr>
                <w:sz w:val="20"/>
                <w:szCs w:val="20"/>
              </w:rPr>
              <w:t>inc</w:t>
            </w:r>
            <w:proofErr w:type="spellEnd"/>
            <w:r w:rsidRPr="009922B7">
              <w:rPr>
                <w:sz w:val="20"/>
                <w:szCs w:val="20"/>
              </w:rPr>
              <w:t xml:space="preserve"> FL) patients who are treated</w:t>
            </w:r>
          </w:p>
        </w:tc>
        <w:tc>
          <w:tcPr>
            <w:tcW w:w="3261" w:type="dxa"/>
            <w:vAlign w:val="center"/>
          </w:tcPr>
          <w:p w14:paraId="41C08F84" w14:textId="77777777" w:rsidR="009922B7" w:rsidRPr="009922B7" w:rsidRDefault="009922B7" w:rsidP="00E660DA">
            <w:pPr>
              <w:spacing w:after="0"/>
              <w:rPr>
                <w:sz w:val="20"/>
                <w:szCs w:val="20"/>
              </w:rPr>
            </w:pPr>
            <w:r w:rsidRPr="009922B7">
              <w:rPr>
                <w:sz w:val="20"/>
                <w:szCs w:val="20"/>
              </w:rPr>
              <w:t>100%</w:t>
            </w:r>
          </w:p>
        </w:tc>
        <w:tc>
          <w:tcPr>
            <w:tcW w:w="3084" w:type="dxa"/>
            <w:vAlign w:val="center"/>
          </w:tcPr>
          <w:p w14:paraId="134E837D" w14:textId="77777777" w:rsidR="009922B7" w:rsidRPr="009922B7" w:rsidRDefault="009922B7" w:rsidP="00E660DA">
            <w:pPr>
              <w:spacing w:after="0"/>
              <w:rPr>
                <w:sz w:val="20"/>
                <w:szCs w:val="20"/>
              </w:rPr>
            </w:pPr>
            <w:r w:rsidRPr="009922B7">
              <w:rPr>
                <w:sz w:val="20"/>
                <w:szCs w:val="20"/>
              </w:rPr>
              <w:t>Assumption</w:t>
            </w:r>
          </w:p>
        </w:tc>
      </w:tr>
      <w:tr w:rsidR="009922B7" w:rsidRPr="009922B7" w14:paraId="4B17496C" w14:textId="77777777" w:rsidTr="009F2BB2">
        <w:tc>
          <w:tcPr>
            <w:tcW w:w="2943" w:type="dxa"/>
            <w:vAlign w:val="center"/>
          </w:tcPr>
          <w:p w14:paraId="7B4CB284" w14:textId="77777777" w:rsidR="009922B7" w:rsidRPr="009922B7" w:rsidRDefault="009922B7" w:rsidP="00E660DA">
            <w:pPr>
              <w:spacing w:after="0"/>
              <w:rPr>
                <w:sz w:val="20"/>
                <w:szCs w:val="20"/>
              </w:rPr>
            </w:pPr>
            <w:r w:rsidRPr="009922B7">
              <w:rPr>
                <w:sz w:val="20"/>
                <w:szCs w:val="20"/>
              </w:rPr>
              <w:t>Proportion of MCL patients who are treated</w:t>
            </w:r>
          </w:p>
        </w:tc>
        <w:tc>
          <w:tcPr>
            <w:tcW w:w="3261" w:type="dxa"/>
            <w:vAlign w:val="center"/>
          </w:tcPr>
          <w:p w14:paraId="48695CBA" w14:textId="77777777" w:rsidR="009922B7" w:rsidRPr="009922B7" w:rsidRDefault="009922B7" w:rsidP="00E660DA">
            <w:pPr>
              <w:spacing w:after="0"/>
              <w:rPr>
                <w:sz w:val="20"/>
                <w:szCs w:val="20"/>
              </w:rPr>
            </w:pPr>
            <w:r w:rsidRPr="009922B7">
              <w:rPr>
                <w:sz w:val="20"/>
                <w:szCs w:val="20"/>
              </w:rPr>
              <w:t>100%</w:t>
            </w:r>
          </w:p>
        </w:tc>
        <w:tc>
          <w:tcPr>
            <w:tcW w:w="3084" w:type="dxa"/>
            <w:vAlign w:val="center"/>
          </w:tcPr>
          <w:p w14:paraId="0D171F45" w14:textId="77777777" w:rsidR="009922B7" w:rsidRPr="009922B7" w:rsidRDefault="009922B7" w:rsidP="00E660DA">
            <w:pPr>
              <w:spacing w:after="0"/>
              <w:rPr>
                <w:sz w:val="20"/>
                <w:szCs w:val="20"/>
              </w:rPr>
            </w:pPr>
            <w:proofErr w:type="spellStart"/>
            <w:r w:rsidRPr="009922B7">
              <w:rPr>
                <w:sz w:val="20"/>
                <w:szCs w:val="20"/>
              </w:rPr>
              <w:t>Dreyling</w:t>
            </w:r>
            <w:proofErr w:type="spellEnd"/>
            <w:r w:rsidRPr="009922B7">
              <w:rPr>
                <w:sz w:val="20"/>
                <w:szCs w:val="20"/>
              </w:rPr>
              <w:t xml:space="preserve"> 2014 and Martin 2009</w:t>
            </w:r>
          </w:p>
        </w:tc>
      </w:tr>
      <w:tr w:rsidR="009922B7" w:rsidRPr="009922B7" w14:paraId="706272D5" w14:textId="77777777" w:rsidTr="009F2BB2">
        <w:tc>
          <w:tcPr>
            <w:tcW w:w="2943" w:type="dxa"/>
            <w:vAlign w:val="center"/>
          </w:tcPr>
          <w:p w14:paraId="57688648" w14:textId="77777777" w:rsidR="009922B7" w:rsidRPr="009922B7" w:rsidRDefault="009922B7" w:rsidP="00E660DA">
            <w:pPr>
              <w:spacing w:after="0"/>
              <w:rPr>
                <w:sz w:val="20"/>
                <w:szCs w:val="20"/>
              </w:rPr>
            </w:pPr>
            <w:r w:rsidRPr="009922B7">
              <w:rPr>
                <w:sz w:val="20"/>
                <w:szCs w:val="20"/>
              </w:rPr>
              <w:t xml:space="preserve">Market share estimates of R-CHOP and R-CVP in </w:t>
            </w:r>
            <w:proofErr w:type="spellStart"/>
            <w:r w:rsidRPr="009922B7">
              <w:rPr>
                <w:sz w:val="20"/>
                <w:szCs w:val="20"/>
              </w:rPr>
              <w:t>iNHL</w:t>
            </w:r>
            <w:proofErr w:type="spellEnd"/>
            <w:r w:rsidRPr="009922B7">
              <w:rPr>
                <w:sz w:val="20"/>
                <w:szCs w:val="20"/>
              </w:rPr>
              <w:t xml:space="preserve"> (</w:t>
            </w:r>
            <w:proofErr w:type="spellStart"/>
            <w:r w:rsidRPr="009922B7">
              <w:rPr>
                <w:sz w:val="20"/>
                <w:szCs w:val="20"/>
              </w:rPr>
              <w:t>inc</w:t>
            </w:r>
            <w:proofErr w:type="spellEnd"/>
            <w:r w:rsidRPr="009922B7">
              <w:rPr>
                <w:sz w:val="20"/>
                <w:szCs w:val="20"/>
              </w:rPr>
              <w:t xml:space="preserve"> FL) if </w:t>
            </w:r>
            <w:proofErr w:type="spellStart"/>
            <w:r w:rsidRPr="009922B7">
              <w:rPr>
                <w:sz w:val="20"/>
                <w:szCs w:val="20"/>
              </w:rPr>
              <w:t>bendamustine</w:t>
            </w:r>
            <w:proofErr w:type="spellEnd"/>
            <w:r w:rsidRPr="009922B7">
              <w:rPr>
                <w:sz w:val="20"/>
                <w:szCs w:val="20"/>
              </w:rPr>
              <w:t xml:space="preserve"> is not PBS listed </w:t>
            </w:r>
          </w:p>
        </w:tc>
        <w:tc>
          <w:tcPr>
            <w:tcW w:w="3261" w:type="dxa"/>
            <w:vAlign w:val="center"/>
          </w:tcPr>
          <w:p w14:paraId="5FF44E06" w14:textId="140ABE49" w:rsidR="009922B7" w:rsidRPr="00A5434D" w:rsidRDefault="00A5434D" w:rsidP="00E660DA">
            <w:pPr>
              <w:spacing w:after="0"/>
              <w:rPr>
                <w:sz w:val="20"/>
                <w:szCs w:val="20"/>
                <w:highlight w:val="black"/>
              </w:rPr>
            </w:pPr>
            <w:proofErr w:type="spellStart"/>
            <w:r w:rsidRPr="00A5434D">
              <w:rPr>
                <w:sz w:val="20"/>
                <w:szCs w:val="20"/>
                <w:highlight w:val="black"/>
              </w:rPr>
              <w:t>xxxxxx</w:t>
            </w:r>
            <w:proofErr w:type="spellEnd"/>
            <w:r w:rsidR="009922B7" w:rsidRPr="00A5434D">
              <w:rPr>
                <w:sz w:val="20"/>
                <w:szCs w:val="20"/>
                <w:highlight w:val="black"/>
              </w:rPr>
              <w:t xml:space="preserve"> = </w:t>
            </w:r>
            <w:r w:rsidRPr="00A5434D">
              <w:rPr>
                <w:sz w:val="20"/>
                <w:szCs w:val="20"/>
                <w:highlight w:val="black"/>
              </w:rPr>
              <w:t>xxx</w:t>
            </w:r>
          </w:p>
          <w:p w14:paraId="3A621C2A" w14:textId="60ECF61A" w:rsidR="009922B7" w:rsidRPr="00A5434D" w:rsidRDefault="00A5434D" w:rsidP="00E660DA">
            <w:pPr>
              <w:spacing w:after="0"/>
              <w:rPr>
                <w:sz w:val="20"/>
                <w:szCs w:val="20"/>
                <w:highlight w:val="black"/>
              </w:rPr>
            </w:pPr>
            <w:proofErr w:type="spellStart"/>
            <w:r w:rsidRPr="00A5434D">
              <w:rPr>
                <w:sz w:val="20"/>
                <w:szCs w:val="20"/>
                <w:highlight w:val="black"/>
              </w:rPr>
              <w:t>xxxxx</w:t>
            </w:r>
            <w:proofErr w:type="spellEnd"/>
            <w:r w:rsidR="009922B7" w:rsidRPr="00A5434D">
              <w:rPr>
                <w:sz w:val="20"/>
                <w:szCs w:val="20"/>
                <w:highlight w:val="black"/>
              </w:rPr>
              <w:t xml:space="preserve"> = </w:t>
            </w:r>
            <w:r w:rsidRPr="00A5434D">
              <w:rPr>
                <w:sz w:val="20"/>
                <w:szCs w:val="20"/>
                <w:highlight w:val="black"/>
              </w:rPr>
              <w:t>xxx</w:t>
            </w:r>
          </w:p>
        </w:tc>
        <w:tc>
          <w:tcPr>
            <w:tcW w:w="3084" w:type="dxa"/>
            <w:vAlign w:val="center"/>
          </w:tcPr>
          <w:p w14:paraId="60DF44E2" w14:textId="77777777" w:rsidR="009922B7" w:rsidRPr="009922B7" w:rsidRDefault="009922B7" w:rsidP="00E660DA">
            <w:pPr>
              <w:spacing w:after="0"/>
              <w:rPr>
                <w:sz w:val="20"/>
                <w:szCs w:val="20"/>
              </w:rPr>
            </w:pPr>
            <w:r w:rsidRPr="009922B7">
              <w:rPr>
                <w:sz w:val="20"/>
                <w:szCs w:val="20"/>
              </w:rPr>
              <w:t>Market research</w:t>
            </w:r>
            <w:proofErr w:type="gramStart"/>
            <w:r w:rsidRPr="009922B7">
              <w:rPr>
                <w:sz w:val="20"/>
                <w:szCs w:val="20"/>
              </w:rPr>
              <w:t>;</w:t>
            </w:r>
            <w:proofErr w:type="gramEnd"/>
            <w:r w:rsidRPr="009922B7">
              <w:rPr>
                <w:sz w:val="20"/>
                <w:szCs w:val="20"/>
              </w:rPr>
              <w:t xml:space="preserve"> re-calculated relative proportion based on R-CHOP and R-CVP equalling 100% of the market. </w:t>
            </w:r>
          </w:p>
        </w:tc>
      </w:tr>
      <w:tr w:rsidR="009922B7" w:rsidRPr="009922B7" w14:paraId="47169F2E" w14:textId="77777777" w:rsidTr="009F2BB2">
        <w:tc>
          <w:tcPr>
            <w:tcW w:w="2943" w:type="dxa"/>
            <w:vAlign w:val="center"/>
          </w:tcPr>
          <w:p w14:paraId="0BDC4254" w14:textId="77777777" w:rsidR="009922B7" w:rsidRPr="009922B7" w:rsidRDefault="009922B7" w:rsidP="00E660DA">
            <w:pPr>
              <w:spacing w:after="0"/>
              <w:rPr>
                <w:sz w:val="20"/>
                <w:szCs w:val="20"/>
              </w:rPr>
            </w:pPr>
            <w:r w:rsidRPr="009922B7">
              <w:rPr>
                <w:sz w:val="20"/>
                <w:szCs w:val="20"/>
              </w:rPr>
              <w:t xml:space="preserve">Proportion of patients who switch to B-R coming from R-CHOP each year if </w:t>
            </w:r>
            <w:proofErr w:type="spellStart"/>
            <w:r w:rsidRPr="009922B7">
              <w:rPr>
                <w:sz w:val="20"/>
                <w:szCs w:val="20"/>
              </w:rPr>
              <w:t>bendamustine</w:t>
            </w:r>
            <w:proofErr w:type="spellEnd"/>
            <w:r w:rsidRPr="009922B7">
              <w:rPr>
                <w:sz w:val="20"/>
                <w:szCs w:val="20"/>
              </w:rPr>
              <w:t xml:space="preserve"> is listed for </w:t>
            </w:r>
            <w:proofErr w:type="spellStart"/>
            <w:r w:rsidRPr="009922B7">
              <w:rPr>
                <w:sz w:val="20"/>
                <w:szCs w:val="20"/>
              </w:rPr>
              <w:t>iNHL</w:t>
            </w:r>
            <w:proofErr w:type="spellEnd"/>
          </w:p>
        </w:tc>
        <w:tc>
          <w:tcPr>
            <w:tcW w:w="3261" w:type="dxa"/>
            <w:vAlign w:val="center"/>
          </w:tcPr>
          <w:p w14:paraId="1BE94831" w14:textId="2659E6F8" w:rsidR="009922B7" w:rsidRPr="00A5434D" w:rsidRDefault="00A5434D" w:rsidP="00E660DA">
            <w:pPr>
              <w:spacing w:after="0"/>
              <w:rPr>
                <w:sz w:val="20"/>
                <w:szCs w:val="20"/>
                <w:highlight w:val="black"/>
              </w:rPr>
            </w:pPr>
            <w:r w:rsidRPr="00A5434D">
              <w:rPr>
                <w:sz w:val="20"/>
                <w:szCs w:val="20"/>
                <w:highlight w:val="black"/>
              </w:rPr>
              <w:t>xxx</w:t>
            </w:r>
          </w:p>
        </w:tc>
        <w:tc>
          <w:tcPr>
            <w:tcW w:w="3084" w:type="dxa"/>
            <w:vMerge w:val="restart"/>
            <w:vAlign w:val="center"/>
          </w:tcPr>
          <w:p w14:paraId="5F8331B4" w14:textId="77777777" w:rsidR="009922B7" w:rsidRPr="009922B7" w:rsidRDefault="009922B7" w:rsidP="00E660DA">
            <w:pPr>
              <w:spacing w:after="0"/>
              <w:rPr>
                <w:sz w:val="20"/>
                <w:szCs w:val="20"/>
              </w:rPr>
            </w:pPr>
            <w:r w:rsidRPr="009922B7">
              <w:rPr>
                <w:sz w:val="20"/>
                <w:szCs w:val="20"/>
              </w:rPr>
              <w:t>Assumption</w:t>
            </w:r>
            <w:proofErr w:type="gramStart"/>
            <w:r w:rsidRPr="009922B7">
              <w:rPr>
                <w:sz w:val="20"/>
                <w:szCs w:val="20"/>
              </w:rPr>
              <w:t>;</w:t>
            </w:r>
            <w:proofErr w:type="gramEnd"/>
            <w:r w:rsidRPr="009922B7">
              <w:rPr>
                <w:sz w:val="20"/>
                <w:szCs w:val="20"/>
              </w:rPr>
              <w:t xml:space="preserve"> assumed to be the same as the current market share split of R-CHOP and R-CVP.</w:t>
            </w:r>
          </w:p>
        </w:tc>
      </w:tr>
      <w:tr w:rsidR="009922B7" w:rsidRPr="009922B7" w14:paraId="145914B4" w14:textId="77777777" w:rsidTr="009F2BB2">
        <w:tc>
          <w:tcPr>
            <w:tcW w:w="2943" w:type="dxa"/>
            <w:vAlign w:val="center"/>
          </w:tcPr>
          <w:p w14:paraId="49E58AEA" w14:textId="77777777" w:rsidR="009922B7" w:rsidRPr="009922B7" w:rsidRDefault="009922B7" w:rsidP="00E660DA">
            <w:pPr>
              <w:spacing w:after="0"/>
              <w:rPr>
                <w:sz w:val="20"/>
                <w:szCs w:val="20"/>
              </w:rPr>
            </w:pPr>
            <w:r w:rsidRPr="009922B7">
              <w:rPr>
                <w:sz w:val="20"/>
                <w:szCs w:val="20"/>
              </w:rPr>
              <w:t xml:space="preserve">Proportion of patients switching from R-CVP to B-R each year if </w:t>
            </w:r>
            <w:proofErr w:type="spellStart"/>
            <w:r w:rsidRPr="009922B7">
              <w:rPr>
                <w:sz w:val="20"/>
                <w:szCs w:val="20"/>
              </w:rPr>
              <w:t>bendamustine</w:t>
            </w:r>
            <w:proofErr w:type="spellEnd"/>
            <w:r w:rsidRPr="009922B7">
              <w:rPr>
                <w:sz w:val="20"/>
                <w:szCs w:val="20"/>
              </w:rPr>
              <w:t xml:space="preserve"> is listed for </w:t>
            </w:r>
            <w:proofErr w:type="spellStart"/>
            <w:r w:rsidRPr="009922B7">
              <w:rPr>
                <w:sz w:val="20"/>
                <w:szCs w:val="20"/>
              </w:rPr>
              <w:t>iNHL</w:t>
            </w:r>
            <w:proofErr w:type="spellEnd"/>
          </w:p>
        </w:tc>
        <w:tc>
          <w:tcPr>
            <w:tcW w:w="3261" w:type="dxa"/>
            <w:vAlign w:val="center"/>
          </w:tcPr>
          <w:p w14:paraId="060F1FBC" w14:textId="7C76A369" w:rsidR="009922B7" w:rsidRPr="00A5434D" w:rsidRDefault="00A5434D" w:rsidP="00E660DA">
            <w:pPr>
              <w:spacing w:after="0"/>
              <w:rPr>
                <w:sz w:val="20"/>
                <w:szCs w:val="20"/>
                <w:highlight w:val="black"/>
              </w:rPr>
            </w:pPr>
            <w:r w:rsidRPr="00A5434D">
              <w:rPr>
                <w:sz w:val="20"/>
                <w:szCs w:val="20"/>
                <w:highlight w:val="black"/>
              </w:rPr>
              <w:t>xxx</w:t>
            </w:r>
          </w:p>
        </w:tc>
        <w:tc>
          <w:tcPr>
            <w:tcW w:w="3084" w:type="dxa"/>
            <w:vMerge/>
            <w:vAlign w:val="center"/>
          </w:tcPr>
          <w:p w14:paraId="0D4111EB" w14:textId="77777777" w:rsidR="009922B7" w:rsidRPr="009922B7" w:rsidRDefault="009922B7" w:rsidP="00E660DA">
            <w:pPr>
              <w:spacing w:after="0"/>
              <w:rPr>
                <w:sz w:val="20"/>
                <w:szCs w:val="20"/>
              </w:rPr>
            </w:pPr>
          </w:p>
        </w:tc>
      </w:tr>
      <w:tr w:rsidR="009922B7" w:rsidRPr="009922B7" w14:paraId="5BCB45AA" w14:textId="77777777" w:rsidTr="009F2BB2">
        <w:tc>
          <w:tcPr>
            <w:tcW w:w="2943" w:type="dxa"/>
            <w:vAlign w:val="center"/>
          </w:tcPr>
          <w:p w14:paraId="387BF6F0" w14:textId="77777777" w:rsidR="009922B7" w:rsidRPr="00687177" w:rsidRDefault="009922B7" w:rsidP="00E660DA">
            <w:pPr>
              <w:spacing w:after="0"/>
              <w:rPr>
                <w:sz w:val="20"/>
                <w:szCs w:val="20"/>
              </w:rPr>
            </w:pPr>
            <w:r w:rsidRPr="00687177">
              <w:rPr>
                <w:sz w:val="20"/>
                <w:szCs w:val="20"/>
              </w:rPr>
              <w:t xml:space="preserve">Market share estimates of B-R, R-CHOP and R-CVP in </w:t>
            </w:r>
            <w:proofErr w:type="spellStart"/>
            <w:r w:rsidRPr="00687177">
              <w:rPr>
                <w:sz w:val="20"/>
                <w:szCs w:val="20"/>
              </w:rPr>
              <w:t>iNHL</w:t>
            </w:r>
            <w:proofErr w:type="spellEnd"/>
            <w:r w:rsidRPr="00687177">
              <w:rPr>
                <w:sz w:val="20"/>
                <w:szCs w:val="20"/>
              </w:rPr>
              <w:t xml:space="preserve"> (</w:t>
            </w:r>
            <w:proofErr w:type="spellStart"/>
            <w:r w:rsidRPr="00687177">
              <w:rPr>
                <w:sz w:val="20"/>
                <w:szCs w:val="20"/>
              </w:rPr>
              <w:t>inc</w:t>
            </w:r>
            <w:proofErr w:type="spellEnd"/>
            <w:r w:rsidRPr="00687177">
              <w:rPr>
                <w:sz w:val="20"/>
                <w:szCs w:val="20"/>
              </w:rPr>
              <w:t xml:space="preserve"> FL) if </w:t>
            </w:r>
            <w:proofErr w:type="spellStart"/>
            <w:r w:rsidRPr="00687177">
              <w:rPr>
                <w:sz w:val="20"/>
                <w:szCs w:val="20"/>
              </w:rPr>
              <w:t>bendamustine</w:t>
            </w:r>
            <w:proofErr w:type="spellEnd"/>
            <w:r w:rsidRPr="00687177">
              <w:rPr>
                <w:sz w:val="20"/>
                <w:szCs w:val="20"/>
              </w:rPr>
              <w:t xml:space="preserve"> is PBS listed</w:t>
            </w:r>
          </w:p>
          <w:p w14:paraId="06BD1BD9" w14:textId="77777777" w:rsidR="009922B7" w:rsidRPr="00687177" w:rsidRDefault="009922B7" w:rsidP="00E660DA">
            <w:pPr>
              <w:spacing w:after="0"/>
              <w:rPr>
                <w:sz w:val="20"/>
                <w:szCs w:val="20"/>
              </w:rPr>
            </w:pPr>
          </w:p>
        </w:tc>
        <w:tc>
          <w:tcPr>
            <w:tcW w:w="3261" w:type="dxa"/>
            <w:vAlign w:val="center"/>
          </w:tcPr>
          <w:p w14:paraId="1FE21253" w14:textId="43161459"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w:t>
            </w:r>
            <w:proofErr w:type="spellEnd"/>
            <w:r w:rsidR="009922B7" w:rsidRPr="00A5434D">
              <w:rPr>
                <w:sz w:val="20"/>
                <w:szCs w:val="20"/>
                <w:highlight w:val="black"/>
              </w:rPr>
              <w:t xml:space="preserve"> = </w:t>
            </w:r>
            <w:r w:rsidRPr="00A5434D">
              <w:rPr>
                <w:sz w:val="20"/>
                <w:szCs w:val="20"/>
                <w:highlight w:val="black"/>
              </w:rPr>
              <w:t>xxx</w:t>
            </w:r>
          </w:p>
          <w:p w14:paraId="3EE5C05C" w14:textId="395B09FB"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w:t>
            </w:r>
            <w:proofErr w:type="spellEnd"/>
            <w:r w:rsidR="009922B7" w:rsidRPr="00A5434D">
              <w:rPr>
                <w:sz w:val="20"/>
                <w:szCs w:val="20"/>
                <w:highlight w:val="black"/>
              </w:rPr>
              <w:t xml:space="preserve"> = </w:t>
            </w:r>
            <w:r w:rsidRPr="00A5434D">
              <w:rPr>
                <w:sz w:val="20"/>
                <w:szCs w:val="20"/>
                <w:highlight w:val="black"/>
              </w:rPr>
              <w:t>xxx</w:t>
            </w:r>
            <w:r w:rsidR="009922B7" w:rsidRPr="00A5434D">
              <w:rPr>
                <w:sz w:val="20"/>
                <w:szCs w:val="20"/>
                <w:highlight w:val="black"/>
              </w:rPr>
              <w:t xml:space="preserve"> </w:t>
            </w:r>
          </w:p>
          <w:p w14:paraId="0F116AD5" w14:textId="6C60440D"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w:t>
            </w:r>
            <w:proofErr w:type="spellEnd"/>
            <w:r w:rsidR="009922B7" w:rsidRPr="00A5434D">
              <w:rPr>
                <w:sz w:val="20"/>
                <w:szCs w:val="20"/>
                <w:highlight w:val="black"/>
              </w:rPr>
              <w:t xml:space="preserve"> = </w:t>
            </w:r>
            <w:r w:rsidRPr="00A5434D">
              <w:rPr>
                <w:sz w:val="20"/>
                <w:szCs w:val="20"/>
                <w:highlight w:val="black"/>
              </w:rPr>
              <w:t>xxx</w:t>
            </w:r>
          </w:p>
          <w:p w14:paraId="2A3C25F4" w14:textId="0BD2752D"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w:t>
            </w:r>
            <w:proofErr w:type="spellEnd"/>
            <w:r w:rsidR="009922B7" w:rsidRPr="00A5434D">
              <w:rPr>
                <w:sz w:val="20"/>
                <w:szCs w:val="20"/>
                <w:highlight w:val="black"/>
              </w:rPr>
              <w:t xml:space="preserve"> = </w:t>
            </w:r>
            <w:r w:rsidRPr="00A5434D">
              <w:rPr>
                <w:sz w:val="20"/>
                <w:szCs w:val="20"/>
                <w:highlight w:val="black"/>
              </w:rPr>
              <w:t>xxx</w:t>
            </w:r>
          </w:p>
          <w:p w14:paraId="6088BA6F" w14:textId="4AE014F3"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w:t>
            </w:r>
            <w:proofErr w:type="spellEnd"/>
            <w:r w:rsidR="009922B7" w:rsidRPr="00A5434D">
              <w:rPr>
                <w:sz w:val="20"/>
                <w:szCs w:val="20"/>
                <w:highlight w:val="black"/>
              </w:rPr>
              <w:t xml:space="preserve"> = </w:t>
            </w:r>
            <w:r w:rsidRPr="00A5434D">
              <w:rPr>
                <w:sz w:val="20"/>
                <w:szCs w:val="20"/>
                <w:highlight w:val="black"/>
              </w:rPr>
              <w:t>xxx</w:t>
            </w:r>
          </w:p>
        </w:tc>
        <w:tc>
          <w:tcPr>
            <w:tcW w:w="3084" w:type="dxa"/>
            <w:shd w:val="clear" w:color="auto" w:fill="auto"/>
            <w:vAlign w:val="center"/>
          </w:tcPr>
          <w:p w14:paraId="78652863" w14:textId="77777777" w:rsidR="009922B7" w:rsidRPr="009922B7" w:rsidRDefault="00683F23" w:rsidP="00E660DA">
            <w:pPr>
              <w:spacing w:after="0"/>
              <w:rPr>
                <w:sz w:val="20"/>
                <w:szCs w:val="20"/>
              </w:rPr>
            </w:pPr>
            <w:r>
              <w:rPr>
                <w:sz w:val="20"/>
                <w:szCs w:val="20"/>
              </w:rPr>
              <w:t>Sponsor commissioned m</w:t>
            </w:r>
            <w:r w:rsidRPr="009922B7">
              <w:rPr>
                <w:sz w:val="20"/>
                <w:szCs w:val="20"/>
              </w:rPr>
              <w:t xml:space="preserve">arket </w:t>
            </w:r>
            <w:r w:rsidR="009922B7" w:rsidRPr="009922B7">
              <w:rPr>
                <w:sz w:val="20"/>
                <w:szCs w:val="20"/>
              </w:rPr>
              <w:t xml:space="preserve">research.  </w:t>
            </w:r>
          </w:p>
        </w:tc>
      </w:tr>
      <w:tr w:rsidR="009922B7" w:rsidRPr="009922B7" w14:paraId="4FAC6324" w14:textId="77777777" w:rsidTr="009F2BB2">
        <w:tc>
          <w:tcPr>
            <w:tcW w:w="2943" w:type="dxa"/>
            <w:vAlign w:val="center"/>
          </w:tcPr>
          <w:p w14:paraId="203C7396" w14:textId="77777777" w:rsidR="009922B7" w:rsidRPr="00687177" w:rsidRDefault="009922B7" w:rsidP="00E660DA">
            <w:pPr>
              <w:spacing w:after="0"/>
              <w:rPr>
                <w:sz w:val="20"/>
                <w:szCs w:val="20"/>
              </w:rPr>
            </w:pPr>
            <w:r w:rsidRPr="00687177">
              <w:rPr>
                <w:sz w:val="20"/>
                <w:szCs w:val="20"/>
              </w:rPr>
              <w:t xml:space="preserve">Market share estimates of R-CHOP in MCL if </w:t>
            </w:r>
            <w:proofErr w:type="spellStart"/>
            <w:r w:rsidRPr="00687177">
              <w:rPr>
                <w:sz w:val="20"/>
                <w:szCs w:val="20"/>
              </w:rPr>
              <w:t>bendamustine</w:t>
            </w:r>
            <w:proofErr w:type="spellEnd"/>
            <w:r w:rsidRPr="00687177">
              <w:rPr>
                <w:sz w:val="20"/>
                <w:szCs w:val="20"/>
              </w:rPr>
              <w:t xml:space="preserve"> is not PBS listed </w:t>
            </w:r>
          </w:p>
        </w:tc>
        <w:tc>
          <w:tcPr>
            <w:tcW w:w="3261" w:type="dxa"/>
            <w:vAlign w:val="center"/>
          </w:tcPr>
          <w:p w14:paraId="4A2AF963" w14:textId="1D2A1EE5"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p>
        </w:tc>
        <w:tc>
          <w:tcPr>
            <w:tcW w:w="3084" w:type="dxa"/>
            <w:vAlign w:val="center"/>
          </w:tcPr>
          <w:p w14:paraId="6DAE3822" w14:textId="77777777" w:rsidR="009922B7" w:rsidRPr="009922B7" w:rsidRDefault="009922B7" w:rsidP="00E660DA">
            <w:pPr>
              <w:spacing w:after="0"/>
              <w:rPr>
                <w:sz w:val="20"/>
                <w:szCs w:val="20"/>
              </w:rPr>
            </w:pPr>
            <w:proofErr w:type="gramStart"/>
            <w:r w:rsidRPr="009922B7">
              <w:rPr>
                <w:sz w:val="20"/>
                <w:szCs w:val="20"/>
              </w:rPr>
              <w:t>Market research shows R-CHOP to be the most common treatment for MCL and is assumed to represent the entire market.</w:t>
            </w:r>
            <w:proofErr w:type="gramEnd"/>
          </w:p>
        </w:tc>
      </w:tr>
      <w:tr w:rsidR="009922B7" w:rsidRPr="009922B7" w14:paraId="52DEAFEB" w14:textId="77777777" w:rsidTr="009F2BB2">
        <w:tc>
          <w:tcPr>
            <w:tcW w:w="2943" w:type="dxa"/>
            <w:vAlign w:val="center"/>
          </w:tcPr>
          <w:p w14:paraId="23644069" w14:textId="77777777" w:rsidR="009922B7" w:rsidRPr="00687177" w:rsidRDefault="009922B7" w:rsidP="00E660DA">
            <w:pPr>
              <w:spacing w:after="0"/>
              <w:rPr>
                <w:sz w:val="20"/>
                <w:szCs w:val="20"/>
              </w:rPr>
            </w:pPr>
            <w:r w:rsidRPr="00687177">
              <w:rPr>
                <w:sz w:val="20"/>
                <w:szCs w:val="20"/>
              </w:rPr>
              <w:t xml:space="preserve">Market share estimates of B-R and R-CHOP in MCL if </w:t>
            </w:r>
            <w:proofErr w:type="spellStart"/>
            <w:r w:rsidRPr="00687177">
              <w:rPr>
                <w:sz w:val="20"/>
                <w:szCs w:val="20"/>
              </w:rPr>
              <w:t>bendamustine</w:t>
            </w:r>
            <w:proofErr w:type="spellEnd"/>
            <w:r w:rsidRPr="00687177">
              <w:rPr>
                <w:sz w:val="20"/>
                <w:szCs w:val="20"/>
              </w:rPr>
              <w:t xml:space="preserve"> is PBS listed  </w:t>
            </w:r>
          </w:p>
        </w:tc>
        <w:tc>
          <w:tcPr>
            <w:tcW w:w="3261" w:type="dxa"/>
            <w:vAlign w:val="center"/>
          </w:tcPr>
          <w:p w14:paraId="5807B7F0" w14:textId="706F5C51"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r w:rsidRPr="00A5434D">
              <w:rPr>
                <w:sz w:val="20"/>
                <w:szCs w:val="20"/>
                <w:highlight w:val="black"/>
              </w:rPr>
              <w:t>xxx</w:t>
            </w:r>
          </w:p>
          <w:p w14:paraId="3B284A14" w14:textId="516C3E4E"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proofErr w:type="spellStart"/>
            <w:r w:rsidRPr="00A5434D">
              <w:rPr>
                <w:sz w:val="20"/>
                <w:szCs w:val="20"/>
                <w:highlight w:val="black"/>
              </w:rPr>
              <w:t>xxxx</w:t>
            </w:r>
            <w:proofErr w:type="spellEnd"/>
          </w:p>
          <w:p w14:paraId="13AEBD95" w14:textId="32F14C5D"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proofErr w:type="spellStart"/>
            <w:r w:rsidRPr="00A5434D">
              <w:rPr>
                <w:sz w:val="20"/>
                <w:szCs w:val="20"/>
                <w:highlight w:val="black"/>
              </w:rPr>
              <w:t>xxxx</w:t>
            </w:r>
            <w:proofErr w:type="spellEnd"/>
          </w:p>
          <w:p w14:paraId="31ABA837" w14:textId="4452534D"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r w:rsidRPr="00A5434D">
              <w:rPr>
                <w:sz w:val="20"/>
                <w:szCs w:val="20"/>
                <w:highlight w:val="black"/>
              </w:rPr>
              <w:t>xxx</w:t>
            </w:r>
          </w:p>
          <w:p w14:paraId="21610A78" w14:textId="68CCB471" w:rsidR="009922B7" w:rsidRPr="00A5434D" w:rsidRDefault="00A5434D" w:rsidP="00E660DA">
            <w:pPr>
              <w:spacing w:after="0"/>
              <w:rPr>
                <w:sz w:val="20"/>
                <w:szCs w:val="20"/>
                <w:highlight w:val="black"/>
              </w:rPr>
            </w:pPr>
            <w:proofErr w:type="spellStart"/>
            <w:r w:rsidRPr="00A5434D">
              <w:rPr>
                <w:sz w:val="20"/>
                <w:szCs w:val="20"/>
                <w:highlight w:val="black"/>
              </w:rPr>
              <w:t>xxxx</w:t>
            </w:r>
            <w:proofErr w:type="spellEnd"/>
            <w:r w:rsidR="009922B7" w:rsidRPr="00A5434D">
              <w:rPr>
                <w:sz w:val="20"/>
                <w:szCs w:val="20"/>
                <w:highlight w:val="black"/>
              </w:rPr>
              <w:t xml:space="preserve"> </w:t>
            </w:r>
            <w:r w:rsidRPr="00A5434D">
              <w:rPr>
                <w:sz w:val="20"/>
                <w:szCs w:val="20"/>
                <w:highlight w:val="black"/>
              </w:rPr>
              <w:t>xx</w:t>
            </w:r>
            <w:r w:rsidR="009922B7" w:rsidRPr="00A5434D">
              <w:rPr>
                <w:sz w:val="20"/>
                <w:szCs w:val="20"/>
                <w:highlight w:val="black"/>
              </w:rPr>
              <w:t xml:space="preserve"> </w:t>
            </w:r>
            <w:r w:rsidRPr="00A5434D">
              <w:rPr>
                <w:sz w:val="20"/>
                <w:szCs w:val="20"/>
                <w:highlight w:val="black"/>
              </w:rPr>
              <w:t>xxx</w:t>
            </w:r>
            <w:r w:rsidR="009922B7" w:rsidRPr="00A5434D">
              <w:rPr>
                <w:sz w:val="20"/>
                <w:szCs w:val="20"/>
                <w:highlight w:val="black"/>
              </w:rPr>
              <w:t xml:space="preserve"> = </w:t>
            </w:r>
            <w:proofErr w:type="spellStart"/>
            <w:r w:rsidRPr="00A5434D">
              <w:rPr>
                <w:sz w:val="20"/>
                <w:szCs w:val="20"/>
                <w:highlight w:val="black"/>
              </w:rPr>
              <w:t>xxxx</w:t>
            </w:r>
            <w:proofErr w:type="spellEnd"/>
            <w:r w:rsidR="009922B7" w:rsidRPr="00A5434D">
              <w:rPr>
                <w:sz w:val="20"/>
                <w:szCs w:val="20"/>
                <w:highlight w:val="black"/>
              </w:rPr>
              <w:t xml:space="preserve"> </w:t>
            </w:r>
            <w:proofErr w:type="spellStart"/>
            <w:r w:rsidRPr="00A5434D">
              <w:rPr>
                <w:sz w:val="20"/>
                <w:szCs w:val="20"/>
                <w:highlight w:val="black"/>
              </w:rPr>
              <w:t>xxxxxx</w:t>
            </w:r>
            <w:proofErr w:type="spellEnd"/>
            <w:r w:rsidR="009922B7" w:rsidRPr="00A5434D">
              <w:rPr>
                <w:sz w:val="20"/>
                <w:szCs w:val="20"/>
                <w:highlight w:val="black"/>
              </w:rPr>
              <w:t xml:space="preserve"> = </w:t>
            </w:r>
            <w:r w:rsidRPr="00A5434D">
              <w:rPr>
                <w:sz w:val="20"/>
                <w:szCs w:val="20"/>
                <w:highlight w:val="black"/>
              </w:rPr>
              <w:t>xxx</w:t>
            </w:r>
          </w:p>
        </w:tc>
        <w:tc>
          <w:tcPr>
            <w:tcW w:w="3084" w:type="dxa"/>
            <w:vAlign w:val="center"/>
          </w:tcPr>
          <w:p w14:paraId="22DB51D2" w14:textId="77777777" w:rsidR="009922B7" w:rsidRPr="009922B7" w:rsidRDefault="00683F23" w:rsidP="00E660DA">
            <w:pPr>
              <w:spacing w:after="0"/>
              <w:rPr>
                <w:sz w:val="20"/>
                <w:szCs w:val="20"/>
              </w:rPr>
            </w:pPr>
            <w:r>
              <w:rPr>
                <w:sz w:val="20"/>
                <w:szCs w:val="20"/>
              </w:rPr>
              <w:t>Sponsor commissioned m</w:t>
            </w:r>
            <w:r w:rsidRPr="009922B7">
              <w:rPr>
                <w:sz w:val="20"/>
                <w:szCs w:val="20"/>
              </w:rPr>
              <w:t xml:space="preserve">arket research.  </w:t>
            </w:r>
          </w:p>
        </w:tc>
      </w:tr>
      <w:tr w:rsidR="009922B7" w:rsidRPr="009922B7" w14:paraId="269D02FB" w14:textId="77777777" w:rsidTr="009F2BB2">
        <w:tc>
          <w:tcPr>
            <w:tcW w:w="9288" w:type="dxa"/>
            <w:gridSpan w:val="3"/>
            <w:vAlign w:val="center"/>
          </w:tcPr>
          <w:p w14:paraId="440FA0EA" w14:textId="77777777" w:rsidR="009922B7" w:rsidRPr="009922B7" w:rsidRDefault="009922B7" w:rsidP="00E660DA">
            <w:pPr>
              <w:spacing w:after="0"/>
              <w:rPr>
                <w:b/>
                <w:sz w:val="20"/>
                <w:szCs w:val="20"/>
              </w:rPr>
            </w:pPr>
            <w:r w:rsidRPr="009922B7">
              <w:rPr>
                <w:b/>
                <w:sz w:val="20"/>
                <w:szCs w:val="20"/>
              </w:rPr>
              <w:t>Estimating costs of the chemotherapies</w:t>
            </w:r>
          </w:p>
        </w:tc>
      </w:tr>
      <w:tr w:rsidR="009922B7" w:rsidRPr="009922B7" w14:paraId="3D8F231D" w14:textId="77777777" w:rsidTr="009F2BB2">
        <w:tc>
          <w:tcPr>
            <w:tcW w:w="2943" w:type="dxa"/>
            <w:vAlign w:val="center"/>
          </w:tcPr>
          <w:p w14:paraId="70882615" w14:textId="77777777" w:rsidR="009922B7" w:rsidRPr="009922B7" w:rsidRDefault="009922B7" w:rsidP="00E660DA">
            <w:pPr>
              <w:spacing w:after="0"/>
              <w:rPr>
                <w:sz w:val="20"/>
                <w:szCs w:val="20"/>
              </w:rPr>
            </w:pPr>
            <w:r w:rsidRPr="009922B7">
              <w:rPr>
                <w:sz w:val="20"/>
                <w:szCs w:val="20"/>
              </w:rPr>
              <w:t>Average number of cycles of B-R</w:t>
            </w:r>
          </w:p>
        </w:tc>
        <w:tc>
          <w:tcPr>
            <w:tcW w:w="3261" w:type="dxa"/>
            <w:vAlign w:val="center"/>
          </w:tcPr>
          <w:p w14:paraId="3229D7BC" w14:textId="77777777" w:rsidR="009922B7" w:rsidRPr="009922B7" w:rsidRDefault="009922B7" w:rsidP="00E660DA">
            <w:pPr>
              <w:spacing w:after="0"/>
              <w:rPr>
                <w:sz w:val="20"/>
                <w:szCs w:val="20"/>
              </w:rPr>
            </w:pPr>
            <w:r w:rsidRPr="009922B7">
              <w:rPr>
                <w:sz w:val="20"/>
                <w:szCs w:val="20"/>
              </w:rPr>
              <w:t>5.58</w:t>
            </w:r>
          </w:p>
        </w:tc>
        <w:tc>
          <w:tcPr>
            <w:tcW w:w="3084" w:type="dxa"/>
            <w:vAlign w:val="center"/>
          </w:tcPr>
          <w:p w14:paraId="0A46148D" w14:textId="77777777" w:rsidR="009922B7" w:rsidRPr="009922B7" w:rsidRDefault="009922B7" w:rsidP="00E660DA">
            <w:pPr>
              <w:spacing w:after="0"/>
              <w:rPr>
                <w:sz w:val="20"/>
                <w:szCs w:val="20"/>
              </w:rPr>
            </w:pPr>
            <w:proofErr w:type="spellStart"/>
            <w:r w:rsidRPr="009922B7">
              <w:rPr>
                <w:sz w:val="20"/>
                <w:szCs w:val="20"/>
              </w:rPr>
              <w:t>StiL</w:t>
            </w:r>
            <w:proofErr w:type="spellEnd"/>
            <w:r w:rsidRPr="009922B7">
              <w:rPr>
                <w:sz w:val="20"/>
                <w:szCs w:val="20"/>
              </w:rPr>
              <w:t xml:space="preserve"> trial</w:t>
            </w:r>
          </w:p>
        </w:tc>
      </w:tr>
      <w:tr w:rsidR="009922B7" w:rsidRPr="009922B7" w14:paraId="464C6E20" w14:textId="77777777" w:rsidTr="009F2BB2">
        <w:tc>
          <w:tcPr>
            <w:tcW w:w="2943" w:type="dxa"/>
            <w:vAlign w:val="center"/>
          </w:tcPr>
          <w:p w14:paraId="3742EAB9" w14:textId="77777777" w:rsidR="009922B7" w:rsidRPr="009922B7" w:rsidRDefault="009922B7" w:rsidP="00E660DA">
            <w:pPr>
              <w:spacing w:after="0"/>
              <w:rPr>
                <w:sz w:val="20"/>
                <w:szCs w:val="20"/>
              </w:rPr>
            </w:pPr>
            <w:r w:rsidRPr="009922B7">
              <w:rPr>
                <w:sz w:val="20"/>
                <w:szCs w:val="20"/>
              </w:rPr>
              <w:t>Average number of cycles of R-CHOP</w:t>
            </w:r>
          </w:p>
        </w:tc>
        <w:tc>
          <w:tcPr>
            <w:tcW w:w="3261" w:type="dxa"/>
            <w:vAlign w:val="center"/>
          </w:tcPr>
          <w:p w14:paraId="1D339739" w14:textId="77777777" w:rsidR="009922B7" w:rsidRPr="009922B7" w:rsidRDefault="009922B7" w:rsidP="00E660DA">
            <w:pPr>
              <w:spacing w:after="0"/>
              <w:rPr>
                <w:sz w:val="20"/>
                <w:szCs w:val="20"/>
              </w:rPr>
            </w:pPr>
            <w:r w:rsidRPr="009922B7">
              <w:rPr>
                <w:sz w:val="20"/>
                <w:szCs w:val="20"/>
              </w:rPr>
              <w:t>5.63</w:t>
            </w:r>
          </w:p>
        </w:tc>
        <w:tc>
          <w:tcPr>
            <w:tcW w:w="3084" w:type="dxa"/>
            <w:vAlign w:val="center"/>
          </w:tcPr>
          <w:p w14:paraId="5F3D1B47" w14:textId="77777777" w:rsidR="009922B7" w:rsidRPr="009922B7" w:rsidRDefault="009922B7" w:rsidP="00E660DA">
            <w:pPr>
              <w:spacing w:after="0"/>
              <w:rPr>
                <w:sz w:val="20"/>
                <w:szCs w:val="20"/>
              </w:rPr>
            </w:pPr>
            <w:proofErr w:type="spellStart"/>
            <w:r w:rsidRPr="009922B7">
              <w:rPr>
                <w:sz w:val="20"/>
                <w:szCs w:val="20"/>
              </w:rPr>
              <w:t>StiL</w:t>
            </w:r>
            <w:proofErr w:type="spellEnd"/>
            <w:r w:rsidRPr="009922B7">
              <w:rPr>
                <w:sz w:val="20"/>
                <w:szCs w:val="20"/>
              </w:rPr>
              <w:t xml:space="preserve"> trial</w:t>
            </w:r>
          </w:p>
        </w:tc>
      </w:tr>
      <w:tr w:rsidR="009922B7" w:rsidRPr="009922B7" w14:paraId="5F8C1AE5" w14:textId="77777777" w:rsidTr="009F2BB2">
        <w:tc>
          <w:tcPr>
            <w:tcW w:w="2943" w:type="dxa"/>
            <w:vAlign w:val="center"/>
          </w:tcPr>
          <w:p w14:paraId="7D299AB6" w14:textId="77777777" w:rsidR="009922B7" w:rsidRPr="009922B7" w:rsidRDefault="009922B7" w:rsidP="00E660DA">
            <w:pPr>
              <w:spacing w:after="0"/>
              <w:rPr>
                <w:sz w:val="20"/>
                <w:szCs w:val="20"/>
              </w:rPr>
            </w:pPr>
            <w:r w:rsidRPr="009922B7">
              <w:rPr>
                <w:sz w:val="20"/>
                <w:szCs w:val="20"/>
              </w:rPr>
              <w:t>Average number of cycles of R-CVP</w:t>
            </w:r>
          </w:p>
        </w:tc>
        <w:tc>
          <w:tcPr>
            <w:tcW w:w="3261" w:type="dxa"/>
            <w:vAlign w:val="center"/>
          </w:tcPr>
          <w:p w14:paraId="40213732" w14:textId="77777777" w:rsidR="009922B7" w:rsidRPr="009922B7" w:rsidRDefault="009922B7" w:rsidP="00E660DA">
            <w:pPr>
              <w:spacing w:after="0"/>
              <w:rPr>
                <w:sz w:val="20"/>
                <w:szCs w:val="20"/>
              </w:rPr>
            </w:pPr>
            <w:r w:rsidRPr="009922B7">
              <w:rPr>
                <w:sz w:val="20"/>
                <w:szCs w:val="20"/>
              </w:rPr>
              <w:t>6</w:t>
            </w:r>
          </w:p>
        </w:tc>
        <w:tc>
          <w:tcPr>
            <w:tcW w:w="3084" w:type="dxa"/>
            <w:vAlign w:val="center"/>
          </w:tcPr>
          <w:p w14:paraId="554F5566" w14:textId="77777777" w:rsidR="009922B7" w:rsidRPr="009922B7" w:rsidRDefault="009922B7" w:rsidP="00E660DA">
            <w:pPr>
              <w:spacing w:after="0"/>
              <w:rPr>
                <w:sz w:val="20"/>
                <w:szCs w:val="20"/>
              </w:rPr>
            </w:pPr>
            <w:r w:rsidRPr="009922B7">
              <w:rPr>
                <w:sz w:val="20"/>
                <w:szCs w:val="20"/>
              </w:rPr>
              <w:t>EviQ.org.au and BRIGHT trial</w:t>
            </w:r>
          </w:p>
        </w:tc>
      </w:tr>
      <w:tr w:rsidR="009922B7" w:rsidRPr="009922B7" w14:paraId="7BFFA3C8" w14:textId="77777777" w:rsidTr="009F2BB2">
        <w:tc>
          <w:tcPr>
            <w:tcW w:w="2943" w:type="dxa"/>
            <w:vAlign w:val="center"/>
          </w:tcPr>
          <w:p w14:paraId="421FF870" w14:textId="77777777" w:rsidR="009922B7" w:rsidRPr="009922B7" w:rsidRDefault="009922B7" w:rsidP="00E660DA">
            <w:pPr>
              <w:spacing w:after="0"/>
              <w:rPr>
                <w:sz w:val="20"/>
                <w:szCs w:val="20"/>
              </w:rPr>
            </w:pPr>
            <w:r w:rsidRPr="009922B7">
              <w:rPr>
                <w:sz w:val="20"/>
                <w:szCs w:val="20"/>
              </w:rPr>
              <w:t>Average patient BSA (m</w:t>
            </w:r>
            <w:r w:rsidRPr="009922B7">
              <w:rPr>
                <w:sz w:val="20"/>
                <w:szCs w:val="20"/>
                <w:vertAlign w:val="superscript"/>
              </w:rPr>
              <w:t>2</w:t>
            </w:r>
            <w:r w:rsidRPr="009922B7">
              <w:rPr>
                <w:sz w:val="20"/>
                <w:szCs w:val="20"/>
              </w:rPr>
              <w:t>), SD</w:t>
            </w:r>
          </w:p>
        </w:tc>
        <w:tc>
          <w:tcPr>
            <w:tcW w:w="3261" w:type="dxa"/>
            <w:vAlign w:val="center"/>
          </w:tcPr>
          <w:p w14:paraId="5F8AA8C4" w14:textId="77777777" w:rsidR="009922B7" w:rsidRPr="009922B7" w:rsidRDefault="009922B7" w:rsidP="00E660DA">
            <w:pPr>
              <w:spacing w:after="0"/>
              <w:rPr>
                <w:sz w:val="20"/>
                <w:szCs w:val="20"/>
              </w:rPr>
            </w:pPr>
            <w:r w:rsidRPr="009922B7">
              <w:rPr>
                <w:sz w:val="20"/>
                <w:szCs w:val="20"/>
              </w:rPr>
              <w:t>1.8 (±0.21)</w:t>
            </w:r>
          </w:p>
        </w:tc>
        <w:tc>
          <w:tcPr>
            <w:tcW w:w="3084" w:type="dxa"/>
            <w:vAlign w:val="center"/>
          </w:tcPr>
          <w:p w14:paraId="65795D5D" w14:textId="77777777" w:rsidR="009922B7" w:rsidRPr="009922B7" w:rsidRDefault="009922B7" w:rsidP="00E660DA">
            <w:pPr>
              <w:spacing w:after="0"/>
              <w:rPr>
                <w:sz w:val="20"/>
                <w:szCs w:val="20"/>
              </w:rPr>
            </w:pPr>
            <w:r w:rsidRPr="009922B7">
              <w:rPr>
                <w:sz w:val="20"/>
                <w:szCs w:val="20"/>
              </w:rPr>
              <w:t>Dooley 2004</w:t>
            </w:r>
          </w:p>
        </w:tc>
      </w:tr>
      <w:tr w:rsidR="009922B7" w:rsidRPr="009922B7" w14:paraId="302074B7" w14:textId="77777777" w:rsidTr="009F2BB2">
        <w:tc>
          <w:tcPr>
            <w:tcW w:w="2943" w:type="dxa"/>
            <w:vAlign w:val="center"/>
          </w:tcPr>
          <w:p w14:paraId="193B182F" w14:textId="77777777" w:rsidR="009922B7" w:rsidRPr="009922B7" w:rsidRDefault="009922B7" w:rsidP="00E660DA">
            <w:pPr>
              <w:spacing w:after="0"/>
              <w:rPr>
                <w:sz w:val="20"/>
                <w:szCs w:val="20"/>
              </w:rPr>
            </w:pPr>
            <w:r w:rsidRPr="009922B7">
              <w:rPr>
                <w:sz w:val="20"/>
                <w:szCs w:val="20"/>
              </w:rPr>
              <w:t xml:space="preserve">Proportion of </w:t>
            </w:r>
            <w:r w:rsidR="00096089">
              <w:rPr>
                <w:sz w:val="20"/>
                <w:szCs w:val="20"/>
              </w:rPr>
              <w:t>prescriptions supplied in a private hospital</w:t>
            </w:r>
            <w:r w:rsidRPr="009922B7">
              <w:rPr>
                <w:sz w:val="20"/>
                <w:szCs w:val="20"/>
              </w:rPr>
              <w:t xml:space="preserve"> </w:t>
            </w:r>
          </w:p>
        </w:tc>
        <w:tc>
          <w:tcPr>
            <w:tcW w:w="3261" w:type="dxa"/>
            <w:shd w:val="clear" w:color="auto" w:fill="auto"/>
            <w:vAlign w:val="center"/>
          </w:tcPr>
          <w:p w14:paraId="0B1B858A" w14:textId="77777777" w:rsidR="009922B7" w:rsidRPr="009922B7" w:rsidRDefault="009922B7" w:rsidP="00E660DA">
            <w:pPr>
              <w:spacing w:after="0"/>
              <w:rPr>
                <w:sz w:val="20"/>
                <w:szCs w:val="20"/>
              </w:rPr>
            </w:pPr>
            <w:r w:rsidRPr="009922B7">
              <w:rPr>
                <w:sz w:val="20"/>
                <w:szCs w:val="20"/>
              </w:rPr>
              <w:t>66%</w:t>
            </w:r>
          </w:p>
        </w:tc>
        <w:tc>
          <w:tcPr>
            <w:tcW w:w="3084" w:type="dxa"/>
            <w:vAlign w:val="center"/>
          </w:tcPr>
          <w:p w14:paraId="39DEB708" w14:textId="77777777" w:rsidR="009922B7" w:rsidRPr="009922B7" w:rsidRDefault="009922B7" w:rsidP="00E660DA">
            <w:pPr>
              <w:spacing w:after="0"/>
              <w:rPr>
                <w:sz w:val="20"/>
                <w:szCs w:val="20"/>
              </w:rPr>
            </w:pPr>
            <w:r w:rsidRPr="009922B7">
              <w:rPr>
                <w:sz w:val="20"/>
                <w:szCs w:val="20"/>
              </w:rPr>
              <w:t>pbs.gov.au</w:t>
            </w:r>
          </w:p>
        </w:tc>
      </w:tr>
      <w:tr w:rsidR="009922B7" w:rsidRPr="009922B7" w14:paraId="2D4B4AE8" w14:textId="77777777" w:rsidTr="009F2BB2">
        <w:tc>
          <w:tcPr>
            <w:tcW w:w="2943" w:type="dxa"/>
            <w:vAlign w:val="center"/>
          </w:tcPr>
          <w:p w14:paraId="682A5CE8" w14:textId="77777777" w:rsidR="009922B7" w:rsidRPr="009922B7" w:rsidRDefault="00096089" w:rsidP="00E660DA">
            <w:pPr>
              <w:spacing w:after="0"/>
              <w:rPr>
                <w:sz w:val="20"/>
                <w:szCs w:val="20"/>
              </w:rPr>
            </w:pPr>
            <w:r w:rsidRPr="009922B7">
              <w:rPr>
                <w:sz w:val="20"/>
                <w:szCs w:val="20"/>
              </w:rPr>
              <w:lastRenderedPageBreak/>
              <w:t xml:space="preserve">Proportion of </w:t>
            </w:r>
            <w:r>
              <w:rPr>
                <w:sz w:val="20"/>
                <w:szCs w:val="20"/>
              </w:rPr>
              <w:t>prescriptions supplied in a public hospital</w:t>
            </w:r>
          </w:p>
        </w:tc>
        <w:tc>
          <w:tcPr>
            <w:tcW w:w="3261" w:type="dxa"/>
            <w:vAlign w:val="center"/>
          </w:tcPr>
          <w:p w14:paraId="3C3B149C" w14:textId="77777777" w:rsidR="009922B7" w:rsidRPr="009922B7" w:rsidRDefault="009922B7" w:rsidP="00E660DA">
            <w:pPr>
              <w:spacing w:after="0"/>
              <w:rPr>
                <w:sz w:val="20"/>
                <w:szCs w:val="20"/>
              </w:rPr>
            </w:pPr>
            <w:r w:rsidRPr="009922B7">
              <w:rPr>
                <w:sz w:val="20"/>
                <w:szCs w:val="20"/>
              </w:rPr>
              <w:t>34%</w:t>
            </w:r>
          </w:p>
        </w:tc>
        <w:tc>
          <w:tcPr>
            <w:tcW w:w="3084" w:type="dxa"/>
            <w:vAlign w:val="center"/>
          </w:tcPr>
          <w:p w14:paraId="419286D4" w14:textId="77777777" w:rsidR="009922B7" w:rsidRPr="009922B7" w:rsidRDefault="009922B7" w:rsidP="00E660DA">
            <w:pPr>
              <w:spacing w:after="0"/>
              <w:rPr>
                <w:sz w:val="20"/>
                <w:szCs w:val="20"/>
              </w:rPr>
            </w:pPr>
            <w:r w:rsidRPr="009922B7">
              <w:rPr>
                <w:sz w:val="20"/>
                <w:szCs w:val="20"/>
              </w:rPr>
              <w:t>pbs.gov.au</w:t>
            </w:r>
          </w:p>
        </w:tc>
      </w:tr>
    </w:tbl>
    <w:p w14:paraId="3C858298" w14:textId="77777777" w:rsidR="009922B7" w:rsidRPr="009922B7" w:rsidRDefault="009922B7" w:rsidP="009922B7">
      <w:pPr>
        <w:rPr>
          <w:sz w:val="20"/>
          <w:szCs w:val="20"/>
        </w:rPr>
      </w:pPr>
      <w:proofErr w:type="spellStart"/>
      <w:proofErr w:type="gramStart"/>
      <w:r w:rsidRPr="009922B7">
        <w:rPr>
          <w:sz w:val="20"/>
          <w:szCs w:val="20"/>
          <w:vertAlign w:val="superscript"/>
        </w:rPr>
        <w:t>a</w:t>
      </w:r>
      <w:proofErr w:type="spellEnd"/>
      <w:proofErr w:type="gramEnd"/>
      <w:r w:rsidRPr="009922B7">
        <w:rPr>
          <w:sz w:val="20"/>
          <w:szCs w:val="20"/>
        </w:rPr>
        <w:t xml:space="preserve"> Average number of cycles was not reported.</w:t>
      </w:r>
      <w:r>
        <w:rPr>
          <w:sz w:val="20"/>
          <w:szCs w:val="20"/>
        </w:rPr>
        <w:br/>
      </w:r>
      <w:proofErr w:type="spellStart"/>
      <w:proofErr w:type="gramStart"/>
      <w:r w:rsidRPr="009922B7">
        <w:rPr>
          <w:sz w:val="20"/>
          <w:szCs w:val="20"/>
        </w:rPr>
        <w:t>iNHL</w:t>
      </w:r>
      <w:proofErr w:type="spellEnd"/>
      <w:r w:rsidRPr="009922B7">
        <w:rPr>
          <w:sz w:val="20"/>
          <w:szCs w:val="20"/>
        </w:rPr>
        <w:t>=</w:t>
      </w:r>
      <w:proofErr w:type="gramEnd"/>
      <w:r w:rsidRPr="009922B7">
        <w:rPr>
          <w:sz w:val="20"/>
          <w:szCs w:val="20"/>
        </w:rPr>
        <w:t>indolent non-</w:t>
      </w:r>
      <w:proofErr w:type="spellStart"/>
      <w:r w:rsidRPr="009922B7">
        <w:rPr>
          <w:sz w:val="20"/>
          <w:szCs w:val="20"/>
        </w:rPr>
        <w:t>Hodgkins</w:t>
      </w:r>
      <w:proofErr w:type="spellEnd"/>
      <w:r w:rsidRPr="009922B7">
        <w:rPr>
          <w:sz w:val="20"/>
          <w:szCs w:val="20"/>
        </w:rPr>
        <w:t xml:space="preserve"> lymphoma; FL=follicular lymphoma; MCL=mantle cell lymphoma; CD20=cluster of differentiation 20; ASCT=autologous/allogeneic stem cell transplant; B=</w:t>
      </w:r>
      <w:proofErr w:type="spellStart"/>
      <w:r w:rsidRPr="009922B7">
        <w:rPr>
          <w:sz w:val="20"/>
          <w:szCs w:val="20"/>
        </w:rPr>
        <w:t>bendamustine</w:t>
      </w:r>
      <w:proofErr w:type="spellEnd"/>
      <w:r w:rsidRPr="009922B7">
        <w:rPr>
          <w:sz w:val="20"/>
          <w:szCs w:val="20"/>
        </w:rPr>
        <w:t xml:space="preserve">; C=cyclophosphamide; H=doxorubicin; P=prednisone; R=rituximab; O (in R-CHOP)/V (in R-CVP)=vincristine; BSA=body surface area; ABMTR=Australia Bone Marrow Transplant Registry </w:t>
      </w:r>
    </w:p>
    <w:p w14:paraId="68EFD2AA" w14:textId="77777777" w:rsidR="005A3F4B" w:rsidRPr="00B3440B" w:rsidRDefault="005A3F4B" w:rsidP="00D42127">
      <w:pPr>
        <w:pStyle w:val="Heading2"/>
      </w:pPr>
      <w:r w:rsidRPr="00B3440B">
        <w:t>Methods</w:t>
      </w:r>
    </w:p>
    <w:p w14:paraId="5371AE9B" w14:textId="77777777" w:rsidR="005A3F4B" w:rsidRDefault="005A3F4B" w:rsidP="005A3F4B">
      <w:pPr>
        <w:rPr>
          <w:rFonts w:ascii="Calibri" w:eastAsia="MS Mincho" w:hAnsi="Calibri" w:cs="Times New Roman"/>
        </w:rPr>
      </w:pPr>
      <w:r w:rsidRPr="00B3440B">
        <w:rPr>
          <w:rFonts w:ascii="Calibri" w:eastAsia="MS Mincho" w:hAnsi="Calibri" w:cs="Times New Roman"/>
        </w:rPr>
        <w:t xml:space="preserve">PBS prescription data for </w:t>
      </w:r>
      <w:proofErr w:type="spellStart"/>
      <w:r w:rsidR="00617F19">
        <w:rPr>
          <w:rFonts w:ascii="Calibri" w:eastAsia="MS Mincho" w:hAnsi="Calibri" w:cs="Times New Roman"/>
        </w:rPr>
        <w:t>bendamustine</w:t>
      </w:r>
      <w:proofErr w:type="spellEnd"/>
      <w:r w:rsidR="00B3440B" w:rsidRPr="00B3440B">
        <w:rPr>
          <w:rFonts w:ascii="Calibri" w:eastAsia="MS Mincho" w:hAnsi="Calibri" w:cs="Times New Roman"/>
        </w:rPr>
        <w:t xml:space="preserve"> dispensed </w:t>
      </w:r>
      <w:r w:rsidRPr="00B3440B">
        <w:rPr>
          <w:rFonts w:ascii="Calibri" w:eastAsia="MS Mincho" w:hAnsi="Calibri" w:cs="Times New Roman"/>
        </w:rPr>
        <w:t xml:space="preserve">from 1 </w:t>
      </w:r>
      <w:r w:rsidR="00617F19">
        <w:rPr>
          <w:rFonts w:ascii="Calibri" w:eastAsia="MS Mincho" w:hAnsi="Calibri" w:cs="Times New Roman"/>
        </w:rPr>
        <w:t>May</w:t>
      </w:r>
      <w:r w:rsidR="00B3440B" w:rsidRPr="00B3440B">
        <w:rPr>
          <w:rFonts w:ascii="Calibri" w:eastAsia="MS Mincho" w:hAnsi="Calibri" w:cs="Times New Roman"/>
        </w:rPr>
        <w:t xml:space="preserve"> </w:t>
      </w:r>
      <w:r w:rsidRPr="00B3440B">
        <w:rPr>
          <w:rFonts w:ascii="Calibri" w:eastAsia="MS Mincho" w:hAnsi="Calibri" w:cs="Times New Roman"/>
        </w:rPr>
        <w:t>201</w:t>
      </w:r>
      <w:r w:rsidR="00B3440B" w:rsidRPr="00B3440B">
        <w:rPr>
          <w:rFonts w:ascii="Calibri" w:eastAsia="MS Mincho" w:hAnsi="Calibri" w:cs="Times New Roman"/>
        </w:rPr>
        <w:t>6</w:t>
      </w:r>
      <w:r w:rsidRPr="00B3440B">
        <w:rPr>
          <w:rFonts w:ascii="Calibri" w:eastAsia="MS Mincho" w:hAnsi="Calibri" w:cs="Times New Roman"/>
        </w:rPr>
        <w:t xml:space="preserve"> </w:t>
      </w:r>
      <w:r w:rsidR="009F2BB2">
        <w:rPr>
          <w:rFonts w:ascii="Calibri" w:eastAsia="MS Mincho" w:hAnsi="Calibri" w:cs="Times New Roman"/>
        </w:rPr>
        <w:t xml:space="preserve">(date of listing on the PBS) </w:t>
      </w:r>
      <w:r w:rsidRPr="00B3440B">
        <w:rPr>
          <w:rFonts w:ascii="Calibri" w:eastAsia="MS Mincho" w:hAnsi="Calibri" w:cs="Times New Roman"/>
        </w:rPr>
        <w:t>to 3</w:t>
      </w:r>
      <w:r w:rsidR="00B3440B" w:rsidRPr="00B3440B">
        <w:rPr>
          <w:rFonts w:ascii="Calibri" w:eastAsia="MS Mincho" w:hAnsi="Calibri" w:cs="Times New Roman"/>
        </w:rPr>
        <w:t>0</w:t>
      </w:r>
      <w:r w:rsidRPr="00B3440B">
        <w:rPr>
          <w:rFonts w:ascii="Calibri" w:eastAsia="MS Mincho" w:hAnsi="Calibri" w:cs="Times New Roman"/>
        </w:rPr>
        <w:t xml:space="preserve"> </w:t>
      </w:r>
      <w:r w:rsidR="00617F19">
        <w:rPr>
          <w:rFonts w:ascii="Calibri" w:eastAsia="MS Mincho" w:hAnsi="Calibri" w:cs="Times New Roman"/>
        </w:rPr>
        <w:t>September</w:t>
      </w:r>
      <w:r w:rsidRPr="00B3440B">
        <w:rPr>
          <w:rFonts w:ascii="Calibri" w:eastAsia="MS Mincho" w:hAnsi="Calibri" w:cs="Times New Roman"/>
        </w:rPr>
        <w:t xml:space="preserve"> 201</w:t>
      </w:r>
      <w:r w:rsidR="00B3440B" w:rsidRPr="00B3440B">
        <w:rPr>
          <w:rFonts w:ascii="Calibri" w:eastAsia="MS Mincho" w:hAnsi="Calibri" w:cs="Times New Roman"/>
        </w:rPr>
        <w:t>8</w:t>
      </w:r>
      <w:r w:rsidRPr="00B3440B">
        <w:rPr>
          <w:rFonts w:ascii="Calibri" w:eastAsia="MS Mincho" w:hAnsi="Calibri" w:cs="Times New Roman"/>
        </w:rPr>
        <w:t xml:space="preserve"> were extracted from the DHS </w:t>
      </w:r>
      <w:r w:rsidR="00B3440B" w:rsidRPr="00B3440B">
        <w:rPr>
          <w:rFonts w:ascii="Calibri" w:eastAsia="MS Mincho" w:hAnsi="Calibri" w:cs="Times New Roman"/>
        </w:rPr>
        <w:t xml:space="preserve">PBS </w:t>
      </w:r>
      <w:r w:rsidRPr="00B3440B">
        <w:rPr>
          <w:rFonts w:ascii="Calibri" w:eastAsia="MS Mincho" w:hAnsi="Calibri" w:cs="Times New Roman"/>
        </w:rPr>
        <w:t>prescription database</w:t>
      </w:r>
      <w:r w:rsidR="00B3440B" w:rsidRPr="00B3440B">
        <w:rPr>
          <w:rFonts w:ascii="Calibri" w:eastAsia="MS Mincho" w:hAnsi="Calibri" w:cs="Times New Roman"/>
        </w:rPr>
        <w:t>.</w:t>
      </w:r>
      <w:r w:rsidR="000A4136">
        <w:rPr>
          <w:rStyle w:val="FootnoteReference"/>
          <w:rFonts w:ascii="Calibri" w:eastAsia="MS Mincho" w:hAnsi="Calibri" w:cs="Times New Roman"/>
        </w:rPr>
        <w:footnoteReference w:id="5"/>
      </w:r>
      <w:r w:rsidRPr="00B3440B">
        <w:rPr>
          <w:rFonts w:ascii="Calibri" w:eastAsia="MS Mincho" w:hAnsi="Calibri" w:cs="Times New Roman"/>
        </w:rPr>
        <w:t xml:space="preserve"> PBS prescription data were used to determine the number of prescriptions supplied</w:t>
      </w:r>
      <w:r w:rsidR="000A4136">
        <w:rPr>
          <w:rFonts w:ascii="Calibri" w:eastAsia="MS Mincho" w:hAnsi="Calibri" w:cs="Times New Roman"/>
        </w:rPr>
        <w:t xml:space="preserve"> and</w:t>
      </w:r>
      <w:r w:rsidRPr="00B3440B">
        <w:rPr>
          <w:rFonts w:ascii="Calibri" w:eastAsia="MS Mincho" w:hAnsi="Calibri" w:cs="Times New Roman"/>
        </w:rPr>
        <w:t xml:space="preserve"> </w:t>
      </w:r>
      <w:r w:rsidR="000D38C3">
        <w:rPr>
          <w:rFonts w:ascii="Calibri" w:eastAsia="MS Mincho" w:hAnsi="Calibri" w:cs="Times New Roman"/>
        </w:rPr>
        <w:t xml:space="preserve">the number of </w:t>
      </w:r>
      <w:r w:rsidRPr="00B3440B">
        <w:rPr>
          <w:rFonts w:ascii="Calibri" w:eastAsia="MS Mincho" w:hAnsi="Calibri" w:cs="Times New Roman"/>
        </w:rPr>
        <w:t>incident and prevalent patients</w:t>
      </w:r>
      <w:r w:rsidR="0086279F">
        <w:rPr>
          <w:rFonts w:ascii="Calibri" w:eastAsia="MS Mincho" w:hAnsi="Calibri" w:cs="Times New Roman"/>
        </w:rPr>
        <w:t>.</w:t>
      </w:r>
    </w:p>
    <w:p w14:paraId="4B444AE6" w14:textId="5630A6B9" w:rsidR="00F12E44" w:rsidRDefault="00617F19" w:rsidP="00F12E44">
      <w:pPr>
        <w:rPr>
          <w:rFonts w:ascii="Calibri" w:eastAsia="MS Mincho" w:hAnsi="Calibri" w:cs="Times New Roman"/>
        </w:rPr>
      </w:pPr>
      <w:r>
        <w:rPr>
          <w:rFonts w:ascii="Calibri" w:eastAsia="MS Mincho" w:hAnsi="Calibri" w:cs="Times New Roman"/>
        </w:rPr>
        <w:t xml:space="preserve">Indication for a prescription was based on the Streamline Authority code. If this was not a valid value then the restriction code in the DHS Authority Approval database was used. </w:t>
      </w:r>
      <w:r w:rsidR="00F12E44">
        <w:rPr>
          <w:rFonts w:ascii="Calibri" w:eastAsia="MS Mincho" w:hAnsi="Calibri" w:cs="Times New Roman"/>
        </w:rPr>
        <w:t xml:space="preserve">A small proportion of patients (3.3%) had a dispensing history of </w:t>
      </w:r>
      <w:proofErr w:type="spellStart"/>
      <w:r w:rsidR="00F12E44">
        <w:rPr>
          <w:rFonts w:ascii="Calibri" w:eastAsia="MS Mincho" w:hAnsi="Calibri" w:cs="Times New Roman"/>
        </w:rPr>
        <w:t>bendamustine</w:t>
      </w:r>
      <w:proofErr w:type="spellEnd"/>
      <w:r w:rsidR="00F12E44">
        <w:rPr>
          <w:rFonts w:ascii="Calibri" w:eastAsia="MS Mincho" w:hAnsi="Calibri" w:cs="Times New Roman"/>
        </w:rPr>
        <w:t xml:space="preserve"> for both </w:t>
      </w:r>
      <w:proofErr w:type="spellStart"/>
      <w:r w:rsidR="00F12E44">
        <w:rPr>
          <w:rFonts w:ascii="Calibri" w:eastAsia="MS Mincho" w:hAnsi="Calibri" w:cs="Times New Roman"/>
        </w:rPr>
        <w:t>iNHL</w:t>
      </w:r>
      <w:proofErr w:type="spellEnd"/>
      <w:r w:rsidR="00F12E44">
        <w:rPr>
          <w:rFonts w:ascii="Calibri" w:eastAsia="MS Mincho" w:hAnsi="Calibri" w:cs="Times New Roman"/>
        </w:rPr>
        <w:t xml:space="preserve"> and MCL, likely </w:t>
      </w:r>
      <w:r w:rsidR="004B34DD">
        <w:rPr>
          <w:rFonts w:ascii="Calibri" w:eastAsia="MS Mincho" w:hAnsi="Calibri" w:cs="Times New Roman"/>
        </w:rPr>
        <w:t>d</w:t>
      </w:r>
      <w:r w:rsidR="00F12E44">
        <w:rPr>
          <w:rFonts w:ascii="Calibri" w:eastAsia="MS Mincho" w:hAnsi="Calibri" w:cs="Times New Roman"/>
        </w:rPr>
        <w:t xml:space="preserve">ue to </w:t>
      </w:r>
      <w:r w:rsidR="00D85E14">
        <w:rPr>
          <w:rFonts w:ascii="Calibri" w:eastAsia="MS Mincho" w:hAnsi="Calibri" w:cs="Times New Roman"/>
        </w:rPr>
        <w:t xml:space="preserve">prescribing or dispensing </w:t>
      </w:r>
      <w:r w:rsidR="00F12E44">
        <w:rPr>
          <w:rFonts w:ascii="Calibri" w:eastAsia="MS Mincho" w:hAnsi="Calibri" w:cs="Times New Roman"/>
        </w:rPr>
        <w:t xml:space="preserve">coding error. </w:t>
      </w:r>
      <w:r w:rsidR="0044726B">
        <w:rPr>
          <w:rFonts w:ascii="Calibri" w:eastAsia="MS Mincho" w:hAnsi="Calibri" w:cs="Times New Roman"/>
        </w:rPr>
        <w:t>In these cases, a</w:t>
      </w:r>
      <w:r w:rsidR="00F12E44">
        <w:rPr>
          <w:rFonts w:ascii="Calibri" w:eastAsia="MS Mincho" w:hAnsi="Calibri" w:cs="Times New Roman"/>
        </w:rPr>
        <w:t xml:space="preserve"> </w:t>
      </w:r>
      <w:r w:rsidR="00D85E14">
        <w:rPr>
          <w:rFonts w:ascii="Calibri" w:eastAsia="MS Mincho" w:hAnsi="Calibri" w:cs="Times New Roman"/>
        </w:rPr>
        <w:t>patient’s</w:t>
      </w:r>
      <w:r w:rsidR="00F12E44">
        <w:rPr>
          <w:rFonts w:ascii="Calibri" w:eastAsia="MS Mincho" w:hAnsi="Calibri" w:cs="Times New Roman"/>
        </w:rPr>
        <w:t xml:space="preserve"> most common valid indication was used in the analyses. There were a small number of patients (0.6%) supplied </w:t>
      </w:r>
      <w:proofErr w:type="spellStart"/>
      <w:r w:rsidR="00F12E44">
        <w:rPr>
          <w:rFonts w:ascii="Calibri" w:eastAsia="MS Mincho" w:hAnsi="Calibri" w:cs="Times New Roman"/>
        </w:rPr>
        <w:t>bendamustine</w:t>
      </w:r>
      <w:proofErr w:type="spellEnd"/>
      <w:r w:rsidR="00F12E44">
        <w:rPr>
          <w:rFonts w:ascii="Calibri" w:eastAsia="MS Mincho" w:hAnsi="Calibri" w:cs="Times New Roman"/>
        </w:rPr>
        <w:t xml:space="preserve"> </w:t>
      </w:r>
      <w:r w:rsidR="002041B1">
        <w:rPr>
          <w:rFonts w:ascii="Calibri" w:eastAsia="MS Mincho" w:hAnsi="Calibri" w:cs="Times New Roman"/>
        </w:rPr>
        <w:t>prescriptions with</w:t>
      </w:r>
      <w:r w:rsidR="00A57A67">
        <w:rPr>
          <w:rFonts w:ascii="Calibri" w:eastAsia="MS Mincho" w:hAnsi="Calibri" w:cs="Times New Roman"/>
        </w:rPr>
        <w:t>out</w:t>
      </w:r>
      <w:r w:rsidR="002041B1">
        <w:rPr>
          <w:rFonts w:ascii="Calibri" w:eastAsia="MS Mincho" w:hAnsi="Calibri" w:cs="Times New Roman"/>
        </w:rPr>
        <w:t xml:space="preserve"> a valid code. These patients were excluded from analyses by indication, but included in total patient and prescription counts in Table </w:t>
      </w:r>
      <w:r w:rsidR="00D85E14">
        <w:rPr>
          <w:rFonts w:ascii="Calibri" w:eastAsia="MS Mincho" w:hAnsi="Calibri" w:cs="Times New Roman"/>
        </w:rPr>
        <w:t>3</w:t>
      </w:r>
      <w:r w:rsidR="002041B1">
        <w:rPr>
          <w:rFonts w:ascii="Calibri" w:eastAsia="MS Mincho" w:hAnsi="Calibri" w:cs="Times New Roman"/>
        </w:rPr>
        <w:t>.</w:t>
      </w:r>
    </w:p>
    <w:p w14:paraId="5E9A2C02" w14:textId="77777777" w:rsidR="00E660DA" w:rsidRDefault="00E660DA">
      <w:pPr>
        <w:spacing w:line="276" w:lineRule="auto"/>
        <w:rPr>
          <w:u w:val="single"/>
        </w:rPr>
      </w:pPr>
    </w:p>
    <w:p w14:paraId="15FA2430" w14:textId="77777777" w:rsidR="0034421F" w:rsidRPr="0034421F" w:rsidRDefault="0034421F" w:rsidP="004B4DAB">
      <w:r>
        <w:rPr>
          <w:u w:val="single"/>
        </w:rPr>
        <w:t xml:space="preserve">Managing small cell sizes in </w:t>
      </w:r>
      <w:r w:rsidRPr="00D27ACF">
        <w:rPr>
          <w:u w:val="single"/>
        </w:rPr>
        <w:t>tables and figures</w:t>
      </w:r>
    </w:p>
    <w:p w14:paraId="384AF59E" w14:textId="569AE766" w:rsidR="004F7B89" w:rsidRDefault="0034421F" w:rsidP="004B4DAB">
      <w:r>
        <w:t>W</w:t>
      </w:r>
      <w:r w:rsidR="00D27ACF" w:rsidRPr="00D27ACF">
        <w:t xml:space="preserve">here the patient </w:t>
      </w:r>
      <w:r>
        <w:t xml:space="preserve">or prescription </w:t>
      </w:r>
      <w:r w:rsidR="00D27ACF" w:rsidRPr="00D27ACF">
        <w:t xml:space="preserve">count is between </w:t>
      </w:r>
      <w:proofErr w:type="gramStart"/>
      <w:r w:rsidR="00D27ACF" w:rsidRPr="00D27ACF">
        <w:t>1</w:t>
      </w:r>
      <w:proofErr w:type="gramEnd"/>
      <w:r w:rsidR="00D27ACF" w:rsidRPr="00D27ACF">
        <w:t xml:space="preserve"> and 5 (inclusive), </w:t>
      </w:r>
      <w:r>
        <w:t>a</w:t>
      </w:r>
      <w:r w:rsidR="00D27ACF" w:rsidRPr="00D27ACF">
        <w:t xml:space="preserve"> </w:t>
      </w:r>
      <w:r>
        <w:t xml:space="preserve">figure </w:t>
      </w:r>
      <w:r w:rsidR="00D27ACF" w:rsidRPr="00D27ACF">
        <w:t xml:space="preserve">data point </w:t>
      </w:r>
      <w:r>
        <w:t xml:space="preserve">is </w:t>
      </w:r>
      <w:r w:rsidR="00D27ACF" w:rsidRPr="00D27ACF">
        <w:t xml:space="preserve">set to 5 </w:t>
      </w:r>
      <w:r>
        <w:t xml:space="preserve">and a table cell is set to “&lt;=5” to protect patient </w:t>
      </w:r>
      <w:r w:rsidR="0086279F">
        <w:t>confidentiality</w:t>
      </w:r>
      <w:r w:rsidR="00D85E14">
        <w:t>.</w:t>
      </w:r>
    </w:p>
    <w:p w14:paraId="2EBD805F" w14:textId="77777777" w:rsidR="005401CA" w:rsidRPr="00687177" w:rsidRDefault="005401CA" w:rsidP="005401CA">
      <w:pPr>
        <w:pStyle w:val="Heading3"/>
        <w:rPr>
          <w:b w:val="0"/>
          <w:i w:val="0"/>
          <w:u w:val="single"/>
        </w:rPr>
      </w:pPr>
      <w:r w:rsidRPr="00687177">
        <w:rPr>
          <w:b w:val="0"/>
          <w:i w:val="0"/>
          <w:u w:val="single"/>
        </w:rPr>
        <w:t>Dose distribution</w:t>
      </w:r>
    </w:p>
    <w:p w14:paraId="36F28B69" w14:textId="77777777" w:rsidR="00571964" w:rsidRDefault="00571964" w:rsidP="005401CA">
      <w:pPr>
        <w:rPr>
          <w:rFonts w:ascii="Calibri" w:eastAsia="MS Mincho" w:hAnsi="Calibri" w:cs="Times New Roman"/>
        </w:rPr>
      </w:pPr>
      <w:r>
        <w:rPr>
          <w:rFonts w:ascii="Calibri" w:eastAsia="MS Mincho" w:hAnsi="Calibri" w:cs="Times New Roman"/>
        </w:rPr>
        <w:t xml:space="preserve">Under the Efficient Funding of Chemotherapy (EFC) program, a prescription corresponds to a single infusion. The prescribed dose for </w:t>
      </w:r>
      <w:r>
        <w:rPr>
          <w:rFonts w:ascii="Calibri" w:eastAsia="MS Mincho" w:hAnsi="Calibri" w:cs="Times New Roman"/>
        </w:rPr>
        <w:lastRenderedPageBreak/>
        <w:t>the infusion is recorded on the PBS prescription record</w:t>
      </w:r>
      <w:r w:rsidR="002041B1">
        <w:rPr>
          <w:rFonts w:ascii="Calibri" w:eastAsia="MS Mincho" w:hAnsi="Calibri" w:cs="Times New Roman"/>
        </w:rPr>
        <w:t>.</w:t>
      </w:r>
      <w:r w:rsidR="000F5FF2">
        <w:rPr>
          <w:rFonts w:ascii="Calibri" w:eastAsia="MS Mincho" w:hAnsi="Calibri" w:cs="Times New Roman"/>
        </w:rPr>
        <w:t xml:space="preserve"> The dose analysis used </w:t>
      </w:r>
      <w:proofErr w:type="spellStart"/>
      <w:r w:rsidR="000F5FF2">
        <w:rPr>
          <w:rFonts w:ascii="Calibri" w:eastAsia="MS Mincho" w:hAnsi="Calibri" w:cs="Times New Roman"/>
        </w:rPr>
        <w:t>bendamustine</w:t>
      </w:r>
      <w:proofErr w:type="spellEnd"/>
      <w:r w:rsidR="000F5FF2">
        <w:rPr>
          <w:rFonts w:ascii="Calibri" w:eastAsia="MS Mincho" w:hAnsi="Calibri" w:cs="Times New Roman"/>
        </w:rPr>
        <w:t xml:space="preserve"> prescriptions from </w:t>
      </w:r>
      <w:r w:rsidR="000F5FF2" w:rsidRPr="00B3440B">
        <w:rPr>
          <w:rFonts w:ascii="Calibri" w:eastAsia="MS Mincho" w:hAnsi="Calibri" w:cs="Times New Roman"/>
        </w:rPr>
        <w:t xml:space="preserve">1 </w:t>
      </w:r>
      <w:r w:rsidR="000F5FF2">
        <w:rPr>
          <w:rFonts w:ascii="Calibri" w:eastAsia="MS Mincho" w:hAnsi="Calibri" w:cs="Times New Roman"/>
        </w:rPr>
        <w:t>May</w:t>
      </w:r>
      <w:r w:rsidR="000F5FF2" w:rsidRPr="00B3440B">
        <w:rPr>
          <w:rFonts w:ascii="Calibri" w:eastAsia="MS Mincho" w:hAnsi="Calibri" w:cs="Times New Roman"/>
        </w:rPr>
        <w:t xml:space="preserve"> 2016 </w:t>
      </w:r>
      <w:r w:rsidR="000F5FF2">
        <w:rPr>
          <w:rFonts w:ascii="Calibri" w:eastAsia="MS Mincho" w:hAnsi="Calibri" w:cs="Times New Roman"/>
        </w:rPr>
        <w:t xml:space="preserve">(date of listing on the PBS) </w:t>
      </w:r>
      <w:r w:rsidR="000F5FF2" w:rsidRPr="00B3440B">
        <w:rPr>
          <w:rFonts w:ascii="Calibri" w:eastAsia="MS Mincho" w:hAnsi="Calibri" w:cs="Times New Roman"/>
        </w:rPr>
        <w:t xml:space="preserve">to 30 </w:t>
      </w:r>
      <w:r w:rsidR="000F5FF2">
        <w:rPr>
          <w:rFonts w:ascii="Calibri" w:eastAsia="MS Mincho" w:hAnsi="Calibri" w:cs="Times New Roman"/>
        </w:rPr>
        <w:t>September</w:t>
      </w:r>
      <w:r w:rsidR="000F5FF2" w:rsidRPr="00B3440B">
        <w:rPr>
          <w:rFonts w:ascii="Calibri" w:eastAsia="MS Mincho" w:hAnsi="Calibri" w:cs="Times New Roman"/>
        </w:rPr>
        <w:t xml:space="preserve"> 2018</w:t>
      </w:r>
      <w:r w:rsidR="000F5FF2">
        <w:rPr>
          <w:rFonts w:ascii="Calibri" w:eastAsia="MS Mincho" w:hAnsi="Calibri" w:cs="Times New Roman"/>
        </w:rPr>
        <w:t>.</w:t>
      </w:r>
    </w:p>
    <w:p w14:paraId="11DB1F40" w14:textId="77777777" w:rsidR="00AE0A50" w:rsidRPr="007E6AE3" w:rsidRDefault="00AE0A50" w:rsidP="00AE0A50">
      <w:pPr>
        <w:pStyle w:val="Heading3"/>
        <w:rPr>
          <w:b w:val="0"/>
          <w:i w:val="0"/>
          <w:u w:val="single"/>
        </w:rPr>
      </w:pPr>
      <w:r w:rsidRPr="007E6AE3">
        <w:rPr>
          <w:b w:val="0"/>
          <w:i w:val="0"/>
          <w:u w:val="single"/>
        </w:rPr>
        <w:t>Medicine initiation sequence analysis</w:t>
      </w:r>
    </w:p>
    <w:p w14:paraId="1E4AA781" w14:textId="1497D83C" w:rsidR="005F2282" w:rsidRDefault="005F2282" w:rsidP="005F2282">
      <w:r>
        <w:rPr>
          <w:rFonts w:ascii="Calibri" w:eastAsia="MS Mincho" w:hAnsi="Calibri" w:cs="Times New Roman"/>
        </w:rPr>
        <w:t xml:space="preserve">This analysis was used to assess whether </w:t>
      </w:r>
      <w:proofErr w:type="spellStart"/>
      <w:r>
        <w:rPr>
          <w:rFonts w:ascii="Calibri" w:eastAsia="MS Mincho" w:hAnsi="Calibri" w:cs="Times New Roman"/>
        </w:rPr>
        <w:t>bendamustine</w:t>
      </w:r>
      <w:proofErr w:type="spellEnd"/>
      <w:r>
        <w:rPr>
          <w:rFonts w:ascii="Calibri" w:eastAsia="MS Mincho" w:hAnsi="Calibri" w:cs="Times New Roman"/>
        </w:rPr>
        <w:t xml:space="preserve"> is being used </w:t>
      </w:r>
      <w:r w:rsidR="002041B1">
        <w:rPr>
          <w:rFonts w:ascii="Calibri" w:eastAsia="MS Mincho" w:hAnsi="Calibri" w:cs="Times New Roman"/>
        </w:rPr>
        <w:t xml:space="preserve">outside of the PBS restriction for previously treated </w:t>
      </w:r>
      <w:proofErr w:type="spellStart"/>
      <w:r w:rsidR="002041B1">
        <w:rPr>
          <w:rFonts w:ascii="Calibri" w:eastAsia="MS Mincho" w:hAnsi="Calibri" w:cs="Times New Roman"/>
        </w:rPr>
        <w:t>iNHL</w:t>
      </w:r>
      <w:proofErr w:type="spellEnd"/>
      <w:r w:rsidR="002041B1">
        <w:rPr>
          <w:rFonts w:ascii="Calibri" w:eastAsia="MS Mincho" w:hAnsi="Calibri" w:cs="Times New Roman"/>
        </w:rPr>
        <w:t xml:space="preserve"> or MCL or for non</w:t>
      </w:r>
      <w:r w:rsidR="004B34DD">
        <w:rPr>
          <w:rFonts w:ascii="Calibri" w:eastAsia="MS Mincho" w:hAnsi="Calibri" w:cs="Times New Roman"/>
        </w:rPr>
        <w:t>-</w:t>
      </w:r>
      <w:r w:rsidR="002041B1">
        <w:rPr>
          <w:rFonts w:ascii="Calibri" w:eastAsia="MS Mincho" w:hAnsi="Calibri" w:cs="Times New Roman"/>
        </w:rPr>
        <w:t>subsidised indications, specifically CLL</w:t>
      </w:r>
      <w:r>
        <w:rPr>
          <w:rFonts w:ascii="Calibri" w:eastAsia="MS Mincho" w:hAnsi="Calibri" w:cs="Times New Roman"/>
        </w:rPr>
        <w:t>.</w:t>
      </w:r>
      <w:r w:rsidRPr="005F2282">
        <w:rPr>
          <w:b/>
        </w:rPr>
        <w:t xml:space="preserve"> </w:t>
      </w:r>
      <w:r w:rsidRPr="00687177">
        <w:t>F</w:t>
      </w:r>
      <w:r>
        <w:t xml:space="preserve">or all patients that have initiated </w:t>
      </w:r>
      <w:proofErr w:type="spellStart"/>
      <w:r>
        <w:t>bendamustine</w:t>
      </w:r>
      <w:proofErr w:type="spellEnd"/>
      <w:r>
        <w:t>, p</w:t>
      </w:r>
      <w:r w:rsidRPr="005F2282">
        <w:t xml:space="preserve">rescription data for </w:t>
      </w:r>
      <w:r w:rsidR="004B34DD">
        <w:t>selected medicines</w:t>
      </w:r>
      <w:r>
        <w:t xml:space="preserve"> was extracted from the </w:t>
      </w:r>
      <w:r w:rsidRPr="00B3440B">
        <w:rPr>
          <w:rFonts w:ascii="Calibri" w:eastAsia="MS Mincho" w:hAnsi="Calibri" w:cs="Times New Roman"/>
        </w:rPr>
        <w:t>DHS PBS prescription database</w:t>
      </w:r>
      <w:r>
        <w:rPr>
          <w:rFonts w:ascii="Calibri" w:eastAsia="MS Mincho" w:hAnsi="Calibri" w:cs="Times New Roman"/>
        </w:rPr>
        <w:t xml:space="preserve">. The medicines were </w:t>
      </w:r>
      <w:r w:rsidRPr="005F2282">
        <w:rPr>
          <w:rFonts w:ascii="Calibri" w:eastAsia="MS Mincho" w:hAnsi="Calibri" w:cs="Times New Roman"/>
        </w:rPr>
        <w:t xml:space="preserve">rituximab, prednisolone, cyclophosphamide, vincristine, doxorubicin, </w:t>
      </w:r>
      <w:proofErr w:type="spellStart"/>
      <w:r w:rsidRPr="005F2282">
        <w:rPr>
          <w:rFonts w:ascii="Calibri" w:eastAsia="MS Mincho" w:hAnsi="Calibri" w:cs="Times New Roman"/>
        </w:rPr>
        <w:t>chlorambucil</w:t>
      </w:r>
      <w:proofErr w:type="spellEnd"/>
      <w:r w:rsidRPr="005F2282">
        <w:rPr>
          <w:rFonts w:ascii="Calibri" w:eastAsia="MS Mincho" w:hAnsi="Calibri" w:cs="Times New Roman"/>
        </w:rPr>
        <w:t xml:space="preserve">, </w:t>
      </w:r>
      <w:proofErr w:type="spellStart"/>
      <w:r w:rsidRPr="005F2282">
        <w:rPr>
          <w:rFonts w:ascii="Calibri" w:eastAsia="MS Mincho" w:hAnsi="Calibri" w:cs="Times New Roman"/>
        </w:rPr>
        <w:t>fludarabine</w:t>
      </w:r>
      <w:proofErr w:type="spellEnd"/>
      <w:r w:rsidRPr="005F2282">
        <w:rPr>
          <w:rFonts w:ascii="Calibri" w:eastAsia="MS Mincho" w:hAnsi="Calibri" w:cs="Times New Roman"/>
        </w:rPr>
        <w:t xml:space="preserve">, </w:t>
      </w:r>
      <w:proofErr w:type="spellStart"/>
      <w:r w:rsidRPr="005F2282">
        <w:rPr>
          <w:rFonts w:ascii="Calibri" w:eastAsia="MS Mincho" w:hAnsi="Calibri" w:cs="Times New Roman"/>
        </w:rPr>
        <w:t>ibrutinib</w:t>
      </w:r>
      <w:proofErr w:type="spellEnd"/>
      <w:r w:rsidRPr="005F2282">
        <w:rPr>
          <w:rFonts w:ascii="Calibri" w:eastAsia="MS Mincho" w:hAnsi="Calibri" w:cs="Times New Roman"/>
        </w:rPr>
        <w:t xml:space="preserve">, </w:t>
      </w:r>
      <w:proofErr w:type="spellStart"/>
      <w:r w:rsidRPr="005F2282">
        <w:rPr>
          <w:rFonts w:ascii="Calibri" w:eastAsia="MS Mincho" w:hAnsi="Calibri" w:cs="Times New Roman"/>
        </w:rPr>
        <w:t>ofatumumab</w:t>
      </w:r>
      <w:proofErr w:type="spellEnd"/>
      <w:r w:rsidRPr="005F2282">
        <w:rPr>
          <w:rFonts w:ascii="Calibri" w:eastAsia="MS Mincho" w:hAnsi="Calibri" w:cs="Times New Roman"/>
        </w:rPr>
        <w:t xml:space="preserve"> and </w:t>
      </w:r>
      <w:proofErr w:type="spellStart"/>
      <w:r w:rsidRPr="005F2282">
        <w:rPr>
          <w:rFonts w:ascii="Calibri" w:eastAsia="MS Mincho" w:hAnsi="Calibri" w:cs="Times New Roman"/>
        </w:rPr>
        <w:t>obinutuzumab</w:t>
      </w:r>
      <w:proofErr w:type="spellEnd"/>
      <w:r w:rsidRPr="005F2282">
        <w:rPr>
          <w:rFonts w:ascii="Calibri" w:eastAsia="MS Mincho" w:hAnsi="Calibri" w:cs="Times New Roman"/>
        </w:rPr>
        <w:t>.</w:t>
      </w:r>
      <w:r>
        <w:rPr>
          <w:rFonts w:ascii="Calibri" w:eastAsia="MS Mincho" w:hAnsi="Calibri" w:cs="Times New Roman"/>
        </w:rPr>
        <w:t xml:space="preserve"> Prescriptions</w:t>
      </w:r>
      <w:r>
        <w:t xml:space="preserve"> </w:t>
      </w:r>
      <w:r w:rsidR="002041B1">
        <w:t>from 1 January 2002 to</w:t>
      </w:r>
      <w:r w:rsidR="002041B1" w:rsidRPr="005F2282">
        <w:t xml:space="preserve"> </w:t>
      </w:r>
      <w:proofErr w:type="gramStart"/>
      <w:r w:rsidRPr="005F2282">
        <w:t>6</w:t>
      </w:r>
      <w:proofErr w:type="gramEnd"/>
      <w:r w:rsidRPr="005F2282">
        <w:t xml:space="preserve"> months post </w:t>
      </w:r>
      <w:r>
        <w:t>each patient</w:t>
      </w:r>
      <w:r w:rsidR="00D85E14">
        <w:t>’</w:t>
      </w:r>
      <w:r>
        <w:t xml:space="preserve">s </w:t>
      </w:r>
      <w:r w:rsidRPr="005F2282">
        <w:t xml:space="preserve">initiation to </w:t>
      </w:r>
      <w:proofErr w:type="spellStart"/>
      <w:r w:rsidRPr="005F2282">
        <w:t>bendamustine</w:t>
      </w:r>
      <w:proofErr w:type="spellEnd"/>
      <w:r>
        <w:t xml:space="preserve"> were used in the analys</w:t>
      </w:r>
      <w:r w:rsidR="004B34DD">
        <w:t>e</w:t>
      </w:r>
      <w:r>
        <w:t>s.</w:t>
      </w:r>
    </w:p>
    <w:p w14:paraId="3108BDC1" w14:textId="77777777" w:rsidR="00953D99" w:rsidRDefault="00953D99">
      <w:pPr>
        <w:spacing w:line="276" w:lineRule="auto"/>
        <w:rPr>
          <w:u w:val="single"/>
        </w:rPr>
      </w:pPr>
      <w:r w:rsidRPr="00953D99">
        <w:rPr>
          <w:u w:val="single"/>
        </w:rPr>
        <w:t xml:space="preserve">Assessing rituximab usage with </w:t>
      </w:r>
      <w:proofErr w:type="spellStart"/>
      <w:r w:rsidRPr="00953D99">
        <w:rPr>
          <w:u w:val="single"/>
        </w:rPr>
        <w:t>bendamustine</w:t>
      </w:r>
      <w:proofErr w:type="spellEnd"/>
      <w:r w:rsidRPr="00953D99">
        <w:rPr>
          <w:u w:val="single"/>
        </w:rPr>
        <w:t xml:space="preserve"> </w:t>
      </w:r>
    </w:p>
    <w:p w14:paraId="73B7BA3A" w14:textId="272B2FFE" w:rsidR="00F00BF3" w:rsidRPr="00953D99" w:rsidRDefault="00953D99" w:rsidP="004B4DAB">
      <w:r>
        <w:t xml:space="preserve">Rituximab prescriptions supplied up to 2 years prior and 1 year post initiation to </w:t>
      </w:r>
      <w:proofErr w:type="spellStart"/>
      <w:r>
        <w:t>bendamustine</w:t>
      </w:r>
      <w:proofErr w:type="spellEnd"/>
      <w:r>
        <w:t xml:space="preserve"> were extracted from the </w:t>
      </w:r>
      <w:r w:rsidRPr="00B3440B">
        <w:rPr>
          <w:rFonts w:ascii="Calibri" w:eastAsia="MS Mincho" w:hAnsi="Calibri" w:cs="Times New Roman"/>
        </w:rPr>
        <w:t>DHS PBS prescription database</w:t>
      </w:r>
      <w:r>
        <w:rPr>
          <w:rFonts w:ascii="Calibri" w:eastAsia="MS Mincho" w:hAnsi="Calibri" w:cs="Times New Roman"/>
        </w:rPr>
        <w:t xml:space="preserve"> for each patient that had </w:t>
      </w:r>
      <w:proofErr w:type="spellStart"/>
      <w:r>
        <w:rPr>
          <w:rFonts w:ascii="Calibri" w:eastAsia="MS Mincho" w:hAnsi="Calibri" w:cs="Times New Roman"/>
        </w:rPr>
        <w:t>bendamustine</w:t>
      </w:r>
      <w:proofErr w:type="spellEnd"/>
      <w:r>
        <w:rPr>
          <w:rFonts w:ascii="Calibri" w:eastAsia="MS Mincho" w:hAnsi="Calibri" w:cs="Times New Roman"/>
        </w:rPr>
        <w:t xml:space="preserve"> treatment. P</w:t>
      </w:r>
      <w:r w:rsidRPr="00953D99">
        <w:rPr>
          <w:rFonts w:ascii="Calibri" w:eastAsia="MS Mincho" w:hAnsi="Calibri" w:cs="Times New Roman"/>
        </w:rPr>
        <w:t>atients with le</w:t>
      </w:r>
      <w:r>
        <w:rPr>
          <w:rFonts w:ascii="Calibri" w:eastAsia="MS Mincho" w:hAnsi="Calibri" w:cs="Times New Roman"/>
        </w:rPr>
        <w:t>ss</w:t>
      </w:r>
      <w:r w:rsidR="00D85E14">
        <w:rPr>
          <w:rFonts w:ascii="Calibri" w:eastAsia="MS Mincho" w:hAnsi="Calibri" w:cs="Times New Roman"/>
        </w:rPr>
        <w:t xml:space="preserve"> than</w:t>
      </w:r>
      <w:r w:rsidRPr="00953D99">
        <w:rPr>
          <w:rFonts w:ascii="Calibri" w:eastAsia="MS Mincho" w:hAnsi="Calibri" w:cs="Times New Roman"/>
        </w:rPr>
        <w:t xml:space="preserve"> 12 months follow up post-initiation to </w:t>
      </w:r>
      <w:proofErr w:type="spellStart"/>
      <w:r w:rsidRPr="00953D99">
        <w:rPr>
          <w:rFonts w:ascii="Calibri" w:eastAsia="MS Mincho" w:hAnsi="Calibri" w:cs="Times New Roman"/>
        </w:rPr>
        <w:t>bendamustine</w:t>
      </w:r>
      <w:proofErr w:type="spellEnd"/>
      <w:r w:rsidRPr="00953D99">
        <w:rPr>
          <w:rFonts w:ascii="Calibri" w:eastAsia="MS Mincho" w:hAnsi="Calibri" w:cs="Times New Roman"/>
        </w:rPr>
        <w:t xml:space="preserve"> (</w:t>
      </w:r>
      <w:r w:rsidR="00BB667F" w:rsidRPr="00953D99">
        <w:rPr>
          <w:rFonts w:ascii="Calibri" w:eastAsia="MS Mincho" w:hAnsi="Calibri" w:cs="Times New Roman"/>
        </w:rPr>
        <w:t>i.e.</w:t>
      </w:r>
      <w:r w:rsidRPr="00953D99">
        <w:rPr>
          <w:rFonts w:ascii="Calibri" w:eastAsia="MS Mincho" w:hAnsi="Calibri" w:cs="Times New Roman"/>
        </w:rPr>
        <w:t xml:space="preserve"> initiators </w:t>
      </w:r>
      <w:r>
        <w:rPr>
          <w:rFonts w:ascii="Calibri" w:eastAsia="MS Mincho" w:hAnsi="Calibri" w:cs="Times New Roman"/>
        </w:rPr>
        <w:t xml:space="preserve">after the </w:t>
      </w:r>
      <w:r w:rsidRPr="00953D99">
        <w:rPr>
          <w:rFonts w:ascii="Calibri" w:eastAsia="MS Mincho" w:hAnsi="Calibri" w:cs="Times New Roman"/>
        </w:rPr>
        <w:t>end of September 2017</w:t>
      </w:r>
      <w:r>
        <w:rPr>
          <w:rFonts w:ascii="Calibri" w:eastAsia="MS Mincho" w:hAnsi="Calibri" w:cs="Times New Roman"/>
        </w:rPr>
        <w:t xml:space="preserve">) were excluded from the analysis. </w:t>
      </w:r>
      <w:proofErr w:type="gramStart"/>
      <w:r>
        <w:rPr>
          <w:rFonts w:ascii="Calibri" w:eastAsia="MS Mincho" w:hAnsi="Calibri" w:cs="Times New Roman"/>
        </w:rPr>
        <w:t xml:space="preserve">There were </w:t>
      </w:r>
      <w:r w:rsidRPr="00953D99">
        <w:rPr>
          <w:rFonts w:ascii="Calibri" w:eastAsia="MS Mincho" w:hAnsi="Calibri" w:cs="Times New Roman"/>
        </w:rPr>
        <w:t>1,421 patients</w:t>
      </w:r>
      <w:r>
        <w:rPr>
          <w:rFonts w:ascii="Calibri" w:eastAsia="MS Mincho" w:hAnsi="Calibri" w:cs="Times New Roman"/>
        </w:rPr>
        <w:t xml:space="preserve"> that</w:t>
      </w:r>
      <w:proofErr w:type="gramEnd"/>
      <w:r>
        <w:rPr>
          <w:rFonts w:ascii="Calibri" w:eastAsia="MS Mincho" w:hAnsi="Calibri" w:cs="Times New Roman"/>
        </w:rPr>
        <w:t xml:space="preserve"> remained in the analysis. </w:t>
      </w:r>
      <w:r w:rsidR="00F00BF3">
        <w:rPr>
          <w:rFonts w:ascii="Calibri" w:eastAsia="MS Mincho" w:hAnsi="Calibri" w:cs="Times New Roman"/>
        </w:rPr>
        <w:t>The number</w:t>
      </w:r>
      <w:r w:rsidR="00512F68">
        <w:rPr>
          <w:rFonts w:ascii="Calibri" w:eastAsia="MS Mincho" w:hAnsi="Calibri" w:cs="Times New Roman"/>
        </w:rPr>
        <w:t>s</w:t>
      </w:r>
      <w:r w:rsidR="00F00BF3">
        <w:rPr>
          <w:rFonts w:ascii="Calibri" w:eastAsia="MS Mincho" w:hAnsi="Calibri" w:cs="Times New Roman"/>
        </w:rPr>
        <w:t xml:space="preserve"> of rituximab prescriptions post initiation to </w:t>
      </w:r>
      <w:proofErr w:type="spellStart"/>
      <w:r w:rsidR="00F00BF3">
        <w:rPr>
          <w:rFonts w:ascii="Calibri" w:eastAsia="MS Mincho" w:hAnsi="Calibri" w:cs="Times New Roman"/>
        </w:rPr>
        <w:t>bendamustine</w:t>
      </w:r>
      <w:proofErr w:type="spellEnd"/>
      <w:r w:rsidR="00F00BF3">
        <w:rPr>
          <w:rFonts w:ascii="Calibri" w:eastAsia="MS Mincho" w:hAnsi="Calibri" w:cs="Times New Roman"/>
        </w:rPr>
        <w:t xml:space="preserve"> were calculated to assess the likely extent of use of rituximab maintenance therapy. The lag between the last rituximab </w:t>
      </w:r>
      <w:r w:rsidR="00047A6B">
        <w:rPr>
          <w:rFonts w:ascii="Calibri" w:eastAsia="MS Mincho" w:hAnsi="Calibri" w:cs="Times New Roman"/>
        </w:rPr>
        <w:t>prescription</w:t>
      </w:r>
      <w:r w:rsidR="00F00BF3">
        <w:rPr>
          <w:rFonts w:ascii="Calibri" w:eastAsia="MS Mincho" w:hAnsi="Calibri" w:cs="Times New Roman"/>
        </w:rPr>
        <w:t xml:space="preserve"> and </w:t>
      </w:r>
      <w:proofErr w:type="spellStart"/>
      <w:r w:rsidR="00F00BF3">
        <w:rPr>
          <w:rFonts w:ascii="Calibri" w:eastAsia="MS Mincho" w:hAnsi="Calibri" w:cs="Times New Roman"/>
        </w:rPr>
        <w:t>bendamustine</w:t>
      </w:r>
      <w:proofErr w:type="spellEnd"/>
      <w:r w:rsidR="00F00BF3">
        <w:rPr>
          <w:rFonts w:ascii="Calibri" w:eastAsia="MS Mincho" w:hAnsi="Calibri" w:cs="Times New Roman"/>
        </w:rPr>
        <w:t xml:space="preserve"> </w:t>
      </w:r>
      <w:r w:rsidR="009758CE">
        <w:rPr>
          <w:rFonts w:ascii="Calibri" w:eastAsia="MS Mincho" w:hAnsi="Calibri" w:cs="Times New Roman"/>
        </w:rPr>
        <w:t>commencement</w:t>
      </w:r>
      <w:r w:rsidR="00F00BF3">
        <w:rPr>
          <w:rFonts w:ascii="Calibri" w:eastAsia="MS Mincho" w:hAnsi="Calibri" w:cs="Times New Roman"/>
        </w:rPr>
        <w:t xml:space="preserve"> was used to assess possible use of </w:t>
      </w:r>
      <w:proofErr w:type="spellStart"/>
      <w:r w:rsidR="00F00BF3">
        <w:rPr>
          <w:rFonts w:ascii="Calibri" w:eastAsia="MS Mincho" w:hAnsi="Calibri" w:cs="Times New Roman"/>
        </w:rPr>
        <w:t>bendamustine</w:t>
      </w:r>
      <w:proofErr w:type="spellEnd"/>
      <w:r w:rsidR="00F00BF3">
        <w:rPr>
          <w:rFonts w:ascii="Calibri" w:eastAsia="MS Mincho" w:hAnsi="Calibri" w:cs="Times New Roman"/>
        </w:rPr>
        <w:t xml:space="preserve"> in rituximab-refractory lymphoma. </w:t>
      </w:r>
    </w:p>
    <w:p w14:paraId="7ACB3FBF" w14:textId="77777777" w:rsidR="00047A6B" w:rsidRDefault="00047A6B">
      <w:pPr>
        <w:spacing w:line="276" w:lineRule="auto"/>
        <w:rPr>
          <w:rFonts w:eastAsiaTheme="majorEastAsia" w:cstheme="majorBidi"/>
          <w:b/>
          <w:bCs/>
          <w:sz w:val="32"/>
          <w:szCs w:val="32"/>
        </w:rPr>
      </w:pPr>
      <w:r>
        <w:br w:type="page"/>
      </w:r>
    </w:p>
    <w:p w14:paraId="233515FD" w14:textId="3294353D" w:rsidR="005A3F4B" w:rsidRDefault="005A3F4B" w:rsidP="004C3356">
      <w:pPr>
        <w:pStyle w:val="Heading1"/>
      </w:pPr>
      <w:r w:rsidRPr="004C3356">
        <w:lastRenderedPageBreak/>
        <w:t>Results</w:t>
      </w:r>
    </w:p>
    <w:p w14:paraId="4699407C" w14:textId="77777777" w:rsidR="00495EE0" w:rsidRPr="002545A5" w:rsidRDefault="00495EE0" w:rsidP="00382B11">
      <w:pPr>
        <w:pStyle w:val="Heading3"/>
        <w:rPr>
          <w:i w:val="0"/>
          <w:sz w:val="28"/>
        </w:rPr>
      </w:pPr>
      <w:r w:rsidRPr="002545A5">
        <w:rPr>
          <w:i w:val="0"/>
          <w:sz w:val="28"/>
        </w:rPr>
        <w:t>Number of patients treated</w:t>
      </w:r>
    </w:p>
    <w:p w14:paraId="004BAA05" w14:textId="77777777" w:rsidR="007F1C0D" w:rsidRPr="007F1C0D" w:rsidRDefault="007F1C0D" w:rsidP="007F1C0D">
      <w:r>
        <w:t xml:space="preserve">Figure 1 </w:t>
      </w:r>
      <w:r w:rsidR="002545A5">
        <w:t xml:space="preserve">shows the </w:t>
      </w:r>
      <w:r>
        <w:t xml:space="preserve">number of patients </w:t>
      </w:r>
      <w:r w:rsidR="00F35FD2">
        <w:t xml:space="preserve">initiating and </w:t>
      </w:r>
      <w:r>
        <w:t xml:space="preserve">prevalent to PBS </w:t>
      </w:r>
      <w:proofErr w:type="spellStart"/>
      <w:r>
        <w:t>bend</w:t>
      </w:r>
      <w:r w:rsidR="00F35FD2">
        <w:t>amustine</w:t>
      </w:r>
      <w:proofErr w:type="spellEnd"/>
      <w:r w:rsidR="00F35FD2">
        <w:t xml:space="preserve"> treatment.</w:t>
      </w:r>
    </w:p>
    <w:p w14:paraId="71C6348A" w14:textId="50D6342E" w:rsidR="00C052B9" w:rsidRPr="00AB779F" w:rsidRDefault="004177B9" w:rsidP="00AB779F">
      <w:pPr>
        <w:rPr>
          <w:rFonts w:ascii="Calibri" w:eastAsia="MS Mincho" w:hAnsi="Calibri" w:cs="Times New Roman"/>
          <w:b/>
        </w:rPr>
      </w:pPr>
      <w:r>
        <w:rPr>
          <w:noProof/>
          <w:lang w:eastAsia="ja-JP"/>
        </w:rPr>
        <w:drawing>
          <wp:inline distT="0" distB="0" distL="0" distR="0" wp14:anchorId="52DB7212" wp14:editId="73A68541">
            <wp:extent cx="5687695" cy="3710978"/>
            <wp:effectExtent l="0" t="0" r="8255" b="3810"/>
            <wp:docPr id="1" name="Chart 1" title="Figure 1: Patients initiating and prevalent to PBS bendamustine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95EE0" w:rsidRPr="004C3356">
        <w:rPr>
          <w:rStyle w:val="FiguretitleChar"/>
        </w:rPr>
        <w:t xml:space="preserve">Figure </w:t>
      </w:r>
      <w:r w:rsidR="0065133B" w:rsidRPr="004C3356">
        <w:rPr>
          <w:rStyle w:val="FiguretitleChar"/>
        </w:rPr>
        <w:t>1</w:t>
      </w:r>
      <w:r w:rsidR="00495EE0" w:rsidRPr="004C3356">
        <w:rPr>
          <w:rStyle w:val="FiguretitleChar"/>
        </w:rPr>
        <w:t xml:space="preserve">: Patients </w:t>
      </w:r>
      <w:r w:rsidR="00F35FD2">
        <w:rPr>
          <w:rStyle w:val="FiguretitleChar"/>
        </w:rPr>
        <w:t xml:space="preserve">initiating and </w:t>
      </w:r>
      <w:r w:rsidR="00D27ACF" w:rsidRPr="004C3356">
        <w:rPr>
          <w:rStyle w:val="FiguretitleChar"/>
        </w:rPr>
        <w:t xml:space="preserve">prevalent </w:t>
      </w:r>
      <w:r w:rsidR="00D27ACF">
        <w:rPr>
          <w:rStyle w:val="FiguretitleChar"/>
        </w:rPr>
        <w:t xml:space="preserve">to PBS </w:t>
      </w:r>
      <w:proofErr w:type="spellStart"/>
      <w:r w:rsidR="00D27ACF">
        <w:rPr>
          <w:rStyle w:val="FiguretitleChar"/>
        </w:rPr>
        <w:t>bendamustine</w:t>
      </w:r>
      <w:proofErr w:type="spellEnd"/>
      <w:r w:rsidR="00D27ACF">
        <w:rPr>
          <w:rStyle w:val="FiguretitleChar"/>
        </w:rPr>
        <w:t xml:space="preserve"> </w:t>
      </w:r>
      <w:r w:rsidR="00B30D83" w:rsidRPr="004C3356">
        <w:rPr>
          <w:rStyle w:val="FiguretitleChar"/>
        </w:rPr>
        <w:t>by indication</w:t>
      </w:r>
      <w:r w:rsidR="00D27ACF">
        <w:rPr>
          <w:rStyle w:val="FiguretitleChar"/>
        </w:rPr>
        <w:br/>
      </w:r>
      <w:r w:rsidR="00B30D83" w:rsidRPr="004C3356">
        <w:rPr>
          <w:rStyle w:val="FigurecaptionChar"/>
        </w:rPr>
        <w:t xml:space="preserve">Sources: DHS prescription database (accessed </w:t>
      </w:r>
      <w:r w:rsidR="00223FF5">
        <w:rPr>
          <w:rStyle w:val="FigurecaptionChar"/>
        </w:rPr>
        <w:t>15 November</w:t>
      </w:r>
      <w:r w:rsidR="00B30D83" w:rsidRPr="004C3356">
        <w:rPr>
          <w:rStyle w:val="FigurecaptionChar"/>
        </w:rPr>
        <w:t xml:space="preserve"> 2018) and DHS authority approvals database.</w:t>
      </w:r>
      <w:r w:rsidR="007F1C0D">
        <w:rPr>
          <w:rStyle w:val="FigurecaptionChar"/>
        </w:rPr>
        <w:br/>
        <w:t xml:space="preserve">Note: </w:t>
      </w:r>
      <w:r w:rsidR="00971022">
        <w:rPr>
          <w:rStyle w:val="FigurecaptionChar"/>
        </w:rPr>
        <w:t xml:space="preserve">Patients with </w:t>
      </w:r>
      <w:r w:rsidR="007F1C0D">
        <w:rPr>
          <w:rStyle w:val="FigurecaptionChar"/>
        </w:rPr>
        <w:t>unknown</w:t>
      </w:r>
      <w:r w:rsidR="00971022">
        <w:rPr>
          <w:rStyle w:val="FigurecaptionChar"/>
        </w:rPr>
        <w:t xml:space="preserve"> indication </w:t>
      </w:r>
      <w:r w:rsidR="007F1C0D">
        <w:rPr>
          <w:rStyle w:val="FigurecaptionChar"/>
        </w:rPr>
        <w:t>(0.6%</w:t>
      </w:r>
      <w:r w:rsidR="00971022">
        <w:rPr>
          <w:rStyle w:val="FigurecaptionChar"/>
        </w:rPr>
        <w:t>)</w:t>
      </w:r>
      <w:r w:rsidR="007F1C0D">
        <w:rPr>
          <w:rStyle w:val="FigurecaptionChar"/>
        </w:rPr>
        <w:t xml:space="preserve"> have been excluded</w:t>
      </w:r>
      <w:r w:rsidR="007051D4">
        <w:rPr>
          <w:rStyle w:val="FigurecaptionChar"/>
        </w:rPr>
        <w:t>.</w:t>
      </w:r>
    </w:p>
    <w:p w14:paraId="5BDA9136" w14:textId="5ACCD168" w:rsidR="004C3356" w:rsidRDefault="00D85E14" w:rsidP="004C3356">
      <w:pPr>
        <w:rPr>
          <w:rFonts w:ascii="Calibri" w:eastAsia="MS Mincho" w:hAnsi="Calibri" w:cs="Times New Roman"/>
        </w:rPr>
      </w:pPr>
      <w:r>
        <w:rPr>
          <w:rFonts w:ascii="Calibri" w:eastAsia="MS Mincho" w:hAnsi="Calibri" w:cs="Times New Roman"/>
        </w:rPr>
        <w:t xml:space="preserve">The number of initiating patients for </w:t>
      </w:r>
      <w:proofErr w:type="spellStart"/>
      <w:r>
        <w:rPr>
          <w:rFonts w:ascii="Calibri" w:eastAsia="MS Mincho" w:hAnsi="Calibri" w:cs="Times New Roman"/>
        </w:rPr>
        <w:t>iNHL</w:t>
      </w:r>
      <w:proofErr w:type="spellEnd"/>
      <w:r>
        <w:rPr>
          <w:rFonts w:ascii="Calibri" w:eastAsia="MS Mincho" w:hAnsi="Calibri" w:cs="Times New Roman"/>
        </w:rPr>
        <w:t xml:space="preserve"> and MCL ha</w:t>
      </w:r>
      <w:r w:rsidR="00625ADB">
        <w:rPr>
          <w:rFonts w:ascii="Calibri" w:eastAsia="MS Mincho" w:hAnsi="Calibri" w:cs="Times New Roman"/>
        </w:rPr>
        <w:t>d</w:t>
      </w:r>
      <w:r>
        <w:rPr>
          <w:rFonts w:ascii="Calibri" w:eastAsia="MS Mincho" w:hAnsi="Calibri" w:cs="Times New Roman"/>
        </w:rPr>
        <w:t xml:space="preserve"> stabilised at approximately 225 and 35 per quarter</w:t>
      </w:r>
      <w:r w:rsidR="00625ADB">
        <w:rPr>
          <w:rFonts w:ascii="Calibri" w:eastAsia="MS Mincho" w:hAnsi="Calibri" w:cs="Times New Roman"/>
        </w:rPr>
        <w:t>,</w:t>
      </w:r>
      <w:r>
        <w:rPr>
          <w:rFonts w:ascii="Calibri" w:eastAsia="MS Mincho" w:hAnsi="Calibri" w:cs="Times New Roman"/>
        </w:rPr>
        <w:t xml:space="preserve"> respectively.</w:t>
      </w:r>
      <w:r w:rsidR="009758CE">
        <w:rPr>
          <w:rFonts w:ascii="Calibri" w:eastAsia="MS Mincho" w:hAnsi="Calibri" w:cs="Times New Roman"/>
        </w:rPr>
        <w:t xml:space="preserve"> </w:t>
      </w:r>
      <w:r w:rsidR="00D27ACF">
        <w:rPr>
          <w:rFonts w:ascii="Calibri" w:eastAsia="MS Mincho" w:hAnsi="Calibri" w:cs="Times New Roman"/>
        </w:rPr>
        <w:t xml:space="preserve">The number of prevalent patients </w:t>
      </w:r>
      <w:r w:rsidR="00BC2035">
        <w:rPr>
          <w:rFonts w:ascii="Calibri" w:eastAsia="MS Mincho" w:hAnsi="Calibri" w:cs="Times New Roman"/>
        </w:rPr>
        <w:t xml:space="preserve">for </w:t>
      </w:r>
      <w:proofErr w:type="spellStart"/>
      <w:r w:rsidR="00AB6463">
        <w:rPr>
          <w:rFonts w:ascii="Calibri" w:eastAsia="MS Mincho" w:hAnsi="Calibri" w:cs="Times New Roman"/>
        </w:rPr>
        <w:t>iNHL</w:t>
      </w:r>
      <w:proofErr w:type="spellEnd"/>
      <w:r w:rsidR="00AB6463">
        <w:rPr>
          <w:rFonts w:ascii="Calibri" w:eastAsia="MS Mincho" w:hAnsi="Calibri" w:cs="Times New Roman"/>
        </w:rPr>
        <w:t xml:space="preserve"> and </w:t>
      </w:r>
      <w:r w:rsidR="00BC2035">
        <w:rPr>
          <w:rFonts w:ascii="Calibri" w:eastAsia="MS Mincho" w:hAnsi="Calibri" w:cs="Times New Roman"/>
        </w:rPr>
        <w:t xml:space="preserve">MCL </w:t>
      </w:r>
      <w:r w:rsidR="00D27ACF">
        <w:rPr>
          <w:rFonts w:ascii="Calibri" w:eastAsia="MS Mincho" w:hAnsi="Calibri" w:cs="Times New Roman"/>
        </w:rPr>
        <w:t>ha</w:t>
      </w:r>
      <w:r w:rsidR="00625ADB">
        <w:rPr>
          <w:rFonts w:ascii="Calibri" w:eastAsia="MS Mincho" w:hAnsi="Calibri" w:cs="Times New Roman"/>
        </w:rPr>
        <w:t>d</w:t>
      </w:r>
      <w:r w:rsidR="00D27ACF">
        <w:rPr>
          <w:rFonts w:ascii="Calibri" w:eastAsia="MS Mincho" w:hAnsi="Calibri" w:cs="Times New Roman"/>
        </w:rPr>
        <w:t xml:space="preserve"> stabilised at approximately </w:t>
      </w:r>
      <w:r w:rsidR="00AB6463">
        <w:rPr>
          <w:rFonts w:ascii="Calibri" w:eastAsia="MS Mincho" w:hAnsi="Calibri" w:cs="Times New Roman"/>
        </w:rPr>
        <w:t xml:space="preserve">535 and </w:t>
      </w:r>
      <w:r w:rsidR="00D27ACF">
        <w:rPr>
          <w:rFonts w:ascii="Calibri" w:eastAsia="MS Mincho" w:hAnsi="Calibri" w:cs="Times New Roman"/>
        </w:rPr>
        <w:t>85</w:t>
      </w:r>
      <w:r w:rsidR="00AB6463">
        <w:rPr>
          <w:rFonts w:ascii="Calibri" w:eastAsia="MS Mincho" w:hAnsi="Calibri" w:cs="Times New Roman"/>
        </w:rPr>
        <w:t xml:space="preserve"> respectively</w:t>
      </w:r>
      <w:r w:rsidR="00BC2035">
        <w:rPr>
          <w:rFonts w:ascii="Calibri" w:eastAsia="MS Mincho" w:hAnsi="Calibri" w:cs="Times New Roman"/>
        </w:rPr>
        <w:t xml:space="preserve">. </w:t>
      </w:r>
    </w:p>
    <w:p w14:paraId="6B0F3AA3" w14:textId="77777777" w:rsidR="00047A6B" w:rsidRDefault="00047A6B">
      <w:pPr>
        <w:spacing w:line="276" w:lineRule="auto"/>
        <w:rPr>
          <w:b/>
          <w:sz w:val="28"/>
        </w:rPr>
      </w:pPr>
      <w:r>
        <w:br w:type="page"/>
      </w:r>
    </w:p>
    <w:p w14:paraId="6B01AF3D" w14:textId="4CEAE991" w:rsidR="005A3F4B" w:rsidRDefault="005A3F4B" w:rsidP="002545A5">
      <w:pPr>
        <w:pStyle w:val="Heading2"/>
      </w:pPr>
      <w:r>
        <w:lastRenderedPageBreak/>
        <w:t xml:space="preserve">Number of </w:t>
      </w:r>
      <w:r w:rsidRPr="00382B11">
        <w:t>prescriptions</w:t>
      </w:r>
    </w:p>
    <w:p w14:paraId="3AACA335" w14:textId="77777777" w:rsidR="005A3F4B" w:rsidRDefault="005A3F4B" w:rsidP="005A3F4B">
      <w:pPr>
        <w:rPr>
          <w:rFonts w:ascii="Calibri" w:eastAsia="MS Mincho" w:hAnsi="Calibri" w:cs="Times New Roman"/>
          <w:b/>
        </w:rPr>
      </w:pPr>
      <w:r w:rsidRPr="00CF1434">
        <w:rPr>
          <w:rFonts w:ascii="Calibri" w:eastAsia="MS Mincho" w:hAnsi="Calibri" w:cs="Times New Roman"/>
        </w:rPr>
        <w:t xml:space="preserve">Figure </w:t>
      </w:r>
      <w:r w:rsidR="00AB6463">
        <w:rPr>
          <w:rFonts w:ascii="Calibri" w:eastAsia="MS Mincho" w:hAnsi="Calibri" w:cs="Times New Roman"/>
        </w:rPr>
        <w:t>2</w:t>
      </w:r>
      <w:r w:rsidRPr="00CF1434">
        <w:rPr>
          <w:rFonts w:ascii="Calibri" w:eastAsia="MS Mincho" w:hAnsi="Calibri" w:cs="Times New Roman"/>
        </w:rPr>
        <w:t xml:space="preserve"> shows the utilisation of </w:t>
      </w:r>
      <w:r>
        <w:rPr>
          <w:rFonts w:ascii="Calibri" w:eastAsia="MS Mincho" w:hAnsi="Calibri" w:cs="Times New Roman"/>
        </w:rPr>
        <w:t xml:space="preserve">PBS </w:t>
      </w:r>
      <w:r w:rsidR="009B4838">
        <w:rPr>
          <w:rFonts w:ascii="Calibri" w:eastAsia="MS Mincho" w:hAnsi="Calibri" w:cs="Times New Roman"/>
        </w:rPr>
        <w:t>prescriptions</w:t>
      </w:r>
      <w:r>
        <w:rPr>
          <w:rFonts w:ascii="Calibri" w:eastAsia="MS Mincho" w:hAnsi="Calibri" w:cs="Times New Roman"/>
        </w:rPr>
        <w:t xml:space="preserve"> for </w:t>
      </w:r>
      <w:proofErr w:type="spellStart"/>
      <w:r w:rsidR="00A70C5D">
        <w:rPr>
          <w:rFonts w:ascii="Calibri" w:eastAsia="MS Mincho" w:hAnsi="Calibri" w:cs="Times New Roman"/>
        </w:rPr>
        <w:t>bendamustine</w:t>
      </w:r>
      <w:proofErr w:type="spellEnd"/>
      <w:r>
        <w:rPr>
          <w:rFonts w:ascii="Calibri" w:eastAsia="MS Mincho" w:hAnsi="Calibri" w:cs="Times New Roman"/>
        </w:rPr>
        <w:t>.</w:t>
      </w:r>
    </w:p>
    <w:p w14:paraId="0BFDFF66" w14:textId="77777777" w:rsidR="00BC2035" w:rsidRDefault="00BC2035" w:rsidP="00BF7AA5">
      <w:pPr>
        <w:spacing w:after="0"/>
        <w:rPr>
          <w:b/>
        </w:rPr>
      </w:pPr>
      <w:r>
        <w:rPr>
          <w:noProof/>
          <w:lang w:eastAsia="ja-JP"/>
        </w:rPr>
        <w:drawing>
          <wp:inline distT="0" distB="0" distL="0" distR="0" wp14:anchorId="5FAC05A4" wp14:editId="76F6F565">
            <wp:extent cx="5687695" cy="3710978"/>
            <wp:effectExtent l="0" t="0" r="8255" b="3810"/>
            <wp:docPr id="20" name="Chart 20" title="Figure 2: PBS prescriptions for bendamustine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3BA90C" w14:textId="6350722E" w:rsidR="005A3F4B" w:rsidRDefault="005A3F4B" w:rsidP="004B4DAB">
      <w:pPr>
        <w:spacing w:after="0"/>
        <w:rPr>
          <w:sz w:val="20"/>
          <w:szCs w:val="20"/>
        </w:rPr>
      </w:pPr>
      <w:r w:rsidRPr="00BF7AA5">
        <w:rPr>
          <w:b/>
        </w:rPr>
        <w:t xml:space="preserve">Figure </w:t>
      </w:r>
      <w:r w:rsidR="008C16F8">
        <w:rPr>
          <w:b/>
        </w:rPr>
        <w:t>2</w:t>
      </w:r>
      <w:r w:rsidRPr="00BF7AA5">
        <w:rPr>
          <w:b/>
        </w:rPr>
        <w:t xml:space="preserve">: PBS </w:t>
      </w:r>
      <w:r w:rsidR="00D846E0" w:rsidRPr="00BF7AA5">
        <w:rPr>
          <w:b/>
        </w:rPr>
        <w:t>prescriptions</w:t>
      </w:r>
      <w:r w:rsidRPr="00BF7AA5">
        <w:rPr>
          <w:b/>
        </w:rPr>
        <w:t xml:space="preserve"> for </w:t>
      </w:r>
      <w:proofErr w:type="spellStart"/>
      <w:r w:rsidR="00A70C5D" w:rsidRPr="00BF7AA5">
        <w:rPr>
          <w:b/>
        </w:rPr>
        <w:t>bendamustine</w:t>
      </w:r>
      <w:proofErr w:type="spellEnd"/>
      <w:r w:rsidR="00A70C5D" w:rsidRPr="00BF7AA5">
        <w:rPr>
          <w:b/>
        </w:rPr>
        <w:t xml:space="preserve"> by indication</w:t>
      </w:r>
      <w:r w:rsidR="00C052B9">
        <w:rPr>
          <w:b/>
        </w:rPr>
        <w:br/>
      </w:r>
      <w:r w:rsidRPr="00C052B9">
        <w:rPr>
          <w:sz w:val="20"/>
          <w:szCs w:val="20"/>
        </w:rPr>
        <w:t xml:space="preserve">Source: DHS prescription database (accessed </w:t>
      </w:r>
      <w:r w:rsidR="00FD4569" w:rsidRPr="00C052B9">
        <w:rPr>
          <w:rStyle w:val="FigurecaptionChar"/>
        </w:rPr>
        <w:t>15 November 2018</w:t>
      </w:r>
      <w:r w:rsidRPr="00C052B9">
        <w:rPr>
          <w:sz w:val="20"/>
          <w:szCs w:val="20"/>
        </w:rPr>
        <w:t>)</w:t>
      </w:r>
      <w:r w:rsidR="001E3A3D" w:rsidRPr="00C052B9">
        <w:rPr>
          <w:sz w:val="20"/>
          <w:szCs w:val="20"/>
        </w:rPr>
        <w:t xml:space="preserve">. Note: </w:t>
      </w:r>
      <w:proofErr w:type="spellStart"/>
      <w:r w:rsidR="00295606" w:rsidRPr="00C052B9">
        <w:rPr>
          <w:sz w:val="20"/>
          <w:szCs w:val="20"/>
        </w:rPr>
        <w:t>bendamustine</w:t>
      </w:r>
      <w:proofErr w:type="spellEnd"/>
      <w:r w:rsidR="001E3A3D" w:rsidRPr="00C052B9">
        <w:rPr>
          <w:sz w:val="20"/>
          <w:szCs w:val="20"/>
        </w:rPr>
        <w:t xml:space="preserve"> was listed on 1 </w:t>
      </w:r>
      <w:r w:rsidR="00A70C5D" w:rsidRPr="00C052B9">
        <w:rPr>
          <w:sz w:val="20"/>
          <w:szCs w:val="20"/>
        </w:rPr>
        <w:t>May</w:t>
      </w:r>
      <w:r w:rsidR="001E3A3D" w:rsidRPr="00C052B9">
        <w:rPr>
          <w:sz w:val="20"/>
          <w:szCs w:val="20"/>
        </w:rPr>
        <w:t xml:space="preserve"> 2016 so 2016 Q</w:t>
      </w:r>
      <w:r w:rsidR="00A70C5D" w:rsidRPr="00C052B9">
        <w:rPr>
          <w:sz w:val="20"/>
          <w:szCs w:val="20"/>
        </w:rPr>
        <w:t>2</w:t>
      </w:r>
      <w:r w:rsidR="001E3A3D" w:rsidRPr="00C052B9">
        <w:rPr>
          <w:sz w:val="20"/>
          <w:szCs w:val="20"/>
        </w:rPr>
        <w:t xml:space="preserve"> only contains two months of data.</w:t>
      </w:r>
      <w:r w:rsidR="007051D4" w:rsidRPr="007051D4">
        <w:rPr>
          <w:rStyle w:val="FigurecaptionChar"/>
        </w:rPr>
        <w:t xml:space="preserve"> Note:</w:t>
      </w:r>
      <w:r w:rsidR="00971022">
        <w:rPr>
          <w:rStyle w:val="FigurecaptionChar"/>
        </w:rPr>
        <w:t xml:space="preserve"> Prescriptions for patients with </w:t>
      </w:r>
      <w:r w:rsidR="007051D4" w:rsidRPr="007051D4">
        <w:rPr>
          <w:rStyle w:val="FigurecaptionChar"/>
        </w:rPr>
        <w:t>unknown</w:t>
      </w:r>
      <w:r w:rsidR="00971022">
        <w:rPr>
          <w:rStyle w:val="FigurecaptionChar"/>
        </w:rPr>
        <w:t xml:space="preserve"> indication</w:t>
      </w:r>
      <w:r w:rsidR="007051D4" w:rsidRPr="007051D4">
        <w:rPr>
          <w:rStyle w:val="FigurecaptionChar"/>
        </w:rPr>
        <w:t xml:space="preserve"> (0.6%</w:t>
      </w:r>
      <w:r w:rsidR="00971022">
        <w:rPr>
          <w:rStyle w:val="FigurecaptionChar"/>
        </w:rPr>
        <w:t>)</w:t>
      </w:r>
      <w:r w:rsidR="009758CE">
        <w:rPr>
          <w:rStyle w:val="FigurecaptionChar"/>
        </w:rPr>
        <w:t xml:space="preserve"> </w:t>
      </w:r>
      <w:r w:rsidR="007051D4" w:rsidRPr="007051D4">
        <w:rPr>
          <w:rStyle w:val="FigurecaptionChar"/>
        </w:rPr>
        <w:t>have been excluded.</w:t>
      </w:r>
      <w:r w:rsidR="007051D4">
        <w:rPr>
          <w:sz w:val="20"/>
          <w:szCs w:val="20"/>
        </w:rPr>
        <w:t xml:space="preserve"> </w:t>
      </w:r>
    </w:p>
    <w:p w14:paraId="4DD105A7" w14:textId="77777777" w:rsidR="00BC2035" w:rsidRPr="00C052B9" w:rsidRDefault="00BC2035" w:rsidP="004B4DAB">
      <w:pPr>
        <w:spacing w:after="0"/>
        <w:rPr>
          <w:sz w:val="20"/>
          <w:szCs w:val="20"/>
        </w:rPr>
      </w:pPr>
    </w:p>
    <w:p w14:paraId="66D2BEC4" w14:textId="47FDFE64" w:rsidR="00BC2035" w:rsidRDefault="00BC2035" w:rsidP="004B4DAB">
      <w:pPr>
        <w:rPr>
          <w:rFonts w:ascii="Calibri" w:eastAsia="MS Mincho" w:hAnsi="Calibri" w:cs="Times New Roman"/>
        </w:rPr>
      </w:pPr>
      <w:r>
        <w:rPr>
          <w:rFonts w:ascii="Calibri" w:eastAsia="MS Mincho" w:hAnsi="Calibri" w:cs="Times New Roman"/>
        </w:rPr>
        <w:t xml:space="preserve">The number of prescriptions for </w:t>
      </w:r>
      <w:proofErr w:type="spellStart"/>
      <w:r w:rsidR="00AB6463">
        <w:rPr>
          <w:rFonts w:ascii="Calibri" w:eastAsia="MS Mincho" w:hAnsi="Calibri" w:cs="Times New Roman"/>
        </w:rPr>
        <w:t>iNHL</w:t>
      </w:r>
      <w:proofErr w:type="spellEnd"/>
      <w:r w:rsidR="00AB6463">
        <w:rPr>
          <w:rFonts w:ascii="Calibri" w:eastAsia="MS Mincho" w:hAnsi="Calibri" w:cs="Times New Roman"/>
        </w:rPr>
        <w:t xml:space="preserve"> and </w:t>
      </w:r>
      <w:r>
        <w:rPr>
          <w:rFonts w:ascii="Calibri" w:eastAsia="MS Mincho" w:hAnsi="Calibri" w:cs="Times New Roman"/>
        </w:rPr>
        <w:t>MCL ha</w:t>
      </w:r>
      <w:r w:rsidR="00625ADB">
        <w:rPr>
          <w:rFonts w:ascii="Calibri" w:eastAsia="MS Mincho" w:hAnsi="Calibri" w:cs="Times New Roman"/>
        </w:rPr>
        <w:t>d</w:t>
      </w:r>
      <w:r>
        <w:rPr>
          <w:rFonts w:ascii="Calibri" w:eastAsia="MS Mincho" w:hAnsi="Calibri" w:cs="Times New Roman"/>
        </w:rPr>
        <w:t xml:space="preserve"> stabilised at approximately </w:t>
      </w:r>
      <w:r w:rsidR="008C16F8">
        <w:rPr>
          <w:rFonts w:ascii="Calibri" w:eastAsia="MS Mincho" w:hAnsi="Calibri" w:cs="Times New Roman"/>
        </w:rPr>
        <w:t xml:space="preserve">2,350 and </w:t>
      </w:r>
      <w:r>
        <w:rPr>
          <w:rFonts w:ascii="Calibri" w:eastAsia="MS Mincho" w:hAnsi="Calibri" w:cs="Times New Roman"/>
        </w:rPr>
        <w:t>360 per quarter</w:t>
      </w:r>
      <w:r w:rsidR="008C16F8">
        <w:rPr>
          <w:rFonts w:ascii="Calibri" w:eastAsia="MS Mincho" w:hAnsi="Calibri" w:cs="Times New Roman"/>
        </w:rPr>
        <w:t xml:space="preserve"> respectively</w:t>
      </w:r>
      <w:r>
        <w:rPr>
          <w:rFonts w:ascii="Calibri" w:eastAsia="MS Mincho" w:hAnsi="Calibri" w:cs="Times New Roman"/>
        </w:rPr>
        <w:t>.</w:t>
      </w:r>
      <w:r w:rsidR="008C16F8">
        <w:rPr>
          <w:rFonts w:ascii="Calibri" w:eastAsia="MS Mincho" w:hAnsi="Calibri" w:cs="Times New Roman"/>
        </w:rPr>
        <w:t xml:space="preserve"> </w:t>
      </w:r>
    </w:p>
    <w:p w14:paraId="3DED6302" w14:textId="77777777" w:rsidR="008C16F8" w:rsidRDefault="008C16F8" w:rsidP="00BC2035">
      <w:pPr>
        <w:rPr>
          <w:rFonts w:ascii="Calibri" w:eastAsia="MS Mincho" w:hAnsi="Calibri" w:cs="Times New Roman"/>
        </w:rPr>
      </w:pPr>
    </w:p>
    <w:p w14:paraId="56FC1C97" w14:textId="77777777" w:rsidR="00BC2035" w:rsidRDefault="00BC2035" w:rsidP="004C3356">
      <w:pPr>
        <w:spacing w:before="60" w:after="60"/>
        <w:rPr>
          <w:rStyle w:val="FiguretitleChar"/>
        </w:rPr>
      </w:pPr>
    </w:p>
    <w:p w14:paraId="20E1B708" w14:textId="77777777" w:rsidR="00BC2035" w:rsidRDefault="00BC2035" w:rsidP="004C3356">
      <w:pPr>
        <w:spacing w:before="60" w:after="60"/>
        <w:rPr>
          <w:rStyle w:val="FiguretitleChar"/>
        </w:rPr>
      </w:pPr>
    </w:p>
    <w:p w14:paraId="0E377025" w14:textId="77777777" w:rsidR="005A3F4B" w:rsidRDefault="005A3F4B" w:rsidP="005A3F4B">
      <w:pPr>
        <w:spacing w:line="276" w:lineRule="auto"/>
        <w:rPr>
          <w:rFonts w:ascii="Calibri" w:eastAsia="MS Mincho" w:hAnsi="Calibri" w:cs="Times New Roman"/>
          <w:b/>
          <w:i/>
        </w:rPr>
      </w:pPr>
      <w:r>
        <w:rPr>
          <w:rFonts w:ascii="Calibri" w:eastAsia="MS Mincho" w:hAnsi="Calibri" w:cs="Times New Roman"/>
          <w:b/>
          <w:i/>
        </w:rPr>
        <w:br w:type="page"/>
      </w:r>
    </w:p>
    <w:p w14:paraId="7FD604CB" w14:textId="77777777" w:rsidR="005A3F4B" w:rsidRDefault="005A3F4B" w:rsidP="00382B11">
      <w:pPr>
        <w:pStyle w:val="Heading2"/>
      </w:pPr>
      <w:r>
        <w:lastRenderedPageBreak/>
        <w:t>Predicted vs Actual analysis</w:t>
      </w:r>
    </w:p>
    <w:p w14:paraId="5082D947" w14:textId="6D8FB7D5" w:rsidR="00755A56" w:rsidRPr="004B4DAB" w:rsidRDefault="00755A56" w:rsidP="004B4DAB">
      <w:pPr>
        <w:pStyle w:val="Tabletitle"/>
      </w:pPr>
      <w:r w:rsidRPr="004B4DAB">
        <w:t>T</w:t>
      </w:r>
      <w:r w:rsidR="00BD733E" w:rsidRPr="004B4DAB">
        <w:t xml:space="preserve">able </w:t>
      </w:r>
      <w:r w:rsidR="00017E62" w:rsidRPr="004B4DAB">
        <w:t>3</w:t>
      </w:r>
      <w:r w:rsidRPr="004B4DAB">
        <w:t xml:space="preserve">: Predicted vs Actual analysis by </w:t>
      </w:r>
      <w:r w:rsidR="00BD733E" w:rsidRPr="004B4DAB">
        <w:t xml:space="preserve">indication </w:t>
      </w:r>
    </w:p>
    <w:tbl>
      <w:tblPr>
        <w:tblW w:w="9015" w:type="dxa"/>
        <w:tblInd w:w="93" w:type="dxa"/>
        <w:tblLook w:val="04A0" w:firstRow="1" w:lastRow="0" w:firstColumn="1" w:lastColumn="0" w:noHBand="0" w:noVBand="1"/>
      </w:tblPr>
      <w:tblGrid>
        <w:gridCol w:w="1304"/>
        <w:gridCol w:w="2098"/>
        <w:gridCol w:w="2211"/>
        <w:gridCol w:w="1701"/>
        <w:gridCol w:w="1701"/>
      </w:tblGrid>
      <w:tr w:rsidR="00F26420" w:rsidRPr="00F26420" w14:paraId="22650F1F" w14:textId="77777777" w:rsidTr="00A62424">
        <w:trPr>
          <w:trHeight w:val="315"/>
        </w:trPr>
        <w:tc>
          <w:tcPr>
            <w:tcW w:w="1304" w:type="dxa"/>
            <w:tcBorders>
              <w:top w:val="single" w:sz="8" w:space="0" w:color="auto"/>
              <w:left w:val="single" w:sz="8" w:space="0" w:color="auto"/>
              <w:bottom w:val="nil"/>
              <w:right w:val="single" w:sz="8" w:space="0" w:color="auto"/>
            </w:tcBorders>
            <w:shd w:val="clear" w:color="000000" w:fill="BFBFBF"/>
            <w:noWrap/>
            <w:vAlign w:val="center"/>
            <w:hideMark/>
          </w:tcPr>
          <w:p w14:paraId="46D66A9C" w14:textId="77777777" w:rsidR="00F26420" w:rsidRPr="00F26420" w:rsidRDefault="00F26420" w:rsidP="00F26420">
            <w:pPr>
              <w:spacing w:after="0"/>
              <w:rPr>
                <w:rFonts w:ascii="Calibri" w:eastAsia="Times New Roman" w:hAnsi="Calibri" w:cs="Calibri"/>
                <w:sz w:val="22"/>
                <w:szCs w:val="22"/>
              </w:rPr>
            </w:pPr>
            <w:r w:rsidRPr="00F26420">
              <w:rPr>
                <w:rFonts w:ascii="Calibri" w:eastAsia="Times New Roman" w:hAnsi="Calibri" w:cs="Calibri"/>
                <w:sz w:val="22"/>
                <w:szCs w:val="22"/>
              </w:rPr>
              <w:t> </w:t>
            </w:r>
          </w:p>
        </w:tc>
        <w:tc>
          <w:tcPr>
            <w:tcW w:w="2098" w:type="dxa"/>
            <w:tcBorders>
              <w:top w:val="single" w:sz="8" w:space="0" w:color="auto"/>
              <w:left w:val="nil"/>
              <w:bottom w:val="nil"/>
              <w:right w:val="single" w:sz="8" w:space="0" w:color="auto"/>
            </w:tcBorders>
            <w:shd w:val="clear" w:color="000000" w:fill="BFBFBF"/>
            <w:noWrap/>
            <w:vAlign w:val="center"/>
            <w:hideMark/>
          </w:tcPr>
          <w:p w14:paraId="2AC4B924" w14:textId="77777777" w:rsidR="00F26420" w:rsidRPr="00F26420" w:rsidRDefault="00F26420" w:rsidP="00F26420">
            <w:pPr>
              <w:spacing w:after="0"/>
              <w:rPr>
                <w:rFonts w:ascii="Calibri" w:eastAsia="Times New Roman" w:hAnsi="Calibri" w:cs="Calibri"/>
                <w:sz w:val="22"/>
                <w:szCs w:val="22"/>
              </w:rPr>
            </w:pPr>
            <w:r w:rsidRPr="00F26420">
              <w:rPr>
                <w:rFonts w:ascii="Calibri" w:eastAsia="Times New Roman" w:hAnsi="Calibri" w:cs="Calibri"/>
                <w:sz w:val="22"/>
                <w:szCs w:val="22"/>
              </w:rPr>
              <w:t> </w:t>
            </w:r>
          </w:p>
        </w:tc>
        <w:tc>
          <w:tcPr>
            <w:tcW w:w="2211" w:type="dxa"/>
            <w:tcBorders>
              <w:top w:val="single" w:sz="8" w:space="0" w:color="auto"/>
              <w:left w:val="nil"/>
              <w:bottom w:val="nil"/>
              <w:right w:val="single" w:sz="8" w:space="0" w:color="auto"/>
            </w:tcBorders>
            <w:shd w:val="clear" w:color="000000" w:fill="BFBFBF"/>
            <w:vAlign w:val="center"/>
            <w:hideMark/>
          </w:tcPr>
          <w:p w14:paraId="57FF6515" w14:textId="77777777" w:rsidR="00F26420" w:rsidRPr="00F26420" w:rsidRDefault="00F26420" w:rsidP="00F26420">
            <w:pPr>
              <w:spacing w:after="0"/>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 </w:t>
            </w:r>
          </w:p>
        </w:tc>
        <w:tc>
          <w:tcPr>
            <w:tcW w:w="1701" w:type="dxa"/>
            <w:tcBorders>
              <w:top w:val="single" w:sz="8" w:space="0" w:color="auto"/>
              <w:left w:val="nil"/>
              <w:bottom w:val="single" w:sz="8" w:space="0" w:color="auto"/>
              <w:right w:val="single" w:sz="8" w:space="0" w:color="auto"/>
            </w:tcBorders>
            <w:shd w:val="clear" w:color="000000" w:fill="BFBFBF"/>
            <w:noWrap/>
            <w:vAlign w:val="center"/>
            <w:hideMark/>
          </w:tcPr>
          <w:p w14:paraId="7BD5A9A5" w14:textId="77777777" w:rsidR="00F26420" w:rsidRPr="00F26420" w:rsidRDefault="00F26420" w:rsidP="00F26420">
            <w:pPr>
              <w:spacing w:after="0"/>
              <w:jc w:val="center"/>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Year1</w:t>
            </w:r>
          </w:p>
        </w:tc>
        <w:tc>
          <w:tcPr>
            <w:tcW w:w="1701" w:type="dxa"/>
            <w:tcBorders>
              <w:top w:val="single" w:sz="8" w:space="0" w:color="auto"/>
              <w:left w:val="nil"/>
              <w:bottom w:val="single" w:sz="8" w:space="0" w:color="auto"/>
              <w:right w:val="single" w:sz="8" w:space="0" w:color="auto"/>
            </w:tcBorders>
            <w:shd w:val="clear" w:color="000000" w:fill="BFBFBF"/>
            <w:noWrap/>
            <w:vAlign w:val="center"/>
            <w:hideMark/>
          </w:tcPr>
          <w:p w14:paraId="4EDA2909" w14:textId="77777777" w:rsidR="00F26420" w:rsidRPr="00F26420" w:rsidRDefault="00F26420" w:rsidP="00F26420">
            <w:pPr>
              <w:spacing w:after="0"/>
              <w:jc w:val="center"/>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Year 2</w:t>
            </w:r>
          </w:p>
        </w:tc>
      </w:tr>
      <w:tr w:rsidR="00A62424" w:rsidRPr="00F26420" w14:paraId="501B1098" w14:textId="77777777" w:rsidTr="00A62424">
        <w:trPr>
          <w:trHeight w:val="170"/>
        </w:trPr>
        <w:tc>
          <w:tcPr>
            <w:tcW w:w="1304" w:type="dxa"/>
            <w:tcBorders>
              <w:top w:val="nil"/>
              <w:left w:val="single" w:sz="8" w:space="0" w:color="auto"/>
              <w:bottom w:val="single" w:sz="8" w:space="0" w:color="000000"/>
              <w:right w:val="single" w:sz="8" w:space="0" w:color="auto"/>
            </w:tcBorders>
            <w:shd w:val="clear" w:color="000000" w:fill="BFBFBF"/>
            <w:noWrap/>
            <w:vAlign w:val="center"/>
            <w:hideMark/>
          </w:tcPr>
          <w:p w14:paraId="1A01CB5E" w14:textId="77777777" w:rsidR="00A62424" w:rsidRPr="00F26420" w:rsidRDefault="00A62424" w:rsidP="00F26420">
            <w:pPr>
              <w:spacing w:after="0"/>
              <w:rPr>
                <w:rFonts w:ascii="Calibri" w:eastAsia="Times New Roman" w:hAnsi="Calibri" w:cs="Calibri"/>
                <w:sz w:val="22"/>
                <w:szCs w:val="22"/>
              </w:rPr>
            </w:pPr>
            <w:r w:rsidRPr="00F26420">
              <w:rPr>
                <w:rFonts w:ascii="Calibri" w:eastAsia="Times New Roman" w:hAnsi="Calibri" w:cs="Calibri"/>
                <w:sz w:val="22"/>
                <w:szCs w:val="22"/>
              </w:rPr>
              <w:t> </w:t>
            </w:r>
          </w:p>
        </w:tc>
        <w:tc>
          <w:tcPr>
            <w:tcW w:w="2098" w:type="dxa"/>
            <w:tcBorders>
              <w:top w:val="nil"/>
              <w:left w:val="nil"/>
              <w:bottom w:val="single" w:sz="8" w:space="0" w:color="000000"/>
              <w:right w:val="single" w:sz="8" w:space="0" w:color="auto"/>
            </w:tcBorders>
            <w:shd w:val="clear" w:color="000000" w:fill="BFBFBF"/>
            <w:noWrap/>
            <w:vAlign w:val="center"/>
            <w:hideMark/>
          </w:tcPr>
          <w:p w14:paraId="51E383FA" w14:textId="77777777" w:rsidR="00A62424" w:rsidRPr="00F26420" w:rsidRDefault="00A62424" w:rsidP="00F26420">
            <w:pPr>
              <w:spacing w:after="0"/>
              <w:rPr>
                <w:rFonts w:ascii="Calibri" w:eastAsia="Times New Roman" w:hAnsi="Calibri" w:cs="Calibri"/>
                <w:sz w:val="22"/>
                <w:szCs w:val="22"/>
              </w:rPr>
            </w:pPr>
            <w:r w:rsidRPr="00F26420">
              <w:rPr>
                <w:rFonts w:ascii="Calibri" w:eastAsia="Times New Roman" w:hAnsi="Calibri" w:cs="Calibri"/>
                <w:sz w:val="22"/>
                <w:szCs w:val="22"/>
              </w:rPr>
              <w:t> </w:t>
            </w:r>
          </w:p>
        </w:tc>
        <w:tc>
          <w:tcPr>
            <w:tcW w:w="2211" w:type="dxa"/>
            <w:tcBorders>
              <w:top w:val="nil"/>
              <w:left w:val="nil"/>
              <w:bottom w:val="single" w:sz="8" w:space="0" w:color="000000"/>
              <w:right w:val="single" w:sz="8" w:space="0" w:color="auto"/>
            </w:tcBorders>
            <w:shd w:val="clear" w:color="000000" w:fill="BFBFBF"/>
            <w:vAlign w:val="center"/>
            <w:hideMark/>
          </w:tcPr>
          <w:p w14:paraId="204AFBD1" w14:textId="77777777" w:rsidR="00A62424" w:rsidRPr="00F26420" w:rsidRDefault="00A62424" w:rsidP="00F26420">
            <w:pPr>
              <w:spacing w:after="0"/>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 </w:t>
            </w:r>
          </w:p>
        </w:tc>
        <w:tc>
          <w:tcPr>
            <w:tcW w:w="1701" w:type="dxa"/>
            <w:tcBorders>
              <w:top w:val="nil"/>
              <w:left w:val="nil"/>
              <w:bottom w:val="single" w:sz="8" w:space="0" w:color="auto"/>
              <w:right w:val="single" w:sz="8" w:space="0" w:color="auto"/>
            </w:tcBorders>
            <w:shd w:val="clear" w:color="000000" w:fill="BFBFBF"/>
            <w:noWrap/>
            <w:vAlign w:val="center"/>
            <w:hideMark/>
          </w:tcPr>
          <w:p w14:paraId="77AB4D46" w14:textId="77777777" w:rsidR="00A62424" w:rsidRPr="00F26420" w:rsidRDefault="00A62424" w:rsidP="008B669C">
            <w:pPr>
              <w:spacing w:after="0"/>
              <w:jc w:val="center"/>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May 16 to Apr 17</w:t>
            </w:r>
          </w:p>
        </w:tc>
        <w:tc>
          <w:tcPr>
            <w:tcW w:w="1701" w:type="dxa"/>
            <w:tcBorders>
              <w:top w:val="nil"/>
              <w:left w:val="nil"/>
              <w:bottom w:val="single" w:sz="8" w:space="0" w:color="auto"/>
              <w:right w:val="single" w:sz="8" w:space="0" w:color="auto"/>
            </w:tcBorders>
            <w:shd w:val="clear" w:color="000000" w:fill="BFBFBF"/>
            <w:noWrap/>
            <w:vAlign w:val="center"/>
            <w:hideMark/>
          </w:tcPr>
          <w:p w14:paraId="01C07A28" w14:textId="77777777" w:rsidR="00A62424" w:rsidRPr="00F26420" w:rsidRDefault="00A62424" w:rsidP="008B669C">
            <w:pPr>
              <w:spacing w:after="0"/>
              <w:jc w:val="center"/>
              <w:rPr>
                <w:rFonts w:ascii="Calibri" w:eastAsia="Times New Roman" w:hAnsi="Calibri" w:cs="Calibri"/>
                <w:b/>
                <w:bCs/>
                <w:color w:val="000000"/>
                <w:sz w:val="20"/>
                <w:szCs w:val="20"/>
              </w:rPr>
            </w:pPr>
            <w:r w:rsidRPr="00F26420">
              <w:rPr>
                <w:rFonts w:ascii="Calibri" w:eastAsia="Times New Roman" w:hAnsi="Calibri" w:cs="Calibri"/>
                <w:b/>
                <w:bCs/>
                <w:color w:val="000000"/>
                <w:sz w:val="20"/>
                <w:szCs w:val="20"/>
              </w:rPr>
              <w:t>May 17 to Apr 18</w:t>
            </w:r>
          </w:p>
        </w:tc>
      </w:tr>
      <w:tr w:rsidR="003A41FC" w:rsidRPr="00F26420" w14:paraId="57426CAC" w14:textId="77777777" w:rsidTr="002B22B9">
        <w:trPr>
          <w:trHeight w:val="283"/>
        </w:trPr>
        <w:tc>
          <w:tcPr>
            <w:tcW w:w="1304" w:type="dxa"/>
            <w:vMerge w:val="restart"/>
            <w:tcBorders>
              <w:top w:val="nil"/>
              <w:left w:val="single" w:sz="8" w:space="0" w:color="auto"/>
              <w:right w:val="single" w:sz="8" w:space="0" w:color="auto"/>
            </w:tcBorders>
            <w:shd w:val="clear" w:color="auto" w:fill="auto"/>
            <w:vAlign w:val="center"/>
            <w:hideMark/>
          </w:tcPr>
          <w:p w14:paraId="39587CAD"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Treated patients</w:t>
            </w:r>
          </w:p>
        </w:tc>
        <w:tc>
          <w:tcPr>
            <w:tcW w:w="2098" w:type="dxa"/>
            <w:vMerge w:val="restart"/>
            <w:tcBorders>
              <w:top w:val="nil"/>
              <w:left w:val="single" w:sz="8" w:space="0" w:color="auto"/>
              <w:bottom w:val="nil"/>
              <w:right w:val="single" w:sz="8" w:space="0" w:color="auto"/>
            </w:tcBorders>
            <w:shd w:val="clear" w:color="auto" w:fill="auto"/>
            <w:vAlign w:val="center"/>
            <w:hideMark/>
          </w:tcPr>
          <w:p w14:paraId="12B3C115"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indolent non-Hodgkin's lymphoma</w:t>
            </w:r>
          </w:p>
        </w:tc>
        <w:tc>
          <w:tcPr>
            <w:tcW w:w="2211" w:type="dxa"/>
            <w:tcBorders>
              <w:top w:val="nil"/>
              <w:left w:val="nil"/>
              <w:bottom w:val="single" w:sz="8" w:space="0" w:color="auto"/>
              <w:right w:val="single" w:sz="8" w:space="0" w:color="auto"/>
            </w:tcBorders>
            <w:shd w:val="clear" w:color="auto" w:fill="auto"/>
            <w:vAlign w:val="center"/>
            <w:hideMark/>
          </w:tcPr>
          <w:p w14:paraId="1502FA01"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nil"/>
              <w:left w:val="nil"/>
              <w:bottom w:val="single" w:sz="8" w:space="0" w:color="auto"/>
              <w:right w:val="single" w:sz="8" w:space="0" w:color="auto"/>
            </w:tcBorders>
            <w:shd w:val="clear" w:color="auto" w:fill="auto"/>
            <w:vAlign w:val="center"/>
            <w:hideMark/>
          </w:tcPr>
          <w:p w14:paraId="2E3DB4C2" w14:textId="11690C53"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c>
          <w:tcPr>
            <w:tcW w:w="1701" w:type="dxa"/>
            <w:tcBorders>
              <w:top w:val="nil"/>
              <w:left w:val="nil"/>
              <w:bottom w:val="single" w:sz="8" w:space="0" w:color="auto"/>
              <w:right w:val="single" w:sz="8" w:space="0" w:color="auto"/>
            </w:tcBorders>
            <w:shd w:val="clear" w:color="auto" w:fill="auto"/>
            <w:vAlign w:val="center"/>
            <w:hideMark/>
          </w:tcPr>
          <w:p w14:paraId="104C3964" w14:textId="3BA72818"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3A41FC" w:rsidRPr="00F26420" w14:paraId="25BF1C16" w14:textId="77777777" w:rsidTr="002B22B9">
        <w:trPr>
          <w:trHeight w:val="283"/>
        </w:trPr>
        <w:tc>
          <w:tcPr>
            <w:tcW w:w="1304" w:type="dxa"/>
            <w:vMerge/>
            <w:tcBorders>
              <w:left w:val="single" w:sz="8" w:space="0" w:color="auto"/>
              <w:right w:val="single" w:sz="8" w:space="0" w:color="auto"/>
            </w:tcBorders>
            <w:vAlign w:val="center"/>
            <w:hideMark/>
          </w:tcPr>
          <w:p w14:paraId="2A4FD6EE"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tcBorders>
              <w:top w:val="nil"/>
              <w:left w:val="single" w:sz="8" w:space="0" w:color="auto"/>
              <w:bottom w:val="nil"/>
              <w:right w:val="single" w:sz="8" w:space="0" w:color="auto"/>
            </w:tcBorders>
            <w:vAlign w:val="center"/>
            <w:hideMark/>
          </w:tcPr>
          <w:p w14:paraId="53F53722" w14:textId="77777777" w:rsidR="003A41FC" w:rsidRPr="00F26420" w:rsidRDefault="003A41FC"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015108EB"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14:paraId="1CCFD2A0" w14:textId="77777777" w:rsidR="003A41FC" w:rsidRDefault="003A41FC" w:rsidP="003A41FC">
            <w:pPr>
              <w:spacing w:after="0"/>
              <w:jc w:val="center"/>
              <w:rPr>
                <w:rFonts w:ascii="Calibri" w:hAnsi="Calibri" w:cs="Calibri"/>
                <w:color w:val="000000"/>
                <w:sz w:val="20"/>
                <w:szCs w:val="20"/>
              </w:rPr>
            </w:pPr>
            <w:r>
              <w:rPr>
                <w:rFonts w:ascii="Calibri" w:hAnsi="Calibri" w:cs="Calibri"/>
                <w:color w:val="000000"/>
                <w:sz w:val="20"/>
                <w:szCs w:val="20"/>
              </w:rPr>
              <w:t>816</w:t>
            </w:r>
          </w:p>
        </w:tc>
        <w:tc>
          <w:tcPr>
            <w:tcW w:w="1701" w:type="dxa"/>
            <w:tcBorders>
              <w:top w:val="nil"/>
              <w:left w:val="nil"/>
              <w:bottom w:val="single" w:sz="8" w:space="0" w:color="auto"/>
              <w:right w:val="single" w:sz="8" w:space="0" w:color="auto"/>
            </w:tcBorders>
            <w:shd w:val="clear" w:color="auto" w:fill="auto"/>
            <w:vAlign w:val="center"/>
            <w:hideMark/>
          </w:tcPr>
          <w:p w14:paraId="6BD000E4" w14:textId="77777777" w:rsidR="003A41FC" w:rsidRDefault="003A41FC" w:rsidP="003A41FC">
            <w:pPr>
              <w:spacing w:after="0"/>
              <w:jc w:val="center"/>
              <w:rPr>
                <w:rFonts w:ascii="Calibri" w:hAnsi="Calibri" w:cs="Calibri"/>
                <w:color w:val="000000"/>
                <w:sz w:val="20"/>
                <w:szCs w:val="20"/>
              </w:rPr>
            </w:pPr>
            <w:r>
              <w:rPr>
                <w:rFonts w:ascii="Calibri" w:hAnsi="Calibri" w:cs="Calibri"/>
                <w:color w:val="000000"/>
                <w:sz w:val="20"/>
                <w:szCs w:val="20"/>
              </w:rPr>
              <w:t>1,182</w:t>
            </w:r>
          </w:p>
        </w:tc>
      </w:tr>
      <w:tr w:rsidR="003A41FC" w:rsidRPr="00F26420" w14:paraId="116A888F" w14:textId="77777777" w:rsidTr="002B22B9">
        <w:trPr>
          <w:trHeight w:val="283"/>
        </w:trPr>
        <w:tc>
          <w:tcPr>
            <w:tcW w:w="1304" w:type="dxa"/>
            <w:vMerge/>
            <w:tcBorders>
              <w:left w:val="single" w:sz="8" w:space="0" w:color="auto"/>
              <w:right w:val="single" w:sz="8" w:space="0" w:color="auto"/>
            </w:tcBorders>
            <w:vAlign w:val="center"/>
            <w:hideMark/>
          </w:tcPr>
          <w:p w14:paraId="2FA52D6B"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tcBorders>
              <w:top w:val="nil"/>
              <w:left w:val="single" w:sz="8" w:space="0" w:color="auto"/>
              <w:bottom w:val="nil"/>
              <w:right w:val="single" w:sz="8" w:space="0" w:color="auto"/>
            </w:tcBorders>
            <w:vAlign w:val="center"/>
            <w:hideMark/>
          </w:tcPr>
          <w:p w14:paraId="6ECC28E7" w14:textId="77777777" w:rsidR="003A41FC" w:rsidRPr="00F26420" w:rsidRDefault="003A41FC"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294A0740"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8" w:space="0" w:color="auto"/>
              <w:right w:val="single" w:sz="8" w:space="0" w:color="auto"/>
            </w:tcBorders>
            <w:shd w:val="clear" w:color="auto" w:fill="auto"/>
            <w:vAlign w:val="center"/>
            <w:hideMark/>
          </w:tcPr>
          <w:p w14:paraId="1804FA4B" w14:textId="352DC71D"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c>
          <w:tcPr>
            <w:tcW w:w="1701" w:type="dxa"/>
            <w:tcBorders>
              <w:top w:val="nil"/>
              <w:left w:val="nil"/>
              <w:bottom w:val="single" w:sz="8" w:space="0" w:color="auto"/>
              <w:right w:val="single" w:sz="8" w:space="0" w:color="auto"/>
            </w:tcBorders>
            <w:shd w:val="clear" w:color="auto" w:fill="auto"/>
            <w:vAlign w:val="center"/>
            <w:hideMark/>
          </w:tcPr>
          <w:p w14:paraId="1202D322" w14:textId="02962A48"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3A41FC" w:rsidRPr="00F26420" w14:paraId="622A2BBD" w14:textId="77777777" w:rsidTr="002B22B9">
        <w:trPr>
          <w:trHeight w:val="283"/>
        </w:trPr>
        <w:tc>
          <w:tcPr>
            <w:tcW w:w="1304" w:type="dxa"/>
            <w:vMerge/>
            <w:tcBorders>
              <w:left w:val="single" w:sz="8" w:space="0" w:color="auto"/>
              <w:right w:val="single" w:sz="8" w:space="0" w:color="auto"/>
            </w:tcBorders>
            <w:vAlign w:val="center"/>
            <w:hideMark/>
          </w:tcPr>
          <w:p w14:paraId="3F059B2F"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1F2D9E"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mantle cell lymphoma</w:t>
            </w:r>
          </w:p>
        </w:tc>
        <w:tc>
          <w:tcPr>
            <w:tcW w:w="2211" w:type="dxa"/>
            <w:tcBorders>
              <w:top w:val="nil"/>
              <w:left w:val="nil"/>
              <w:bottom w:val="single" w:sz="8" w:space="0" w:color="auto"/>
              <w:right w:val="single" w:sz="8" w:space="0" w:color="auto"/>
            </w:tcBorders>
            <w:shd w:val="clear" w:color="auto" w:fill="auto"/>
            <w:vAlign w:val="center"/>
            <w:hideMark/>
          </w:tcPr>
          <w:p w14:paraId="2825F48B"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nil"/>
              <w:left w:val="nil"/>
              <w:bottom w:val="single" w:sz="8" w:space="0" w:color="auto"/>
              <w:right w:val="single" w:sz="8" w:space="0" w:color="auto"/>
            </w:tcBorders>
            <w:shd w:val="clear" w:color="auto" w:fill="auto"/>
            <w:vAlign w:val="center"/>
            <w:hideMark/>
          </w:tcPr>
          <w:p w14:paraId="532352C9" w14:textId="194F152D"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w:t>
            </w:r>
          </w:p>
        </w:tc>
        <w:tc>
          <w:tcPr>
            <w:tcW w:w="1701" w:type="dxa"/>
            <w:tcBorders>
              <w:top w:val="nil"/>
              <w:left w:val="nil"/>
              <w:bottom w:val="single" w:sz="8" w:space="0" w:color="auto"/>
              <w:right w:val="single" w:sz="8" w:space="0" w:color="auto"/>
            </w:tcBorders>
            <w:shd w:val="clear" w:color="auto" w:fill="auto"/>
            <w:vAlign w:val="center"/>
            <w:hideMark/>
          </w:tcPr>
          <w:p w14:paraId="0D2BBE24" w14:textId="427DE499"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w:t>
            </w:r>
          </w:p>
        </w:tc>
      </w:tr>
      <w:tr w:rsidR="003A41FC" w:rsidRPr="00F26420" w14:paraId="20CD7F4D" w14:textId="77777777" w:rsidTr="002B22B9">
        <w:trPr>
          <w:trHeight w:val="283"/>
        </w:trPr>
        <w:tc>
          <w:tcPr>
            <w:tcW w:w="1304" w:type="dxa"/>
            <w:vMerge/>
            <w:tcBorders>
              <w:left w:val="single" w:sz="8" w:space="0" w:color="auto"/>
              <w:right w:val="single" w:sz="8" w:space="0" w:color="auto"/>
            </w:tcBorders>
            <w:vAlign w:val="center"/>
            <w:hideMark/>
          </w:tcPr>
          <w:p w14:paraId="06DCE880"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tcBorders>
              <w:top w:val="single" w:sz="8" w:space="0" w:color="auto"/>
              <w:left w:val="single" w:sz="8" w:space="0" w:color="auto"/>
              <w:bottom w:val="single" w:sz="8" w:space="0" w:color="000000"/>
              <w:right w:val="single" w:sz="8" w:space="0" w:color="auto"/>
            </w:tcBorders>
            <w:vAlign w:val="center"/>
            <w:hideMark/>
          </w:tcPr>
          <w:p w14:paraId="63D02D1F" w14:textId="77777777" w:rsidR="003A41FC" w:rsidRPr="00F26420" w:rsidRDefault="003A41FC"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445FE80F"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14:paraId="2E567392" w14:textId="77777777" w:rsidR="003A41FC" w:rsidRDefault="003A41FC" w:rsidP="003A41FC">
            <w:pPr>
              <w:spacing w:after="0"/>
              <w:jc w:val="center"/>
              <w:rPr>
                <w:rFonts w:ascii="Calibri" w:hAnsi="Calibri" w:cs="Calibri"/>
                <w:color w:val="000000"/>
                <w:sz w:val="20"/>
                <w:szCs w:val="20"/>
              </w:rPr>
            </w:pPr>
            <w:r>
              <w:rPr>
                <w:rFonts w:ascii="Calibri" w:hAnsi="Calibri" w:cs="Calibri"/>
                <w:color w:val="000000"/>
                <w:sz w:val="20"/>
                <w:szCs w:val="20"/>
              </w:rPr>
              <w:t>160</w:t>
            </w:r>
          </w:p>
        </w:tc>
        <w:tc>
          <w:tcPr>
            <w:tcW w:w="1701" w:type="dxa"/>
            <w:tcBorders>
              <w:top w:val="nil"/>
              <w:left w:val="nil"/>
              <w:bottom w:val="single" w:sz="8" w:space="0" w:color="auto"/>
              <w:right w:val="single" w:sz="8" w:space="0" w:color="auto"/>
            </w:tcBorders>
            <w:shd w:val="clear" w:color="auto" w:fill="auto"/>
            <w:vAlign w:val="center"/>
            <w:hideMark/>
          </w:tcPr>
          <w:p w14:paraId="459C8600" w14:textId="77777777" w:rsidR="003A41FC" w:rsidRDefault="003A41FC" w:rsidP="003A41FC">
            <w:pPr>
              <w:spacing w:after="0"/>
              <w:jc w:val="center"/>
              <w:rPr>
                <w:rFonts w:ascii="Calibri" w:hAnsi="Calibri" w:cs="Calibri"/>
                <w:color w:val="000000"/>
                <w:sz w:val="20"/>
                <w:szCs w:val="20"/>
              </w:rPr>
            </w:pPr>
            <w:r>
              <w:rPr>
                <w:rFonts w:ascii="Calibri" w:hAnsi="Calibri" w:cs="Calibri"/>
                <w:color w:val="000000"/>
                <w:sz w:val="20"/>
                <w:szCs w:val="20"/>
              </w:rPr>
              <w:t>186</w:t>
            </w:r>
          </w:p>
        </w:tc>
      </w:tr>
      <w:tr w:rsidR="003A41FC" w:rsidRPr="00F26420" w14:paraId="75B96AA1" w14:textId="77777777" w:rsidTr="002B22B9">
        <w:trPr>
          <w:trHeight w:val="283"/>
        </w:trPr>
        <w:tc>
          <w:tcPr>
            <w:tcW w:w="1304" w:type="dxa"/>
            <w:vMerge/>
            <w:tcBorders>
              <w:left w:val="single" w:sz="8" w:space="0" w:color="auto"/>
              <w:right w:val="single" w:sz="8" w:space="0" w:color="auto"/>
            </w:tcBorders>
            <w:vAlign w:val="center"/>
            <w:hideMark/>
          </w:tcPr>
          <w:p w14:paraId="06996386"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tcBorders>
              <w:top w:val="single" w:sz="8" w:space="0" w:color="auto"/>
              <w:left w:val="single" w:sz="8" w:space="0" w:color="auto"/>
              <w:bottom w:val="single" w:sz="8" w:space="0" w:color="000000"/>
              <w:right w:val="single" w:sz="8" w:space="0" w:color="auto"/>
            </w:tcBorders>
            <w:vAlign w:val="center"/>
            <w:hideMark/>
          </w:tcPr>
          <w:p w14:paraId="458BC826" w14:textId="77777777" w:rsidR="003A41FC" w:rsidRPr="00F26420" w:rsidRDefault="003A41FC"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1E8A23B0" w14:textId="77777777" w:rsidR="003A41FC" w:rsidRPr="00F26420" w:rsidRDefault="003A41FC"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8" w:space="0" w:color="auto"/>
              <w:right w:val="single" w:sz="8" w:space="0" w:color="auto"/>
            </w:tcBorders>
            <w:shd w:val="clear" w:color="auto" w:fill="auto"/>
            <w:vAlign w:val="center"/>
            <w:hideMark/>
          </w:tcPr>
          <w:p w14:paraId="3487CE29" w14:textId="29DC9EC3" w:rsidR="003A41FC" w:rsidRPr="00A5434D" w:rsidRDefault="00A5434D" w:rsidP="003A41FC">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58FCCFB6" w14:textId="54CC2CFE" w:rsidR="003A41FC" w:rsidRPr="00A5434D" w:rsidRDefault="00A5434D" w:rsidP="003A41FC">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r>
      <w:tr w:rsidR="003A41FC" w:rsidRPr="00F26420" w14:paraId="0E7B11B9" w14:textId="77777777" w:rsidTr="002B22B9">
        <w:trPr>
          <w:trHeight w:val="283"/>
        </w:trPr>
        <w:tc>
          <w:tcPr>
            <w:tcW w:w="1304" w:type="dxa"/>
            <w:vMerge/>
            <w:tcBorders>
              <w:left w:val="single" w:sz="8" w:space="0" w:color="auto"/>
              <w:right w:val="single" w:sz="8" w:space="0" w:color="auto"/>
            </w:tcBorders>
            <w:vAlign w:val="center"/>
          </w:tcPr>
          <w:p w14:paraId="653CA9CF"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val="restart"/>
            <w:tcBorders>
              <w:top w:val="single" w:sz="8" w:space="0" w:color="auto"/>
              <w:left w:val="single" w:sz="8" w:space="0" w:color="auto"/>
              <w:right w:val="single" w:sz="8" w:space="0" w:color="auto"/>
            </w:tcBorders>
            <w:vAlign w:val="center"/>
          </w:tcPr>
          <w:p w14:paraId="634B45D6" w14:textId="77777777" w:rsidR="003A41FC" w:rsidRPr="00F26420" w:rsidRDefault="003A41FC" w:rsidP="00F26420">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Total</w:t>
            </w:r>
            <w:r w:rsidR="002B22B9">
              <w:rPr>
                <w:rFonts w:ascii="Calibri" w:eastAsia="Times New Roman" w:hAnsi="Calibri" w:cs="Calibri"/>
                <w:color w:val="000000"/>
                <w:sz w:val="20"/>
                <w:szCs w:val="20"/>
              </w:rPr>
              <w:t>*</w:t>
            </w:r>
          </w:p>
        </w:tc>
        <w:tc>
          <w:tcPr>
            <w:tcW w:w="2211" w:type="dxa"/>
            <w:tcBorders>
              <w:top w:val="nil"/>
              <w:left w:val="nil"/>
              <w:bottom w:val="single" w:sz="8" w:space="0" w:color="auto"/>
              <w:right w:val="single" w:sz="8" w:space="0" w:color="auto"/>
            </w:tcBorders>
            <w:shd w:val="clear" w:color="auto" w:fill="auto"/>
            <w:vAlign w:val="center"/>
          </w:tcPr>
          <w:p w14:paraId="59C30233" w14:textId="77777777" w:rsidR="003A41FC" w:rsidRPr="00F26420" w:rsidRDefault="003A41FC" w:rsidP="002B22B9">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nil"/>
              <w:left w:val="nil"/>
              <w:bottom w:val="single" w:sz="8" w:space="0" w:color="auto"/>
              <w:right w:val="single" w:sz="8" w:space="0" w:color="auto"/>
            </w:tcBorders>
            <w:shd w:val="clear" w:color="auto" w:fill="auto"/>
            <w:vAlign w:val="center"/>
          </w:tcPr>
          <w:p w14:paraId="2938481A" w14:textId="7856F417"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c>
          <w:tcPr>
            <w:tcW w:w="1701" w:type="dxa"/>
            <w:tcBorders>
              <w:top w:val="nil"/>
              <w:left w:val="nil"/>
              <w:bottom w:val="single" w:sz="8" w:space="0" w:color="auto"/>
              <w:right w:val="single" w:sz="8" w:space="0" w:color="auto"/>
            </w:tcBorders>
            <w:shd w:val="clear" w:color="auto" w:fill="auto"/>
            <w:vAlign w:val="center"/>
          </w:tcPr>
          <w:p w14:paraId="6F32E4A9" w14:textId="15CB76D9"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3A41FC" w:rsidRPr="00F26420" w14:paraId="093E4BFF" w14:textId="77777777" w:rsidTr="002B22B9">
        <w:trPr>
          <w:trHeight w:val="283"/>
        </w:trPr>
        <w:tc>
          <w:tcPr>
            <w:tcW w:w="1304" w:type="dxa"/>
            <w:vMerge/>
            <w:tcBorders>
              <w:left w:val="single" w:sz="8" w:space="0" w:color="auto"/>
              <w:right w:val="single" w:sz="8" w:space="0" w:color="auto"/>
            </w:tcBorders>
            <w:vAlign w:val="center"/>
          </w:tcPr>
          <w:p w14:paraId="22639018"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tcBorders>
              <w:left w:val="single" w:sz="8" w:space="0" w:color="auto"/>
              <w:right w:val="single" w:sz="8" w:space="0" w:color="auto"/>
            </w:tcBorders>
            <w:vAlign w:val="center"/>
          </w:tcPr>
          <w:p w14:paraId="609BB0CC" w14:textId="77777777" w:rsidR="003A41FC" w:rsidRPr="00F26420" w:rsidRDefault="003A41FC"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tcPr>
          <w:p w14:paraId="4FDA7845" w14:textId="77777777" w:rsidR="003A41FC" w:rsidRPr="00F26420" w:rsidRDefault="003A41FC" w:rsidP="002B22B9">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tcPr>
          <w:p w14:paraId="0B44DA11" w14:textId="77777777" w:rsidR="003A41FC" w:rsidRDefault="003A41FC" w:rsidP="003A41FC">
            <w:pPr>
              <w:spacing w:after="0"/>
              <w:jc w:val="center"/>
              <w:rPr>
                <w:rFonts w:ascii="Calibri" w:hAnsi="Calibri" w:cs="Calibri"/>
                <w:color w:val="000000"/>
                <w:sz w:val="20"/>
                <w:szCs w:val="20"/>
              </w:rPr>
            </w:pPr>
            <w:r>
              <w:rPr>
                <w:rFonts w:ascii="Calibri" w:hAnsi="Calibri" w:cs="Calibri"/>
                <w:color w:val="000000"/>
                <w:sz w:val="20"/>
                <w:szCs w:val="20"/>
              </w:rPr>
              <w:t>980</w:t>
            </w:r>
          </w:p>
        </w:tc>
        <w:tc>
          <w:tcPr>
            <w:tcW w:w="1701" w:type="dxa"/>
            <w:tcBorders>
              <w:top w:val="nil"/>
              <w:left w:val="nil"/>
              <w:bottom w:val="single" w:sz="8" w:space="0" w:color="auto"/>
              <w:right w:val="single" w:sz="8" w:space="0" w:color="auto"/>
            </w:tcBorders>
            <w:shd w:val="clear" w:color="auto" w:fill="auto"/>
            <w:vAlign w:val="center"/>
          </w:tcPr>
          <w:p w14:paraId="6B6E8056" w14:textId="77777777" w:rsidR="003A41FC" w:rsidRDefault="003A41FC" w:rsidP="003A41FC">
            <w:pPr>
              <w:spacing w:after="0"/>
              <w:jc w:val="center"/>
              <w:rPr>
                <w:rFonts w:ascii="Calibri" w:hAnsi="Calibri" w:cs="Calibri"/>
                <w:color w:val="000000"/>
                <w:sz w:val="20"/>
                <w:szCs w:val="20"/>
              </w:rPr>
            </w:pPr>
            <w:r>
              <w:rPr>
                <w:rFonts w:ascii="Calibri" w:hAnsi="Calibri" w:cs="Calibri"/>
                <w:color w:val="000000"/>
                <w:sz w:val="20"/>
                <w:szCs w:val="20"/>
              </w:rPr>
              <w:t>1,380</w:t>
            </w:r>
          </w:p>
        </w:tc>
      </w:tr>
      <w:tr w:rsidR="003A41FC" w:rsidRPr="00F26420" w14:paraId="5A5EF3D8" w14:textId="77777777" w:rsidTr="002B22B9">
        <w:trPr>
          <w:trHeight w:val="283"/>
        </w:trPr>
        <w:tc>
          <w:tcPr>
            <w:tcW w:w="1304" w:type="dxa"/>
            <w:vMerge/>
            <w:tcBorders>
              <w:left w:val="single" w:sz="8" w:space="0" w:color="auto"/>
              <w:bottom w:val="single" w:sz="8" w:space="0" w:color="000000"/>
              <w:right w:val="single" w:sz="8" w:space="0" w:color="auto"/>
            </w:tcBorders>
            <w:vAlign w:val="center"/>
          </w:tcPr>
          <w:p w14:paraId="35F626B7" w14:textId="77777777" w:rsidR="003A41FC" w:rsidRPr="00F26420" w:rsidRDefault="003A41FC" w:rsidP="00F26420">
            <w:pPr>
              <w:spacing w:after="0"/>
              <w:rPr>
                <w:rFonts w:ascii="Calibri" w:eastAsia="Times New Roman" w:hAnsi="Calibri" w:cs="Calibri"/>
                <w:color w:val="000000"/>
                <w:sz w:val="20"/>
                <w:szCs w:val="20"/>
              </w:rPr>
            </w:pPr>
          </w:p>
        </w:tc>
        <w:tc>
          <w:tcPr>
            <w:tcW w:w="2098" w:type="dxa"/>
            <w:vMerge/>
            <w:tcBorders>
              <w:left w:val="single" w:sz="8" w:space="0" w:color="auto"/>
              <w:bottom w:val="single" w:sz="8" w:space="0" w:color="000000"/>
              <w:right w:val="single" w:sz="8" w:space="0" w:color="auto"/>
            </w:tcBorders>
            <w:vAlign w:val="center"/>
          </w:tcPr>
          <w:p w14:paraId="3F381359" w14:textId="77777777" w:rsidR="003A41FC" w:rsidRPr="00F26420" w:rsidRDefault="003A41FC"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tcPr>
          <w:p w14:paraId="654B0124" w14:textId="77777777" w:rsidR="003A41FC" w:rsidRPr="00F26420" w:rsidRDefault="003A41FC" w:rsidP="002B22B9">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8" w:space="0" w:color="auto"/>
              <w:right w:val="single" w:sz="8" w:space="0" w:color="auto"/>
            </w:tcBorders>
            <w:shd w:val="clear" w:color="auto" w:fill="auto"/>
            <w:vAlign w:val="center"/>
          </w:tcPr>
          <w:p w14:paraId="0977AAAF" w14:textId="2FCBFB92"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w:t>
            </w:r>
          </w:p>
        </w:tc>
        <w:tc>
          <w:tcPr>
            <w:tcW w:w="1701" w:type="dxa"/>
            <w:tcBorders>
              <w:top w:val="nil"/>
              <w:left w:val="nil"/>
              <w:bottom w:val="single" w:sz="8" w:space="0" w:color="auto"/>
              <w:right w:val="single" w:sz="8" w:space="0" w:color="auto"/>
            </w:tcBorders>
            <w:shd w:val="clear" w:color="auto" w:fill="auto"/>
            <w:vAlign w:val="center"/>
          </w:tcPr>
          <w:p w14:paraId="4EDB9E91" w14:textId="019D3CE6" w:rsidR="003A41FC"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C54B7B" w:rsidRPr="00F26420" w14:paraId="3701F164" w14:textId="77777777" w:rsidTr="002B22B9">
        <w:trPr>
          <w:trHeight w:val="283"/>
        </w:trPr>
        <w:tc>
          <w:tcPr>
            <w:tcW w:w="1304" w:type="dxa"/>
            <w:vMerge w:val="restart"/>
            <w:tcBorders>
              <w:top w:val="nil"/>
              <w:left w:val="single" w:sz="8" w:space="0" w:color="auto"/>
              <w:right w:val="single" w:sz="8" w:space="0" w:color="auto"/>
            </w:tcBorders>
            <w:shd w:val="clear" w:color="auto" w:fill="auto"/>
            <w:vAlign w:val="center"/>
            <w:hideMark/>
          </w:tcPr>
          <w:p w14:paraId="07BD9724"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Prescriptions</w:t>
            </w:r>
          </w:p>
        </w:tc>
        <w:tc>
          <w:tcPr>
            <w:tcW w:w="2098" w:type="dxa"/>
            <w:vMerge w:val="restart"/>
            <w:tcBorders>
              <w:top w:val="nil"/>
              <w:left w:val="single" w:sz="8" w:space="0" w:color="auto"/>
              <w:bottom w:val="nil"/>
              <w:right w:val="single" w:sz="8" w:space="0" w:color="auto"/>
            </w:tcBorders>
            <w:shd w:val="clear" w:color="auto" w:fill="auto"/>
            <w:vAlign w:val="center"/>
            <w:hideMark/>
          </w:tcPr>
          <w:p w14:paraId="0F5BE240"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indolent non-Hodgkin's lymphoma</w:t>
            </w:r>
          </w:p>
        </w:tc>
        <w:tc>
          <w:tcPr>
            <w:tcW w:w="2211" w:type="dxa"/>
            <w:tcBorders>
              <w:top w:val="nil"/>
              <w:left w:val="nil"/>
              <w:bottom w:val="single" w:sz="8" w:space="0" w:color="auto"/>
              <w:right w:val="single" w:sz="8" w:space="0" w:color="auto"/>
            </w:tcBorders>
            <w:shd w:val="clear" w:color="auto" w:fill="auto"/>
            <w:vAlign w:val="center"/>
            <w:hideMark/>
          </w:tcPr>
          <w:p w14:paraId="53035E22"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nil"/>
              <w:left w:val="nil"/>
              <w:bottom w:val="single" w:sz="8" w:space="0" w:color="auto"/>
              <w:right w:val="single" w:sz="8" w:space="0" w:color="auto"/>
            </w:tcBorders>
            <w:shd w:val="clear" w:color="auto" w:fill="auto"/>
            <w:vAlign w:val="center"/>
            <w:hideMark/>
          </w:tcPr>
          <w:p w14:paraId="433F109F" w14:textId="72FD0DFE" w:rsidR="00C54B7B" w:rsidRPr="00A5434D" w:rsidRDefault="00A5434D" w:rsidP="003A41FC">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xxxxx</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656D8E88" w14:textId="5E62A9EE" w:rsidR="00C54B7B" w:rsidRPr="00A5434D" w:rsidRDefault="00A5434D" w:rsidP="003A41FC">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xxxxxx</w:t>
            </w:r>
            <w:proofErr w:type="spellEnd"/>
          </w:p>
        </w:tc>
      </w:tr>
      <w:tr w:rsidR="00C54B7B" w:rsidRPr="00F26420" w14:paraId="33F721F5" w14:textId="77777777" w:rsidTr="002B22B9">
        <w:trPr>
          <w:trHeight w:val="283"/>
        </w:trPr>
        <w:tc>
          <w:tcPr>
            <w:tcW w:w="1304" w:type="dxa"/>
            <w:vMerge/>
            <w:tcBorders>
              <w:left w:val="single" w:sz="8" w:space="0" w:color="auto"/>
              <w:right w:val="single" w:sz="8" w:space="0" w:color="auto"/>
            </w:tcBorders>
            <w:vAlign w:val="center"/>
            <w:hideMark/>
          </w:tcPr>
          <w:p w14:paraId="60965813" w14:textId="77777777" w:rsidR="00C54B7B" w:rsidRPr="00F26420" w:rsidRDefault="00C54B7B" w:rsidP="00F26420">
            <w:pPr>
              <w:spacing w:after="0"/>
              <w:rPr>
                <w:rFonts w:ascii="Calibri" w:eastAsia="Times New Roman" w:hAnsi="Calibri" w:cs="Calibri"/>
                <w:color w:val="000000"/>
                <w:sz w:val="20"/>
                <w:szCs w:val="20"/>
              </w:rPr>
            </w:pPr>
          </w:p>
        </w:tc>
        <w:tc>
          <w:tcPr>
            <w:tcW w:w="2098" w:type="dxa"/>
            <w:vMerge/>
            <w:tcBorders>
              <w:top w:val="nil"/>
              <w:left w:val="single" w:sz="8" w:space="0" w:color="auto"/>
              <w:bottom w:val="nil"/>
              <w:right w:val="single" w:sz="8" w:space="0" w:color="auto"/>
            </w:tcBorders>
            <w:vAlign w:val="center"/>
            <w:hideMark/>
          </w:tcPr>
          <w:p w14:paraId="02BDCD70" w14:textId="77777777" w:rsidR="00C54B7B" w:rsidRPr="00F26420" w:rsidRDefault="00C54B7B"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467EF0D1"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14:paraId="0EE96570" w14:textId="77777777" w:rsidR="00C54B7B" w:rsidRDefault="00C54B7B" w:rsidP="003A41FC">
            <w:pPr>
              <w:spacing w:after="0"/>
              <w:jc w:val="center"/>
              <w:rPr>
                <w:rFonts w:ascii="Calibri" w:hAnsi="Calibri" w:cs="Calibri"/>
                <w:color w:val="000000"/>
                <w:sz w:val="20"/>
                <w:szCs w:val="20"/>
              </w:rPr>
            </w:pPr>
            <w:r>
              <w:rPr>
                <w:rFonts w:ascii="Calibri" w:hAnsi="Calibri" w:cs="Calibri"/>
                <w:color w:val="000000"/>
                <w:sz w:val="20"/>
                <w:szCs w:val="20"/>
              </w:rPr>
              <w:t>6,858</w:t>
            </w:r>
          </w:p>
        </w:tc>
        <w:tc>
          <w:tcPr>
            <w:tcW w:w="1701" w:type="dxa"/>
            <w:tcBorders>
              <w:top w:val="nil"/>
              <w:left w:val="nil"/>
              <w:bottom w:val="single" w:sz="8" w:space="0" w:color="auto"/>
              <w:right w:val="single" w:sz="8" w:space="0" w:color="auto"/>
            </w:tcBorders>
            <w:shd w:val="clear" w:color="auto" w:fill="auto"/>
            <w:vAlign w:val="center"/>
            <w:hideMark/>
          </w:tcPr>
          <w:p w14:paraId="2AE52632" w14:textId="77777777" w:rsidR="00C54B7B" w:rsidRDefault="00C54B7B" w:rsidP="003A41FC">
            <w:pPr>
              <w:spacing w:after="0"/>
              <w:jc w:val="center"/>
              <w:rPr>
                <w:rFonts w:ascii="Calibri" w:hAnsi="Calibri" w:cs="Calibri"/>
                <w:color w:val="000000"/>
                <w:sz w:val="20"/>
                <w:szCs w:val="20"/>
              </w:rPr>
            </w:pPr>
            <w:r>
              <w:rPr>
                <w:rFonts w:ascii="Calibri" w:hAnsi="Calibri" w:cs="Calibri"/>
                <w:color w:val="000000"/>
                <w:sz w:val="20"/>
                <w:szCs w:val="20"/>
              </w:rPr>
              <w:t>9,407</w:t>
            </w:r>
          </w:p>
        </w:tc>
      </w:tr>
      <w:tr w:rsidR="00C54B7B" w:rsidRPr="00F26420" w14:paraId="21FB0601" w14:textId="77777777" w:rsidTr="002B22B9">
        <w:trPr>
          <w:trHeight w:val="283"/>
        </w:trPr>
        <w:tc>
          <w:tcPr>
            <w:tcW w:w="1304" w:type="dxa"/>
            <w:vMerge/>
            <w:tcBorders>
              <w:left w:val="single" w:sz="8" w:space="0" w:color="auto"/>
              <w:right w:val="single" w:sz="8" w:space="0" w:color="auto"/>
            </w:tcBorders>
            <w:vAlign w:val="center"/>
            <w:hideMark/>
          </w:tcPr>
          <w:p w14:paraId="2ADE8D05" w14:textId="77777777" w:rsidR="00C54B7B" w:rsidRPr="00F26420" w:rsidRDefault="00C54B7B" w:rsidP="00F26420">
            <w:pPr>
              <w:spacing w:after="0"/>
              <w:rPr>
                <w:rFonts w:ascii="Calibri" w:eastAsia="Times New Roman" w:hAnsi="Calibri" w:cs="Calibri"/>
                <w:color w:val="000000"/>
                <w:sz w:val="20"/>
                <w:szCs w:val="20"/>
              </w:rPr>
            </w:pPr>
          </w:p>
        </w:tc>
        <w:tc>
          <w:tcPr>
            <w:tcW w:w="2098" w:type="dxa"/>
            <w:vMerge/>
            <w:tcBorders>
              <w:top w:val="nil"/>
              <w:left w:val="single" w:sz="8" w:space="0" w:color="auto"/>
              <w:bottom w:val="nil"/>
              <w:right w:val="single" w:sz="8" w:space="0" w:color="auto"/>
            </w:tcBorders>
            <w:vAlign w:val="center"/>
            <w:hideMark/>
          </w:tcPr>
          <w:p w14:paraId="36D4CA90" w14:textId="77777777" w:rsidR="00C54B7B" w:rsidRPr="00F26420" w:rsidRDefault="00C54B7B"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1C6BD6AC"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8" w:space="0" w:color="auto"/>
              <w:right w:val="single" w:sz="8" w:space="0" w:color="auto"/>
            </w:tcBorders>
            <w:shd w:val="clear" w:color="auto" w:fill="auto"/>
            <w:vAlign w:val="center"/>
            <w:hideMark/>
          </w:tcPr>
          <w:p w14:paraId="70174E96" w14:textId="04DECF53" w:rsidR="00C54B7B" w:rsidRPr="00A5434D" w:rsidRDefault="00A5434D" w:rsidP="003A41FC">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492EC2FB" w14:textId="723924C7" w:rsidR="00C54B7B"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C54B7B" w:rsidRPr="00F26420" w14:paraId="7FF99D13" w14:textId="77777777" w:rsidTr="002B22B9">
        <w:trPr>
          <w:trHeight w:val="283"/>
        </w:trPr>
        <w:tc>
          <w:tcPr>
            <w:tcW w:w="1304" w:type="dxa"/>
            <w:vMerge/>
            <w:tcBorders>
              <w:left w:val="single" w:sz="8" w:space="0" w:color="auto"/>
              <w:right w:val="single" w:sz="8" w:space="0" w:color="auto"/>
            </w:tcBorders>
            <w:vAlign w:val="center"/>
            <w:hideMark/>
          </w:tcPr>
          <w:p w14:paraId="362220A4" w14:textId="77777777" w:rsidR="00C54B7B" w:rsidRPr="00F26420" w:rsidRDefault="00C54B7B" w:rsidP="00F26420">
            <w:pPr>
              <w:spacing w:after="0"/>
              <w:rPr>
                <w:rFonts w:ascii="Calibri" w:eastAsia="Times New Roman" w:hAnsi="Calibri" w:cs="Calibri"/>
                <w:color w:val="000000"/>
                <w:sz w:val="20"/>
                <w:szCs w:val="20"/>
              </w:rPr>
            </w:pPr>
          </w:p>
        </w:tc>
        <w:tc>
          <w:tcPr>
            <w:tcW w:w="20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4B09F8"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mantle cell lymphoma</w:t>
            </w:r>
          </w:p>
        </w:tc>
        <w:tc>
          <w:tcPr>
            <w:tcW w:w="2211" w:type="dxa"/>
            <w:tcBorders>
              <w:top w:val="nil"/>
              <w:left w:val="nil"/>
              <w:bottom w:val="single" w:sz="8" w:space="0" w:color="auto"/>
              <w:right w:val="single" w:sz="8" w:space="0" w:color="auto"/>
            </w:tcBorders>
            <w:shd w:val="clear" w:color="auto" w:fill="auto"/>
            <w:vAlign w:val="center"/>
            <w:hideMark/>
          </w:tcPr>
          <w:p w14:paraId="17CA597F"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nil"/>
              <w:left w:val="nil"/>
              <w:bottom w:val="single" w:sz="8" w:space="0" w:color="auto"/>
              <w:right w:val="single" w:sz="8" w:space="0" w:color="auto"/>
            </w:tcBorders>
            <w:shd w:val="clear" w:color="auto" w:fill="auto"/>
            <w:vAlign w:val="center"/>
            <w:hideMark/>
          </w:tcPr>
          <w:p w14:paraId="48D80DEA" w14:textId="57F71C20" w:rsidR="00C54B7B"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c>
          <w:tcPr>
            <w:tcW w:w="1701" w:type="dxa"/>
            <w:tcBorders>
              <w:top w:val="nil"/>
              <w:left w:val="nil"/>
              <w:bottom w:val="single" w:sz="8" w:space="0" w:color="auto"/>
              <w:right w:val="single" w:sz="8" w:space="0" w:color="auto"/>
            </w:tcBorders>
            <w:shd w:val="clear" w:color="auto" w:fill="auto"/>
            <w:vAlign w:val="center"/>
            <w:hideMark/>
          </w:tcPr>
          <w:p w14:paraId="239AAD5D" w14:textId="354A78A2" w:rsidR="00C54B7B"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C54B7B" w:rsidRPr="00F26420" w14:paraId="68793E4F" w14:textId="77777777" w:rsidTr="002B22B9">
        <w:trPr>
          <w:trHeight w:val="283"/>
        </w:trPr>
        <w:tc>
          <w:tcPr>
            <w:tcW w:w="1304" w:type="dxa"/>
            <w:vMerge/>
            <w:tcBorders>
              <w:left w:val="single" w:sz="8" w:space="0" w:color="auto"/>
              <w:right w:val="single" w:sz="8" w:space="0" w:color="auto"/>
            </w:tcBorders>
            <w:vAlign w:val="center"/>
            <w:hideMark/>
          </w:tcPr>
          <w:p w14:paraId="260BEF5E" w14:textId="77777777" w:rsidR="00C54B7B" w:rsidRPr="00F26420" w:rsidRDefault="00C54B7B" w:rsidP="00F26420">
            <w:pPr>
              <w:spacing w:after="0"/>
              <w:rPr>
                <w:rFonts w:ascii="Calibri" w:eastAsia="Times New Roman" w:hAnsi="Calibri" w:cs="Calibri"/>
                <w:color w:val="000000"/>
                <w:sz w:val="20"/>
                <w:szCs w:val="20"/>
              </w:rPr>
            </w:pPr>
          </w:p>
        </w:tc>
        <w:tc>
          <w:tcPr>
            <w:tcW w:w="2098" w:type="dxa"/>
            <w:vMerge/>
            <w:tcBorders>
              <w:top w:val="single" w:sz="8" w:space="0" w:color="auto"/>
              <w:left w:val="single" w:sz="8" w:space="0" w:color="auto"/>
              <w:bottom w:val="single" w:sz="8" w:space="0" w:color="000000"/>
              <w:right w:val="single" w:sz="8" w:space="0" w:color="auto"/>
            </w:tcBorders>
            <w:vAlign w:val="center"/>
            <w:hideMark/>
          </w:tcPr>
          <w:p w14:paraId="32EAC097" w14:textId="77777777" w:rsidR="00C54B7B" w:rsidRPr="00F26420" w:rsidRDefault="00C54B7B"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72EB39B8"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14:paraId="45123204" w14:textId="77777777" w:rsidR="00C54B7B" w:rsidRDefault="00C54B7B" w:rsidP="003A41FC">
            <w:pPr>
              <w:spacing w:after="0"/>
              <w:jc w:val="center"/>
              <w:rPr>
                <w:rFonts w:ascii="Calibri" w:hAnsi="Calibri" w:cs="Calibri"/>
                <w:color w:val="000000"/>
                <w:sz w:val="20"/>
                <w:szCs w:val="20"/>
              </w:rPr>
            </w:pPr>
            <w:r>
              <w:rPr>
                <w:rFonts w:ascii="Calibri" w:hAnsi="Calibri" w:cs="Calibri"/>
                <w:color w:val="000000"/>
                <w:sz w:val="20"/>
                <w:szCs w:val="20"/>
              </w:rPr>
              <w:t>1,363</w:t>
            </w:r>
          </w:p>
        </w:tc>
        <w:tc>
          <w:tcPr>
            <w:tcW w:w="1701" w:type="dxa"/>
            <w:tcBorders>
              <w:top w:val="nil"/>
              <w:left w:val="nil"/>
              <w:bottom w:val="single" w:sz="8" w:space="0" w:color="auto"/>
              <w:right w:val="single" w:sz="8" w:space="0" w:color="auto"/>
            </w:tcBorders>
            <w:shd w:val="clear" w:color="auto" w:fill="auto"/>
            <w:vAlign w:val="center"/>
            <w:hideMark/>
          </w:tcPr>
          <w:p w14:paraId="6615AC20" w14:textId="77777777" w:rsidR="00C54B7B" w:rsidRDefault="00C54B7B" w:rsidP="003A41FC">
            <w:pPr>
              <w:spacing w:after="0"/>
              <w:jc w:val="center"/>
              <w:rPr>
                <w:rFonts w:ascii="Calibri" w:hAnsi="Calibri" w:cs="Calibri"/>
                <w:color w:val="000000"/>
                <w:sz w:val="20"/>
                <w:szCs w:val="20"/>
              </w:rPr>
            </w:pPr>
            <w:r>
              <w:rPr>
                <w:rFonts w:ascii="Calibri" w:hAnsi="Calibri" w:cs="Calibri"/>
                <w:color w:val="000000"/>
                <w:sz w:val="20"/>
                <w:szCs w:val="20"/>
              </w:rPr>
              <w:t>1,431</w:t>
            </w:r>
          </w:p>
        </w:tc>
      </w:tr>
      <w:tr w:rsidR="00C54B7B" w:rsidRPr="00F26420" w14:paraId="0A26623A" w14:textId="77777777" w:rsidTr="00C54B7B">
        <w:trPr>
          <w:trHeight w:val="283"/>
        </w:trPr>
        <w:tc>
          <w:tcPr>
            <w:tcW w:w="1304" w:type="dxa"/>
            <w:vMerge/>
            <w:tcBorders>
              <w:left w:val="single" w:sz="8" w:space="0" w:color="auto"/>
              <w:right w:val="single" w:sz="8" w:space="0" w:color="auto"/>
            </w:tcBorders>
            <w:vAlign w:val="center"/>
            <w:hideMark/>
          </w:tcPr>
          <w:p w14:paraId="0E58521D" w14:textId="77777777" w:rsidR="00C54B7B" w:rsidRPr="00F26420" w:rsidRDefault="00C54B7B" w:rsidP="00F26420">
            <w:pPr>
              <w:spacing w:after="0"/>
              <w:rPr>
                <w:rFonts w:ascii="Calibri" w:eastAsia="Times New Roman" w:hAnsi="Calibri" w:cs="Calibri"/>
                <w:color w:val="000000"/>
                <w:sz w:val="20"/>
                <w:szCs w:val="20"/>
              </w:rPr>
            </w:pPr>
          </w:p>
        </w:tc>
        <w:tc>
          <w:tcPr>
            <w:tcW w:w="2098" w:type="dxa"/>
            <w:vMerge/>
            <w:tcBorders>
              <w:top w:val="single" w:sz="8" w:space="0" w:color="auto"/>
              <w:left w:val="single" w:sz="8" w:space="0" w:color="auto"/>
              <w:bottom w:val="single" w:sz="4" w:space="0" w:color="auto"/>
              <w:right w:val="single" w:sz="8" w:space="0" w:color="auto"/>
            </w:tcBorders>
            <w:vAlign w:val="center"/>
            <w:hideMark/>
          </w:tcPr>
          <w:p w14:paraId="6D52EE36" w14:textId="77777777" w:rsidR="00C54B7B" w:rsidRPr="00F26420" w:rsidRDefault="00C54B7B"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218978FE" w14:textId="77777777" w:rsidR="00C54B7B" w:rsidRPr="00F26420" w:rsidRDefault="00C54B7B"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8" w:space="0" w:color="auto"/>
              <w:right w:val="single" w:sz="8" w:space="0" w:color="auto"/>
            </w:tcBorders>
            <w:shd w:val="clear" w:color="auto" w:fill="auto"/>
            <w:vAlign w:val="center"/>
            <w:hideMark/>
          </w:tcPr>
          <w:p w14:paraId="31F366FD" w14:textId="166ACBAB" w:rsidR="00C54B7B"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c>
          <w:tcPr>
            <w:tcW w:w="1701" w:type="dxa"/>
            <w:tcBorders>
              <w:top w:val="nil"/>
              <w:left w:val="nil"/>
              <w:bottom w:val="single" w:sz="8" w:space="0" w:color="auto"/>
              <w:right w:val="single" w:sz="8" w:space="0" w:color="auto"/>
            </w:tcBorders>
            <w:shd w:val="clear" w:color="auto" w:fill="auto"/>
            <w:vAlign w:val="center"/>
            <w:hideMark/>
          </w:tcPr>
          <w:p w14:paraId="61C2D305" w14:textId="0FE0A055" w:rsidR="00C54B7B" w:rsidRPr="00A5434D" w:rsidRDefault="00A5434D" w:rsidP="003A41FC">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7C534F" w:rsidRPr="00F26420" w14:paraId="1CFC6E0E" w14:textId="77777777" w:rsidTr="00C54B7B">
        <w:trPr>
          <w:trHeight w:val="283"/>
        </w:trPr>
        <w:tc>
          <w:tcPr>
            <w:tcW w:w="1304" w:type="dxa"/>
            <w:vMerge/>
            <w:tcBorders>
              <w:left w:val="single" w:sz="8" w:space="0" w:color="auto"/>
              <w:right w:val="single" w:sz="4" w:space="0" w:color="auto"/>
            </w:tcBorders>
            <w:shd w:val="clear" w:color="auto" w:fill="auto"/>
            <w:vAlign w:val="center"/>
          </w:tcPr>
          <w:p w14:paraId="7D9304C3"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2AA7CD" w14:textId="77777777" w:rsidR="007C534F" w:rsidRPr="00F26420" w:rsidRDefault="007C534F" w:rsidP="00F26420">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Total*</w:t>
            </w:r>
          </w:p>
        </w:tc>
        <w:tc>
          <w:tcPr>
            <w:tcW w:w="2211" w:type="dxa"/>
            <w:tcBorders>
              <w:top w:val="nil"/>
              <w:left w:val="single" w:sz="4" w:space="0" w:color="auto"/>
              <w:bottom w:val="single" w:sz="8" w:space="0" w:color="auto"/>
              <w:right w:val="single" w:sz="8" w:space="0" w:color="auto"/>
            </w:tcBorders>
            <w:shd w:val="clear" w:color="auto" w:fill="auto"/>
            <w:vAlign w:val="center"/>
          </w:tcPr>
          <w:p w14:paraId="5B7419CB"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nil"/>
              <w:left w:val="nil"/>
              <w:bottom w:val="single" w:sz="8" w:space="0" w:color="auto"/>
              <w:right w:val="single" w:sz="8" w:space="0" w:color="auto"/>
            </w:tcBorders>
            <w:shd w:val="clear" w:color="auto" w:fill="auto"/>
            <w:vAlign w:val="center"/>
          </w:tcPr>
          <w:p w14:paraId="100E750A" w14:textId="39AB73B6"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xxxxxx</w:t>
            </w:r>
            <w:proofErr w:type="spellEnd"/>
          </w:p>
        </w:tc>
        <w:tc>
          <w:tcPr>
            <w:tcW w:w="1701" w:type="dxa"/>
            <w:tcBorders>
              <w:top w:val="nil"/>
              <w:left w:val="nil"/>
              <w:bottom w:val="single" w:sz="8" w:space="0" w:color="auto"/>
              <w:right w:val="single" w:sz="8" w:space="0" w:color="auto"/>
            </w:tcBorders>
            <w:shd w:val="clear" w:color="auto" w:fill="auto"/>
            <w:vAlign w:val="center"/>
          </w:tcPr>
          <w:p w14:paraId="15ACB084" w14:textId="174D4662"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xxxxxx</w:t>
            </w:r>
            <w:proofErr w:type="spellEnd"/>
          </w:p>
        </w:tc>
      </w:tr>
      <w:tr w:rsidR="007C534F" w:rsidRPr="00F26420" w14:paraId="63BF2B64" w14:textId="77777777" w:rsidTr="00C54B7B">
        <w:trPr>
          <w:trHeight w:val="283"/>
        </w:trPr>
        <w:tc>
          <w:tcPr>
            <w:tcW w:w="1304" w:type="dxa"/>
            <w:vMerge/>
            <w:tcBorders>
              <w:left w:val="single" w:sz="8" w:space="0" w:color="auto"/>
              <w:right w:val="single" w:sz="4" w:space="0" w:color="auto"/>
            </w:tcBorders>
            <w:shd w:val="clear" w:color="auto" w:fill="auto"/>
            <w:vAlign w:val="center"/>
          </w:tcPr>
          <w:p w14:paraId="1B16C81C"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left w:val="single" w:sz="4" w:space="0" w:color="auto"/>
              <w:bottom w:val="single" w:sz="4" w:space="0" w:color="auto"/>
              <w:right w:val="single" w:sz="4" w:space="0" w:color="auto"/>
            </w:tcBorders>
            <w:shd w:val="clear" w:color="auto" w:fill="auto"/>
            <w:vAlign w:val="center"/>
          </w:tcPr>
          <w:p w14:paraId="5407966A" w14:textId="77777777" w:rsidR="007C534F" w:rsidRPr="00F26420" w:rsidRDefault="007C534F" w:rsidP="00F26420">
            <w:pPr>
              <w:spacing w:after="0"/>
              <w:rPr>
                <w:rFonts w:ascii="Calibri" w:eastAsia="Times New Roman" w:hAnsi="Calibri" w:cs="Calibri"/>
                <w:color w:val="000000"/>
                <w:sz w:val="20"/>
                <w:szCs w:val="20"/>
              </w:rPr>
            </w:pPr>
          </w:p>
        </w:tc>
        <w:tc>
          <w:tcPr>
            <w:tcW w:w="2211" w:type="dxa"/>
            <w:tcBorders>
              <w:top w:val="nil"/>
              <w:left w:val="single" w:sz="4" w:space="0" w:color="auto"/>
              <w:bottom w:val="single" w:sz="8" w:space="0" w:color="auto"/>
              <w:right w:val="single" w:sz="8" w:space="0" w:color="auto"/>
            </w:tcBorders>
            <w:shd w:val="clear" w:color="auto" w:fill="auto"/>
            <w:vAlign w:val="center"/>
          </w:tcPr>
          <w:p w14:paraId="42223BD8"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tcPr>
          <w:p w14:paraId="365EB76B"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8,249</w:t>
            </w:r>
          </w:p>
        </w:tc>
        <w:tc>
          <w:tcPr>
            <w:tcW w:w="1701" w:type="dxa"/>
            <w:tcBorders>
              <w:top w:val="nil"/>
              <w:left w:val="nil"/>
              <w:bottom w:val="single" w:sz="8" w:space="0" w:color="auto"/>
              <w:right w:val="single" w:sz="8" w:space="0" w:color="auto"/>
            </w:tcBorders>
            <w:shd w:val="clear" w:color="auto" w:fill="auto"/>
            <w:vAlign w:val="center"/>
          </w:tcPr>
          <w:p w14:paraId="6AAF5790"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10,932</w:t>
            </w:r>
          </w:p>
        </w:tc>
      </w:tr>
      <w:tr w:rsidR="007C534F" w:rsidRPr="00F26420" w14:paraId="2E38A3A4" w14:textId="77777777" w:rsidTr="00C54B7B">
        <w:trPr>
          <w:trHeight w:val="283"/>
        </w:trPr>
        <w:tc>
          <w:tcPr>
            <w:tcW w:w="1304" w:type="dxa"/>
            <w:vMerge/>
            <w:tcBorders>
              <w:left w:val="single" w:sz="8" w:space="0" w:color="auto"/>
              <w:bottom w:val="single" w:sz="8" w:space="0" w:color="000000"/>
              <w:right w:val="single" w:sz="4" w:space="0" w:color="auto"/>
            </w:tcBorders>
            <w:shd w:val="clear" w:color="auto" w:fill="auto"/>
            <w:vAlign w:val="center"/>
          </w:tcPr>
          <w:p w14:paraId="37F093BD"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left w:val="single" w:sz="4" w:space="0" w:color="auto"/>
              <w:bottom w:val="single" w:sz="4" w:space="0" w:color="auto"/>
              <w:right w:val="single" w:sz="4" w:space="0" w:color="auto"/>
            </w:tcBorders>
            <w:shd w:val="clear" w:color="auto" w:fill="auto"/>
            <w:vAlign w:val="center"/>
          </w:tcPr>
          <w:p w14:paraId="23608F88" w14:textId="77777777" w:rsidR="007C534F" w:rsidRPr="00F26420" w:rsidRDefault="007C534F" w:rsidP="00F26420">
            <w:pPr>
              <w:spacing w:after="0"/>
              <w:rPr>
                <w:rFonts w:ascii="Calibri" w:eastAsia="Times New Roman" w:hAnsi="Calibri" w:cs="Calibri"/>
                <w:color w:val="000000"/>
                <w:sz w:val="20"/>
                <w:szCs w:val="20"/>
              </w:rPr>
            </w:pPr>
          </w:p>
        </w:tc>
        <w:tc>
          <w:tcPr>
            <w:tcW w:w="2211" w:type="dxa"/>
            <w:tcBorders>
              <w:top w:val="nil"/>
              <w:left w:val="single" w:sz="4" w:space="0" w:color="auto"/>
              <w:bottom w:val="single" w:sz="8" w:space="0" w:color="auto"/>
              <w:right w:val="single" w:sz="8" w:space="0" w:color="auto"/>
            </w:tcBorders>
            <w:shd w:val="clear" w:color="auto" w:fill="auto"/>
            <w:vAlign w:val="center"/>
          </w:tcPr>
          <w:p w14:paraId="4A6F0E07"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8" w:space="0" w:color="auto"/>
              <w:right w:val="single" w:sz="8" w:space="0" w:color="auto"/>
            </w:tcBorders>
            <w:shd w:val="clear" w:color="auto" w:fill="auto"/>
            <w:vAlign w:val="center"/>
          </w:tcPr>
          <w:p w14:paraId="2179F02C" w14:textId="0CA50668"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nil"/>
              <w:left w:val="nil"/>
              <w:bottom w:val="single" w:sz="8" w:space="0" w:color="auto"/>
              <w:right w:val="single" w:sz="8" w:space="0" w:color="auto"/>
            </w:tcBorders>
            <w:shd w:val="clear" w:color="auto" w:fill="auto"/>
            <w:vAlign w:val="center"/>
          </w:tcPr>
          <w:p w14:paraId="5DFF825A" w14:textId="67326E1E" w:rsidR="007C534F" w:rsidRPr="00A5434D" w:rsidRDefault="00A5434D" w:rsidP="007C534F">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xxx</w:t>
            </w:r>
          </w:p>
        </w:tc>
      </w:tr>
      <w:tr w:rsidR="007C534F" w:rsidRPr="00F26420" w14:paraId="01A0DD04" w14:textId="77777777" w:rsidTr="00A54F04">
        <w:trPr>
          <w:trHeight w:val="283"/>
        </w:trPr>
        <w:tc>
          <w:tcPr>
            <w:tcW w:w="1304" w:type="dxa"/>
            <w:vMerge w:val="restart"/>
            <w:tcBorders>
              <w:top w:val="nil"/>
              <w:left w:val="single" w:sz="8" w:space="0" w:color="auto"/>
              <w:right w:val="single" w:sz="8" w:space="0" w:color="auto"/>
            </w:tcBorders>
            <w:shd w:val="clear" w:color="auto" w:fill="auto"/>
            <w:vAlign w:val="center"/>
            <w:hideMark/>
          </w:tcPr>
          <w:p w14:paraId="4DEAA876" w14:textId="77777777" w:rsidR="007C534F" w:rsidRPr="00F26420" w:rsidRDefault="007C534F"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Prescriptions per patient</w:t>
            </w:r>
          </w:p>
        </w:tc>
        <w:tc>
          <w:tcPr>
            <w:tcW w:w="2098" w:type="dxa"/>
            <w:vMerge w:val="restart"/>
            <w:tcBorders>
              <w:top w:val="single" w:sz="4" w:space="0" w:color="auto"/>
              <w:left w:val="single" w:sz="8" w:space="0" w:color="auto"/>
              <w:bottom w:val="nil"/>
              <w:right w:val="single" w:sz="8" w:space="0" w:color="auto"/>
            </w:tcBorders>
            <w:shd w:val="clear" w:color="auto" w:fill="auto"/>
            <w:vAlign w:val="center"/>
            <w:hideMark/>
          </w:tcPr>
          <w:p w14:paraId="3E4DA78F" w14:textId="77777777" w:rsidR="007C534F" w:rsidRPr="00F26420" w:rsidRDefault="007C534F"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indolent non-Hodgkin's lymphoma</w:t>
            </w:r>
          </w:p>
        </w:tc>
        <w:tc>
          <w:tcPr>
            <w:tcW w:w="2211" w:type="dxa"/>
            <w:tcBorders>
              <w:top w:val="nil"/>
              <w:left w:val="nil"/>
              <w:bottom w:val="single" w:sz="8" w:space="0" w:color="auto"/>
              <w:right w:val="single" w:sz="8" w:space="0" w:color="auto"/>
            </w:tcBorders>
            <w:shd w:val="clear" w:color="auto" w:fill="auto"/>
            <w:vAlign w:val="center"/>
            <w:hideMark/>
          </w:tcPr>
          <w:p w14:paraId="4421F9FB"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nil"/>
              <w:left w:val="nil"/>
              <w:bottom w:val="single" w:sz="8" w:space="0" w:color="auto"/>
              <w:right w:val="single" w:sz="8" w:space="0" w:color="auto"/>
            </w:tcBorders>
            <w:shd w:val="clear" w:color="auto" w:fill="auto"/>
            <w:vAlign w:val="center"/>
            <w:hideMark/>
          </w:tcPr>
          <w:p w14:paraId="667FF4A3" w14:textId="45A8310D"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55D904FA" w14:textId="1068CF78"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r>
      <w:tr w:rsidR="007C534F" w:rsidRPr="00F26420" w14:paraId="7ED9CB04" w14:textId="77777777" w:rsidTr="00A54F04">
        <w:trPr>
          <w:trHeight w:val="283"/>
        </w:trPr>
        <w:tc>
          <w:tcPr>
            <w:tcW w:w="1304" w:type="dxa"/>
            <w:vMerge/>
            <w:tcBorders>
              <w:left w:val="single" w:sz="8" w:space="0" w:color="auto"/>
              <w:right w:val="single" w:sz="8" w:space="0" w:color="auto"/>
            </w:tcBorders>
            <w:vAlign w:val="center"/>
            <w:hideMark/>
          </w:tcPr>
          <w:p w14:paraId="134B8F0A"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top w:val="nil"/>
              <w:left w:val="single" w:sz="8" w:space="0" w:color="auto"/>
              <w:bottom w:val="nil"/>
              <w:right w:val="single" w:sz="8" w:space="0" w:color="auto"/>
            </w:tcBorders>
            <w:vAlign w:val="center"/>
            <w:hideMark/>
          </w:tcPr>
          <w:p w14:paraId="54BB2908" w14:textId="77777777" w:rsidR="007C534F" w:rsidRPr="00F26420" w:rsidRDefault="007C534F" w:rsidP="00F26420">
            <w:pPr>
              <w:spacing w:after="0"/>
              <w:rPr>
                <w:rFonts w:ascii="Calibri" w:eastAsia="Times New Roman" w:hAnsi="Calibri" w:cs="Calibri"/>
                <w:color w:val="000000"/>
                <w:sz w:val="20"/>
                <w:szCs w:val="20"/>
              </w:rPr>
            </w:pPr>
          </w:p>
        </w:tc>
        <w:tc>
          <w:tcPr>
            <w:tcW w:w="2211" w:type="dxa"/>
            <w:tcBorders>
              <w:top w:val="nil"/>
              <w:left w:val="nil"/>
              <w:bottom w:val="single" w:sz="8" w:space="0" w:color="auto"/>
              <w:right w:val="single" w:sz="8" w:space="0" w:color="auto"/>
            </w:tcBorders>
            <w:shd w:val="clear" w:color="auto" w:fill="auto"/>
            <w:vAlign w:val="center"/>
            <w:hideMark/>
          </w:tcPr>
          <w:p w14:paraId="2B21F84E"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nil"/>
              <w:left w:val="nil"/>
              <w:bottom w:val="single" w:sz="8" w:space="0" w:color="auto"/>
              <w:right w:val="single" w:sz="8" w:space="0" w:color="auto"/>
            </w:tcBorders>
            <w:shd w:val="clear" w:color="auto" w:fill="auto"/>
            <w:vAlign w:val="center"/>
            <w:hideMark/>
          </w:tcPr>
          <w:p w14:paraId="513F82C7"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8.4</w:t>
            </w:r>
          </w:p>
        </w:tc>
        <w:tc>
          <w:tcPr>
            <w:tcW w:w="1701" w:type="dxa"/>
            <w:tcBorders>
              <w:top w:val="nil"/>
              <w:left w:val="nil"/>
              <w:bottom w:val="single" w:sz="8" w:space="0" w:color="auto"/>
              <w:right w:val="single" w:sz="8" w:space="0" w:color="auto"/>
            </w:tcBorders>
            <w:shd w:val="clear" w:color="auto" w:fill="auto"/>
            <w:vAlign w:val="center"/>
            <w:hideMark/>
          </w:tcPr>
          <w:p w14:paraId="0C890036"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8.0</w:t>
            </w:r>
          </w:p>
        </w:tc>
      </w:tr>
      <w:tr w:rsidR="007C534F" w:rsidRPr="00F26420" w14:paraId="332254AD" w14:textId="77777777" w:rsidTr="00A54F04">
        <w:trPr>
          <w:trHeight w:val="283"/>
        </w:trPr>
        <w:tc>
          <w:tcPr>
            <w:tcW w:w="1304" w:type="dxa"/>
            <w:vMerge/>
            <w:tcBorders>
              <w:left w:val="single" w:sz="8" w:space="0" w:color="auto"/>
              <w:right w:val="single" w:sz="8" w:space="0" w:color="auto"/>
            </w:tcBorders>
            <w:vAlign w:val="center"/>
            <w:hideMark/>
          </w:tcPr>
          <w:p w14:paraId="044E4986"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top w:val="nil"/>
              <w:left w:val="single" w:sz="8" w:space="0" w:color="auto"/>
              <w:bottom w:val="nil"/>
              <w:right w:val="single" w:sz="8" w:space="0" w:color="auto"/>
            </w:tcBorders>
            <w:vAlign w:val="center"/>
            <w:hideMark/>
          </w:tcPr>
          <w:p w14:paraId="4A6750E7" w14:textId="77777777" w:rsidR="007C534F" w:rsidRPr="00F26420" w:rsidRDefault="007C534F" w:rsidP="00F26420">
            <w:pPr>
              <w:spacing w:after="0"/>
              <w:rPr>
                <w:rFonts w:ascii="Calibri" w:eastAsia="Times New Roman" w:hAnsi="Calibri" w:cs="Calibri"/>
                <w:color w:val="000000"/>
                <w:sz w:val="20"/>
                <w:szCs w:val="20"/>
              </w:rPr>
            </w:pPr>
          </w:p>
        </w:tc>
        <w:tc>
          <w:tcPr>
            <w:tcW w:w="2211" w:type="dxa"/>
            <w:tcBorders>
              <w:top w:val="nil"/>
              <w:left w:val="nil"/>
              <w:bottom w:val="single" w:sz="4" w:space="0" w:color="auto"/>
              <w:right w:val="single" w:sz="8" w:space="0" w:color="auto"/>
            </w:tcBorders>
            <w:shd w:val="clear" w:color="auto" w:fill="auto"/>
            <w:vAlign w:val="center"/>
            <w:hideMark/>
          </w:tcPr>
          <w:p w14:paraId="789782BC"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nil"/>
              <w:left w:val="nil"/>
              <w:bottom w:val="single" w:sz="4" w:space="0" w:color="auto"/>
              <w:right w:val="single" w:sz="8" w:space="0" w:color="auto"/>
            </w:tcBorders>
            <w:shd w:val="clear" w:color="auto" w:fill="auto"/>
            <w:vAlign w:val="center"/>
            <w:hideMark/>
          </w:tcPr>
          <w:p w14:paraId="677F57D0" w14:textId="5917C607"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1B58A799" w14:textId="3AD99D20"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r>
      <w:tr w:rsidR="007C534F" w:rsidRPr="00F26420" w14:paraId="4A1602F9" w14:textId="77777777" w:rsidTr="00A54F04">
        <w:trPr>
          <w:trHeight w:val="283"/>
        </w:trPr>
        <w:tc>
          <w:tcPr>
            <w:tcW w:w="1304" w:type="dxa"/>
            <w:vMerge/>
            <w:tcBorders>
              <w:left w:val="single" w:sz="8" w:space="0" w:color="auto"/>
              <w:right w:val="single" w:sz="8" w:space="0" w:color="auto"/>
            </w:tcBorders>
            <w:vAlign w:val="center"/>
            <w:hideMark/>
          </w:tcPr>
          <w:p w14:paraId="47173E40"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1BBE913" w14:textId="77777777" w:rsidR="007C534F" w:rsidRPr="00F26420" w:rsidRDefault="007C534F" w:rsidP="00F26420">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mantle cell lymphoma</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7737"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F2F62" w14:textId="37B4198E"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97122" w14:textId="61F7FD40"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r>
      <w:tr w:rsidR="007C534F" w:rsidRPr="00F26420" w14:paraId="5390CD48" w14:textId="77777777" w:rsidTr="00A54F04">
        <w:trPr>
          <w:trHeight w:val="283"/>
        </w:trPr>
        <w:tc>
          <w:tcPr>
            <w:tcW w:w="1304" w:type="dxa"/>
            <w:vMerge/>
            <w:tcBorders>
              <w:left w:val="single" w:sz="8" w:space="0" w:color="auto"/>
              <w:right w:val="single" w:sz="8" w:space="0" w:color="auto"/>
            </w:tcBorders>
            <w:vAlign w:val="center"/>
            <w:hideMark/>
          </w:tcPr>
          <w:p w14:paraId="497CF5FB"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top w:val="single" w:sz="8" w:space="0" w:color="auto"/>
              <w:left w:val="single" w:sz="8" w:space="0" w:color="auto"/>
              <w:bottom w:val="single" w:sz="8" w:space="0" w:color="000000"/>
              <w:right w:val="single" w:sz="4" w:space="0" w:color="auto"/>
            </w:tcBorders>
            <w:vAlign w:val="center"/>
            <w:hideMark/>
          </w:tcPr>
          <w:p w14:paraId="59F56AC2" w14:textId="77777777" w:rsidR="007C534F" w:rsidRPr="00F26420" w:rsidRDefault="007C534F" w:rsidP="00F26420">
            <w:pPr>
              <w:spacing w:after="0"/>
              <w:rPr>
                <w:rFonts w:ascii="Calibri" w:eastAsia="Times New Roman" w:hAnsi="Calibri" w:cs="Calibri"/>
                <w:color w:val="000000"/>
                <w:sz w:val="20"/>
                <w:szCs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86BE"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700F1"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BCFD4"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7.7</w:t>
            </w:r>
          </w:p>
        </w:tc>
      </w:tr>
      <w:tr w:rsidR="007C534F" w:rsidRPr="00F26420" w14:paraId="2495171A" w14:textId="77777777" w:rsidTr="007C534F">
        <w:trPr>
          <w:trHeight w:val="283"/>
        </w:trPr>
        <w:tc>
          <w:tcPr>
            <w:tcW w:w="1304" w:type="dxa"/>
            <w:vMerge/>
            <w:tcBorders>
              <w:left w:val="single" w:sz="8" w:space="0" w:color="auto"/>
              <w:right w:val="single" w:sz="8" w:space="0" w:color="auto"/>
            </w:tcBorders>
            <w:vAlign w:val="center"/>
            <w:hideMark/>
          </w:tcPr>
          <w:p w14:paraId="7520381E"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top w:val="single" w:sz="8" w:space="0" w:color="auto"/>
              <w:left w:val="single" w:sz="8" w:space="0" w:color="auto"/>
              <w:bottom w:val="single" w:sz="8" w:space="0" w:color="000000"/>
              <w:right w:val="single" w:sz="4" w:space="0" w:color="auto"/>
            </w:tcBorders>
            <w:vAlign w:val="center"/>
            <w:hideMark/>
          </w:tcPr>
          <w:p w14:paraId="7015C57D" w14:textId="77777777" w:rsidR="007C534F" w:rsidRPr="00F26420" w:rsidRDefault="007C534F" w:rsidP="00F26420">
            <w:pPr>
              <w:spacing w:after="0"/>
              <w:rPr>
                <w:rFonts w:ascii="Calibri" w:eastAsia="Times New Roman" w:hAnsi="Calibri" w:cs="Calibri"/>
                <w:color w:val="000000"/>
                <w:sz w:val="20"/>
                <w:szCs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65083"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6E0F" w14:textId="110FBBEE"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9FF55" w14:textId="30724AF0"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r>
      <w:tr w:rsidR="007C534F" w:rsidRPr="00F26420" w14:paraId="7A7063DA" w14:textId="77777777" w:rsidTr="007C534F">
        <w:trPr>
          <w:trHeight w:val="283"/>
        </w:trPr>
        <w:tc>
          <w:tcPr>
            <w:tcW w:w="1304" w:type="dxa"/>
            <w:vMerge/>
            <w:tcBorders>
              <w:left w:val="single" w:sz="8" w:space="0" w:color="auto"/>
              <w:right w:val="single" w:sz="8" w:space="0" w:color="auto"/>
            </w:tcBorders>
            <w:vAlign w:val="center"/>
          </w:tcPr>
          <w:p w14:paraId="06A41545"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val="restart"/>
            <w:tcBorders>
              <w:top w:val="single" w:sz="8" w:space="0" w:color="auto"/>
              <w:left w:val="single" w:sz="8" w:space="0" w:color="auto"/>
              <w:right w:val="single" w:sz="4" w:space="0" w:color="auto"/>
            </w:tcBorders>
            <w:vAlign w:val="center"/>
          </w:tcPr>
          <w:p w14:paraId="5FD09CDB" w14:textId="77777777" w:rsidR="007C534F" w:rsidRPr="00F26420" w:rsidRDefault="007C534F" w:rsidP="00A54F04">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Total*</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611E5E84"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1CC970" w14:textId="0D5EE04E"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68C593" w14:textId="3C41AF1E"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r>
      <w:tr w:rsidR="007C534F" w:rsidRPr="00F26420" w14:paraId="7D882161" w14:textId="77777777" w:rsidTr="007C534F">
        <w:trPr>
          <w:trHeight w:val="283"/>
        </w:trPr>
        <w:tc>
          <w:tcPr>
            <w:tcW w:w="1304" w:type="dxa"/>
            <w:vMerge/>
            <w:tcBorders>
              <w:left w:val="single" w:sz="8" w:space="0" w:color="auto"/>
              <w:right w:val="single" w:sz="8" w:space="0" w:color="auto"/>
            </w:tcBorders>
            <w:vAlign w:val="center"/>
          </w:tcPr>
          <w:p w14:paraId="44B39F07"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left w:val="single" w:sz="8" w:space="0" w:color="auto"/>
              <w:right w:val="single" w:sz="4" w:space="0" w:color="auto"/>
            </w:tcBorders>
            <w:vAlign w:val="center"/>
          </w:tcPr>
          <w:p w14:paraId="39E89AB2" w14:textId="77777777" w:rsidR="007C534F" w:rsidRPr="00F26420" w:rsidRDefault="007C534F" w:rsidP="00A54F04">
            <w:pPr>
              <w:spacing w:after="0"/>
              <w:rPr>
                <w:rFonts w:ascii="Calibri" w:eastAsia="Times New Roman" w:hAnsi="Calibri" w:cs="Calibri"/>
                <w:color w:val="000000"/>
                <w:sz w:val="20"/>
                <w:szCs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2B837F9F"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C3D23F"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65B2C5"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7.9</w:t>
            </w:r>
          </w:p>
        </w:tc>
      </w:tr>
      <w:tr w:rsidR="007C534F" w:rsidRPr="00F26420" w14:paraId="1FFA5391" w14:textId="77777777" w:rsidTr="007C534F">
        <w:trPr>
          <w:trHeight w:val="283"/>
        </w:trPr>
        <w:tc>
          <w:tcPr>
            <w:tcW w:w="1304" w:type="dxa"/>
            <w:vMerge/>
            <w:tcBorders>
              <w:left w:val="single" w:sz="8" w:space="0" w:color="auto"/>
              <w:bottom w:val="single" w:sz="8" w:space="0" w:color="000000"/>
              <w:right w:val="single" w:sz="8" w:space="0" w:color="auto"/>
            </w:tcBorders>
            <w:vAlign w:val="center"/>
          </w:tcPr>
          <w:p w14:paraId="6A758311"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left w:val="single" w:sz="8" w:space="0" w:color="auto"/>
              <w:bottom w:val="single" w:sz="8" w:space="0" w:color="000000"/>
              <w:right w:val="single" w:sz="4" w:space="0" w:color="auto"/>
            </w:tcBorders>
            <w:vAlign w:val="center"/>
          </w:tcPr>
          <w:p w14:paraId="393214B1" w14:textId="77777777" w:rsidR="007C534F" w:rsidRPr="00F26420" w:rsidRDefault="007C534F" w:rsidP="00A54F04">
            <w:pPr>
              <w:spacing w:after="0"/>
              <w:rPr>
                <w:rFonts w:ascii="Calibri" w:eastAsia="Times New Roman" w:hAnsi="Calibri" w:cs="Calibri"/>
                <w:color w:val="000000"/>
                <w:sz w:val="20"/>
                <w:szCs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5150AB42"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C6DE77" w14:textId="5B6482C2"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514CC0" w14:textId="25F22697"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r>
      <w:tr w:rsidR="007C534F" w:rsidRPr="00F26420" w14:paraId="3F10BB6B" w14:textId="77777777" w:rsidTr="007C534F">
        <w:trPr>
          <w:trHeight w:val="283"/>
        </w:trPr>
        <w:tc>
          <w:tcPr>
            <w:tcW w:w="1304" w:type="dxa"/>
            <w:vMerge w:val="restart"/>
            <w:tcBorders>
              <w:left w:val="single" w:sz="8" w:space="0" w:color="auto"/>
              <w:right w:val="single" w:sz="8" w:space="0" w:color="auto"/>
            </w:tcBorders>
            <w:vAlign w:val="center"/>
          </w:tcPr>
          <w:p w14:paraId="6164B824" w14:textId="77777777" w:rsidR="007C534F" w:rsidRPr="00F26420" w:rsidRDefault="007C534F" w:rsidP="007C534F">
            <w:pPr>
              <w:spacing w:after="0"/>
              <w:rPr>
                <w:rFonts w:ascii="Calibri" w:eastAsia="Times New Roman" w:hAnsi="Calibri" w:cs="Calibri"/>
                <w:color w:val="000000"/>
                <w:sz w:val="20"/>
                <w:szCs w:val="20"/>
              </w:rPr>
            </w:pPr>
            <w:r w:rsidRPr="007C534F">
              <w:rPr>
                <w:rFonts w:ascii="Calibri" w:eastAsia="Times New Roman" w:hAnsi="Calibri" w:cs="Calibri"/>
                <w:color w:val="000000"/>
                <w:sz w:val="20"/>
                <w:szCs w:val="20"/>
              </w:rPr>
              <w:t>PBS + RPBS expenditure</w:t>
            </w:r>
          </w:p>
        </w:tc>
        <w:tc>
          <w:tcPr>
            <w:tcW w:w="2098" w:type="dxa"/>
            <w:vMerge w:val="restart"/>
            <w:tcBorders>
              <w:left w:val="single" w:sz="8" w:space="0" w:color="auto"/>
              <w:right w:val="single" w:sz="4" w:space="0" w:color="auto"/>
            </w:tcBorders>
            <w:vAlign w:val="center"/>
          </w:tcPr>
          <w:p w14:paraId="6FF92E71" w14:textId="77777777" w:rsidR="007C534F" w:rsidRPr="00F26420" w:rsidRDefault="007C534F" w:rsidP="00A54F04">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Total</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45779E6F"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Predicted (P)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05EC0E" w14:textId="563B1E40"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xxxxxxxxxxx</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3DA5DD" w14:textId="7FB4A2DC"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xxxxxxxxxxx</w:t>
            </w:r>
            <w:proofErr w:type="spellEnd"/>
          </w:p>
        </w:tc>
      </w:tr>
      <w:tr w:rsidR="007C534F" w:rsidRPr="00F26420" w14:paraId="6B5E3E5A" w14:textId="77777777" w:rsidTr="007C534F">
        <w:trPr>
          <w:trHeight w:val="283"/>
        </w:trPr>
        <w:tc>
          <w:tcPr>
            <w:tcW w:w="1304" w:type="dxa"/>
            <w:vMerge/>
            <w:tcBorders>
              <w:left w:val="single" w:sz="8" w:space="0" w:color="auto"/>
              <w:right w:val="single" w:sz="8" w:space="0" w:color="auto"/>
            </w:tcBorders>
            <w:vAlign w:val="center"/>
          </w:tcPr>
          <w:p w14:paraId="7FF2D12F"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left w:val="single" w:sz="8" w:space="0" w:color="auto"/>
              <w:right w:val="single" w:sz="4" w:space="0" w:color="auto"/>
            </w:tcBorders>
            <w:vAlign w:val="center"/>
          </w:tcPr>
          <w:p w14:paraId="214FE5B2" w14:textId="77777777" w:rsidR="007C534F" w:rsidRPr="00F26420" w:rsidRDefault="007C534F" w:rsidP="00A54F04">
            <w:pPr>
              <w:spacing w:after="0"/>
              <w:rPr>
                <w:rFonts w:ascii="Calibri" w:eastAsia="Times New Roman" w:hAnsi="Calibri" w:cs="Calibri"/>
                <w:color w:val="000000"/>
                <w:sz w:val="20"/>
                <w:szCs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112BAD9E"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Actual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B0329B"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$12,890,750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924498" w14:textId="77777777" w:rsidR="007C534F" w:rsidRDefault="007C534F" w:rsidP="007C534F">
            <w:pPr>
              <w:spacing w:after="0"/>
              <w:jc w:val="center"/>
              <w:rPr>
                <w:rFonts w:ascii="Calibri" w:hAnsi="Calibri" w:cs="Calibri"/>
                <w:color w:val="000000"/>
                <w:sz w:val="20"/>
                <w:szCs w:val="20"/>
              </w:rPr>
            </w:pPr>
            <w:r>
              <w:rPr>
                <w:rFonts w:ascii="Calibri" w:hAnsi="Calibri" w:cs="Calibri"/>
                <w:color w:val="000000"/>
                <w:sz w:val="20"/>
                <w:szCs w:val="20"/>
              </w:rPr>
              <w:t>$17,220,178</w:t>
            </w:r>
          </w:p>
        </w:tc>
      </w:tr>
      <w:tr w:rsidR="007C534F" w:rsidRPr="00F26420" w14:paraId="4B01EF47" w14:textId="77777777" w:rsidTr="007C534F">
        <w:trPr>
          <w:trHeight w:val="283"/>
        </w:trPr>
        <w:tc>
          <w:tcPr>
            <w:tcW w:w="1304" w:type="dxa"/>
            <w:vMerge/>
            <w:tcBorders>
              <w:left w:val="single" w:sz="8" w:space="0" w:color="auto"/>
              <w:bottom w:val="single" w:sz="8" w:space="0" w:color="000000"/>
              <w:right w:val="single" w:sz="8" w:space="0" w:color="auto"/>
            </w:tcBorders>
            <w:vAlign w:val="center"/>
          </w:tcPr>
          <w:p w14:paraId="198AF94F" w14:textId="77777777" w:rsidR="007C534F" w:rsidRPr="00F26420" w:rsidRDefault="007C534F" w:rsidP="00F26420">
            <w:pPr>
              <w:spacing w:after="0"/>
              <w:rPr>
                <w:rFonts w:ascii="Calibri" w:eastAsia="Times New Roman" w:hAnsi="Calibri" w:cs="Calibri"/>
                <w:color w:val="000000"/>
                <w:sz w:val="20"/>
                <w:szCs w:val="20"/>
              </w:rPr>
            </w:pPr>
          </w:p>
        </w:tc>
        <w:tc>
          <w:tcPr>
            <w:tcW w:w="2098" w:type="dxa"/>
            <w:vMerge/>
            <w:tcBorders>
              <w:left w:val="single" w:sz="8" w:space="0" w:color="auto"/>
              <w:bottom w:val="single" w:sz="8" w:space="0" w:color="000000"/>
              <w:right w:val="single" w:sz="4" w:space="0" w:color="auto"/>
            </w:tcBorders>
            <w:vAlign w:val="center"/>
          </w:tcPr>
          <w:p w14:paraId="038B13DC" w14:textId="77777777" w:rsidR="007C534F" w:rsidRPr="00F26420" w:rsidRDefault="007C534F" w:rsidP="00A54F04">
            <w:pPr>
              <w:spacing w:after="0"/>
              <w:rPr>
                <w:rFonts w:ascii="Calibri" w:eastAsia="Times New Roman" w:hAnsi="Calibri" w:cs="Calibri"/>
                <w:color w:val="000000"/>
                <w:sz w:val="20"/>
                <w:szCs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9858F54" w14:textId="77777777" w:rsidR="007C534F" w:rsidRPr="00F26420" w:rsidRDefault="007C534F" w:rsidP="007C534F">
            <w:pPr>
              <w:spacing w:after="0"/>
              <w:rPr>
                <w:rFonts w:ascii="Calibri" w:eastAsia="Times New Roman" w:hAnsi="Calibri" w:cs="Calibri"/>
                <w:color w:val="000000"/>
                <w:sz w:val="20"/>
                <w:szCs w:val="20"/>
              </w:rPr>
            </w:pPr>
            <w:r w:rsidRPr="00F26420">
              <w:rPr>
                <w:rFonts w:ascii="Calibri" w:eastAsia="Times New Roman" w:hAnsi="Calibri" w:cs="Calibri"/>
                <w:color w:val="000000"/>
                <w:sz w:val="20"/>
                <w:szCs w:val="20"/>
              </w:rPr>
              <w:t>% Difference (A-P)/P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D84A07" w14:textId="25B0CDB6" w:rsidR="007C534F" w:rsidRPr="00A5434D" w:rsidRDefault="00A5434D" w:rsidP="007C534F">
            <w:pPr>
              <w:spacing w:after="0"/>
              <w:jc w:val="center"/>
              <w:rPr>
                <w:rFonts w:ascii="Calibri" w:hAnsi="Calibri" w:cs="Calibri"/>
                <w:color w:val="000000"/>
                <w:sz w:val="20"/>
                <w:szCs w:val="20"/>
                <w:highlight w:val="black"/>
              </w:rPr>
            </w:pPr>
            <w:proofErr w:type="spellStart"/>
            <w:r w:rsidRPr="00A5434D">
              <w:rPr>
                <w:rFonts w:ascii="Calibri" w:hAnsi="Calibri" w:cs="Calibri"/>
                <w:color w:val="000000"/>
                <w:sz w:val="20"/>
                <w:szCs w:val="20"/>
                <w:highlight w:val="black"/>
              </w:rPr>
              <w:t>xxxx</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9CD770" w14:textId="248D8ABC" w:rsidR="007C534F" w:rsidRPr="00A5434D" w:rsidRDefault="00A5434D" w:rsidP="007C534F">
            <w:pPr>
              <w:spacing w:after="0"/>
              <w:jc w:val="center"/>
              <w:rPr>
                <w:rFonts w:ascii="Calibri" w:hAnsi="Calibri" w:cs="Calibri"/>
                <w:color w:val="000000"/>
                <w:sz w:val="20"/>
                <w:szCs w:val="20"/>
                <w:highlight w:val="black"/>
              </w:rPr>
            </w:pPr>
            <w:r w:rsidRPr="00A5434D">
              <w:rPr>
                <w:rFonts w:ascii="Calibri" w:hAnsi="Calibri" w:cs="Calibri"/>
                <w:color w:val="000000"/>
                <w:sz w:val="20"/>
                <w:szCs w:val="20"/>
                <w:highlight w:val="black"/>
              </w:rPr>
              <w:t>xx</w:t>
            </w:r>
          </w:p>
        </w:tc>
      </w:tr>
    </w:tbl>
    <w:p w14:paraId="24455FEB" w14:textId="0DB7AB39" w:rsidR="00755A56" w:rsidRPr="00755A56" w:rsidRDefault="00CE4772" w:rsidP="001D72A5">
      <w:pPr>
        <w:pStyle w:val="Notes"/>
        <w:rPr>
          <w:rFonts w:eastAsia="MS Mincho" w:cs="Times New Roman"/>
          <w:b/>
          <w:sz w:val="22"/>
        </w:rPr>
      </w:pPr>
      <w:r w:rsidRPr="004C1B5D">
        <w:t xml:space="preserve">Source: </w:t>
      </w:r>
      <w:r>
        <w:t>July 20</w:t>
      </w:r>
      <w:r w:rsidR="00971022">
        <w:t>1</w:t>
      </w:r>
      <w:r>
        <w:t xml:space="preserve">5 Minor submission </w:t>
      </w:r>
      <w:r w:rsidRPr="004C1B5D">
        <w:t xml:space="preserve">estimates </w:t>
      </w:r>
      <w:r>
        <w:t>spreadsheet</w:t>
      </w:r>
      <w:r w:rsidRPr="004C1B5D">
        <w:t xml:space="preserve"> (</w:t>
      </w:r>
      <w:r w:rsidR="00F4210C" w:rsidRPr="00CE4772">
        <w:t>Attachment</w:t>
      </w:r>
      <w:r w:rsidRPr="00CE4772">
        <w:t xml:space="preserve"> 2 Financial Estimates</w:t>
      </w:r>
      <w:r w:rsidRPr="004C1B5D">
        <w:t>)</w:t>
      </w:r>
      <w:r>
        <w:t xml:space="preserve"> with 2016 (Year 2 in the spreadsheet) as the first year of listing</w:t>
      </w:r>
      <w:r w:rsidRPr="004C1B5D">
        <w:t>.</w:t>
      </w:r>
      <w:r>
        <w:t xml:space="preserve"> </w:t>
      </w:r>
      <w:r w:rsidR="00071DAB">
        <w:t>Note: indication</w:t>
      </w:r>
      <w:r w:rsidR="00D91311">
        <w:t>s</w:t>
      </w:r>
      <w:r w:rsidR="00071DAB">
        <w:t xml:space="preserve"> </w:t>
      </w:r>
      <w:r w:rsidR="00D91311">
        <w:t>are</w:t>
      </w:r>
      <w:r w:rsidR="00071DAB">
        <w:t xml:space="preserve"> that of the </w:t>
      </w:r>
      <w:r w:rsidR="00210FE4">
        <w:t xml:space="preserve">most common indication </w:t>
      </w:r>
      <w:r w:rsidR="00071DAB">
        <w:t xml:space="preserve">for </w:t>
      </w:r>
      <w:r w:rsidR="00DC427F">
        <w:t>each patient</w:t>
      </w:r>
      <w:r w:rsidR="00071DAB">
        <w:t xml:space="preserve"> </w:t>
      </w:r>
      <w:r w:rsidR="00A30D1C">
        <w:t xml:space="preserve">supplied </w:t>
      </w:r>
      <w:r w:rsidR="00071DAB">
        <w:t>in the period</w:t>
      </w:r>
      <w:r w:rsidR="00A62424">
        <w:t xml:space="preserve"> 1 May 2016 to </w:t>
      </w:r>
      <w:r w:rsidR="00A30D1C">
        <w:t>the end of September 2018</w:t>
      </w:r>
      <w:r w:rsidR="00071DAB">
        <w:t>.</w:t>
      </w:r>
      <w:r w:rsidR="002B22B9">
        <w:br/>
        <w:t>* Total includes patients with unknow</w:t>
      </w:r>
      <w:r w:rsidR="00C654C8">
        <w:t>n</w:t>
      </w:r>
      <w:r w:rsidR="002B22B9">
        <w:t xml:space="preserve"> indication.</w:t>
      </w:r>
    </w:p>
    <w:p w14:paraId="147D8E25" w14:textId="4A400BA6" w:rsidR="00AF771F" w:rsidRDefault="00557820" w:rsidP="004B4DAB">
      <w:r>
        <w:t xml:space="preserve">In Year </w:t>
      </w:r>
      <w:proofErr w:type="gramStart"/>
      <w:r>
        <w:t>1</w:t>
      </w:r>
      <w:proofErr w:type="gramEnd"/>
      <w:r>
        <w:t xml:space="preserve"> </w:t>
      </w:r>
      <w:r w:rsidR="00AF771F">
        <w:t xml:space="preserve">the total number of patients </w:t>
      </w:r>
      <w:r w:rsidR="00F4210C">
        <w:t xml:space="preserve">supplied </w:t>
      </w:r>
      <w:proofErr w:type="spellStart"/>
      <w:r w:rsidR="00F4210C">
        <w:t>bendamustine</w:t>
      </w:r>
      <w:proofErr w:type="spellEnd"/>
      <w:r w:rsidR="00F4210C">
        <w:t xml:space="preserve"> </w:t>
      </w:r>
      <w:r w:rsidR="00AF771F">
        <w:t>was approximately the same as predicted. Th</w:t>
      </w:r>
      <w:r w:rsidR="00F4210C">
        <w:t xml:space="preserve">ere were fewer </w:t>
      </w:r>
      <w:proofErr w:type="spellStart"/>
      <w:r w:rsidR="00F4210C">
        <w:t>iNHL</w:t>
      </w:r>
      <w:proofErr w:type="spellEnd"/>
      <w:r w:rsidR="00F4210C">
        <w:t xml:space="preserve"> patients but more MCL patients treated than expected.</w:t>
      </w:r>
      <w:r w:rsidR="00AF771F">
        <w:t xml:space="preserve"> In Year 2 </w:t>
      </w:r>
      <w:proofErr w:type="spellStart"/>
      <w:r w:rsidR="00AF771F">
        <w:t>iNHL</w:t>
      </w:r>
      <w:proofErr w:type="spellEnd"/>
      <w:r w:rsidR="00AF771F">
        <w:t xml:space="preserve">, MCL and total patients were more than predicted by </w:t>
      </w:r>
      <w:proofErr w:type="spellStart"/>
      <w:r w:rsidR="00A5434D" w:rsidRPr="00A5434D">
        <w:rPr>
          <w:highlight w:val="black"/>
        </w:rPr>
        <w:t>xxxx</w:t>
      </w:r>
      <w:proofErr w:type="spellEnd"/>
      <w:r w:rsidR="00AF771F" w:rsidRPr="00A5434D">
        <w:rPr>
          <w:highlight w:val="black"/>
        </w:rPr>
        <w:t xml:space="preserve"> </w:t>
      </w:r>
      <w:proofErr w:type="spellStart"/>
      <w:r w:rsidR="00A5434D" w:rsidRPr="00A5434D">
        <w:rPr>
          <w:highlight w:val="black"/>
        </w:rPr>
        <w:t>xxxx</w:t>
      </w:r>
      <w:proofErr w:type="spellEnd"/>
      <w:r w:rsidR="00AF771F" w:rsidRPr="00A5434D">
        <w:rPr>
          <w:highlight w:val="black"/>
        </w:rPr>
        <w:t xml:space="preserve"> </w:t>
      </w:r>
      <w:r w:rsidR="00A5434D" w:rsidRPr="00A5434D">
        <w:rPr>
          <w:highlight w:val="black"/>
        </w:rPr>
        <w:t>xxx</w:t>
      </w:r>
      <w:r w:rsidR="00AF771F" w:rsidRPr="00A5434D">
        <w:rPr>
          <w:highlight w:val="black"/>
        </w:rPr>
        <w:t xml:space="preserve"> </w:t>
      </w:r>
      <w:proofErr w:type="gramStart"/>
      <w:r w:rsidR="00A5434D" w:rsidRPr="00A5434D">
        <w:rPr>
          <w:highlight w:val="black"/>
        </w:rPr>
        <w:t>xx</w:t>
      </w:r>
      <w:r w:rsidR="00AF771F">
        <w:t>%</w:t>
      </w:r>
      <w:proofErr w:type="gramEnd"/>
      <w:r w:rsidR="00AF771F">
        <w:t xml:space="preserve"> respectively.</w:t>
      </w:r>
    </w:p>
    <w:p w14:paraId="487C07E8" w14:textId="681091D0" w:rsidR="00BF2C4B" w:rsidRDefault="00AF771F" w:rsidP="004B4DAB">
      <w:r>
        <w:t xml:space="preserve">The </w:t>
      </w:r>
      <w:r w:rsidR="00F4210C">
        <w:t xml:space="preserve">higher </w:t>
      </w:r>
      <w:r>
        <w:t xml:space="preserve">number of patients </w:t>
      </w:r>
      <w:r w:rsidR="00BF2C4B">
        <w:t xml:space="preserve">treated </w:t>
      </w:r>
      <w:r>
        <w:t>did not lead to more than predicted</w:t>
      </w:r>
      <w:r w:rsidR="00CC03D9">
        <w:t xml:space="preserve"> </w:t>
      </w:r>
      <w:r>
        <w:t>prescriptions</w:t>
      </w:r>
      <w:r w:rsidR="00F4210C">
        <w:t xml:space="preserve">. The total number of prescriptions supplied was </w:t>
      </w:r>
      <w:r w:rsidR="00A5434D" w:rsidRPr="00A5434D">
        <w:rPr>
          <w:highlight w:val="black"/>
        </w:rPr>
        <w:t>xxx</w:t>
      </w:r>
      <w:r w:rsidR="00F4210C" w:rsidRPr="00A5434D">
        <w:rPr>
          <w:highlight w:val="black"/>
        </w:rPr>
        <w:t xml:space="preserve"> </w:t>
      </w:r>
      <w:proofErr w:type="spellStart"/>
      <w:r w:rsidR="00A5434D" w:rsidRPr="00A5434D">
        <w:rPr>
          <w:highlight w:val="black"/>
        </w:rPr>
        <w:t>xxx</w:t>
      </w:r>
      <w:proofErr w:type="spellEnd"/>
      <w:r w:rsidR="00F4210C" w:rsidRPr="00A5434D">
        <w:rPr>
          <w:highlight w:val="black"/>
        </w:rPr>
        <w:t xml:space="preserve"> </w:t>
      </w:r>
      <w:proofErr w:type="gramStart"/>
      <w:r w:rsidR="00A5434D" w:rsidRPr="00A5434D">
        <w:rPr>
          <w:highlight w:val="black"/>
        </w:rPr>
        <w:t>x</w:t>
      </w:r>
      <w:r w:rsidR="00F4210C">
        <w:t>%</w:t>
      </w:r>
      <w:proofErr w:type="gramEnd"/>
      <w:r w:rsidR="00F4210C">
        <w:t xml:space="preserve"> lower than expected in Years 1 and 2 respectively. </w:t>
      </w:r>
      <w:r w:rsidR="00DC092E" w:rsidRPr="00535506">
        <w:rPr>
          <w:rFonts w:ascii="Calibri" w:eastAsia="MS Gothic" w:hAnsi="Calibri" w:cs="Times New Roman"/>
          <w:bCs/>
        </w:rPr>
        <w:t xml:space="preserve">The lower than expected number of prescriptions </w:t>
      </w:r>
      <w:r w:rsidR="00DC092E">
        <w:rPr>
          <w:rFonts w:ascii="Calibri" w:eastAsia="MS Gothic" w:hAnsi="Calibri" w:cs="Times New Roman"/>
          <w:bCs/>
        </w:rPr>
        <w:t>per patient per year</w:t>
      </w:r>
      <w:r w:rsidR="00DC092E" w:rsidRPr="00535506">
        <w:rPr>
          <w:rFonts w:ascii="Calibri" w:eastAsia="MS Gothic" w:hAnsi="Calibri" w:cs="Times New Roman"/>
          <w:bCs/>
        </w:rPr>
        <w:t xml:space="preserve"> can, in part, be explained by patients initiating toward the end of </w:t>
      </w:r>
      <w:r w:rsidR="00DC092E">
        <w:rPr>
          <w:rFonts w:ascii="Calibri" w:eastAsia="MS Gothic" w:hAnsi="Calibri" w:cs="Times New Roman"/>
          <w:bCs/>
        </w:rPr>
        <w:t xml:space="preserve">one listing year and </w:t>
      </w:r>
      <w:r w:rsidR="00DC092E" w:rsidRPr="00535506">
        <w:rPr>
          <w:rFonts w:ascii="Calibri" w:eastAsia="MS Gothic" w:hAnsi="Calibri" w:cs="Times New Roman"/>
          <w:bCs/>
        </w:rPr>
        <w:t>completing their induction regimen in the following year.</w:t>
      </w:r>
      <w:r w:rsidR="00A917A6" w:rsidRPr="00535506">
        <w:rPr>
          <w:rFonts w:ascii="Calibri" w:eastAsia="MS Gothic" w:hAnsi="Calibri" w:cs="Times New Roman"/>
          <w:bCs/>
        </w:rPr>
        <w:t xml:space="preserve">  </w:t>
      </w:r>
      <w:r w:rsidR="000E5BAB">
        <w:t>An assessment of the number of prescriptions per patient is presented later in the report.</w:t>
      </w:r>
    </w:p>
    <w:p w14:paraId="76574E9A" w14:textId="4184E4EB" w:rsidR="00F4210C" w:rsidRDefault="00F4210C" w:rsidP="004B4DAB">
      <w:r>
        <w:t xml:space="preserve">PBS + RPBS expenditure was </w:t>
      </w:r>
      <w:proofErr w:type="gramStart"/>
      <w:r w:rsidR="00A5434D" w:rsidRPr="00A5434D">
        <w:rPr>
          <w:highlight w:val="black"/>
        </w:rPr>
        <w:t>xx</w:t>
      </w:r>
      <w:r>
        <w:t>%</w:t>
      </w:r>
      <w:proofErr w:type="gramEnd"/>
      <w:r>
        <w:t xml:space="preserve"> less than predicted in Year 1 and the same as predicted in Year 2.</w:t>
      </w:r>
    </w:p>
    <w:p w14:paraId="04440F7B" w14:textId="2B5AA10D" w:rsidR="00047047" w:rsidRDefault="008D34F0" w:rsidP="004B4DAB">
      <w:pPr>
        <w:rPr>
          <w:rFonts w:ascii="Calibri" w:eastAsia="MS Mincho" w:hAnsi="Calibri" w:cs="Times New Roman"/>
        </w:rPr>
      </w:pPr>
      <w:r>
        <w:rPr>
          <w:rFonts w:ascii="Calibri" w:eastAsia="MS Mincho" w:hAnsi="Calibri" w:cs="Times New Roman"/>
        </w:rPr>
        <w:lastRenderedPageBreak/>
        <w:t>D</w:t>
      </w:r>
      <w:r w:rsidR="00971022">
        <w:rPr>
          <w:rFonts w:ascii="Calibri" w:eastAsia="MS Mincho" w:hAnsi="Calibri" w:cs="Times New Roman"/>
        </w:rPr>
        <w:t>ifference</w:t>
      </w:r>
      <w:r>
        <w:rPr>
          <w:rFonts w:ascii="Calibri" w:eastAsia="MS Mincho" w:hAnsi="Calibri" w:cs="Times New Roman"/>
        </w:rPr>
        <w:t>s</w:t>
      </w:r>
      <w:r w:rsidR="00971022">
        <w:rPr>
          <w:rFonts w:ascii="Calibri" w:eastAsia="MS Mincho" w:hAnsi="Calibri" w:cs="Times New Roman"/>
        </w:rPr>
        <w:t xml:space="preserve"> in the predicted and actual number of prescriptions and expenditure </w:t>
      </w:r>
      <w:r>
        <w:rPr>
          <w:rFonts w:ascii="Calibri" w:eastAsia="MS Mincho" w:hAnsi="Calibri" w:cs="Times New Roman"/>
        </w:rPr>
        <w:t>are</w:t>
      </w:r>
      <w:r w:rsidR="00971022">
        <w:rPr>
          <w:rFonts w:ascii="Calibri" w:eastAsia="MS Mincho" w:hAnsi="Calibri" w:cs="Times New Roman"/>
        </w:rPr>
        <w:t xml:space="preserve"> approximately proportional, suggest</w:t>
      </w:r>
      <w:r>
        <w:rPr>
          <w:rFonts w:ascii="Calibri" w:eastAsia="MS Mincho" w:hAnsi="Calibri" w:cs="Times New Roman"/>
        </w:rPr>
        <w:t>ing</w:t>
      </w:r>
      <w:r w:rsidR="00971022">
        <w:rPr>
          <w:rFonts w:ascii="Calibri" w:eastAsia="MS Mincho" w:hAnsi="Calibri" w:cs="Times New Roman"/>
        </w:rPr>
        <w:t xml:space="preserve"> that the dose prescribed in practice has been </w:t>
      </w:r>
      <w:r>
        <w:rPr>
          <w:rFonts w:ascii="Calibri" w:eastAsia="MS Mincho" w:hAnsi="Calibri" w:cs="Times New Roman"/>
        </w:rPr>
        <w:t>similar</w:t>
      </w:r>
      <w:r w:rsidR="00971022">
        <w:rPr>
          <w:rFonts w:ascii="Calibri" w:eastAsia="MS Mincho" w:hAnsi="Calibri" w:cs="Times New Roman"/>
        </w:rPr>
        <w:t xml:space="preserve"> </w:t>
      </w:r>
      <w:r>
        <w:rPr>
          <w:rFonts w:ascii="Calibri" w:eastAsia="MS Mincho" w:hAnsi="Calibri" w:cs="Times New Roman"/>
        </w:rPr>
        <w:t>t</w:t>
      </w:r>
      <w:r w:rsidR="00971022">
        <w:rPr>
          <w:rFonts w:ascii="Calibri" w:eastAsia="MS Mincho" w:hAnsi="Calibri" w:cs="Times New Roman"/>
        </w:rPr>
        <w:t xml:space="preserve">o expected.  </w:t>
      </w:r>
      <w:r>
        <w:rPr>
          <w:rFonts w:ascii="Calibri" w:eastAsia="MS Mincho" w:hAnsi="Calibri" w:cs="Times New Roman"/>
        </w:rPr>
        <w:t>The recommended dose in the Product Information for c</w:t>
      </w:r>
      <w:r w:rsidRPr="00D52328">
        <w:rPr>
          <w:rFonts w:ascii="Calibri" w:eastAsia="MS Mincho" w:hAnsi="Calibri" w:cs="Times New Roman"/>
        </w:rPr>
        <w:t>ombination therapy with rituximab for first-line non-Hodgkin’s lymphoma and mantle cell lymphoma</w:t>
      </w:r>
      <w:r>
        <w:rPr>
          <w:rFonts w:ascii="Calibri" w:eastAsia="MS Mincho" w:hAnsi="Calibri" w:cs="Times New Roman"/>
        </w:rPr>
        <w:t xml:space="preserve"> is </w:t>
      </w:r>
      <w:r w:rsidRPr="00D52328">
        <w:rPr>
          <w:rFonts w:ascii="Calibri" w:eastAsia="MS Mincho" w:hAnsi="Calibri" w:cs="Times New Roman"/>
        </w:rPr>
        <w:t>90 mg/m</w:t>
      </w:r>
      <w:r w:rsidRPr="008D34F0">
        <w:rPr>
          <w:rFonts w:ascii="Calibri" w:eastAsia="MS Mincho" w:hAnsi="Calibri" w:cs="Times New Roman"/>
          <w:vertAlign w:val="superscript"/>
        </w:rPr>
        <w:t>2</w:t>
      </w:r>
      <w:r w:rsidR="00BF2C4B">
        <w:rPr>
          <w:rFonts w:ascii="Calibri" w:eastAsia="MS Mincho" w:hAnsi="Calibri" w:cs="Times New Roman"/>
        </w:rPr>
        <w:t>.</w:t>
      </w:r>
      <w:r w:rsidR="00F93853">
        <w:rPr>
          <w:rFonts w:ascii="Calibri" w:eastAsia="MS Mincho" w:hAnsi="Calibri" w:cs="Times New Roman"/>
        </w:rPr>
        <w:t xml:space="preserve"> Doses may be reduced if non-haematological toxicities occur</w:t>
      </w:r>
      <w:r w:rsidR="00F93853" w:rsidRPr="008D34F0">
        <w:rPr>
          <w:rFonts w:ascii="Calibri" w:eastAsia="MS Mincho" w:hAnsi="Calibri" w:cs="Times New Roman"/>
          <w:vertAlign w:val="superscript"/>
        </w:rPr>
        <w:fldChar w:fldCharType="begin"/>
      </w:r>
      <w:r w:rsidR="00F93853" w:rsidRPr="00E271C0">
        <w:rPr>
          <w:rFonts w:ascii="Calibri" w:eastAsia="MS Mincho" w:hAnsi="Calibri" w:cs="Times New Roman"/>
          <w:vertAlign w:val="superscript"/>
        </w:rPr>
        <w:instrText xml:space="preserve"> NOTEREF _Ref522719351 \h </w:instrText>
      </w:r>
      <w:r w:rsidR="00F93853">
        <w:rPr>
          <w:rFonts w:ascii="Calibri" w:eastAsia="MS Mincho" w:hAnsi="Calibri" w:cs="Times New Roman"/>
          <w:vertAlign w:val="superscript"/>
        </w:rPr>
        <w:instrText xml:space="preserve"> \* MERGEFORMAT </w:instrText>
      </w:r>
      <w:r w:rsidR="00F93853" w:rsidRPr="008D34F0">
        <w:rPr>
          <w:rFonts w:ascii="Calibri" w:eastAsia="MS Mincho" w:hAnsi="Calibri" w:cs="Times New Roman"/>
          <w:vertAlign w:val="superscript"/>
        </w:rPr>
      </w:r>
      <w:r w:rsidR="00F93853" w:rsidRPr="008D34F0">
        <w:rPr>
          <w:rFonts w:ascii="Calibri" w:eastAsia="MS Mincho" w:hAnsi="Calibri" w:cs="Times New Roman"/>
          <w:vertAlign w:val="superscript"/>
        </w:rPr>
        <w:fldChar w:fldCharType="separate"/>
      </w:r>
      <w:proofErr w:type="gramStart"/>
      <w:r w:rsidR="00A56788">
        <w:rPr>
          <w:rFonts w:ascii="Calibri" w:eastAsia="MS Mincho" w:hAnsi="Calibri" w:cs="Times New Roman"/>
          <w:vertAlign w:val="superscript"/>
        </w:rPr>
        <w:t>2</w:t>
      </w:r>
      <w:proofErr w:type="gramEnd"/>
      <w:r w:rsidR="00F93853" w:rsidRPr="008D34F0">
        <w:rPr>
          <w:rFonts w:ascii="Calibri" w:eastAsia="MS Mincho" w:hAnsi="Calibri" w:cs="Times New Roman"/>
          <w:vertAlign w:val="superscript"/>
        </w:rPr>
        <w:fldChar w:fldCharType="end"/>
      </w:r>
      <w:r w:rsidR="00F93853">
        <w:rPr>
          <w:rFonts w:ascii="Calibri" w:eastAsia="MS Mincho" w:hAnsi="Calibri" w:cs="Times New Roman"/>
        </w:rPr>
        <w:t xml:space="preserve"> or for older</w:t>
      </w:r>
      <w:r w:rsidR="00F93853" w:rsidRPr="008D34F0">
        <w:rPr>
          <w:rFonts w:ascii="Calibri" w:eastAsia="MS Mincho" w:hAnsi="Calibri" w:cs="Times New Roman"/>
        </w:rPr>
        <w:t xml:space="preserve"> </w:t>
      </w:r>
      <w:r w:rsidR="00F93853" w:rsidRPr="00C169FE">
        <w:rPr>
          <w:rFonts w:ascii="Calibri" w:eastAsia="MS Mincho" w:hAnsi="Calibri" w:cs="Times New Roman"/>
        </w:rPr>
        <w:t>patients and those with renal impairment.</w:t>
      </w:r>
      <w:r w:rsidR="00F93853" w:rsidRPr="00C169FE">
        <w:rPr>
          <w:rStyle w:val="FootnoteReference"/>
          <w:rFonts w:ascii="Calibri" w:eastAsia="MS Mincho" w:hAnsi="Calibri" w:cs="Times New Roman"/>
        </w:rPr>
        <w:footnoteReference w:id="6"/>
      </w:r>
      <w:r w:rsidR="000E5BAB" w:rsidRPr="00C169FE">
        <w:rPr>
          <w:rFonts w:ascii="Calibri" w:eastAsia="MS Mincho" w:hAnsi="Calibri" w:cs="Times New Roman"/>
        </w:rPr>
        <w:t xml:space="preserve"> In the B-R arm of the </w:t>
      </w:r>
      <w:proofErr w:type="spellStart"/>
      <w:r w:rsidR="000E5BAB" w:rsidRPr="00C169FE">
        <w:rPr>
          <w:rFonts w:ascii="Calibri" w:eastAsia="MS Mincho" w:hAnsi="Calibri" w:cs="Times New Roman"/>
        </w:rPr>
        <w:t>STiL</w:t>
      </w:r>
      <w:proofErr w:type="spellEnd"/>
      <w:r w:rsidR="000E5BAB" w:rsidRPr="00C169FE">
        <w:rPr>
          <w:rFonts w:ascii="Calibri" w:eastAsia="MS Mincho" w:hAnsi="Calibri" w:cs="Times New Roman"/>
        </w:rPr>
        <w:t xml:space="preserve"> trial</w:t>
      </w:r>
      <w:r w:rsidR="00496A32">
        <w:rPr>
          <w:rFonts w:ascii="Calibri" w:eastAsia="MS Mincho" w:hAnsi="Calibri" w:cs="Times New Roman"/>
        </w:rPr>
        <w:t>,</w:t>
      </w:r>
      <w:r w:rsidR="000E5BAB" w:rsidRPr="00C169FE">
        <w:rPr>
          <w:rFonts w:ascii="Calibri" w:eastAsia="MS Mincho" w:hAnsi="Calibri" w:cs="Times New Roman"/>
        </w:rPr>
        <w:t xml:space="preserve"> full doses were received by 95.9% patients</w:t>
      </w:r>
      <w:r w:rsidR="00C169FE" w:rsidRPr="00C169FE">
        <w:rPr>
          <w:rStyle w:val="FootnoteReference"/>
          <w:rFonts w:ascii="Calibri" w:eastAsia="MS Mincho" w:hAnsi="Calibri" w:cs="Times New Roman"/>
        </w:rPr>
        <w:footnoteReference w:id="7"/>
      </w:r>
      <w:r w:rsidR="000E5BAB" w:rsidRPr="00C169FE">
        <w:rPr>
          <w:rFonts w:ascii="Calibri" w:eastAsia="MS Mincho" w:hAnsi="Calibri" w:cs="Times New Roman"/>
        </w:rPr>
        <w:t xml:space="preserve">. </w:t>
      </w:r>
      <w:r w:rsidR="00F93853" w:rsidRPr="00C169FE">
        <w:rPr>
          <w:rFonts w:ascii="Calibri" w:eastAsia="MS Mincho" w:hAnsi="Calibri" w:cs="Times New Roman"/>
        </w:rPr>
        <w:t>The submission assumed an average Body Surface Area (BSA)</w:t>
      </w:r>
      <w:r w:rsidR="00F93853">
        <w:rPr>
          <w:rFonts w:ascii="Calibri" w:eastAsia="MS Mincho" w:hAnsi="Calibri" w:cs="Times New Roman"/>
        </w:rPr>
        <w:t xml:space="preserve"> of 1.8 m</w:t>
      </w:r>
      <w:r w:rsidR="00F93853" w:rsidRPr="00D52328">
        <w:rPr>
          <w:rFonts w:ascii="Calibri" w:eastAsia="MS Mincho" w:hAnsi="Calibri" w:cs="Times New Roman"/>
          <w:vertAlign w:val="superscript"/>
        </w:rPr>
        <w:t>2</w:t>
      </w:r>
      <w:r w:rsidR="00F93853">
        <w:rPr>
          <w:rFonts w:ascii="Calibri" w:eastAsia="MS Mincho" w:hAnsi="Calibri" w:cs="Times New Roman"/>
        </w:rPr>
        <w:t xml:space="preserve"> (based on Dooley 2004</w:t>
      </w:r>
      <w:r w:rsidR="00F93853">
        <w:rPr>
          <w:rStyle w:val="FootnoteReference"/>
          <w:rFonts w:ascii="Calibri" w:eastAsia="MS Mincho" w:hAnsi="Calibri" w:cs="Times New Roman"/>
        </w:rPr>
        <w:footnoteReference w:id="8"/>
      </w:r>
      <w:r w:rsidR="00F93853">
        <w:rPr>
          <w:rFonts w:ascii="Calibri" w:eastAsia="MS Mincho" w:hAnsi="Calibri" w:cs="Times New Roman"/>
        </w:rPr>
        <w:t xml:space="preserve">) giving a predicted </w:t>
      </w:r>
      <w:r w:rsidR="00AD4E7F">
        <w:rPr>
          <w:rFonts w:ascii="Calibri" w:eastAsia="MS Mincho" w:hAnsi="Calibri" w:cs="Times New Roman"/>
        </w:rPr>
        <w:t xml:space="preserve">average </w:t>
      </w:r>
      <w:r w:rsidR="00F93853">
        <w:rPr>
          <w:rFonts w:ascii="Calibri" w:eastAsia="MS Mincho" w:hAnsi="Calibri" w:cs="Times New Roman"/>
        </w:rPr>
        <w:t xml:space="preserve">dose of 162mg. </w:t>
      </w:r>
      <w:r>
        <w:rPr>
          <w:rFonts w:ascii="Calibri" w:eastAsia="MS Mincho" w:hAnsi="Calibri" w:cs="Times New Roman"/>
        </w:rPr>
        <w:t xml:space="preserve">Based on </w:t>
      </w:r>
      <w:proofErr w:type="spellStart"/>
      <w:r w:rsidR="000F5FF2" w:rsidRPr="000F5FF2">
        <w:rPr>
          <w:rFonts w:ascii="Calibri" w:eastAsia="MS Mincho" w:hAnsi="Calibri" w:cs="Times New Roman"/>
        </w:rPr>
        <w:t>bendamustine</w:t>
      </w:r>
      <w:proofErr w:type="spellEnd"/>
      <w:r w:rsidR="000F5FF2" w:rsidRPr="000F5FF2">
        <w:rPr>
          <w:rFonts w:ascii="Calibri" w:eastAsia="MS Mincho" w:hAnsi="Calibri" w:cs="Times New Roman"/>
        </w:rPr>
        <w:t xml:space="preserve"> prescriptions </w:t>
      </w:r>
      <w:r>
        <w:rPr>
          <w:rFonts w:ascii="Calibri" w:eastAsia="MS Mincho" w:hAnsi="Calibri" w:cs="Times New Roman"/>
        </w:rPr>
        <w:t xml:space="preserve">supplied </w:t>
      </w:r>
      <w:r w:rsidR="000F5FF2" w:rsidRPr="000F5FF2">
        <w:rPr>
          <w:rFonts w:ascii="Calibri" w:eastAsia="MS Mincho" w:hAnsi="Calibri" w:cs="Times New Roman"/>
        </w:rPr>
        <w:t>from 1 May 2016 to 30</w:t>
      </w:r>
      <w:r w:rsidR="00AD4E7F">
        <w:rPr>
          <w:rFonts w:ascii="Calibri" w:eastAsia="MS Mincho" w:hAnsi="Calibri" w:cs="Times New Roman"/>
        </w:rPr>
        <w:t> </w:t>
      </w:r>
      <w:r w:rsidR="000F5FF2" w:rsidRPr="000F5FF2">
        <w:rPr>
          <w:rFonts w:ascii="Calibri" w:eastAsia="MS Mincho" w:hAnsi="Calibri" w:cs="Times New Roman"/>
        </w:rPr>
        <w:t>September</w:t>
      </w:r>
      <w:r w:rsidR="00AD4E7F">
        <w:rPr>
          <w:rFonts w:ascii="Calibri" w:eastAsia="MS Mincho" w:hAnsi="Calibri" w:cs="Times New Roman"/>
        </w:rPr>
        <w:t> </w:t>
      </w:r>
      <w:r w:rsidR="000F5FF2" w:rsidRPr="000F5FF2">
        <w:rPr>
          <w:rFonts w:ascii="Calibri" w:eastAsia="MS Mincho" w:hAnsi="Calibri" w:cs="Times New Roman"/>
        </w:rPr>
        <w:t>2018</w:t>
      </w:r>
      <w:r>
        <w:rPr>
          <w:rFonts w:ascii="Calibri" w:eastAsia="MS Mincho" w:hAnsi="Calibri" w:cs="Times New Roman"/>
        </w:rPr>
        <w:t>, the</w:t>
      </w:r>
      <w:r w:rsidR="000F5FF2">
        <w:rPr>
          <w:rFonts w:ascii="Calibri" w:eastAsia="MS Mincho" w:hAnsi="Calibri" w:cs="Times New Roman"/>
        </w:rPr>
        <w:t xml:space="preserve"> </w:t>
      </w:r>
      <w:r w:rsidR="00047047">
        <w:rPr>
          <w:rFonts w:ascii="Calibri" w:eastAsia="MS Mincho" w:hAnsi="Calibri" w:cs="Times New Roman"/>
        </w:rPr>
        <w:t>median and mean dose</w:t>
      </w:r>
      <w:r w:rsidR="00BB667F">
        <w:rPr>
          <w:rFonts w:ascii="Calibri" w:eastAsia="MS Mincho" w:hAnsi="Calibri" w:cs="Times New Roman"/>
        </w:rPr>
        <w:t xml:space="preserve">s for MCL and </w:t>
      </w:r>
      <w:proofErr w:type="spellStart"/>
      <w:r w:rsidR="00BB667F">
        <w:rPr>
          <w:rFonts w:ascii="Calibri" w:eastAsia="MS Mincho" w:hAnsi="Calibri" w:cs="Times New Roman"/>
        </w:rPr>
        <w:t>i</w:t>
      </w:r>
      <w:r w:rsidR="00AD4E7F">
        <w:rPr>
          <w:rFonts w:ascii="Calibri" w:eastAsia="MS Mincho" w:hAnsi="Calibri" w:cs="Times New Roman"/>
        </w:rPr>
        <w:t>N</w:t>
      </w:r>
      <w:r w:rsidR="00BB667F">
        <w:rPr>
          <w:rFonts w:ascii="Calibri" w:eastAsia="MS Mincho" w:hAnsi="Calibri" w:cs="Times New Roman"/>
        </w:rPr>
        <w:t>H</w:t>
      </w:r>
      <w:r w:rsidR="00AD4E7F">
        <w:rPr>
          <w:rFonts w:ascii="Calibri" w:eastAsia="MS Mincho" w:hAnsi="Calibri" w:cs="Times New Roman"/>
        </w:rPr>
        <w:t>L</w:t>
      </w:r>
      <w:proofErr w:type="spellEnd"/>
      <w:r w:rsidR="00AD4E7F">
        <w:rPr>
          <w:rFonts w:ascii="Calibri" w:eastAsia="MS Mincho" w:hAnsi="Calibri" w:cs="Times New Roman"/>
        </w:rPr>
        <w:t xml:space="preserve"> were </w:t>
      </w:r>
      <w:r w:rsidR="00047047">
        <w:rPr>
          <w:rFonts w:ascii="Calibri" w:eastAsia="MS Mincho" w:hAnsi="Calibri" w:cs="Times New Roman"/>
        </w:rPr>
        <w:t>170 and 167.5 mg</w:t>
      </w:r>
      <w:r w:rsidR="00AD4E7F">
        <w:rPr>
          <w:rFonts w:ascii="Calibri" w:eastAsia="MS Mincho" w:hAnsi="Calibri" w:cs="Times New Roman"/>
        </w:rPr>
        <w:t xml:space="preserve">, and </w:t>
      </w:r>
      <w:r w:rsidR="00047047">
        <w:rPr>
          <w:rFonts w:ascii="Calibri" w:eastAsia="MS Mincho" w:hAnsi="Calibri" w:cs="Times New Roman"/>
        </w:rPr>
        <w:t>170 and 167.1 mg</w:t>
      </w:r>
      <w:r w:rsidR="00AD4E7F">
        <w:rPr>
          <w:rFonts w:ascii="Calibri" w:eastAsia="MS Mincho" w:hAnsi="Calibri" w:cs="Times New Roman"/>
        </w:rPr>
        <w:t>, respectively</w:t>
      </w:r>
      <w:r w:rsidR="00047047">
        <w:rPr>
          <w:rFonts w:ascii="Calibri" w:eastAsia="MS Mincho" w:hAnsi="Calibri" w:cs="Times New Roman"/>
        </w:rPr>
        <w:t xml:space="preserve">. </w:t>
      </w:r>
    </w:p>
    <w:p w14:paraId="5C5EA9AC" w14:textId="77777777" w:rsidR="007438AD" w:rsidRDefault="007438AD">
      <w:pPr>
        <w:spacing w:line="276" w:lineRule="auto"/>
        <w:rPr>
          <w:b/>
          <w:sz w:val="28"/>
        </w:rPr>
      </w:pPr>
      <w:r>
        <w:br w:type="page"/>
      </w:r>
    </w:p>
    <w:p w14:paraId="36A00660" w14:textId="77777777" w:rsidR="007B59D2" w:rsidRDefault="007B59D2" w:rsidP="007B59D2">
      <w:pPr>
        <w:pStyle w:val="Heading2"/>
      </w:pPr>
      <w:r>
        <w:lastRenderedPageBreak/>
        <w:t>Number of prescriptions in the first 12 months of treatment</w:t>
      </w:r>
    </w:p>
    <w:p w14:paraId="34215104" w14:textId="7F5E7D38" w:rsidR="00DF2983" w:rsidRDefault="008B03AC" w:rsidP="00DF2983">
      <w:r>
        <w:t xml:space="preserve">The protocol for the </w:t>
      </w:r>
      <w:proofErr w:type="spellStart"/>
      <w:r>
        <w:t>StiL</w:t>
      </w:r>
      <w:proofErr w:type="spellEnd"/>
      <w:r w:rsidR="000E5BAB">
        <w:t xml:space="preserve"> trial included 6 cycles</w:t>
      </w:r>
      <w:r>
        <w:t xml:space="preserve"> </w:t>
      </w:r>
      <w:r w:rsidR="00AF4C18">
        <w:t xml:space="preserve">of B-R induction </w:t>
      </w:r>
      <w:r>
        <w:t xml:space="preserve">(12 </w:t>
      </w:r>
      <w:r w:rsidRPr="00C169FE">
        <w:t>doses</w:t>
      </w:r>
      <w:r w:rsidR="00AF4C18">
        <w:t xml:space="preserve"> of B</w:t>
      </w:r>
      <w:r>
        <w:t>)</w:t>
      </w:r>
      <w:r w:rsidR="000E5BAB">
        <w:t xml:space="preserve"> treatment</w:t>
      </w:r>
      <w:r w:rsidR="00AF4C18">
        <w:t xml:space="preserve">. The trial resulted in </w:t>
      </w:r>
      <w:r>
        <w:t xml:space="preserve">an average of 5.58 cycles (11.2 </w:t>
      </w:r>
      <w:r w:rsidRPr="00C169FE">
        <w:t>doses</w:t>
      </w:r>
      <w:r>
        <w:t xml:space="preserve">) per patient. The PBS restriction specifies that patients should not receive more than 6 cycles (12 </w:t>
      </w:r>
      <w:r w:rsidRPr="00C169FE">
        <w:t>doses</w:t>
      </w:r>
      <w:r>
        <w:t xml:space="preserve">).  The mean number of doses per PBS patient in their first 12 months of treatment was 10.5 and 10.2 for </w:t>
      </w:r>
      <w:proofErr w:type="spellStart"/>
      <w:r>
        <w:t>iNHL</w:t>
      </w:r>
      <w:proofErr w:type="spellEnd"/>
      <w:r>
        <w:t xml:space="preserve"> and MCL patients respectively. </w:t>
      </w:r>
      <w:r w:rsidR="00DF2983">
        <w:t>The median</w:t>
      </w:r>
      <w:r>
        <w:t xml:space="preserve"> number of doses for both MCL and </w:t>
      </w:r>
      <w:proofErr w:type="spellStart"/>
      <w:r>
        <w:t>iNHL</w:t>
      </w:r>
      <w:proofErr w:type="spellEnd"/>
      <w:r>
        <w:t xml:space="preserve"> was </w:t>
      </w:r>
      <w:r w:rsidR="00DF2983">
        <w:t>12</w:t>
      </w:r>
      <w:r>
        <w:t xml:space="preserve">. </w:t>
      </w:r>
    </w:p>
    <w:p w14:paraId="7D2DCC82" w14:textId="684E45A8" w:rsidR="007B59D2" w:rsidRPr="000E27A4" w:rsidRDefault="000E27A4" w:rsidP="000E27A4">
      <w:pPr>
        <w:spacing w:before="240"/>
        <w:outlineLvl w:val="1"/>
        <w:rPr>
          <w:rFonts w:ascii="Calibri" w:eastAsia="MS Mincho" w:hAnsi="Calibri" w:cs="Times New Roman"/>
        </w:rPr>
      </w:pPr>
      <w:r>
        <w:rPr>
          <w:rFonts w:ascii="Calibri" w:eastAsia="MS Mincho" w:hAnsi="Calibri" w:cs="Times New Roman"/>
        </w:rPr>
        <w:t xml:space="preserve">Figure </w:t>
      </w:r>
      <w:r w:rsidR="001560B7">
        <w:rPr>
          <w:rFonts w:ascii="Calibri" w:eastAsia="MS Mincho" w:hAnsi="Calibri" w:cs="Times New Roman"/>
        </w:rPr>
        <w:t>3</w:t>
      </w:r>
      <w:r>
        <w:rPr>
          <w:rFonts w:ascii="Calibri" w:eastAsia="MS Mincho" w:hAnsi="Calibri" w:cs="Times New Roman"/>
        </w:rPr>
        <w:t xml:space="preserve"> shows the distribution of prescriptions (</w:t>
      </w:r>
      <w:r w:rsidR="00C169FE">
        <w:rPr>
          <w:rFonts w:ascii="Calibri" w:eastAsia="MS Mincho" w:hAnsi="Calibri" w:cs="Times New Roman"/>
        </w:rPr>
        <w:t>infusions</w:t>
      </w:r>
      <w:r>
        <w:rPr>
          <w:rFonts w:ascii="Calibri" w:eastAsia="MS Mincho" w:hAnsi="Calibri" w:cs="Times New Roman"/>
        </w:rPr>
        <w:t xml:space="preserve">) of </w:t>
      </w:r>
      <w:proofErr w:type="spellStart"/>
      <w:r>
        <w:rPr>
          <w:rFonts w:ascii="Calibri" w:eastAsia="MS Mincho" w:hAnsi="Calibri" w:cs="Times New Roman"/>
        </w:rPr>
        <w:t>bendamustine</w:t>
      </w:r>
      <w:proofErr w:type="spellEnd"/>
      <w:r>
        <w:rPr>
          <w:rFonts w:ascii="Calibri" w:eastAsia="MS Mincho" w:hAnsi="Calibri" w:cs="Times New Roman"/>
        </w:rPr>
        <w:t xml:space="preserve"> </w:t>
      </w:r>
      <w:r w:rsidR="00EC6809">
        <w:rPr>
          <w:rFonts w:ascii="Calibri" w:eastAsia="MS Mincho" w:hAnsi="Calibri" w:cs="Times New Roman"/>
        </w:rPr>
        <w:t xml:space="preserve">per </w:t>
      </w:r>
      <w:r>
        <w:rPr>
          <w:rFonts w:ascii="Calibri" w:eastAsia="MS Mincho" w:hAnsi="Calibri" w:cs="Times New Roman"/>
        </w:rPr>
        <w:t xml:space="preserve">patient in their first 12 months of treatment. Patients who initiated treatment after the end of September 2017 were excluded from the </w:t>
      </w:r>
      <w:proofErr w:type="gramStart"/>
      <w:r>
        <w:rPr>
          <w:rFonts w:ascii="Calibri" w:eastAsia="MS Mincho" w:hAnsi="Calibri" w:cs="Times New Roman"/>
        </w:rPr>
        <w:t>analysis</w:t>
      </w:r>
      <w:proofErr w:type="gramEnd"/>
      <w:r>
        <w:rPr>
          <w:rFonts w:ascii="Calibri" w:eastAsia="MS Mincho" w:hAnsi="Calibri" w:cs="Times New Roman"/>
        </w:rPr>
        <w:t xml:space="preserve"> as they did not have a full 12 months of </w:t>
      </w:r>
      <w:r w:rsidR="00347ABE">
        <w:rPr>
          <w:rFonts w:ascii="Calibri" w:eastAsia="MS Mincho" w:hAnsi="Calibri" w:cs="Times New Roman"/>
        </w:rPr>
        <w:t>follow up</w:t>
      </w:r>
      <w:r>
        <w:rPr>
          <w:rFonts w:ascii="Calibri" w:eastAsia="MS Mincho" w:hAnsi="Calibri" w:cs="Times New Roman"/>
        </w:rPr>
        <w:t>.</w:t>
      </w:r>
    </w:p>
    <w:p w14:paraId="610B910F" w14:textId="6E2B463E" w:rsidR="000E27A4" w:rsidRPr="000E27A4" w:rsidRDefault="007B59D2" w:rsidP="000E27A4">
      <w:r>
        <w:rPr>
          <w:noProof/>
          <w:lang w:eastAsia="ja-JP"/>
        </w:rPr>
        <w:drawing>
          <wp:inline distT="0" distB="0" distL="0" distR="0" wp14:anchorId="5E8A81B5" wp14:editId="0B0A9DA7">
            <wp:extent cx="5687695" cy="3716447"/>
            <wp:effectExtent l="0" t="0" r="8255" b="17780"/>
            <wp:docPr id="10" name="Chart 10" title="Figure 3: Distribution of number of infusions per patient in first 12 months of treatment by indication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E27A4" w:rsidRPr="004C3356">
        <w:rPr>
          <w:rStyle w:val="FiguretitleChar"/>
        </w:rPr>
        <w:t xml:space="preserve">Figure </w:t>
      </w:r>
      <w:r w:rsidR="001560B7">
        <w:rPr>
          <w:rStyle w:val="FiguretitleChar"/>
        </w:rPr>
        <w:t>3</w:t>
      </w:r>
      <w:r w:rsidR="000E27A4" w:rsidRPr="004C3356">
        <w:rPr>
          <w:rStyle w:val="FiguretitleChar"/>
        </w:rPr>
        <w:t xml:space="preserve">: </w:t>
      </w:r>
      <w:r w:rsidR="000E27A4">
        <w:rPr>
          <w:rStyle w:val="FiguretitleChar"/>
        </w:rPr>
        <w:t xml:space="preserve">Distribution of number of infusions per patient in first 12 months of treatment </w:t>
      </w:r>
      <w:r w:rsidR="00C169FE">
        <w:rPr>
          <w:rStyle w:val="FiguretitleChar"/>
        </w:rPr>
        <w:t xml:space="preserve">by </w:t>
      </w:r>
      <w:r w:rsidR="000E27A4">
        <w:rPr>
          <w:rStyle w:val="FiguretitleChar"/>
        </w:rPr>
        <w:t>indication</w:t>
      </w:r>
      <w:r w:rsidR="000E27A4">
        <w:rPr>
          <w:rFonts w:ascii="Calibri" w:eastAsia="MS Mincho" w:hAnsi="Calibri" w:cs="Times New Roman"/>
          <w:b/>
        </w:rPr>
        <w:t xml:space="preserve"> </w:t>
      </w:r>
      <w:r w:rsidR="000E27A4" w:rsidRPr="004B4DAB">
        <w:rPr>
          <w:rStyle w:val="FigurecaptionChar"/>
        </w:rPr>
        <w:t>Source: DHS prescription database (accessed 15 November 2018</w:t>
      </w:r>
      <w:r w:rsidR="009536B8" w:rsidRPr="004B4DAB">
        <w:rPr>
          <w:rStyle w:val="FigurecaptionChar"/>
        </w:rPr>
        <w:t>)</w:t>
      </w:r>
    </w:p>
    <w:p w14:paraId="75474C04" w14:textId="7C0A7F13" w:rsidR="00EC6809" w:rsidRDefault="00141E32" w:rsidP="00EC6809">
      <w:r>
        <w:t>H</w:t>
      </w:r>
      <w:r w:rsidR="00552898">
        <w:t xml:space="preserve">alf of </w:t>
      </w:r>
      <w:r w:rsidR="000E27A4">
        <w:t xml:space="preserve">patients </w:t>
      </w:r>
      <w:r w:rsidR="00BC41A4">
        <w:t xml:space="preserve">(50.3%) </w:t>
      </w:r>
      <w:r w:rsidR="000E27A4">
        <w:t xml:space="preserve">get 6 cycles (12 </w:t>
      </w:r>
      <w:r w:rsidR="00721A1A">
        <w:t>infusions</w:t>
      </w:r>
      <w:r w:rsidR="000E27A4">
        <w:t>) of treatment</w:t>
      </w:r>
      <w:r w:rsidR="00EC6809">
        <w:t xml:space="preserve"> and 39.2% receive</w:t>
      </w:r>
      <w:r w:rsidR="00496A32">
        <w:t>d</w:t>
      </w:r>
      <w:r w:rsidR="00EC6809">
        <w:t xml:space="preserve"> less than </w:t>
      </w:r>
      <w:r>
        <w:t>6 cycles</w:t>
      </w:r>
      <w:r w:rsidR="00EC6809">
        <w:t xml:space="preserve"> of treatment in the first 12 months.</w:t>
      </w:r>
      <w:r w:rsidR="00DF1D38">
        <w:t xml:space="preserve"> There was a trend toward lower dose and fewer infusions in older patients (Figures </w:t>
      </w:r>
      <w:r w:rsidR="00C169FE">
        <w:t>3</w:t>
      </w:r>
      <w:r w:rsidR="00721A1A">
        <w:t xml:space="preserve"> </w:t>
      </w:r>
      <w:r w:rsidR="00DF1D38">
        <w:t xml:space="preserve">and </w:t>
      </w:r>
      <w:r w:rsidR="00C169FE">
        <w:t>4</w:t>
      </w:r>
      <w:r w:rsidR="00DF1D38">
        <w:t xml:space="preserve">). </w:t>
      </w:r>
    </w:p>
    <w:p w14:paraId="13C8D3C7" w14:textId="42B518AC" w:rsidR="007B59D2" w:rsidRDefault="00141E32" w:rsidP="007B59D2">
      <w:r>
        <w:t>Despite the</w:t>
      </w:r>
      <w:r w:rsidR="000E27A4">
        <w:t xml:space="preserve"> </w:t>
      </w:r>
      <w:proofErr w:type="gramStart"/>
      <w:r w:rsidR="000E27A4">
        <w:t>restriction</w:t>
      </w:r>
      <w:proofErr w:type="gramEnd"/>
      <w:r w:rsidR="000E27A4">
        <w:t xml:space="preserve"> specif</w:t>
      </w:r>
      <w:r>
        <w:t>ying</w:t>
      </w:r>
      <w:r w:rsidR="000E27A4">
        <w:t xml:space="preserve"> that patients should not receive more than 6 cycles (12 doses)</w:t>
      </w:r>
      <w:r>
        <w:t xml:space="preserve"> of </w:t>
      </w:r>
      <w:proofErr w:type="spellStart"/>
      <w:r>
        <w:t>bendamustine</w:t>
      </w:r>
      <w:proofErr w:type="spellEnd"/>
      <w:r>
        <w:t xml:space="preserve">, 10.3% and 11.6% of </w:t>
      </w:r>
      <w:proofErr w:type="spellStart"/>
      <w:r>
        <w:t>iNHL</w:t>
      </w:r>
      <w:proofErr w:type="spellEnd"/>
      <w:r>
        <w:t xml:space="preserve"> and MCL patients respectively received more than 12 </w:t>
      </w:r>
      <w:r>
        <w:lastRenderedPageBreak/>
        <w:t>doses</w:t>
      </w:r>
      <w:r w:rsidR="000E27A4">
        <w:t>.</w:t>
      </w:r>
      <w:r w:rsidR="009B1846">
        <w:t xml:space="preserve"> As a Streamlined Authority, </w:t>
      </w:r>
      <w:r>
        <w:t xml:space="preserve">the requirement to limit use to 6 </w:t>
      </w:r>
      <w:r w:rsidR="005D6742">
        <w:t>cycles relies</w:t>
      </w:r>
      <w:r w:rsidR="009B1846">
        <w:t xml:space="preserve"> on prescribers complying with the restriction.</w:t>
      </w:r>
      <w:r w:rsidR="00BC41A4">
        <w:t xml:space="preserve"> </w:t>
      </w:r>
    </w:p>
    <w:p w14:paraId="2DD4E4D1" w14:textId="77777777" w:rsidR="005D6742" w:rsidRDefault="005D6742">
      <w:pPr>
        <w:spacing w:line="276" w:lineRule="auto"/>
        <w:rPr>
          <w:b/>
          <w:sz w:val="28"/>
          <w:szCs w:val="28"/>
        </w:rPr>
      </w:pPr>
      <w:r>
        <w:rPr>
          <w:b/>
          <w:sz w:val="28"/>
          <w:szCs w:val="28"/>
        </w:rPr>
        <w:br w:type="page"/>
      </w:r>
    </w:p>
    <w:p w14:paraId="01422825" w14:textId="388051F5" w:rsidR="00136482" w:rsidRPr="00BF29C0" w:rsidRDefault="00136482" w:rsidP="00136482">
      <w:pPr>
        <w:spacing w:line="276" w:lineRule="auto"/>
        <w:rPr>
          <w:b/>
          <w:sz w:val="28"/>
          <w:szCs w:val="28"/>
        </w:rPr>
      </w:pPr>
      <w:r w:rsidRPr="00BF29C0">
        <w:rPr>
          <w:b/>
          <w:sz w:val="28"/>
          <w:szCs w:val="28"/>
        </w:rPr>
        <w:lastRenderedPageBreak/>
        <w:t>Age variation of dose and number of cycles</w:t>
      </w:r>
    </w:p>
    <w:p w14:paraId="620AD6E0" w14:textId="1321AFDE" w:rsidR="00136482" w:rsidRDefault="00136482" w:rsidP="00136482">
      <w:pPr>
        <w:spacing w:line="276" w:lineRule="auto"/>
        <w:rPr>
          <w:rFonts w:ascii="Calibri" w:eastAsia="MS Mincho" w:hAnsi="Calibri" w:cs="Times New Roman"/>
          <w:b/>
        </w:rPr>
      </w:pPr>
      <w:r>
        <w:rPr>
          <w:noProof/>
          <w:lang w:eastAsia="ja-JP"/>
        </w:rPr>
        <w:drawing>
          <wp:inline distT="0" distB="0" distL="0" distR="0" wp14:anchorId="47F1BC6C" wp14:editId="0805401F">
            <wp:extent cx="4667250" cy="3048957"/>
            <wp:effectExtent l="0" t="0" r="0" b="18415"/>
            <wp:docPr id="2" name="Chart 2" title="Figure 4: Mean infusion dose by patient age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Calibri" w:eastAsia="MS Mincho" w:hAnsi="Calibri" w:cs="Times New Roman"/>
          <w:b/>
        </w:rPr>
        <w:br/>
      </w:r>
      <w:r w:rsidRPr="00AB1CE7">
        <w:rPr>
          <w:rStyle w:val="FiguretitleChar"/>
        </w:rPr>
        <w:t xml:space="preserve">Figure </w:t>
      </w:r>
      <w:r w:rsidR="001D7E7F" w:rsidRPr="00AB1CE7">
        <w:rPr>
          <w:rStyle w:val="FiguretitleChar"/>
        </w:rPr>
        <w:t>4</w:t>
      </w:r>
      <w:r w:rsidRPr="00AB1CE7">
        <w:rPr>
          <w:rStyle w:val="FiguretitleChar"/>
        </w:rPr>
        <w:t>: Mean infusion dose by patient age group</w:t>
      </w:r>
    </w:p>
    <w:p w14:paraId="54E23B7F" w14:textId="425C9ABF" w:rsidR="00136482" w:rsidRPr="00C63E27" w:rsidRDefault="00136482" w:rsidP="00136482">
      <w:r>
        <w:rPr>
          <w:noProof/>
          <w:lang w:eastAsia="ja-JP"/>
        </w:rPr>
        <w:drawing>
          <wp:inline distT="0" distB="0" distL="0" distR="0" wp14:anchorId="7AFAFD8C" wp14:editId="224FBC53">
            <wp:extent cx="4705350" cy="3073847"/>
            <wp:effectExtent l="0" t="0" r="0" b="12700"/>
            <wp:docPr id="3" name="Chart 3" title="Figure 5: Mean number of infusions / prescriptions per patient in first 12 months of treatment by age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Calibri" w:eastAsia="MS Mincho" w:hAnsi="Calibri" w:cs="Times New Roman"/>
          <w:b/>
        </w:rPr>
        <w:br/>
      </w:r>
      <w:r w:rsidRPr="00AB1CE7">
        <w:rPr>
          <w:rStyle w:val="FiguretitleChar"/>
        </w:rPr>
        <w:t xml:space="preserve">Figure </w:t>
      </w:r>
      <w:r w:rsidR="001D7E7F" w:rsidRPr="00AB1CE7">
        <w:rPr>
          <w:rStyle w:val="FiguretitleChar"/>
        </w:rPr>
        <w:t>5</w:t>
      </w:r>
      <w:r w:rsidRPr="00AB1CE7">
        <w:rPr>
          <w:rStyle w:val="FiguretitleChar"/>
        </w:rPr>
        <w:t>: Mean number of infusions / prescriptions per patient in first 12 months of treatment by age group.</w:t>
      </w:r>
    </w:p>
    <w:p w14:paraId="6BE0933E" w14:textId="77777777" w:rsidR="00DF1D38" w:rsidRDefault="00DF1D38">
      <w:pPr>
        <w:spacing w:line="276" w:lineRule="auto"/>
        <w:rPr>
          <w:b/>
          <w:sz w:val="28"/>
        </w:rPr>
      </w:pPr>
      <w:r>
        <w:br w:type="page"/>
      </w:r>
    </w:p>
    <w:p w14:paraId="1A713F47" w14:textId="7E00483F" w:rsidR="00AC21C3" w:rsidRPr="00AB1CE7" w:rsidRDefault="007D15E9" w:rsidP="00AB1CE7">
      <w:pPr>
        <w:pStyle w:val="Heading2"/>
      </w:pPr>
      <w:r w:rsidRPr="00AB1CE7">
        <w:lastRenderedPageBreak/>
        <w:t>Medicine</w:t>
      </w:r>
      <w:r w:rsidR="00AC21C3" w:rsidRPr="00AB1CE7">
        <w:t xml:space="preserve"> initiation sequence analysis</w:t>
      </w:r>
    </w:p>
    <w:p w14:paraId="0595534C" w14:textId="69B01B76" w:rsidR="007D15E9" w:rsidRPr="007D15E9" w:rsidRDefault="000F0BDF" w:rsidP="00AE0A50">
      <w:pPr>
        <w:pStyle w:val="Tabletitle"/>
        <w:rPr>
          <w:b w:val="0"/>
        </w:rPr>
      </w:pPr>
      <w:r w:rsidRPr="000F0BDF">
        <w:rPr>
          <w:b w:val="0"/>
        </w:rPr>
        <w:t>T</w:t>
      </w:r>
      <w:r>
        <w:rPr>
          <w:b w:val="0"/>
        </w:rPr>
        <w:t>o</w:t>
      </w:r>
      <w:r w:rsidRPr="000F0BDF">
        <w:rPr>
          <w:b w:val="0"/>
        </w:rPr>
        <w:t xml:space="preserve"> assess </w:t>
      </w:r>
      <w:r w:rsidR="003A65CC">
        <w:rPr>
          <w:b w:val="0"/>
        </w:rPr>
        <w:t xml:space="preserve">if </w:t>
      </w:r>
      <w:proofErr w:type="spellStart"/>
      <w:r w:rsidRPr="000F0BDF">
        <w:rPr>
          <w:b w:val="0"/>
        </w:rPr>
        <w:t>bendamustine</w:t>
      </w:r>
      <w:proofErr w:type="spellEnd"/>
      <w:r w:rsidRPr="000F0BDF">
        <w:rPr>
          <w:b w:val="0"/>
        </w:rPr>
        <w:t xml:space="preserve"> </w:t>
      </w:r>
      <w:r w:rsidR="00496A32">
        <w:rPr>
          <w:b w:val="0"/>
        </w:rPr>
        <w:t>wa</w:t>
      </w:r>
      <w:r w:rsidR="003A65CC">
        <w:rPr>
          <w:b w:val="0"/>
        </w:rPr>
        <w:t>s prescribed</w:t>
      </w:r>
      <w:r w:rsidRPr="000F0BDF">
        <w:rPr>
          <w:b w:val="0"/>
        </w:rPr>
        <w:t xml:space="preserve"> outside of the PBS restriction for previously treated </w:t>
      </w:r>
      <w:proofErr w:type="spellStart"/>
      <w:r w:rsidRPr="000F0BDF">
        <w:rPr>
          <w:b w:val="0"/>
        </w:rPr>
        <w:t>iNHL</w:t>
      </w:r>
      <w:proofErr w:type="spellEnd"/>
      <w:r w:rsidRPr="000F0BDF">
        <w:rPr>
          <w:b w:val="0"/>
        </w:rPr>
        <w:t xml:space="preserve"> or MCL or for non-subsidised indications</w:t>
      </w:r>
      <w:r>
        <w:rPr>
          <w:b w:val="0"/>
        </w:rPr>
        <w:t xml:space="preserve"> such as CLL,</w:t>
      </w:r>
      <w:r w:rsidR="007D15E9" w:rsidRPr="007D15E9">
        <w:rPr>
          <w:b w:val="0"/>
        </w:rPr>
        <w:t xml:space="preserve"> medicine </w:t>
      </w:r>
      <w:r w:rsidR="007D15E9">
        <w:rPr>
          <w:b w:val="0"/>
        </w:rPr>
        <w:t>initiation sequences were determined</w:t>
      </w:r>
      <w:r>
        <w:rPr>
          <w:b w:val="0"/>
        </w:rPr>
        <w:t xml:space="preserve">. </w:t>
      </w:r>
      <w:r w:rsidR="00AE0A50">
        <w:rPr>
          <w:b w:val="0"/>
        </w:rPr>
        <w:t xml:space="preserve"> </w:t>
      </w:r>
      <w:r w:rsidR="005F2282">
        <w:rPr>
          <w:b w:val="0"/>
        </w:rPr>
        <w:t>T</w:t>
      </w:r>
      <w:r w:rsidR="00AE0A50">
        <w:rPr>
          <w:b w:val="0"/>
        </w:rPr>
        <w:t xml:space="preserve">he medicines included in the analysis were </w:t>
      </w:r>
      <w:proofErr w:type="spellStart"/>
      <w:r w:rsidR="00AE0A50">
        <w:rPr>
          <w:b w:val="0"/>
        </w:rPr>
        <w:t>bendamustine</w:t>
      </w:r>
      <w:proofErr w:type="spellEnd"/>
      <w:r w:rsidR="003A65CC">
        <w:rPr>
          <w:b w:val="0"/>
        </w:rPr>
        <w:t>;</w:t>
      </w:r>
      <w:r w:rsidR="00AE0A50">
        <w:rPr>
          <w:b w:val="0"/>
        </w:rPr>
        <w:t xml:space="preserve"> </w:t>
      </w:r>
      <w:r w:rsidR="00AE0A50" w:rsidRPr="00AE0A50">
        <w:rPr>
          <w:b w:val="0"/>
        </w:rPr>
        <w:t>rituximab</w:t>
      </w:r>
      <w:r w:rsidR="003A65CC">
        <w:rPr>
          <w:b w:val="0"/>
        </w:rPr>
        <w:t>;</w:t>
      </w:r>
      <w:r w:rsidR="00AE0A50">
        <w:rPr>
          <w:b w:val="0"/>
        </w:rPr>
        <w:t xml:space="preserve"> </w:t>
      </w:r>
      <w:r w:rsidR="00AE0A50" w:rsidRPr="00AE0A50">
        <w:rPr>
          <w:b w:val="0"/>
        </w:rPr>
        <w:t>prednisolone</w:t>
      </w:r>
      <w:r w:rsidR="00AE0A50">
        <w:rPr>
          <w:b w:val="0"/>
        </w:rPr>
        <w:t xml:space="preserve">, </w:t>
      </w:r>
      <w:r w:rsidR="00AE0A50" w:rsidRPr="00AE0A50">
        <w:rPr>
          <w:b w:val="0"/>
        </w:rPr>
        <w:t>cyclophosphamide</w:t>
      </w:r>
      <w:r w:rsidR="00AE0A50">
        <w:rPr>
          <w:b w:val="0"/>
        </w:rPr>
        <w:t xml:space="preserve">, </w:t>
      </w:r>
      <w:r w:rsidR="00AE0A50" w:rsidRPr="00AE0A50">
        <w:rPr>
          <w:b w:val="0"/>
        </w:rPr>
        <w:t>vincristine</w:t>
      </w:r>
      <w:r w:rsidR="00AE0A50">
        <w:rPr>
          <w:b w:val="0"/>
        </w:rPr>
        <w:t xml:space="preserve">, </w:t>
      </w:r>
      <w:r w:rsidR="00AE0A50" w:rsidRPr="00AE0A50">
        <w:rPr>
          <w:b w:val="0"/>
        </w:rPr>
        <w:t>doxorubicin</w:t>
      </w:r>
      <w:r w:rsidR="000A1751">
        <w:rPr>
          <w:b w:val="0"/>
        </w:rPr>
        <w:t xml:space="preserve"> (CHOP or CVP)</w:t>
      </w:r>
      <w:r w:rsidR="003A65CC">
        <w:rPr>
          <w:b w:val="0"/>
        </w:rPr>
        <w:t>;</w:t>
      </w:r>
      <w:r w:rsidR="00AE0A50">
        <w:rPr>
          <w:b w:val="0"/>
        </w:rPr>
        <w:t xml:space="preserve"> </w:t>
      </w:r>
      <w:proofErr w:type="spellStart"/>
      <w:r w:rsidR="00AE0A50" w:rsidRPr="00AE0A50">
        <w:rPr>
          <w:b w:val="0"/>
        </w:rPr>
        <w:t>chlorambucil</w:t>
      </w:r>
      <w:proofErr w:type="spellEnd"/>
      <w:r w:rsidR="00AE0A50">
        <w:rPr>
          <w:b w:val="0"/>
        </w:rPr>
        <w:t xml:space="preserve">, </w:t>
      </w:r>
      <w:proofErr w:type="spellStart"/>
      <w:r w:rsidR="00AE0A50" w:rsidRPr="00AE0A50">
        <w:rPr>
          <w:b w:val="0"/>
        </w:rPr>
        <w:t>fludarabine</w:t>
      </w:r>
      <w:proofErr w:type="spellEnd"/>
      <w:r w:rsidR="00AE0A50">
        <w:rPr>
          <w:b w:val="0"/>
        </w:rPr>
        <w:t xml:space="preserve">, </w:t>
      </w:r>
      <w:proofErr w:type="spellStart"/>
      <w:r w:rsidR="00AE0A50" w:rsidRPr="00AE0A50">
        <w:rPr>
          <w:b w:val="0"/>
        </w:rPr>
        <w:t>ibrutinib</w:t>
      </w:r>
      <w:proofErr w:type="spellEnd"/>
      <w:r w:rsidR="00AE0A50">
        <w:rPr>
          <w:b w:val="0"/>
        </w:rPr>
        <w:t xml:space="preserve">, </w:t>
      </w:r>
      <w:proofErr w:type="spellStart"/>
      <w:r w:rsidR="00AE0A50" w:rsidRPr="00AE0A50">
        <w:rPr>
          <w:b w:val="0"/>
        </w:rPr>
        <w:t>ofatumumab</w:t>
      </w:r>
      <w:proofErr w:type="spellEnd"/>
      <w:r w:rsidR="00AE0A50">
        <w:rPr>
          <w:b w:val="0"/>
        </w:rPr>
        <w:t xml:space="preserve"> and </w:t>
      </w:r>
      <w:proofErr w:type="spellStart"/>
      <w:r w:rsidR="00AE0A50" w:rsidRPr="00AE0A50">
        <w:rPr>
          <w:b w:val="0"/>
        </w:rPr>
        <w:t>obinutuzumab</w:t>
      </w:r>
      <w:proofErr w:type="spellEnd"/>
      <w:r w:rsidR="000A1751">
        <w:rPr>
          <w:b w:val="0"/>
        </w:rPr>
        <w:t xml:space="preserve"> (used for CLL)</w:t>
      </w:r>
      <w:r w:rsidR="00AE0A50">
        <w:rPr>
          <w:b w:val="0"/>
        </w:rPr>
        <w:t>.</w:t>
      </w:r>
    </w:p>
    <w:p w14:paraId="4CA94F8B" w14:textId="366B7781" w:rsidR="00440772" w:rsidRPr="00AB1CE7" w:rsidRDefault="00440772" w:rsidP="00AB1CE7">
      <w:pPr>
        <w:pStyle w:val="Tabletitle"/>
      </w:pPr>
      <w:r w:rsidRPr="00AB1CE7">
        <w:t xml:space="preserve">Table </w:t>
      </w:r>
      <w:r w:rsidR="004B4DAB">
        <w:t>4</w:t>
      </w:r>
      <w:r w:rsidRPr="00AB1CE7">
        <w:t xml:space="preserve">: Medicine initiation sequence, from January 2002 to 6 months post initiation to </w:t>
      </w:r>
      <w:proofErr w:type="spellStart"/>
      <w:r w:rsidRPr="00AB1CE7">
        <w:t>bendamustine</w:t>
      </w:r>
      <w:proofErr w:type="spellEnd"/>
      <w:r w:rsidRPr="00AB1CE7">
        <w:t xml:space="preserve"> for selected medicines. </w:t>
      </w:r>
    </w:p>
    <w:tbl>
      <w:tblPr>
        <w:tblW w:w="9272" w:type="dxa"/>
        <w:tblLayout w:type="fixed"/>
        <w:tblLook w:val="04A0" w:firstRow="1" w:lastRow="0" w:firstColumn="1" w:lastColumn="0" w:noHBand="0" w:noVBand="1"/>
      </w:tblPr>
      <w:tblGrid>
        <w:gridCol w:w="6487"/>
        <w:gridCol w:w="992"/>
        <w:gridCol w:w="993"/>
        <w:gridCol w:w="800"/>
      </w:tblGrid>
      <w:tr w:rsidR="00440772" w:rsidRPr="007401C1" w14:paraId="4DA97C92"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65D6589" w14:textId="77777777" w:rsidR="00440772" w:rsidRPr="00C169FE" w:rsidRDefault="00440772" w:rsidP="00440772">
            <w:pPr>
              <w:spacing w:after="0"/>
              <w:rPr>
                <w:rFonts w:eastAsia="Times New Roman" w:cstheme="minorHAnsi"/>
                <w:b/>
                <w:bCs/>
                <w:color w:val="000000"/>
                <w:sz w:val="20"/>
                <w:szCs w:val="20"/>
              </w:rPr>
            </w:pPr>
            <w:r w:rsidRPr="00C169FE">
              <w:rPr>
                <w:rFonts w:eastAsia="Times New Roman" w:cstheme="minorHAnsi"/>
                <w:b/>
                <w:bCs/>
                <w:color w:val="000000"/>
                <w:sz w:val="20"/>
                <w:szCs w:val="20"/>
              </w:rPr>
              <w:t>Drug initiation sequence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0CEAAD" w14:textId="77777777" w:rsidR="00440772" w:rsidRPr="00C169FE" w:rsidRDefault="00440772" w:rsidP="00440772">
            <w:pPr>
              <w:spacing w:after="0"/>
              <w:jc w:val="center"/>
              <w:rPr>
                <w:rFonts w:eastAsia="Times New Roman" w:cstheme="minorHAnsi"/>
                <w:b/>
                <w:bCs/>
                <w:color w:val="000000"/>
                <w:sz w:val="20"/>
                <w:szCs w:val="20"/>
              </w:rPr>
            </w:pPr>
            <w:r w:rsidRPr="00C169FE">
              <w:rPr>
                <w:rFonts w:eastAsia="Times New Roman" w:cstheme="minorHAnsi"/>
                <w:b/>
                <w:bCs/>
                <w:color w:val="000000"/>
                <w:sz w:val="20"/>
                <w:szCs w:val="20"/>
              </w:rPr>
              <w:t>Patients</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93A146" w14:textId="77777777" w:rsidR="00440772" w:rsidRPr="00C169FE" w:rsidRDefault="00440772" w:rsidP="00440772">
            <w:pPr>
              <w:spacing w:after="0"/>
              <w:jc w:val="center"/>
              <w:rPr>
                <w:rFonts w:eastAsia="Times New Roman" w:cstheme="minorHAnsi"/>
                <w:b/>
                <w:bCs/>
                <w:color w:val="000000"/>
                <w:sz w:val="20"/>
                <w:szCs w:val="20"/>
              </w:rPr>
            </w:pPr>
            <w:r w:rsidRPr="00C169FE">
              <w:rPr>
                <w:rFonts w:eastAsia="Times New Roman" w:cstheme="minorHAnsi"/>
                <w:b/>
                <w:bCs/>
                <w:color w:val="000000"/>
                <w:sz w:val="20"/>
                <w:szCs w:val="20"/>
              </w:rPr>
              <w:t>% Patients</w:t>
            </w:r>
          </w:p>
        </w:tc>
        <w:tc>
          <w:tcPr>
            <w:tcW w:w="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9EDDA3" w14:textId="77777777" w:rsidR="00440772" w:rsidRPr="00C169FE" w:rsidRDefault="00440772" w:rsidP="00440772">
            <w:pPr>
              <w:spacing w:after="0"/>
              <w:jc w:val="center"/>
              <w:rPr>
                <w:rFonts w:eastAsia="Times New Roman" w:cstheme="minorHAnsi"/>
                <w:b/>
                <w:sz w:val="20"/>
                <w:szCs w:val="20"/>
              </w:rPr>
            </w:pPr>
            <w:r w:rsidRPr="00C169FE">
              <w:rPr>
                <w:rFonts w:eastAsia="Times New Roman" w:cstheme="minorHAnsi"/>
                <w:b/>
                <w:sz w:val="20"/>
                <w:szCs w:val="20"/>
              </w:rPr>
              <w:t>Rank</w:t>
            </w:r>
          </w:p>
        </w:tc>
      </w:tr>
      <w:tr w:rsidR="00440772" w:rsidRPr="007401C1" w14:paraId="270F102F"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CDC61" w14:textId="77777777" w:rsidR="00440772" w:rsidRPr="00C169FE" w:rsidRDefault="00440772" w:rsidP="00440772">
            <w:pPr>
              <w:spacing w:after="0"/>
              <w:rPr>
                <w:rFonts w:ascii="Calibri" w:hAnsi="Calibri" w:cs="Calibri"/>
                <w:sz w:val="20"/>
                <w:szCs w:val="20"/>
              </w:rPr>
            </w:pP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rituximab(</w:t>
            </w:r>
            <w:proofErr w:type="spellStart"/>
            <w:r w:rsidRPr="00C169FE">
              <w:rPr>
                <w:rFonts w:ascii="Calibri" w:hAnsi="Calibri" w:cs="Calibri"/>
                <w:sz w:val="20"/>
                <w:szCs w:val="20"/>
              </w:rPr>
              <w:t>sd</w:t>
            </w:r>
            <w:proofErr w:type="spellEnd"/>
            <w:r w:rsidRPr="00C169FE">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F724B"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674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0873A"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34.8%</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0B00F" w14:textId="77777777" w:rsidR="00440772" w:rsidRPr="00C169FE" w:rsidRDefault="00440772" w:rsidP="007E731A">
            <w:pPr>
              <w:spacing w:after="0"/>
              <w:jc w:val="center"/>
              <w:rPr>
                <w:rFonts w:cstheme="minorHAnsi"/>
                <w:sz w:val="20"/>
                <w:szCs w:val="20"/>
              </w:rPr>
            </w:pPr>
            <w:r w:rsidRPr="00C169FE">
              <w:rPr>
                <w:rFonts w:cstheme="minorHAnsi"/>
                <w:sz w:val="20"/>
                <w:szCs w:val="20"/>
              </w:rPr>
              <w:t>1</w:t>
            </w:r>
          </w:p>
        </w:tc>
      </w:tr>
      <w:tr w:rsidR="00440772" w:rsidRPr="007401C1" w14:paraId="3025F1E8"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A1A9"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 xml:space="preserve">prednisolone -&gt; </w:t>
            </w: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rituximab(</w:t>
            </w:r>
            <w:proofErr w:type="spellStart"/>
            <w:r w:rsidRPr="00C169FE">
              <w:rPr>
                <w:rFonts w:ascii="Calibri" w:hAnsi="Calibri" w:cs="Calibri"/>
                <w:sz w:val="20"/>
                <w:szCs w:val="20"/>
              </w:rPr>
              <w:t>sd</w:t>
            </w:r>
            <w:proofErr w:type="spellEnd"/>
            <w:r w:rsidRPr="00C169FE">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287EB"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387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50CB4"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20.0%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51010" w14:textId="77777777" w:rsidR="00440772" w:rsidRPr="00C169FE" w:rsidRDefault="00440772" w:rsidP="007E731A">
            <w:pPr>
              <w:spacing w:after="0"/>
              <w:jc w:val="center"/>
              <w:rPr>
                <w:rFonts w:cstheme="minorHAnsi"/>
                <w:sz w:val="20"/>
                <w:szCs w:val="20"/>
              </w:rPr>
            </w:pPr>
            <w:r w:rsidRPr="00C169FE">
              <w:rPr>
                <w:rFonts w:cstheme="minorHAnsi"/>
                <w:sz w:val="20"/>
                <w:szCs w:val="20"/>
              </w:rPr>
              <w:t>2</w:t>
            </w:r>
          </w:p>
        </w:tc>
      </w:tr>
      <w:tr w:rsidR="00440772" w:rsidRPr="007401C1" w14:paraId="280354C1"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E1EAF"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 xml:space="preserve">rituximab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EB67"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186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2A15E"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9.6%</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5498B" w14:textId="77777777" w:rsidR="00440772" w:rsidRPr="00C169FE" w:rsidRDefault="00440772" w:rsidP="007E731A">
            <w:pPr>
              <w:spacing w:after="0"/>
              <w:jc w:val="center"/>
              <w:rPr>
                <w:rFonts w:cstheme="minorHAnsi"/>
                <w:sz w:val="20"/>
                <w:szCs w:val="20"/>
              </w:rPr>
            </w:pPr>
            <w:r w:rsidRPr="00C169FE">
              <w:rPr>
                <w:rFonts w:cstheme="minorHAnsi"/>
                <w:sz w:val="20"/>
                <w:szCs w:val="20"/>
              </w:rPr>
              <w:t>3</w:t>
            </w:r>
          </w:p>
        </w:tc>
      </w:tr>
      <w:tr w:rsidR="00440772" w:rsidRPr="007401C1" w14:paraId="1EA233E6"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7423D" w14:textId="77777777" w:rsidR="00440772" w:rsidRPr="00C169FE" w:rsidRDefault="00440772" w:rsidP="00440772">
            <w:pPr>
              <w:spacing w:after="0"/>
              <w:rPr>
                <w:rFonts w:ascii="Calibri" w:hAnsi="Calibri" w:cs="Calibri"/>
                <w:sz w:val="20"/>
                <w:szCs w:val="20"/>
              </w:rPr>
            </w:pP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rituximab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4D4A2"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123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E26B7"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6.4%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0087B" w14:textId="77777777" w:rsidR="00440772" w:rsidRPr="00C169FE" w:rsidRDefault="00440772" w:rsidP="007E731A">
            <w:pPr>
              <w:spacing w:after="0"/>
              <w:jc w:val="center"/>
              <w:rPr>
                <w:rFonts w:cstheme="minorHAnsi"/>
                <w:sz w:val="20"/>
                <w:szCs w:val="20"/>
              </w:rPr>
            </w:pPr>
            <w:r w:rsidRPr="00C169FE">
              <w:rPr>
                <w:rFonts w:cstheme="minorHAnsi"/>
                <w:sz w:val="20"/>
                <w:szCs w:val="20"/>
              </w:rPr>
              <w:t>4</w:t>
            </w:r>
          </w:p>
        </w:tc>
      </w:tr>
      <w:tr w:rsidR="00440772" w:rsidRPr="007401C1" w14:paraId="10330BDB"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DB088"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 xml:space="preserve">prednisolone -&gt; rituximab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A312A"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93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CF759"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4.8%</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9B1B3" w14:textId="77777777" w:rsidR="00440772" w:rsidRPr="00C169FE" w:rsidRDefault="00440772" w:rsidP="007E731A">
            <w:pPr>
              <w:spacing w:after="0"/>
              <w:jc w:val="center"/>
              <w:rPr>
                <w:rFonts w:cstheme="minorHAnsi"/>
                <w:sz w:val="20"/>
                <w:szCs w:val="20"/>
              </w:rPr>
            </w:pPr>
            <w:r w:rsidRPr="00C169FE">
              <w:rPr>
                <w:rFonts w:cstheme="minorHAnsi"/>
                <w:sz w:val="20"/>
                <w:szCs w:val="20"/>
              </w:rPr>
              <w:t>5</w:t>
            </w:r>
          </w:p>
        </w:tc>
      </w:tr>
      <w:tr w:rsidR="00440772" w:rsidRPr="007401C1" w14:paraId="5E11674A"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7ABF"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 xml:space="preserve">prednisolone -&gt; </w:t>
            </w: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rituximab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AEFA"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63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C9280"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3.3%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CFEA3" w14:textId="77777777" w:rsidR="00440772" w:rsidRPr="00C169FE" w:rsidRDefault="00440772" w:rsidP="007E731A">
            <w:pPr>
              <w:spacing w:after="0"/>
              <w:jc w:val="center"/>
              <w:rPr>
                <w:rFonts w:cstheme="minorHAnsi"/>
                <w:sz w:val="20"/>
                <w:szCs w:val="20"/>
              </w:rPr>
            </w:pPr>
            <w:r w:rsidRPr="00C169FE">
              <w:rPr>
                <w:rFonts w:cstheme="minorHAnsi"/>
                <w:sz w:val="20"/>
                <w:szCs w:val="20"/>
              </w:rPr>
              <w:t>6</w:t>
            </w:r>
          </w:p>
        </w:tc>
      </w:tr>
      <w:tr w:rsidR="00440772" w:rsidRPr="007401C1" w14:paraId="3B621A1F"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464F0" w14:textId="77777777" w:rsidR="00440772" w:rsidRPr="00C169FE" w:rsidRDefault="00440772" w:rsidP="00440772">
            <w:pPr>
              <w:spacing w:after="0"/>
              <w:rPr>
                <w:rFonts w:ascii="Calibri" w:hAnsi="Calibri" w:cs="Calibri"/>
                <w:sz w:val="20"/>
                <w:szCs w:val="20"/>
              </w:rPr>
            </w:pP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rituximab(</w:t>
            </w:r>
            <w:proofErr w:type="spellStart"/>
            <w:r w:rsidRPr="00C169FE">
              <w:rPr>
                <w:rFonts w:ascii="Calibri" w:hAnsi="Calibri" w:cs="Calibri"/>
                <w:sz w:val="20"/>
                <w:szCs w:val="20"/>
              </w:rPr>
              <w:t>sd</w:t>
            </w:r>
            <w:proofErr w:type="spellEnd"/>
            <w:r w:rsidRPr="00C169FE">
              <w:rPr>
                <w:rFonts w:ascii="Calibri" w:hAnsi="Calibri" w:cs="Calibri"/>
                <w:sz w:val="20"/>
                <w:szCs w:val="20"/>
              </w:rPr>
              <w:t>) -&gt; prednisolone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129FA"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406AE"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2.6%</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1727" w14:textId="77777777" w:rsidR="00440772" w:rsidRPr="00C169FE" w:rsidRDefault="00440772" w:rsidP="007E731A">
            <w:pPr>
              <w:spacing w:after="0"/>
              <w:jc w:val="center"/>
              <w:rPr>
                <w:rFonts w:cstheme="minorHAnsi"/>
                <w:sz w:val="20"/>
                <w:szCs w:val="20"/>
              </w:rPr>
            </w:pPr>
            <w:r w:rsidRPr="00C169FE">
              <w:rPr>
                <w:rFonts w:cstheme="minorHAnsi"/>
                <w:sz w:val="20"/>
                <w:szCs w:val="20"/>
              </w:rPr>
              <w:t>7</w:t>
            </w:r>
          </w:p>
        </w:tc>
      </w:tr>
      <w:tr w:rsidR="00440772" w:rsidRPr="007401C1" w14:paraId="2FF6145B"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E0C4"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 xml:space="preserve">rituximab -&gt; </w:t>
            </w: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prednisolone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BA04F"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1E020"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0.9%</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FF4FA" w14:textId="77777777" w:rsidR="00440772" w:rsidRPr="00C169FE" w:rsidRDefault="00440772" w:rsidP="007E731A">
            <w:pPr>
              <w:spacing w:after="0"/>
              <w:jc w:val="center"/>
              <w:rPr>
                <w:rFonts w:cstheme="minorHAnsi"/>
                <w:sz w:val="20"/>
                <w:szCs w:val="20"/>
              </w:rPr>
            </w:pPr>
            <w:r w:rsidRPr="00C169FE">
              <w:rPr>
                <w:rFonts w:cstheme="minorHAnsi"/>
                <w:sz w:val="20"/>
                <w:szCs w:val="20"/>
              </w:rPr>
              <w:t>8</w:t>
            </w:r>
          </w:p>
        </w:tc>
      </w:tr>
      <w:tr w:rsidR="00440772" w:rsidRPr="007401C1" w14:paraId="38921F09"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7B25D"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cyclophosphamide -&gt; vincristine(</w:t>
            </w:r>
            <w:proofErr w:type="spellStart"/>
            <w:r w:rsidRPr="00C169FE">
              <w:rPr>
                <w:rFonts w:ascii="Calibri" w:hAnsi="Calibri" w:cs="Calibri"/>
                <w:sz w:val="20"/>
                <w:szCs w:val="20"/>
              </w:rPr>
              <w:t>sd</w:t>
            </w:r>
            <w:proofErr w:type="spellEnd"/>
            <w:r w:rsidRPr="00C169FE">
              <w:rPr>
                <w:rFonts w:ascii="Calibri" w:hAnsi="Calibri" w:cs="Calibri"/>
                <w:sz w:val="20"/>
                <w:szCs w:val="20"/>
              </w:rPr>
              <w:t xml:space="preserve">) -&gt; rituximab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26251"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290AB"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4E8C1" w14:textId="77777777" w:rsidR="00440772" w:rsidRPr="00C169FE" w:rsidRDefault="00440772" w:rsidP="007E731A">
            <w:pPr>
              <w:spacing w:after="0"/>
              <w:jc w:val="center"/>
              <w:rPr>
                <w:rFonts w:cstheme="minorHAnsi"/>
                <w:sz w:val="20"/>
                <w:szCs w:val="20"/>
              </w:rPr>
            </w:pPr>
            <w:r w:rsidRPr="00C169FE">
              <w:rPr>
                <w:rFonts w:cstheme="minorHAnsi"/>
                <w:sz w:val="20"/>
                <w:szCs w:val="20"/>
              </w:rPr>
              <w:t>9</w:t>
            </w:r>
          </w:p>
        </w:tc>
      </w:tr>
      <w:tr w:rsidR="00440772" w:rsidRPr="007401C1" w14:paraId="70615DCD"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7DE6"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prednisolone -&gt; cyclophosphamide -&gt; doxorubicin(</w:t>
            </w:r>
            <w:proofErr w:type="spellStart"/>
            <w:r w:rsidRPr="00C169FE">
              <w:rPr>
                <w:rFonts w:ascii="Calibri" w:hAnsi="Calibri" w:cs="Calibri"/>
                <w:sz w:val="20"/>
                <w:szCs w:val="20"/>
              </w:rPr>
              <w:t>sd</w:t>
            </w:r>
            <w:proofErr w:type="spellEnd"/>
            <w:r w:rsidRPr="00C169FE">
              <w:rPr>
                <w:rFonts w:ascii="Calibri" w:hAnsi="Calibri" w:cs="Calibri"/>
                <w:sz w:val="20"/>
                <w:szCs w:val="20"/>
              </w:rPr>
              <w:t>) -&gt; rituximab(</w:t>
            </w:r>
            <w:proofErr w:type="spellStart"/>
            <w:r w:rsidRPr="00C169FE">
              <w:rPr>
                <w:rFonts w:ascii="Calibri" w:hAnsi="Calibri" w:cs="Calibri"/>
                <w:sz w:val="20"/>
                <w:szCs w:val="20"/>
              </w:rPr>
              <w:t>sd</w:t>
            </w:r>
            <w:proofErr w:type="spellEnd"/>
            <w:r w:rsidRPr="00C169FE">
              <w:rPr>
                <w:rFonts w:ascii="Calibri" w:hAnsi="Calibri" w:cs="Calibri"/>
                <w:sz w:val="20"/>
                <w:szCs w:val="20"/>
              </w:rPr>
              <w:t>) -&gt; vincristine(</w:t>
            </w:r>
            <w:proofErr w:type="spellStart"/>
            <w:r w:rsidRPr="00C169FE">
              <w:rPr>
                <w:rFonts w:ascii="Calibri" w:hAnsi="Calibri" w:cs="Calibri"/>
                <w:sz w:val="20"/>
                <w:szCs w:val="20"/>
              </w:rPr>
              <w:t>sd</w:t>
            </w:r>
            <w:proofErr w:type="spellEnd"/>
            <w:r w:rsidRPr="00C169FE">
              <w:rPr>
                <w:rFonts w:ascii="Calibri" w:hAnsi="Calibri" w:cs="Calibri"/>
                <w:sz w:val="20"/>
                <w:szCs w:val="20"/>
              </w:rPr>
              <w:t xml:space="preserve">)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3D464"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7F97C"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FF50" w14:textId="77777777" w:rsidR="00440772" w:rsidRPr="00C169FE" w:rsidRDefault="00440772" w:rsidP="007E731A">
            <w:pPr>
              <w:spacing w:after="0"/>
              <w:jc w:val="center"/>
              <w:rPr>
                <w:rFonts w:cstheme="minorHAnsi"/>
                <w:sz w:val="20"/>
                <w:szCs w:val="20"/>
              </w:rPr>
            </w:pPr>
            <w:r w:rsidRPr="00C169FE">
              <w:rPr>
                <w:rFonts w:cstheme="minorHAnsi"/>
                <w:sz w:val="20"/>
                <w:szCs w:val="20"/>
              </w:rPr>
              <w:t>10</w:t>
            </w:r>
          </w:p>
        </w:tc>
      </w:tr>
      <w:tr w:rsidR="00440772" w:rsidRPr="007401C1" w14:paraId="74A781E3"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87516" w14:textId="041686ED" w:rsidR="00440772" w:rsidRPr="00C169FE" w:rsidRDefault="0039054D" w:rsidP="00440772">
            <w:pPr>
              <w:spacing w:after="0"/>
              <w:rPr>
                <w:rFonts w:ascii="Calibri" w:hAnsi="Calibri" w:cs="Calibri"/>
                <w:sz w:val="20"/>
                <w:szCs w:val="20"/>
              </w:rPr>
            </w:pPr>
            <w:r w:rsidRPr="00C169FE">
              <w:rPr>
                <w:rFonts w:ascii="Calibri" w:hAnsi="Calibri" w:cs="Calibri"/>
                <w:sz w:val="20"/>
                <w:szCs w:val="20"/>
              </w:rPr>
              <w:t>B</w:t>
            </w:r>
            <w:r w:rsidR="00440772" w:rsidRPr="00C169FE">
              <w:rPr>
                <w:rFonts w:ascii="Calibri" w:hAnsi="Calibri" w:cs="Calibri"/>
                <w:sz w:val="20"/>
                <w:szCs w:val="20"/>
              </w:rPr>
              <w:t>endamustine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0B151"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F78F2"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FB3F5" w14:textId="77777777" w:rsidR="00440772" w:rsidRPr="00C169FE" w:rsidRDefault="00440772" w:rsidP="007E731A">
            <w:pPr>
              <w:spacing w:after="0"/>
              <w:jc w:val="center"/>
              <w:rPr>
                <w:rFonts w:cstheme="minorHAnsi"/>
                <w:sz w:val="20"/>
                <w:szCs w:val="20"/>
              </w:rPr>
            </w:pPr>
            <w:r w:rsidRPr="00C169FE">
              <w:rPr>
                <w:rFonts w:cstheme="minorHAnsi"/>
                <w:sz w:val="20"/>
                <w:szCs w:val="20"/>
              </w:rPr>
              <w:t>11</w:t>
            </w:r>
          </w:p>
        </w:tc>
      </w:tr>
      <w:tr w:rsidR="00440772" w:rsidRPr="007401C1" w14:paraId="2317E497"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D108" w14:textId="77777777" w:rsidR="00440772" w:rsidRPr="00C169FE" w:rsidRDefault="00440772" w:rsidP="00440772">
            <w:pPr>
              <w:spacing w:after="0"/>
              <w:rPr>
                <w:rFonts w:ascii="Calibri" w:hAnsi="Calibri" w:cs="Calibri"/>
                <w:sz w:val="20"/>
                <w:szCs w:val="20"/>
              </w:rPr>
            </w:pP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rituximab -&gt; prednisolone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0B93"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0748"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F18D1" w14:textId="77777777" w:rsidR="00440772" w:rsidRPr="00C169FE" w:rsidRDefault="00440772" w:rsidP="007E731A">
            <w:pPr>
              <w:spacing w:after="0"/>
              <w:jc w:val="center"/>
              <w:rPr>
                <w:rFonts w:cstheme="minorHAnsi"/>
                <w:sz w:val="20"/>
                <w:szCs w:val="20"/>
              </w:rPr>
            </w:pPr>
            <w:r w:rsidRPr="00C169FE">
              <w:rPr>
                <w:rFonts w:cstheme="minorHAnsi"/>
                <w:sz w:val="20"/>
                <w:szCs w:val="20"/>
              </w:rPr>
              <w:t>12</w:t>
            </w:r>
          </w:p>
        </w:tc>
      </w:tr>
      <w:tr w:rsidR="00440772" w:rsidRPr="007401C1" w14:paraId="155AA16E"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94673" w14:textId="77777777" w:rsidR="00440772" w:rsidRPr="00C169FE" w:rsidRDefault="00440772" w:rsidP="00440772">
            <w:pPr>
              <w:spacing w:after="0"/>
              <w:rPr>
                <w:rFonts w:ascii="Calibri" w:hAnsi="Calibri" w:cs="Calibri"/>
                <w:sz w:val="20"/>
                <w:szCs w:val="20"/>
              </w:rPr>
            </w:pPr>
            <w:proofErr w:type="spellStart"/>
            <w:r w:rsidRPr="00C169FE">
              <w:rPr>
                <w:rFonts w:ascii="Calibri" w:hAnsi="Calibri" w:cs="Calibri"/>
                <w:sz w:val="20"/>
                <w:szCs w:val="20"/>
              </w:rPr>
              <w:t>chlorambucil</w:t>
            </w:r>
            <w:proofErr w:type="spellEnd"/>
            <w:r w:rsidRPr="00C169FE">
              <w:rPr>
                <w:rFonts w:ascii="Calibri" w:hAnsi="Calibri" w:cs="Calibri"/>
                <w:sz w:val="20"/>
                <w:szCs w:val="20"/>
              </w:rPr>
              <w:t xml:space="preserve"> -&gt; </w:t>
            </w:r>
            <w:proofErr w:type="spellStart"/>
            <w:r w:rsidRPr="00C169FE">
              <w:rPr>
                <w:rFonts w:ascii="Calibri" w:hAnsi="Calibri" w:cs="Calibri"/>
                <w:sz w:val="20"/>
                <w:szCs w:val="20"/>
              </w:rPr>
              <w:t>bendamustine</w:t>
            </w:r>
            <w:proofErr w:type="spellEnd"/>
            <w:r w:rsidRPr="00C169FE">
              <w:rPr>
                <w:rFonts w:ascii="Calibri" w:hAnsi="Calibri" w:cs="Calibri"/>
                <w:sz w:val="20"/>
                <w:szCs w:val="20"/>
              </w:rPr>
              <w:t xml:space="preserve"> -&gt; rituximab(</w:t>
            </w:r>
            <w:proofErr w:type="spellStart"/>
            <w:r w:rsidRPr="00C169FE">
              <w:rPr>
                <w:rFonts w:ascii="Calibri" w:hAnsi="Calibri" w:cs="Calibri"/>
                <w:sz w:val="20"/>
                <w:szCs w:val="20"/>
              </w:rPr>
              <w:t>sd</w:t>
            </w:r>
            <w:proofErr w:type="spellEnd"/>
            <w:r w:rsidRPr="00C169FE">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0A291"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40A9"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25EC5" w14:textId="77777777" w:rsidR="00440772" w:rsidRPr="00C169FE" w:rsidRDefault="00440772" w:rsidP="007E731A">
            <w:pPr>
              <w:spacing w:after="0"/>
              <w:jc w:val="center"/>
              <w:rPr>
                <w:rFonts w:cstheme="minorHAnsi"/>
                <w:sz w:val="20"/>
                <w:szCs w:val="20"/>
              </w:rPr>
            </w:pPr>
            <w:r w:rsidRPr="00C169FE">
              <w:rPr>
                <w:rFonts w:cstheme="minorHAnsi"/>
                <w:sz w:val="20"/>
                <w:szCs w:val="20"/>
              </w:rPr>
              <w:t>13</w:t>
            </w:r>
          </w:p>
        </w:tc>
      </w:tr>
      <w:tr w:rsidR="00440772" w:rsidRPr="007401C1" w14:paraId="7637954B"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FC816" w14:textId="77777777" w:rsidR="00440772" w:rsidRPr="00C169FE" w:rsidRDefault="00440772" w:rsidP="00440772">
            <w:pPr>
              <w:spacing w:after="0"/>
              <w:rPr>
                <w:rFonts w:ascii="Calibri" w:hAnsi="Calibri" w:cs="Calibri"/>
                <w:sz w:val="20"/>
                <w:szCs w:val="20"/>
              </w:rPr>
            </w:pPr>
            <w:proofErr w:type="spellStart"/>
            <w:r w:rsidRPr="00C169FE">
              <w:rPr>
                <w:rFonts w:ascii="Calibri" w:hAnsi="Calibri" w:cs="Calibri"/>
                <w:sz w:val="20"/>
                <w:szCs w:val="20"/>
              </w:rPr>
              <w:t>chlorambucil</w:t>
            </w:r>
            <w:proofErr w:type="spellEnd"/>
            <w:r w:rsidRPr="00C169FE">
              <w:rPr>
                <w:rFonts w:ascii="Calibri" w:hAnsi="Calibri" w:cs="Calibri"/>
                <w:sz w:val="20"/>
                <w:szCs w:val="20"/>
              </w:rPr>
              <w:t xml:space="preserve"> -&gt; rituximab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BC6A4"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04278"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2B49C" w14:textId="77777777" w:rsidR="00440772" w:rsidRPr="00C169FE" w:rsidRDefault="00440772" w:rsidP="007E731A">
            <w:pPr>
              <w:spacing w:after="0"/>
              <w:jc w:val="center"/>
              <w:rPr>
                <w:rFonts w:cstheme="minorHAnsi"/>
                <w:sz w:val="20"/>
                <w:szCs w:val="20"/>
              </w:rPr>
            </w:pPr>
            <w:r w:rsidRPr="00C169FE">
              <w:rPr>
                <w:rFonts w:cstheme="minorHAnsi"/>
                <w:sz w:val="20"/>
                <w:szCs w:val="20"/>
              </w:rPr>
              <w:t>14</w:t>
            </w:r>
          </w:p>
        </w:tc>
      </w:tr>
      <w:tr w:rsidR="00440772" w:rsidRPr="007401C1" w14:paraId="617612FE"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7492B"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cyclophosphamide -&gt; doxorubicin(</w:t>
            </w:r>
            <w:proofErr w:type="spellStart"/>
            <w:r w:rsidRPr="00C169FE">
              <w:rPr>
                <w:rFonts w:ascii="Calibri" w:hAnsi="Calibri" w:cs="Calibri"/>
                <w:sz w:val="20"/>
                <w:szCs w:val="20"/>
              </w:rPr>
              <w:t>sd</w:t>
            </w:r>
            <w:proofErr w:type="spellEnd"/>
            <w:r w:rsidRPr="00C169FE">
              <w:rPr>
                <w:rFonts w:ascii="Calibri" w:hAnsi="Calibri" w:cs="Calibri"/>
                <w:sz w:val="20"/>
                <w:szCs w:val="20"/>
              </w:rPr>
              <w:t>) -&gt; rituximab(</w:t>
            </w:r>
            <w:proofErr w:type="spellStart"/>
            <w:r w:rsidRPr="00C169FE">
              <w:rPr>
                <w:rFonts w:ascii="Calibri" w:hAnsi="Calibri" w:cs="Calibri"/>
                <w:sz w:val="20"/>
                <w:szCs w:val="20"/>
              </w:rPr>
              <w:t>sd</w:t>
            </w:r>
            <w:proofErr w:type="spellEnd"/>
            <w:r w:rsidRPr="00C169FE">
              <w:rPr>
                <w:rFonts w:ascii="Calibri" w:hAnsi="Calibri" w:cs="Calibri"/>
                <w:sz w:val="20"/>
                <w:szCs w:val="20"/>
              </w:rPr>
              <w:t>) -&gt; vincristine(</w:t>
            </w:r>
            <w:proofErr w:type="spellStart"/>
            <w:r w:rsidRPr="00C169FE">
              <w:rPr>
                <w:rFonts w:ascii="Calibri" w:hAnsi="Calibri" w:cs="Calibri"/>
                <w:sz w:val="20"/>
                <w:szCs w:val="20"/>
              </w:rPr>
              <w:t>sd</w:t>
            </w:r>
            <w:proofErr w:type="spellEnd"/>
            <w:r w:rsidRPr="00C169FE">
              <w:rPr>
                <w:rFonts w:ascii="Calibri" w:hAnsi="Calibri" w:cs="Calibri"/>
                <w:sz w:val="20"/>
                <w:szCs w:val="20"/>
              </w:rPr>
              <w:t xml:space="preserve">)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ED842"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B0317"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25C27" w14:textId="77777777" w:rsidR="00440772" w:rsidRPr="00C169FE" w:rsidRDefault="00440772" w:rsidP="007E731A">
            <w:pPr>
              <w:spacing w:after="0"/>
              <w:jc w:val="center"/>
              <w:rPr>
                <w:rFonts w:cstheme="minorHAnsi"/>
                <w:sz w:val="20"/>
                <w:szCs w:val="20"/>
              </w:rPr>
            </w:pPr>
            <w:r w:rsidRPr="00C169FE">
              <w:rPr>
                <w:rFonts w:cstheme="minorHAnsi"/>
                <w:sz w:val="20"/>
                <w:szCs w:val="20"/>
              </w:rPr>
              <w:t>15</w:t>
            </w:r>
          </w:p>
        </w:tc>
      </w:tr>
      <w:tr w:rsidR="00440772" w:rsidRPr="007401C1" w14:paraId="2A62C99C"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3776A"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cyclophosphamide -&gt; doxorubicin(</w:t>
            </w:r>
            <w:proofErr w:type="spellStart"/>
            <w:r w:rsidRPr="00C169FE">
              <w:rPr>
                <w:rFonts w:ascii="Calibri" w:hAnsi="Calibri" w:cs="Calibri"/>
                <w:sz w:val="20"/>
                <w:szCs w:val="20"/>
              </w:rPr>
              <w:t>sd</w:t>
            </w:r>
            <w:proofErr w:type="spellEnd"/>
            <w:r w:rsidRPr="00C169FE">
              <w:rPr>
                <w:rFonts w:ascii="Calibri" w:hAnsi="Calibri" w:cs="Calibri"/>
                <w:sz w:val="20"/>
                <w:szCs w:val="20"/>
              </w:rPr>
              <w:t>) -&gt; vincristine(</w:t>
            </w:r>
            <w:proofErr w:type="spellStart"/>
            <w:r w:rsidRPr="00C169FE">
              <w:rPr>
                <w:rFonts w:ascii="Calibri" w:hAnsi="Calibri" w:cs="Calibri"/>
                <w:sz w:val="20"/>
                <w:szCs w:val="20"/>
              </w:rPr>
              <w:t>sd</w:t>
            </w:r>
            <w:proofErr w:type="spellEnd"/>
            <w:r w:rsidRPr="00C169FE">
              <w:rPr>
                <w:rFonts w:ascii="Calibri" w:hAnsi="Calibri" w:cs="Calibri"/>
                <w:sz w:val="20"/>
                <w:szCs w:val="20"/>
              </w:rPr>
              <w:t xml:space="preserve">) -&gt; rituximab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8C885"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153D4"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9F116" w14:textId="77777777" w:rsidR="00440772" w:rsidRPr="00C169FE" w:rsidRDefault="00440772" w:rsidP="007E731A">
            <w:pPr>
              <w:spacing w:after="0"/>
              <w:jc w:val="center"/>
              <w:rPr>
                <w:rFonts w:cstheme="minorHAnsi"/>
                <w:sz w:val="20"/>
                <w:szCs w:val="20"/>
              </w:rPr>
            </w:pPr>
            <w:r w:rsidRPr="00C169FE">
              <w:rPr>
                <w:rFonts w:cstheme="minorHAnsi"/>
                <w:sz w:val="20"/>
                <w:szCs w:val="20"/>
              </w:rPr>
              <w:t>16</w:t>
            </w:r>
          </w:p>
        </w:tc>
      </w:tr>
      <w:tr w:rsidR="00440772" w:rsidRPr="007401C1" w14:paraId="314563C1"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D3FBD"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prednisolone -&gt; rituximab -&gt; cyclophosphamide -&gt; doxorubicin(</w:t>
            </w:r>
            <w:proofErr w:type="spellStart"/>
            <w:r w:rsidRPr="00C169FE">
              <w:rPr>
                <w:rFonts w:ascii="Calibri" w:hAnsi="Calibri" w:cs="Calibri"/>
                <w:sz w:val="20"/>
                <w:szCs w:val="20"/>
              </w:rPr>
              <w:t>sd</w:t>
            </w:r>
            <w:proofErr w:type="spellEnd"/>
            <w:r w:rsidRPr="00C169FE">
              <w:rPr>
                <w:rFonts w:ascii="Calibri" w:hAnsi="Calibri" w:cs="Calibri"/>
                <w:sz w:val="20"/>
                <w:szCs w:val="20"/>
              </w:rPr>
              <w:t>) -&gt; vincristine(</w:t>
            </w:r>
            <w:proofErr w:type="spellStart"/>
            <w:r w:rsidRPr="00C169FE">
              <w:rPr>
                <w:rFonts w:ascii="Calibri" w:hAnsi="Calibri" w:cs="Calibri"/>
                <w:sz w:val="20"/>
                <w:szCs w:val="20"/>
              </w:rPr>
              <w:t>sd</w:t>
            </w:r>
            <w:proofErr w:type="spellEnd"/>
            <w:r w:rsidRPr="00C169FE">
              <w:rPr>
                <w:rFonts w:ascii="Calibri" w:hAnsi="Calibri" w:cs="Calibri"/>
                <w:sz w:val="20"/>
                <w:szCs w:val="20"/>
              </w:rPr>
              <w:t xml:space="preserve">)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2F5E1"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5F68"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C1C5" w14:textId="77777777" w:rsidR="00440772" w:rsidRPr="00C169FE" w:rsidRDefault="00440772" w:rsidP="007E731A">
            <w:pPr>
              <w:spacing w:after="0"/>
              <w:jc w:val="center"/>
              <w:rPr>
                <w:rFonts w:cstheme="minorHAnsi"/>
                <w:sz w:val="20"/>
                <w:szCs w:val="20"/>
              </w:rPr>
            </w:pPr>
            <w:r w:rsidRPr="00C169FE">
              <w:rPr>
                <w:rFonts w:cstheme="minorHAnsi"/>
                <w:sz w:val="20"/>
                <w:szCs w:val="20"/>
              </w:rPr>
              <w:t>17</w:t>
            </w:r>
          </w:p>
        </w:tc>
      </w:tr>
      <w:tr w:rsidR="00440772" w:rsidRPr="007401C1" w14:paraId="6D5364EF"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0BE00"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 xml:space="preserve">rituximab -&gt; prednisolone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5EC80"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D6EC"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7EF47" w14:textId="77777777" w:rsidR="00440772" w:rsidRPr="00C169FE" w:rsidRDefault="00440772" w:rsidP="007E731A">
            <w:pPr>
              <w:spacing w:after="0"/>
              <w:jc w:val="center"/>
              <w:rPr>
                <w:rFonts w:cstheme="minorHAnsi"/>
                <w:sz w:val="20"/>
                <w:szCs w:val="20"/>
              </w:rPr>
            </w:pPr>
            <w:r w:rsidRPr="00C169FE">
              <w:rPr>
                <w:rFonts w:cstheme="minorHAnsi"/>
                <w:sz w:val="20"/>
                <w:szCs w:val="20"/>
              </w:rPr>
              <w:t>18</w:t>
            </w:r>
          </w:p>
        </w:tc>
      </w:tr>
      <w:tr w:rsidR="00440772" w:rsidRPr="007401C1" w14:paraId="5A5DB6D4"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4257A" w14:textId="77777777" w:rsidR="00440772" w:rsidRPr="00C169FE" w:rsidRDefault="00440772" w:rsidP="00440772">
            <w:pPr>
              <w:spacing w:after="0"/>
              <w:rPr>
                <w:rFonts w:ascii="Calibri" w:hAnsi="Calibri" w:cs="Calibri"/>
                <w:sz w:val="20"/>
                <w:szCs w:val="20"/>
              </w:rPr>
            </w:pPr>
            <w:r w:rsidRPr="00C169FE">
              <w:rPr>
                <w:rFonts w:ascii="Calibri" w:hAnsi="Calibri" w:cs="Calibri"/>
                <w:sz w:val="20"/>
                <w:szCs w:val="20"/>
              </w:rPr>
              <w:t>prednisolone -&gt; cyclophosphamide -&gt; rituximab(</w:t>
            </w:r>
            <w:proofErr w:type="spellStart"/>
            <w:r w:rsidRPr="00C169FE">
              <w:rPr>
                <w:rFonts w:ascii="Calibri" w:hAnsi="Calibri" w:cs="Calibri"/>
                <w:sz w:val="20"/>
                <w:szCs w:val="20"/>
              </w:rPr>
              <w:t>sd</w:t>
            </w:r>
            <w:proofErr w:type="spellEnd"/>
            <w:r w:rsidRPr="00C169FE">
              <w:rPr>
                <w:rFonts w:ascii="Calibri" w:hAnsi="Calibri" w:cs="Calibri"/>
                <w:sz w:val="20"/>
                <w:szCs w:val="20"/>
              </w:rPr>
              <w:t>) -&gt; vincristine(</w:t>
            </w:r>
            <w:proofErr w:type="spellStart"/>
            <w:r w:rsidRPr="00C169FE">
              <w:rPr>
                <w:rFonts w:ascii="Calibri" w:hAnsi="Calibri" w:cs="Calibri"/>
                <w:sz w:val="20"/>
                <w:szCs w:val="20"/>
              </w:rPr>
              <w:t>sd</w:t>
            </w:r>
            <w:proofErr w:type="spellEnd"/>
            <w:r w:rsidRPr="00C169FE">
              <w:rPr>
                <w:rFonts w:ascii="Calibri" w:hAnsi="Calibri" w:cs="Calibri"/>
                <w:sz w:val="20"/>
                <w:szCs w:val="20"/>
              </w:rPr>
              <w:t xml:space="preserve">) -&gt; </w:t>
            </w:r>
            <w:proofErr w:type="spellStart"/>
            <w:r w:rsidRPr="00C169FE">
              <w:rPr>
                <w:rFonts w:ascii="Calibri" w:hAnsi="Calibri" w:cs="Calibri"/>
                <w:sz w:val="20"/>
                <w:szCs w:val="20"/>
              </w:rPr>
              <w:t>bendamustine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E8E84"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E2596" w14:textId="77777777" w:rsidR="00440772" w:rsidRPr="00C169FE" w:rsidRDefault="00440772" w:rsidP="007E731A">
            <w:pPr>
              <w:spacing w:after="0"/>
              <w:jc w:val="center"/>
              <w:rPr>
                <w:rFonts w:ascii="Calibri" w:hAnsi="Calibri" w:cs="Calibri"/>
                <w:sz w:val="20"/>
                <w:szCs w:val="20"/>
              </w:rPr>
            </w:pPr>
            <w:r w:rsidRPr="00C169FE">
              <w:rPr>
                <w:rFonts w:ascii="Calibri" w:hAnsi="Calibri" w:cs="Calibri"/>
                <w:sz w:val="20"/>
                <w:szCs w:val="20"/>
              </w:rPr>
              <w:t>0.3%</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B7D7" w14:textId="77777777" w:rsidR="00440772" w:rsidRPr="00C169FE" w:rsidRDefault="00440772" w:rsidP="007E731A">
            <w:pPr>
              <w:spacing w:after="0"/>
              <w:jc w:val="center"/>
              <w:rPr>
                <w:rFonts w:cstheme="minorHAnsi"/>
                <w:sz w:val="20"/>
                <w:szCs w:val="20"/>
              </w:rPr>
            </w:pPr>
            <w:r w:rsidRPr="00C169FE">
              <w:rPr>
                <w:rFonts w:cstheme="minorHAnsi"/>
                <w:sz w:val="20"/>
                <w:szCs w:val="20"/>
              </w:rPr>
              <w:t>19</w:t>
            </w:r>
          </w:p>
        </w:tc>
      </w:tr>
      <w:tr w:rsidR="00440772" w:rsidRPr="007401C1" w14:paraId="1C82F07C"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BC971" w14:textId="77777777" w:rsidR="00440772" w:rsidRPr="00C169FE" w:rsidRDefault="00440772" w:rsidP="00440772">
            <w:pPr>
              <w:spacing w:after="0"/>
              <w:rPr>
                <w:rFonts w:eastAsia="Times New Roman" w:cstheme="minorHAnsi"/>
                <w:sz w:val="20"/>
                <w:szCs w:val="20"/>
              </w:rPr>
            </w:pPr>
            <w:r w:rsidRPr="00C169FE">
              <w:rPr>
                <w:rFonts w:eastAsia="Times New Roman" w:cstheme="minorHAnsi"/>
                <w:sz w:val="20"/>
                <w:szCs w:val="20"/>
              </w:rPr>
              <w:t>Other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BD982" w14:textId="77777777" w:rsidR="00440772" w:rsidRPr="00C169FE" w:rsidRDefault="00BC6791" w:rsidP="007E731A">
            <w:pPr>
              <w:spacing w:after="0"/>
              <w:jc w:val="center"/>
              <w:rPr>
                <w:rFonts w:eastAsia="Times New Roman" w:cstheme="minorHAnsi"/>
                <w:sz w:val="20"/>
                <w:szCs w:val="20"/>
              </w:rPr>
            </w:pPr>
            <w:r w:rsidRPr="00C169FE">
              <w:rPr>
                <w:rFonts w:eastAsia="Times New Roman" w:cstheme="minorHAnsi"/>
                <w:sz w:val="20"/>
                <w:szCs w:val="20"/>
              </w:rPr>
              <w:t>265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40174" w14:textId="77777777" w:rsidR="00440772" w:rsidRPr="00C169FE" w:rsidRDefault="00440772" w:rsidP="007E731A">
            <w:pPr>
              <w:spacing w:after="0"/>
              <w:jc w:val="center"/>
              <w:rPr>
                <w:rFonts w:eastAsia="Times New Roman" w:cstheme="minorHAnsi"/>
                <w:sz w:val="20"/>
                <w:szCs w:val="20"/>
              </w:rPr>
            </w:pPr>
            <w:r w:rsidRPr="00C169FE">
              <w:rPr>
                <w:rFonts w:eastAsia="Times New Roman" w:cstheme="minorHAnsi"/>
                <w:sz w:val="20"/>
                <w:szCs w:val="20"/>
              </w:rPr>
              <w:t>1</w:t>
            </w:r>
            <w:r w:rsidR="00BC6791" w:rsidRPr="00C169FE">
              <w:rPr>
                <w:rFonts w:eastAsia="Times New Roman" w:cstheme="minorHAnsi"/>
                <w:sz w:val="20"/>
                <w:szCs w:val="20"/>
              </w:rPr>
              <w:t>3</w:t>
            </w:r>
            <w:r w:rsidRPr="00C169FE">
              <w:rPr>
                <w:rFonts w:eastAsia="Times New Roman" w:cstheme="minorHAnsi"/>
                <w:sz w:val="20"/>
                <w:szCs w:val="20"/>
              </w:rPr>
              <w:t>.</w:t>
            </w:r>
            <w:r w:rsidR="00BC6791" w:rsidRPr="00C169FE">
              <w:rPr>
                <w:rFonts w:eastAsia="Times New Roman" w:cstheme="minorHAnsi"/>
                <w:sz w:val="20"/>
                <w:szCs w:val="20"/>
              </w:rPr>
              <w:t>7</w:t>
            </w:r>
            <w:r w:rsidRPr="00C169FE">
              <w:rPr>
                <w:rFonts w:eastAsia="Times New Roman" w:cstheme="minorHAnsi"/>
                <w:sz w:val="20"/>
                <w:szCs w:val="20"/>
              </w:rPr>
              <w:t>%</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8A5F1" w14:textId="77777777" w:rsidR="00440772" w:rsidRPr="00C169FE" w:rsidRDefault="00440772" w:rsidP="007E731A">
            <w:pPr>
              <w:spacing w:after="0"/>
              <w:jc w:val="center"/>
              <w:rPr>
                <w:rFonts w:eastAsia="Times New Roman" w:cstheme="minorHAnsi"/>
                <w:sz w:val="20"/>
                <w:szCs w:val="20"/>
              </w:rPr>
            </w:pPr>
          </w:p>
        </w:tc>
      </w:tr>
      <w:tr w:rsidR="00440772" w:rsidRPr="007401C1" w14:paraId="4852C37A" w14:textId="77777777" w:rsidTr="007E731A">
        <w:trPr>
          <w:trHeight w:val="113"/>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08808" w14:textId="77777777" w:rsidR="00440772" w:rsidRPr="00C169FE" w:rsidRDefault="00440772" w:rsidP="00440772">
            <w:pPr>
              <w:spacing w:after="0"/>
              <w:rPr>
                <w:rFonts w:eastAsia="Times New Roman" w:cstheme="minorHAnsi"/>
                <w:sz w:val="20"/>
                <w:szCs w:val="20"/>
              </w:rPr>
            </w:pPr>
            <w:r w:rsidRPr="00C169FE">
              <w:rPr>
                <w:rFonts w:eastAsia="Times New Roman" w:cstheme="minorHAnsi"/>
                <w:sz w:val="20"/>
                <w:szCs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F8395" w14:textId="77777777" w:rsidR="00440772" w:rsidRPr="00C169FE" w:rsidRDefault="00440772" w:rsidP="007E731A">
            <w:pPr>
              <w:spacing w:after="0"/>
              <w:jc w:val="center"/>
              <w:rPr>
                <w:rFonts w:eastAsia="Times New Roman" w:cstheme="minorHAnsi"/>
                <w:sz w:val="20"/>
                <w:szCs w:val="20"/>
              </w:rPr>
            </w:pPr>
            <w:r w:rsidRPr="00C169FE">
              <w:rPr>
                <w:rFonts w:eastAsia="Times New Roman" w:cstheme="minorHAnsi"/>
                <w:sz w:val="20"/>
                <w:szCs w:val="20"/>
              </w:rPr>
              <w:t>1,936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7BB74" w14:textId="77777777" w:rsidR="00440772" w:rsidRPr="00C169FE" w:rsidRDefault="00440772" w:rsidP="007E731A">
            <w:pPr>
              <w:spacing w:after="0"/>
              <w:jc w:val="center"/>
              <w:rPr>
                <w:rFonts w:eastAsia="Times New Roman" w:cstheme="minorHAnsi"/>
                <w:sz w:val="20"/>
                <w:szCs w:val="20"/>
              </w:rPr>
            </w:pPr>
            <w:r w:rsidRPr="00C169FE">
              <w:rPr>
                <w:rFonts w:eastAsia="Times New Roman" w:cstheme="minorHAnsi"/>
                <w:sz w:val="20"/>
                <w:szCs w:val="20"/>
              </w:rPr>
              <w:t>100%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F2030" w14:textId="77777777" w:rsidR="00440772" w:rsidRPr="00C169FE" w:rsidRDefault="00440772" w:rsidP="007E731A">
            <w:pPr>
              <w:spacing w:after="0"/>
              <w:jc w:val="center"/>
              <w:rPr>
                <w:rFonts w:eastAsia="Times New Roman" w:cstheme="minorHAnsi"/>
                <w:sz w:val="20"/>
                <w:szCs w:val="20"/>
              </w:rPr>
            </w:pPr>
          </w:p>
        </w:tc>
      </w:tr>
    </w:tbl>
    <w:p w14:paraId="6917BF02" w14:textId="77777777" w:rsidR="00523276" w:rsidRDefault="00440772" w:rsidP="007E731A">
      <w:pPr>
        <w:pStyle w:val="Figurecaption"/>
      </w:pPr>
      <w:r w:rsidRPr="00556E92">
        <w:t>Note: (</w:t>
      </w:r>
      <w:proofErr w:type="spellStart"/>
      <w:proofErr w:type="gramStart"/>
      <w:r w:rsidRPr="00556E92">
        <w:t>sd</w:t>
      </w:r>
      <w:proofErr w:type="spellEnd"/>
      <w:proofErr w:type="gramEnd"/>
      <w:r w:rsidRPr="00556E92">
        <w:t xml:space="preserve">) = </w:t>
      </w:r>
      <w:r>
        <w:t xml:space="preserve">same day initiation (i.e. </w:t>
      </w:r>
      <w:r w:rsidRPr="00556E92">
        <w:t>initiated drug on the same day as prior drug in the sequence</w:t>
      </w:r>
      <w:r>
        <w:t>)</w:t>
      </w:r>
      <w:r w:rsidRPr="00556E92">
        <w:t>.</w:t>
      </w:r>
    </w:p>
    <w:p w14:paraId="2A220AD8" w14:textId="31D0B5BE" w:rsidR="00440772" w:rsidRDefault="00523276" w:rsidP="007E731A">
      <w:pPr>
        <w:pStyle w:val="Figurecaption"/>
      </w:pPr>
      <w:r>
        <w:t xml:space="preserve">Note: arrows indicate order of medicines appearing in the </w:t>
      </w:r>
      <w:r w:rsidR="00C92243">
        <w:t>patients</w:t>
      </w:r>
      <w:r w:rsidR="0039054D">
        <w:t xml:space="preserve"> </w:t>
      </w:r>
      <w:r>
        <w:t xml:space="preserve">PBS dispensing history. </w:t>
      </w:r>
      <w:r w:rsidR="0039054D">
        <w:t>Hospital and pharmacy dispensing practices may mean that n</w:t>
      </w:r>
      <w:r>
        <w:t xml:space="preserve">ot all components of </w:t>
      </w:r>
      <w:r w:rsidR="0039054D">
        <w:t>treatment regimens</w:t>
      </w:r>
      <w:r>
        <w:t xml:space="preserve"> </w:t>
      </w:r>
      <w:r w:rsidR="0039054D">
        <w:t xml:space="preserve">are </w:t>
      </w:r>
      <w:r>
        <w:t>dispe</w:t>
      </w:r>
      <w:r w:rsidR="0039054D">
        <w:t>nsed on the same da</w:t>
      </w:r>
      <w:r w:rsidR="00C169FE">
        <w:t>y</w:t>
      </w:r>
      <w:r>
        <w:t xml:space="preserve">. </w:t>
      </w:r>
      <w:r w:rsidR="007A1805">
        <w:br/>
      </w:r>
    </w:p>
    <w:p w14:paraId="21DB5119" w14:textId="1524A18A" w:rsidR="003A65CC" w:rsidRDefault="007A1805" w:rsidP="00AB1CE7">
      <w:pPr>
        <w:rPr>
          <w:rFonts w:ascii="Calibri" w:eastAsia="MS Mincho" w:hAnsi="Calibri" w:cs="Times New Roman"/>
        </w:rPr>
      </w:pPr>
      <w:r>
        <w:rPr>
          <w:rFonts w:ascii="Calibri" w:eastAsia="MS Mincho" w:hAnsi="Calibri" w:cs="Times New Roman"/>
        </w:rPr>
        <w:t xml:space="preserve">Analysis of the data </w:t>
      </w:r>
      <w:r w:rsidR="00676DDE">
        <w:rPr>
          <w:rFonts w:ascii="Calibri" w:eastAsia="MS Mincho" w:hAnsi="Calibri" w:cs="Times New Roman"/>
        </w:rPr>
        <w:t xml:space="preserve">for </w:t>
      </w:r>
      <w:r w:rsidRPr="00DD6738">
        <w:rPr>
          <w:rFonts w:ascii="Calibri" w:eastAsia="MS Mincho" w:hAnsi="Calibri" w:cs="Times New Roman"/>
        </w:rPr>
        <w:t xml:space="preserve">Table </w:t>
      </w:r>
      <w:r w:rsidR="004B4DAB">
        <w:rPr>
          <w:rFonts w:ascii="Calibri" w:eastAsia="MS Mincho" w:hAnsi="Calibri" w:cs="Times New Roman"/>
        </w:rPr>
        <w:t>4</w:t>
      </w:r>
      <w:r>
        <w:rPr>
          <w:rFonts w:ascii="Calibri" w:eastAsia="MS Mincho" w:hAnsi="Calibri" w:cs="Times New Roman"/>
        </w:rPr>
        <w:t xml:space="preserve"> shows that 84.5% of patients have sequences that only contain </w:t>
      </w:r>
      <w:proofErr w:type="spellStart"/>
      <w:r w:rsidRPr="00556E92">
        <w:rPr>
          <w:rFonts w:ascii="Calibri" w:eastAsia="MS Mincho" w:hAnsi="Calibri" w:cs="Times New Roman"/>
        </w:rPr>
        <w:t>bendamustine</w:t>
      </w:r>
      <w:proofErr w:type="spellEnd"/>
      <w:r>
        <w:rPr>
          <w:rFonts w:ascii="Calibri" w:eastAsia="MS Mincho" w:hAnsi="Calibri" w:cs="Times New Roman"/>
        </w:rPr>
        <w:t xml:space="preserve">, </w:t>
      </w:r>
      <w:r w:rsidRPr="00556E92">
        <w:rPr>
          <w:rFonts w:ascii="Calibri" w:eastAsia="MS Mincho" w:hAnsi="Calibri" w:cs="Times New Roman"/>
        </w:rPr>
        <w:t>rituximab</w:t>
      </w:r>
      <w:r>
        <w:rPr>
          <w:rFonts w:ascii="Calibri" w:eastAsia="MS Mincho" w:hAnsi="Calibri" w:cs="Times New Roman"/>
        </w:rPr>
        <w:t xml:space="preserve"> or </w:t>
      </w:r>
      <w:r w:rsidRPr="00556E92">
        <w:rPr>
          <w:rFonts w:ascii="Calibri" w:eastAsia="MS Mincho" w:hAnsi="Calibri" w:cs="Times New Roman"/>
        </w:rPr>
        <w:t>prednisolone</w:t>
      </w:r>
      <w:r>
        <w:rPr>
          <w:rFonts w:ascii="Calibri" w:eastAsia="MS Mincho" w:hAnsi="Calibri" w:cs="Times New Roman"/>
        </w:rPr>
        <w:t>.</w:t>
      </w:r>
      <w:r w:rsidR="004A4362">
        <w:rPr>
          <w:rFonts w:ascii="Calibri" w:eastAsia="MS Mincho" w:hAnsi="Calibri" w:cs="Times New Roman"/>
        </w:rPr>
        <w:t xml:space="preserve"> This confirms that the majority of </w:t>
      </w:r>
      <w:proofErr w:type="spellStart"/>
      <w:r w:rsidR="004A4362">
        <w:rPr>
          <w:rFonts w:ascii="Calibri" w:eastAsia="MS Mincho" w:hAnsi="Calibri" w:cs="Times New Roman"/>
        </w:rPr>
        <w:t>bendamustine</w:t>
      </w:r>
      <w:proofErr w:type="spellEnd"/>
      <w:r w:rsidR="004A4362">
        <w:rPr>
          <w:rFonts w:ascii="Calibri" w:eastAsia="MS Mincho" w:hAnsi="Calibri" w:cs="Times New Roman"/>
        </w:rPr>
        <w:t xml:space="preserve"> use is within the restriction.</w:t>
      </w:r>
      <w:r>
        <w:rPr>
          <w:rFonts w:ascii="Calibri" w:eastAsia="MS Mincho" w:hAnsi="Calibri" w:cs="Times New Roman"/>
        </w:rPr>
        <w:t xml:space="preserve"> </w:t>
      </w:r>
      <w:r w:rsidR="00297B34">
        <w:rPr>
          <w:rFonts w:ascii="Calibri" w:eastAsia="MS Mincho" w:hAnsi="Calibri" w:cs="Times New Roman"/>
        </w:rPr>
        <w:t>However,</w:t>
      </w:r>
      <w:r w:rsidR="003A65CC">
        <w:rPr>
          <w:rFonts w:ascii="Calibri" w:eastAsia="MS Mincho" w:hAnsi="Calibri" w:cs="Times New Roman"/>
        </w:rPr>
        <w:t xml:space="preserve"> </w:t>
      </w:r>
      <w:proofErr w:type="spellStart"/>
      <w:r w:rsidR="003A65CC">
        <w:rPr>
          <w:rFonts w:ascii="Calibri" w:eastAsia="MS Mincho" w:hAnsi="Calibri" w:cs="Times New Roman"/>
        </w:rPr>
        <w:t>bendamustine</w:t>
      </w:r>
      <w:proofErr w:type="spellEnd"/>
      <w:r w:rsidR="00496A32">
        <w:rPr>
          <w:rFonts w:ascii="Calibri" w:eastAsia="MS Mincho" w:hAnsi="Calibri" w:cs="Times New Roman"/>
        </w:rPr>
        <w:t xml:space="preserve"> wa</w:t>
      </w:r>
      <w:r w:rsidR="003A65CC">
        <w:rPr>
          <w:rFonts w:ascii="Calibri" w:eastAsia="MS Mincho" w:hAnsi="Calibri" w:cs="Times New Roman"/>
        </w:rPr>
        <w:t>s also used outside of the restriction as demonstrated by:</w:t>
      </w:r>
    </w:p>
    <w:p w14:paraId="483A4A6A" w14:textId="7492C236" w:rsidR="00576A16" w:rsidRDefault="00576A16" w:rsidP="00AB1CE7">
      <w:pPr>
        <w:pStyle w:val="ListParagraph"/>
        <w:numPr>
          <w:ilvl w:val="0"/>
          <w:numId w:val="30"/>
        </w:numPr>
        <w:rPr>
          <w:rFonts w:ascii="Calibri" w:eastAsia="MS Mincho" w:hAnsi="Calibri" w:cs="Times New Roman"/>
        </w:rPr>
      </w:pPr>
      <w:r>
        <w:rPr>
          <w:rFonts w:ascii="Calibri" w:eastAsia="MS Mincho" w:hAnsi="Calibri" w:cs="Times New Roman"/>
        </w:rPr>
        <w:t xml:space="preserve">3.8% of patients had prior cyclophosphamide, doxorubicin, vincristine, prednisolone (CHOP) and 1.6% of patients had prior cyclophosphamide, vincristine, prednisolone (CVP) indicating that </w:t>
      </w:r>
      <w:r>
        <w:rPr>
          <w:rFonts w:ascii="Calibri" w:eastAsia="MS Mincho" w:hAnsi="Calibri" w:cs="Times New Roman"/>
        </w:rPr>
        <w:lastRenderedPageBreak/>
        <w:t xml:space="preserve">these patients have received previous treatment for </w:t>
      </w:r>
      <w:proofErr w:type="spellStart"/>
      <w:r>
        <w:rPr>
          <w:rFonts w:ascii="Calibri" w:eastAsia="MS Mincho" w:hAnsi="Calibri" w:cs="Times New Roman"/>
        </w:rPr>
        <w:t>iNHL</w:t>
      </w:r>
      <w:proofErr w:type="spellEnd"/>
      <w:r>
        <w:rPr>
          <w:rFonts w:ascii="Calibri" w:eastAsia="MS Mincho" w:hAnsi="Calibri" w:cs="Times New Roman"/>
        </w:rPr>
        <w:t xml:space="preserve"> or MCL</w:t>
      </w:r>
      <w:r>
        <w:rPr>
          <w:rStyle w:val="FootnoteReference"/>
          <w:rFonts w:ascii="Calibri" w:eastAsia="MS Mincho" w:hAnsi="Calibri" w:cs="Times New Roman"/>
        </w:rPr>
        <w:footnoteReference w:id="9"/>
      </w:r>
      <w:r w:rsidR="0077740F">
        <w:rPr>
          <w:rFonts w:ascii="Calibri" w:eastAsia="MS Mincho" w:hAnsi="Calibri" w:cs="Times New Roman"/>
        </w:rPr>
        <w:t>. Overall, 5.4% of patients had prior CVP or CHOP</w:t>
      </w:r>
      <w:r>
        <w:rPr>
          <w:rFonts w:ascii="Calibri" w:eastAsia="MS Mincho" w:hAnsi="Calibri" w:cs="Times New Roman"/>
        </w:rPr>
        <w:t>;</w:t>
      </w:r>
    </w:p>
    <w:p w14:paraId="5AF51143" w14:textId="4BB6E000" w:rsidR="007A1805" w:rsidRPr="00297B34" w:rsidRDefault="007B3261" w:rsidP="00AB1CE7">
      <w:pPr>
        <w:pStyle w:val="ListParagraph"/>
        <w:numPr>
          <w:ilvl w:val="0"/>
          <w:numId w:val="30"/>
        </w:numPr>
        <w:rPr>
          <w:rFonts w:ascii="Calibri" w:eastAsia="MS Mincho" w:hAnsi="Calibri" w:cs="Times New Roman"/>
        </w:rPr>
      </w:pPr>
      <w:r>
        <w:rPr>
          <w:rFonts w:ascii="Calibri" w:eastAsia="MS Mincho" w:hAnsi="Calibri" w:cs="Times New Roman"/>
        </w:rPr>
        <w:t xml:space="preserve">3.8% of patients </w:t>
      </w:r>
      <w:r w:rsidR="00576A16">
        <w:rPr>
          <w:rFonts w:ascii="Calibri" w:eastAsia="MS Mincho" w:hAnsi="Calibri" w:cs="Times New Roman"/>
        </w:rPr>
        <w:t xml:space="preserve">treated with </w:t>
      </w:r>
      <w:proofErr w:type="spellStart"/>
      <w:r w:rsidR="00576A16">
        <w:rPr>
          <w:rFonts w:ascii="Calibri" w:eastAsia="MS Mincho" w:hAnsi="Calibri" w:cs="Times New Roman"/>
        </w:rPr>
        <w:t>bendamustine</w:t>
      </w:r>
      <w:proofErr w:type="spellEnd"/>
      <w:r w:rsidR="00576A16">
        <w:rPr>
          <w:rFonts w:ascii="Calibri" w:eastAsia="MS Mincho" w:hAnsi="Calibri" w:cs="Times New Roman"/>
        </w:rPr>
        <w:t xml:space="preserve"> had at least one supply of a medicine for </w:t>
      </w:r>
      <w:r>
        <w:rPr>
          <w:rFonts w:ascii="Calibri" w:eastAsia="MS Mincho" w:hAnsi="Calibri" w:cs="Times New Roman"/>
        </w:rPr>
        <w:t>CLL (</w:t>
      </w:r>
      <w:proofErr w:type="spellStart"/>
      <w:r w:rsidR="007A1805" w:rsidRPr="00297B34">
        <w:rPr>
          <w:rFonts w:ascii="Calibri" w:eastAsia="MS Mincho" w:hAnsi="Calibri" w:cs="Times New Roman"/>
        </w:rPr>
        <w:t>chlorambucil</w:t>
      </w:r>
      <w:proofErr w:type="spellEnd"/>
      <w:r w:rsidR="007A1805" w:rsidRPr="00297B34">
        <w:rPr>
          <w:rFonts w:ascii="Calibri" w:eastAsia="MS Mincho" w:hAnsi="Calibri" w:cs="Times New Roman"/>
        </w:rPr>
        <w:t xml:space="preserve">, </w:t>
      </w:r>
      <w:proofErr w:type="spellStart"/>
      <w:r w:rsidR="007A1805" w:rsidRPr="00297B34">
        <w:rPr>
          <w:rFonts w:ascii="Calibri" w:eastAsia="MS Mincho" w:hAnsi="Calibri" w:cs="Times New Roman"/>
        </w:rPr>
        <w:t>ofatumumab</w:t>
      </w:r>
      <w:proofErr w:type="spellEnd"/>
      <w:r w:rsidR="007A1805" w:rsidRPr="00297B34">
        <w:rPr>
          <w:rFonts w:ascii="Calibri" w:eastAsia="MS Mincho" w:hAnsi="Calibri" w:cs="Times New Roman"/>
        </w:rPr>
        <w:t xml:space="preserve">, </w:t>
      </w:r>
      <w:proofErr w:type="spellStart"/>
      <w:r w:rsidR="007A1805" w:rsidRPr="00297B34">
        <w:rPr>
          <w:rFonts w:ascii="Calibri" w:eastAsia="MS Mincho" w:hAnsi="Calibri" w:cs="Times New Roman"/>
        </w:rPr>
        <w:t>obinutuzumab</w:t>
      </w:r>
      <w:proofErr w:type="spellEnd"/>
      <w:r w:rsidR="007A1805" w:rsidRPr="00297B34">
        <w:rPr>
          <w:rFonts w:ascii="Calibri" w:eastAsia="MS Mincho" w:hAnsi="Calibri" w:cs="Times New Roman"/>
        </w:rPr>
        <w:t xml:space="preserve"> or </w:t>
      </w:r>
      <w:proofErr w:type="spellStart"/>
      <w:r w:rsidR="007A1805" w:rsidRPr="00297B34">
        <w:rPr>
          <w:rFonts w:ascii="Calibri" w:eastAsia="MS Mincho" w:hAnsi="Calibri" w:cs="Times New Roman"/>
        </w:rPr>
        <w:t>ibrutinib</w:t>
      </w:r>
      <w:proofErr w:type="spellEnd"/>
      <w:r w:rsidR="00576A16">
        <w:rPr>
          <w:rFonts w:ascii="Calibri" w:eastAsia="MS Mincho" w:hAnsi="Calibri" w:cs="Times New Roman"/>
        </w:rPr>
        <w:t>)</w:t>
      </w:r>
      <w:r w:rsidR="007A1805" w:rsidRPr="00297B34">
        <w:rPr>
          <w:rFonts w:ascii="Calibri" w:eastAsia="MS Mincho" w:hAnsi="Calibri" w:cs="Times New Roman"/>
        </w:rPr>
        <w:t>.</w:t>
      </w:r>
      <w:r w:rsidR="00473E21">
        <w:rPr>
          <w:rFonts w:ascii="Calibri" w:eastAsia="MS Mincho" w:hAnsi="Calibri" w:cs="Times New Roman"/>
        </w:rPr>
        <w:t xml:space="preserve"> 1.1% of patients were supplied </w:t>
      </w:r>
      <w:proofErr w:type="spellStart"/>
      <w:r w:rsidR="00473E21">
        <w:rPr>
          <w:rFonts w:ascii="Calibri" w:eastAsia="MS Mincho" w:hAnsi="Calibri" w:cs="Times New Roman"/>
        </w:rPr>
        <w:t>fludarabine</w:t>
      </w:r>
      <w:proofErr w:type="spellEnd"/>
      <w:r w:rsidR="00473E21">
        <w:rPr>
          <w:rFonts w:ascii="Calibri" w:eastAsia="MS Mincho" w:hAnsi="Calibri" w:cs="Times New Roman"/>
        </w:rPr>
        <w:t xml:space="preserve"> (and rituximab).</w:t>
      </w:r>
      <w:r w:rsidR="00A82FB7">
        <w:rPr>
          <w:rFonts w:ascii="Calibri" w:eastAsia="MS Mincho" w:hAnsi="Calibri" w:cs="Times New Roman"/>
        </w:rPr>
        <w:t xml:space="preserve"> In total 4.5% </w:t>
      </w:r>
      <w:r w:rsidR="00C169FE">
        <w:rPr>
          <w:rFonts w:ascii="Calibri" w:eastAsia="MS Mincho" w:hAnsi="Calibri" w:cs="Times New Roman"/>
        </w:rPr>
        <w:t xml:space="preserve">of patients </w:t>
      </w:r>
      <w:r w:rsidR="00A82FB7">
        <w:rPr>
          <w:rFonts w:ascii="Calibri" w:eastAsia="MS Mincho" w:hAnsi="Calibri" w:cs="Times New Roman"/>
        </w:rPr>
        <w:t>were supplied any of these CLL medicines.</w:t>
      </w:r>
      <w:r w:rsidR="00473E21">
        <w:rPr>
          <w:rFonts w:ascii="Calibri" w:eastAsia="MS Mincho" w:hAnsi="Calibri" w:cs="Times New Roman"/>
        </w:rPr>
        <w:t xml:space="preserve"> </w:t>
      </w:r>
      <w:r w:rsidR="00576A16" w:rsidRPr="00297B34">
        <w:rPr>
          <w:rFonts w:ascii="Calibri" w:eastAsia="MS Mincho" w:hAnsi="Calibri" w:cs="Times New Roman"/>
        </w:rPr>
        <w:t xml:space="preserve">Bendamustine is </w:t>
      </w:r>
      <w:r w:rsidR="00576A16">
        <w:rPr>
          <w:rFonts w:ascii="Calibri" w:eastAsia="MS Mincho" w:hAnsi="Calibri" w:cs="Times New Roman"/>
        </w:rPr>
        <w:t>T</w:t>
      </w:r>
      <w:r w:rsidR="00576A16" w:rsidRPr="00297B34">
        <w:rPr>
          <w:rFonts w:ascii="Calibri" w:eastAsia="MS Mincho" w:hAnsi="Calibri" w:cs="Times New Roman"/>
        </w:rPr>
        <w:t>GA registered but not PBS subsidised for treatment of CLL.</w:t>
      </w:r>
    </w:p>
    <w:p w14:paraId="7C5021E7" w14:textId="513F20BF" w:rsidR="00676DDE" w:rsidRDefault="00676DDE" w:rsidP="00AB1CE7">
      <w:pPr>
        <w:rPr>
          <w:rFonts w:ascii="Calibri" w:eastAsia="MS Mincho" w:hAnsi="Calibri" w:cs="Times New Roman"/>
        </w:rPr>
      </w:pPr>
      <w:r>
        <w:rPr>
          <w:rFonts w:ascii="Calibri" w:eastAsia="MS Mincho" w:hAnsi="Calibri" w:cs="Times New Roman"/>
        </w:rPr>
        <w:t>Overall</w:t>
      </w:r>
      <w:r w:rsidR="00473E21">
        <w:rPr>
          <w:rFonts w:ascii="Calibri" w:eastAsia="MS Mincho" w:hAnsi="Calibri" w:cs="Times New Roman"/>
        </w:rPr>
        <w:t>,</w:t>
      </w:r>
      <w:r>
        <w:rPr>
          <w:rFonts w:ascii="Calibri" w:eastAsia="MS Mincho" w:hAnsi="Calibri" w:cs="Times New Roman"/>
        </w:rPr>
        <w:t xml:space="preserve"> </w:t>
      </w:r>
      <w:r w:rsidR="00E22E85">
        <w:rPr>
          <w:rFonts w:ascii="Calibri" w:eastAsia="MS Mincho" w:hAnsi="Calibri" w:cs="Times New Roman"/>
        </w:rPr>
        <w:t>190</w:t>
      </w:r>
      <w:r>
        <w:rPr>
          <w:rFonts w:ascii="Calibri" w:eastAsia="MS Mincho" w:hAnsi="Calibri" w:cs="Times New Roman"/>
        </w:rPr>
        <w:t xml:space="preserve"> patients </w:t>
      </w:r>
      <w:r w:rsidR="00047047">
        <w:rPr>
          <w:rFonts w:ascii="Calibri" w:eastAsia="MS Mincho" w:hAnsi="Calibri" w:cs="Times New Roman"/>
        </w:rPr>
        <w:t>(</w:t>
      </w:r>
      <w:r w:rsidR="009352BC">
        <w:rPr>
          <w:rFonts w:ascii="Calibri" w:eastAsia="MS Mincho" w:hAnsi="Calibri" w:cs="Times New Roman"/>
        </w:rPr>
        <w:t>9.8</w:t>
      </w:r>
      <w:r>
        <w:rPr>
          <w:rFonts w:ascii="Calibri" w:eastAsia="MS Mincho" w:hAnsi="Calibri" w:cs="Times New Roman"/>
        </w:rPr>
        <w:t xml:space="preserve">%) had any of the above indicators of </w:t>
      </w:r>
      <w:r w:rsidR="00473E21">
        <w:rPr>
          <w:rFonts w:ascii="Calibri" w:eastAsia="MS Mincho" w:hAnsi="Calibri" w:cs="Times New Roman"/>
        </w:rPr>
        <w:t xml:space="preserve">receiving </w:t>
      </w:r>
      <w:proofErr w:type="spellStart"/>
      <w:r w:rsidR="00473E21">
        <w:rPr>
          <w:rFonts w:ascii="Calibri" w:eastAsia="MS Mincho" w:hAnsi="Calibri" w:cs="Times New Roman"/>
        </w:rPr>
        <w:t>bendamustine</w:t>
      </w:r>
      <w:proofErr w:type="spellEnd"/>
      <w:r w:rsidR="00473E21">
        <w:rPr>
          <w:rFonts w:ascii="Calibri" w:eastAsia="MS Mincho" w:hAnsi="Calibri" w:cs="Times New Roman"/>
        </w:rPr>
        <w:t xml:space="preserve"> outside of the proposed restriction</w:t>
      </w:r>
      <w:r w:rsidR="00FA4E02">
        <w:rPr>
          <w:rFonts w:ascii="Calibri" w:eastAsia="MS Mincho" w:hAnsi="Calibri" w:cs="Times New Roman"/>
        </w:rPr>
        <w:t>,</w:t>
      </w:r>
      <w:r w:rsidR="00473E21">
        <w:rPr>
          <w:rFonts w:ascii="Calibri" w:eastAsia="MS Mincho" w:hAnsi="Calibri" w:cs="Times New Roman"/>
        </w:rPr>
        <w:t xml:space="preserve"> either as they were previously treated for </w:t>
      </w:r>
      <w:proofErr w:type="spellStart"/>
      <w:r w:rsidR="00473E21">
        <w:rPr>
          <w:rFonts w:ascii="Calibri" w:eastAsia="MS Mincho" w:hAnsi="Calibri" w:cs="Times New Roman"/>
        </w:rPr>
        <w:t>iNHL</w:t>
      </w:r>
      <w:proofErr w:type="spellEnd"/>
      <w:r w:rsidR="00473E21">
        <w:rPr>
          <w:rFonts w:ascii="Calibri" w:eastAsia="MS Mincho" w:hAnsi="Calibri" w:cs="Times New Roman"/>
        </w:rPr>
        <w:t xml:space="preserve"> or are likely to have CLL</w:t>
      </w:r>
      <w:r w:rsidR="00FA4E02">
        <w:rPr>
          <w:rFonts w:ascii="Calibri" w:eastAsia="MS Mincho" w:hAnsi="Calibri" w:cs="Times New Roman"/>
        </w:rPr>
        <w:t xml:space="preserve"> (t</w:t>
      </w:r>
      <w:r w:rsidR="00047047">
        <w:rPr>
          <w:rFonts w:ascii="Calibri" w:eastAsia="MS Mincho" w:hAnsi="Calibri" w:cs="Times New Roman"/>
        </w:rPr>
        <w:t>his does not double count patients that had more than one of the indicators)</w:t>
      </w:r>
      <w:r>
        <w:rPr>
          <w:rFonts w:ascii="Calibri" w:eastAsia="MS Mincho" w:hAnsi="Calibri" w:cs="Times New Roman"/>
        </w:rPr>
        <w:t xml:space="preserve">. </w:t>
      </w:r>
    </w:p>
    <w:p w14:paraId="1BF35066" w14:textId="77777777" w:rsidR="00C169FE" w:rsidRDefault="00C169FE">
      <w:pPr>
        <w:spacing w:line="276" w:lineRule="auto"/>
        <w:rPr>
          <w:b/>
          <w:sz w:val="28"/>
          <w:szCs w:val="28"/>
        </w:rPr>
      </w:pPr>
      <w:r>
        <w:rPr>
          <w:b/>
          <w:sz w:val="28"/>
          <w:szCs w:val="28"/>
        </w:rPr>
        <w:br w:type="page"/>
      </w:r>
    </w:p>
    <w:p w14:paraId="5E3BE440" w14:textId="1FB27305" w:rsidR="002545A5" w:rsidRDefault="002545A5" w:rsidP="002545A5">
      <w:pPr>
        <w:spacing w:line="276" w:lineRule="auto"/>
        <w:rPr>
          <w:b/>
          <w:sz w:val="28"/>
          <w:szCs w:val="28"/>
        </w:rPr>
      </w:pPr>
      <w:r w:rsidRPr="002545A5">
        <w:rPr>
          <w:b/>
          <w:sz w:val="28"/>
          <w:szCs w:val="28"/>
        </w:rPr>
        <w:lastRenderedPageBreak/>
        <w:t xml:space="preserve">Assessing rituximab usage with </w:t>
      </w:r>
      <w:proofErr w:type="spellStart"/>
      <w:r w:rsidRPr="002545A5">
        <w:rPr>
          <w:b/>
          <w:sz w:val="28"/>
          <w:szCs w:val="28"/>
        </w:rPr>
        <w:t>bendamustine</w:t>
      </w:r>
      <w:proofErr w:type="spellEnd"/>
    </w:p>
    <w:p w14:paraId="6CDFA436" w14:textId="29C528A4" w:rsidR="00523276" w:rsidRPr="00953D99" w:rsidRDefault="0039054D" w:rsidP="00AB1CE7">
      <w:r>
        <w:rPr>
          <w:rFonts w:ascii="Calibri" w:eastAsia="MS Mincho" w:hAnsi="Calibri" w:cs="Times New Roman"/>
        </w:rPr>
        <w:t>Patterns of r</w:t>
      </w:r>
      <w:r w:rsidR="00523276">
        <w:rPr>
          <w:rFonts w:ascii="Calibri" w:eastAsia="MS Mincho" w:hAnsi="Calibri" w:cs="Times New Roman"/>
        </w:rPr>
        <w:t xml:space="preserve">ituximab </w:t>
      </w:r>
      <w:r>
        <w:rPr>
          <w:rFonts w:ascii="Calibri" w:eastAsia="MS Mincho" w:hAnsi="Calibri" w:cs="Times New Roman"/>
        </w:rPr>
        <w:t>use before and</w:t>
      </w:r>
      <w:r w:rsidR="002E4624">
        <w:rPr>
          <w:rFonts w:ascii="Calibri" w:eastAsia="MS Mincho" w:hAnsi="Calibri" w:cs="Times New Roman"/>
        </w:rPr>
        <w:t>/or</w:t>
      </w:r>
      <w:r>
        <w:rPr>
          <w:rFonts w:ascii="Calibri" w:eastAsia="MS Mincho" w:hAnsi="Calibri" w:cs="Times New Roman"/>
        </w:rPr>
        <w:t xml:space="preserve"> after </w:t>
      </w:r>
      <w:proofErr w:type="spellStart"/>
      <w:r>
        <w:rPr>
          <w:rFonts w:ascii="Calibri" w:eastAsia="MS Mincho" w:hAnsi="Calibri" w:cs="Times New Roman"/>
        </w:rPr>
        <w:t>bendamustine</w:t>
      </w:r>
      <w:proofErr w:type="spellEnd"/>
      <w:r>
        <w:rPr>
          <w:rFonts w:ascii="Calibri" w:eastAsia="MS Mincho" w:hAnsi="Calibri" w:cs="Times New Roman"/>
        </w:rPr>
        <w:t xml:space="preserve"> gives insight </w:t>
      </w:r>
      <w:r w:rsidR="002E4624">
        <w:rPr>
          <w:rFonts w:ascii="Calibri" w:eastAsia="MS Mincho" w:hAnsi="Calibri" w:cs="Times New Roman"/>
        </w:rPr>
        <w:t xml:space="preserve">into </w:t>
      </w:r>
      <w:r w:rsidR="00523276">
        <w:rPr>
          <w:rFonts w:ascii="Calibri" w:eastAsia="MS Mincho" w:hAnsi="Calibri" w:cs="Times New Roman"/>
        </w:rPr>
        <w:t xml:space="preserve">rituximab </w:t>
      </w:r>
      <w:r w:rsidR="00BC7789">
        <w:rPr>
          <w:rFonts w:ascii="Calibri" w:eastAsia="MS Mincho" w:hAnsi="Calibri" w:cs="Times New Roman"/>
        </w:rPr>
        <w:t>a</w:t>
      </w:r>
      <w:r w:rsidR="002E4624">
        <w:rPr>
          <w:rFonts w:ascii="Calibri" w:eastAsia="MS Mincho" w:hAnsi="Calibri" w:cs="Times New Roman"/>
        </w:rPr>
        <w:t xml:space="preserve">s </w:t>
      </w:r>
      <w:r w:rsidR="00523276">
        <w:rPr>
          <w:rFonts w:ascii="Calibri" w:eastAsia="MS Mincho" w:hAnsi="Calibri" w:cs="Times New Roman"/>
        </w:rPr>
        <w:t>maintenance therapy</w:t>
      </w:r>
      <w:r w:rsidR="002E4624">
        <w:rPr>
          <w:rFonts w:ascii="Calibri" w:eastAsia="MS Mincho" w:hAnsi="Calibri" w:cs="Times New Roman"/>
        </w:rPr>
        <w:t xml:space="preserve"> after B-R, or </w:t>
      </w:r>
      <w:proofErr w:type="spellStart"/>
      <w:r w:rsidR="00BC7789">
        <w:rPr>
          <w:rFonts w:ascii="Calibri" w:eastAsia="MS Mincho" w:hAnsi="Calibri" w:cs="Times New Roman"/>
        </w:rPr>
        <w:t>bendamustine</w:t>
      </w:r>
      <w:proofErr w:type="spellEnd"/>
      <w:r w:rsidR="00BC7789">
        <w:rPr>
          <w:rFonts w:ascii="Calibri" w:eastAsia="MS Mincho" w:hAnsi="Calibri" w:cs="Times New Roman"/>
        </w:rPr>
        <w:t xml:space="preserve"> </w:t>
      </w:r>
      <w:r w:rsidR="002E4624">
        <w:rPr>
          <w:rFonts w:ascii="Calibri" w:eastAsia="MS Mincho" w:hAnsi="Calibri" w:cs="Times New Roman"/>
        </w:rPr>
        <w:t>for</w:t>
      </w:r>
      <w:r w:rsidR="00523276">
        <w:rPr>
          <w:rFonts w:ascii="Calibri" w:eastAsia="MS Mincho" w:hAnsi="Calibri" w:cs="Times New Roman"/>
        </w:rPr>
        <w:t xml:space="preserve"> rituximab-refractory lymphoma. </w:t>
      </w:r>
    </w:p>
    <w:p w14:paraId="3AB063F6" w14:textId="542AB100" w:rsidR="00147ABD" w:rsidRPr="005D1660" w:rsidRDefault="005D1660" w:rsidP="007E731A">
      <w:pPr>
        <w:rPr>
          <w:rFonts w:ascii="Calibri" w:eastAsia="MS Mincho" w:hAnsi="Calibri" w:cs="Times New Roman"/>
          <w:b/>
        </w:rPr>
      </w:pPr>
      <w:r>
        <w:rPr>
          <w:noProof/>
          <w:lang w:eastAsia="ja-JP"/>
        </w:rPr>
        <w:drawing>
          <wp:inline distT="0" distB="0" distL="0" distR="0" wp14:anchorId="20913950" wp14:editId="3D162E76">
            <wp:extent cx="5687695" cy="3716447"/>
            <wp:effectExtent l="0" t="0" r="8255" b="17780"/>
            <wp:docPr id="18" name="Chart 18" title="Figure 6: Weeks from initiation to bendamustine to rituximab prescrip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147ABD" w:rsidRPr="00326324">
        <w:rPr>
          <w:rFonts w:ascii="Calibri" w:eastAsia="MS Mincho" w:hAnsi="Calibri" w:cs="Times New Roman"/>
          <w:b/>
        </w:rPr>
        <w:t xml:space="preserve">Figure </w:t>
      </w:r>
      <w:r w:rsidR="00557984">
        <w:rPr>
          <w:rFonts w:ascii="Calibri" w:eastAsia="MS Mincho" w:hAnsi="Calibri" w:cs="Times New Roman"/>
          <w:b/>
        </w:rPr>
        <w:t>6</w:t>
      </w:r>
      <w:r w:rsidR="00147ABD" w:rsidRPr="00326324">
        <w:rPr>
          <w:rFonts w:ascii="Calibri" w:eastAsia="MS Mincho" w:hAnsi="Calibri" w:cs="Times New Roman"/>
          <w:b/>
        </w:rPr>
        <w:t xml:space="preserve">: </w:t>
      </w:r>
      <w:r w:rsidR="00147ABD" w:rsidRPr="00147ABD">
        <w:rPr>
          <w:rFonts w:ascii="Calibri" w:eastAsia="MS Mincho" w:hAnsi="Calibri"/>
          <w:b/>
        </w:rPr>
        <w:t xml:space="preserve">Weeks from initiation to </w:t>
      </w:r>
      <w:proofErr w:type="spellStart"/>
      <w:r w:rsidR="00147ABD" w:rsidRPr="00147ABD">
        <w:rPr>
          <w:rFonts w:ascii="Calibri" w:eastAsia="MS Mincho" w:hAnsi="Calibri"/>
          <w:b/>
        </w:rPr>
        <w:t>bendamustine</w:t>
      </w:r>
      <w:proofErr w:type="spellEnd"/>
      <w:r w:rsidR="00147ABD" w:rsidRPr="00147ABD">
        <w:rPr>
          <w:rFonts w:ascii="Calibri" w:eastAsia="MS Mincho" w:hAnsi="Calibri"/>
          <w:b/>
        </w:rPr>
        <w:t xml:space="preserve"> to rituximab prescription</w:t>
      </w:r>
      <w:r w:rsidR="009825B7">
        <w:rPr>
          <w:rFonts w:ascii="Calibri" w:eastAsia="MS Mincho" w:hAnsi="Calibri"/>
          <w:b/>
        </w:rPr>
        <w:t>s</w:t>
      </w:r>
      <w:r w:rsidR="00147ABD">
        <w:rPr>
          <w:rFonts w:ascii="Calibri" w:eastAsia="MS Mincho" w:hAnsi="Calibri" w:cs="Times New Roman"/>
          <w:b/>
        </w:rPr>
        <w:t>.</w:t>
      </w:r>
      <w:r w:rsidR="00F746F0">
        <w:rPr>
          <w:rFonts w:ascii="Calibri" w:eastAsia="MS Mincho" w:hAnsi="Calibri" w:cs="Times New Roman"/>
          <w:b/>
        </w:rPr>
        <w:br/>
      </w:r>
      <w:r w:rsidR="00147ABD" w:rsidRPr="00147ABD">
        <w:rPr>
          <w:rFonts w:ascii="Calibri" w:eastAsia="MS Mincho" w:hAnsi="Calibri" w:cs="Times New Roman"/>
          <w:sz w:val="20"/>
        </w:rPr>
        <w:t xml:space="preserve">Note: only includes patients with at least </w:t>
      </w:r>
      <w:r>
        <w:rPr>
          <w:rFonts w:ascii="Calibri" w:eastAsia="MS Mincho" w:hAnsi="Calibri" w:cs="Times New Roman"/>
          <w:sz w:val="20"/>
        </w:rPr>
        <w:t>12</w:t>
      </w:r>
      <w:r w:rsidR="00147ABD" w:rsidRPr="00147ABD">
        <w:rPr>
          <w:rFonts w:ascii="Calibri" w:eastAsia="MS Mincho" w:hAnsi="Calibri" w:cs="Times New Roman"/>
          <w:sz w:val="20"/>
        </w:rPr>
        <w:t xml:space="preserve"> months follow</w:t>
      </w:r>
      <w:r w:rsidR="009825B7">
        <w:rPr>
          <w:rFonts w:ascii="Calibri" w:eastAsia="MS Mincho" w:hAnsi="Calibri" w:cs="Times New Roman"/>
          <w:sz w:val="20"/>
        </w:rPr>
        <w:t xml:space="preserve"> </w:t>
      </w:r>
      <w:r w:rsidR="00147ABD">
        <w:rPr>
          <w:rFonts w:ascii="Calibri" w:eastAsia="MS Mincho" w:hAnsi="Calibri" w:cs="Times New Roman"/>
          <w:sz w:val="20"/>
        </w:rPr>
        <w:t xml:space="preserve">up </w:t>
      </w:r>
      <w:r w:rsidR="00147ABD" w:rsidRPr="00147ABD">
        <w:rPr>
          <w:rFonts w:ascii="Calibri" w:eastAsia="MS Mincho" w:hAnsi="Calibri" w:cs="Times New Roman"/>
          <w:sz w:val="20"/>
        </w:rPr>
        <w:t xml:space="preserve">post-initiation </w:t>
      </w:r>
      <w:r w:rsidR="00C169FE">
        <w:rPr>
          <w:rFonts w:ascii="Calibri" w:eastAsia="MS Mincho" w:hAnsi="Calibri" w:cs="Times New Roman"/>
          <w:sz w:val="20"/>
        </w:rPr>
        <w:t xml:space="preserve">to </w:t>
      </w:r>
      <w:proofErr w:type="spellStart"/>
      <w:r w:rsidR="00C169FE">
        <w:rPr>
          <w:rFonts w:ascii="Calibri" w:eastAsia="MS Mincho" w:hAnsi="Calibri" w:cs="Times New Roman"/>
          <w:sz w:val="20"/>
        </w:rPr>
        <w:t>bendamustine</w:t>
      </w:r>
      <w:proofErr w:type="spellEnd"/>
      <w:r w:rsidR="00C169FE">
        <w:rPr>
          <w:rFonts w:ascii="Calibri" w:eastAsia="MS Mincho" w:hAnsi="Calibri" w:cs="Times New Roman"/>
          <w:sz w:val="20"/>
        </w:rPr>
        <w:t xml:space="preserve"> (</w:t>
      </w:r>
      <w:r w:rsidR="00BB667F">
        <w:rPr>
          <w:rFonts w:ascii="Calibri" w:eastAsia="MS Mincho" w:hAnsi="Calibri" w:cs="Times New Roman"/>
          <w:sz w:val="20"/>
        </w:rPr>
        <w:t>i.e.</w:t>
      </w:r>
      <w:r w:rsidR="00C169FE">
        <w:rPr>
          <w:rFonts w:ascii="Calibri" w:eastAsia="MS Mincho" w:hAnsi="Calibri" w:cs="Times New Roman"/>
          <w:sz w:val="20"/>
        </w:rPr>
        <w:t xml:space="preserve"> initiators </w:t>
      </w:r>
      <w:r w:rsidR="00147ABD" w:rsidRPr="00147ABD">
        <w:rPr>
          <w:rFonts w:ascii="Calibri" w:eastAsia="MS Mincho" w:hAnsi="Calibri" w:cs="Times New Roman"/>
          <w:sz w:val="20"/>
        </w:rPr>
        <w:t xml:space="preserve">up to the end of </w:t>
      </w:r>
      <w:r>
        <w:rPr>
          <w:rFonts w:ascii="Calibri" w:eastAsia="MS Mincho" w:hAnsi="Calibri" w:cs="Times New Roman"/>
          <w:sz w:val="20"/>
        </w:rPr>
        <w:t xml:space="preserve">September </w:t>
      </w:r>
      <w:r w:rsidR="00147ABD" w:rsidRPr="00147ABD">
        <w:rPr>
          <w:rFonts w:ascii="Calibri" w:eastAsia="MS Mincho" w:hAnsi="Calibri" w:cs="Times New Roman"/>
          <w:sz w:val="20"/>
        </w:rPr>
        <w:t>2017</w:t>
      </w:r>
      <w:r w:rsidR="00EE2383">
        <w:rPr>
          <w:rFonts w:ascii="Calibri" w:eastAsia="MS Mincho" w:hAnsi="Calibri" w:cs="Times New Roman"/>
          <w:sz w:val="20"/>
        </w:rPr>
        <w:t>, n=1,421 patients</w:t>
      </w:r>
      <w:r w:rsidR="00147ABD" w:rsidRPr="00147ABD">
        <w:rPr>
          <w:rFonts w:ascii="Calibri" w:eastAsia="MS Mincho" w:hAnsi="Calibri" w:cs="Times New Roman"/>
          <w:sz w:val="20"/>
        </w:rPr>
        <w:t>)</w:t>
      </w:r>
      <w:r w:rsidR="00147ABD">
        <w:rPr>
          <w:rFonts w:ascii="Calibri" w:eastAsia="MS Mincho" w:hAnsi="Calibri" w:cs="Times New Roman"/>
          <w:sz w:val="20"/>
        </w:rPr>
        <w:t>.</w:t>
      </w:r>
      <w:r w:rsidR="00BF3297" w:rsidRPr="00BF3297">
        <w:t xml:space="preserve"> </w:t>
      </w:r>
      <w:r w:rsidR="007E731A">
        <w:rPr>
          <w:rFonts w:ascii="Calibri" w:eastAsia="MS Mincho" w:hAnsi="Calibri" w:cs="Times New Roman"/>
          <w:sz w:val="20"/>
        </w:rPr>
        <w:t>Where</w:t>
      </w:r>
      <w:r w:rsidR="00BF3297" w:rsidRPr="00BF3297">
        <w:rPr>
          <w:rFonts w:ascii="Calibri" w:eastAsia="MS Mincho" w:hAnsi="Calibri" w:cs="Times New Roman"/>
          <w:sz w:val="20"/>
        </w:rPr>
        <w:t xml:space="preserve"> the </w:t>
      </w:r>
      <w:r w:rsidR="00B5086F">
        <w:rPr>
          <w:rFonts w:ascii="Calibri" w:eastAsia="MS Mincho" w:hAnsi="Calibri" w:cs="Times New Roman"/>
          <w:sz w:val="20"/>
        </w:rPr>
        <w:t>prescription</w:t>
      </w:r>
      <w:r w:rsidR="00BF3297" w:rsidRPr="00BF3297">
        <w:rPr>
          <w:rFonts w:ascii="Calibri" w:eastAsia="MS Mincho" w:hAnsi="Calibri" w:cs="Times New Roman"/>
          <w:sz w:val="20"/>
        </w:rPr>
        <w:t xml:space="preserve"> count is between </w:t>
      </w:r>
      <w:proofErr w:type="gramStart"/>
      <w:r w:rsidR="00BF3297" w:rsidRPr="00BF3297">
        <w:rPr>
          <w:rFonts w:ascii="Calibri" w:eastAsia="MS Mincho" w:hAnsi="Calibri" w:cs="Times New Roman"/>
          <w:sz w:val="20"/>
        </w:rPr>
        <w:t>1</w:t>
      </w:r>
      <w:proofErr w:type="gramEnd"/>
      <w:r w:rsidR="00BF3297" w:rsidRPr="00BF3297">
        <w:rPr>
          <w:rFonts w:ascii="Calibri" w:eastAsia="MS Mincho" w:hAnsi="Calibri" w:cs="Times New Roman"/>
          <w:sz w:val="20"/>
        </w:rPr>
        <w:t xml:space="preserve"> and 5 (inclusive), the data point has been set to 5 to protect confidentiality.</w:t>
      </w:r>
    </w:p>
    <w:p w14:paraId="534FD476" w14:textId="400362AA" w:rsidR="002E4624" w:rsidRDefault="00147ABD" w:rsidP="00AB1CE7">
      <w:r>
        <w:rPr>
          <w:rFonts w:ascii="Calibri" w:eastAsia="MS Mincho" w:hAnsi="Calibri" w:cs="Times New Roman"/>
        </w:rPr>
        <w:t xml:space="preserve">Figure </w:t>
      </w:r>
      <w:proofErr w:type="gramStart"/>
      <w:r w:rsidR="00557984">
        <w:rPr>
          <w:rFonts w:ascii="Calibri" w:eastAsia="MS Mincho" w:hAnsi="Calibri" w:cs="Times New Roman"/>
        </w:rPr>
        <w:t>6</w:t>
      </w:r>
      <w:proofErr w:type="gramEnd"/>
      <w:r>
        <w:rPr>
          <w:rFonts w:ascii="Calibri" w:eastAsia="MS Mincho" w:hAnsi="Calibri" w:cs="Times New Roman"/>
        </w:rPr>
        <w:t xml:space="preserve"> show</w:t>
      </w:r>
      <w:r w:rsidR="00BC7789">
        <w:rPr>
          <w:rFonts w:ascii="Calibri" w:eastAsia="MS Mincho" w:hAnsi="Calibri" w:cs="Times New Roman"/>
        </w:rPr>
        <w:t>s</w:t>
      </w:r>
      <w:r>
        <w:rPr>
          <w:rFonts w:ascii="Calibri" w:eastAsia="MS Mincho" w:hAnsi="Calibri" w:cs="Times New Roman"/>
        </w:rPr>
        <w:t xml:space="preserve"> that there was little rituximab utilisation prior to </w:t>
      </w:r>
      <w:r w:rsidR="002E4624">
        <w:rPr>
          <w:rFonts w:ascii="Calibri" w:eastAsia="MS Mincho" w:hAnsi="Calibri" w:cs="Times New Roman"/>
        </w:rPr>
        <w:t xml:space="preserve">the first </w:t>
      </w:r>
      <w:proofErr w:type="spellStart"/>
      <w:r w:rsidR="002E4624">
        <w:rPr>
          <w:rFonts w:ascii="Calibri" w:eastAsia="MS Mincho" w:hAnsi="Calibri" w:cs="Times New Roman"/>
        </w:rPr>
        <w:t>bendamustine</w:t>
      </w:r>
      <w:proofErr w:type="spellEnd"/>
      <w:r w:rsidR="002E4624">
        <w:rPr>
          <w:rFonts w:ascii="Calibri" w:eastAsia="MS Mincho" w:hAnsi="Calibri" w:cs="Times New Roman"/>
        </w:rPr>
        <w:t xml:space="preserve"> prescription</w:t>
      </w:r>
      <w:r w:rsidR="00BC7789">
        <w:rPr>
          <w:rFonts w:ascii="Calibri" w:eastAsia="MS Mincho" w:hAnsi="Calibri" w:cs="Times New Roman"/>
        </w:rPr>
        <w:t>. This is</w:t>
      </w:r>
      <w:r w:rsidR="002E4624">
        <w:rPr>
          <w:rFonts w:ascii="Calibri" w:eastAsia="MS Mincho" w:hAnsi="Calibri" w:cs="Times New Roman"/>
        </w:rPr>
        <w:t xml:space="preserve"> consistent with the </w:t>
      </w:r>
      <w:proofErr w:type="spellStart"/>
      <w:r w:rsidR="002E4624">
        <w:rPr>
          <w:rFonts w:ascii="Calibri" w:eastAsia="MS Mincho" w:hAnsi="Calibri" w:cs="Times New Roman"/>
        </w:rPr>
        <w:t>bendamustine</w:t>
      </w:r>
      <w:proofErr w:type="spellEnd"/>
      <w:r>
        <w:rPr>
          <w:rFonts w:ascii="Calibri" w:eastAsia="MS Mincho" w:hAnsi="Calibri" w:cs="Times New Roman"/>
        </w:rPr>
        <w:t xml:space="preserve"> restriction criteria </w:t>
      </w:r>
      <w:r w:rsidR="00BC7789">
        <w:rPr>
          <w:rFonts w:ascii="Calibri" w:eastAsia="MS Mincho" w:hAnsi="Calibri" w:cs="Times New Roman"/>
        </w:rPr>
        <w:t>requiring</w:t>
      </w:r>
      <w:r>
        <w:rPr>
          <w:rFonts w:ascii="Calibri" w:eastAsia="MS Mincho" w:hAnsi="Calibri" w:cs="Times New Roman"/>
        </w:rPr>
        <w:t xml:space="preserve"> t</w:t>
      </w:r>
      <w:r>
        <w:t xml:space="preserve">he condition </w:t>
      </w:r>
      <w:r w:rsidR="00BC7789">
        <w:t>to</w:t>
      </w:r>
      <w:r>
        <w:t xml:space="preserve"> be previously untreated. </w:t>
      </w:r>
      <w:r w:rsidR="002E4624">
        <w:t xml:space="preserve">The increase in rituximab use in the weeks just before the first </w:t>
      </w:r>
      <w:proofErr w:type="spellStart"/>
      <w:r w:rsidR="002E4624">
        <w:t>bendamustine</w:t>
      </w:r>
      <w:proofErr w:type="spellEnd"/>
      <w:r w:rsidR="002E4624">
        <w:t xml:space="preserve"> script may be due to pharmacy dispensing and supply practices (the rituximab component of B-R dispensed on a separate day). A history of rituximab before </w:t>
      </w:r>
      <w:proofErr w:type="spellStart"/>
      <w:r w:rsidR="002E4624">
        <w:t>bendamustine</w:t>
      </w:r>
      <w:proofErr w:type="spellEnd"/>
      <w:r w:rsidR="002E4624">
        <w:t xml:space="preserve"> could also indicate use of </w:t>
      </w:r>
      <w:proofErr w:type="spellStart"/>
      <w:r w:rsidR="002E4624">
        <w:t>bendamustine</w:t>
      </w:r>
      <w:proofErr w:type="spellEnd"/>
      <w:r w:rsidR="002E4624">
        <w:t xml:space="preserve"> in the rituximab-refractory population.  </w:t>
      </w:r>
    </w:p>
    <w:p w14:paraId="7BBA66A1" w14:textId="597346B2" w:rsidR="00FA4E02" w:rsidRPr="00FA4E02" w:rsidRDefault="00FA4E02" w:rsidP="00AB1CE7">
      <w:r w:rsidRPr="00FA4E02">
        <w:t xml:space="preserve">In Figure 6 there are 24 patients (1.7%) whose last rituximab prescription prior to initiating </w:t>
      </w:r>
      <w:proofErr w:type="spellStart"/>
      <w:r w:rsidRPr="00FA4E02">
        <w:t>bendamustine</w:t>
      </w:r>
      <w:proofErr w:type="spellEnd"/>
      <w:r w:rsidRPr="00FA4E02">
        <w:t xml:space="preserve"> was more than 6 months prior. These patients could reasonably be classified as previously treated. </w:t>
      </w:r>
      <w:proofErr w:type="gramStart"/>
      <w:r w:rsidRPr="00FA4E02">
        <w:t>There were 22 patients (1.5%) who</w:t>
      </w:r>
      <w:r w:rsidR="007E731A">
        <w:t>se last rituximab was between 6 </w:t>
      </w:r>
      <w:r w:rsidRPr="00FA4E02">
        <w:t xml:space="preserve">months and 6 weeks prior to initiating </w:t>
      </w:r>
      <w:proofErr w:type="spellStart"/>
      <w:r w:rsidRPr="00FA4E02">
        <w:t>bendamustine</w:t>
      </w:r>
      <w:proofErr w:type="spellEnd"/>
      <w:r w:rsidRPr="00FA4E02">
        <w:t>.</w:t>
      </w:r>
      <w:proofErr w:type="gramEnd"/>
      <w:r w:rsidRPr="00FA4E02">
        <w:t xml:space="preserve"> These patients could be considered </w:t>
      </w:r>
      <w:proofErr w:type="gramStart"/>
      <w:r w:rsidRPr="00FA4E02">
        <w:t>to be rituximab</w:t>
      </w:r>
      <w:proofErr w:type="gramEnd"/>
      <w:r w:rsidRPr="00FA4E02">
        <w:t xml:space="preserve">-refractory if </w:t>
      </w:r>
      <w:r w:rsidRPr="00FA4E02">
        <w:lastRenderedPageBreak/>
        <w:t>they had a partial response or p</w:t>
      </w:r>
      <w:r w:rsidR="007E731A">
        <w:t>rogression while on or within 6 </w:t>
      </w:r>
      <w:r w:rsidRPr="00FA4E02">
        <w:t>months after completion of a prior rituximab-containing regimen.</w:t>
      </w:r>
    </w:p>
    <w:p w14:paraId="25EE5A4B" w14:textId="42AB9F96" w:rsidR="00EE604A" w:rsidRDefault="00E522C0" w:rsidP="00AB1CE7">
      <w:r>
        <w:t>Figure 7 shows the distribu</w:t>
      </w:r>
      <w:r w:rsidR="00A81970">
        <w:t>t</w:t>
      </w:r>
      <w:r>
        <w:t>ion</w:t>
      </w:r>
      <w:r w:rsidR="00A81970">
        <w:t xml:space="preserve"> of the number of rituximab prescriptions per patient.</w:t>
      </w:r>
      <w:r>
        <w:t xml:space="preserve"> </w:t>
      </w:r>
      <w:r w:rsidR="00A81970">
        <w:t>One prescript</w:t>
      </w:r>
      <w:r w:rsidR="005B2200">
        <w:t>io</w:t>
      </w:r>
      <w:r w:rsidR="00A81970">
        <w:t>n of rituximab provides one cycle of treatment</w:t>
      </w:r>
      <w:r w:rsidR="005B2200">
        <w:t>.</w:t>
      </w:r>
      <w:r w:rsidR="00A81970">
        <w:t xml:space="preserve"> </w:t>
      </w:r>
      <w:r w:rsidR="005B2200">
        <w:t xml:space="preserve"> </w:t>
      </w:r>
      <w:r w:rsidR="00EE604A">
        <w:t xml:space="preserve">Rituximab treatment decreases markedly </w:t>
      </w:r>
      <w:r w:rsidR="005B2200">
        <w:t>after 6 cycles consistent with the B-R induction regimen</w:t>
      </w:r>
      <w:r w:rsidR="00EE604A">
        <w:t>.</w:t>
      </w:r>
    </w:p>
    <w:p w14:paraId="72B6A830" w14:textId="77777777" w:rsidR="00EE604A" w:rsidRDefault="00EE604A">
      <w:pPr>
        <w:spacing w:line="276" w:lineRule="auto"/>
      </w:pPr>
    </w:p>
    <w:p w14:paraId="1C21CCE5" w14:textId="66F6BE09" w:rsidR="005B2200" w:rsidRDefault="000A02C7" w:rsidP="00AB1CE7">
      <w:r>
        <w:rPr>
          <w:noProof/>
          <w:lang w:eastAsia="ja-JP"/>
        </w:rPr>
        <w:drawing>
          <wp:inline distT="0" distB="0" distL="0" distR="0" wp14:anchorId="6DB02CAA" wp14:editId="1E748088">
            <wp:extent cx="5687695" cy="3716447"/>
            <wp:effectExtent l="0" t="0" r="8255" b="17780"/>
            <wp:docPr id="19" name="Chart 19" title="Figure 7: Distribution of rituximab prescriptions per patient in the period 5 weeks prior to and 12 months post initiation to bendamustin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326324">
        <w:rPr>
          <w:rFonts w:ascii="Calibri" w:eastAsia="MS Mincho" w:hAnsi="Calibri" w:cs="Times New Roman"/>
          <w:b/>
        </w:rPr>
        <w:t xml:space="preserve">Figure </w:t>
      </w:r>
      <w:r w:rsidR="00557984">
        <w:rPr>
          <w:rFonts w:ascii="Calibri" w:eastAsia="MS Mincho" w:hAnsi="Calibri" w:cs="Times New Roman"/>
          <w:b/>
        </w:rPr>
        <w:t>7</w:t>
      </w:r>
      <w:r w:rsidRPr="00326324">
        <w:rPr>
          <w:rFonts w:ascii="Calibri" w:eastAsia="MS Mincho" w:hAnsi="Calibri" w:cs="Times New Roman"/>
          <w:b/>
        </w:rPr>
        <w:t xml:space="preserve">: </w:t>
      </w:r>
      <w:r w:rsidRPr="000A02C7">
        <w:rPr>
          <w:b/>
          <w:bCs/>
          <w:lang w:val="en-US"/>
        </w:rPr>
        <w:t xml:space="preserve">Distribution of rituximab </w:t>
      </w:r>
      <w:r w:rsidR="00A703BF">
        <w:rPr>
          <w:b/>
          <w:bCs/>
          <w:lang w:val="en-US"/>
        </w:rPr>
        <w:t>prescriptions</w:t>
      </w:r>
      <w:r w:rsidRPr="000A02C7">
        <w:rPr>
          <w:b/>
          <w:bCs/>
          <w:lang w:val="en-US"/>
        </w:rPr>
        <w:t xml:space="preserve"> per patient in </w:t>
      </w:r>
      <w:r>
        <w:rPr>
          <w:b/>
          <w:bCs/>
          <w:lang w:val="en-US"/>
        </w:rPr>
        <w:t xml:space="preserve">the period </w:t>
      </w:r>
      <w:r w:rsidRPr="000A02C7">
        <w:rPr>
          <w:b/>
          <w:bCs/>
          <w:lang w:val="en-US"/>
        </w:rPr>
        <w:t xml:space="preserve">5 weeks prior to </w:t>
      </w:r>
      <w:r>
        <w:rPr>
          <w:b/>
          <w:bCs/>
          <w:lang w:val="en-US"/>
        </w:rPr>
        <w:t xml:space="preserve">and </w:t>
      </w:r>
      <w:r w:rsidRPr="000A02C7">
        <w:rPr>
          <w:b/>
          <w:bCs/>
          <w:lang w:val="en-US"/>
        </w:rPr>
        <w:t xml:space="preserve">12 months post initiation to </w:t>
      </w:r>
      <w:proofErr w:type="spellStart"/>
      <w:r w:rsidRPr="000A02C7">
        <w:rPr>
          <w:b/>
          <w:bCs/>
          <w:lang w:val="en-US"/>
        </w:rPr>
        <w:t>bendamustine</w:t>
      </w:r>
      <w:proofErr w:type="spellEnd"/>
      <w:r w:rsidR="00725314">
        <w:rPr>
          <w:b/>
          <w:bCs/>
          <w:lang w:val="en-US"/>
        </w:rPr>
        <w:t xml:space="preserve"> </w:t>
      </w:r>
      <w:r w:rsidR="00F553AE">
        <w:rPr>
          <w:b/>
          <w:bCs/>
          <w:lang w:val="en-US"/>
        </w:rPr>
        <w:br/>
      </w:r>
      <w:r w:rsidR="005B2200" w:rsidRPr="00F553AE">
        <w:rPr>
          <w:sz w:val="20"/>
          <w:szCs w:val="20"/>
        </w:rPr>
        <w:t>Note</w:t>
      </w:r>
      <w:r w:rsidR="005B2200" w:rsidRPr="00F553AE">
        <w:rPr>
          <w:b/>
          <w:bCs/>
          <w:sz w:val="20"/>
          <w:szCs w:val="20"/>
          <w:lang w:val="en-US"/>
        </w:rPr>
        <w:t>:</w:t>
      </w:r>
      <w:r w:rsidR="005B2200" w:rsidRPr="00F553AE">
        <w:rPr>
          <w:sz w:val="20"/>
          <w:szCs w:val="20"/>
        </w:rPr>
        <w:t xml:space="preserve">  the analysis includes rituximab supplied from 5 weeks prior to and 12 months post initiation to </w:t>
      </w:r>
      <w:proofErr w:type="spellStart"/>
      <w:r w:rsidR="005B2200" w:rsidRPr="00F553AE">
        <w:rPr>
          <w:sz w:val="20"/>
          <w:szCs w:val="20"/>
        </w:rPr>
        <w:t>bendamustine</w:t>
      </w:r>
      <w:proofErr w:type="spellEnd"/>
      <w:r w:rsidR="005B2200" w:rsidRPr="00F553AE">
        <w:rPr>
          <w:sz w:val="20"/>
          <w:szCs w:val="20"/>
        </w:rPr>
        <w:t>.</w:t>
      </w:r>
    </w:p>
    <w:p w14:paraId="44068BE5" w14:textId="77777777" w:rsidR="001046FA" w:rsidRDefault="0049181F" w:rsidP="00AB1CE7">
      <w:r>
        <w:t xml:space="preserve">The submission assumed an average of 5.58 cycles of B-R. The mean and median </w:t>
      </w:r>
      <w:r w:rsidR="00D8046E">
        <w:t xml:space="preserve">numbers of prescriptions in Figure </w:t>
      </w:r>
      <w:r w:rsidR="001F69A2">
        <w:t>7</w:t>
      </w:r>
      <w:r w:rsidR="00D8046E">
        <w:t xml:space="preserve"> are</w:t>
      </w:r>
      <w:r>
        <w:t xml:space="preserve"> 6.00 and 6 prescriptions per patient respectively. 23% of patients had more than </w:t>
      </w:r>
      <w:proofErr w:type="gramStart"/>
      <w:r w:rsidR="00B00F61">
        <w:t>6</w:t>
      </w:r>
      <w:proofErr w:type="gramEnd"/>
      <w:r w:rsidR="00B00F61">
        <w:t xml:space="preserve"> prescriptions and 25% had less.</w:t>
      </w:r>
      <w:r w:rsidR="004F409F">
        <w:t xml:space="preserve"> Treatment with more than </w:t>
      </w:r>
      <w:proofErr w:type="gramStart"/>
      <w:r w:rsidR="004F409F">
        <w:t>6</w:t>
      </w:r>
      <w:proofErr w:type="gramEnd"/>
      <w:r w:rsidR="004F409F">
        <w:t xml:space="preserve"> prescriptions may be considered maintenance treatment which is outside the restriction for </w:t>
      </w:r>
      <w:proofErr w:type="spellStart"/>
      <w:r w:rsidR="004F409F">
        <w:t>bendamustine</w:t>
      </w:r>
      <w:proofErr w:type="spellEnd"/>
      <w:r w:rsidR="004F409F">
        <w:t>.</w:t>
      </w:r>
      <w:r w:rsidR="001A5CF7">
        <w:t xml:space="preserve"> </w:t>
      </w:r>
    </w:p>
    <w:p w14:paraId="6D84B746" w14:textId="244209DC" w:rsidR="000E5D3F" w:rsidRPr="001046FA" w:rsidRDefault="001046FA" w:rsidP="00AB1CE7">
      <w:r w:rsidRPr="001046FA">
        <w:t xml:space="preserve">In making its </w:t>
      </w:r>
      <w:r w:rsidR="001A5CF7" w:rsidRPr="001046FA">
        <w:t xml:space="preserve">recommendation </w:t>
      </w:r>
      <w:r w:rsidRPr="001046FA">
        <w:t>to list</w:t>
      </w:r>
      <w:r w:rsidR="001A5CF7" w:rsidRPr="001046FA">
        <w:t xml:space="preserve"> </w:t>
      </w:r>
      <w:proofErr w:type="spellStart"/>
      <w:r w:rsidR="001A5CF7" w:rsidRPr="001046FA">
        <w:t>bendamustine</w:t>
      </w:r>
      <w:proofErr w:type="spellEnd"/>
      <w:r w:rsidRPr="001046FA">
        <w:t xml:space="preserve"> on the PBS, the PBAC considered there would be reduced expenditure on rituximab maintenance and that listing of </w:t>
      </w:r>
      <w:proofErr w:type="spellStart"/>
      <w:r w:rsidRPr="001046FA">
        <w:t>bendamustine</w:t>
      </w:r>
      <w:proofErr w:type="spellEnd"/>
      <w:r w:rsidRPr="001046FA">
        <w:t xml:space="preserve"> on the PBS for first line therapy of </w:t>
      </w:r>
      <w:proofErr w:type="spellStart"/>
      <w:r w:rsidRPr="001046FA">
        <w:t>iNHL</w:t>
      </w:r>
      <w:proofErr w:type="spellEnd"/>
      <w:r w:rsidRPr="001046FA">
        <w:t xml:space="preserve"> and MCL could reasonably be expected to result in cost savings to the Commonwealth. While the PBAC remained concerned about the limitations of the 3-state health </w:t>
      </w:r>
      <w:r w:rsidRPr="001046FA">
        <w:lastRenderedPageBreak/>
        <w:t>model and the application of a 20-ye</w:t>
      </w:r>
      <w:r>
        <w:t xml:space="preserve">ar time horizon in the context </w:t>
      </w:r>
      <w:r w:rsidRPr="001046FA">
        <w:t>o</w:t>
      </w:r>
      <w:r>
        <w:t>f</w:t>
      </w:r>
      <w:r w:rsidRPr="001046FA">
        <w:t xml:space="preserve"> this disease, these concerns were diminished given projections that the listing of </w:t>
      </w:r>
      <w:proofErr w:type="spellStart"/>
      <w:r w:rsidRPr="001046FA">
        <w:t>bendamustine</w:t>
      </w:r>
      <w:proofErr w:type="spellEnd"/>
      <w:r w:rsidRPr="001046FA">
        <w:t xml:space="preserve"> could be </w:t>
      </w:r>
      <w:proofErr w:type="gramStart"/>
      <w:r w:rsidRPr="001046FA">
        <w:t>cost-saving</w:t>
      </w:r>
      <w:proofErr w:type="gramEnd"/>
      <w:r w:rsidRPr="001046FA">
        <w:t xml:space="preserve">. The PBAC considered, however, that these cost savings would not be realised in practice if maintenance therapy with rituximab </w:t>
      </w:r>
      <w:proofErr w:type="gramStart"/>
      <w:r w:rsidRPr="001046FA">
        <w:t>was</w:t>
      </w:r>
      <w:proofErr w:type="gramEnd"/>
      <w:r w:rsidRPr="001046FA">
        <w:t xml:space="preserve"> used following B</w:t>
      </w:r>
      <w:r w:rsidR="004578CF">
        <w:t>-</w:t>
      </w:r>
      <w:r w:rsidRPr="001046FA">
        <w:t>R induction therapy, noting that the cost-effectiveness of this approach had not been established.</w:t>
      </w:r>
    </w:p>
    <w:p w14:paraId="37B17E4B" w14:textId="32505C39" w:rsidR="00426684" w:rsidRDefault="00426684" w:rsidP="00426684">
      <w:pPr>
        <w:pStyle w:val="Heading1"/>
      </w:pPr>
      <w:r>
        <w:t>DUSC consideration</w:t>
      </w:r>
    </w:p>
    <w:p w14:paraId="4D4F2129" w14:textId="77777777" w:rsidR="00B313BC" w:rsidRPr="00B313BC" w:rsidRDefault="00B313BC" w:rsidP="00B313BC">
      <w:r w:rsidRPr="00B313BC">
        <w:t>DUSC considered that:</w:t>
      </w:r>
    </w:p>
    <w:p w14:paraId="6FB80206" w14:textId="77777777" w:rsidR="00B313BC" w:rsidRPr="00B313BC" w:rsidRDefault="00B313BC" w:rsidP="00B313BC">
      <w:pPr>
        <w:pStyle w:val="ListParagraph"/>
        <w:numPr>
          <w:ilvl w:val="0"/>
          <w:numId w:val="32"/>
        </w:numPr>
        <w:spacing w:line="276" w:lineRule="auto"/>
        <w:rPr>
          <w:bCs/>
        </w:rPr>
      </w:pPr>
      <w:r w:rsidRPr="00B313BC">
        <w:rPr>
          <w:bCs/>
        </w:rPr>
        <w:t>The percentage differences between the predicted and actual number of prescriptions and expenditure were similar which suggests the dose prescribed in practice was approximately as expected.</w:t>
      </w:r>
    </w:p>
    <w:p w14:paraId="0132A21C" w14:textId="647052A8" w:rsidR="00B313BC" w:rsidRPr="00B313BC" w:rsidRDefault="00B313BC" w:rsidP="00B313BC">
      <w:pPr>
        <w:pStyle w:val="ListParagraph"/>
        <w:numPr>
          <w:ilvl w:val="0"/>
          <w:numId w:val="32"/>
        </w:numPr>
        <w:spacing w:line="276" w:lineRule="auto"/>
        <w:rPr>
          <w:bCs/>
        </w:rPr>
      </w:pPr>
      <w:r w:rsidRPr="00B313BC">
        <w:rPr>
          <w:bCs/>
        </w:rPr>
        <w:t xml:space="preserve">As prednisolone is inexpensive and not always supplied via the PBS, the estimate of 5.4% of </w:t>
      </w:r>
      <w:proofErr w:type="spellStart"/>
      <w:r w:rsidRPr="00B313BC">
        <w:rPr>
          <w:bCs/>
        </w:rPr>
        <w:t>bendamustine</w:t>
      </w:r>
      <w:proofErr w:type="spellEnd"/>
      <w:r w:rsidRPr="00B313BC">
        <w:rPr>
          <w:bCs/>
        </w:rPr>
        <w:t xml:space="preserve"> patients having prior CHOP (cyclophosphamide, doxorubicin, vincristine, </w:t>
      </w:r>
      <w:proofErr w:type="gramStart"/>
      <w:r w:rsidRPr="00B313BC">
        <w:rPr>
          <w:bCs/>
        </w:rPr>
        <w:t>prednisolone</w:t>
      </w:r>
      <w:proofErr w:type="gramEnd"/>
      <w:r w:rsidRPr="00B313BC">
        <w:rPr>
          <w:bCs/>
        </w:rPr>
        <w:t xml:space="preserve">) or CVP (cyclophosphamide, vincristine, prednisolone) </w:t>
      </w:r>
      <w:r w:rsidR="009055C9">
        <w:rPr>
          <w:bCs/>
        </w:rPr>
        <w:t>wa</w:t>
      </w:r>
      <w:r w:rsidRPr="00B313BC">
        <w:rPr>
          <w:bCs/>
        </w:rPr>
        <w:t xml:space="preserve">s a conservative estimate. That is, patients supplied PBS </w:t>
      </w:r>
      <w:proofErr w:type="gramStart"/>
      <w:r w:rsidRPr="00B313BC">
        <w:rPr>
          <w:bCs/>
        </w:rPr>
        <w:t>cyclophosphamide,</w:t>
      </w:r>
      <w:proofErr w:type="gramEnd"/>
      <w:r w:rsidRPr="00B313BC">
        <w:rPr>
          <w:bCs/>
        </w:rPr>
        <w:t xml:space="preserve"> doxorubicin and vincristine may well be on CHOP with the prednisolone component funded by a clinic or hospital.</w:t>
      </w:r>
    </w:p>
    <w:p w14:paraId="0E81BE74" w14:textId="77777777" w:rsidR="00B313BC" w:rsidRPr="00B313BC" w:rsidRDefault="00B313BC" w:rsidP="00B313BC">
      <w:pPr>
        <w:pStyle w:val="ListParagraph"/>
        <w:numPr>
          <w:ilvl w:val="0"/>
          <w:numId w:val="32"/>
        </w:numPr>
        <w:spacing w:line="276" w:lineRule="auto"/>
        <w:rPr>
          <w:bCs/>
        </w:rPr>
      </w:pPr>
      <w:r w:rsidRPr="00B313BC">
        <w:rPr>
          <w:bCs/>
        </w:rPr>
        <w:t xml:space="preserve">Some of the 23% of patients receiving more than </w:t>
      </w:r>
      <w:proofErr w:type="gramStart"/>
      <w:r w:rsidRPr="00B313BC">
        <w:rPr>
          <w:bCs/>
        </w:rPr>
        <w:t>6</w:t>
      </w:r>
      <w:proofErr w:type="gramEnd"/>
      <w:r w:rsidRPr="00B313BC">
        <w:rPr>
          <w:bCs/>
        </w:rPr>
        <w:t xml:space="preserve"> rituximab prescriptions may not be on rituximab maintenance therapy. </w:t>
      </w:r>
      <w:proofErr w:type="gramStart"/>
      <w:r w:rsidRPr="00B313BC">
        <w:rPr>
          <w:bCs/>
        </w:rPr>
        <w:t>Instead</w:t>
      </w:r>
      <w:proofErr w:type="gramEnd"/>
      <w:r w:rsidRPr="00B313BC">
        <w:rPr>
          <w:bCs/>
        </w:rPr>
        <w:t xml:space="preserve"> they may be the 10.5% of patients that had more than 6 cycles of </w:t>
      </w:r>
      <w:proofErr w:type="spellStart"/>
      <w:r w:rsidRPr="00B313BC">
        <w:rPr>
          <w:bCs/>
        </w:rPr>
        <w:t>bendamustine</w:t>
      </w:r>
      <w:proofErr w:type="spellEnd"/>
      <w:r w:rsidRPr="00B313BC">
        <w:rPr>
          <w:bCs/>
        </w:rPr>
        <w:t xml:space="preserve"> + rituximab. Thus a better estimate of the proportion of patients on rituximab maintenance therapy may be 23% – 10.5% = 12.5%.</w:t>
      </w:r>
    </w:p>
    <w:p w14:paraId="2274170D" w14:textId="6FBE1F0C" w:rsidR="00B313BC" w:rsidRPr="00B313BC" w:rsidRDefault="00B313BC" w:rsidP="00B313BC">
      <w:pPr>
        <w:pStyle w:val="ListParagraph"/>
        <w:numPr>
          <w:ilvl w:val="0"/>
          <w:numId w:val="32"/>
        </w:numPr>
        <w:spacing w:line="276" w:lineRule="auto"/>
        <w:rPr>
          <w:bCs/>
        </w:rPr>
      </w:pPr>
      <w:r w:rsidRPr="00B313BC">
        <w:rPr>
          <w:bCs/>
        </w:rPr>
        <w:t xml:space="preserve">The </w:t>
      </w:r>
      <w:r w:rsidR="00613ADC">
        <w:rPr>
          <w:bCs/>
        </w:rPr>
        <w:t xml:space="preserve">sponsor’s </w:t>
      </w:r>
      <w:r w:rsidR="00613ADC" w:rsidRPr="00B313BC">
        <w:rPr>
          <w:bCs/>
        </w:rPr>
        <w:t xml:space="preserve">Pre-Sub Committee Response (PSCR) </w:t>
      </w:r>
      <w:r w:rsidRPr="00B313BC">
        <w:rPr>
          <w:bCs/>
        </w:rPr>
        <w:t xml:space="preserve">suggested that one possible cause of patients receiving more than </w:t>
      </w:r>
      <w:proofErr w:type="gramStart"/>
      <w:r w:rsidRPr="00B313BC">
        <w:rPr>
          <w:bCs/>
        </w:rPr>
        <w:t>6</w:t>
      </w:r>
      <w:proofErr w:type="gramEnd"/>
      <w:r w:rsidRPr="00B313BC">
        <w:rPr>
          <w:bCs/>
        </w:rPr>
        <w:t xml:space="preserve"> prescriptions of rituximab was that that the protocol in the BRIGHT trial allowed a maximum of 8 cycles, whereas the PBS restriction, which limits use to 6 cycles, is based on the </w:t>
      </w:r>
      <w:proofErr w:type="spellStart"/>
      <w:r w:rsidRPr="00B313BC">
        <w:rPr>
          <w:bCs/>
        </w:rPr>
        <w:t>STiL</w:t>
      </w:r>
      <w:proofErr w:type="spellEnd"/>
      <w:r w:rsidRPr="00B313BC">
        <w:rPr>
          <w:bCs/>
        </w:rPr>
        <w:t xml:space="preserve"> trial. DUSC considered that this was a plausible explanation of why some patients received </w:t>
      </w:r>
      <w:proofErr w:type="gramStart"/>
      <w:r w:rsidRPr="00B313BC">
        <w:rPr>
          <w:bCs/>
        </w:rPr>
        <w:t>8</w:t>
      </w:r>
      <w:proofErr w:type="gramEnd"/>
      <w:r w:rsidRPr="00B313BC">
        <w:rPr>
          <w:bCs/>
        </w:rPr>
        <w:t xml:space="preserve"> prescriptions of rituximab. </w:t>
      </w:r>
    </w:p>
    <w:p w14:paraId="5AA50176" w14:textId="3BD3EE17" w:rsidR="00B313BC" w:rsidRPr="00B313BC" w:rsidRDefault="00B313BC" w:rsidP="00B313BC">
      <w:pPr>
        <w:pStyle w:val="ListParagraph"/>
        <w:numPr>
          <w:ilvl w:val="0"/>
          <w:numId w:val="32"/>
        </w:numPr>
        <w:spacing w:line="276" w:lineRule="auto"/>
        <w:rPr>
          <w:bCs/>
        </w:rPr>
      </w:pPr>
      <w:r w:rsidRPr="00B313BC">
        <w:rPr>
          <w:bCs/>
        </w:rPr>
        <w:lastRenderedPageBreak/>
        <w:t>In th</w:t>
      </w:r>
      <w:r w:rsidR="00613ADC">
        <w:rPr>
          <w:bCs/>
        </w:rPr>
        <w:t xml:space="preserve">eir </w:t>
      </w:r>
      <w:r w:rsidRPr="00B313BC">
        <w:rPr>
          <w:bCs/>
        </w:rPr>
        <w:t>PSCR the Sponsor noted that, in response to PBAC’s concern about leakage into treatment of CLL, they had previously offered to</w:t>
      </w:r>
      <w:proofErr w:type="gramStart"/>
      <w:r w:rsidRPr="00B313BC">
        <w:rPr>
          <w:bCs/>
        </w:rPr>
        <w:t>;</w:t>
      </w:r>
      <w:proofErr w:type="gramEnd"/>
      <w:r w:rsidRPr="00B313BC">
        <w:rPr>
          <w:bCs/>
        </w:rPr>
        <w:br/>
        <w:t>- have an Authority Required – Telephone restriction level, instead of the current Streamlined Authority.</w:t>
      </w:r>
      <w:r w:rsidRPr="00B313BC">
        <w:rPr>
          <w:bCs/>
        </w:rPr>
        <w:br/>
        <w:t>- add a note to the restriction to the effect of “</w:t>
      </w:r>
      <w:proofErr w:type="spellStart"/>
      <w:r w:rsidRPr="00B313BC">
        <w:rPr>
          <w:bCs/>
        </w:rPr>
        <w:t>bendamustine</w:t>
      </w:r>
      <w:proofErr w:type="spellEnd"/>
      <w:r w:rsidRPr="00B313BC">
        <w:rPr>
          <w:bCs/>
        </w:rPr>
        <w:t xml:space="preserve"> is not PBS subsidised for the treatment of CLL”.</w:t>
      </w:r>
      <w:r w:rsidRPr="00B313BC">
        <w:rPr>
          <w:bCs/>
        </w:rPr>
        <w:br/>
        <w:t xml:space="preserve">DUSC was of the view that with the low and likely declining use of </w:t>
      </w:r>
      <w:proofErr w:type="spellStart"/>
      <w:r w:rsidRPr="00B313BC">
        <w:rPr>
          <w:bCs/>
        </w:rPr>
        <w:t>bendamustine</w:t>
      </w:r>
      <w:proofErr w:type="spellEnd"/>
      <w:r w:rsidRPr="00B313BC">
        <w:rPr>
          <w:bCs/>
        </w:rPr>
        <w:t xml:space="preserve"> outside of the proposed restriction that this may not be warranted and referred this matter to the PBAC for consideration. </w:t>
      </w:r>
    </w:p>
    <w:p w14:paraId="2AB4FE94" w14:textId="7D5A901D" w:rsidR="00426684" w:rsidRPr="00B313BC" w:rsidRDefault="00B313BC" w:rsidP="00B313BC">
      <w:pPr>
        <w:pStyle w:val="ListParagraph"/>
        <w:numPr>
          <w:ilvl w:val="0"/>
          <w:numId w:val="32"/>
        </w:numPr>
        <w:spacing w:line="276" w:lineRule="auto"/>
        <w:rPr>
          <w:bCs/>
        </w:rPr>
      </w:pPr>
      <w:r w:rsidRPr="00B313BC">
        <w:rPr>
          <w:bCs/>
        </w:rPr>
        <w:t xml:space="preserve">The report requested that the Sponsor advise the PBAC if a submission for </w:t>
      </w:r>
      <w:proofErr w:type="spellStart"/>
      <w:r w:rsidRPr="00B313BC">
        <w:rPr>
          <w:bCs/>
        </w:rPr>
        <w:t>bendamustine</w:t>
      </w:r>
      <w:proofErr w:type="spellEnd"/>
      <w:r w:rsidRPr="00B313BC">
        <w:rPr>
          <w:bCs/>
        </w:rPr>
        <w:t xml:space="preserve"> for the treatment of CLL would be forthcoming. The PSCR advised that they did not intend to seek such a listing for </w:t>
      </w:r>
      <w:proofErr w:type="spellStart"/>
      <w:r w:rsidRPr="00B313BC">
        <w:rPr>
          <w:bCs/>
        </w:rPr>
        <w:t>bendamustine</w:t>
      </w:r>
      <w:proofErr w:type="spellEnd"/>
      <w:r w:rsidRPr="00B313BC">
        <w:rPr>
          <w:bCs/>
        </w:rPr>
        <w:t xml:space="preserve"> as “there are more clinically effective drugs listed on the PBS for CLL patients (i.e. </w:t>
      </w:r>
      <w:proofErr w:type="spellStart"/>
      <w:r w:rsidRPr="00B313BC">
        <w:rPr>
          <w:bCs/>
        </w:rPr>
        <w:t>ibrutinib</w:t>
      </w:r>
      <w:proofErr w:type="spellEnd"/>
      <w:r w:rsidRPr="00B313BC">
        <w:rPr>
          <w:bCs/>
        </w:rPr>
        <w:t xml:space="preserve"> and </w:t>
      </w:r>
      <w:proofErr w:type="spellStart"/>
      <w:r w:rsidRPr="00B313BC">
        <w:rPr>
          <w:bCs/>
        </w:rPr>
        <w:t>obinutuzumab</w:t>
      </w:r>
      <w:proofErr w:type="spellEnd"/>
      <w:r w:rsidRPr="00B313BC">
        <w:rPr>
          <w:bCs/>
        </w:rPr>
        <w:t xml:space="preserve">) and there may not be a position for </w:t>
      </w:r>
      <w:proofErr w:type="spellStart"/>
      <w:r w:rsidRPr="00B313BC">
        <w:rPr>
          <w:bCs/>
        </w:rPr>
        <w:t>bendamustine</w:t>
      </w:r>
      <w:proofErr w:type="spellEnd"/>
      <w:r w:rsidRPr="00B313BC">
        <w:rPr>
          <w:bCs/>
        </w:rPr>
        <w:t xml:space="preserve"> in this market. DUSC agreed that this is the case and considered that the place for </w:t>
      </w:r>
      <w:proofErr w:type="spellStart"/>
      <w:r w:rsidRPr="00B313BC">
        <w:rPr>
          <w:bCs/>
        </w:rPr>
        <w:t>bendamustine</w:t>
      </w:r>
      <w:proofErr w:type="spellEnd"/>
      <w:r w:rsidRPr="00B313BC">
        <w:rPr>
          <w:bCs/>
        </w:rPr>
        <w:t xml:space="preserve"> in treatment of CLL was likely to be limited. DUSC referred this matter to the PBAC.</w:t>
      </w:r>
    </w:p>
    <w:p w14:paraId="2F3BBF3E" w14:textId="77777777" w:rsidR="00426684" w:rsidRDefault="00426684" w:rsidP="00426684">
      <w:pPr>
        <w:pStyle w:val="Heading1"/>
      </w:pPr>
      <w:r>
        <w:t>DUSC actions</w:t>
      </w:r>
    </w:p>
    <w:p w14:paraId="22247468" w14:textId="77777777" w:rsidR="00426684" w:rsidRPr="00C11DDB" w:rsidRDefault="00426684" w:rsidP="00426684">
      <w:pPr>
        <w:rPr>
          <w:highlight w:val="black"/>
        </w:rPr>
      </w:pPr>
      <w:r>
        <w:t>The report, Sponsor responses and DUSC minutes were referred to the PBAC.</w:t>
      </w:r>
    </w:p>
    <w:p w14:paraId="6B928D2D" w14:textId="77777777" w:rsidR="00426684" w:rsidRDefault="00426684" w:rsidP="00426684">
      <w:pPr>
        <w:pStyle w:val="Heading1"/>
      </w:pPr>
      <w:r w:rsidRPr="0092516A">
        <w:t>Context for analysis</w:t>
      </w:r>
    </w:p>
    <w:p w14:paraId="703ED78E" w14:textId="77777777" w:rsidR="00426684" w:rsidRDefault="00426684" w:rsidP="00426684">
      <w:r>
        <w:t>The DUSC is a Sub Committee of the Pharmaceutical Benefits Advisory Committee (PBAC). The DUSC assesses estimates on projected usage and financial cost of medicines.</w:t>
      </w:r>
    </w:p>
    <w:p w14:paraId="35E0451E" w14:textId="77777777" w:rsidR="00426684" w:rsidRDefault="00426684" w:rsidP="0042668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7C86457" w14:textId="77777777" w:rsidR="00426684" w:rsidRDefault="00426684" w:rsidP="00426684">
      <w:r>
        <w:lastRenderedPageBreak/>
        <w:t xml:space="preserve">The DUSC operates in accordance with the quality use of medicines objective of the National Medicines Policy and considers that the DUSC utilisation analyses will assist consumers and health professionals </w:t>
      </w:r>
      <w:proofErr w:type="gramStart"/>
      <w:r>
        <w:t>to better understand</w:t>
      </w:r>
      <w:proofErr w:type="gramEnd"/>
      <w:r>
        <w:t xml:space="preserve"> the costs, benefits and risks of medicines.</w:t>
      </w:r>
      <w:bookmarkStart w:id="2" w:name="_GoBack"/>
      <w:bookmarkEnd w:id="2"/>
    </w:p>
    <w:p w14:paraId="5DBE52A4" w14:textId="77777777" w:rsidR="00426684" w:rsidRDefault="00426684" w:rsidP="00426684">
      <w:r>
        <w:t>The utilisation analysis report was provided to the pharmaceutical sponsors of each drug and comments on the report were provided to DUSC prior to its consideration of the analysis.</w:t>
      </w:r>
    </w:p>
    <w:p w14:paraId="6975534A" w14:textId="77777777" w:rsidR="00426684" w:rsidRDefault="00426684" w:rsidP="00426684">
      <w:pPr>
        <w:pStyle w:val="Heading1"/>
      </w:pPr>
      <w:r>
        <w:t>Sponsor</w:t>
      </w:r>
      <w:r w:rsidRPr="0092516A">
        <w:t>s</w:t>
      </w:r>
      <w:r>
        <w:t>’</w:t>
      </w:r>
      <w:r w:rsidRPr="0092516A">
        <w:t xml:space="preserve"> comments</w:t>
      </w:r>
    </w:p>
    <w:p w14:paraId="5509256F" w14:textId="141B9DD1" w:rsidR="00426684" w:rsidRPr="00022662" w:rsidRDefault="00426684" w:rsidP="00426684">
      <w:r w:rsidRPr="005175A5">
        <w:t>Janssen-</w:t>
      </w:r>
      <w:proofErr w:type="spellStart"/>
      <w:r w:rsidRPr="005175A5">
        <w:t>Cilag</w:t>
      </w:r>
      <w:proofErr w:type="spellEnd"/>
      <w:r w:rsidRPr="005175A5">
        <w:t xml:space="preserve"> Pty Ltd</w:t>
      </w:r>
      <w:r>
        <w:t xml:space="preserve"> (</w:t>
      </w:r>
      <w:proofErr w:type="spellStart"/>
      <w:r w:rsidRPr="00426684">
        <w:t>Ribomustin</w:t>
      </w:r>
      <w:proofErr w:type="spellEnd"/>
      <w:r w:rsidRPr="00426684">
        <w:t>®</w:t>
      </w:r>
      <w:r>
        <w:t xml:space="preserve">): </w:t>
      </w:r>
      <w:r w:rsidR="00DF4818" w:rsidRPr="00DF4818">
        <w:t>The sponsor has no comment</w:t>
      </w:r>
      <w:r w:rsidR="00DF4818">
        <w:t>.</w:t>
      </w:r>
    </w:p>
    <w:p w14:paraId="5AEDEE36" w14:textId="77777777" w:rsidR="00426684" w:rsidRDefault="00426684" w:rsidP="00426684">
      <w:pPr>
        <w:pStyle w:val="Heading1"/>
      </w:pPr>
      <w:r w:rsidRPr="00A4020E">
        <w:t>Disclaimer</w:t>
      </w:r>
    </w:p>
    <w:p w14:paraId="74D8741E" w14:textId="77777777" w:rsidR="00426684" w:rsidRDefault="00426684" w:rsidP="00426684">
      <w:proofErr w:type="gramStart"/>
      <w:r>
        <w:t>The information provided in this report does not constitute medical advice and is not intended to take the place of professional medical advice or care.</w:t>
      </w:r>
      <w:proofErr w:type="gramEnd"/>
      <w:r>
        <w:t xml:space="preserve">  It is not intended to define what constitutes reasonable, appropriate or best care for any individual for any given health issue.  The information should not be used as a substitute for the judgement and skill of a medical practitioner.</w:t>
      </w:r>
    </w:p>
    <w:p w14:paraId="2EEB8F52" w14:textId="77777777" w:rsidR="00426684" w:rsidRDefault="00426684" w:rsidP="00426684">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DE61056" w14:textId="77777777" w:rsidR="00426684" w:rsidRDefault="00426684" w:rsidP="00426684">
      <w:r>
        <w:t xml:space="preserve">To the extent provided by law, </w:t>
      </w:r>
      <w:proofErr w:type="spellStart"/>
      <w:r>
        <w:t>DoH</w:t>
      </w:r>
      <w:proofErr w:type="spellEnd"/>
      <w:r>
        <w:t xml:space="preserve"> makes no warranties or representations as to accuracy or completeness of information contained in this report. </w:t>
      </w:r>
    </w:p>
    <w:p w14:paraId="1E0D7B07" w14:textId="77777777" w:rsidR="00426684" w:rsidRDefault="00426684" w:rsidP="00426684">
      <w:proofErr w:type="gramStart"/>
      <w:r>
        <w:lastRenderedPageBreak/>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roofErr w:type="gramEnd"/>
    </w:p>
    <w:p w14:paraId="06356F79" w14:textId="77777777" w:rsidR="00426684" w:rsidRDefault="00426684" w:rsidP="00426684">
      <w:pPr>
        <w:spacing w:before="60" w:after="0"/>
      </w:pPr>
    </w:p>
    <w:p w14:paraId="08110C51" w14:textId="77777777" w:rsidR="00426684" w:rsidRDefault="00426684" w:rsidP="00FA5C45">
      <w:pPr>
        <w:rPr>
          <w:rFonts w:ascii="Calibri" w:eastAsia="MS Mincho" w:hAnsi="Calibri" w:cs="Times New Roman"/>
        </w:rPr>
      </w:pPr>
    </w:p>
    <w:sectPr w:rsidR="00426684" w:rsidSect="004500EB">
      <w:footerReference w:type="even" r:id="rId21"/>
      <w:footerReference w:type="default" r:id="rId22"/>
      <w:footerReference w:type="first" r:id="rId2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E9B1D" w14:textId="77777777" w:rsidR="00ED651A" w:rsidRDefault="00ED651A" w:rsidP="00A35800">
      <w:r>
        <w:separator/>
      </w:r>
    </w:p>
  </w:endnote>
  <w:endnote w:type="continuationSeparator" w:id="0">
    <w:p w14:paraId="4F10698B" w14:textId="77777777" w:rsidR="00ED651A" w:rsidRDefault="00ED651A"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Sabon">
    <w:altName w:val="Constantia"/>
    <w:charset w:val="00"/>
    <w:family w:val="roman"/>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B335" w14:textId="77777777" w:rsidR="00ED651A" w:rsidRDefault="00ED651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750BADD" w14:textId="77777777" w:rsidR="00ED651A" w:rsidRDefault="00ED651A"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187408"/>
      <w:docPartObj>
        <w:docPartGallery w:val="Page Numbers (Bottom of Page)"/>
        <w:docPartUnique/>
      </w:docPartObj>
    </w:sdtPr>
    <w:sdtEndPr/>
    <w:sdtContent>
      <w:sdt>
        <w:sdtPr>
          <w:id w:val="1591584420"/>
          <w:docPartObj>
            <w:docPartGallery w:val="Page Numbers (Top of Page)"/>
            <w:docPartUnique/>
          </w:docPartObj>
        </w:sdtPr>
        <w:sdtEndPr/>
        <w:sdtContent>
          <w:sdt>
            <w:sdtPr>
              <w:id w:val="-824198083"/>
              <w:docPartObj>
                <w:docPartGallery w:val="Page Numbers (Bottom of Page)"/>
                <w:docPartUnique/>
              </w:docPartObj>
            </w:sdtPr>
            <w:sdtEndPr/>
            <w:sdtContent>
              <w:sdt>
                <w:sdtPr>
                  <w:id w:val="-647369698"/>
                  <w:docPartObj>
                    <w:docPartGallery w:val="Page Numbers (Top of Page)"/>
                    <w:docPartUnique/>
                  </w:docPartObj>
                </w:sdtPr>
                <w:sdtEndPr/>
                <w:sdtContent>
                  <w:p w14:paraId="5CA306F6" w14:textId="412AC160" w:rsidR="00ED651A" w:rsidRDefault="00ED651A" w:rsidP="00426684">
                    <w:pPr>
                      <w:pStyle w:val="Footer"/>
                      <w:jc w:val="center"/>
                      <w:rPr>
                        <w:i/>
                        <w:sz w:val="20"/>
                      </w:rPr>
                    </w:pPr>
                    <w:r w:rsidRPr="00E35485">
                      <w:rPr>
                        <w:i/>
                        <w:sz w:val="20"/>
                      </w:rPr>
                      <w:t>Public Release Document</w:t>
                    </w:r>
                    <w:r>
                      <w:rPr>
                        <w:i/>
                        <w:sz w:val="20"/>
                      </w:rPr>
                      <w:t>, February 2019 DUSC Meeting</w:t>
                    </w:r>
                  </w:p>
                  <w:p w14:paraId="7A42F735" w14:textId="2DAE9A89" w:rsidR="00ED651A" w:rsidRDefault="00ED651A" w:rsidP="00426684">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A5434D">
                      <w:rPr>
                        <w:bCs/>
                        <w:i/>
                        <w:noProof/>
                        <w:sz w:val="20"/>
                      </w:rPr>
                      <w:t>24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A5434D">
                      <w:rPr>
                        <w:bCs/>
                        <w:i/>
                        <w:noProof/>
                        <w:sz w:val="20"/>
                      </w:rPr>
                      <w:t>24</w:t>
                    </w:r>
                    <w:r w:rsidRPr="00DD188C">
                      <w:rPr>
                        <w:bCs/>
                        <w:i/>
                        <w:sz w:val="20"/>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104D" w14:textId="77777777" w:rsidR="00ED651A" w:rsidRDefault="00ED651A" w:rsidP="007A5733">
    <w:pPr>
      <w:pStyle w:val="Footer"/>
      <w:jc w:val="center"/>
      <w:rPr>
        <w:rStyle w:val="PageNumber"/>
      </w:rPr>
    </w:pPr>
    <w:r>
      <w:rPr>
        <w:rStyle w:val="PageNumber"/>
      </w:rPr>
      <w:t>Committee-in-Confidence</w:t>
    </w:r>
  </w:p>
  <w:p w14:paraId="18C53CA8" w14:textId="77777777" w:rsidR="00ED651A" w:rsidRDefault="00ED651A"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59022" w14:textId="77777777" w:rsidR="00ED651A" w:rsidRDefault="00ED651A" w:rsidP="00A35800">
      <w:r>
        <w:separator/>
      </w:r>
    </w:p>
  </w:footnote>
  <w:footnote w:type="continuationSeparator" w:id="0">
    <w:p w14:paraId="74E7586E" w14:textId="77777777" w:rsidR="00ED651A" w:rsidRDefault="00ED651A" w:rsidP="00A35800">
      <w:r>
        <w:continuationSeparator/>
      </w:r>
    </w:p>
  </w:footnote>
  <w:footnote w:id="1">
    <w:p w14:paraId="5C1EB696" w14:textId="77777777" w:rsidR="00ED651A" w:rsidRDefault="00ED651A" w:rsidP="00661DFA">
      <w:pPr>
        <w:pStyle w:val="FootnoteText"/>
      </w:pPr>
      <w:r>
        <w:rPr>
          <w:rStyle w:val="FootnoteReference"/>
        </w:rPr>
        <w:footnoteRef/>
      </w:r>
      <w:r>
        <w:t xml:space="preserve"> Therapy of B-Cell Lymphoma with Anti-CD20 Antibodies Can Result in the Loss of CD20 Antigen Expression</w:t>
      </w:r>
    </w:p>
    <w:p w14:paraId="214F9134" w14:textId="77777777" w:rsidR="00ED651A" w:rsidRDefault="00ED651A" w:rsidP="00661DFA">
      <w:pPr>
        <w:pStyle w:val="FootnoteText"/>
      </w:pPr>
      <w:r>
        <w:t xml:space="preserve">Thomas A. Davis, Debra K. Czerwinski and Ronald Levy, </w:t>
      </w:r>
      <w:proofErr w:type="spellStart"/>
      <w:r>
        <w:t>Clin</w:t>
      </w:r>
      <w:proofErr w:type="spellEnd"/>
      <w:r>
        <w:t xml:space="preserve"> Cancer Res March 1 1999 (5) (3) 611-615;</w:t>
      </w:r>
    </w:p>
  </w:footnote>
  <w:footnote w:id="2">
    <w:p w14:paraId="04824346" w14:textId="77777777" w:rsidR="00ED651A" w:rsidRDefault="00ED651A" w:rsidP="005A2047">
      <w:pPr>
        <w:pStyle w:val="FootnoteText"/>
      </w:pPr>
      <w:r>
        <w:rPr>
          <w:rStyle w:val="FootnoteReference"/>
        </w:rPr>
        <w:footnoteRef/>
      </w:r>
      <w:r>
        <w:t xml:space="preserve"> </w:t>
      </w:r>
      <w:proofErr w:type="spellStart"/>
      <w:r>
        <w:t>Ribomustini</w:t>
      </w:r>
      <w:proofErr w:type="spellEnd"/>
      <w:r>
        <w:t>® (</w:t>
      </w:r>
      <w:proofErr w:type="spellStart"/>
      <w:r w:rsidRPr="00CA25EC">
        <w:t>bendamustine</w:t>
      </w:r>
      <w:proofErr w:type="spellEnd"/>
      <w:r w:rsidRPr="00CA25EC">
        <w:t xml:space="preserve"> hydrochloride</w:t>
      </w:r>
      <w:r>
        <w:t>), Australian Approved Product Information, Janssen-</w:t>
      </w:r>
      <w:proofErr w:type="spellStart"/>
      <w:r>
        <w:t>Cilag</w:t>
      </w:r>
      <w:proofErr w:type="spellEnd"/>
      <w:r>
        <w:t xml:space="preserve"> Pty Ltd, 1-5 Khartoum Road, Macquarie Park NSW 2113, updated 22 June 2018. Accessed on: 23 October 2018 at: </w:t>
      </w:r>
      <w:hyperlink r:id="rId1" w:history="1">
        <w:r w:rsidRPr="00897BD1">
          <w:rPr>
            <w:rStyle w:val="Hyperlink"/>
          </w:rPr>
          <w:t>https://www.tga.gov.au/product-information-0</w:t>
        </w:r>
      </w:hyperlink>
    </w:p>
  </w:footnote>
  <w:footnote w:id="3">
    <w:p w14:paraId="145B7D91" w14:textId="0692D62A" w:rsidR="00ED651A" w:rsidRDefault="00ED651A">
      <w:pPr>
        <w:pStyle w:val="FootnoteText"/>
      </w:pPr>
      <w:r>
        <w:rPr>
          <w:rStyle w:val="FootnoteReference"/>
        </w:rPr>
        <w:footnoteRef/>
      </w:r>
      <w:r>
        <w:t xml:space="preserve"> From 1 October 2018, the </w:t>
      </w:r>
      <w:proofErr w:type="spellStart"/>
      <w:r>
        <w:t>bendamustine</w:t>
      </w:r>
      <w:proofErr w:type="spellEnd"/>
      <w:r>
        <w:t xml:space="preserve"> listing was extended to allow </w:t>
      </w:r>
      <w:proofErr w:type="spellStart"/>
      <w:r>
        <w:t>reinduction</w:t>
      </w:r>
      <w:proofErr w:type="spellEnd"/>
      <w:r>
        <w:t xml:space="preserve"> treatment for follicular lymphoma </w:t>
      </w:r>
      <w:proofErr w:type="gramStart"/>
      <w:r>
        <w:t>patients</w:t>
      </w:r>
      <w:proofErr w:type="gramEnd"/>
      <w:r>
        <w:t xml:space="preserve"> refractory to treatment with rituximab, and to include previously untreated Stage II “bulky” </w:t>
      </w:r>
      <w:proofErr w:type="spellStart"/>
      <w:r>
        <w:t>iNHL</w:t>
      </w:r>
      <w:proofErr w:type="spellEnd"/>
      <w:r>
        <w:t xml:space="preserve"> patients. These changes were made in the context of the listing of </w:t>
      </w:r>
      <w:hyperlink r:id="rId2" w:history="1">
        <w:proofErr w:type="spellStart"/>
        <w:r w:rsidRPr="00384AB7">
          <w:rPr>
            <w:rStyle w:val="Hyperlink"/>
          </w:rPr>
          <w:t>obinutuzumab</w:t>
        </w:r>
        <w:proofErr w:type="spellEnd"/>
      </w:hyperlink>
      <w:r>
        <w:t xml:space="preserve"> and did not </w:t>
      </w:r>
      <w:proofErr w:type="gramStart"/>
      <w:r>
        <w:t>impact</w:t>
      </w:r>
      <w:proofErr w:type="gramEnd"/>
      <w:r>
        <w:t xml:space="preserve"> the utilisation data in the report which are up to the end of September 2018.</w:t>
      </w:r>
    </w:p>
  </w:footnote>
  <w:footnote w:id="4">
    <w:p w14:paraId="65CD99D1" w14:textId="35AD1984" w:rsidR="005D5AEA" w:rsidRDefault="005D5AEA">
      <w:pPr>
        <w:pStyle w:val="FootnoteText"/>
      </w:pPr>
      <w:r>
        <w:rPr>
          <w:rStyle w:val="FootnoteReference"/>
        </w:rPr>
        <w:footnoteRef/>
      </w:r>
      <w:r>
        <w:t xml:space="preserve"> Drugs in the R-CHOP combination include rituximab, cyclophosphamide, doxorubicin hydrochloride, vincristine </w:t>
      </w:r>
      <w:proofErr w:type="spellStart"/>
      <w:r>
        <w:t>sulfate</w:t>
      </w:r>
      <w:proofErr w:type="spellEnd"/>
      <w:r>
        <w:t xml:space="preserve"> and prednisone.</w:t>
      </w:r>
    </w:p>
  </w:footnote>
  <w:footnote w:id="5">
    <w:p w14:paraId="14ECF2CE" w14:textId="77777777" w:rsidR="00ED651A" w:rsidRPr="000A4136" w:rsidRDefault="00ED651A" w:rsidP="000A4136">
      <w:pPr>
        <w:rPr>
          <w:rFonts w:ascii="Calibri" w:eastAsia="MS Mincho" w:hAnsi="Calibri" w:cs="Times New Roman"/>
          <w:sz w:val="18"/>
          <w:szCs w:val="18"/>
        </w:rPr>
      </w:pPr>
      <w:r w:rsidRPr="000A4136">
        <w:rPr>
          <w:rStyle w:val="FootnoteReference"/>
          <w:sz w:val="18"/>
          <w:szCs w:val="18"/>
        </w:rPr>
        <w:footnoteRef/>
      </w:r>
      <w:r w:rsidRPr="000A4136">
        <w:rPr>
          <w:sz w:val="18"/>
          <w:szCs w:val="18"/>
        </w:rPr>
        <w:t xml:space="preserve"> </w:t>
      </w:r>
      <w:r w:rsidRPr="000A4136">
        <w:rPr>
          <w:rFonts w:ascii="Calibri" w:eastAsia="MS Mincho" w:hAnsi="Calibri" w:cs="Times New Roman"/>
          <w:sz w:val="18"/>
          <w:szCs w:val="18"/>
        </w:rPr>
        <w:t xml:space="preserve">The date of processing of a PBS prescription may differ from the date of dispensing. Consequently there may be differences in data reported by date of dispensing or processing (such as that available publicly available from </w:t>
      </w:r>
      <w:hyperlink r:id="rId3" w:anchor="a2" w:history="1">
        <w:r w:rsidRPr="000A4136">
          <w:rPr>
            <w:rStyle w:val="Hyperlink"/>
            <w:rFonts w:ascii="Calibri" w:eastAsia="MS Mincho" w:hAnsi="Calibri" w:cs="Times New Roman"/>
            <w:sz w:val="18"/>
            <w:szCs w:val="18"/>
          </w:rPr>
          <w:t>DHS Medicare website</w:t>
        </w:r>
      </w:hyperlink>
      <w:r w:rsidRPr="000A4136">
        <w:rPr>
          <w:rFonts w:ascii="Calibri" w:eastAsia="MS Mincho" w:hAnsi="Calibri" w:cs="Times New Roman"/>
          <w:sz w:val="18"/>
          <w:szCs w:val="18"/>
        </w:rPr>
        <w:t xml:space="preserve">). </w:t>
      </w:r>
    </w:p>
    <w:p w14:paraId="612B751E" w14:textId="77777777" w:rsidR="00ED651A" w:rsidRDefault="00ED651A">
      <w:pPr>
        <w:pStyle w:val="FootnoteText"/>
      </w:pPr>
    </w:p>
  </w:footnote>
  <w:footnote w:id="6">
    <w:p w14:paraId="51806686" w14:textId="77777777" w:rsidR="00ED651A" w:rsidRPr="00C169FE" w:rsidRDefault="00ED651A" w:rsidP="00F93853">
      <w:pPr>
        <w:pStyle w:val="FootnoteText"/>
        <w:rPr>
          <w:color w:val="333333"/>
          <w:sz w:val="20"/>
          <w:shd w:val="clear" w:color="auto" w:fill="FFFFFF"/>
        </w:rPr>
      </w:pPr>
      <w:r w:rsidRPr="00C169FE">
        <w:rPr>
          <w:rStyle w:val="FootnoteReference"/>
          <w:sz w:val="20"/>
        </w:rPr>
        <w:footnoteRef/>
      </w:r>
      <w:r w:rsidRPr="00C169FE">
        <w:rPr>
          <w:sz w:val="20"/>
        </w:rPr>
        <w:t xml:space="preserve"> </w:t>
      </w:r>
      <w:r w:rsidRPr="00C169FE">
        <w:rPr>
          <w:color w:val="333333"/>
          <w:sz w:val="20"/>
          <w:shd w:val="clear" w:color="auto" w:fill="FFFFFF"/>
        </w:rPr>
        <w:t>UptoDate.com Accessed 16 December 2018.</w:t>
      </w:r>
    </w:p>
  </w:footnote>
  <w:footnote w:id="7">
    <w:p w14:paraId="1916081A" w14:textId="098CA64D" w:rsidR="00ED651A" w:rsidRPr="00C169FE" w:rsidRDefault="00ED651A">
      <w:pPr>
        <w:pStyle w:val="FootnoteText"/>
        <w:rPr>
          <w:sz w:val="20"/>
        </w:rPr>
      </w:pPr>
      <w:r w:rsidRPr="00C169FE">
        <w:rPr>
          <w:rStyle w:val="FootnoteReference"/>
          <w:sz w:val="20"/>
        </w:rPr>
        <w:footnoteRef/>
      </w:r>
      <w:r w:rsidRPr="00C169FE">
        <w:rPr>
          <w:sz w:val="20"/>
        </w:rPr>
        <w:t xml:space="preserve"> </w:t>
      </w:r>
      <w:r w:rsidRPr="00C169FE">
        <w:rPr>
          <w:color w:val="333333"/>
          <w:sz w:val="20"/>
          <w:shd w:val="clear" w:color="auto" w:fill="FFFFFF"/>
        </w:rPr>
        <w:t>Bendamustine submission to the March 2015 PBAC, p95</w:t>
      </w:r>
    </w:p>
  </w:footnote>
  <w:footnote w:id="8">
    <w:p w14:paraId="2998AFDF" w14:textId="77777777" w:rsidR="00ED651A" w:rsidRPr="00C169FE" w:rsidRDefault="00ED651A" w:rsidP="00F93853">
      <w:pPr>
        <w:pStyle w:val="FootnoteText"/>
        <w:rPr>
          <w:sz w:val="20"/>
        </w:rPr>
      </w:pPr>
      <w:r w:rsidRPr="00C169FE">
        <w:rPr>
          <w:rStyle w:val="FootnoteReference"/>
          <w:sz w:val="20"/>
        </w:rPr>
        <w:footnoteRef/>
      </w:r>
      <w:r w:rsidRPr="00C169FE">
        <w:rPr>
          <w:sz w:val="20"/>
        </w:rPr>
        <w:t xml:space="preserve"> </w:t>
      </w:r>
      <w:r w:rsidRPr="00C169FE">
        <w:rPr>
          <w:color w:val="333333"/>
          <w:sz w:val="20"/>
          <w:shd w:val="clear" w:color="auto" w:fill="FFFFFF"/>
        </w:rPr>
        <w:t xml:space="preserve">Dooley MJ, Singh S, Michael M: Implications of dose rounding of chemotherapy to the nearest vial size. Support Care Cancer. </w:t>
      </w:r>
      <w:proofErr w:type="gramStart"/>
      <w:r w:rsidRPr="00C169FE">
        <w:rPr>
          <w:color w:val="333333"/>
          <w:sz w:val="20"/>
          <w:shd w:val="clear" w:color="auto" w:fill="FFFFFF"/>
        </w:rPr>
        <w:t>2004</w:t>
      </w:r>
      <w:proofErr w:type="gramEnd"/>
      <w:r w:rsidRPr="00C169FE">
        <w:rPr>
          <w:color w:val="333333"/>
          <w:sz w:val="20"/>
          <w:shd w:val="clear" w:color="auto" w:fill="FFFFFF"/>
        </w:rPr>
        <w:t>, 12: 653-656.</w:t>
      </w:r>
    </w:p>
  </w:footnote>
  <w:footnote w:id="9">
    <w:p w14:paraId="2E22DA62" w14:textId="4EEA0A7B" w:rsidR="00ED651A" w:rsidRDefault="00ED651A">
      <w:pPr>
        <w:pStyle w:val="FootnoteText"/>
      </w:pPr>
      <w:r w:rsidRPr="00C169FE">
        <w:rPr>
          <w:rStyle w:val="FootnoteReference"/>
          <w:sz w:val="20"/>
        </w:rPr>
        <w:footnoteRef/>
      </w:r>
      <w:r w:rsidRPr="00C169FE">
        <w:rPr>
          <w:sz w:val="20"/>
        </w:rPr>
        <w:t xml:space="preserve"> The analyses defined previous CHOP as a prior history of all </w:t>
      </w:r>
      <w:proofErr w:type="gramStart"/>
      <w:r w:rsidRPr="00C169FE">
        <w:rPr>
          <w:sz w:val="20"/>
        </w:rPr>
        <w:t>4</w:t>
      </w:r>
      <w:proofErr w:type="gramEnd"/>
      <w:r w:rsidRPr="00C169FE">
        <w:rPr>
          <w:sz w:val="20"/>
        </w:rPr>
        <w:t xml:space="preserve"> components of CHOP regimen or all three components of the CVP regimen. Prednisolone is inexpensive and may not be dispensed through the PBS as part of the CHOP or CVP regimen. The use of prior CHOP increases from 3.8% to 5.2% if CHOP </w:t>
      </w:r>
      <w:r w:rsidR="00687B2C">
        <w:rPr>
          <w:sz w:val="20"/>
        </w:rPr>
        <w:t>wa</w:t>
      </w:r>
      <w:r w:rsidRPr="00C169FE">
        <w:rPr>
          <w:sz w:val="20"/>
        </w:rPr>
        <w:t xml:space="preserve">s defined as prior PBS history of cyclophosphamide, doxorubicin, </w:t>
      </w:r>
      <w:proofErr w:type="gramStart"/>
      <w:r w:rsidRPr="00C169FE">
        <w:rPr>
          <w:sz w:val="20"/>
        </w:rPr>
        <w:t>vincristine</w:t>
      </w:r>
      <w:proofErr w:type="gramEnd"/>
      <w:r w:rsidRPr="00C169FE">
        <w:rPr>
          <w:sz w:val="20"/>
        </w:rPr>
        <w:t>. Use of prior CVP increase</w:t>
      </w:r>
      <w:r w:rsidR="00687B2C">
        <w:rPr>
          <w:sz w:val="20"/>
        </w:rPr>
        <w:t>d</w:t>
      </w:r>
      <w:r w:rsidRPr="00C169FE">
        <w:rPr>
          <w:sz w:val="20"/>
        </w:rPr>
        <w:t xml:space="preserve"> from 1.6% to 2.7% if CVP </w:t>
      </w:r>
      <w:r w:rsidR="00687B2C">
        <w:rPr>
          <w:sz w:val="20"/>
        </w:rPr>
        <w:t>wa</w:t>
      </w:r>
      <w:r w:rsidRPr="00C169FE">
        <w:rPr>
          <w:sz w:val="20"/>
        </w:rPr>
        <w:t>s defined as prior cyclophosphamide and vincristine.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05E3"/>
    <w:multiLevelType w:val="hybridMultilevel"/>
    <w:tmpl w:val="1F2A1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FE6F44"/>
    <w:multiLevelType w:val="hybridMultilevel"/>
    <w:tmpl w:val="0BA4D9C4"/>
    <w:lvl w:ilvl="0" w:tplc="988E103C">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17692"/>
    <w:multiLevelType w:val="hybridMultilevel"/>
    <w:tmpl w:val="2D904F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E474578"/>
    <w:multiLevelType w:val="multilevel"/>
    <w:tmpl w:val="7070D890"/>
    <w:lvl w:ilvl="0">
      <w:start w:val="1"/>
      <w:numFmt w:val="decimal"/>
      <w:pStyle w:val="FigureA"/>
      <w:lvlText w:val="Figure A.%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78673A"/>
    <w:multiLevelType w:val="hybridMultilevel"/>
    <w:tmpl w:val="CC72C42E"/>
    <w:lvl w:ilvl="0" w:tplc="4C2CABF6">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23291781"/>
    <w:multiLevelType w:val="hybridMultilevel"/>
    <w:tmpl w:val="26C4AF8E"/>
    <w:lvl w:ilvl="0" w:tplc="30F486A4">
      <w:start w:val="1"/>
      <w:numFmt w:val="bullet"/>
      <w:pStyle w:val="Bullet1"/>
      <w:lvlText w:val=""/>
      <w:lvlJc w:val="left"/>
      <w:pPr>
        <w:tabs>
          <w:tab w:val="num" w:pos="360"/>
        </w:tabs>
        <w:ind w:left="360" w:hanging="360"/>
      </w:pPr>
      <w:rPr>
        <w:rFonts w:ascii="Symbol" w:hAnsi="Symbol" w:hint="default"/>
      </w:rPr>
    </w:lvl>
    <w:lvl w:ilvl="1" w:tplc="704A232E">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F6C4F"/>
    <w:multiLevelType w:val="hybridMultilevel"/>
    <w:tmpl w:val="F258ADF6"/>
    <w:lvl w:ilvl="0" w:tplc="59F68E4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26DB68B8"/>
    <w:multiLevelType w:val="hybridMultilevel"/>
    <w:tmpl w:val="6AFCA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C91425"/>
    <w:multiLevelType w:val="hybridMultilevel"/>
    <w:tmpl w:val="F594D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DF4C64"/>
    <w:multiLevelType w:val="hybridMultilevel"/>
    <w:tmpl w:val="C50A8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240439"/>
    <w:multiLevelType w:val="hybridMultilevel"/>
    <w:tmpl w:val="63C4D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F8349F"/>
    <w:multiLevelType w:val="hybridMultilevel"/>
    <w:tmpl w:val="AF26EF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5D3198"/>
    <w:multiLevelType w:val="hybridMultilevel"/>
    <w:tmpl w:val="BDC6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863BC8"/>
    <w:multiLevelType w:val="hybridMultilevel"/>
    <w:tmpl w:val="352EA038"/>
    <w:lvl w:ilvl="0" w:tplc="22D238BE">
      <w:start w:val="3"/>
      <w:numFmt w:val="bullet"/>
      <w:lvlText w:val="-"/>
      <w:lvlJc w:val="left"/>
      <w:pPr>
        <w:ind w:left="1080" w:hanging="360"/>
      </w:pPr>
      <w:rPr>
        <w:rFonts w:ascii="Arial" w:eastAsia="SimSu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B975AF5"/>
    <w:multiLevelType w:val="hybridMultilevel"/>
    <w:tmpl w:val="45289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FBA022E"/>
    <w:multiLevelType w:val="hybridMultilevel"/>
    <w:tmpl w:val="95E4F5B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4730A3"/>
    <w:multiLevelType w:val="hybridMultilevel"/>
    <w:tmpl w:val="2F46E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9C22C6"/>
    <w:multiLevelType w:val="hybridMultilevel"/>
    <w:tmpl w:val="8E54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B4FFA"/>
    <w:multiLevelType w:val="hybridMultilevel"/>
    <w:tmpl w:val="F0C8B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E77C69"/>
    <w:multiLevelType w:val="hybridMultilevel"/>
    <w:tmpl w:val="B9AA6342"/>
    <w:lvl w:ilvl="0" w:tplc="4A8437DE">
      <w:numFmt w:val="bullet"/>
      <w:lvlText w:val="-"/>
      <w:lvlJc w:val="left"/>
      <w:pPr>
        <w:ind w:left="360" w:hanging="360"/>
      </w:pPr>
      <w:rPr>
        <w:rFonts w:ascii="Calibri" w:eastAsia="MS Mincho"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E03B4E"/>
    <w:multiLevelType w:val="hybridMultilevel"/>
    <w:tmpl w:val="E9B2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C310F"/>
    <w:multiLevelType w:val="multilevel"/>
    <w:tmpl w:val="6820ECD8"/>
    <w:lvl w:ilvl="0">
      <w:start w:val="1"/>
      <w:numFmt w:val="decimal"/>
      <w:pStyle w:val="TableTitleA"/>
      <w:lvlText w:val="Table A.%1"/>
      <w:lvlJc w:val="left"/>
      <w:pPr>
        <w:tabs>
          <w:tab w:val="num" w:pos="1648"/>
        </w:tabs>
        <w:ind w:left="1419"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C64C22"/>
    <w:multiLevelType w:val="hybridMultilevel"/>
    <w:tmpl w:val="755CD320"/>
    <w:lvl w:ilvl="0" w:tplc="C62E8F00">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3" w15:restartNumberingAfterBreak="0">
    <w:nsid w:val="6CBB1185"/>
    <w:multiLevelType w:val="hybridMultilevel"/>
    <w:tmpl w:val="B1DE3D14"/>
    <w:lvl w:ilvl="0" w:tplc="4C2CABF6">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7288230A"/>
    <w:multiLevelType w:val="hybridMultilevel"/>
    <w:tmpl w:val="FF16BB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38B6CE2"/>
    <w:multiLevelType w:val="hybridMultilevel"/>
    <w:tmpl w:val="3F228B4C"/>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33299B"/>
    <w:multiLevelType w:val="hybridMultilevel"/>
    <w:tmpl w:val="14542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CE61F3"/>
    <w:multiLevelType w:val="hybridMultilevel"/>
    <w:tmpl w:val="C714C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4D033C"/>
    <w:multiLevelType w:val="multilevel"/>
    <w:tmpl w:val="E1C605B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9F2259"/>
    <w:multiLevelType w:val="hybridMultilevel"/>
    <w:tmpl w:val="FD124EAE"/>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15:restartNumberingAfterBreak="0">
    <w:nsid w:val="7FCC0C47"/>
    <w:multiLevelType w:val="hybridMultilevel"/>
    <w:tmpl w:val="75D4A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DF64F0"/>
    <w:multiLevelType w:val="hybridMultilevel"/>
    <w:tmpl w:val="46128A46"/>
    <w:lvl w:ilvl="0" w:tplc="4A8437DE">
      <w:numFmt w:val="bullet"/>
      <w:lvlText w:val="-"/>
      <w:lvlJc w:val="left"/>
      <w:pPr>
        <w:ind w:left="720" w:hanging="360"/>
      </w:pPr>
      <w:rPr>
        <w:rFonts w:ascii="Calibri" w:eastAsia="MS Mincho"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6"/>
  </w:num>
  <w:num w:numId="4">
    <w:abstractNumId w:val="22"/>
  </w:num>
  <w:num w:numId="5">
    <w:abstractNumId w:val="23"/>
  </w:num>
  <w:num w:numId="6">
    <w:abstractNumId w:val="4"/>
  </w:num>
  <w:num w:numId="7">
    <w:abstractNumId w:val="28"/>
  </w:num>
  <w:num w:numId="8">
    <w:abstractNumId w:val="1"/>
  </w:num>
  <w:num w:numId="9">
    <w:abstractNumId w:val="11"/>
  </w:num>
  <w:num w:numId="10">
    <w:abstractNumId w:val="5"/>
  </w:num>
  <w:num w:numId="11">
    <w:abstractNumId w:val="21"/>
  </w:num>
  <w:num w:numId="12">
    <w:abstractNumId w:val="3"/>
  </w:num>
  <w:num w:numId="13">
    <w:abstractNumId w:val="17"/>
  </w:num>
  <w:num w:numId="14">
    <w:abstractNumId w:val="18"/>
  </w:num>
  <w:num w:numId="15">
    <w:abstractNumId w:val="12"/>
  </w:num>
  <w:num w:numId="16">
    <w:abstractNumId w:val="2"/>
  </w:num>
  <w:num w:numId="17">
    <w:abstractNumId w:val="13"/>
  </w:num>
  <w:num w:numId="18">
    <w:abstractNumId w:val="25"/>
  </w:num>
  <w:num w:numId="19">
    <w:abstractNumId w:val="10"/>
  </w:num>
  <w:num w:numId="20">
    <w:abstractNumId w:val="24"/>
  </w:num>
  <w:num w:numId="21">
    <w:abstractNumId w:val="27"/>
  </w:num>
  <w:num w:numId="22">
    <w:abstractNumId w:val="15"/>
  </w:num>
  <w:num w:numId="23">
    <w:abstractNumId w:val="20"/>
  </w:num>
  <w:num w:numId="24">
    <w:abstractNumId w:val="8"/>
  </w:num>
  <w:num w:numId="25">
    <w:abstractNumId w:val="30"/>
  </w:num>
  <w:num w:numId="26">
    <w:abstractNumId w:val="7"/>
  </w:num>
  <w:num w:numId="27">
    <w:abstractNumId w:val="14"/>
  </w:num>
  <w:num w:numId="28">
    <w:abstractNumId w:val="0"/>
  </w:num>
  <w:num w:numId="29">
    <w:abstractNumId w:val="16"/>
  </w:num>
  <w:num w:numId="30">
    <w:abstractNumId w:val="19"/>
  </w:num>
  <w:num w:numId="31">
    <w:abstractNumId w:val="31"/>
  </w:num>
  <w:num w:numId="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AU" w:vendorID="64" w:dllVersion="131078"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A2A"/>
    <w:rsid w:val="0000150F"/>
    <w:rsid w:val="00006FC9"/>
    <w:rsid w:val="00007E85"/>
    <w:rsid w:val="0001224A"/>
    <w:rsid w:val="00013465"/>
    <w:rsid w:val="00013711"/>
    <w:rsid w:val="00015850"/>
    <w:rsid w:val="00017E62"/>
    <w:rsid w:val="000226B3"/>
    <w:rsid w:val="00024549"/>
    <w:rsid w:val="00025C65"/>
    <w:rsid w:val="00025F73"/>
    <w:rsid w:val="00026036"/>
    <w:rsid w:val="00032028"/>
    <w:rsid w:val="00046B8F"/>
    <w:rsid w:val="00047047"/>
    <w:rsid w:val="00047A6B"/>
    <w:rsid w:val="00050F82"/>
    <w:rsid w:val="00053AFE"/>
    <w:rsid w:val="000544B6"/>
    <w:rsid w:val="000555A6"/>
    <w:rsid w:val="00057745"/>
    <w:rsid w:val="00057AB5"/>
    <w:rsid w:val="000604AF"/>
    <w:rsid w:val="0006332D"/>
    <w:rsid w:val="00064E87"/>
    <w:rsid w:val="00065107"/>
    <w:rsid w:val="000678D8"/>
    <w:rsid w:val="00071DAB"/>
    <w:rsid w:val="00072217"/>
    <w:rsid w:val="00080DB2"/>
    <w:rsid w:val="0008258D"/>
    <w:rsid w:val="000861FB"/>
    <w:rsid w:val="00086637"/>
    <w:rsid w:val="00086C11"/>
    <w:rsid w:val="00094DCF"/>
    <w:rsid w:val="00095FF8"/>
    <w:rsid w:val="00096089"/>
    <w:rsid w:val="00096A58"/>
    <w:rsid w:val="00097693"/>
    <w:rsid w:val="00097FE4"/>
    <w:rsid w:val="000A02C7"/>
    <w:rsid w:val="000A1751"/>
    <w:rsid w:val="000A3752"/>
    <w:rsid w:val="000A4136"/>
    <w:rsid w:val="000A6CFD"/>
    <w:rsid w:val="000B08B8"/>
    <w:rsid w:val="000B0982"/>
    <w:rsid w:val="000B17C6"/>
    <w:rsid w:val="000B1F01"/>
    <w:rsid w:val="000B2586"/>
    <w:rsid w:val="000B796C"/>
    <w:rsid w:val="000C2EB7"/>
    <w:rsid w:val="000C406A"/>
    <w:rsid w:val="000C46BB"/>
    <w:rsid w:val="000C4D9D"/>
    <w:rsid w:val="000C7C4B"/>
    <w:rsid w:val="000C7D8B"/>
    <w:rsid w:val="000D0F5E"/>
    <w:rsid w:val="000D262C"/>
    <w:rsid w:val="000D38C3"/>
    <w:rsid w:val="000E17E8"/>
    <w:rsid w:val="000E1C9D"/>
    <w:rsid w:val="000E27A4"/>
    <w:rsid w:val="000E485D"/>
    <w:rsid w:val="000E5BAB"/>
    <w:rsid w:val="000E5D3F"/>
    <w:rsid w:val="000E6390"/>
    <w:rsid w:val="000E72C6"/>
    <w:rsid w:val="000E7BD8"/>
    <w:rsid w:val="000F0BDF"/>
    <w:rsid w:val="000F1893"/>
    <w:rsid w:val="000F2F51"/>
    <w:rsid w:val="000F4457"/>
    <w:rsid w:val="000F5FF2"/>
    <w:rsid w:val="0010042E"/>
    <w:rsid w:val="00103BCA"/>
    <w:rsid w:val="001046FA"/>
    <w:rsid w:val="001055CA"/>
    <w:rsid w:val="00110030"/>
    <w:rsid w:val="00110778"/>
    <w:rsid w:val="00113CF8"/>
    <w:rsid w:val="00113D74"/>
    <w:rsid w:val="00113E80"/>
    <w:rsid w:val="00116FE2"/>
    <w:rsid w:val="00117C5C"/>
    <w:rsid w:val="0012079E"/>
    <w:rsid w:val="0012146C"/>
    <w:rsid w:val="001220FB"/>
    <w:rsid w:val="001223D1"/>
    <w:rsid w:val="00122D97"/>
    <w:rsid w:val="00124192"/>
    <w:rsid w:val="00124E0E"/>
    <w:rsid w:val="001310AE"/>
    <w:rsid w:val="00131C97"/>
    <w:rsid w:val="00131F64"/>
    <w:rsid w:val="00136482"/>
    <w:rsid w:val="00141AFF"/>
    <w:rsid w:val="00141E32"/>
    <w:rsid w:val="001420B3"/>
    <w:rsid w:val="0014274A"/>
    <w:rsid w:val="00143788"/>
    <w:rsid w:val="0014490A"/>
    <w:rsid w:val="001460C4"/>
    <w:rsid w:val="00147579"/>
    <w:rsid w:val="00147ABD"/>
    <w:rsid w:val="00153940"/>
    <w:rsid w:val="001546C5"/>
    <w:rsid w:val="001547DD"/>
    <w:rsid w:val="0015580B"/>
    <w:rsid w:val="001560B7"/>
    <w:rsid w:val="0015658B"/>
    <w:rsid w:val="0015691C"/>
    <w:rsid w:val="001621F7"/>
    <w:rsid w:val="001624D7"/>
    <w:rsid w:val="0016525A"/>
    <w:rsid w:val="001700DA"/>
    <w:rsid w:val="00175166"/>
    <w:rsid w:val="00177B86"/>
    <w:rsid w:val="00180DE3"/>
    <w:rsid w:val="00182585"/>
    <w:rsid w:val="00184D0D"/>
    <w:rsid w:val="00191182"/>
    <w:rsid w:val="0019664D"/>
    <w:rsid w:val="001969EA"/>
    <w:rsid w:val="00197C1A"/>
    <w:rsid w:val="001A1AA3"/>
    <w:rsid w:val="001A1C25"/>
    <w:rsid w:val="001A5CF7"/>
    <w:rsid w:val="001A6103"/>
    <w:rsid w:val="001B012A"/>
    <w:rsid w:val="001B5D37"/>
    <w:rsid w:val="001B6426"/>
    <w:rsid w:val="001C2940"/>
    <w:rsid w:val="001C2DE4"/>
    <w:rsid w:val="001C4016"/>
    <w:rsid w:val="001C548D"/>
    <w:rsid w:val="001C572D"/>
    <w:rsid w:val="001C6A5D"/>
    <w:rsid w:val="001C70CD"/>
    <w:rsid w:val="001D4FD0"/>
    <w:rsid w:val="001D70E4"/>
    <w:rsid w:val="001D72A5"/>
    <w:rsid w:val="001D7E7F"/>
    <w:rsid w:val="001E0D6C"/>
    <w:rsid w:val="001E104E"/>
    <w:rsid w:val="001E31A6"/>
    <w:rsid w:val="001E3A3D"/>
    <w:rsid w:val="001E42C7"/>
    <w:rsid w:val="001E4CAB"/>
    <w:rsid w:val="001E5E39"/>
    <w:rsid w:val="001E6C91"/>
    <w:rsid w:val="001E7315"/>
    <w:rsid w:val="001F0A4E"/>
    <w:rsid w:val="001F0AA0"/>
    <w:rsid w:val="001F2302"/>
    <w:rsid w:val="001F2D15"/>
    <w:rsid w:val="001F2F3E"/>
    <w:rsid w:val="001F3504"/>
    <w:rsid w:val="001F4906"/>
    <w:rsid w:val="001F69A2"/>
    <w:rsid w:val="001F7C4A"/>
    <w:rsid w:val="00202E51"/>
    <w:rsid w:val="002041B1"/>
    <w:rsid w:val="0020578A"/>
    <w:rsid w:val="00207319"/>
    <w:rsid w:val="00207631"/>
    <w:rsid w:val="00210FE4"/>
    <w:rsid w:val="00214013"/>
    <w:rsid w:val="00217641"/>
    <w:rsid w:val="0022063D"/>
    <w:rsid w:val="00220FC1"/>
    <w:rsid w:val="00221AEA"/>
    <w:rsid w:val="0022220B"/>
    <w:rsid w:val="00222E9A"/>
    <w:rsid w:val="00223507"/>
    <w:rsid w:val="00223FF5"/>
    <w:rsid w:val="00224557"/>
    <w:rsid w:val="00225AD8"/>
    <w:rsid w:val="002260A0"/>
    <w:rsid w:val="0023179D"/>
    <w:rsid w:val="00231FE3"/>
    <w:rsid w:val="0023529D"/>
    <w:rsid w:val="00235B42"/>
    <w:rsid w:val="0024048D"/>
    <w:rsid w:val="00242BD1"/>
    <w:rsid w:val="0024331B"/>
    <w:rsid w:val="00252DD2"/>
    <w:rsid w:val="0025389D"/>
    <w:rsid w:val="002545A5"/>
    <w:rsid w:val="00254E02"/>
    <w:rsid w:val="00262302"/>
    <w:rsid w:val="0026265F"/>
    <w:rsid w:val="00262D9A"/>
    <w:rsid w:val="00262E0E"/>
    <w:rsid w:val="00263412"/>
    <w:rsid w:val="00270576"/>
    <w:rsid w:val="00275742"/>
    <w:rsid w:val="002768C8"/>
    <w:rsid w:val="002852EE"/>
    <w:rsid w:val="00286C3A"/>
    <w:rsid w:val="00290039"/>
    <w:rsid w:val="002930F5"/>
    <w:rsid w:val="00295606"/>
    <w:rsid w:val="00297414"/>
    <w:rsid w:val="00297B34"/>
    <w:rsid w:val="00297D71"/>
    <w:rsid w:val="002A06B7"/>
    <w:rsid w:val="002A18F1"/>
    <w:rsid w:val="002A1900"/>
    <w:rsid w:val="002A32C5"/>
    <w:rsid w:val="002B22B9"/>
    <w:rsid w:val="002B4462"/>
    <w:rsid w:val="002B489F"/>
    <w:rsid w:val="002B6A57"/>
    <w:rsid w:val="002C1B58"/>
    <w:rsid w:val="002C657B"/>
    <w:rsid w:val="002C6E0C"/>
    <w:rsid w:val="002C74A7"/>
    <w:rsid w:val="002D144A"/>
    <w:rsid w:val="002D4B65"/>
    <w:rsid w:val="002D5E6F"/>
    <w:rsid w:val="002D6C2A"/>
    <w:rsid w:val="002D778C"/>
    <w:rsid w:val="002E02F4"/>
    <w:rsid w:val="002E19A3"/>
    <w:rsid w:val="002E212B"/>
    <w:rsid w:val="002E3337"/>
    <w:rsid w:val="002E34BE"/>
    <w:rsid w:val="002E388D"/>
    <w:rsid w:val="002E4624"/>
    <w:rsid w:val="002E5DE1"/>
    <w:rsid w:val="002E6D03"/>
    <w:rsid w:val="002E7916"/>
    <w:rsid w:val="002F3811"/>
    <w:rsid w:val="002F4766"/>
    <w:rsid w:val="002F49A8"/>
    <w:rsid w:val="002F4CC4"/>
    <w:rsid w:val="002F5E66"/>
    <w:rsid w:val="002F61CA"/>
    <w:rsid w:val="002F7A35"/>
    <w:rsid w:val="0030010D"/>
    <w:rsid w:val="00300326"/>
    <w:rsid w:val="003022BE"/>
    <w:rsid w:val="00310641"/>
    <w:rsid w:val="0031207F"/>
    <w:rsid w:val="00314675"/>
    <w:rsid w:val="003146BD"/>
    <w:rsid w:val="003164B9"/>
    <w:rsid w:val="00323853"/>
    <w:rsid w:val="00323C8C"/>
    <w:rsid w:val="00326324"/>
    <w:rsid w:val="003309A7"/>
    <w:rsid w:val="0033504C"/>
    <w:rsid w:val="00336816"/>
    <w:rsid w:val="00336D26"/>
    <w:rsid w:val="00336EDC"/>
    <w:rsid w:val="003370D0"/>
    <w:rsid w:val="00337355"/>
    <w:rsid w:val="003375A3"/>
    <w:rsid w:val="003402E4"/>
    <w:rsid w:val="00340F95"/>
    <w:rsid w:val="0034140B"/>
    <w:rsid w:val="003421D4"/>
    <w:rsid w:val="00343D0B"/>
    <w:rsid w:val="0034421F"/>
    <w:rsid w:val="00344BDC"/>
    <w:rsid w:val="00347ABE"/>
    <w:rsid w:val="00350F07"/>
    <w:rsid w:val="00351733"/>
    <w:rsid w:val="00351788"/>
    <w:rsid w:val="00351B54"/>
    <w:rsid w:val="003531ED"/>
    <w:rsid w:val="003536BF"/>
    <w:rsid w:val="0035551E"/>
    <w:rsid w:val="00356BF9"/>
    <w:rsid w:val="003572F1"/>
    <w:rsid w:val="00357719"/>
    <w:rsid w:val="00360B9A"/>
    <w:rsid w:val="00360F00"/>
    <w:rsid w:val="00361B58"/>
    <w:rsid w:val="003653D4"/>
    <w:rsid w:val="0036586E"/>
    <w:rsid w:val="00367807"/>
    <w:rsid w:val="00372449"/>
    <w:rsid w:val="00374FF8"/>
    <w:rsid w:val="00377E60"/>
    <w:rsid w:val="00380E5D"/>
    <w:rsid w:val="00381B1E"/>
    <w:rsid w:val="00382B11"/>
    <w:rsid w:val="00382FE6"/>
    <w:rsid w:val="00384AB7"/>
    <w:rsid w:val="00385C27"/>
    <w:rsid w:val="0039017F"/>
    <w:rsid w:val="0039054D"/>
    <w:rsid w:val="00391244"/>
    <w:rsid w:val="003924E3"/>
    <w:rsid w:val="003943C7"/>
    <w:rsid w:val="00394AEE"/>
    <w:rsid w:val="00394D8C"/>
    <w:rsid w:val="00395C86"/>
    <w:rsid w:val="00396200"/>
    <w:rsid w:val="00397950"/>
    <w:rsid w:val="003A41FC"/>
    <w:rsid w:val="003A65CC"/>
    <w:rsid w:val="003A7C5C"/>
    <w:rsid w:val="003B0BFB"/>
    <w:rsid w:val="003B183E"/>
    <w:rsid w:val="003B2660"/>
    <w:rsid w:val="003B48AE"/>
    <w:rsid w:val="003B7988"/>
    <w:rsid w:val="003C18AC"/>
    <w:rsid w:val="003C209F"/>
    <w:rsid w:val="003C2D98"/>
    <w:rsid w:val="003D1DB6"/>
    <w:rsid w:val="003D22C6"/>
    <w:rsid w:val="003D2C34"/>
    <w:rsid w:val="003D2D8D"/>
    <w:rsid w:val="003D3A96"/>
    <w:rsid w:val="003D3B9C"/>
    <w:rsid w:val="003D3F03"/>
    <w:rsid w:val="003E522D"/>
    <w:rsid w:val="003F6177"/>
    <w:rsid w:val="003F68BE"/>
    <w:rsid w:val="00403B71"/>
    <w:rsid w:val="00404F03"/>
    <w:rsid w:val="00406EC5"/>
    <w:rsid w:val="00412051"/>
    <w:rsid w:val="004128AE"/>
    <w:rsid w:val="004131F6"/>
    <w:rsid w:val="00414DCC"/>
    <w:rsid w:val="0041510D"/>
    <w:rsid w:val="004177B9"/>
    <w:rsid w:val="004214E3"/>
    <w:rsid w:val="00423B94"/>
    <w:rsid w:val="004265F1"/>
    <w:rsid w:val="00426684"/>
    <w:rsid w:val="004266F0"/>
    <w:rsid w:val="004313D0"/>
    <w:rsid w:val="00431FB2"/>
    <w:rsid w:val="00432A9A"/>
    <w:rsid w:val="004343EE"/>
    <w:rsid w:val="00434E74"/>
    <w:rsid w:val="0043545A"/>
    <w:rsid w:val="00435D01"/>
    <w:rsid w:val="00440772"/>
    <w:rsid w:val="00441336"/>
    <w:rsid w:val="00442772"/>
    <w:rsid w:val="004468B5"/>
    <w:rsid w:val="0044726B"/>
    <w:rsid w:val="00447FAD"/>
    <w:rsid w:val="004500EB"/>
    <w:rsid w:val="00450BC3"/>
    <w:rsid w:val="004574B1"/>
    <w:rsid w:val="004578CF"/>
    <w:rsid w:val="00460EA9"/>
    <w:rsid w:val="00463731"/>
    <w:rsid w:val="004638F9"/>
    <w:rsid w:val="0046400A"/>
    <w:rsid w:val="004642AB"/>
    <w:rsid w:val="00464849"/>
    <w:rsid w:val="00467279"/>
    <w:rsid w:val="004678ED"/>
    <w:rsid w:val="00467B25"/>
    <w:rsid w:val="00472B33"/>
    <w:rsid w:val="00473DC5"/>
    <w:rsid w:val="00473E21"/>
    <w:rsid w:val="004759FA"/>
    <w:rsid w:val="00481108"/>
    <w:rsid w:val="00485013"/>
    <w:rsid w:val="0049042B"/>
    <w:rsid w:val="0049181F"/>
    <w:rsid w:val="004941C0"/>
    <w:rsid w:val="00495473"/>
    <w:rsid w:val="00495EE0"/>
    <w:rsid w:val="00496A32"/>
    <w:rsid w:val="00496E34"/>
    <w:rsid w:val="004A0E51"/>
    <w:rsid w:val="004A1380"/>
    <w:rsid w:val="004A4362"/>
    <w:rsid w:val="004A458E"/>
    <w:rsid w:val="004A5371"/>
    <w:rsid w:val="004B23E7"/>
    <w:rsid w:val="004B306F"/>
    <w:rsid w:val="004B34DD"/>
    <w:rsid w:val="004B4DAB"/>
    <w:rsid w:val="004C08E8"/>
    <w:rsid w:val="004C1587"/>
    <w:rsid w:val="004C1B5D"/>
    <w:rsid w:val="004C26D3"/>
    <w:rsid w:val="004C3186"/>
    <w:rsid w:val="004C3356"/>
    <w:rsid w:val="004C4622"/>
    <w:rsid w:val="004C5042"/>
    <w:rsid w:val="004D5462"/>
    <w:rsid w:val="004E37FE"/>
    <w:rsid w:val="004E4422"/>
    <w:rsid w:val="004E4B24"/>
    <w:rsid w:val="004F0AB3"/>
    <w:rsid w:val="004F0F43"/>
    <w:rsid w:val="004F37E2"/>
    <w:rsid w:val="004F409F"/>
    <w:rsid w:val="004F491E"/>
    <w:rsid w:val="004F4E48"/>
    <w:rsid w:val="004F5F6E"/>
    <w:rsid w:val="004F67A2"/>
    <w:rsid w:val="004F7B89"/>
    <w:rsid w:val="00500DDB"/>
    <w:rsid w:val="005012E1"/>
    <w:rsid w:val="00503998"/>
    <w:rsid w:val="00504EEA"/>
    <w:rsid w:val="0050623B"/>
    <w:rsid w:val="00512F68"/>
    <w:rsid w:val="005159F7"/>
    <w:rsid w:val="00515BF4"/>
    <w:rsid w:val="00515C43"/>
    <w:rsid w:val="0051654D"/>
    <w:rsid w:val="005175A5"/>
    <w:rsid w:val="00517657"/>
    <w:rsid w:val="005202B0"/>
    <w:rsid w:val="005216D3"/>
    <w:rsid w:val="00522095"/>
    <w:rsid w:val="00523181"/>
    <w:rsid w:val="00523276"/>
    <w:rsid w:val="00524D13"/>
    <w:rsid w:val="00530131"/>
    <w:rsid w:val="00530512"/>
    <w:rsid w:val="005323E8"/>
    <w:rsid w:val="005339F6"/>
    <w:rsid w:val="00535506"/>
    <w:rsid w:val="00536A24"/>
    <w:rsid w:val="005401CA"/>
    <w:rsid w:val="00542DD8"/>
    <w:rsid w:val="00543B27"/>
    <w:rsid w:val="00552273"/>
    <w:rsid w:val="00552898"/>
    <w:rsid w:val="00552B34"/>
    <w:rsid w:val="00554D1B"/>
    <w:rsid w:val="00556E92"/>
    <w:rsid w:val="00557820"/>
    <w:rsid w:val="00557984"/>
    <w:rsid w:val="00565233"/>
    <w:rsid w:val="00567BC6"/>
    <w:rsid w:val="00571964"/>
    <w:rsid w:val="00571A09"/>
    <w:rsid w:val="00571F37"/>
    <w:rsid w:val="00576A16"/>
    <w:rsid w:val="00576B18"/>
    <w:rsid w:val="00583BC2"/>
    <w:rsid w:val="0058633E"/>
    <w:rsid w:val="005868AF"/>
    <w:rsid w:val="00587173"/>
    <w:rsid w:val="00587724"/>
    <w:rsid w:val="00587F9D"/>
    <w:rsid w:val="00591399"/>
    <w:rsid w:val="00591508"/>
    <w:rsid w:val="00591512"/>
    <w:rsid w:val="00595DE2"/>
    <w:rsid w:val="00596318"/>
    <w:rsid w:val="00596A6E"/>
    <w:rsid w:val="005A2047"/>
    <w:rsid w:val="005A3AFF"/>
    <w:rsid w:val="005A3F4B"/>
    <w:rsid w:val="005A5BA7"/>
    <w:rsid w:val="005A5C9B"/>
    <w:rsid w:val="005A69FC"/>
    <w:rsid w:val="005A6EB9"/>
    <w:rsid w:val="005A7CBD"/>
    <w:rsid w:val="005B1FBD"/>
    <w:rsid w:val="005B2200"/>
    <w:rsid w:val="005B2D91"/>
    <w:rsid w:val="005B48B4"/>
    <w:rsid w:val="005B51CA"/>
    <w:rsid w:val="005B69C3"/>
    <w:rsid w:val="005B6C84"/>
    <w:rsid w:val="005C6661"/>
    <w:rsid w:val="005C6E3B"/>
    <w:rsid w:val="005D1660"/>
    <w:rsid w:val="005D21BB"/>
    <w:rsid w:val="005D2B18"/>
    <w:rsid w:val="005D474B"/>
    <w:rsid w:val="005D48D9"/>
    <w:rsid w:val="005D5AEA"/>
    <w:rsid w:val="005D5C48"/>
    <w:rsid w:val="005D5E6D"/>
    <w:rsid w:val="005D6742"/>
    <w:rsid w:val="005E085C"/>
    <w:rsid w:val="005E147D"/>
    <w:rsid w:val="005E22C2"/>
    <w:rsid w:val="005E2972"/>
    <w:rsid w:val="005E57BB"/>
    <w:rsid w:val="005E6EC8"/>
    <w:rsid w:val="005F0017"/>
    <w:rsid w:val="005F2282"/>
    <w:rsid w:val="005F3ACE"/>
    <w:rsid w:val="005F5439"/>
    <w:rsid w:val="005F6A24"/>
    <w:rsid w:val="005F6AC1"/>
    <w:rsid w:val="005F718D"/>
    <w:rsid w:val="0060004F"/>
    <w:rsid w:val="00600610"/>
    <w:rsid w:val="006014F1"/>
    <w:rsid w:val="00601B3D"/>
    <w:rsid w:val="00602052"/>
    <w:rsid w:val="00606792"/>
    <w:rsid w:val="00610932"/>
    <w:rsid w:val="0061357B"/>
    <w:rsid w:val="00613ADC"/>
    <w:rsid w:val="00614A7D"/>
    <w:rsid w:val="00616606"/>
    <w:rsid w:val="00616BF7"/>
    <w:rsid w:val="00617F19"/>
    <w:rsid w:val="006228D1"/>
    <w:rsid w:val="00625ADB"/>
    <w:rsid w:val="006261AA"/>
    <w:rsid w:val="0063631C"/>
    <w:rsid w:val="0063757B"/>
    <w:rsid w:val="006377CE"/>
    <w:rsid w:val="00641615"/>
    <w:rsid w:val="0065133B"/>
    <w:rsid w:val="006537D9"/>
    <w:rsid w:val="00653A4D"/>
    <w:rsid w:val="00661DFA"/>
    <w:rsid w:val="00664070"/>
    <w:rsid w:val="00664A48"/>
    <w:rsid w:val="00664B97"/>
    <w:rsid w:val="0066537F"/>
    <w:rsid w:val="00665DEF"/>
    <w:rsid w:val="0067517A"/>
    <w:rsid w:val="00675BB1"/>
    <w:rsid w:val="00676DDE"/>
    <w:rsid w:val="006775F1"/>
    <w:rsid w:val="006779B7"/>
    <w:rsid w:val="006807F8"/>
    <w:rsid w:val="00680FBE"/>
    <w:rsid w:val="006826FC"/>
    <w:rsid w:val="00683B79"/>
    <w:rsid w:val="00683F23"/>
    <w:rsid w:val="00684165"/>
    <w:rsid w:val="00687177"/>
    <w:rsid w:val="00687B2C"/>
    <w:rsid w:val="00692AA7"/>
    <w:rsid w:val="00697F93"/>
    <w:rsid w:val="00697FEC"/>
    <w:rsid w:val="006A122B"/>
    <w:rsid w:val="006A175F"/>
    <w:rsid w:val="006A44F5"/>
    <w:rsid w:val="006A56C3"/>
    <w:rsid w:val="006B06F1"/>
    <w:rsid w:val="006B13EA"/>
    <w:rsid w:val="006B31EB"/>
    <w:rsid w:val="006B4537"/>
    <w:rsid w:val="006B526B"/>
    <w:rsid w:val="006B5F85"/>
    <w:rsid w:val="006B6929"/>
    <w:rsid w:val="006B709B"/>
    <w:rsid w:val="006C54AF"/>
    <w:rsid w:val="006C5A8B"/>
    <w:rsid w:val="006D1939"/>
    <w:rsid w:val="006D3B0B"/>
    <w:rsid w:val="006D5054"/>
    <w:rsid w:val="006E0181"/>
    <w:rsid w:val="006E0C14"/>
    <w:rsid w:val="006E302E"/>
    <w:rsid w:val="006E4E5D"/>
    <w:rsid w:val="006E619D"/>
    <w:rsid w:val="006E73C3"/>
    <w:rsid w:val="006F0F1F"/>
    <w:rsid w:val="006F1EE6"/>
    <w:rsid w:val="006F374F"/>
    <w:rsid w:val="006F74B0"/>
    <w:rsid w:val="00700C0E"/>
    <w:rsid w:val="00701701"/>
    <w:rsid w:val="00701FEE"/>
    <w:rsid w:val="0070328D"/>
    <w:rsid w:val="007051D4"/>
    <w:rsid w:val="00705DAD"/>
    <w:rsid w:val="00712924"/>
    <w:rsid w:val="00713012"/>
    <w:rsid w:val="0071517F"/>
    <w:rsid w:val="00716440"/>
    <w:rsid w:val="00721283"/>
    <w:rsid w:val="00721A1A"/>
    <w:rsid w:val="00721A24"/>
    <w:rsid w:val="007247B9"/>
    <w:rsid w:val="00725314"/>
    <w:rsid w:val="00726725"/>
    <w:rsid w:val="00727D85"/>
    <w:rsid w:val="007346C7"/>
    <w:rsid w:val="00736041"/>
    <w:rsid w:val="007401C1"/>
    <w:rsid w:val="00740768"/>
    <w:rsid w:val="007408C7"/>
    <w:rsid w:val="00742EB9"/>
    <w:rsid w:val="007438AD"/>
    <w:rsid w:val="007456A2"/>
    <w:rsid w:val="00746302"/>
    <w:rsid w:val="007465DA"/>
    <w:rsid w:val="0074716E"/>
    <w:rsid w:val="007507B1"/>
    <w:rsid w:val="00752C7F"/>
    <w:rsid w:val="007533A4"/>
    <w:rsid w:val="00755A56"/>
    <w:rsid w:val="007622A3"/>
    <w:rsid w:val="00763DE6"/>
    <w:rsid w:val="007724B6"/>
    <w:rsid w:val="007732E2"/>
    <w:rsid w:val="00776598"/>
    <w:rsid w:val="0077740F"/>
    <w:rsid w:val="00777D30"/>
    <w:rsid w:val="00780E16"/>
    <w:rsid w:val="00785487"/>
    <w:rsid w:val="007906FA"/>
    <w:rsid w:val="00791F8C"/>
    <w:rsid w:val="00792948"/>
    <w:rsid w:val="00794DD9"/>
    <w:rsid w:val="00795344"/>
    <w:rsid w:val="0079593A"/>
    <w:rsid w:val="00795B9F"/>
    <w:rsid w:val="00796E84"/>
    <w:rsid w:val="007A053A"/>
    <w:rsid w:val="007A1737"/>
    <w:rsid w:val="007A1805"/>
    <w:rsid w:val="007A180D"/>
    <w:rsid w:val="007A2499"/>
    <w:rsid w:val="007A25A9"/>
    <w:rsid w:val="007A3ADE"/>
    <w:rsid w:val="007A5733"/>
    <w:rsid w:val="007A5774"/>
    <w:rsid w:val="007A68A1"/>
    <w:rsid w:val="007A69D9"/>
    <w:rsid w:val="007A721E"/>
    <w:rsid w:val="007B05F6"/>
    <w:rsid w:val="007B2747"/>
    <w:rsid w:val="007B2DE7"/>
    <w:rsid w:val="007B3261"/>
    <w:rsid w:val="007B39B6"/>
    <w:rsid w:val="007B59D2"/>
    <w:rsid w:val="007B7F4B"/>
    <w:rsid w:val="007C1EEE"/>
    <w:rsid w:val="007C2157"/>
    <w:rsid w:val="007C2B0D"/>
    <w:rsid w:val="007C34ED"/>
    <w:rsid w:val="007C534F"/>
    <w:rsid w:val="007C62BF"/>
    <w:rsid w:val="007C676A"/>
    <w:rsid w:val="007D15E9"/>
    <w:rsid w:val="007D2B65"/>
    <w:rsid w:val="007D7661"/>
    <w:rsid w:val="007E2E04"/>
    <w:rsid w:val="007E4617"/>
    <w:rsid w:val="007E4A91"/>
    <w:rsid w:val="007E5228"/>
    <w:rsid w:val="007E5B15"/>
    <w:rsid w:val="007E6AE3"/>
    <w:rsid w:val="007E731A"/>
    <w:rsid w:val="007E7AD6"/>
    <w:rsid w:val="007F0420"/>
    <w:rsid w:val="007F1C0D"/>
    <w:rsid w:val="007F221A"/>
    <w:rsid w:val="007F2AD8"/>
    <w:rsid w:val="008009E8"/>
    <w:rsid w:val="0080165B"/>
    <w:rsid w:val="008019E3"/>
    <w:rsid w:val="00801E74"/>
    <w:rsid w:val="0080485E"/>
    <w:rsid w:val="00807299"/>
    <w:rsid w:val="00807713"/>
    <w:rsid w:val="00810C69"/>
    <w:rsid w:val="008142B4"/>
    <w:rsid w:val="00816DE2"/>
    <w:rsid w:val="00817E3C"/>
    <w:rsid w:val="00822258"/>
    <w:rsid w:val="0082255C"/>
    <w:rsid w:val="008228D3"/>
    <w:rsid w:val="00825A56"/>
    <w:rsid w:val="0083059B"/>
    <w:rsid w:val="008308B3"/>
    <w:rsid w:val="00832324"/>
    <w:rsid w:val="00833EAE"/>
    <w:rsid w:val="00834503"/>
    <w:rsid w:val="00834A9C"/>
    <w:rsid w:val="00835337"/>
    <w:rsid w:val="008370D4"/>
    <w:rsid w:val="00837751"/>
    <w:rsid w:val="00844E8E"/>
    <w:rsid w:val="0084665B"/>
    <w:rsid w:val="00846DCD"/>
    <w:rsid w:val="008472C6"/>
    <w:rsid w:val="0085044C"/>
    <w:rsid w:val="00850552"/>
    <w:rsid w:val="00851D85"/>
    <w:rsid w:val="00852722"/>
    <w:rsid w:val="00856C0B"/>
    <w:rsid w:val="00860CCB"/>
    <w:rsid w:val="00862200"/>
    <w:rsid w:val="0086279F"/>
    <w:rsid w:val="008627B7"/>
    <w:rsid w:val="008740A3"/>
    <w:rsid w:val="00876096"/>
    <w:rsid w:val="00876CA1"/>
    <w:rsid w:val="00881C1D"/>
    <w:rsid w:val="00891EED"/>
    <w:rsid w:val="00892799"/>
    <w:rsid w:val="0089297B"/>
    <w:rsid w:val="00894DD9"/>
    <w:rsid w:val="00896FC5"/>
    <w:rsid w:val="008975FA"/>
    <w:rsid w:val="008A11D5"/>
    <w:rsid w:val="008A24D3"/>
    <w:rsid w:val="008A489F"/>
    <w:rsid w:val="008A55FF"/>
    <w:rsid w:val="008A7510"/>
    <w:rsid w:val="008B03AC"/>
    <w:rsid w:val="008B1A2A"/>
    <w:rsid w:val="008B4028"/>
    <w:rsid w:val="008B5F79"/>
    <w:rsid w:val="008B669C"/>
    <w:rsid w:val="008B7C06"/>
    <w:rsid w:val="008C16F8"/>
    <w:rsid w:val="008C3101"/>
    <w:rsid w:val="008C36CA"/>
    <w:rsid w:val="008C4C2D"/>
    <w:rsid w:val="008C6DAE"/>
    <w:rsid w:val="008D34F0"/>
    <w:rsid w:val="008D60C5"/>
    <w:rsid w:val="008E3EE5"/>
    <w:rsid w:val="008E3F8C"/>
    <w:rsid w:val="008E541E"/>
    <w:rsid w:val="008E7EDC"/>
    <w:rsid w:val="008F2D98"/>
    <w:rsid w:val="008F7A71"/>
    <w:rsid w:val="00902FD0"/>
    <w:rsid w:val="00904B8D"/>
    <w:rsid w:val="009053D3"/>
    <w:rsid w:val="009055C9"/>
    <w:rsid w:val="0090588B"/>
    <w:rsid w:val="0090691F"/>
    <w:rsid w:val="00917AE7"/>
    <w:rsid w:val="00920BB4"/>
    <w:rsid w:val="009217A6"/>
    <w:rsid w:val="00921909"/>
    <w:rsid w:val="00927FD4"/>
    <w:rsid w:val="0093111F"/>
    <w:rsid w:val="00931491"/>
    <w:rsid w:val="00931D6F"/>
    <w:rsid w:val="00934C09"/>
    <w:rsid w:val="009352BC"/>
    <w:rsid w:val="00935689"/>
    <w:rsid w:val="009375AB"/>
    <w:rsid w:val="00944B73"/>
    <w:rsid w:val="00944FB7"/>
    <w:rsid w:val="00946E4A"/>
    <w:rsid w:val="00950672"/>
    <w:rsid w:val="009520EB"/>
    <w:rsid w:val="00952BC2"/>
    <w:rsid w:val="0095303B"/>
    <w:rsid w:val="009536B8"/>
    <w:rsid w:val="00953D99"/>
    <w:rsid w:val="00954EE6"/>
    <w:rsid w:val="009652CB"/>
    <w:rsid w:val="009663B6"/>
    <w:rsid w:val="009663D0"/>
    <w:rsid w:val="00971022"/>
    <w:rsid w:val="009736AA"/>
    <w:rsid w:val="00974A47"/>
    <w:rsid w:val="009758CE"/>
    <w:rsid w:val="00976BB6"/>
    <w:rsid w:val="00976F4E"/>
    <w:rsid w:val="009772AE"/>
    <w:rsid w:val="00980286"/>
    <w:rsid w:val="009825B7"/>
    <w:rsid w:val="009831AA"/>
    <w:rsid w:val="00986410"/>
    <w:rsid w:val="009878AB"/>
    <w:rsid w:val="00987FBD"/>
    <w:rsid w:val="00990DCF"/>
    <w:rsid w:val="00991F6C"/>
    <w:rsid w:val="00992138"/>
    <w:rsid w:val="009922B7"/>
    <w:rsid w:val="009943AA"/>
    <w:rsid w:val="009945EA"/>
    <w:rsid w:val="00994B5C"/>
    <w:rsid w:val="00995B11"/>
    <w:rsid w:val="009979C9"/>
    <w:rsid w:val="009A0C0D"/>
    <w:rsid w:val="009A1179"/>
    <w:rsid w:val="009A4CD6"/>
    <w:rsid w:val="009A537C"/>
    <w:rsid w:val="009B1846"/>
    <w:rsid w:val="009B3163"/>
    <w:rsid w:val="009B4838"/>
    <w:rsid w:val="009C0886"/>
    <w:rsid w:val="009C19EE"/>
    <w:rsid w:val="009C28D0"/>
    <w:rsid w:val="009C35F2"/>
    <w:rsid w:val="009C7782"/>
    <w:rsid w:val="009D1ED5"/>
    <w:rsid w:val="009D3079"/>
    <w:rsid w:val="009D4C13"/>
    <w:rsid w:val="009D6D37"/>
    <w:rsid w:val="009E21A7"/>
    <w:rsid w:val="009F033F"/>
    <w:rsid w:val="009F2BB2"/>
    <w:rsid w:val="009F3DF2"/>
    <w:rsid w:val="009F559A"/>
    <w:rsid w:val="00A033BE"/>
    <w:rsid w:val="00A05EBD"/>
    <w:rsid w:val="00A103ED"/>
    <w:rsid w:val="00A138CF"/>
    <w:rsid w:val="00A13C60"/>
    <w:rsid w:val="00A15134"/>
    <w:rsid w:val="00A16C86"/>
    <w:rsid w:val="00A200EC"/>
    <w:rsid w:val="00A222D7"/>
    <w:rsid w:val="00A30D1C"/>
    <w:rsid w:val="00A341A3"/>
    <w:rsid w:val="00A35800"/>
    <w:rsid w:val="00A35912"/>
    <w:rsid w:val="00A425B9"/>
    <w:rsid w:val="00A426B8"/>
    <w:rsid w:val="00A44A1F"/>
    <w:rsid w:val="00A45FF9"/>
    <w:rsid w:val="00A50C1A"/>
    <w:rsid w:val="00A52918"/>
    <w:rsid w:val="00A52A10"/>
    <w:rsid w:val="00A53640"/>
    <w:rsid w:val="00A5434D"/>
    <w:rsid w:val="00A547B3"/>
    <w:rsid w:val="00A54F04"/>
    <w:rsid w:val="00A56788"/>
    <w:rsid w:val="00A57A67"/>
    <w:rsid w:val="00A62424"/>
    <w:rsid w:val="00A703BF"/>
    <w:rsid w:val="00A70C5D"/>
    <w:rsid w:val="00A70E82"/>
    <w:rsid w:val="00A80419"/>
    <w:rsid w:val="00A81970"/>
    <w:rsid w:val="00A821C7"/>
    <w:rsid w:val="00A82FB7"/>
    <w:rsid w:val="00A83618"/>
    <w:rsid w:val="00A84CAD"/>
    <w:rsid w:val="00A861CB"/>
    <w:rsid w:val="00A90E50"/>
    <w:rsid w:val="00A917A6"/>
    <w:rsid w:val="00A930D5"/>
    <w:rsid w:val="00A93EF9"/>
    <w:rsid w:val="00A95FA5"/>
    <w:rsid w:val="00A96D92"/>
    <w:rsid w:val="00AA195D"/>
    <w:rsid w:val="00AA3CB5"/>
    <w:rsid w:val="00AA475E"/>
    <w:rsid w:val="00AB0929"/>
    <w:rsid w:val="00AB199C"/>
    <w:rsid w:val="00AB1CE7"/>
    <w:rsid w:val="00AB3733"/>
    <w:rsid w:val="00AB4409"/>
    <w:rsid w:val="00AB470B"/>
    <w:rsid w:val="00AB588C"/>
    <w:rsid w:val="00AB5A8D"/>
    <w:rsid w:val="00AB6463"/>
    <w:rsid w:val="00AB779F"/>
    <w:rsid w:val="00AB7897"/>
    <w:rsid w:val="00AC21C3"/>
    <w:rsid w:val="00AC5054"/>
    <w:rsid w:val="00AC5B3E"/>
    <w:rsid w:val="00AC5DFC"/>
    <w:rsid w:val="00AC6121"/>
    <w:rsid w:val="00AD032B"/>
    <w:rsid w:val="00AD2CF0"/>
    <w:rsid w:val="00AD4E61"/>
    <w:rsid w:val="00AD4E7F"/>
    <w:rsid w:val="00AD52F2"/>
    <w:rsid w:val="00AD55C1"/>
    <w:rsid w:val="00AD6B6F"/>
    <w:rsid w:val="00AE0A50"/>
    <w:rsid w:val="00AE0CCB"/>
    <w:rsid w:val="00AE0E51"/>
    <w:rsid w:val="00AE1F25"/>
    <w:rsid w:val="00AE4BAC"/>
    <w:rsid w:val="00AE51B8"/>
    <w:rsid w:val="00AF4C18"/>
    <w:rsid w:val="00AF560A"/>
    <w:rsid w:val="00AF6D53"/>
    <w:rsid w:val="00AF771F"/>
    <w:rsid w:val="00B00F61"/>
    <w:rsid w:val="00B02A75"/>
    <w:rsid w:val="00B034FC"/>
    <w:rsid w:val="00B05310"/>
    <w:rsid w:val="00B061B7"/>
    <w:rsid w:val="00B0693E"/>
    <w:rsid w:val="00B07837"/>
    <w:rsid w:val="00B10A0B"/>
    <w:rsid w:val="00B11346"/>
    <w:rsid w:val="00B14E7C"/>
    <w:rsid w:val="00B225D9"/>
    <w:rsid w:val="00B24B15"/>
    <w:rsid w:val="00B25402"/>
    <w:rsid w:val="00B30D83"/>
    <w:rsid w:val="00B30D85"/>
    <w:rsid w:val="00B313BC"/>
    <w:rsid w:val="00B32234"/>
    <w:rsid w:val="00B3440B"/>
    <w:rsid w:val="00B35A4A"/>
    <w:rsid w:val="00B36D2D"/>
    <w:rsid w:val="00B41110"/>
    <w:rsid w:val="00B415CA"/>
    <w:rsid w:val="00B43DAB"/>
    <w:rsid w:val="00B453CF"/>
    <w:rsid w:val="00B45EF6"/>
    <w:rsid w:val="00B506B1"/>
    <w:rsid w:val="00B5086F"/>
    <w:rsid w:val="00B57200"/>
    <w:rsid w:val="00B608B7"/>
    <w:rsid w:val="00B60D13"/>
    <w:rsid w:val="00B627D1"/>
    <w:rsid w:val="00B63FD7"/>
    <w:rsid w:val="00B65829"/>
    <w:rsid w:val="00B65EF3"/>
    <w:rsid w:val="00B67AB7"/>
    <w:rsid w:val="00B71796"/>
    <w:rsid w:val="00B718B1"/>
    <w:rsid w:val="00B71E50"/>
    <w:rsid w:val="00B80172"/>
    <w:rsid w:val="00B81034"/>
    <w:rsid w:val="00B816D9"/>
    <w:rsid w:val="00B81DE3"/>
    <w:rsid w:val="00B83C90"/>
    <w:rsid w:val="00B84F47"/>
    <w:rsid w:val="00B85219"/>
    <w:rsid w:val="00B86DA9"/>
    <w:rsid w:val="00B9120F"/>
    <w:rsid w:val="00B9216C"/>
    <w:rsid w:val="00B924A4"/>
    <w:rsid w:val="00B93E16"/>
    <w:rsid w:val="00B97A8D"/>
    <w:rsid w:val="00BA29D5"/>
    <w:rsid w:val="00BA771A"/>
    <w:rsid w:val="00BB0D1A"/>
    <w:rsid w:val="00BB1D3B"/>
    <w:rsid w:val="00BB5512"/>
    <w:rsid w:val="00BB5E49"/>
    <w:rsid w:val="00BB667F"/>
    <w:rsid w:val="00BC2035"/>
    <w:rsid w:val="00BC35ED"/>
    <w:rsid w:val="00BC41A4"/>
    <w:rsid w:val="00BC606A"/>
    <w:rsid w:val="00BC6791"/>
    <w:rsid w:val="00BC7789"/>
    <w:rsid w:val="00BD4074"/>
    <w:rsid w:val="00BD41EA"/>
    <w:rsid w:val="00BD479B"/>
    <w:rsid w:val="00BD733E"/>
    <w:rsid w:val="00BD76A3"/>
    <w:rsid w:val="00BE205A"/>
    <w:rsid w:val="00BE3802"/>
    <w:rsid w:val="00BE4004"/>
    <w:rsid w:val="00BE6CFD"/>
    <w:rsid w:val="00BF145F"/>
    <w:rsid w:val="00BF238E"/>
    <w:rsid w:val="00BF29C0"/>
    <w:rsid w:val="00BF2C4B"/>
    <w:rsid w:val="00BF2F4A"/>
    <w:rsid w:val="00BF3297"/>
    <w:rsid w:val="00BF544D"/>
    <w:rsid w:val="00BF7651"/>
    <w:rsid w:val="00BF7AA5"/>
    <w:rsid w:val="00C0076F"/>
    <w:rsid w:val="00C01947"/>
    <w:rsid w:val="00C0301C"/>
    <w:rsid w:val="00C050B6"/>
    <w:rsid w:val="00C052B9"/>
    <w:rsid w:val="00C07B35"/>
    <w:rsid w:val="00C10194"/>
    <w:rsid w:val="00C10F12"/>
    <w:rsid w:val="00C1453F"/>
    <w:rsid w:val="00C14D66"/>
    <w:rsid w:val="00C169D4"/>
    <w:rsid w:val="00C169FE"/>
    <w:rsid w:val="00C175AB"/>
    <w:rsid w:val="00C201C8"/>
    <w:rsid w:val="00C20A67"/>
    <w:rsid w:val="00C21FD6"/>
    <w:rsid w:val="00C232F9"/>
    <w:rsid w:val="00C245EA"/>
    <w:rsid w:val="00C256F6"/>
    <w:rsid w:val="00C3097E"/>
    <w:rsid w:val="00C30B8F"/>
    <w:rsid w:val="00C30F77"/>
    <w:rsid w:val="00C35ECC"/>
    <w:rsid w:val="00C361A8"/>
    <w:rsid w:val="00C372E0"/>
    <w:rsid w:val="00C41246"/>
    <w:rsid w:val="00C44D5D"/>
    <w:rsid w:val="00C45E5F"/>
    <w:rsid w:val="00C46291"/>
    <w:rsid w:val="00C47E40"/>
    <w:rsid w:val="00C513C0"/>
    <w:rsid w:val="00C52A90"/>
    <w:rsid w:val="00C54B7B"/>
    <w:rsid w:val="00C557C3"/>
    <w:rsid w:val="00C63412"/>
    <w:rsid w:val="00C638EE"/>
    <w:rsid w:val="00C63E27"/>
    <w:rsid w:val="00C64047"/>
    <w:rsid w:val="00C654C8"/>
    <w:rsid w:val="00C67A4A"/>
    <w:rsid w:val="00C714D0"/>
    <w:rsid w:val="00C75236"/>
    <w:rsid w:val="00C757F3"/>
    <w:rsid w:val="00C85944"/>
    <w:rsid w:val="00C85E66"/>
    <w:rsid w:val="00C90EF4"/>
    <w:rsid w:val="00C90FA2"/>
    <w:rsid w:val="00C91459"/>
    <w:rsid w:val="00C92243"/>
    <w:rsid w:val="00C93A4A"/>
    <w:rsid w:val="00C95D4A"/>
    <w:rsid w:val="00CA015A"/>
    <w:rsid w:val="00CA19FC"/>
    <w:rsid w:val="00CA25EC"/>
    <w:rsid w:val="00CB6E3F"/>
    <w:rsid w:val="00CC0108"/>
    <w:rsid w:val="00CC03D9"/>
    <w:rsid w:val="00CC1AA3"/>
    <w:rsid w:val="00CD322E"/>
    <w:rsid w:val="00CD4486"/>
    <w:rsid w:val="00CD6574"/>
    <w:rsid w:val="00CE1E24"/>
    <w:rsid w:val="00CE32C8"/>
    <w:rsid w:val="00CE388F"/>
    <w:rsid w:val="00CE4772"/>
    <w:rsid w:val="00CE5165"/>
    <w:rsid w:val="00CF0E17"/>
    <w:rsid w:val="00CF4886"/>
    <w:rsid w:val="00CF50D2"/>
    <w:rsid w:val="00CF5E22"/>
    <w:rsid w:val="00D0639B"/>
    <w:rsid w:val="00D0645D"/>
    <w:rsid w:val="00D069C2"/>
    <w:rsid w:val="00D06A44"/>
    <w:rsid w:val="00D0714E"/>
    <w:rsid w:val="00D07489"/>
    <w:rsid w:val="00D10FB1"/>
    <w:rsid w:val="00D115AE"/>
    <w:rsid w:val="00D127C5"/>
    <w:rsid w:val="00D151EB"/>
    <w:rsid w:val="00D2077B"/>
    <w:rsid w:val="00D20EC7"/>
    <w:rsid w:val="00D2447D"/>
    <w:rsid w:val="00D27474"/>
    <w:rsid w:val="00D27ACF"/>
    <w:rsid w:val="00D300E0"/>
    <w:rsid w:val="00D3278B"/>
    <w:rsid w:val="00D35CA2"/>
    <w:rsid w:val="00D374CD"/>
    <w:rsid w:val="00D42127"/>
    <w:rsid w:val="00D4248C"/>
    <w:rsid w:val="00D52328"/>
    <w:rsid w:val="00D52FE9"/>
    <w:rsid w:val="00D53EF5"/>
    <w:rsid w:val="00D55627"/>
    <w:rsid w:val="00D64583"/>
    <w:rsid w:val="00D650CE"/>
    <w:rsid w:val="00D6546C"/>
    <w:rsid w:val="00D67064"/>
    <w:rsid w:val="00D706AB"/>
    <w:rsid w:val="00D71719"/>
    <w:rsid w:val="00D740CB"/>
    <w:rsid w:val="00D759F8"/>
    <w:rsid w:val="00D7624A"/>
    <w:rsid w:val="00D76569"/>
    <w:rsid w:val="00D766A7"/>
    <w:rsid w:val="00D776DA"/>
    <w:rsid w:val="00D8046E"/>
    <w:rsid w:val="00D81B0F"/>
    <w:rsid w:val="00D846E0"/>
    <w:rsid w:val="00D85E14"/>
    <w:rsid w:val="00D86C7C"/>
    <w:rsid w:val="00D87151"/>
    <w:rsid w:val="00D8758B"/>
    <w:rsid w:val="00D91311"/>
    <w:rsid w:val="00D91332"/>
    <w:rsid w:val="00D92288"/>
    <w:rsid w:val="00D9383A"/>
    <w:rsid w:val="00D942B3"/>
    <w:rsid w:val="00D94863"/>
    <w:rsid w:val="00D96437"/>
    <w:rsid w:val="00DA366F"/>
    <w:rsid w:val="00DA7D09"/>
    <w:rsid w:val="00DB000E"/>
    <w:rsid w:val="00DB025A"/>
    <w:rsid w:val="00DB3CFF"/>
    <w:rsid w:val="00DB5128"/>
    <w:rsid w:val="00DB7DCB"/>
    <w:rsid w:val="00DC092E"/>
    <w:rsid w:val="00DC1A4A"/>
    <w:rsid w:val="00DC2630"/>
    <w:rsid w:val="00DC2EF1"/>
    <w:rsid w:val="00DC427F"/>
    <w:rsid w:val="00DC49E9"/>
    <w:rsid w:val="00DC55E4"/>
    <w:rsid w:val="00DC5EB9"/>
    <w:rsid w:val="00DC681C"/>
    <w:rsid w:val="00DC7D71"/>
    <w:rsid w:val="00DD188C"/>
    <w:rsid w:val="00DD18B5"/>
    <w:rsid w:val="00DD29A3"/>
    <w:rsid w:val="00DD32AE"/>
    <w:rsid w:val="00DD3EA8"/>
    <w:rsid w:val="00DD48EE"/>
    <w:rsid w:val="00DD6738"/>
    <w:rsid w:val="00DD7A00"/>
    <w:rsid w:val="00DE0B96"/>
    <w:rsid w:val="00DE10B9"/>
    <w:rsid w:val="00DE259A"/>
    <w:rsid w:val="00DE7146"/>
    <w:rsid w:val="00DE7D1F"/>
    <w:rsid w:val="00DF0871"/>
    <w:rsid w:val="00DF0B13"/>
    <w:rsid w:val="00DF1D38"/>
    <w:rsid w:val="00DF2983"/>
    <w:rsid w:val="00DF2EB8"/>
    <w:rsid w:val="00DF4818"/>
    <w:rsid w:val="00DF48A0"/>
    <w:rsid w:val="00DF4A94"/>
    <w:rsid w:val="00DF6003"/>
    <w:rsid w:val="00DF7EF9"/>
    <w:rsid w:val="00E00095"/>
    <w:rsid w:val="00E00270"/>
    <w:rsid w:val="00E025ED"/>
    <w:rsid w:val="00E04674"/>
    <w:rsid w:val="00E06085"/>
    <w:rsid w:val="00E0666E"/>
    <w:rsid w:val="00E066C3"/>
    <w:rsid w:val="00E10D8C"/>
    <w:rsid w:val="00E12B0D"/>
    <w:rsid w:val="00E1353A"/>
    <w:rsid w:val="00E1564B"/>
    <w:rsid w:val="00E1597F"/>
    <w:rsid w:val="00E1767C"/>
    <w:rsid w:val="00E208A0"/>
    <w:rsid w:val="00E22B6E"/>
    <w:rsid w:val="00E22E85"/>
    <w:rsid w:val="00E22ED9"/>
    <w:rsid w:val="00E25B49"/>
    <w:rsid w:val="00E3052F"/>
    <w:rsid w:val="00E3504A"/>
    <w:rsid w:val="00E371EA"/>
    <w:rsid w:val="00E37C88"/>
    <w:rsid w:val="00E41881"/>
    <w:rsid w:val="00E4241B"/>
    <w:rsid w:val="00E428B4"/>
    <w:rsid w:val="00E46894"/>
    <w:rsid w:val="00E47A28"/>
    <w:rsid w:val="00E5003D"/>
    <w:rsid w:val="00E51599"/>
    <w:rsid w:val="00E522C0"/>
    <w:rsid w:val="00E5652E"/>
    <w:rsid w:val="00E60074"/>
    <w:rsid w:val="00E622AE"/>
    <w:rsid w:val="00E63830"/>
    <w:rsid w:val="00E64429"/>
    <w:rsid w:val="00E660DA"/>
    <w:rsid w:val="00E6709B"/>
    <w:rsid w:val="00E676DA"/>
    <w:rsid w:val="00E677DD"/>
    <w:rsid w:val="00E73B7D"/>
    <w:rsid w:val="00E74DAC"/>
    <w:rsid w:val="00E7594B"/>
    <w:rsid w:val="00E8469B"/>
    <w:rsid w:val="00E8524B"/>
    <w:rsid w:val="00E86B91"/>
    <w:rsid w:val="00E876E4"/>
    <w:rsid w:val="00E8777E"/>
    <w:rsid w:val="00E90AFE"/>
    <w:rsid w:val="00E9355B"/>
    <w:rsid w:val="00E9631B"/>
    <w:rsid w:val="00E96B88"/>
    <w:rsid w:val="00EA14A2"/>
    <w:rsid w:val="00EA243D"/>
    <w:rsid w:val="00EA3C04"/>
    <w:rsid w:val="00EB4688"/>
    <w:rsid w:val="00EB5769"/>
    <w:rsid w:val="00EB6209"/>
    <w:rsid w:val="00EB6C07"/>
    <w:rsid w:val="00EB729A"/>
    <w:rsid w:val="00EC028D"/>
    <w:rsid w:val="00EC4FD2"/>
    <w:rsid w:val="00EC6809"/>
    <w:rsid w:val="00ED1081"/>
    <w:rsid w:val="00ED633B"/>
    <w:rsid w:val="00ED651A"/>
    <w:rsid w:val="00EE2383"/>
    <w:rsid w:val="00EE2BBB"/>
    <w:rsid w:val="00EE478C"/>
    <w:rsid w:val="00EE4B9E"/>
    <w:rsid w:val="00EE604A"/>
    <w:rsid w:val="00EE688D"/>
    <w:rsid w:val="00EF1CA6"/>
    <w:rsid w:val="00EF2DA1"/>
    <w:rsid w:val="00EF4A61"/>
    <w:rsid w:val="00F00BF3"/>
    <w:rsid w:val="00F01415"/>
    <w:rsid w:val="00F021B3"/>
    <w:rsid w:val="00F03F96"/>
    <w:rsid w:val="00F0613B"/>
    <w:rsid w:val="00F07288"/>
    <w:rsid w:val="00F1132C"/>
    <w:rsid w:val="00F12E44"/>
    <w:rsid w:val="00F1307B"/>
    <w:rsid w:val="00F15935"/>
    <w:rsid w:val="00F15DD5"/>
    <w:rsid w:val="00F162CC"/>
    <w:rsid w:val="00F17B35"/>
    <w:rsid w:val="00F17D4B"/>
    <w:rsid w:val="00F219BF"/>
    <w:rsid w:val="00F22938"/>
    <w:rsid w:val="00F23139"/>
    <w:rsid w:val="00F26420"/>
    <w:rsid w:val="00F26F2E"/>
    <w:rsid w:val="00F304B4"/>
    <w:rsid w:val="00F3241B"/>
    <w:rsid w:val="00F35EB8"/>
    <w:rsid w:val="00F35F6C"/>
    <w:rsid w:val="00F35FD2"/>
    <w:rsid w:val="00F3753F"/>
    <w:rsid w:val="00F4210C"/>
    <w:rsid w:val="00F42F27"/>
    <w:rsid w:val="00F43B44"/>
    <w:rsid w:val="00F44D78"/>
    <w:rsid w:val="00F450B7"/>
    <w:rsid w:val="00F453A1"/>
    <w:rsid w:val="00F47DB6"/>
    <w:rsid w:val="00F51953"/>
    <w:rsid w:val="00F51E6D"/>
    <w:rsid w:val="00F53E2D"/>
    <w:rsid w:val="00F54167"/>
    <w:rsid w:val="00F553AE"/>
    <w:rsid w:val="00F56DA5"/>
    <w:rsid w:val="00F571CD"/>
    <w:rsid w:val="00F5748D"/>
    <w:rsid w:val="00F6044E"/>
    <w:rsid w:val="00F63993"/>
    <w:rsid w:val="00F64BF9"/>
    <w:rsid w:val="00F66CD5"/>
    <w:rsid w:val="00F67A9A"/>
    <w:rsid w:val="00F70F4E"/>
    <w:rsid w:val="00F73113"/>
    <w:rsid w:val="00F746F0"/>
    <w:rsid w:val="00F7591A"/>
    <w:rsid w:val="00F75FC4"/>
    <w:rsid w:val="00F77F7A"/>
    <w:rsid w:val="00F80516"/>
    <w:rsid w:val="00F80A4F"/>
    <w:rsid w:val="00F8244C"/>
    <w:rsid w:val="00F85981"/>
    <w:rsid w:val="00F87263"/>
    <w:rsid w:val="00F91881"/>
    <w:rsid w:val="00F91B52"/>
    <w:rsid w:val="00F93725"/>
    <w:rsid w:val="00F93853"/>
    <w:rsid w:val="00F942D7"/>
    <w:rsid w:val="00F94C77"/>
    <w:rsid w:val="00F97745"/>
    <w:rsid w:val="00FA0871"/>
    <w:rsid w:val="00FA3361"/>
    <w:rsid w:val="00FA3B78"/>
    <w:rsid w:val="00FA4890"/>
    <w:rsid w:val="00FA4DFA"/>
    <w:rsid w:val="00FA4E02"/>
    <w:rsid w:val="00FA4FDF"/>
    <w:rsid w:val="00FA5C45"/>
    <w:rsid w:val="00FB3DB8"/>
    <w:rsid w:val="00FB42C3"/>
    <w:rsid w:val="00FB77FA"/>
    <w:rsid w:val="00FB790A"/>
    <w:rsid w:val="00FC3C70"/>
    <w:rsid w:val="00FC4A73"/>
    <w:rsid w:val="00FC559C"/>
    <w:rsid w:val="00FC5F81"/>
    <w:rsid w:val="00FC60F3"/>
    <w:rsid w:val="00FC799C"/>
    <w:rsid w:val="00FC7F0D"/>
    <w:rsid w:val="00FD2189"/>
    <w:rsid w:val="00FD2772"/>
    <w:rsid w:val="00FD4569"/>
    <w:rsid w:val="00FD78D8"/>
    <w:rsid w:val="00FE0EBC"/>
    <w:rsid w:val="00FE258A"/>
    <w:rsid w:val="00FE4394"/>
    <w:rsid w:val="00FE645A"/>
    <w:rsid w:val="00FF0329"/>
    <w:rsid w:val="00FF544F"/>
    <w:rsid w:val="00FF6102"/>
    <w:rsid w:val="00FF7B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A30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nhideWhenUsed/>
    <w:qFormat/>
    <w:rsid w:val="000C46BB"/>
    <w:pPr>
      <w:outlineLvl w:val="3"/>
    </w:pPr>
    <w:rPr>
      <w:sz w:val="32"/>
      <w:szCs w:val="32"/>
    </w:rPr>
  </w:style>
  <w:style w:type="paragraph" w:styleId="Heading5">
    <w:name w:val="heading 5"/>
    <w:basedOn w:val="Normal"/>
    <w:next w:val="Normal"/>
    <w:link w:val="Heading5Char"/>
    <w:unhideWhenUsed/>
    <w:qFormat/>
    <w:rsid w:val="0063631C"/>
    <w:pPr>
      <w:keepNext/>
      <w:keepLines/>
      <w:spacing w:before="240"/>
      <w:outlineLvl w:val="4"/>
    </w:pPr>
    <w:rPr>
      <w:rFonts w:eastAsiaTheme="majorEastAsia" w:cstheme="majorBidi"/>
    </w:rPr>
  </w:style>
  <w:style w:type="paragraph" w:styleId="Heading6">
    <w:name w:val="heading 6"/>
    <w:basedOn w:val="Normal"/>
    <w:next w:val="Normal"/>
    <w:link w:val="Heading6Char"/>
    <w:rsid w:val="00124E0E"/>
    <w:pPr>
      <w:keepNext/>
      <w:spacing w:after="0"/>
      <w:jc w:val="both"/>
      <w:outlineLvl w:val="5"/>
    </w:pPr>
    <w:rPr>
      <w:rFonts w:ascii="Arial" w:eastAsia="Times New Roman" w:hAnsi="Arial" w:cs="Times New Roman"/>
      <w:bCs/>
      <w:sz w:val="20"/>
      <w:lang w:eastAsia="en-US"/>
    </w:rPr>
  </w:style>
  <w:style w:type="paragraph" w:styleId="Heading7">
    <w:name w:val="heading 7"/>
    <w:basedOn w:val="Normal"/>
    <w:next w:val="Normal"/>
    <w:link w:val="Heading7Char"/>
    <w:rsid w:val="00124E0E"/>
    <w:pPr>
      <w:keepNext/>
      <w:spacing w:after="0"/>
      <w:jc w:val="both"/>
      <w:outlineLvl w:val="6"/>
    </w:pPr>
    <w:rPr>
      <w:rFonts w:ascii="Arial" w:eastAsia="Times New Roman" w:hAnsi="Arial" w:cs="Times New Roman"/>
      <w:bCs/>
      <w:sz w:val="20"/>
      <w:lang w:eastAsia="en-US"/>
    </w:rPr>
  </w:style>
  <w:style w:type="paragraph" w:styleId="Heading8">
    <w:name w:val="heading 8"/>
    <w:basedOn w:val="Normal"/>
    <w:next w:val="Normal"/>
    <w:link w:val="Heading8Char"/>
    <w:rsid w:val="00124E0E"/>
    <w:pPr>
      <w:keepNext/>
      <w:spacing w:after="0"/>
      <w:jc w:val="both"/>
      <w:outlineLvl w:val="7"/>
    </w:pPr>
    <w:rPr>
      <w:rFonts w:ascii="Arial" w:eastAsia="Times New Roman" w:hAnsi="Arial" w:cs="Times New Roman"/>
      <w:bCs/>
      <w:sz w:val="20"/>
      <w:lang w:eastAsia="en-US"/>
    </w:rPr>
  </w:style>
  <w:style w:type="paragraph" w:styleId="Heading9">
    <w:name w:val="heading 9"/>
    <w:basedOn w:val="Normal"/>
    <w:next w:val="Normal"/>
    <w:link w:val="Heading9Char"/>
    <w:rsid w:val="00124E0E"/>
    <w:pPr>
      <w:keepNext/>
      <w:spacing w:after="0" w:line="360" w:lineRule="auto"/>
      <w:jc w:val="both"/>
      <w:outlineLvl w:val="8"/>
    </w:pPr>
    <w:rPr>
      <w:rFonts w:ascii="Arial" w:eastAsia="Times New Roman" w:hAnsi="Arial" w:cs="Times New Roman"/>
      <w:bCs/>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3Char">
    <w:name w:val="Heading 3 Char"/>
    <w:basedOn w:val="DefaultParagraphFont"/>
    <w:link w:val="Heading3"/>
    <w:uiPriority w:val="9"/>
    <w:rsid w:val="00CF5E22"/>
    <w:rPr>
      <w:b/>
      <w:i/>
      <w:sz w:val="24"/>
      <w:szCs w:val="28"/>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character" w:customStyle="1" w:styleId="Heading6Char">
    <w:name w:val="Heading 6 Char"/>
    <w:basedOn w:val="DefaultParagraphFont"/>
    <w:link w:val="Heading6"/>
    <w:rsid w:val="00124E0E"/>
    <w:rPr>
      <w:rFonts w:ascii="Arial" w:eastAsia="Times New Roman" w:hAnsi="Arial" w:cs="Times New Roman"/>
      <w:bCs/>
      <w:sz w:val="20"/>
      <w:szCs w:val="24"/>
      <w:lang w:eastAsia="en-US"/>
    </w:rPr>
  </w:style>
  <w:style w:type="character" w:customStyle="1" w:styleId="Heading7Char">
    <w:name w:val="Heading 7 Char"/>
    <w:basedOn w:val="DefaultParagraphFont"/>
    <w:link w:val="Heading7"/>
    <w:rsid w:val="00124E0E"/>
    <w:rPr>
      <w:rFonts w:ascii="Arial" w:eastAsia="Times New Roman" w:hAnsi="Arial" w:cs="Times New Roman"/>
      <w:bCs/>
      <w:sz w:val="20"/>
      <w:szCs w:val="24"/>
      <w:lang w:eastAsia="en-US"/>
    </w:rPr>
  </w:style>
  <w:style w:type="character" w:customStyle="1" w:styleId="Heading8Char">
    <w:name w:val="Heading 8 Char"/>
    <w:basedOn w:val="DefaultParagraphFont"/>
    <w:link w:val="Heading8"/>
    <w:rsid w:val="00124E0E"/>
    <w:rPr>
      <w:rFonts w:ascii="Arial" w:eastAsia="Times New Roman" w:hAnsi="Arial" w:cs="Times New Roman"/>
      <w:bCs/>
      <w:sz w:val="20"/>
      <w:szCs w:val="24"/>
      <w:lang w:eastAsia="en-US"/>
    </w:rPr>
  </w:style>
  <w:style w:type="character" w:customStyle="1" w:styleId="Heading9Char">
    <w:name w:val="Heading 9 Char"/>
    <w:basedOn w:val="DefaultParagraphFont"/>
    <w:link w:val="Heading9"/>
    <w:rsid w:val="00124E0E"/>
    <w:rPr>
      <w:rFonts w:ascii="Arial" w:eastAsia="Times New Roman" w:hAnsi="Arial" w:cs="Times New Roman"/>
      <w:bCs/>
      <w:iCs/>
      <w:sz w:val="20"/>
      <w:szCs w:val="24"/>
      <w:lang w:eastAsia="en-US"/>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semiHidden/>
    <w:unhideWhenUsed/>
    <w:rsid w:val="00705DAD"/>
  </w:style>
  <w:style w:type="paragraph" w:styleId="Header">
    <w:name w:val="header"/>
    <w:basedOn w:val="Normal"/>
    <w:link w:val="HeaderChar"/>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character" w:customStyle="1" w:styleId="TabletitleChar">
    <w:name w:val="Table title Char"/>
    <w:basedOn w:val="Heading4Char"/>
    <w:link w:val="Tabletitle"/>
    <w:rsid w:val="00CF5E22"/>
    <w:rPr>
      <w:b/>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paragraph" w:customStyle="1" w:styleId="Figuretitle">
    <w:name w:val="Figure title"/>
    <w:basedOn w:val="Normal"/>
    <w:link w:val="FiguretitleChar"/>
    <w:qFormat/>
    <w:rsid w:val="004C3356"/>
    <w:pPr>
      <w:spacing w:before="60" w:after="60"/>
      <w:outlineLvl w:val="1"/>
    </w:pPr>
    <w:rPr>
      <w:rFonts w:ascii="Calibri" w:eastAsia="MS Mincho" w:hAnsi="Calibri" w:cs="Times New Roman"/>
      <w:b/>
    </w:rPr>
  </w:style>
  <w:style w:type="character" w:customStyle="1" w:styleId="FiguretitleChar">
    <w:name w:val="Figure title Char"/>
    <w:basedOn w:val="TabletitleChar"/>
    <w:link w:val="Figuretitle"/>
    <w:rsid w:val="004C3356"/>
    <w:rPr>
      <w:rFonts w:ascii="Calibri" w:eastAsia="MS Mincho" w:hAnsi="Calibri" w:cs="Times New Roman"/>
      <w:b/>
      <w:sz w:val="24"/>
      <w:szCs w:val="24"/>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customStyle="1" w:styleId="ListParagraphChar">
    <w:name w:val="List Paragraph Char"/>
    <w:link w:val="ListParagraph"/>
    <w:uiPriority w:val="34"/>
    <w:locked/>
    <w:rsid w:val="00431FB2"/>
    <w:rPr>
      <w:sz w:val="24"/>
      <w:szCs w:val="24"/>
    </w:r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character" w:customStyle="1" w:styleId="Title2Char">
    <w:name w:val="Title 2 Char"/>
    <w:basedOn w:val="Heading1Char"/>
    <w:link w:val="Title2"/>
    <w:rsid w:val="00F73113"/>
    <w:rPr>
      <w:rFonts w:eastAsiaTheme="majorEastAsia" w:cstheme="majorBidi"/>
      <w:b/>
      <w:bCs/>
      <w:sz w:val="40"/>
      <w:szCs w:val="32"/>
    </w:rPr>
  </w:style>
  <w:style w:type="paragraph" w:customStyle="1" w:styleId="Meetingdate">
    <w:name w:val="Meeting date"/>
    <w:basedOn w:val="Heading4"/>
    <w:link w:val="MeetingdateChar"/>
    <w:qFormat/>
    <w:rsid w:val="00F73113"/>
    <w:rPr>
      <w:sz w:val="24"/>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EndnoteText">
    <w:name w:val="endnote text"/>
    <w:basedOn w:val="Normal"/>
    <w:link w:val="EndnoteTextChar"/>
    <w:uiPriority w:val="99"/>
    <w:semiHidden/>
    <w:unhideWhenUsed/>
    <w:rsid w:val="00EA3C04"/>
    <w:pPr>
      <w:spacing w:after="0"/>
    </w:pPr>
    <w:rPr>
      <w:sz w:val="20"/>
      <w:szCs w:val="20"/>
    </w:rPr>
  </w:style>
  <w:style w:type="character" w:customStyle="1" w:styleId="EndnoteTextChar">
    <w:name w:val="Endnote Text Char"/>
    <w:basedOn w:val="DefaultParagraphFont"/>
    <w:link w:val="EndnoteText"/>
    <w:uiPriority w:val="99"/>
    <w:semiHidden/>
    <w:rsid w:val="00EA3C04"/>
    <w:rPr>
      <w:sz w:val="20"/>
      <w:szCs w:val="20"/>
    </w:rPr>
  </w:style>
  <w:style w:type="character" w:styleId="EndnoteReference">
    <w:name w:val="endnote reference"/>
    <w:basedOn w:val="DefaultParagraphFont"/>
    <w:uiPriority w:val="99"/>
    <w:semiHidden/>
    <w:unhideWhenUsed/>
    <w:rsid w:val="00EA3C04"/>
    <w:rPr>
      <w:vertAlign w:val="superscript"/>
    </w:rPr>
  </w:style>
  <w:style w:type="character" w:styleId="FollowedHyperlink">
    <w:name w:val="FollowedHyperlink"/>
    <w:basedOn w:val="DefaultParagraphFont"/>
    <w:uiPriority w:val="99"/>
    <w:semiHidden/>
    <w:unhideWhenUsed/>
    <w:rsid w:val="00025C65"/>
    <w:rPr>
      <w:color w:val="800080" w:themeColor="followedHyperlink"/>
      <w:u w:val="single"/>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
    <w:basedOn w:val="Normal"/>
    <w:next w:val="Normal"/>
    <w:uiPriority w:val="35"/>
    <w:qFormat/>
    <w:rsid w:val="00F35EB8"/>
    <w:pPr>
      <w:spacing w:after="120"/>
      <w:jc w:val="both"/>
    </w:pPr>
    <w:rPr>
      <w:rFonts w:ascii="Sabon" w:eastAsiaTheme="majorEastAsia" w:hAnsi="Sabon" w:cstheme="majorBidi"/>
      <w:b/>
      <w:bCs/>
      <w:sz w:val="20"/>
      <w:szCs w:val="18"/>
      <w:lang w:eastAsia="en-US" w:bidi="en-US"/>
    </w:rPr>
  </w:style>
  <w:style w:type="paragraph" w:customStyle="1" w:styleId="TableLeft">
    <w:name w:val="Table Left"/>
    <w:basedOn w:val="TableCentred"/>
    <w:link w:val="TableLeftChar"/>
    <w:uiPriority w:val="5"/>
    <w:qFormat/>
    <w:rsid w:val="00F35EB8"/>
    <w:pPr>
      <w:spacing w:line="240" w:lineRule="auto"/>
      <w:jc w:val="left"/>
    </w:pPr>
  </w:style>
  <w:style w:type="paragraph" w:customStyle="1" w:styleId="TableCentred">
    <w:name w:val="Table Centred"/>
    <w:basedOn w:val="Normal"/>
    <w:uiPriority w:val="5"/>
    <w:qFormat/>
    <w:rsid w:val="00F35EB8"/>
    <w:pPr>
      <w:spacing w:after="0" w:line="360" w:lineRule="auto"/>
      <w:jc w:val="center"/>
    </w:pPr>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5"/>
    <w:locked/>
    <w:rsid w:val="00F35EB8"/>
    <w:rPr>
      <w:rFonts w:ascii="Arial Narrow" w:eastAsiaTheme="majorEastAsia" w:hAnsi="Arial Narrow" w:cstheme="majorBidi"/>
      <w:sz w:val="20"/>
      <w:lang w:eastAsia="en-US" w:bidi="en-US"/>
    </w:rPr>
  </w:style>
  <w:style w:type="character" w:customStyle="1" w:styleId="TableBold">
    <w:name w:val="Table Bold"/>
    <w:basedOn w:val="DefaultParagraphFont"/>
    <w:uiPriority w:val="4"/>
    <w:qFormat/>
    <w:rsid w:val="00F35EB8"/>
    <w:rPr>
      <w:rFonts w:ascii="Arial Narrow" w:hAnsi="Arial Narrow"/>
      <w:b/>
      <w:sz w:val="20"/>
      <w:lang w:val="en-AU"/>
    </w:rPr>
  </w:style>
  <w:style w:type="paragraph" w:customStyle="1" w:styleId="PBACheading1">
    <w:name w:val="PBAC heading 1"/>
    <w:qFormat/>
    <w:rsid w:val="00917AE7"/>
    <w:pPr>
      <w:numPr>
        <w:numId w:val="7"/>
      </w:numPr>
      <w:spacing w:after="0" w:line="240" w:lineRule="auto"/>
    </w:pPr>
    <w:rPr>
      <w:rFonts w:ascii="Arial" w:eastAsia="Times New Roman" w:hAnsi="Arial" w:cs="Arial"/>
      <w:snapToGrid w:val="0"/>
      <w:lang w:eastAsia="en-US"/>
    </w:rPr>
  </w:style>
  <w:style w:type="paragraph" w:customStyle="1" w:styleId="TableBullets">
    <w:name w:val="Table Bullets"/>
    <w:basedOn w:val="Normal"/>
    <w:uiPriority w:val="5"/>
    <w:qFormat/>
    <w:rsid w:val="00015850"/>
    <w:pPr>
      <w:numPr>
        <w:numId w:val="8"/>
      </w:numPr>
      <w:spacing w:after="0"/>
    </w:pPr>
    <w:rPr>
      <w:rFonts w:ascii="Arial Narrow" w:eastAsiaTheme="majorEastAsia" w:hAnsi="Arial Narrow" w:cstheme="majorBidi"/>
      <w:sz w:val="20"/>
      <w:szCs w:val="22"/>
      <w:lang w:eastAsia="en-US" w:bidi="en-US"/>
    </w:rPr>
  </w:style>
  <w:style w:type="paragraph" w:styleId="Revision">
    <w:name w:val="Revision"/>
    <w:hidden/>
    <w:uiPriority w:val="99"/>
    <w:semiHidden/>
    <w:rsid w:val="00500DDB"/>
    <w:pPr>
      <w:spacing w:after="0" w:line="240" w:lineRule="auto"/>
    </w:pPr>
    <w:rPr>
      <w:sz w:val="24"/>
      <w:szCs w:val="24"/>
    </w:rPr>
  </w:style>
  <w:style w:type="paragraph" w:styleId="BodyText">
    <w:name w:val="Body Text"/>
    <w:basedOn w:val="Normal"/>
    <w:link w:val="BodyTextChar"/>
    <w:rsid w:val="00124E0E"/>
    <w:pPr>
      <w:spacing w:after="0" w:line="360" w:lineRule="auto"/>
      <w:jc w:val="both"/>
    </w:pPr>
    <w:rPr>
      <w:rFonts w:ascii="Arial" w:eastAsia="Times New Roman" w:hAnsi="Arial" w:cs="Times New Roman"/>
      <w:sz w:val="20"/>
      <w:lang w:eastAsia="en-US"/>
    </w:rPr>
  </w:style>
  <w:style w:type="character" w:customStyle="1" w:styleId="BodyTextChar">
    <w:name w:val="Body Text Char"/>
    <w:basedOn w:val="DefaultParagraphFont"/>
    <w:link w:val="BodyText"/>
    <w:rsid w:val="00124E0E"/>
    <w:rPr>
      <w:rFonts w:ascii="Arial" w:eastAsia="Times New Roman" w:hAnsi="Arial" w:cs="Times New Roman"/>
      <w:sz w:val="20"/>
      <w:szCs w:val="24"/>
      <w:lang w:eastAsia="en-US"/>
    </w:rPr>
  </w:style>
  <w:style w:type="paragraph" w:customStyle="1" w:styleId="PageTitle">
    <w:name w:val="Page Title"/>
    <w:basedOn w:val="Normal"/>
    <w:next w:val="Normal"/>
    <w:rsid w:val="00124E0E"/>
    <w:pPr>
      <w:spacing w:after="0" w:line="360" w:lineRule="auto"/>
      <w:jc w:val="both"/>
    </w:pPr>
    <w:rPr>
      <w:rFonts w:ascii="Arial" w:eastAsia="Times New Roman" w:hAnsi="Arial" w:cs="Times New Roman"/>
      <w:b/>
      <w:caps/>
      <w:lang w:eastAsia="en-US"/>
    </w:rPr>
  </w:style>
  <w:style w:type="paragraph" w:customStyle="1" w:styleId="TableHeading0">
    <w:name w:val="Table Heading"/>
    <w:basedOn w:val="Normal"/>
    <w:next w:val="Normal"/>
    <w:rsid w:val="00124E0E"/>
    <w:pPr>
      <w:tabs>
        <w:tab w:val="left" w:pos="851"/>
      </w:tabs>
      <w:spacing w:before="40" w:after="40"/>
      <w:jc w:val="center"/>
    </w:pPr>
    <w:rPr>
      <w:rFonts w:ascii="Arial" w:eastAsia="Times New Roman" w:hAnsi="Arial" w:cs="Times New Roman"/>
      <w:b/>
      <w:sz w:val="18"/>
      <w:lang w:eastAsia="en-US"/>
    </w:rPr>
  </w:style>
  <w:style w:type="paragraph" w:styleId="TOC2">
    <w:name w:val="toc 2"/>
    <w:basedOn w:val="Normal"/>
    <w:next w:val="Normal"/>
    <w:autoRedefine/>
    <w:uiPriority w:val="39"/>
    <w:rsid w:val="00124E0E"/>
    <w:pPr>
      <w:spacing w:after="0" w:line="360" w:lineRule="auto"/>
      <w:ind w:left="200"/>
      <w:jc w:val="both"/>
    </w:pPr>
    <w:rPr>
      <w:rFonts w:ascii="Arial" w:eastAsia="Times New Roman" w:hAnsi="Arial" w:cs="Times New Roman"/>
      <w:sz w:val="20"/>
      <w:lang w:eastAsia="en-US"/>
    </w:rPr>
  </w:style>
  <w:style w:type="paragraph" w:customStyle="1" w:styleId="Bullet1">
    <w:name w:val="Bullet 1"/>
    <w:basedOn w:val="Normal"/>
    <w:next w:val="Normal"/>
    <w:qFormat/>
    <w:rsid w:val="00124E0E"/>
    <w:pPr>
      <w:numPr>
        <w:numId w:val="10"/>
      </w:numPr>
      <w:tabs>
        <w:tab w:val="clear" w:pos="360"/>
        <w:tab w:val="num" w:pos="426"/>
      </w:tabs>
      <w:spacing w:before="40" w:after="40" w:line="360" w:lineRule="auto"/>
      <w:ind w:left="426" w:hanging="426"/>
      <w:jc w:val="both"/>
    </w:pPr>
    <w:rPr>
      <w:rFonts w:ascii="Arial" w:eastAsia="Times New Roman" w:hAnsi="Arial" w:cs="Times New Roman"/>
      <w:sz w:val="20"/>
      <w:lang w:eastAsia="en-US"/>
    </w:rPr>
  </w:style>
  <w:style w:type="paragraph" w:customStyle="1" w:styleId="Bullet2">
    <w:name w:val="Bullet 2"/>
    <w:basedOn w:val="Normal"/>
    <w:next w:val="Normal"/>
    <w:qFormat/>
    <w:rsid w:val="00124E0E"/>
    <w:pPr>
      <w:numPr>
        <w:ilvl w:val="1"/>
        <w:numId w:val="10"/>
      </w:numPr>
      <w:tabs>
        <w:tab w:val="clear" w:pos="1440"/>
        <w:tab w:val="num" w:pos="851"/>
      </w:tabs>
      <w:spacing w:after="0" w:line="360" w:lineRule="auto"/>
      <w:ind w:left="851" w:hanging="425"/>
      <w:jc w:val="both"/>
    </w:pPr>
    <w:rPr>
      <w:rFonts w:ascii="Arial" w:eastAsia="Times New Roman" w:hAnsi="Arial" w:cs="Times New Roman"/>
      <w:sz w:val="20"/>
      <w:lang w:eastAsia="en-US"/>
    </w:rPr>
  </w:style>
  <w:style w:type="paragraph" w:customStyle="1" w:styleId="TableText">
    <w:name w:val="Table Text"/>
    <w:basedOn w:val="BodyText"/>
    <w:next w:val="BodyText"/>
    <w:qFormat/>
    <w:rsid w:val="00124E0E"/>
    <w:pPr>
      <w:spacing w:before="40" w:after="40" w:line="240" w:lineRule="auto"/>
      <w:jc w:val="left"/>
    </w:pPr>
    <w:rPr>
      <w:sz w:val="18"/>
      <w:szCs w:val="18"/>
    </w:rPr>
  </w:style>
  <w:style w:type="paragraph" w:styleId="TOC1">
    <w:name w:val="toc 1"/>
    <w:basedOn w:val="Normal"/>
    <w:next w:val="Normal"/>
    <w:autoRedefine/>
    <w:uiPriority w:val="39"/>
    <w:rsid w:val="00124E0E"/>
    <w:pPr>
      <w:spacing w:after="0" w:line="360" w:lineRule="auto"/>
      <w:jc w:val="both"/>
    </w:pPr>
    <w:rPr>
      <w:rFonts w:ascii="Arial" w:eastAsia="Times New Roman" w:hAnsi="Arial" w:cs="Times New Roman"/>
      <w:sz w:val="20"/>
      <w:lang w:eastAsia="en-US"/>
    </w:rPr>
  </w:style>
  <w:style w:type="paragraph" w:styleId="TOC3">
    <w:name w:val="toc 3"/>
    <w:basedOn w:val="Normal"/>
    <w:next w:val="Normal"/>
    <w:autoRedefine/>
    <w:uiPriority w:val="39"/>
    <w:rsid w:val="00124E0E"/>
    <w:pPr>
      <w:spacing w:after="0" w:line="360" w:lineRule="auto"/>
      <w:ind w:left="400"/>
      <w:jc w:val="both"/>
    </w:pPr>
    <w:rPr>
      <w:rFonts w:ascii="Arial" w:eastAsia="Times New Roman" w:hAnsi="Arial" w:cs="Times New Roman"/>
      <w:sz w:val="20"/>
      <w:lang w:eastAsia="en-US"/>
    </w:rPr>
  </w:style>
  <w:style w:type="paragraph" w:styleId="TOC4">
    <w:name w:val="toc 4"/>
    <w:basedOn w:val="Normal"/>
    <w:next w:val="Normal"/>
    <w:autoRedefine/>
    <w:uiPriority w:val="39"/>
    <w:rsid w:val="00124E0E"/>
    <w:pPr>
      <w:spacing w:after="0" w:line="360" w:lineRule="auto"/>
      <w:ind w:left="600"/>
      <w:jc w:val="both"/>
    </w:pPr>
    <w:rPr>
      <w:rFonts w:ascii="Arial" w:eastAsia="Times New Roman" w:hAnsi="Arial" w:cs="Times New Roman"/>
      <w:sz w:val="20"/>
      <w:lang w:eastAsia="en-US"/>
    </w:rPr>
  </w:style>
  <w:style w:type="paragraph" w:customStyle="1" w:styleId="TableFigureFootnote">
    <w:name w:val="Table &amp; Figure Footnote"/>
    <w:basedOn w:val="BodyText"/>
    <w:next w:val="BodyText"/>
    <w:qFormat/>
    <w:rsid w:val="00124E0E"/>
    <w:pPr>
      <w:spacing w:before="20" w:after="20" w:line="240" w:lineRule="auto"/>
    </w:pPr>
    <w:rPr>
      <w:sz w:val="16"/>
    </w:rPr>
  </w:style>
  <w:style w:type="paragraph" w:customStyle="1" w:styleId="TableTitle0">
    <w:name w:val="Table Title"/>
    <w:basedOn w:val="BodyText"/>
    <w:next w:val="BodyText"/>
    <w:rsid w:val="00124E0E"/>
    <w:rPr>
      <w:b/>
    </w:rPr>
  </w:style>
  <w:style w:type="paragraph" w:customStyle="1" w:styleId="TableTitleA">
    <w:name w:val="Table Title A"/>
    <w:basedOn w:val="TableTitle0"/>
    <w:next w:val="BodyText"/>
    <w:qFormat/>
    <w:rsid w:val="00124E0E"/>
    <w:pPr>
      <w:numPr>
        <w:numId w:val="11"/>
      </w:numPr>
      <w:tabs>
        <w:tab w:val="num" w:pos="1134"/>
      </w:tabs>
      <w:spacing w:after="120" w:line="240" w:lineRule="auto"/>
      <w:ind w:left="1134" w:hanging="1134"/>
    </w:pPr>
  </w:style>
  <w:style w:type="paragraph" w:customStyle="1" w:styleId="FigureA">
    <w:name w:val="Figure A"/>
    <w:basedOn w:val="Normal"/>
    <w:next w:val="Normal"/>
    <w:qFormat/>
    <w:rsid w:val="00124E0E"/>
    <w:pPr>
      <w:numPr>
        <w:numId w:val="12"/>
      </w:numPr>
      <w:tabs>
        <w:tab w:val="left" w:pos="1134"/>
      </w:tabs>
      <w:spacing w:after="120"/>
      <w:ind w:left="1134" w:hanging="1134"/>
    </w:pPr>
    <w:rPr>
      <w:rFonts w:ascii="Arial Bold" w:eastAsia="Times New Roman" w:hAnsi="Arial Bold" w:cs="Times New Roman"/>
      <w:b/>
      <w:sz w:val="20"/>
      <w:lang w:eastAsia="en-US"/>
    </w:rPr>
  </w:style>
  <w:style w:type="paragraph" w:customStyle="1" w:styleId="EndNoteBibliographyTitle">
    <w:name w:val="EndNote Bibliography Title"/>
    <w:basedOn w:val="Normal"/>
    <w:link w:val="EndNoteBibliographyTitleChar"/>
    <w:rsid w:val="00124E0E"/>
    <w:pPr>
      <w:spacing w:after="0" w:line="360" w:lineRule="auto"/>
      <w:jc w:val="center"/>
    </w:pPr>
    <w:rPr>
      <w:rFonts w:ascii="Arial" w:eastAsia="Times New Roman" w:hAnsi="Arial" w:cs="Arial"/>
      <w:noProof/>
      <w:sz w:val="20"/>
      <w:lang w:val="en-US" w:eastAsia="en-US"/>
    </w:rPr>
  </w:style>
  <w:style w:type="character" w:customStyle="1" w:styleId="EndNoteBibliographyTitleChar">
    <w:name w:val="EndNote Bibliography Title Char"/>
    <w:basedOn w:val="DefaultParagraphFont"/>
    <w:link w:val="EndNoteBibliographyTitle"/>
    <w:rsid w:val="00124E0E"/>
    <w:rPr>
      <w:rFonts w:ascii="Arial" w:eastAsia="Times New Roman" w:hAnsi="Arial" w:cs="Arial"/>
      <w:noProof/>
      <w:sz w:val="20"/>
      <w:szCs w:val="24"/>
      <w:lang w:val="en-US" w:eastAsia="en-US"/>
    </w:rPr>
  </w:style>
  <w:style w:type="paragraph" w:customStyle="1" w:styleId="EndNoteBibliography">
    <w:name w:val="EndNote Bibliography"/>
    <w:basedOn w:val="Normal"/>
    <w:link w:val="EndNoteBibliographyChar"/>
    <w:rsid w:val="00124E0E"/>
    <w:pPr>
      <w:spacing w:after="0"/>
      <w:jc w:val="both"/>
    </w:pPr>
    <w:rPr>
      <w:rFonts w:ascii="Arial" w:eastAsia="Times New Roman" w:hAnsi="Arial" w:cs="Arial"/>
      <w:noProof/>
      <w:sz w:val="20"/>
      <w:lang w:val="en-US" w:eastAsia="en-US"/>
    </w:rPr>
  </w:style>
  <w:style w:type="character" w:customStyle="1" w:styleId="EndNoteBibliographyChar">
    <w:name w:val="EndNote Bibliography Char"/>
    <w:basedOn w:val="DefaultParagraphFont"/>
    <w:link w:val="EndNoteBibliography"/>
    <w:rsid w:val="00124E0E"/>
    <w:rPr>
      <w:rFonts w:ascii="Arial" w:eastAsia="Times New Roman" w:hAnsi="Arial" w:cs="Arial"/>
      <w:noProof/>
      <w:sz w:val="20"/>
      <w:szCs w:val="24"/>
      <w:lang w:val="en-US" w:eastAsia="en-US"/>
    </w:rPr>
  </w:style>
  <w:style w:type="paragraph" w:customStyle="1" w:styleId="TableText0">
    <w:name w:val="TableText"/>
    <w:basedOn w:val="Normal"/>
    <w:qFormat/>
    <w:rsid w:val="00124E0E"/>
    <w:pPr>
      <w:keepNext/>
      <w:spacing w:before="40" w:after="40"/>
    </w:pPr>
    <w:rPr>
      <w:rFonts w:ascii="Arial" w:eastAsia="Times New Roman" w:hAnsi="Arial" w:cs="Times New Roman"/>
      <w:sz w:val="18"/>
      <w:szCs w:val="20"/>
      <w:lang w:eastAsia="en-US"/>
    </w:rPr>
  </w:style>
  <w:style w:type="paragraph" w:customStyle="1" w:styleId="TableHeading1">
    <w:name w:val="TableHeading"/>
    <w:basedOn w:val="TableText0"/>
    <w:rsid w:val="00124E0E"/>
    <w:pPr>
      <w:jc w:val="center"/>
    </w:pPr>
    <w:rPr>
      <w:b/>
      <w:bCs/>
    </w:rPr>
  </w:style>
  <w:style w:type="paragraph" w:customStyle="1" w:styleId="PBACHeading10">
    <w:name w:val="PBAC Heading 1"/>
    <w:qFormat/>
    <w:rsid w:val="00653A4D"/>
    <w:pPr>
      <w:spacing w:after="0" w:line="240" w:lineRule="auto"/>
      <w:ind w:left="720" w:hanging="720"/>
    </w:pPr>
    <w:rPr>
      <w:rFonts w:ascii="Arial" w:eastAsia="SimSun" w:hAnsi="Arial" w:cs="Arial"/>
      <w:b/>
      <w:snapToGrid w:val="0"/>
      <w:lang w:eastAsia="en-US"/>
    </w:rPr>
  </w:style>
  <w:style w:type="paragraph" w:styleId="NormalWeb">
    <w:name w:val="Normal (Web)"/>
    <w:basedOn w:val="Normal"/>
    <w:uiPriority w:val="99"/>
    <w:semiHidden/>
    <w:unhideWhenUsed/>
    <w:rsid w:val="00326324"/>
    <w:pPr>
      <w:spacing w:before="100" w:beforeAutospacing="1" w:after="100" w:afterAutospacing="1"/>
    </w:pPr>
    <w:rPr>
      <w:rFonts w:ascii="Times New Roman" w:eastAsia="Times New Roman" w:hAnsi="Times New Roman" w:cs="Times New Roman"/>
    </w:rPr>
  </w:style>
  <w:style w:type="character" w:customStyle="1" w:styleId="element-citation">
    <w:name w:val="element-citation"/>
    <w:basedOn w:val="DefaultParagraphFont"/>
    <w:rsid w:val="00397950"/>
  </w:style>
  <w:style w:type="character" w:customStyle="1" w:styleId="ref-journal">
    <w:name w:val="ref-journal"/>
    <w:basedOn w:val="DefaultParagraphFont"/>
    <w:rsid w:val="00397950"/>
  </w:style>
  <w:style w:type="character" w:styleId="Emphasis">
    <w:name w:val="Emphasis"/>
    <w:basedOn w:val="DefaultParagraphFont"/>
    <w:uiPriority w:val="20"/>
    <w:qFormat/>
    <w:rsid w:val="00397950"/>
    <w:rPr>
      <w:i/>
      <w:iCs/>
    </w:rPr>
  </w:style>
  <w:style w:type="character" w:customStyle="1" w:styleId="ref-vol">
    <w:name w:val="ref-vol"/>
    <w:basedOn w:val="DefaultParagraphFont"/>
    <w:rsid w:val="00397950"/>
  </w:style>
  <w:style w:type="character" w:customStyle="1" w:styleId="nowrap">
    <w:name w:val="nowrap"/>
    <w:basedOn w:val="DefaultParagraphFont"/>
    <w:rsid w:val="0039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7430">
      <w:bodyDiv w:val="1"/>
      <w:marLeft w:val="0"/>
      <w:marRight w:val="0"/>
      <w:marTop w:val="0"/>
      <w:marBottom w:val="0"/>
      <w:divBdr>
        <w:top w:val="none" w:sz="0" w:space="0" w:color="auto"/>
        <w:left w:val="none" w:sz="0" w:space="0" w:color="auto"/>
        <w:bottom w:val="none" w:sz="0" w:space="0" w:color="auto"/>
        <w:right w:val="none" w:sz="0" w:space="0" w:color="auto"/>
      </w:divBdr>
    </w:div>
    <w:div w:id="101269556">
      <w:bodyDiv w:val="1"/>
      <w:marLeft w:val="0"/>
      <w:marRight w:val="0"/>
      <w:marTop w:val="0"/>
      <w:marBottom w:val="0"/>
      <w:divBdr>
        <w:top w:val="none" w:sz="0" w:space="0" w:color="auto"/>
        <w:left w:val="none" w:sz="0" w:space="0" w:color="auto"/>
        <w:bottom w:val="none" w:sz="0" w:space="0" w:color="auto"/>
        <w:right w:val="none" w:sz="0" w:space="0" w:color="auto"/>
      </w:divBdr>
    </w:div>
    <w:div w:id="132261676">
      <w:bodyDiv w:val="1"/>
      <w:marLeft w:val="0"/>
      <w:marRight w:val="0"/>
      <w:marTop w:val="0"/>
      <w:marBottom w:val="0"/>
      <w:divBdr>
        <w:top w:val="none" w:sz="0" w:space="0" w:color="auto"/>
        <w:left w:val="none" w:sz="0" w:space="0" w:color="auto"/>
        <w:bottom w:val="none" w:sz="0" w:space="0" w:color="auto"/>
        <w:right w:val="none" w:sz="0" w:space="0" w:color="auto"/>
      </w:divBdr>
    </w:div>
    <w:div w:id="262762909">
      <w:bodyDiv w:val="1"/>
      <w:marLeft w:val="0"/>
      <w:marRight w:val="0"/>
      <w:marTop w:val="0"/>
      <w:marBottom w:val="0"/>
      <w:divBdr>
        <w:top w:val="none" w:sz="0" w:space="0" w:color="auto"/>
        <w:left w:val="none" w:sz="0" w:space="0" w:color="auto"/>
        <w:bottom w:val="none" w:sz="0" w:space="0" w:color="auto"/>
        <w:right w:val="none" w:sz="0" w:space="0" w:color="auto"/>
      </w:divBdr>
    </w:div>
    <w:div w:id="355086114">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10460847">
      <w:bodyDiv w:val="1"/>
      <w:marLeft w:val="0"/>
      <w:marRight w:val="0"/>
      <w:marTop w:val="0"/>
      <w:marBottom w:val="0"/>
      <w:divBdr>
        <w:top w:val="none" w:sz="0" w:space="0" w:color="auto"/>
        <w:left w:val="none" w:sz="0" w:space="0" w:color="auto"/>
        <w:bottom w:val="none" w:sz="0" w:space="0" w:color="auto"/>
        <w:right w:val="none" w:sz="0" w:space="0" w:color="auto"/>
      </w:divBdr>
    </w:div>
    <w:div w:id="664359017">
      <w:bodyDiv w:val="1"/>
      <w:marLeft w:val="0"/>
      <w:marRight w:val="0"/>
      <w:marTop w:val="0"/>
      <w:marBottom w:val="0"/>
      <w:divBdr>
        <w:top w:val="none" w:sz="0" w:space="0" w:color="auto"/>
        <w:left w:val="none" w:sz="0" w:space="0" w:color="auto"/>
        <w:bottom w:val="none" w:sz="0" w:space="0" w:color="auto"/>
        <w:right w:val="none" w:sz="0" w:space="0" w:color="auto"/>
      </w:divBdr>
    </w:div>
    <w:div w:id="744959927">
      <w:bodyDiv w:val="1"/>
      <w:marLeft w:val="0"/>
      <w:marRight w:val="0"/>
      <w:marTop w:val="0"/>
      <w:marBottom w:val="0"/>
      <w:divBdr>
        <w:top w:val="none" w:sz="0" w:space="0" w:color="auto"/>
        <w:left w:val="none" w:sz="0" w:space="0" w:color="auto"/>
        <w:bottom w:val="none" w:sz="0" w:space="0" w:color="auto"/>
        <w:right w:val="none" w:sz="0" w:space="0" w:color="auto"/>
      </w:divBdr>
    </w:div>
    <w:div w:id="746465824">
      <w:bodyDiv w:val="1"/>
      <w:marLeft w:val="0"/>
      <w:marRight w:val="0"/>
      <w:marTop w:val="0"/>
      <w:marBottom w:val="0"/>
      <w:divBdr>
        <w:top w:val="none" w:sz="0" w:space="0" w:color="auto"/>
        <w:left w:val="none" w:sz="0" w:space="0" w:color="auto"/>
        <w:bottom w:val="none" w:sz="0" w:space="0" w:color="auto"/>
        <w:right w:val="none" w:sz="0" w:space="0" w:color="auto"/>
      </w:divBdr>
    </w:div>
    <w:div w:id="851181943">
      <w:bodyDiv w:val="1"/>
      <w:marLeft w:val="0"/>
      <w:marRight w:val="0"/>
      <w:marTop w:val="0"/>
      <w:marBottom w:val="0"/>
      <w:divBdr>
        <w:top w:val="none" w:sz="0" w:space="0" w:color="auto"/>
        <w:left w:val="none" w:sz="0" w:space="0" w:color="auto"/>
        <w:bottom w:val="none" w:sz="0" w:space="0" w:color="auto"/>
        <w:right w:val="none" w:sz="0" w:space="0" w:color="auto"/>
      </w:divBdr>
      <w:divsChild>
        <w:div w:id="208147072">
          <w:marLeft w:val="0"/>
          <w:marRight w:val="0"/>
          <w:marTop w:val="0"/>
          <w:marBottom w:val="0"/>
          <w:divBdr>
            <w:top w:val="none" w:sz="0" w:space="0" w:color="auto"/>
            <w:left w:val="none" w:sz="0" w:space="0" w:color="auto"/>
            <w:bottom w:val="none" w:sz="0" w:space="0" w:color="auto"/>
            <w:right w:val="none" w:sz="0" w:space="0" w:color="auto"/>
          </w:divBdr>
          <w:divsChild>
            <w:div w:id="716273556">
              <w:marLeft w:val="0"/>
              <w:marRight w:val="0"/>
              <w:marTop w:val="0"/>
              <w:marBottom w:val="0"/>
              <w:divBdr>
                <w:top w:val="none" w:sz="0" w:space="0" w:color="auto"/>
                <w:left w:val="none" w:sz="0" w:space="0" w:color="auto"/>
                <w:bottom w:val="none" w:sz="0" w:space="0" w:color="auto"/>
                <w:right w:val="none" w:sz="0" w:space="0" w:color="auto"/>
              </w:divBdr>
              <w:divsChild>
                <w:div w:id="555625720">
                  <w:marLeft w:val="0"/>
                  <w:marRight w:val="0"/>
                  <w:marTop w:val="0"/>
                  <w:marBottom w:val="0"/>
                  <w:divBdr>
                    <w:top w:val="none" w:sz="0" w:space="0" w:color="auto"/>
                    <w:left w:val="none" w:sz="0" w:space="0" w:color="auto"/>
                    <w:bottom w:val="none" w:sz="0" w:space="0" w:color="auto"/>
                    <w:right w:val="none" w:sz="0" w:space="0" w:color="auto"/>
                  </w:divBdr>
                  <w:divsChild>
                    <w:div w:id="7352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35772">
      <w:bodyDiv w:val="1"/>
      <w:marLeft w:val="0"/>
      <w:marRight w:val="0"/>
      <w:marTop w:val="0"/>
      <w:marBottom w:val="0"/>
      <w:divBdr>
        <w:top w:val="none" w:sz="0" w:space="0" w:color="auto"/>
        <w:left w:val="none" w:sz="0" w:space="0" w:color="auto"/>
        <w:bottom w:val="none" w:sz="0" w:space="0" w:color="auto"/>
        <w:right w:val="none" w:sz="0" w:space="0" w:color="auto"/>
      </w:divBdr>
    </w:div>
    <w:div w:id="863057459">
      <w:bodyDiv w:val="1"/>
      <w:marLeft w:val="0"/>
      <w:marRight w:val="0"/>
      <w:marTop w:val="0"/>
      <w:marBottom w:val="0"/>
      <w:divBdr>
        <w:top w:val="none" w:sz="0" w:space="0" w:color="auto"/>
        <w:left w:val="none" w:sz="0" w:space="0" w:color="auto"/>
        <w:bottom w:val="none" w:sz="0" w:space="0" w:color="auto"/>
        <w:right w:val="none" w:sz="0" w:space="0" w:color="auto"/>
      </w:divBdr>
    </w:div>
    <w:div w:id="892618525">
      <w:bodyDiv w:val="1"/>
      <w:marLeft w:val="0"/>
      <w:marRight w:val="0"/>
      <w:marTop w:val="0"/>
      <w:marBottom w:val="0"/>
      <w:divBdr>
        <w:top w:val="none" w:sz="0" w:space="0" w:color="auto"/>
        <w:left w:val="none" w:sz="0" w:space="0" w:color="auto"/>
        <w:bottom w:val="none" w:sz="0" w:space="0" w:color="auto"/>
        <w:right w:val="none" w:sz="0" w:space="0" w:color="auto"/>
      </w:divBdr>
    </w:div>
    <w:div w:id="961838569">
      <w:bodyDiv w:val="1"/>
      <w:marLeft w:val="0"/>
      <w:marRight w:val="0"/>
      <w:marTop w:val="0"/>
      <w:marBottom w:val="0"/>
      <w:divBdr>
        <w:top w:val="none" w:sz="0" w:space="0" w:color="auto"/>
        <w:left w:val="none" w:sz="0" w:space="0" w:color="auto"/>
        <w:bottom w:val="none" w:sz="0" w:space="0" w:color="auto"/>
        <w:right w:val="none" w:sz="0" w:space="0" w:color="auto"/>
      </w:divBdr>
    </w:div>
    <w:div w:id="97564231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50967434">
      <w:bodyDiv w:val="1"/>
      <w:marLeft w:val="0"/>
      <w:marRight w:val="0"/>
      <w:marTop w:val="0"/>
      <w:marBottom w:val="0"/>
      <w:divBdr>
        <w:top w:val="none" w:sz="0" w:space="0" w:color="auto"/>
        <w:left w:val="none" w:sz="0" w:space="0" w:color="auto"/>
        <w:bottom w:val="none" w:sz="0" w:space="0" w:color="auto"/>
        <w:right w:val="none" w:sz="0" w:space="0" w:color="auto"/>
      </w:divBdr>
    </w:div>
    <w:div w:id="1263420368">
      <w:bodyDiv w:val="1"/>
      <w:marLeft w:val="0"/>
      <w:marRight w:val="0"/>
      <w:marTop w:val="0"/>
      <w:marBottom w:val="0"/>
      <w:divBdr>
        <w:top w:val="none" w:sz="0" w:space="0" w:color="auto"/>
        <w:left w:val="none" w:sz="0" w:space="0" w:color="auto"/>
        <w:bottom w:val="none" w:sz="0" w:space="0" w:color="auto"/>
        <w:right w:val="none" w:sz="0" w:space="0" w:color="auto"/>
      </w:divBdr>
    </w:div>
    <w:div w:id="1266426042">
      <w:bodyDiv w:val="1"/>
      <w:marLeft w:val="0"/>
      <w:marRight w:val="0"/>
      <w:marTop w:val="0"/>
      <w:marBottom w:val="0"/>
      <w:divBdr>
        <w:top w:val="none" w:sz="0" w:space="0" w:color="auto"/>
        <w:left w:val="none" w:sz="0" w:space="0" w:color="auto"/>
        <w:bottom w:val="none" w:sz="0" w:space="0" w:color="auto"/>
        <w:right w:val="none" w:sz="0" w:space="0" w:color="auto"/>
      </w:divBdr>
    </w:div>
    <w:div w:id="1431320080">
      <w:bodyDiv w:val="1"/>
      <w:marLeft w:val="0"/>
      <w:marRight w:val="0"/>
      <w:marTop w:val="0"/>
      <w:marBottom w:val="0"/>
      <w:divBdr>
        <w:top w:val="none" w:sz="0" w:space="0" w:color="auto"/>
        <w:left w:val="none" w:sz="0" w:space="0" w:color="auto"/>
        <w:bottom w:val="none" w:sz="0" w:space="0" w:color="auto"/>
        <w:right w:val="none" w:sz="0" w:space="0" w:color="auto"/>
      </w:divBdr>
    </w:div>
    <w:div w:id="1458838781">
      <w:bodyDiv w:val="1"/>
      <w:marLeft w:val="0"/>
      <w:marRight w:val="0"/>
      <w:marTop w:val="0"/>
      <w:marBottom w:val="0"/>
      <w:divBdr>
        <w:top w:val="none" w:sz="0" w:space="0" w:color="auto"/>
        <w:left w:val="none" w:sz="0" w:space="0" w:color="auto"/>
        <w:bottom w:val="none" w:sz="0" w:space="0" w:color="auto"/>
        <w:right w:val="none" w:sz="0" w:space="0" w:color="auto"/>
      </w:divBdr>
    </w:div>
    <w:div w:id="1491169887">
      <w:bodyDiv w:val="1"/>
      <w:marLeft w:val="0"/>
      <w:marRight w:val="0"/>
      <w:marTop w:val="0"/>
      <w:marBottom w:val="0"/>
      <w:divBdr>
        <w:top w:val="none" w:sz="0" w:space="0" w:color="auto"/>
        <w:left w:val="none" w:sz="0" w:space="0" w:color="auto"/>
        <w:bottom w:val="none" w:sz="0" w:space="0" w:color="auto"/>
        <w:right w:val="none" w:sz="0" w:space="0" w:color="auto"/>
      </w:divBdr>
    </w:div>
    <w:div w:id="1502621416">
      <w:bodyDiv w:val="1"/>
      <w:marLeft w:val="0"/>
      <w:marRight w:val="0"/>
      <w:marTop w:val="0"/>
      <w:marBottom w:val="0"/>
      <w:divBdr>
        <w:top w:val="none" w:sz="0" w:space="0" w:color="auto"/>
        <w:left w:val="none" w:sz="0" w:space="0" w:color="auto"/>
        <w:bottom w:val="none" w:sz="0" w:space="0" w:color="auto"/>
        <w:right w:val="none" w:sz="0" w:space="0" w:color="auto"/>
      </w:divBdr>
      <w:divsChild>
        <w:div w:id="90207633">
          <w:marLeft w:val="0"/>
          <w:marRight w:val="0"/>
          <w:marTop w:val="0"/>
          <w:marBottom w:val="0"/>
          <w:divBdr>
            <w:top w:val="none" w:sz="0" w:space="0" w:color="auto"/>
            <w:left w:val="none" w:sz="0" w:space="0" w:color="auto"/>
            <w:bottom w:val="none" w:sz="0" w:space="0" w:color="auto"/>
            <w:right w:val="none" w:sz="0" w:space="0" w:color="auto"/>
          </w:divBdr>
        </w:div>
        <w:div w:id="1799493702">
          <w:marLeft w:val="0"/>
          <w:marRight w:val="0"/>
          <w:marTop w:val="75"/>
          <w:marBottom w:val="0"/>
          <w:divBdr>
            <w:top w:val="none" w:sz="0" w:space="0" w:color="auto"/>
            <w:left w:val="none" w:sz="0" w:space="0" w:color="auto"/>
            <w:bottom w:val="none" w:sz="0" w:space="0" w:color="auto"/>
            <w:right w:val="none" w:sz="0" w:space="0" w:color="auto"/>
          </w:divBdr>
        </w:div>
        <w:div w:id="1132210411">
          <w:marLeft w:val="0"/>
          <w:marRight w:val="0"/>
          <w:marTop w:val="75"/>
          <w:marBottom w:val="0"/>
          <w:divBdr>
            <w:top w:val="none" w:sz="0" w:space="0" w:color="auto"/>
            <w:left w:val="none" w:sz="0" w:space="0" w:color="auto"/>
            <w:bottom w:val="none" w:sz="0" w:space="0" w:color="auto"/>
            <w:right w:val="none" w:sz="0" w:space="0" w:color="auto"/>
          </w:divBdr>
        </w:div>
      </w:divsChild>
    </w:div>
    <w:div w:id="1539005204">
      <w:bodyDiv w:val="1"/>
      <w:marLeft w:val="0"/>
      <w:marRight w:val="0"/>
      <w:marTop w:val="0"/>
      <w:marBottom w:val="0"/>
      <w:divBdr>
        <w:top w:val="none" w:sz="0" w:space="0" w:color="auto"/>
        <w:left w:val="none" w:sz="0" w:space="0" w:color="auto"/>
        <w:bottom w:val="none" w:sz="0" w:space="0" w:color="auto"/>
        <w:right w:val="none" w:sz="0" w:space="0" w:color="auto"/>
      </w:divBdr>
    </w:div>
    <w:div w:id="1543248476">
      <w:bodyDiv w:val="1"/>
      <w:marLeft w:val="0"/>
      <w:marRight w:val="0"/>
      <w:marTop w:val="0"/>
      <w:marBottom w:val="0"/>
      <w:divBdr>
        <w:top w:val="none" w:sz="0" w:space="0" w:color="auto"/>
        <w:left w:val="none" w:sz="0" w:space="0" w:color="auto"/>
        <w:bottom w:val="none" w:sz="0" w:space="0" w:color="auto"/>
        <w:right w:val="none" w:sz="0" w:space="0" w:color="auto"/>
      </w:divBdr>
    </w:div>
    <w:div w:id="1572735100">
      <w:bodyDiv w:val="1"/>
      <w:marLeft w:val="0"/>
      <w:marRight w:val="0"/>
      <w:marTop w:val="0"/>
      <w:marBottom w:val="0"/>
      <w:divBdr>
        <w:top w:val="none" w:sz="0" w:space="0" w:color="auto"/>
        <w:left w:val="none" w:sz="0" w:space="0" w:color="auto"/>
        <w:bottom w:val="none" w:sz="0" w:space="0" w:color="auto"/>
        <w:right w:val="none" w:sz="0" w:space="0" w:color="auto"/>
      </w:divBdr>
    </w:div>
    <w:div w:id="1629553997">
      <w:bodyDiv w:val="1"/>
      <w:marLeft w:val="0"/>
      <w:marRight w:val="0"/>
      <w:marTop w:val="0"/>
      <w:marBottom w:val="0"/>
      <w:divBdr>
        <w:top w:val="none" w:sz="0" w:space="0" w:color="auto"/>
        <w:left w:val="none" w:sz="0" w:space="0" w:color="auto"/>
        <w:bottom w:val="none" w:sz="0" w:space="0" w:color="auto"/>
        <w:right w:val="none" w:sz="0" w:space="0" w:color="auto"/>
      </w:divBdr>
    </w:div>
    <w:div w:id="1759907707">
      <w:bodyDiv w:val="1"/>
      <w:marLeft w:val="0"/>
      <w:marRight w:val="0"/>
      <w:marTop w:val="0"/>
      <w:marBottom w:val="0"/>
      <w:divBdr>
        <w:top w:val="none" w:sz="0" w:space="0" w:color="auto"/>
        <w:left w:val="none" w:sz="0" w:space="0" w:color="auto"/>
        <w:bottom w:val="none" w:sz="0" w:space="0" w:color="auto"/>
        <w:right w:val="none" w:sz="0" w:space="0" w:color="auto"/>
      </w:divBdr>
    </w:div>
    <w:div w:id="1774208825">
      <w:bodyDiv w:val="1"/>
      <w:marLeft w:val="0"/>
      <w:marRight w:val="0"/>
      <w:marTop w:val="0"/>
      <w:marBottom w:val="0"/>
      <w:divBdr>
        <w:top w:val="none" w:sz="0" w:space="0" w:color="auto"/>
        <w:left w:val="none" w:sz="0" w:space="0" w:color="auto"/>
        <w:bottom w:val="none" w:sz="0" w:space="0" w:color="auto"/>
        <w:right w:val="none" w:sz="0" w:space="0" w:color="auto"/>
      </w:divBdr>
    </w:div>
    <w:div w:id="1877615608">
      <w:bodyDiv w:val="1"/>
      <w:marLeft w:val="0"/>
      <w:marRight w:val="0"/>
      <w:marTop w:val="0"/>
      <w:marBottom w:val="0"/>
      <w:divBdr>
        <w:top w:val="none" w:sz="0" w:space="0" w:color="auto"/>
        <w:left w:val="none" w:sz="0" w:space="0" w:color="auto"/>
        <w:bottom w:val="none" w:sz="0" w:space="0" w:color="auto"/>
        <w:right w:val="none" w:sz="0" w:space="0" w:color="auto"/>
      </w:divBdr>
    </w:div>
    <w:div w:id="1881553962">
      <w:bodyDiv w:val="1"/>
      <w:marLeft w:val="0"/>
      <w:marRight w:val="0"/>
      <w:marTop w:val="0"/>
      <w:marBottom w:val="0"/>
      <w:divBdr>
        <w:top w:val="none" w:sz="0" w:space="0" w:color="auto"/>
        <w:left w:val="none" w:sz="0" w:space="0" w:color="auto"/>
        <w:bottom w:val="none" w:sz="0" w:space="0" w:color="auto"/>
        <w:right w:val="none" w:sz="0" w:space="0" w:color="auto"/>
      </w:divBdr>
    </w:div>
    <w:div w:id="1905990141">
      <w:bodyDiv w:val="1"/>
      <w:marLeft w:val="0"/>
      <w:marRight w:val="0"/>
      <w:marTop w:val="0"/>
      <w:marBottom w:val="0"/>
      <w:divBdr>
        <w:top w:val="none" w:sz="0" w:space="0" w:color="auto"/>
        <w:left w:val="none" w:sz="0" w:space="0" w:color="auto"/>
        <w:bottom w:val="none" w:sz="0" w:space="0" w:color="auto"/>
        <w:right w:val="none" w:sz="0" w:space="0" w:color="auto"/>
      </w:divBdr>
    </w:div>
    <w:div w:id="2014674605">
      <w:bodyDiv w:val="1"/>
      <w:marLeft w:val="0"/>
      <w:marRight w:val="0"/>
      <w:marTop w:val="0"/>
      <w:marBottom w:val="0"/>
      <w:divBdr>
        <w:top w:val="none" w:sz="0" w:space="0" w:color="auto"/>
        <w:left w:val="none" w:sz="0" w:space="0" w:color="auto"/>
        <w:bottom w:val="none" w:sz="0" w:space="0" w:color="auto"/>
        <w:right w:val="none" w:sz="0" w:space="0" w:color="auto"/>
      </w:divBdr>
    </w:div>
    <w:div w:id="2042826121">
      <w:bodyDiv w:val="1"/>
      <w:marLeft w:val="0"/>
      <w:marRight w:val="0"/>
      <w:marTop w:val="0"/>
      <w:marBottom w:val="0"/>
      <w:divBdr>
        <w:top w:val="none" w:sz="0" w:space="0" w:color="auto"/>
        <w:left w:val="none" w:sz="0" w:space="0" w:color="auto"/>
        <w:bottom w:val="none" w:sz="0" w:space="0" w:color="auto"/>
        <w:right w:val="none" w:sz="0" w:space="0" w:color="auto"/>
      </w:divBdr>
    </w:div>
    <w:div w:id="21217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www.pbs.gov.au/info/industry/listing/elements/pbac-meetings/psd/2015-07/bendamustine-psd-july-2015"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bs.gov.au/info/industry/listing/elements/pbac-meetings/psd/2015-03/bendamustine-hydrochloride-ribomustin-psd-03-2015"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hyperlink" Target="http://www.pbs.gov.au/pbs/home"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humanservices.gov.au/corporate/statistical-information-and-data/medicare-statistics" TargetMode="External"/><Relationship Id="rId2" Type="http://schemas.openxmlformats.org/officeDocument/2006/relationships/hyperlink" Target="https://www.pbs.gov.au/pbs/industry/listing/elements/pbac-meetings/psd/2018-07/Obinutuzumab-psd-july-2018" TargetMode="External"/><Relationship Id="rId1" Type="http://schemas.openxmlformats.org/officeDocument/2006/relationships/hyperlink" Target="https://www.tga.gov.au/product-information-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106%20-%20bendamustine%20PvA%20Feb%202019\D1106_PATCNTBY_INDICA_SUPP_Q,%20v5%20-%20new%20fig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106%20-%20bendamustine%20PvA%20Feb%202019\D1106%20-%20SCRPT_SUM3%20-%20max_in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106%20-%20bendamustine%20PvA%20Feb%202019\D1106%20-%20SCRIPTS_12MNTH_FREQ.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entral.health\DFSApps\ServerApps\Staging\DUSC\DUSC%20database\Data%20Requests\Requests%202018\D1106%20-%20bendamustine%20PvA%20Feb%202019\D1106%20-%20AGE_DOSE_AVG.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entral.health\DFSApps\ServerApps\Staging\DUSC\DUSC%20database\Data%20Requests\Requests%202018\D1106%20-%20bendamustine%20PvA%20Feb%202019\D1106%20-%20SCRIPTS_AVG,%20combined%20age%20grps.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106%20-%20bendamustine%20PvA%20Feb%202019\D1106%20-%20SUPPLY_LAG_FREQ,%20bend%20to%20ritux,%20v4%20-%202yrs%20prior%20&amp;%201%20year%20pos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106%20-%20bendamustine%20PvA%20Feb%202019\D1106%20-%20SCRIPTS_12MNTH_FREQ,%20rituxima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[D1106_PATCNTBY_INDICA_SUPP_Q, v5 - new fig1.xlsx]Sheet1 (3)!PivotTable1</c:name>
    <c:fmtId val="-1"/>
  </c:pivotSource>
  <c:chart>
    <c:title>
      <c:tx>
        <c:strRef>
          <c:f>'Sheet1 (3)'!$B$1</c:f>
          <c:strCache>
            <c:ptCount val="1"/>
          </c:strCache>
        </c:strRef>
      </c:tx>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pivotFmt>
      <c:pivotFmt>
        <c:idx val="6"/>
      </c:pivotFmt>
      <c:pivotFmt>
        <c:idx val="7"/>
      </c:pivotFmt>
      <c:pivotFmt>
        <c:idx val="8"/>
      </c:pivotFmt>
      <c:pivotFmt>
        <c:idx val="9"/>
      </c:pivotFmt>
      <c:pivotFmt>
        <c:idx val="10"/>
      </c:pivotFmt>
      <c:pivotFmt>
        <c:idx val="11"/>
      </c:pivotFmt>
      <c:pivotFmt>
        <c:idx val="12"/>
        <c:marker>
          <c:spPr>
            <a:solidFill>
              <a:schemeClr val="accent2"/>
            </a:solidFill>
            <a:ln>
              <a:solidFill>
                <a:srgbClr val="C00000"/>
              </a:solidFill>
            </a:ln>
          </c:spPr>
        </c:marker>
      </c:pivotFmt>
      <c:pivotFmt>
        <c:idx val="13"/>
        <c:marker>
          <c:spPr>
            <a:solidFill>
              <a:schemeClr val="accent2"/>
            </a:solidFill>
            <a:ln>
              <a:solidFill>
                <a:schemeClr val="accent2"/>
              </a:solidFill>
            </a:ln>
          </c:spPr>
        </c:marker>
      </c:pivotFmt>
      <c:pivotFmt>
        <c:idx val="14"/>
        <c:spPr>
          <a:ln>
            <a:solidFill>
              <a:schemeClr val="accent1"/>
            </a:solidFill>
          </a:ln>
        </c:spPr>
        <c:marker>
          <c:spPr>
            <a:solidFill>
              <a:schemeClr val="accent1"/>
            </a:solidFill>
            <a:ln>
              <a:solidFill>
                <a:schemeClr val="accent1"/>
              </a:solidFill>
            </a:ln>
          </c:spPr>
        </c:marker>
      </c:pivotFmt>
      <c:pivotFmt>
        <c:idx val="15"/>
        <c:spPr>
          <a:ln>
            <a:solidFill>
              <a:schemeClr val="accent2"/>
            </a:solidFill>
          </a:ln>
        </c:spPr>
        <c:marker>
          <c:spPr>
            <a:ln>
              <a:solidFill>
                <a:schemeClr val="accent2"/>
              </a:solidFill>
            </a:ln>
          </c:spPr>
        </c:marker>
      </c:pivotFmt>
      <c:pivotFmt>
        <c:idx val="16"/>
        <c:spPr>
          <a:ln>
            <a:solidFill>
              <a:schemeClr val="accent1"/>
            </a:solidFill>
          </a:ln>
        </c:spPr>
      </c:pivotFmt>
      <c:pivotFmt>
        <c:idx val="17"/>
        <c:spPr>
          <a:ln>
            <a:solidFill>
              <a:schemeClr val="accent2"/>
            </a:solidFill>
          </a:ln>
        </c:spPr>
      </c:pivotFmt>
      <c:pivotFmt>
        <c:idx val="18"/>
        <c:spPr>
          <a:ln>
            <a:solidFill>
              <a:schemeClr val="accent1"/>
            </a:solidFill>
          </a:ln>
        </c:spPr>
      </c:pivotFmt>
      <c:pivotFmt>
        <c:idx val="19"/>
        <c:spPr>
          <a:ln>
            <a:solidFill>
              <a:schemeClr val="accent1"/>
            </a:solidFill>
          </a:ln>
        </c:spPr>
        <c:marker>
          <c:spPr>
            <a:solidFill>
              <a:schemeClr val="accent1"/>
            </a:solidFill>
            <a:ln>
              <a:solidFill>
                <a:schemeClr val="accent1"/>
              </a:solidFill>
            </a:ln>
          </c:spPr>
        </c:marker>
      </c:pivotFmt>
      <c:pivotFmt>
        <c:idx val="20"/>
        <c:spPr>
          <a:ln>
            <a:solidFill>
              <a:schemeClr val="accent2"/>
            </a:solidFill>
          </a:ln>
        </c:spPr>
        <c:marker>
          <c:spPr>
            <a:solidFill>
              <a:schemeClr val="accent2"/>
            </a:solidFill>
            <a:ln>
              <a:solidFill>
                <a:schemeClr val="accent2"/>
              </a:solidFill>
            </a:ln>
          </c:spPr>
        </c:marker>
      </c:pivotFmt>
      <c:pivotFmt>
        <c:idx val="21"/>
        <c:spPr>
          <a:ln>
            <a:solidFill>
              <a:schemeClr val="accent2"/>
            </a:solidFill>
          </a:ln>
        </c:spPr>
        <c:marker>
          <c:spPr>
            <a:ln>
              <a:solidFill>
                <a:schemeClr val="accent2"/>
              </a:solidFill>
            </a:ln>
          </c:spPr>
        </c:marker>
      </c:pivotFmt>
      <c:pivotFmt>
        <c:idx val="22"/>
        <c:spPr>
          <a:ln>
            <a:solidFill>
              <a:schemeClr val="accent1"/>
            </a:solidFill>
          </a:ln>
        </c:spPr>
      </c:pivotFmt>
      <c:pivotFmt>
        <c:idx val="23"/>
        <c:spPr>
          <a:ln>
            <a:solidFill>
              <a:schemeClr val="accent1"/>
            </a:solidFill>
          </a:ln>
        </c:spPr>
        <c:marker>
          <c:spPr>
            <a:solidFill>
              <a:schemeClr val="accent1"/>
            </a:solidFill>
            <a:ln>
              <a:solidFill>
                <a:schemeClr val="accent1"/>
              </a:solidFill>
            </a:ln>
          </c:spPr>
        </c:marker>
      </c:pivotFmt>
      <c:pivotFmt>
        <c:idx val="24"/>
        <c:spPr>
          <a:ln>
            <a:solidFill>
              <a:schemeClr val="accent2"/>
            </a:solidFill>
          </a:ln>
        </c:spPr>
        <c:marker>
          <c:spPr>
            <a:solidFill>
              <a:schemeClr val="accent2"/>
            </a:solidFill>
            <a:ln>
              <a:solidFill>
                <a:schemeClr val="accent2"/>
              </a:solidFill>
            </a:ln>
          </c:spPr>
        </c:marker>
      </c:pivotFmt>
      <c:pivotFmt>
        <c:idx val="25"/>
        <c:spPr>
          <a:ln>
            <a:solidFill>
              <a:schemeClr val="accent2"/>
            </a:solidFill>
          </a:ln>
        </c:spPr>
        <c:marker>
          <c:spPr>
            <a:ln>
              <a:solidFill>
                <a:schemeClr val="accent2"/>
              </a:solidFill>
            </a:ln>
          </c:spPr>
        </c:marker>
      </c:pivotFmt>
    </c:pivotFmts>
    <c:plotArea>
      <c:layout/>
      <c:lineChart>
        <c:grouping val="standard"/>
        <c:varyColors val="0"/>
        <c:ser>
          <c:idx val="0"/>
          <c:order val="0"/>
          <c:tx>
            <c:strRef>
              <c:f>'Sheet1 (3)'!$B$1</c:f>
              <c:strCache>
                <c:ptCount val="1"/>
                <c:pt idx="0">
                  <c:v>iNHL - prevalent</c:v>
                </c:pt>
              </c:strCache>
            </c:strRef>
          </c:tx>
          <c:spPr>
            <a:ln>
              <a:solidFill>
                <a:schemeClr val="accent1"/>
              </a:solidFill>
            </a:ln>
          </c:spPr>
          <c:cat>
            <c:strRef>
              <c:f>'Sheet1 (3)'!$B$1</c:f>
              <c:strCache>
                <c:ptCount val="10"/>
                <c:pt idx="0">
                  <c:v>2016Q2</c:v>
                </c:pt>
                <c:pt idx="1">
                  <c:v>2016Q3</c:v>
                </c:pt>
                <c:pt idx="2">
                  <c:v>2016Q4</c:v>
                </c:pt>
                <c:pt idx="3">
                  <c:v>2017Q1</c:v>
                </c:pt>
                <c:pt idx="4">
                  <c:v>2017Q2</c:v>
                </c:pt>
                <c:pt idx="5">
                  <c:v>2017Q3</c:v>
                </c:pt>
                <c:pt idx="6">
                  <c:v>2017Q4</c:v>
                </c:pt>
                <c:pt idx="7">
                  <c:v>2018Q1</c:v>
                </c:pt>
                <c:pt idx="8">
                  <c:v>2018Q2</c:v>
                </c:pt>
                <c:pt idx="9">
                  <c:v>2018Q3</c:v>
                </c:pt>
              </c:strCache>
            </c:strRef>
          </c:cat>
          <c:val>
            <c:numRef>
              <c:f>'Sheet1 (3)'!$B$1</c:f>
              <c:numCache>
                <c:formatCode>General</c:formatCode>
                <c:ptCount val="10"/>
                <c:pt idx="0">
                  <c:v>126</c:v>
                </c:pt>
                <c:pt idx="1">
                  <c:v>309</c:v>
                </c:pt>
                <c:pt idx="2">
                  <c:v>450</c:v>
                </c:pt>
                <c:pt idx="3">
                  <c:v>498</c:v>
                </c:pt>
                <c:pt idx="4">
                  <c:v>512</c:v>
                </c:pt>
                <c:pt idx="5">
                  <c:v>529</c:v>
                </c:pt>
                <c:pt idx="6">
                  <c:v>512</c:v>
                </c:pt>
                <c:pt idx="7">
                  <c:v>535</c:v>
                </c:pt>
                <c:pt idx="8">
                  <c:v>532</c:v>
                </c:pt>
                <c:pt idx="9">
                  <c:v>539</c:v>
                </c:pt>
              </c:numCache>
            </c:numRef>
          </c:val>
          <c:smooth val="0"/>
          <c:extLst>
            <c:ext xmlns:c16="http://schemas.microsoft.com/office/drawing/2014/chart" uri="{C3380CC4-5D6E-409C-BE32-E72D297353CC}">
              <c16:uniqueId val="{00000000-E791-40AD-BFA8-63131EC7D527}"/>
            </c:ext>
          </c:extLst>
        </c:ser>
        <c:ser>
          <c:idx val="1"/>
          <c:order val="1"/>
          <c:tx>
            <c:strRef>
              <c:f>'Sheet1 (3)'!$B$1</c:f>
              <c:strCache>
                <c:ptCount val="1"/>
                <c:pt idx="0">
                  <c:v>iNHL - initiating</c:v>
                </c:pt>
              </c:strCache>
            </c:strRef>
          </c:tx>
          <c:spPr>
            <a:ln>
              <a:solidFill>
                <a:schemeClr val="accent1"/>
              </a:solidFill>
            </a:ln>
          </c:spPr>
          <c:marker>
            <c:spPr>
              <a:solidFill>
                <a:schemeClr val="accent1"/>
              </a:solidFill>
              <a:ln>
                <a:solidFill>
                  <a:schemeClr val="accent1"/>
                </a:solidFill>
              </a:ln>
            </c:spPr>
          </c:marker>
          <c:cat>
            <c:strRef>
              <c:f>'Sheet1 (3)'!$B$1</c:f>
              <c:strCache>
                <c:ptCount val="10"/>
                <c:pt idx="0">
                  <c:v>2016Q2</c:v>
                </c:pt>
                <c:pt idx="1">
                  <c:v>2016Q3</c:v>
                </c:pt>
                <c:pt idx="2">
                  <c:v>2016Q4</c:v>
                </c:pt>
                <c:pt idx="3">
                  <c:v>2017Q1</c:v>
                </c:pt>
                <c:pt idx="4">
                  <c:v>2017Q2</c:v>
                </c:pt>
                <c:pt idx="5">
                  <c:v>2017Q3</c:v>
                </c:pt>
                <c:pt idx="6">
                  <c:v>2017Q4</c:v>
                </c:pt>
                <c:pt idx="7">
                  <c:v>2018Q1</c:v>
                </c:pt>
                <c:pt idx="8">
                  <c:v>2018Q2</c:v>
                </c:pt>
                <c:pt idx="9">
                  <c:v>2018Q3</c:v>
                </c:pt>
              </c:strCache>
            </c:strRef>
          </c:cat>
          <c:val>
            <c:numRef>
              <c:f>'Sheet1 (3)'!$B$1</c:f>
              <c:numCache>
                <c:formatCode>General</c:formatCode>
                <c:ptCount val="10"/>
                <c:pt idx="0">
                  <c:v>126</c:v>
                </c:pt>
                <c:pt idx="1">
                  <c:v>198</c:v>
                </c:pt>
                <c:pt idx="2">
                  <c:v>208</c:v>
                </c:pt>
                <c:pt idx="3">
                  <c:v>222</c:v>
                </c:pt>
                <c:pt idx="4">
                  <c:v>225</c:v>
                </c:pt>
                <c:pt idx="5">
                  <c:v>223</c:v>
                </c:pt>
                <c:pt idx="6">
                  <c:v>212</c:v>
                </c:pt>
                <c:pt idx="7">
                  <c:v>222</c:v>
                </c:pt>
                <c:pt idx="8">
                  <c:v>234</c:v>
                </c:pt>
                <c:pt idx="9">
                  <c:v>225</c:v>
                </c:pt>
              </c:numCache>
            </c:numRef>
          </c:val>
          <c:smooth val="0"/>
          <c:extLst>
            <c:ext xmlns:c16="http://schemas.microsoft.com/office/drawing/2014/chart" uri="{C3380CC4-5D6E-409C-BE32-E72D297353CC}">
              <c16:uniqueId val="{00000001-E791-40AD-BFA8-63131EC7D527}"/>
            </c:ext>
          </c:extLst>
        </c:ser>
        <c:ser>
          <c:idx val="2"/>
          <c:order val="2"/>
          <c:tx>
            <c:strRef>
              <c:f>'Sheet1 (3)'!$B$1</c:f>
              <c:strCache>
                <c:ptCount val="1"/>
                <c:pt idx="0">
                  <c:v>MCL - prevalent</c:v>
                </c:pt>
              </c:strCache>
            </c:strRef>
          </c:tx>
          <c:spPr>
            <a:ln>
              <a:solidFill>
                <a:schemeClr val="accent2"/>
              </a:solidFill>
            </a:ln>
          </c:spPr>
          <c:marker>
            <c:spPr>
              <a:solidFill>
                <a:schemeClr val="accent2"/>
              </a:solidFill>
              <a:ln>
                <a:solidFill>
                  <a:schemeClr val="accent2"/>
                </a:solidFill>
              </a:ln>
            </c:spPr>
          </c:marker>
          <c:cat>
            <c:strRef>
              <c:f>'Sheet1 (3)'!$B$1</c:f>
              <c:strCache>
                <c:ptCount val="10"/>
                <c:pt idx="0">
                  <c:v>2016Q2</c:v>
                </c:pt>
                <c:pt idx="1">
                  <c:v>2016Q3</c:v>
                </c:pt>
                <c:pt idx="2">
                  <c:v>2016Q4</c:v>
                </c:pt>
                <c:pt idx="3">
                  <c:v>2017Q1</c:v>
                </c:pt>
                <c:pt idx="4">
                  <c:v>2017Q2</c:v>
                </c:pt>
                <c:pt idx="5">
                  <c:v>2017Q3</c:v>
                </c:pt>
                <c:pt idx="6">
                  <c:v>2017Q4</c:v>
                </c:pt>
                <c:pt idx="7">
                  <c:v>2018Q1</c:v>
                </c:pt>
                <c:pt idx="8">
                  <c:v>2018Q2</c:v>
                </c:pt>
                <c:pt idx="9">
                  <c:v>2018Q3</c:v>
                </c:pt>
              </c:strCache>
            </c:strRef>
          </c:cat>
          <c:val>
            <c:numRef>
              <c:f>'Sheet1 (3)'!$B$1</c:f>
              <c:numCache>
                <c:formatCode>General</c:formatCode>
                <c:ptCount val="10"/>
                <c:pt idx="0">
                  <c:v>28</c:v>
                </c:pt>
                <c:pt idx="1">
                  <c:v>71</c:v>
                </c:pt>
                <c:pt idx="2">
                  <c:v>96</c:v>
                </c:pt>
                <c:pt idx="3">
                  <c:v>86</c:v>
                </c:pt>
                <c:pt idx="4">
                  <c:v>86</c:v>
                </c:pt>
                <c:pt idx="5">
                  <c:v>83</c:v>
                </c:pt>
                <c:pt idx="6">
                  <c:v>83</c:v>
                </c:pt>
                <c:pt idx="7">
                  <c:v>79</c:v>
                </c:pt>
                <c:pt idx="8">
                  <c:v>72</c:v>
                </c:pt>
                <c:pt idx="9">
                  <c:v>89</c:v>
                </c:pt>
              </c:numCache>
            </c:numRef>
          </c:val>
          <c:smooth val="0"/>
          <c:extLst>
            <c:ext xmlns:c16="http://schemas.microsoft.com/office/drawing/2014/chart" uri="{C3380CC4-5D6E-409C-BE32-E72D297353CC}">
              <c16:uniqueId val="{00000002-E791-40AD-BFA8-63131EC7D527}"/>
            </c:ext>
          </c:extLst>
        </c:ser>
        <c:ser>
          <c:idx val="3"/>
          <c:order val="3"/>
          <c:tx>
            <c:strRef>
              <c:f>'Sheet1 (3)'!$B$1</c:f>
              <c:strCache>
                <c:ptCount val="1"/>
                <c:pt idx="0">
                  <c:v>MCL - initiating</c:v>
                </c:pt>
              </c:strCache>
            </c:strRef>
          </c:tx>
          <c:spPr>
            <a:ln>
              <a:solidFill>
                <a:schemeClr val="accent2"/>
              </a:solidFill>
            </a:ln>
          </c:spPr>
          <c:marker>
            <c:spPr>
              <a:ln>
                <a:solidFill>
                  <a:schemeClr val="accent2"/>
                </a:solidFill>
              </a:ln>
            </c:spPr>
          </c:marker>
          <c:cat>
            <c:strRef>
              <c:f>'Sheet1 (3)'!$B$1</c:f>
              <c:strCache>
                <c:ptCount val="10"/>
                <c:pt idx="0">
                  <c:v>2016Q2</c:v>
                </c:pt>
                <c:pt idx="1">
                  <c:v>2016Q3</c:v>
                </c:pt>
                <c:pt idx="2">
                  <c:v>2016Q4</c:v>
                </c:pt>
                <c:pt idx="3">
                  <c:v>2017Q1</c:v>
                </c:pt>
                <c:pt idx="4">
                  <c:v>2017Q2</c:v>
                </c:pt>
                <c:pt idx="5">
                  <c:v>2017Q3</c:v>
                </c:pt>
                <c:pt idx="6">
                  <c:v>2017Q4</c:v>
                </c:pt>
                <c:pt idx="7">
                  <c:v>2018Q1</c:v>
                </c:pt>
                <c:pt idx="8">
                  <c:v>2018Q2</c:v>
                </c:pt>
                <c:pt idx="9">
                  <c:v>2018Q3</c:v>
                </c:pt>
              </c:strCache>
            </c:strRef>
          </c:cat>
          <c:val>
            <c:numRef>
              <c:f>'Sheet1 (3)'!$B$1</c:f>
              <c:numCache>
                <c:formatCode>General</c:formatCode>
                <c:ptCount val="10"/>
                <c:pt idx="0">
                  <c:v>28</c:v>
                </c:pt>
                <c:pt idx="1">
                  <c:v>45</c:v>
                </c:pt>
                <c:pt idx="2">
                  <c:v>41</c:v>
                </c:pt>
                <c:pt idx="3">
                  <c:v>31</c:v>
                </c:pt>
                <c:pt idx="4">
                  <c:v>46</c:v>
                </c:pt>
                <c:pt idx="5">
                  <c:v>33</c:v>
                </c:pt>
                <c:pt idx="6">
                  <c:v>32</c:v>
                </c:pt>
                <c:pt idx="7">
                  <c:v>30</c:v>
                </c:pt>
                <c:pt idx="8">
                  <c:v>40</c:v>
                </c:pt>
                <c:pt idx="9">
                  <c:v>42</c:v>
                </c:pt>
              </c:numCache>
            </c:numRef>
          </c:val>
          <c:smooth val="0"/>
          <c:extLst>
            <c:ext xmlns:c16="http://schemas.microsoft.com/office/drawing/2014/chart" uri="{C3380CC4-5D6E-409C-BE32-E72D297353CC}">
              <c16:uniqueId val="{00000003-E791-40AD-BFA8-63131EC7D527}"/>
            </c:ext>
          </c:extLst>
        </c:ser>
        <c:dLbls>
          <c:showLegendKey val="0"/>
          <c:showVal val="0"/>
          <c:showCatName val="0"/>
          <c:showSerName val="0"/>
          <c:showPercent val="0"/>
          <c:showBubbleSize val="0"/>
        </c:dLbls>
        <c:marker val="1"/>
        <c:smooth val="0"/>
        <c:axId val="74109696"/>
        <c:axId val="74112000"/>
      </c:lineChart>
      <c:catAx>
        <c:axId val="74109696"/>
        <c:scaling>
          <c:orientation val="minMax"/>
        </c:scaling>
        <c:delete val="0"/>
        <c:axPos val="b"/>
        <c:title>
          <c:tx>
            <c:rich>
              <a:bodyPr/>
              <a:lstStyle/>
              <a:p>
                <a:pPr>
                  <a:defRPr b="0"/>
                </a:pPr>
                <a:r>
                  <a:rPr lang="en-US" b="0"/>
                  <a:t>Quarter of Supply</a:t>
                </a:r>
              </a:p>
            </c:rich>
          </c:tx>
          <c:layout/>
          <c:overlay val="0"/>
        </c:title>
        <c:numFmt formatCode="General" sourceLinked="0"/>
        <c:majorTickMark val="none"/>
        <c:minorTickMark val="none"/>
        <c:tickLblPos val="nextTo"/>
        <c:crossAx val="74112000"/>
        <c:crosses val="autoZero"/>
        <c:auto val="1"/>
        <c:lblAlgn val="ctr"/>
        <c:lblOffset val="100"/>
        <c:noMultiLvlLbl val="0"/>
      </c:catAx>
      <c:valAx>
        <c:axId val="74112000"/>
        <c:scaling>
          <c:orientation val="minMax"/>
        </c:scaling>
        <c:delete val="0"/>
        <c:axPos val="l"/>
        <c:majorGridlines/>
        <c:title>
          <c:tx>
            <c:rich>
              <a:bodyPr/>
              <a:lstStyle/>
              <a:p>
                <a:pPr>
                  <a:defRPr b="0"/>
                </a:pPr>
                <a:r>
                  <a:rPr lang="en-US" b="0"/>
                  <a:t>Patients</a:t>
                </a:r>
              </a:p>
            </c:rich>
          </c:tx>
          <c:layout>
            <c:manualLayout>
              <c:xMode val="edge"/>
              <c:yMode val="edge"/>
              <c:x val="1.8486574965781395E-2"/>
              <c:y val="0.38258931699246013"/>
            </c:manualLayout>
          </c:layout>
          <c:overlay val="0"/>
        </c:title>
        <c:numFmt formatCode="General" sourceLinked="1"/>
        <c:majorTickMark val="none"/>
        <c:minorTickMark val="none"/>
        <c:tickLblPos val="nextTo"/>
        <c:crossAx val="74109696"/>
        <c:crosses val="autoZero"/>
        <c:crossBetween val="between"/>
      </c:valAx>
    </c:plotArea>
    <c:legend>
      <c:legendPos val="r"/>
      <c:layout/>
      <c:overlay val="0"/>
      <c:txPr>
        <a:bodyPr/>
        <a:lstStyle/>
        <a:p>
          <a:pPr>
            <a:defRPr sz="900"/>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[D1106 - SCRPT_SUM3 - max_ind.xlsx]Sheet1 (2)!PivotTable2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pivotFmt>
      <c:pivotFmt>
        <c:idx val="6"/>
      </c:pivotFmt>
      <c:pivotFmt>
        <c:idx val="7"/>
      </c:pivotFmt>
      <c:pivotFmt>
        <c:idx val="8"/>
      </c:pivotFmt>
      <c:pivotFmt>
        <c:idx val="9"/>
        <c:marker>
          <c:symbol val="none"/>
        </c:marker>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s>
    <c:plotArea>
      <c:layout>
        <c:manualLayout>
          <c:layoutTarget val="inner"/>
          <c:xMode val="edge"/>
          <c:yMode val="edge"/>
          <c:x val="0.11333483950879926"/>
          <c:y val="0.13120654102290757"/>
          <c:w val="0.7533412803682622"/>
          <c:h val="0.73303824044827037"/>
        </c:manualLayout>
      </c:layout>
      <c:lineChart>
        <c:grouping val="standard"/>
        <c:varyColors val="0"/>
        <c:ser>
          <c:idx val="0"/>
          <c:order val="0"/>
          <c:tx>
            <c:strRef>
              <c:f>'Sheet1 (2)'!$B$1</c:f>
              <c:strCache>
                <c:ptCount val="1"/>
                <c:pt idx="0">
                  <c:v>iNHL</c:v>
                </c:pt>
              </c:strCache>
            </c:strRef>
          </c:tx>
          <c:cat>
            <c:strRef>
              <c:f>'Sheet1 (2)'!$B$1</c:f>
              <c:strCache>
                <c:ptCount val="10"/>
                <c:pt idx="0">
                  <c:v>2016Q2</c:v>
                </c:pt>
                <c:pt idx="1">
                  <c:v>2016Q3</c:v>
                </c:pt>
                <c:pt idx="2">
                  <c:v>2016Q4</c:v>
                </c:pt>
                <c:pt idx="3">
                  <c:v>2017Q1</c:v>
                </c:pt>
                <c:pt idx="4">
                  <c:v>2017Q2</c:v>
                </c:pt>
                <c:pt idx="5">
                  <c:v>2017Q3</c:v>
                </c:pt>
                <c:pt idx="6">
                  <c:v>2017Q4</c:v>
                </c:pt>
                <c:pt idx="7">
                  <c:v>2018Q1</c:v>
                </c:pt>
                <c:pt idx="8">
                  <c:v>2018Q2</c:v>
                </c:pt>
                <c:pt idx="9">
                  <c:v>2018Q3</c:v>
                </c:pt>
              </c:strCache>
            </c:strRef>
          </c:cat>
          <c:val>
            <c:numRef>
              <c:f>'Sheet1 (2)'!$B$1</c:f>
              <c:numCache>
                <c:formatCode>General</c:formatCode>
                <c:ptCount val="10"/>
                <c:pt idx="0">
                  <c:v>394</c:v>
                </c:pt>
                <c:pt idx="1">
                  <c:v>1471</c:v>
                </c:pt>
                <c:pt idx="2">
                  <c:v>2070</c:v>
                </c:pt>
                <c:pt idx="3">
                  <c:v>2229</c:v>
                </c:pt>
                <c:pt idx="4">
                  <c:v>2336</c:v>
                </c:pt>
                <c:pt idx="5">
                  <c:v>2309</c:v>
                </c:pt>
                <c:pt idx="6">
                  <c:v>2332</c:v>
                </c:pt>
                <c:pt idx="7">
                  <c:v>2388</c:v>
                </c:pt>
                <c:pt idx="8">
                  <c:v>2341</c:v>
                </c:pt>
                <c:pt idx="9">
                  <c:v>2422</c:v>
                </c:pt>
              </c:numCache>
            </c:numRef>
          </c:val>
          <c:smooth val="0"/>
          <c:extLst>
            <c:ext xmlns:c16="http://schemas.microsoft.com/office/drawing/2014/chart" uri="{C3380CC4-5D6E-409C-BE32-E72D297353CC}">
              <c16:uniqueId val="{00000000-C7AA-4618-AF39-9AC12A61452C}"/>
            </c:ext>
          </c:extLst>
        </c:ser>
        <c:ser>
          <c:idx val="1"/>
          <c:order val="1"/>
          <c:tx>
            <c:strRef>
              <c:f>'Sheet1 (2)'!$B$1</c:f>
              <c:strCache>
                <c:ptCount val="1"/>
                <c:pt idx="0">
                  <c:v>MCL</c:v>
                </c:pt>
              </c:strCache>
            </c:strRef>
          </c:tx>
          <c:cat>
            <c:strRef>
              <c:f>'Sheet1 (2)'!$B$1</c:f>
              <c:strCache>
                <c:ptCount val="10"/>
                <c:pt idx="0">
                  <c:v>2016Q2</c:v>
                </c:pt>
                <c:pt idx="1">
                  <c:v>2016Q3</c:v>
                </c:pt>
                <c:pt idx="2">
                  <c:v>2016Q4</c:v>
                </c:pt>
                <c:pt idx="3">
                  <c:v>2017Q1</c:v>
                </c:pt>
                <c:pt idx="4">
                  <c:v>2017Q2</c:v>
                </c:pt>
                <c:pt idx="5">
                  <c:v>2017Q3</c:v>
                </c:pt>
                <c:pt idx="6">
                  <c:v>2017Q4</c:v>
                </c:pt>
                <c:pt idx="7">
                  <c:v>2018Q1</c:v>
                </c:pt>
                <c:pt idx="8">
                  <c:v>2018Q2</c:v>
                </c:pt>
                <c:pt idx="9">
                  <c:v>2018Q3</c:v>
                </c:pt>
              </c:strCache>
            </c:strRef>
          </c:cat>
          <c:val>
            <c:numRef>
              <c:f>'Sheet1 (2)'!$B$1</c:f>
              <c:numCache>
                <c:formatCode>General</c:formatCode>
                <c:ptCount val="10"/>
                <c:pt idx="0">
                  <c:v>87</c:v>
                </c:pt>
                <c:pt idx="1">
                  <c:v>347</c:v>
                </c:pt>
                <c:pt idx="2">
                  <c:v>442</c:v>
                </c:pt>
                <c:pt idx="3">
                  <c:v>380</c:v>
                </c:pt>
                <c:pt idx="4">
                  <c:v>404</c:v>
                </c:pt>
                <c:pt idx="5">
                  <c:v>367</c:v>
                </c:pt>
                <c:pt idx="6">
                  <c:v>368</c:v>
                </c:pt>
                <c:pt idx="7">
                  <c:v>322</c:v>
                </c:pt>
                <c:pt idx="8">
                  <c:v>306</c:v>
                </c:pt>
                <c:pt idx="9">
                  <c:v>404</c:v>
                </c:pt>
              </c:numCache>
            </c:numRef>
          </c:val>
          <c:smooth val="0"/>
          <c:extLst>
            <c:ext xmlns:c16="http://schemas.microsoft.com/office/drawing/2014/chart" uri="{C3380CC4-5D6E-409C-BE32-E72D297353CC}">
              <c16:uniqueId val="{00000001-C7AA-4618-AF39-9AC12A61452C}"/>
            </c:ext>
          </c:extLst>
        </c:ser>
        <c:dLbls>
          <c:showLegendKey val="0"/>
          <c:showVal val="0"/>
          <c:showCatName val="0"/>
          <c:showSerName val="0"/>
          <c:showPercent val="0"/>
          <c:showBubbleSize val="0"/>
        </c:dLbls>
        <c:marker val="1"/>
        <c:smooth val="0"/>
        <c:axId val="82707968"/>
        <c:axId val="82709888"/>
      </c:lineChart>
      <c:catAx>
        <c:axId val="82707968"/>
        <c:scaling>
          <c:orientation val="minMax"/>
        </c:scaling>
        <c:delete val="0"/>
        <c:axPos val="b"/>
        <c:title>
          <c:tx>
            <c:rich>
              <a:bodyPr/>
              <a:lstStyle/>
              <a:p>
                <a:pPr>
                  <a:defRPr b="0"/>
                </a:pPr>
                <a:r>
                  <a:rPr lang="en-US" b="0"/>
                  <a:t>Quarter of supply</a:t>
                </a:r>
              </a:p>
            </c:rich>
          </c:tx>
          <c:layout/>
          <c:overlay val="0"/>
        </c:title>
        <c:numFmt formatCode="General" sourceLinked="0"/>
        <c:majorTickMark val="none"/>
        <c:minorTickMark val="none"/>
        <c:tickLblPos val="nextTo"/>
        <c:crossAx val="82709888"/>
        <c:crosses val="autoZero"/>
        <c:auto val="1"/>
        <c:lblAlgn val="ctr"/>
        <c:lblOffset val="100"/>
        <c:noMultiLvlLbl val="0"/>
      </c:catAx>
      <c:valAx>
        <c:axId val="82709888"/>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82707968"/>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[D1106 - SCRIPTS_12MNTH_FREQ.xlsx]Sheet1 (2)!PivotTable2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s>
    <c:plotArea>
      <c:layout/>
      <c:lineChart>
        <c:grouping val="standard"/>
        <c:varyColors val="0"/>
        <c:ser>
          <c:idx val="0"/>
          <c:order val="0"/>
          <c:tx>
            <c:strRef>
              <c:f>'Sheet1 (2)'!$B$1:$B$2</c:f>
              <c:strCache>
                <c:ptCount val="1"/>
                <c:pt idx="0">
                  <c:v>iNHL</c:v>
                </c:pt>
              </c:strCache>
            </c:strRef>
          </c:tx>
          <c:marker>
            <c:symbol val="none"/>
          </c:marker>
          <c:cat>
            <c:strRef>
              <c:f>'Sheet1 (2)'!$A$3:$A$19</c:f>
              <c:strCach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&gt;= 16</c:v>
                </c:pt>
              </c:strCache>
            </c:strRef>
          </c:cat>
          <c:val>
            <c:numRef>
              <c:f>'Sheet1 (2)'!$B$3:$B$19</c:f>
              <c:numCache>
                <c:formatCode>0.00%</c:formatCode>
                <c:ptCount val="16"/>
                <c:pt idx="0">
                  <c:v>4.9916805324459234E-3</c:v>
                </c:pt>
                <c:pt idx="1">
                  <c:v>3.4109816971713808E-2</c:v>
                </c:pt>
                <c:pt idx="2">
                  <c:v>1.0815307820299502E-2</c:v>
                </c:pt>
                <c:pt idx="3">
                  <c:v>3.9933444259567387E-2</c:v>
                </c:pt>
                <c:pt idx="4">
                  <c:v>1.4143094841930116E-2</c:v>
                </c:pt>
                <c:pt idx="5">
                  <c:v>4.2429284525790346E-2</c:v>
                </c:pt>
                <c:pt idx="6">
                  <c:v>1.747088186356073E-2</c:v>
                </c:pt>
                <c:pt idx="7">
                  <c:v>6.4891846921797003E-2</c:v>
                </c:pt>
                <c:pt idx="8">
                  <c:v>2.329450915141431E-2</c:v>
                </c:pt>
                <c:pt idx="9">
                  <c:v>7.8202995008319467E-2</c:v>
                </c:pt>
                <c:pt idx="10">
                  <c:v>5.9068219633943431E-2</c:v>
                </c:pt>
                <c:pt idx="11">
                  <c:v>0.50748752079866888</c:v>
                </c:pt>
                <c:pt idx="12">
                  <c:v>4.4925124792013313E-2</c:v>
                </c:pt>
                <c:pt idx="13">
                  <c:v>3.0782029950083195E-2</c:v>
                </c:pt>
                <c:pt idx="14">
                  <c:v>9.1514143094841936E-3</c:v>
                </c:pt>
                <c:pt idx="15">
                  <c:v>1.8302828618968387E-2</c:v>
                </c:pt>
              </c:numCache>
            </c:numRef>
          </c:val>
          <c:smooth val="0"/>
          <c:extLst>
            <c:ext xmlns:c16="http://schemas.microsoft.com/office/drawing/2014/chart" uri="{C3380CC4-5D6E-409C-BE32-E72D297353CC}">
              <c16:uniqueId val="{00000000-3597-4894-BAEF-50CDFABB5649}"/>
            </c:ext>
          </c:extLst>
        </c:ser>
        <c:ser>
          <c:idx val="1"/>
          <c:order val="1"/>
          <c:tx>
            <c:strRef>
              <c:f>'Sheet1 (2)'!$C$1:$C$2</c:f>
              <c:strCache>
                <c:ptCount val="1"/>
                <c:pt idx="0">
                  <c:v>MCL</c:v>
                </c:pt>
              </c:strCache>
            </c:strRef>
          </c:tx>
          <c:marker>
            <c:symbol val="none"/>
          </c:marker>
          <c:cat>
            <c:strRef>
              <c:f>'Sheet1 (2)'!$A$3:$A$19</c:f>
              <c:strCach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&gt;= 16</c:v>
                </c:pt>
              </c:strCache>
            </c:strRef>
          </c:cat>
          <c:val>
            <c:numRef>
              <c:f>'Sheet1 (2)'!$C$3:$C$19</c:f>
              <c:numCache>
                <c:formatCode>0.00%</c:formatCode>
                <c:ptCount val="16"/>
                <c:pt idx="0">
                  <c:v>2.2321428571428572E-2</c:v>
                </c:pt>
                <c:pt idx="1">
                  <c:v>3.125E-2</c:v>
                </c:pt>
                <c:pt idx="2">
                  <c:v>8.9285714285714281E-3</c:v>
                </c:pt>
                <c:pt idx="3">
                  <c:v>4.0178571428571432E-2</c:v>
                </c:pt>
                <c:pt idx="4">
                  <c:v>2.6785714285714284E-2</c:v>
                </c:pt>
                <c:pt idx="5">
                  <c:v>4.9107142857142856E-2</c:v>
                </c:pt>
                <c:pt idx="6">
                  <c:v>1.3392857142857142E-2</c:v>
                </c:pt>
                <c:pt idx="7">
                  <c:v>4.4642857142857144E-2</c:v>
                </c:pt>
                <c:pt idx="8">
                  <c:v>2.6785714285714284E-2</c:v>
                </c:pt>
                <c:pt idx="9">
                  <c:v>7.1428571428571425E-2</c:v>
                </c:pt>
                <c:pt idx="10">
                  <c:v>7.1428571428571425E-2</c:v>
                </c:pt>
                <c:pt idx="11">
                  <c:v>0.47767857142857145</c:v>
                </c:pt>
                <c:pt idx="12">
                  <c:v>7.1428571428571425E-2</c:v>
                </c:pt>
                <c:pt idx="13">
                  <c:v>1.7857142857142856E-2</c:v>
                </c:pt>
                <c:pt idx="14">
                  <c:v>8.9285714285714281E-3</c:v>
                </c:pt>
                <c:pt idx="15">
                  <c:v>1.7857142857142856E-2</c:v>
                </c:pt>
              </c:numCache>
            </c:numRef>
          </c:val>
          <c:smooth val="0"/>
          <c:extLst>
            <c:ext xmlns:c16="http://schemas.microsoft.com/office/drawing/2014/chart" uri="{C3380CC4-5D6E-409C-BE32-E72D297353CC}">
              <c16:uniqueId val="{00000001-3597-4894-BAEF-50CDFABB5649}"/>
            </c:ext>
          </c:extLst>
        </c:ser>
        <c:dLbls>
          <c:showLegendKey val="0"/>
          <c:showVal val="0"/>
          <c:showCatName val="0"/>
          <c:showSerName val="0"/>
          <c:showPercent val="0"/>
          <c:showBubbleSize val="0"/>
        </c:dLbls>
        <c:smooth val="0"/>
        <c:axId val="82743296"/>
        <c:axId val="82745216"/>
      </c:lineChart>
      <c:catAx>
        <c:axId val="82743296"/>
        <c:scaling>
          <c:orientation val="minMax"/>
        </c:scaling>
        <c:delete val="0"/>
        <c:axPos val="b"/>
        <c:title>
          <c:tx>
            <c:rich>
              <a:bodyPr/>
              <a:lstStyle/>
              <a:p>
                <a:pPr>
                  <a:defRPr b="0"/>
                </a:pPr>
                <a:r>
                  <a:rPr lang="en-US" b="0"/>
                  <a:t>Number of prescriptions (infusions) in first 12 months of treatment </a:t>
                </a:r>
              </a:p>
            </c:rich>
          </c:tx>
          <c:layout/>
          <c:overlay val="0"/>
        </c:title>
        <c:numFmt formatCode="General" sourceLinked="0"/>
        <c:majorTickMark val="none"/>
        <c:minorTickMark val="none"/>
        <c:tickLblPos val="nextTo"/>
        <c:crossAx val="82745216"/>
        <c:crosses val="autoZero"/>
        <c:auto val="1"/>
        <c:lblAlgn val="ctr"/>
        <c:lblOffset val="100"/>
        <c:noMultiLvlLbl val="0"/>
      </c:catAx>
      <c:valAx>
        <c:axId val="82745216"/>
        <c:scaling>
          <c:orientation val="minMax"/>
        </c:scaling>
        <c:delete val="0"/>
        <c:axPos val="l"/>
        <c:majorGridlines/>
        <c:title>
          <c:tx>
            <c:rich>
              <a:bodyPr/>
              <a:lstStyle/>
              <a:p>
                <a:pPr>
                  <a:defRPr b="0"/>
                </a:pPr>
                <a:r>
                  <a:rPr lang="en-US" b="0"/>
                  <a:t>Patients (%)</a:t>
                </a:r>
              </a:p>
            </c:rich>
          </c:tx>
          <c:layout/>
          <c:overlay val="0"/>
        </c:title>
        <c:numFmt formatCode="0%" sourceLinked="0"/>
        <c:majorTickMark val="none"/>
        <c:minorTickMark val="none"/>
        <c:tickLblPos val="nextTo"/>
        <c:crossAx val="82743296"/>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[D1106 - AGE_DOSE_AVG.xlsx]Sheet1!PivotTable2</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marker>
          <c:symbol val="none"/>
        </c:marker>
      </c:pivotFmt>
      <c:pivotFmt>
        <c:idx val="11"/>
        <c:marker>
          <c:symbol val="none"/>
        </c:marker>
      </c:pivotFmt>
      <c:pivotFmt>
        <c:idx val="12"/>
        <c:marker>
          <c:symbol val="none"/>
        </c:marker>
      </c:pivotFmt>
      <c:pivotFmt>
        <c:idx val="13"/>
        <c:marker>
          <c:symbol val="none"/>
        </c:marker>
      </c:pivotFmt>
    </c:pivotFmts>
    <c:plotArea>
      <c:layout/>
      <c:barChart>
        <c:barDir val="col"/>
        <c:grouping val="clustered"/>
        <c:varyColors val="0"/>
        <c:ser>
          <c:idx val="0"/>
          <c:order val="0"/>
          <c:tx>
            <c:strRef>
              <c:f>Sheet1!$B$1:$B$2</c:f>
              <c:strCache>
                <c:ptCount val="1"/>
                <c:pt idx="0">
                  <c:v>iNHL</c:v>
                </c:pt>
              </c:strCache>
            </c:strRef>
          </c:tx>
          <c:invertIfNegative val="0"/>
          <c:cat>
            <c:strRef>
              <c:f>Sheet1!$A$3:$A$14</c:f>
              <c:strCache>
                <c:ptCount val="11"/>
                <c:pt idx="0">
                  <c:v>&lt;=44 yrs</c:v>
                </c:pt>
                <c:pt idx="1">
                  <c:v>45-49 yrs</c:v>
                </c:pt>
                <c:pt idx="2">
                  <c:v>50-54 yrs</c:v>
                </c:pt>
                <c:pt idx="3">
                  <c:v>55-59 yrs</c:v>
                </c:pt>
                <c:pt idx="4">
                  <c:v>60-64 yrs</c:v>
                </c:pt>
                <c:pt idx="5">
                  <c:v>65-69 yrs</c:v>
                </c:pt>
                <c:pt idx="6">
                  <c:v>70-74 yrs</c:v>
                </c:pt>
                <c:pt idx="7">
                  <c:v>75-79 yrs</c:v>
                </c:pt>
                <c:pt idx="8">
                  <c:v>80-84 yrs</c:v>
                </c:pt>
                <c:pt idx="9">
                  <c:v>85-89 yrs</c:v>
                </c:pt>
                <c:pt idx="10">
                  <c:v>&gt;=90 yrs</c:v>
                </c:pt>
              </c:strCache>
            </c:strRef>
          </c:cat>
          <c:val>
            <c:numRef>
              <c:f>Sheet1!$B$3:$B$14</c:f>
              <c:numCache>
                <c:formatCode>General</c:formatCode>
                <c:ptCount val="11"/>
                <c:pt idx="0">
                  <c:v>171.64014252000001</c:v>
                </c:pt>
                <c:pt idx="1">
                  <c:v>171.87373167999999</c:v>
                </c:pt>
                <c:pt idx="2">
                  <c:v>173.74839227999999</c:v>
                </c:pt>
                <c:pt idx="3">
                  <c:v>174.62915221</c:v>
                </c:pt>
                <c:pt idx="4">
                  <c:v>171.10492733000001</c:v>
                </c:pt>
                <c:pt idx="5">
                  <c:v>169.95323128999999</c:v>
                </c:pt>
                <c:pt idx="6">
                  <c:v>165.44097406</c:v>
                </c:pt>
                <c:pt idx="7">
                  <c:v>163.76033973</c:v>
                </c:pt>
                <c:pt idx="8">
                  <c:v>155.63598820000001</c:v>
                </c:pt>
                <c:pt idx="9">
                  <c:v>142.89055472000001</c:v>
                </c:pt>
                <c:pt idx="10">
                  <c:v>140.05714286</c:v>
                </c:pt>
              </c:numCache>
            </c:numRef>
          </c:val>
          <c:extLst>
            <c:ext xmlns:c16="http://schemas.microsoft.com/office/drawing/2014/chart" uri="{C3380CC4-5D6E-409C-BE32-E72D297353CC}">
              <c16:uniqueId val="{00000000-9013-4B02-AF86-131910D100A9}"/>
            </c:ext>
          </c:extLst>
        </c:ser>
        <c:ser>
          <c:idx val="1"/>
          <c:order val="1"/>
          <c:tx>
            <c:strRef>
              <c:f>Sheet1!$C$1:$C$2</c:f>
              <c:strCache>
                <c:ptCount val="1"/>
                <c:pt idx="0">
                  <c:v>MCL</c:v>
                </c:pt>
              </c:strCache>
            </c:strRef>
          </c:tx>
          <c:invertIfNegative val="0"/>
          <c:cat>
            <c:strRef>
              <c:f>Sheet1!$A$3:$A$14</c:f>
              <c:strCache>
                <c:ptCount val="11"/>
                <c:pt idx="0">
                  <c:v>&lt;=44 yrs</c:v>
                </c:pt>
                <c:pt idx="1">
                  <c:v>45-49 yrs</c:v>
                </c:pt>
                <c:pt idx="2">
                  <c:v>50-54 yrs</c:v>
                </c:pt>
                <c:pt idx="3">
                  <c:v>55-59 yrs</c:v>
                </c:pt>
                <c:pt idx="4">
                  <c:v>60-64 yrs</c:v>
                </c:pt>
                <c:pt idx="5">
                  <c:v>65-69 yrs</c:v>
                </c:pt>
                <c:pt idx="6">
                  <c:v>70-74 yrs</c:v>
                </c:pt>
                <c:pt idx="7">
                  <c:v>75-79 yrs</c:v>
                </c:pt>
                <c:pt idx="8">
                  <c:v>80-84 yrs</c:v>
                </c:pt>
                <c:pt idx="9">
                  <c:v>85-89 yrs</c:v>
                </c:pt>
                <c:pt idx="10">
                  <c:v>&gt;=90 yrs</c:v>
                </c:pt>
              </c:strCache>
            </c:strRef>
          </c:cat>
          <c:val>
            <c:numRef>
              <c:f>Sheet1!$C$3:$C$14</c:f>
              <c:numCache>
                <c:formatCode>General</c:formatCode>
                <c:ptCount val="11"/>
                <c:pt idx="0">
                  <c:v>175.40909091</c:v>
                </c:pt>
                <c:pt idx="1">
                  <c:v>190.66666667000001</c:v>
                </c:pt>
                <c:pt idx="2">
                  <c:v>179.82706766999999</c:v>
                </c:pt>
                <c:pt idx="3">
                  <c:v>180.60818713</c:v>
                </c:pt>
                <c:pt idx="4">
                  <c:v>172.65349544</c:v>
                </c:pt>
                <c:pt idx="5">
                  <c:v>164.67613635999999</c:v>
                </c:pt>
                <c:pt idx="6">
                  <c:v>170.79699248</c:v>
                </c:pt>
                <c:pt idx="7">
                  <c:v>169.32920110000001</c:v>
                </c:pt>
                <c:pt idx="8">
                  <c:v>157.32188841000001</c:v>
                </c:pt>
                <c:pt idx="9">
                  <c:v>149.46889952000001</c:v>
                </c:pt>
                <c:pt idx="10">
                  <c:v>138.38596491000001</c:v>
                </c:pt>
              </c:numCache>
            </c:numRef>
          </c:val>
          <c:extLst>
            <c:ext xmlns:c16="http://schemas.microsoft.com/office/drawing/2014/chart" uri="{C3380CC4-5D6E-409C-BE32-E72D297353CC}">
              <c16:uniqueId val="{00000001-9013-4B02-AF86-131910D100A9}"/>
            </c:ext>
          </c:extLst>
        </c:ser>
        <c:dLbls>
          <c:showLegendKey val="0"/>
          <c:showVal val="0"/>
          <c:showCatName val="0"/>
          <c:showSerName val="0"/>
          <c:showPercent val="0"/>
          <c:showBubbleSize val="0"/>
        </c:dLbls>
        <c:gapWidth val="150"/>
        <c:axId val="82759040"/>
        <c:axId val="82928768"/>
      </c:barChart>
      <c:catAx>
        <c:axId val="82759040"/>
        <c:scaling>
          <c:orientation val="minMax"/>
        </c:scaling>
        <c:delete val="0"/>
        <c:axPos val="b"/>
        <c:numFmt formatCode="General" sourceLinked="0"/>
        <c:majorTickMark val="out"/>
        <c:minorTickMark val="none"/>
        <c:tickLblPos val="nextTo"/>
        <c:crossAx val="82928768"/>
        <c:crosses val="autoZero"/>
        <c:auto val="1"/>
        <c:lblAlgn val="ctr"/>
        <c:lblOffset val="100"/>
        <c:noMultiLvlLbl val="0"/>
      </c:catAx>
      <c:valAx>
        <c:axId val="82928768"/>
        <c:scaling>
          <c:orientation val="minMax"/>
          <c:max val="200"/>
        </c:scaling>
        <c:delete val="0"/>
        <c:axPos val="l"/>
        <c:majorGridlines/>
        <c:title>
          <c:tx>
            <c:rich>
              <a:bodyPr rot="-5400000" vert="horz"/>
              <a:lstStyle/>
              <a:p>
                <a:pPr>
                  <a:defRPr b="0"/>
                </a:pPr>
                <a:r>
                  <a:rPr lang="en-US" b="0"/>
                  <a:t>Mean dose per infusion (mg)</a:t>
                </a:r>
              </a:p>
            </c:rich>
          </c:tx>
          <c:layout/>
          <c:overlay val="0"/>
        </c:title>
        <c:numFmt formatCode="General" sourceLinked="1"/>
        <c:majorTickMark val="out"/>
        <c:minorTickMark val="none"/>
        <c:tickLblPos val="nextTo"/>
        <c:crossAx val="82759040"/>
        <c:crosses val="autoZero"/>
        <c:crossBetween val="between"/>
      </c:valAx>
    </c:plotArea>
    <c:legend>
      <c:legendPos val="r"/>
      <c:layout/>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[D1106 - SCRIPTS_AVG, combined age grps.xlsx]Sheet1!PivotTable3</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s>
    <c:plotArea>
      <c:layout/>
      <c:barChart>
        <c:barDir val="col"/>
        <c:grouping val="clustered"/>
        <c:varyColors val="0"/>
        <c:ser>
          <c:idx val="0"/>
          <c:order val="0"/>
          <c:tx>
            <c:strRef>
              <c:f>Sheet1!$B$1:$B$2</c:f>
              <c:strCache>
                <c:ptCount val="1"/>
                <c:pt idx="0">
                  <c:v>iNHL</c:v>
                </c:pt>
              </c:strCache>
            </c:strRef>
          </c:tx>
          <c:invertIfNegative val="0"/>
          <c:cat>
            <c:strRef>
              <c:f>Sheet1!$A$3:$A$11</c:f>
              <c:strCache>
                <c:ptCount val="8"/>
                <c:pt idx="0">
                  <c:v>&lt;=54 yrs</c:v>
                </c:pt>
                <c:pt idx="1">
                  <c:v>55-59 yrs</c:v>
                </c:pt>
                <c:pt idx="2">
                  <c:v>60-64 yrs</c:v>
                </c:pt>
                <c:pt idx="3">
                  <c:v>65-69 yrs</c:v>
                </c:pt>
                <c:pt idx="4">
                  <c:v>70-74 yrs</c:v>
                </c:pt>
                <c:pt idx="5">
                  <c:v>75-79 yrs</c:v>
                </c:pt>
                <c:pt idx="6">
                  <c:v>80-84 yrs</c:v>
                </c:pt>
                <c:pt idx="7">
                  <c:v>&gt;=85 yrs</c:v>
                </c:pt>
              </c:strCache>
            </c:strRef>
          </c:cat>
          <c:val>
            <c:numRef>
              <c:f>Sheet1!$B$3:$B$11</c:f>
              <c:numCache>
                <c:formatCode>0.00</c:formatCode>
                <c:ptCount val="8"/>
                <c:pt idx="0">
                  <c:v>10.978609625668449</c:v>
                </c:pt>
                <c:pt idx="1">
                  <c:v>11.153846153846153</c:v>
                </c:pt>
                <c:pt idx="2">
                  <c:v>11.011976047904191</c:v>
                </c:pt>
                <c:pt idx="3">
                  <c:v>10.712264150943396</c:v>
                </c:pt>
                <c:pt idx="4">
                  <c:v>9.9772727272727266</c:v>
                </c:pt>
                <c:pt idx="5">
                  <c:v>9.9144736842105257</c:v>
                </c:pt>
                <c:pt idx="6">
                  <c:v>9.7113402061855663</c:v>
                </c:pt>
                <c:pt idx="7">
                  <c:v>9.3000000000000007</c:v>
                </c:pt>
              </c:numCache>
            </c:numRef>
          </c:val>
          <c:extLst>
            <c:ext xmlns:c16="http://schemas.microsoft.com/office/drawing/2014/chart" uri="{C3380CC4-5D6E-409C-BE32-E72D297353CC}">
              <c16:uniqueId val="{00000000-6F7A-409F-8C62-5B2C4AB153B8}"/>
            </c:ext>
          </c:extLst>
        </c:ser>
        <c:ser>
          <c:idx val="1"/>
          <c:order val="1"/>
          <c:tx>
            <c:strRef>
              <c:f>Sheet1!$C$1:$C$2</c:f>
              <c:strCache>
                <c:ptCount val="1"/>
                <c:pt idx="0">
                  <c:v>MCL</c:v>
                </c:pt>
              </c:strCache>
            </c:strRef>
          </c:tx>
          <c:invertIfNegative val="0"/>
          <c:cat>
            <c:strRef>
              <c:f>Sheet1!$A$3:$A$11</c:f>
              <c:strCache>
                <c:ptCount val="8"/>
                <c:pt idx="0">
                  <c:v>&lt;=54 yrs</c:v>
                </c:pt>
                <c:pt idx="1">
                  <c:v>55-59 yrs</c:v>
                </c:pt>
                <c:pt idx="2">
                  <c:v>60-64 yrs</c:v>
                </c:pt>
                <c:pt idx="3">
                  <c:v>65-69 yrs</c:v>
                </c:pt>
                <c:pt idx="4">
                  <c:v>70-74 yrs</c:v>
                </c:pt>
                <c:pt idx="5">
                  <c:v>75-79 yrs</c:v>
                </c:pt>
                <c:pt idx="6">
                  <c:v>80-84 yrs</c:v>
                </c:pt>
                <c:pt idx="7">
                  <c:v>&gt;=85 yrs</c:v>
                </c:pt>
              </c:strCache>
            </c:strRef>
          </c:cat>
          <c:val>
            <c:numRef>
              <c:f>Sheet1!$C$3:$C$11</c:f>
              <c:numCache>
                <c:formatCode>0.00</c:formatCode>
                <c:ptCount val="8"/>
                <c:pt idx="0">
                  <c:v>10.888888888888889</c:v>
                </c:pt>
                <c:pt idx="1">
                  <c:v>9.9166666666666661</c:v>
                </c:pt>
                <c:pt idx="2">
                  <c:v>10.045454545454545</c:v>
                </c:pt>
                <c:pt idx="3">
                  <c:v>11.580645161290322</c:v>
                </c:pt>
                <c:pt idx="4">
                  <c:v>9.6097560975609753</c:v>
                </c:pt>
                <c:pt idx="5">
                  <c:v>10.68</c:v>
                </c:pt>
                <c:pt idx="6">
                  <c:v>9.8333333333333339</c:v>
                </c:pt>
                <c:pt idx="7">
                  <c:v>8.4285714285714288</c:v>
                </c:pt>
              </c:numCache>
            </c:numRef>
          </c:val>
          <c:extLst>
            <c:ext xmlns:c16="http://schemas.microsoft.com/office/drawing/2014/chart" uri="{C3380CC4-5D6E-409C-BE32-E72D297353CC}">
              <c16:uniqueId val="{00000001-6F7A-409F-8C62-5B2C4AB153B8}"/>
            </c:ext>
          </c:extLst>
        </c:ser>
        <c:dLbls>
          <c:showLegendKey val="0"/>
          <c:showVal val="0"/>
          <c:showCatName val="0"/>
          <c:showSerName val="0"/>
          <c:showPercent val="0"/>
          <c:showBubbleSize val="0"/>
        </c:dLbls>
        <c:gapWidth val="150"/>
        <c:axId val="154077440"/>
        <c:axId val="154108288"/>
      </c:barChart>
      <c:catAx>
        <c:axId val="154077440"/>
        <c:scaling>
          <c:orientation val="minMax"/>
        </c:scaling>
        <c:delete val="0"/>
        <c:axPos val="b"/>
        <c:title>
          <c:tx>
            <c:rich>
              <a:bodyPr/>
              <a:lstStyle/>
              <a:p>
                <a:pPr>
                  <a:defRPr b="0"/>
                </a:pPr>
                <a:r>
                  <a:rPr lang="en-US" b="0"/>
                  <a:t>Age at initiation</a:t>
                </a:r>
              </a:p>
            </c:rich>
          </c:tx>
          <c:layout/>
          <c:overlay val="0"/>
        </c:title>
        <c:numFmt formatCode="General" sourceLinked="0"/>
        <c:majorTickMark val="out"/>
        <c:minorTickMark val="none"/>
        <c:tickLblPos val="nextTo"/>
        <c:crossAx val="154108288"/>
        <c:crosses val="autoZero"/>
        <c:auto val="1"/>
        <c:lblAlgn val="ctr"/>
        <c:lblOffset val="100"/>
        <c:noMultiLvlLbl val="0"/>
      </c:catAx>
      <c:valAx>
        <c:axId val="154108288"/>
        <c:scaling>
          <c:orientation val="minMax"/>
          <c:max val="12"/>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effectLst/>
                  </a:rPr>
                  <a:t>Mean number of prescriptions (infusions) in first 12 months of treatment </a:t>
                </a:r>
                <a:endParaRPr lang="en-AU" sz="1000">
                  <a:effectLst/>
                </a:endParaRPr>
              </a:p>
            </c:rich>
          </c:tx>
          <c:layout/>
          <c:overlay val="0"/>
        </c:title>
        <c:numFmt formatCode="0" sourceLinked="0"/>
        <c:majorTickMark val="out"/>
        <c:minorTickMark val="none"/>
        <c:tickLblPos val="nextTo"/>
        <c:crossAx val="154077440"/>
        <c:crosses val="autoZero"/>
        <c:crossBetween val="between"/>
      </c:valAx>
    </c:plotArea>
    <c:legend>
      <c:legendPos val="r"/>
      <c:layout/>
      <c:overlay val="0"/>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7728394367138"/>
          <c:y val="2.108778396978659E-2"/>
          <c:w val="0.8858646604643885"/>
          <c:h val="0.86760973448214762"/>
        </c:manualLayout>
      </c:layout>
      <c:lineChart>
        <c:grouping val="standard"/>
        <c:varyColors val="0"/>
        <c:ser>
          <c:idx val="0"/>
          <c:order val="0"/>
          <c:tx>
            <c:strRef>
              <c:f>'Sheet1 (3)'!$E$2</c:f>
              <c:strCache>
                <c:ptCount val="1"/>
                <c:pt idx="0">
                  <c:v>Total</c:v>
                </c:pt>
              </c:strCache>
            </c:strRef>
          </c:tx>
          <c:marker>
            <c:symbol val="none"/>
          </c:marker>
          <c:cat>
            <c:numRef>
              <c:f>'Sheet1 (3)'!$D$3:$D$158</c:f>
              <c:numCache>
                <c:formatCode>General</c:formatCode>
                <c:ptCount val="156"/>
                <c:pt idx="0">
                  <c:v>-105</c:v>
                </c:pt>
                <c:pt idx="1">
                  <c:v>-104</c:v>
                </c:pt>
                <c:pt idx="2">
                  <c:v>-103</c:v>
                </c:pt>
                <c:pt idx="3">
                  <c:v>-102</c:v>
                </c:pt>
                <c:pt idx="4">
                  <c:v>-101</c:v>
                </c:pt>
                <c:pt idx="5">
                  <c:v>-100</c:v>
                </c:pt>
                <c:pt idx="6">
                  <c:v>-99</c:v>
                </c:pt>
                <c:pt idx="7">
                  <c:v>-98</c:v>
                </c:pt>
                <c:pt idx="8">
                  <c:v>-97</c:v>
                </c:pt>
                <c:pt idx="9">
                  <c:v>-96</c:v>
                </c:pt>
                <c:pt idx="10">
                  <c:v>-95</c:v>
                </c:pt>
                <c:pt idx="11">
                  <c:v>-94</c:v>
                </c:pt>
                <c:pt idx="12">
                  <c:v>-93</c:v>
                </c:pt>
                <c:pt idx="13">
                  <c:v>-92</c:v>
                </c:pt>
                <c:pt idx="14">
                  <c:v>-91</c:v>
                </c:pt>
                <c:pt idx="15">
                  <c:v>-90</c:v>
                </c:pt>
                <c:pt idx="16">
                  <c:v>-89</c:v>
                </c:pt>
                <c:pt idx="17">
                  <c:v>-88</c:v>
                </c:pt>
                <c:pt idx="18">
                  <c:v>-87</c:v>
                </c:pt>
                <c:pt idx="19">
                  <c:v>-86</c:v>
                </c:pt>
                <c:pt idx="20">
                  <c:v>-85</c:v>
                </c:pt>
                <c:pt idx="21">
                  <c:v>-84</c:v>
                </c:pt>
                <c:pt idx="22">
                  <c:v>-83</c:v>
                </c:pt>
                <c:pt idx="23">
                  <c:v>-82</c:v>
                </c:pt>
                <c:pt idx="24">
                  <c:v>-81</c:v>
                </c:pt>
                <c:pt idx="25">
                  <c:v>-80</c:v>
                </c:pt>
                <c:pt idx="26">
                  <c:v>-79</c:v>
                </c:pt>
                <c:pt idx="27">
                  <c:v>-78</c:v>
                </c:pt>
                <c:pt idx="28">
                  <c:v>-77</c:v>
                </c:pt>
                <c:pt idx="29">
                  <c:v>-76</c:v>
                </c:pt>
                <c:pt idx="30">
                  <c:v>-75</c:v>
                </c:pt>
                <c:pt idx="31">
                  <c:v>-74</c:v>
                </c:pt>
                <c:pt idx="32">
                  <c:v>-73</c:v>
                </c:pt>
                <c:pt idx="33">
                  <c:v>-72</c:v>
                </c:pt>
                <c:pt idx="34">
                  <c:v>-71</c:v>
                </c:pt>
                <c:pt idx="35">
                  <c:v>-70</c:v>
                </c:pt>
                <c:pt idx="36">
                  <c:v>-69</c:v>
                </c:pt>
                <c:pt idx="37">
                  <c:v>-68</c:v>
                </c:pt>
                <c:pt idx="38">
                  <c:v>-67</c:v>
                </c:pt>
                <c:pt idx="39">
                  <c:v>-66</c:v>
                </c:pt>
                <c:pt idx="40">
                  <c:v>-65</c:v>
                </c:pt>
                <c:pt idx="41">
                  <c:v>-64</c:v>
                </c:pt>
                <c:pt idx="42">
                  <c:v>-63</c:v>
                </c:pt>
                <c:pt idx="43">
                  <c:v>-62</c:v>
                </c:pt>
                <c:pt idx="44">
                  <c:v>-61</c:v>
                </c:pt>
                <c:pt idx="45">
                  <c:v>-60</c:v>
                </c:pt>
                <c:pt idx="46">
                  <c:v>-59</c:v>
                </c:pt>
                <c:pt idx="47">
                  <c:v>-58</c:v>
                </c:pt>
                <c:pt idx="48">
                  <c:v>-57</c:v>
                </c:pt>
                <c:pt idx="49">
                  <c:v>-56</c:v>
                </c:pt>
                <c:pt idx="50">
                  <c:v>-55</c:v>
                </c:pt>
                <c:pt idx="51">
                  <c:v>-54</c:v>
                </c:pt>
                <c:pt idx="52">
                  <c:v>-53</c:v>
                </c:pt>
                <c:pt idx="53">
                  <c:v>-52</c:v>
                </c:pt>
                <c:pt idx="54">
                  <c:v>-51</c:v>
                </c:pt>
                <c:pt idx="55">
                  <c:v>-50</c:v>
                </c:pt>
                <c:pt idx="56">
                  <c:v>-49</c:v>
                </c:pt>
                <c:pt idx="57">
                  <c:v>-48</c:v>
                </c:pt>
                <c:pt idx="58">
                  <c:v>-47</c:v>
                </c:pt>
                <c:pt idx="59">
                  <c:v>-46</c:v>
                </c:pt>
                <c:pt idx="60">
                  <c:v>-45</c:v>
                </c:pt>
                <c:pt idx="61">
                  <c:v>-44</c:v>
                </c:pt>
                <c:pt idx="62">
                  <c:v>-43</c:v>
                </c:pt>
                <c:pt idx="63">
                  <c:v>-42</c:v>
                </c:pt>
                <c:pt idx="64">
                  <c:v>-41</c:v>
                </c:pt>
                <c:pt idx="65">
                  <c:v>-40</c:v>
                </c:pt>
                <c:pt idx="66">
                  <c:v>-39</c:v>
                </c:pt>
                <c:pt idx="67">
                  <c:v>-38</c:v>
                </c:pt>
                <c:pt idx="68">
                  <c:v>-37</c:v>
                </c:pt>
                <c:pt idx="69">
                  <c:v>-36</c:v>
                </c:pt>
                <c:pt idx="70">
                  <c:v>-35</c:v>
                </c:pt>
                <c:pt idx="71">
                  <c:v>-34</c:v>
                </c:pt>
                <c:pt idx="72">
                  <c:v>-33</c:v>
                </c:pt>
                <c:pt idx="73">
                  <c:v>-32</c:v>
                </c:pt>
                <c:pt idx="74">
                  <c:v>-31</c:v>
                </c:pt>
                <c:pt idx="75">
                  <c:v>-30</c:v>
                </c:pt>
                <c:pt idx="76">
                  <c:v>-29</c:v>
                </c:pt>
                <c:pt idx="77">
                  <c:v>-28</c:v>
                </c:pt>
                <c:pt idx="78">
                  <c:v>-26</c:v>
                </c:pt>
                <c:pt idx="79">
                  <c:v>-25</c:v>
                </c:pt>
                <c:pt idx="80">
                  <c:v>-24</c:v>
                </c:pt>
                <c:pt idx="81">
                  <c:v>-23</c:v>
                </c:pt>
                <c:pt idx="82">
                  <c:v>-22</c:v>
                </c:pt>
                <c:pt idx="83">
                  <c:v>-21</c:v>
                </c:pt>
                <c:pt idx="84">
                  <c:v>-20</c:v>
                </c:pt>
                <c:pt idx="85">
                  <c:v>-19</c:v>
                </c:pt>
                <c:pt idx="86">
                  <c:v>-18</c:v>
                </c:pt>
                <c:pt idx="87">
                  <c:v>-17</c:v>
                </c:pt>
                <c:pt idx="88">
                  <c:v>-16</c:v>
                </c:pt>
                <c:pt idx="89">
                  <c:v>-15</c:v>
                </c:pt>
                <c:pt idx="90">
                  <c:v>-14</c:v>
                </c:pt>
                <c:pt idx="91">
                  <c:v>-13</c:v>
                </c:pt>
                <c:pt idx="92">
                  <c:v>-12</c:v>
                </c:pt>
                <c:pt idx="93">
                  <c:v>-11</c:v>
                </c:pt>
                <c:pt idx="94">
                  <c:v>-10</c:v>
                </c:pt>
                <c:pt idx="95">
                  <c:v>-9</c:v>
                </c:pt>
                <c:pt idx="96">
                  <c:v>-8</c:v>
                </c:pt>
                <c:pt idx="97">
                  <c:v>-7</c:v>
                </c:pt>
                <c:pt idx="98">
                  <c:v>-6</c:v>
                </c:pt>
                <c:pt idx="99">
                  <c:v>-5</c:v>
                </c:pt>
                <c:pt idx="100">
                  <c:v>-4</c:v>
                </c:pt>
                <c:pt idx="101">
                  <c:v>-3</c:v>
                </c:pt>
                <c:pt idx="102">
                  <c:v>-2</c:v>
                </c:pt>
                <c:pt idx="103">
                  <c:v>-1</c:v>
                </c:pt>
                <c:pt idx="104">
                  <c:v>1</c:v>
                </c:pt>
                <c:pt idx="105">
                  <c:v>2</c:v>
                </c:pt>
                <c:pt idx="106">
                  <c:v>3</c:v>
                </c:pt>
                <c:pt idx="107">
                  <c:v>4</c:v>
                </c:pt>
                <c:pt idx="108">
                  <c:v>5</c:v>
                </c:pt>
                <c:pt idx="109">
                  <c:v>6</c:v>
                </c:pt>
                <c:pt idx="110">
                  <c:v>7</c:v>
                </c:pt>
                <c:pt idx="111">
                  <c:v>8</c:v>
                </c:pt>
                <c:pt idx="112">
                  <c:v>9</c:v>
                </c:pt>
                <c:pt idx="113">
                  <c:v>10</c:v>
                </c:pt>
                <c:pt idx="114">
                  <c:v>11</c:v>
                </c:pt>
                <c:pt idx="115">
                  <c:v>12</c:v>
                </c:pt>
                <c:pt idx="116">
                  <c:v>13</c:v>
                </c:pt>
                <c:pt idx="117">
                  <c:v>14</c:v>
                </c:pt>
                <c:pt idx="118">
                  <c:v>15</c:v>
                </c:pt>
                <c:pt idx="119">
                  <c:v>16</c:v>
                </c:pt>
                <c:pt idx="120">
                  <c:v>17</c:v>
                </c:pt>
                <c:pt idx="121">
                  <c:v>18</c:v>
                </c:pt>
                <c:pt idx="122">
                  <c:v>19</c:v>
                </c:pt>
                <c:pt idx="123">
                  <c:v>20</c:v>
                </c:pt>
                <c:pt idx="124">
                  <c:v>21</c:v>
                </c:pt>
                <c:pt idx="125">
                  <c:v>22</c:v>
                </c:pt>
                <c:pt idx="126">
                  <c:v>23</c:v>
                </c:pt>
                <c:pt idx="127">
                  <c:v>24</c:v>
                </c:pt>
                <c:pt idx="128">
                  <c:v>25</c:v>
                </c:pt>
                <c:pt idx="129">
                  <c:v>26</c:v>
                </c:pt>
                <c:pt idx="130">
                  <c:v>27</c:v>
                </c:pt>
                <c:pt idx="131">
                  <c:v>28</c:v>
                </c:pt>
                <c:pt idx="132">
                  <c:v>29</c:v>
                </c:pt>
                <c:pt idx="133">
                  <c:v>30</c:v>
                </c:pt>
                <c:pt idx="134">
                  <c:v>31</c:v>
                </c:pt>
                <c:pt idx="135">
                  <c:v>32</c:v>
                </c:pt>
                <c:pt idx="136">
                  <c:v>33</c:v>
                </c:pt>
                <c:pt idx="137">
                  <c:v>34</c:v>
                </c:pt>
                <c:pt idx="138">
                  <c:v>35</c:v>
                </c:pt>
                <c:pt idx="139">
                  <c:v>36</c:v>
                </c:pt>
                <c:pt idx="140">
                  <c:v>37</c:v>
                </c:pt>
                <c:pt idx="141">
                  <c:v>38</c:v>
                </c:pt>
                <c:pt idx="142">
                  <c:v>39</c:v>
                </c:pt>
                <c:pt idx="143">
                  <c:v>40</c:v>
                </c:pt>
                <c:pt idx="144">
                  <c:v>41</c:v>
                </c:pt>
                <c:pt idx="145">
                  <c:v>42</c:v>
                </c:pt>
                <c:pt idx="146">
                  <c:v>43</c:v>
                </c:pt>
                <c:pt idx="147">
                  <c:v>44</c:v>
                </c:pt>
                <c:pt idx="148">
                  <c:v>45</c:v>
                </c:pt>
                <c:pt idx="149">
                  <c:v>46</c:v>
                </c:pt>
                <c:pt idx="150">
                  <c:v>47</c:v>
                </c:pt>
                <c:pt idx="151">
                  <c:v>48</c:v>
                </c:pt>
                <c:pt idx="152">
                  <c:v>49</c:v>
                </c:pt>
                <c:pt idx="153">
                  <c:v>50</c:v>
                </c:pt>
                <c:pt idx="154">
                  <c:v>51</c:v>
                </c:pt>
                <c:pt idx="155">
                  <c:v>52</c:v>
                </c:pt>
              </c:numCache>
            </c:numRef>
          </c:cat>
          <c:val>
            <c:numRef>
              <c:f>'Sheet1 (3)'!$E$3:$E$158</c:f>
              <c:numCache>
                <c:formatCode>General</c:formatCode>
                <c:ptCount val="156"/>
                <c:pt idx="0">
                  <c:v>5</c:v>
                </c:pt>
                <c:pt idx="1">
                  <c:v>5</c:v>
                </c:pt>
                <c:pt idx="2">
                  <c:v>5</c:v>
                </c:pt>
                <c:pt idx="3">
                  <c:v>5</c:v>
                </c:pt>
                <c:pt idx="4">
                  <c:v>5</c:v>
                </c:pt>
                <c:pt idx="5">
                  <c:v>5</c:v>
                </c:pt>
                <c:pt idx="6">
                  <c:v>5</c:v>
                </c:pt>
                <c:pt idx="7">
                  <c:v>5</c:v>
                </c:pt>
                <c:pt idx="8">
                  <c:v>5</c:v>
                </c:pt>
                <c:pt idx="9">
                  <c:v>5</c:v>
                </c:pt>
                <c:pt idx="10">
                  <c:v>8</c:v>
                </c:pt>
                <c:pt idx="11">
                  <c:v>5</c:v>
                </c:pt>
                <c:pt idx="12">
                  <c:v>8</c:v>
                </c:pt>
                <c:pt idx="13">
                  <c:v>7</c:v>
                </c:pt>
                <c:pt idx="14">
                  <c:v>7</c:v>
                </c:pt>
                <c:pt idx="15">
                  <c:v>6</c:v>
                </c:pt>
                <c:pt idx="16">
                  <c:v>5</c:v>
                </c:pt>
                <c:pt idx="17">
                  <c:v>5</c:v>
                </c:pt>
                <c:pt idx="18">
                  <c:v>5</c:v>
                </c:pt>
                <c:pt idx="19">
                  <c:v>5</c:v>
                </c:pt>
                <c:pt idx="20">
                  <c:v>5</c:v>
                </c:pt>
                <c:pt idx="21">
                  <c:v>8</c:v>
                </c:pt>
                <c:pt idx="22">
                  <c:v>5</c:v>
                </c:pt>
                <c:pt idx="23">
                  <c:v>5</c:v>
                </c:pt>
                <c:pt idx="24">
                  <c:v>5</c:v>
                </c:pt>
                <c:pt idx="25">
                  <c:v>5</c:v>
                </c:pt>
                <c:pt idx="26">
                  <c:v>5</c:v>
                </c:pt>
                <c:pt idx="27">
                  <c:v>8</c:v>
                </c:pt>
                <c:pt idx="28">
                  <c:v>5</c:v>
                </c:pt>
                <c:pt idx="29">
                  <c:v>5</c:v>
                </c:pt>
                <c:pt idx="30">
                  <c:v>5</c:v>
                </c:pt>
                <c:pt idx="31">
                  <c:v>5</c:v>
                </c:pt>
                <c:pt idx="32">
                  <c:v>5</c:v>
                </c:pt>
                <c:pt idx="33">
                  <c:v>5</c:v>
                </c:pt>
                <c:pt idx="34">
                  <c:v>5</c:v>
                </c:pt>
                <c:pt idx="35">
                  <c:v>5</c:v>
                </c:pt>
                <c:pt idx="36">
                  <c:v>5</c:v>
                </c:pt>
                <c:pt idx="37">
                  <c:v>8</c:v>
                </c:pt>
                <c:pt idx="38">
                  <c:v>9</c:v>
                </c:pt>
                <c:pt idx="39">
                  <c:v>5</c:v>
                </c:pt>
                <c:pt idx="40">
                  <c:v>5</c:v>
                </c:pt>
                <c:pt idx="41">
                  <c:v>7</c:v>
                </c:pt>
                <c:pt idx="42">
                  <c:v>5</c:v>
                </c:pt>
                <c:pt idx="43">
                  <c:v>5</c:v>
                </c:pt>
                <c:pt idx="44">
                  <c:v>5</c:v>
                </c:pt>
                <c:pt idx="45">
                  <c:v>5</c:v>
                </c:pt>
                <c:pt idx="46">
                  <c:v>5</c:v>
                </c:pt>
                <c:pt idx="47">
                  <c:v>5</c:v>
                </c:pt>
                <c:pt idx="48">
                  <c:v>5</c:v>
                </c:pt>
                <c:pt idx="49">
                  <c:v>5</c:v>
                </c:pt>
                <c:pt idx="50">
                  <c:v>5</c:v>
                </c:pt>
                <c:pt idx="51">
                  <c:v>5</c:v>
                </c:pt>
                <c:pt idx="52">
                  <c:v>5</c:v>
                </c:pt>
                <c:pt idx="53">
                  <c:v>5</c:v>
                </c:pt>
                <c:pt idx="54">
                  <c:v>5</c:v>
                </c:pt>
                <c:pt idx="55">
                  <c:v>5</c:v>
                </c:pt>
                <c:pt idx="56">
                  <c:v>5</c:v>
                </c:pt>
                <c:pt idx="57">
                  <c:v>5</c:v>
                </c:pt>
                <c:pt idx="58">
                  <c:v>8</c:v>
                </c:pt>
                <c:pt idx="59">
                  <c:v>7</c:v>
                </c:pt>
                <c:pt idx="60">
                  <c:v>5</c:v>
                </c:pt>
                <c:pt idx="61">
                  <c:v>5</c:v>
                </c:pt>
                <c:pt idx="62">
                  <c:v>5</c:v>
                </c:pt>
                <c:pt idx="63">
                  <c:v>8</c:v>
                </c:pt>
                <c:pt idx="64">
                  <c:v>5</c:v>
                </c:pt>
                <c:pt idx="65">
                  <c:v>5</c:v>
                </c:pt>
                <c:pt idx="66">
                  <c:v>5</c:v>
                </c:pt>
                <c:pt idx="67">
                  <c:v>5</c:v>
                </c:pt>
                <c:pt idx="68">
                  <c:v>5</c:v>
                </c:pt>
                <c:pt idx="69">
                  <c:v>6</c:v>
                </c:pt>
                <c:pt idx="70">
                  <c:v>5</c:v>
                </c:pt>
                <c:pt idx="71">
                  <c:v>5</c:v>
                </c:pt>
                <c:pt idx="72">
                  <c:v>6</c:v>
                </c:pt>
                <c:pt idx="73">
                  <c:v>6</c:v>
                </c:pt>
                <c:pt idx="74">
                  <c:v>5</c:v>
                </c:pt>
                <c:pt idx="75">
                  <c:v>5</c:v>
                </c:pt>
                <c:pt idx="76">
                  <c:v>5</c:v>
                </c:pt>
                <c:pt idx="77">
                  <c:v>5</c:v>
                </c:pt>
                <c:pt idx="78">
                  <c:v>5</c:v>
                </c:pt>
                <c:pt idx="79">
                  <c:v>5</c:v>
                </c:pt>
                <c:pt idx="80">
                  <c:v>5</c:v>
                </c:pt>
                <c:pt idx="81">
                  <c:v>5</c:v>
                </c:pt>
                <c:pt idx="82">
                  <c:v>5</c:v>
                </c:pt>
                <c:pt idx="83">
                  <c:v>5</c:v>
                </c:pt>
                <c:pt idx="84">
                  <c:v>5</c:v>
                </c:pt>
                <c:pt idx="85">
                  <c:v>5</c:v>
                </c:pt>
                <c:pt idx="86">
                  <c:v>14</c:v>
                </c:pt>
                <c:pt idx="87">
                  <c:v>5</c:v>
                </c:pt>
                <c:pt idx="88">
                  <c:v>10</c:v>
                </c:pt>
                <c:pt idx="89">
                  <c:v>5</c:v>
                </c:pt>
                <c:pt idx="90">
                  <c:v>5</c:v>
                </c:pt>
                <c:pt idx="91">
                  <c:v>12</c:v>
                </c:pt>
                <c:pt idx="92">
                  <c:v>13</c:v>
                </c:pt>
                <c:pt idx="93">
                  <c:v>10</c:v>
                </c:pt>
                <c:pt idx="94">
                  <c:v>7</c:v>
                </c:pt>
                <c:pt idx="95">
                  <c:v>18</c:v>
                </c:pt>
                <c:pt idx="96">
                  <c:v>16</c:v>
                </c:pt>
                <c:pt idx="97">
                  <c:v>16</c:v>
                </c:pt>
                <c:pt idx="98">
                  <c:v>12</c:v>
                </c:pt>
                <c:pt idx="99">
                  <c:v>36</c:v>
                </c:pt>
                <c:pt idx="100">
                  <c:v>25</c:v>
                </c:pt>
                <c:pt idx="101">
                  <c:v>28</c:v>
                </c:pt>
                <c:pt idx="102">
                  <c:v>35</c:v>
                </c:pt>
                <c:pt idx="103">
                  <c:v>216</c:v>
                </c:pt>
                <c:pt idx="104">
                  <c:v>1206</c:v>
                </c:pt>
                <c:pt idx="105">
                  <c:v>78</c:v>
                </c:pt>
                <c:pt idx="106">
                  <c:v>115</c:v>
                </c:pt>
                <c:pt idx="107">
                  <c:v>518</c:v>
                </c:pt>
                <c:pt idx="108">
                  <c:v>618</c:v>
                </c:pt>
                <c:pt idx="109">
                  <c:v>134</c:v>
                </c:pt>
                <c:pt idx="110">
                  <c:v>129</c:v>
                </c:pt>
                <c:pt idx="111">
                  <c:v>448</c:v>
                </c:pt>
                <c:pt idx="112">
                  <c:v>592</c:v>
                </c:pt>
                <c:pt idx="113">
                  <c:v>145</c:v>
                </c:pt>
                <c:pt idx="114">
                  <c:v>127</c:v>
                </c:pt>
                <c:pt idx="115">
                  <c:v>410</c:v>
                </c:pt>
                <c:pt idx="116">
                  <c:v>549</c:v>
                </c:pt>
                <c:pt idx="117">
                  <c:v>155</c:v>
                </c:pt>
                <c:pt idx="118">
                  <c:v>126</c:v>
                </c:pt>
                <c:pt idx="119">
                  <c:v>356</c:v>
                </c:pt>
                <c:pt idx="120">
                  <c:v>444</c:v>
                </c:pt>
                <c:pt idx="121">
                  <c:v>191</c:v>
                </c:pt>
                <c:pt idx="122">
                  <c:v>150</c:v>
                </c:pt>
                <c:pt idx="123">
                  <c:v>287</c:v>
                </c:pt>
                <c:pt idx="124">
                  <c:v>368</c:v>
                </c:pt>
                <c:pt idx="125">
                  <c:v>169</c:v>
                </c:pt>
                <c:pt idx="126">
                  <c:v>91</c:v>
                </c:pt>
                <c:pt idx="127">
                  <c:v>68</c:v>
                </c:pt>
                <c:pt idx="128">
                  <c:v>61</c:v>
                </c:pt>
                <c:pt idx="129">
                  <c:v>57</c:v>
                </c:pt>
                <c:pt idx="130">
                  <c:v>30</c:v>
                </c:pt>
                <c:pt idx="131">
                  <c:v>34</c:v>
                </c:pt>
                <c:pt idx="132">
                  <c:v>43</c:v>
                </c:pt>
                <c:pt idx="133">
                  <c:v>34</c:v>
                </c:pt>
                <c:pt idx="134">
                  <c:v>16</c:v>
                </c:pt>
                <c:pt idx="135">
                  <c:v>28</c:v>
                </c:pt>
                <c:pt idx="136">
                  <c:v>28</c:v>
                </c:pt>
                <c:pt idx="137">
                  <c:v>25</c:v>
                </c:pt>
                <c:pt idx="138">
                  <c:v>19</c:v>
                </c:pt>
                <c:pt idx="139">
                  <c:v>20</c:v>
                </c:pt>
                <c:pt idx="140">
                  <c:v>18</c:v>
                </c:pt>
                <c:pt idx="141">
                  <c:v>23</c:v>
                </c:pt>
                <c:pt idx="142">
                  <c:v>19</c:v>
                </c:pt>
                <c:pt idx="143">
                  <c:v>21</c:v>
                </c:pt>
                <c:pt idx="144">
                  <c:v>10</c:v>
                </c:pt>
                <c:pt idx="145">
                  <c:v>16</c:v>
                </c:pt>
                <c:pt idx="146">
                  <c:v>17</c:v>
                </c:pt>
                <c:pt idx="147">
                  <c:v>16</c:v>
                </c:pt>
                <c:pt idx="148">
                  <c:v>23</c:v>
                </c:pt>
                <c:pt idx="149">
                  <c:v>23</c:v>
                </c:pt>
                <c:pt idx="150">
                  <c:v>20</c:v>
                </c:pt>
                <c:pt idx="151">
                  <c:v>23</c:v>
                </c:pt>
                <c:pt idx="152">
                  <c:v>21</c:v>
                </c:pt>
                <c:pt idx="153">
                  <c:v>21</c:v>
                </c:pt>
                <c:pt idx="154">
                  <c:v>12</c:v>
                </c:pt>
                <c:pt idx="155">
                  <c:v>18</c:v>
                </c:pt>
              </c:numCache>
            </c:numRef>
          </c:val>
          <c:smooth val="0"/>
          <c:extLst>
            <c:ext xmlns:c16="http://schemas.microsoft.com/office/drawing/2014/chart" uri="{C3380CC4-5D6E-409C-BE32-E72D297353CC}">
              <c16:uniqueId val="{00000000-6C9C-46FF-B2F8-8D5093D915F9}"/>
            </c:ext>
          </c:extLst>
        </c:ser>
        <c:dLbls>
          <c:showLegendKey val="0"/>
          <c:showVal val="0"/>
          <c:showCatName val="0"/>
          <c:showSerName val="0"/>
          <c:showPercent val="0"/>
          <c:showBubbleSize val="0"/>
        </c:dLbls>
        <c:smooth val="0"/>
        <c:axId val="251807616"/>
        <c:axId val="253022208"/>
      </c:lineChart>
      <c:catAx>
        <c:axId val="251807616"/>
        <c:scaling>
          <c:orientation val="minMax"/>
        </c:scaling>
        <c:delete val="0"/>
        <c:axPos val="b"/>
        <c:title>
          <c:tx>
            <c:rich>
              <a:bodyPr/>
              <a:lstStyle/>
              <a:p>
                <a:pPr>
                  <a:defRPr b="0"/>
                </a:pPr>
                <a:r>
                  <a:rPr lang="en-AU" b="0"/>
                  <a:t>Weeks from initiation to bendamustine to rituximab prescriptions</a:t>
                </a:r>
              </a:p>
            </c:rich>
          </c:tx>
          <c:layout/>
          <c:overlay val="0"/>
        </c:title>
        <c:numFmt formatCode="General" sourceLinked="1"/>
        <c:majorTickMark val="out"/>
        <c:minorTickMark val="none"/>
        <c:tickLblPos val="nextTo"/>
        <c:crossAx val="253022208"/>
        <c:crosses val="autoZero"/>
        <c:auto val="1"/>
        <c:lblAlgn val="ctr"/>
        <c:lblOffset val="100"/>
        <c:noMultiLvlLbl val="0"/>
      </c:catAx>
      <c:valAx>
        <c:axId val="253022208"/>
        <c:scaling>
          <c:orientation val="minMax"/>
          <c:max val="1250"/>
          <c:min val="0"/>
        </c:scaling>
        <c:delete val="0"/>
        <c:axPos val="l"/>
        <c:majorGridlines/>
        <c:title>
          <c:tx>
            <c:rich>
              <a:bodyPr rot="-5400000" vert="horz"/>
              <a:lstStyle/>
              <a:p>
                <a:pPr>
                  <a:defRPr b="0"/>
                </a:pPr>
                <a:r>
                  <a:rPr lang="en-US" b="0"/>
                  <a:t>Prescriptions</a:t>
                </a:r>
              </a:p>
            </c:rich>
          </c:tx>
          <c:layout/>
          <c:overlay val="0"/>
        </c:title>
        <c:numFmt formatCode="#,##0" sourceLinked="0"/>
        <c:majorTickMark val="out"/>
        <c:minorTickMark val="none"/>
        <c:tickLblPos val="nextTo"/>
        <c:crossAx val="25180761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[D1106 - SCRIPTS_12MNTH_FREQ, rituximab.xlsx]Sheet1 (2)!PivotTable2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pivotFmt>
      <c:pivotFmt>
        <c:idx val="13"/>
      </c:pivotFmt>
    </c:pivotFmts>
    <c:plotArea>
      <c:layout/>
      <c:lineChart>
        <c:grouping val="standard"/>
        <c:varyColors val="0"/>
        <c:ser>
          <c:idx val="0"/>
          <c:order val="0"/>
          <c:tx>
            <c:strRef>
              <c:f>'Sheet1 (2)'!$B$1:$B$2</c:f>
              <c:strCache>
                <c:ptCount val="1"/>
                <c:pt idx="0">
                  <c:v>Total</c:v>
                </c:pt>
              </c:strCache>
            </c:strRef>
          </c:tx>
          <c:cat>
            <c:strRef>
              <c:f>'Sheet1 (2)'!$A$3:$A$16</c:f>
              <c:strCache>
                <c:ptCount val="13"/>
                <c:pt idx="0">
                  <c:v>1</c:v>
                </c:pt>
                <c:pt idx="1">
                  <c:v>2</c:v>
                </c:pt>
                <c:pt idx="2">
                  <c:v>3</c:v>
                </c:pt>
                <c:pt idx="3">
                  <c:v>4</c:v>
                </c:pt>
                <c:pt idx="4">
                  <c:v>5</c:v>
                </c:pt>
                <c:pt idx="5">
                  <c:v>6</c:v>
                </c:pt>
                <c:pt idx="6">
                  <c:v>7</c:v>
                </c:pt>
                <c:pt idx="7">
                  <c:v>8</c:v>
                </c:pt>
                <c:pt idx="8">
                  <c:v>9</c:v>
                </c:pt>
                <c:pt idx="9">
                  <c:v>10</c:v>
                </c:pt>
                <c:pt idx="10">
                  <c:v>11</c:v>
                </c:pt>
                <c:pt idx="11">
                  <c:v>12</c:v>
                </c:pt>
                <c:pt idx="12">
                  <c:v>&gt;=13</c:v>
                </c:pt>
              </c:strCache>
            </c:strRef>
          </c:cat>
          <c:val>
            <c:numRef>
              <c:f>'Sheet1 (2)'!$B$3:$B$16</c:f>
              <c:numCache>
                <c:formatCode>0.00%</c:formatCode>
                <c:ptCount val="13"/>
                <c:pt idx="0">
                  <c:v>1.9732205778717406E-2</c:v>
                </c:pt>
                <c:pt idx="1">
                  <c:v>3.6645525017618044E-2</c:v>
                </c:pt>
                <c:pt idx="2">
                  <c:v>3.5940803382663845E-2</c:v>
                </c:pt>
                <c:pt idx="3">
                  <c:v>6.8357998590556732E-2</c:v>
                </c:pt>
                <c:pt idx="4">
                  <c:v>9.1613812544045103E-2</c:v>
                </c:pt>
                <c:pt idx="5">
                  <c:v>0.51162790697674421</c:v>
                </c:pt>
                <c:pt idx="6">
                  <c:v>7.3291050035236088E-2</c:v>
                </c:pt>
                <c:pt idx="7">
                  <c:v>9.2318534178999295E-2</c:v>
                </c:pt>
                <c:pt idx="8">
                  <c:v>2.3255813953488372E-2</c:v>
                </c:pt>
                <c:pt idx="9">
                  <c:v>1.9027484143763214E-2</c:v>
                </c:pt>
                <c:pt idx="10">
                  <c:v>8.4566596194503175E-3</c:v>
                </c:pt>
                <c:pt idx="11">
                  <c:v>1.1980267794221282E-2</c:v>
                </c:pt>
                <c:pt idx="12">
                  <c:v>7.7519379844961239E-3</c:v>
                </c:pt>
              </c:numCache>
            </c:numRef>
          </c:val>
          <c:smooth val="0"/>
          <c:extLst>
            <c:ext xmlns:c16="http://schemas.microsoft.com/office/drawing/2014/chart" uri="{C3380CC4-5D6E-409C-BE32-E72D297353CC}">
              <c16:uniqueId val="{00000000-FDE8-4B12-94BA-E78C4E20CC64}"/>
            </c:ext>
          </c:extLst>
        </c:ser>
        <c:dLbls>
          <c:showLegendKey val="0"/>
          <c:showVal val="0"/>
          <c:showCatName val="0"/>
          <c:showSerName val="0"/>
          <c:showPercent val="0"/>
          <c:showBubbleSize val="0"/>
        </c:dLbls>
        <c:marker val="1"/>
        <c:smooth val="0"/>
        <c:axId val="399843328"/>
        <c:axId val="399845248"/>
      </c:lineChart>
      <c:catAx>
        <c:axId val="399843328"/>
        <c:scaling>
          <c:orientation val="minMax"/>
        </c:scaling>
        <c:delete val="0"/>
        <c:axPos val="b"/>
        <c:title>
          <c:tx>
            <c:rich>
              <a:bodyPr/>
              <a:lstStyle/>
              <a:p>
                <a:pPr>
                  <a:defRPr b="0"/>
                </a:pPr>
                <a:r>
                  <a:rPr lang="en-US" b="0"/>
                  <a:t>Number of prescription</a:t>
                </a:r>
              </a:p>
            </c:rich>
          </c:tx>
          <c:layout/>
          <c:overlay val="0"/>
        </c:title>
        <c:numFmt formatCode="General" sourceLinked="0"/>
        <c:majorTickMark val="none"/>
        <c:minorTickMark val="none"/>
        <c:tickLblPos val="nextTo"/>
        <c:crossAx val="399845248"/>
        <c:crosses val="autoZero"/>
        <c:auto val="1"/>
        <c:lblAlgn val="ctr"/>
        <c:lblOffset val="100"/>
        <c:noMultiLvlLbl val="0"/>
      </c:catAx>
      <c:valAx>
        <c:axId val="399845248"/>
        <c:scaling>
          <c:orientation val="minMax"/>
        </c:scaling>
        <c:delete val="0"/>
        <c:axPos val="l"/>
        <c:majorGridlines/>
        <c:title>
          <c:tx>
            <c:rich>
              <a:bodyPr/>
              <a:lstStyle/>
              <a:p>
                <a:pPr>
                  <a:defRPr b="0"/>
                </a:pPr>
                <a:r>
                  <a:rPr lang="en-US" b="0"/>
                  <a:t>Patients (%)</a:t>
                </a:r>
              </a:p>
            </c:rich>
          </c:tx>
          <c:layout/>
          <c:overlay val="0"/>
        </c:title>
        <c:numFmt formatCode="0%" sourceLinked="0"/>
        <c:majorTickMark val="none"/>
        <c:minorTickMark val="none"/>
        <c:tickLblPos val="nextTo"/>
        <c:crossAx val="399843328"/>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9EE8-B028-4D7A-BEDD-49F6B9D7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6077</Words>
  <Characters>34642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2019-06-13T03:00:00Z</dcterms:created>
  <dcterms:modified xsi:type="dcterms:W3CDTF">2019-06-13T03:04:00Z</dcterms:modified>
</cp:coreProperties>
</file>