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1C4C6" w14:textId="77777777" w:rsidR="00431FB2" w:rsidRPr="005A3F4B" w:rsidRDefault="00431FB2" w:rsidP="00431FB2">
      <w:pPr>
        <w:pStyle w:val="Title2"/>
        <w:rPr>
          <w:sz w:val="52"/>
          <w:szCs w:val="52"/>
        </w:rPr>
      </w:pPr>
      <w:r w:rsidRPr="005A3F4B">
        <w:rPr>
          <w:sz w:val="52"/>
          <w:szCs w:val="52"/>
        </w:rPr>
        <w:t>Ruxolitinib for the treatment of myelofibrosis: 24 month predicted versus actual analysis</w:t>
      </w:r>
    </w:p>
    <w:p w14:paraId="2C768E89" w14:textId="77777777" w:rsidR="00431FB2" w:rsidRDefault="00431FB2" w:rsidP="00431FB2">
      <w:pPr>
        <w:pStyle w:val="Title2"/>
      </w:pPr>
      <w:r>
        <w:t>D</w:t>
      </w:r>
      <w:r w:rsidRPr="0063631C">
        <w:t xml:space="preserve">rug utilisation sub-committee </w:t>
      </w:r>
      <w:r>
        <w:t>(DUSC)</w:t>
      </w:r>
    </w:p>
    <w:p w14:paraId="5B46F6DC" w14:textId="77777777" w:rsidR="00431FB2" w:rsidRPr="00F73113" w:rsidRDefault="00431FB2" w:rsidP="00431FB2">
      <w:pPr>
        <w:pStyle w:val="Meetingdate"/>
      </w:pPr>
      <w:r>
        <w:t>September 2018</w:t>
      </w:r>
    </w:p>
    <w:p w14:paraId="4C792EA3" w14:textId="77777777" w:rsidR="00431FB2" w:rsidRPr="00CF5E22" w:rsidRDefault="00431FB2" w:rsidP="00F53E2D">
      <w:pPr>
        <w:pStyle w:val="Heading2"/>
      </w:pPr>
      <w:r w:rsidRPr="00CF5E22">
        <w:t>Abstract</w:t>
      </w:r>
    </w:p>
    <w:p w14:paraId="5FFEFF73" w14:textId="77777777" w:rsidR="00431FB2" w:rsidRPr="00F53E2D" w:rsidRDefault="00431FB2" w:rsidP="00F53E2D">
      <w:pPr>
        <w:pStyle w:val="Heading3"/>
      </w:pPr>
      <w:r w:rsidRPr="00F53E2D">
        <w:t>Purpose</w:t>
      </w:r>
    </w:p>
    <w:p w14:paraId="549ACF9E" w14:textId="77777777" w:rsidR="00431FB2" w:rsidRDefault="00431FB2" w:rsidP="00431FB2">
      <w:pPr>
        <w:pStyle w:val="Heading3"/>
        <w:spacing w:before="0"/>
        <w:rPr>
          <w:b w:val="0"/>
          <w:i w:val="0"/>
        </w:rPr>
      </w:pPr>
      <w:r>
        <w:rPr>
          <w:b w:val="0"/>
          <w:i w:val="0"/>
        </w:rPr>
        <w:t xml:space="preserve">To compare the predicted and actual utilisation of ruxolitinib for </w:t>
      </w:r>
      <w:r w:rsidRPr="00DC2EF1">
        <w:rPr>
          <w:b w:val="0"/>
          <w:i w:val="0"/>
        </w:rPr>
        <w:t>myelofibrosis i</w:t>
      </w:r>
      <w:r>
        <w:rPr>
          <w:b w:val="0"/>
          <w:i w:val="0"/>
        </w:rPr>
        <w:t xml:space="preserve">n the first 24 months of Pharmaceutical Benefits Scheme (PBS) listing. </w:t>
      </w:r>
    </w:p>
    <w:p w14:paraId="521BCF5E" w14:textId="77777777" w:rsidR="00431FB2" w:rsidRPr="00F53E2D" w:rsidRDefault="00431FB2" w:rsidP="00F53E2D">
      <w:pPr>
        <w:pStyle w:val="Heading3"/>
      </w:pPr>
      <w:r w:rsidRPr="00F53E2D">
        <w:t>Restriction (abridged)</w:t>
      </w:r>
    </w:p>
    <w:p w14:paraId="0FEF235E" w14:textId="77777777" w:rsidR="00431FB2" w:rsidRDefault="00431FB2" w:rsidP="00431FB2">
      <w:pPr>
        <w:pStyle w:val="Heading3"/>
        <w:spacing w:before="0"/>
        <w:rPr>
          <w:b w:val="0"/>
          <w:i w:val="0"/>
        </w:rPr>
      </w:pPr>
      <w:r>
        <w:rPr>
          <w:b w:val="0"/>
          <w:i w:val="0"/>
        </w:rPr>
        <w:t xml:space="preserve">Ruxolitinib was PBS listed for myelofibrosis on </w:t>
      </w:r>
      <w:r w:rsidR="003D1DB6">
        <w:rPr>
          <w:b w:val="0"/>
          <w:i w:val="0"/>
        </w:rPr>
        <w:t>1 </w:t>
      </w:r>
      <w:r>
        <w:rPr>
          <w:b w:val="0"/>
          <w:i w:val="0"/>
        </w:rPr>
        <w:t>February 2016.</w:t>
      </w:r>
    </w:p>
    <w:p w14:paraId="642C74EF" w14:textId="77777777" w:rsidR="00431FB2" w:rsidRDefault="00431FB2" w:rsidP="00431FB2">
      <w:r>
        <w:t xml:space="preserve">It is restricted for use in high risk and intermediate-2 </w:t>
      </w:r>
      <w:r w:rsidR="006A56C3">
        <w:t xml:space="preserve">(Int-2) </w:t>
      </w:r>
      <w:r>
        <w:t xml:space="preserve">risk myelofibrosis, or intermediate-1 </w:t>
      </w:r>
      <w:r w:rsidR="006A56C3">
        <w:t xml:space="preserve">(Int-1) </w:t>
      </w:r>
      <w:r>
        <w:t>risk myelofibrosis. The condition must be primary myelofibrosis or post-polycythemia vera myelofibrosis or post-essential thrombocythemia myelofibrosis.</w:t>
      </w:r>
    </w:p>
    <w:p w14:paraId="188EDFF9" w14:textId="77777777" w:rsidR="00431FB2" w:rsidRDefault="00431FB2" w:rsidP="00431FB2">
      <w:r>
        <w:t>In</w:t>
      </w:r>
      <w:r w:rsidR="00817E3C">
        <w:t>t</w:t>
      </w:r>
      <w:r>
        <w:t xml:space="preserve">-1 risk myelofibrosis patients have the additional clinical criterion that they must have severe disease-related symptoms that are resistant, refractory or intolerant to available therapy. </w:t>
      </w:r>
    </w:p>
    <w:p w14:paraId="3C33238E" w14:textId="77777777" w:rsidR="00431FB2" w:rsidRDefault="00431FB2" w:rsidP="00431FB2">
      <w:pPr>
        <w:pStyle w:val="Heading3"/>
      </w:pPr>
      <w:r>
        <w:t>Data Source</w:t>
      </w:r>
    </w:p>
    <w:p w14:paraId="10E7DF19" w14:textId="77777777" w:rsidR="00431FB2" w:rsidRPr="003565E4" w:rsidRDefault="00431FB2" w:rsidP="00431FB2">
      <w:pPr>
        <w:pStyle w:val="NoSpacing"/>
        <w:spacing w:after="200"/>
        <w:rPr>
          <w:rFonts w:cstheme="minorHAnsi"/>
        </w:rPr>
      </w:pPr>
      <w:r w:rsidRPr="00EE3C8B">
        <w:rPr>
          <w:rFonts w:cstheme="minorHAnsi"/>
        </w:rPr>
        <w:t>The analyses use data from the Department of Human Services (DHS) prescriptions database and the DHS Authority approvals database from Fe</w:t>
      </w:r>
      <w:r w:rsidR="00530131">
        <w:rPr>
          <w:rFonts w:cstheme="minorHAnsi"/>
        </w:rPr>
        <w:t>bruary 2016 to the end of April </w:t>
      </w:r>
      <w:r w:rsidRPr="00EE3C8B">
        <w:rPr>
          <w:rFonts w:cstheme="minorHAnsi"/>
        </w:rPr>
        <w:t>2018.</w:t>
      </w:r>
    </w:p>
    <w:p w14:paraId="2A6673C3" w14:textId="77777777" w:rsidR="00432A9A" w:rsidRDefault="00432A9A">
      <w:pPr>
        <w:spacing w:line="276" w:lineRule="auto"/>
        <w:rPr>
          <w:b/>
          <w:i/>
          <w:szCs w:val="28"/>
        </w:rPr>
      </w:pPr>
      <w:r>
        <w:br w:type="page"/>
      </w:r>
    </w:p>
    <w:p w14:paraId="3773C3BA" w14:textId="77777777" w:rsidR="00431FB2" w:rsidRDefault="00431FB2" w:rsidP="00431FB2">
      <w:pPr>
        <w:pStyle w:val="Heading3"/>
      </w:pPr>
      <w:r>
        <w:lastRenderedPageBreak/>
        <w:t>Key Findings</w:t>
      </w:r>
    </w:p>
    <w:p w14:paraId="6F287FC6" w14:textId="143BC969" w:rsidR="007732E2" w:rsidRDefault="007732E2" w:rsidP="00323853">
      <w:pPr>
        <w:pStyle w:val="ListParagraph"/>
        <w:keepNext/>
        <w:keepLines/>
        <w:numPr>
          <w:ilvl w:val="0"/>
          <w:numId w:val="29"/>
        </w:numPr>
        <w:ind w:left="426" w:hanging="426"/>
        <w:outlineLvl w:val="0"/>
        <w:rPr>
          <w:rFonts w:ascii="Calibri" w:eastAsia="MS Mincho" w:hAnsi="Calibri" w:cs="Times New Roman"/>
        </w:rPr>
      </w:pPr>
      <w:r w:rsidRPr="00323853">
        <w:rPr>
          <w:rFonts w:ascii="Calibri" w:eastAsia="MS Mincho" w:hAnsi="Calibri" w:cs="Times New Roman"/>
        </w:rPr>
        <w:t xml:space="preserve">In the first and second years of PBS listing, </w:t>
      </w:r>
      <w:r w:rsidR="00AB5A8D" w:rsidRPr="00323853">
        <w:rPr>
          <w:rFonts w:ascii="Calibri" w:eastAsia="MS Mincho" w:hAnsi="Calibri" w:cs="Times New Roman"/>
        </w:rPr>
        <w:t xml:space="preserve">861 and 1,082 </w:t>
      </w:r>
      <w:r w:rsidRPr="00323853">
        <w:rPr>
          <w:rFonts w:ascii="Calibri" w:eastAsia="MS Mincho" w:hAnsi="Calibri" w:cs="Times New Roman"/>
        </w:rPr>
        <w:t>patients received treatment with ruxolitinib</w:t>
      </w:r>
      <w:r w:rsidR="00530131">
        <w:rPr>
          <w:rFonts w:ascii="Calibri" w:eastAsia="MS Mincho" w:hAnsi="Calibri" w:cs="Times New Roman"/>
        </w:rPr>
        <w:t>, respectively</w:t>
      </w:r>
      <w:r w:rsidRPr="00323853">
        <w:rPr>
          <w:rFonts w:ascii="Calibri" w:eastAsia="MS Mincho" w:hAnsi="Calibri" w:cs="Times New Roman"/>
        </w:rPr>
        <w:t xml:space="preserve">. </w:t>
      </w:r>
      <w:r w:rsidR="00AB5A8D" w:rsidRPr="00323853">
        <w:rPr>
          <w:rFonts w:ascii="Calibri" w:eastAsia="MS Mincho" w:hAnsi="Calibri" w:cs="Times New Roman"/>
        </w:rPr>
        <w:t xml:space="preserve">This </w:t>
      </w:r>
      <w:r w:rsidR="00432A9A" w:rsidRPr="00323853">
        <w:rPr>
          <w:rFonts w:ascii="Calibri" w:eastAsia="MS Mincho" w:hAnsi="Calibri" w:cs="Times New Roman"/>
        </w:rPr>
        <w:t xml:space="preserve">was </w:t>
      </w:r>
      <w:r w:rsidR="002A64D4">
        <w:rPr>
          <w:rFonts w:ascii="Calibri" w:eastAsia="MS Mincho" w:hAnsi="Calibri" w:cs="Times New Roman"/>
          <w:highlight w:val="black"/>
        </w:rPr>
        <w:t>xxx</w:t>
      </w:r>
      <w:r w:rsidR="00432A9A" w:rsidRPr="00323853">
        <w:rPr>
          <w:rFonts w:ascii="Calibri" w:eastAsia="MS Mincho" w:hAnsi="Calibri" w:cs="Times New Roman"/>
        </w:rPr>
        <w:t xml:space="preserve"> more</w:t>
      </w:r>
      <w:r w:rsidRPr="00323853">
        <w:rPr>
          <w:rFonts w:ascii="Calibri" w:eastAsia="MS Mincho" w:hAnsi="Calibri" w:cs="Times New Roman"/>
        </w:rPr>
        <w:t xml:space="preserve"> patients</w:t>
      </w:r>
      <w:r w:rsidR="00432A9A" w:rsidRPr="00323853">
        <w:rPr>
          <w:rFonts w:ascii="Calibri" w:eastAsia="MS Mincho" w:hAnsi="Calibri" w:cs="Times New Roman"/>
        </w:rPr>
        <w:t xml:space="preserve"> than predicted in both years.</w:t>
      </w:r>
      <w:r w:rsidR="00AB5A8D" w:rsidRPr="00323853">
        <w:rPr>
          <w:rFonts w:ascii="Calibri" w:eastAsia="MS Mincho" w:hAnsi="Calibri" w:cs="Times New Roman"/>
        </w:rPr>
        <w:t xml:space="preserve"> </w:t>
      </w:r>
    </w:p>
    <w:p w14:paraId="7FBABA86" w14:textId="23889237" w:rsidR="00323853" w:rsidRDefault="00323853" w:rsidP="00323853">
      <w:pPr>
        <w:pStyle w:val="ListParagraph"/>
        <w:keepNext/>
        <w:keepLines/>
        <w:numPr>
          <w:ilvl w:val="0"/>
          <w:numId w:val="29"/>
        </w:numPr>
        <w:ind w:left="426" w:hanging="426"/>
        <w:outlineLvl w:val="0"/>
        <w:rPr>
          <w:rFonts w:ascii="Calibri" w:eastAsia="MS Mincho" w:hAnsi="Calibri" w:cs="Times New Roman"/>
        </w:rPr>
      </w:pPr>
      <w:r>
        <w:rPr>
          <w:rFonts w:ascii="Calibri" w:eastAsia="MS Mincho" w:hAnsi="Calibri" w:cs="Times New Roman"/>
        </w:rPr>
        <w:t xml:space="preserve">Despite more patients receiving treatment, there were fewer prescriptions dispensed than expected. This may be due to new patients commencing throughout a listing year and lower adherence in clinical practice than in the clinical trial setting. </w:t>
      </w:r>
      <w:r w:rsidR="00B14E7C">
        <w:rPr>
          <w:rFonts w:ascii="Calibri" w:eastAsia="MS Mincho" w:hAnsi="Calibri" w:cs="Times New Roman"/>
        </w:rPr>
        <w:t>I</w:t>
      </w:r>
      <w:r>
        <w:rPr>
          <w:rFonts w:ascii="Calibri" w:eastAsia="MS Mincho" w:hAnsi="Calibri" w:cs="Times New Roman"/>
        </w:rPr>
        <w:t xml:space="preserve">nsufficient data </w:t>
      </w:r>
      <w:r w:rsidR="00B14E7C">
        <w:rPr>
          <w:rFonts w:ascii="Calibri" w:eastAsia="MS Mincho" w:hAnsi="Calibri" w:cs="Times New Roman"/>
        </w:rPr>
        <w:t xml:space="preserve">are </w:t>
      </w:r>
      <w:r>
        <w:rPr>
          <w:rFonts w:ascii="Calibri" w:eastAsia="MS Mincho" w:hAnsi="Calibri" w:cs="Times New Roman"/>
        </w:rPr>
        <w:t>available at this stage to establish</w:t>
      </w:r>
      <w:r w:rsidR="00763EC0">
        <w:rPr>
          <w:rFonts w:ascii="Calibri" w:eastAsia="MS Mincho" w:hAnsi="Calibri" w:cs="Times New Roman"/>
        </w:rPr>
        <w:t xml:space="preserve"> the</w:t>
      </w:r>
      <w:r>
        <w:rPr>
          <w:rFonts w:ascii="Calibri" w:eastAsia="MS Mincho" w:hAnsi="Calibri" w:cs="Times New Roman"/>
        </w:rPr>
        <w:t xml:space="preserve"> median time on therapy.</w:t>
      </w:r>
    </w:p>
    <w:p w14:paraId="3992A097" w14:textId="7434FC60" w:rsidR="00323853" w:rsidRPr="00323853" w:rsidRDefault="00323853" w:rsidP="00432A9A">
      <w:pPr>
        <w:pStyle w:val="ListParagraph"/>
        <w:keepNext/>
        <w:keepLines/>
        <w:numPr>
          <w:ilvl w:val="0"/>
          <w:numId w:val="29"/>
        </w:numPr>
        <w:ind w:left="426" w:hanging="426"/>
        <w:outlineLvl w:val="0"/>
        <w:rPr>
          <w:rFonts w:ascii="Calibri" w:eastAsia="MS Mincho" w:hAnsi="Calibri" w:cs="Times New Roman"/>
        </w:rPr>
      </w:pPr>
      <w:r w:rsidRPr="00323853">
        <w:rPr>
          <w:rFonts w:ascii="Calibri" w:eastAsia="MS Mincho" w:hAnsi="Calibri" w:cs="Times New Roman"/>
        </w:rPr>
        <w:t xml:space="preserve">The average dose used in practice was similar to that predicted from the clinical trial setting. The average predicted daily dose was </w:t>
      </w:r>
      <w:r w:rsidR="002A64D4">
        <w:rPr>
          <w:rFonts w:ascii="Calibri" w:eastAsia="MS Mincho" w:hAnsi="Calibri" w:cs="Times New Roman"/>
          <w:highlight w:val="black"/>
        </w:rPr>
        <w:t>xxxx</w:t>
      </w:r>
      <w:r w:rsidRPr="00323853">
        <w:rPr>
          <w:rFonts w:ascii="Calibri" w:eastAsia="MS Mincho" w:hAnsi="Calibri" w:cs="Times New Roman"/>
        </w:rPr>
        <w:t xml:space="preserve"> mg per day and the actual average daily dose was </w:t>
      </w:r>
      <w:r w:rsidRPr="00323853">
        <w:rPr>
          <w:rFonts w:ascii="Calibri" w:eastAsia="MS Mincho" w:hAnsi="Calibri" w:cs="Times New Roman"/>
          <w:bCs/>
        </w:rPr>
        <w:t>27.1 mg.</w:t>
      </w:r>
    </w:p>
    <w:p w14:paraId="492788B6" w14:textId="77777777" w:rsidR="00432A9A" w:rsidRDefault="00323853" w:rsidP="00432A9A">
      <w:pPr>
        <w:pStyle w:val="ListParagraph"/>
        <w:keepNext/>
        <w:keepLines/>
        <w:numPr>
          <w:ilvl w:val="0"/>
          <w:numId w:val="29"/>
        </w:numPr>
        <w:ind w:left="426" w:hanging="426"/>
        <w:outlineLvl w:val="0"/>
        <w:rPr>
          <w:rFonts w:ascii="Calibri" w:eastAsia="MS Mincho" w:hAnsi="Calibri" w:cs="Times New Roman"/>
        </w:rPr>
      </w:pPr>
      <w:r w:rsidRPr="00323853">
        <w:rPr>
          <w:rFonts w:ascii="Calibri" w:eastAsia="MS Mincho" w:hAnsi="Calibri" w:cs="Times New Roman"/>
        </w:rPr>
        <w:t>T</w:t>
      </w:r>
      <w:r w:rsidR="00AB5A8D" w:rsidRPr="00323853">
        <w:rPr>
          <w:rFonts w:ascii="Calibri" w:eastAsia="MS Mincho" w:hAnsi="Calibri" w:cs="Times New Roman"/>
        </w:rPr>
        <w:t xml:space="preserve">he proportion of </w:t>
      </w:r>
      <w:r w:rsidRPr="00323853">
        <w:rPr>
          <w:rFonts w:ascii="Calibri" w:eastAsia="MS Mincho" w:hAnsi="Calibri" w:cs="Times New Roman"/>
        </w:rPr>
        <w:t xml:space="preserve">patients </w:t>
      </w:r>
      <w:r w:rsidR="00F53E2D" w:rsidRPr="00323853">
        <w:rPr>
          <w:rFonts w:ascii="Calibri" w:eastAsia="MS Mincho" w:hAnsi="Calibri" w:cs="Times New Roman"/>
        </w:rPr>
        <w:t xml:space="preserve">with </w:t>
      </w:r>
      <w:r w:rsidR="00F53E2D">
        <w:rPr>
          <w:rFonts w:ascii="Calibri" w:eastAsia="MS Mincho" w:hAnsi="Calibri" w:cs="Times New Roman"/>
        </w:rPr>
        <w:t>Int</w:t>
      </w:r>
      <w:r w:rsidR="00F53E2D">
        <w:rPr>
          <w:rFonts w:ascii="Calibri" w:eastAsia="MS Mincho" w:hAnsi="Calibri" w:cs="Times New Roman"/>
        </w:rPr>
        <w:noBreakHyphen/>
        <w:t xml:space="preserve">1 </w:t>
      </w:r>
      <w:r w:rsidR="00F53E2D" w:rsidRPr="00323853">
        <w:rPr>
          <w:rFonts w:ascii="Calibri" w:eastAsia="MS Mincho" w:hAnsi="Calibri" w:cs="Times New Roman"/>
        </w:rPr>
        <w:t xml:space="preserve">risk myelofibrosis </w:t>
      </w:r>
      <w:r w:rsidRPr="00323853">
        <w:rPr>
          <w:rFonts w:ascii="Calibri" w:eastAsia="MS Mincho" w:hAnsi="Calibri" w:cs="Times New Roman"/>
        </w:rPr>
        <w:t>treated with ruxolitinib was</w:t>
      </w:r>
      <w:r w:rsidR="00AB5A8D" w:rsidRPr="00323853">
        <w:rPr>
          <w:rFonts w:ascii="Calibri" w:eastAsia="MS Mincho" w:hAnsi="Calibri" w:cs="Times New Roman"/>
        </w:rPr>
        <w:t xml:space="preserve"> 14% and 23% in Years 1 and 2 respectively.</w:t>
      </w:r>
    </w:p>
    <w:p w14:paraId="0CB48F61" w14:textId="77777777" w:rsidR="00434E74" w:rsidRPr="00323853" w:rsidRDefault="00323853" w:rsidP="00432A9A">
      <w:pPr>
        <w:pStyle w:val="ListParagraph"/>
        <w:keepNext/>
        <w:keepLines/>
        <w:numPr>
          <w:ilvl w:val="0"/>
          <w:numId w:val="29"/>
        </w:numPr>
        <w:ind w:left="426" w:hanging="426"/>
        <w:outlineLvl w:val="0"/>
        <w:rPr>
          <w:rFonts w:ascii="Calibri" w:eastAsia="MS Gothic" w:hAnsi="Calibri" w:cs="Times New Roman"/>
          <w:bCs/>
        </w:rPr>
      </w:pPr>
      <w:r w:rsidRPr="00323853">
        <w:rPr>
          <w:rFonts w:ascii="Calibri" w:eastAsia="MS Mincho" w:hAnsi="Calibri" w:cs="Times New Roman"/>
        </w:rPr>
        <w:t>Approximate</w:t>
      </w:r>
      <w:r>
        <w:rPr>
          <w:rFonts w:ascii="Calibri" w:eastAsia="MS Mincho" w:hAnsi="Calibri" w:cs="Times New Roman"/>
        </w:rPr>
        <w:t xml:space="preserve">ly </w:t>
      </w:r>
      <w:r w:rsidR="004343EE">
        <w:rPr>
          <w:rFonts w:ascii="Calibri" w:eastAsia="MS Mincho" w:hAnsi="Calibri" w:cs="Times New Roman"/>
        </w:rPr>
        <w:t xml:space="preserve">half of </w:t>
      </w:r>
      <w:r w:rsidR="00817E3C">
        <w:rPr>
          <w:rFonts w:ascii="Calibri" w:eastAsia="MS Mincho" w:hAnsi="Calibri" w:cs="Times New Roman"/>
        </w:rPr>
        <w:t>Int</w:t>
      </w:r>
      <w:r w:rsidR="004343EE">
        <w:rPr>
          <w:rFonts w:ascii="Calibri" w:eastAsia="MS Mincho" w:hAnsi="Calibri" w:cs="Times New Roman"/>
        </w:rPr>
        <w:t xml:space="preserve">-1 patients </w:t>
      </w:r>
      <w:r w:rsidR="00B14E7C">
        <w:rPr>
          <w:rFonts w:ascii="Calibri" w:eastAsia="MS Mincho" w:hAnsi="Calibri" w:cs="Times New Roman"/>
        </w:rPr>
        <w:t xml:space="preserve">had PBS hydroxyurea </w:t>
      </w:r>
      <w:r w:rsidR="004343EE">
        <w:rPr>
          <w:rFonts w:ascii="Calibri" w:eastAsia="MS Mincho" w:hAnsi="Calibri" w:cs="Times New Roman"/>
        </w:rPr>
        <w:t>in the</w:t>
      </w:r>
      <w:r w:rsidR="00F47DB6">
        <w:rPr>
          <w:rFonts w:ascii="Calibri" w:eastAsia="MS Mincho" w:hAnsi="Calibri" w:cs="Times New Roman"/>
        </w:rPr>
        <w:t xml:space="preserve"> 2 years prior to </w:t>
      </w:r>
      <w:r w:rsidR="00B14E7C">
        <w:rPr>
          <w:rFonts w:ascii="Calibri" w:eastAsia="MS Mincho" w:hAnsi="Calibri" w:cs="Times New Roman"/>
        </w:rPr>
        <w:t xml:space="preserve">commencing treatment with </w:t>
      </w:r>
      <w:r w:rsidR="00F47DB6">
        <w:rPr>
          <w:rFonts w:ascii="Calibri" w:eastAsia="MS Mincho" w:hAnsi="Calibri" w:cs="Times New Roman"/>
        </w:rPr>
        <w:t>ruxolitinib</w:t>
      </w:r>
      <w:r w:rsidR="00B14E7C">
        <w:rPr>
          <w:rFonts w:ascii="Calibri" w:eastAsia="MS Mincho" w:hAnsi="Calibri" w:cs="Times New Roman"/>
        </w:rPr>
        <w:t>.</w:t>
      </w:r>
    </w:p>
    <w:p w14:paraId="05ED26E0" w14:textId="77777777" w:rsidR="00431FB2" w:rsidRPr="004265F1" w:rsidRDefault="00431FB2" w:rsidP="00431FB2"/>
    <w:p w14:paraId="75F92069" w14:textId="77777777" w:rsidR="00431FB2" w:rsidRPr="004265F1" w:rsidRDefault="00431FB2" w:rsidP="00431FB2">
      <w:pPr>
        <w:pStyle w:val="ListParagraph"/>
        <w:numPr>
          <w:ilvl w:val="0"/>
          <w:numId w:val="4"/>
        </w:numPr>
        <w:spacing w:line="276" w:lineRule="auto"/>
        <w:rPr>
          <w:rFonts w:eastAsiaTheme="majorEastAsia" w:cstheme="majorBidi"/>
          <w:b/>
          <w:bCs/>
          <w:sz w:val="32"/>
          <w:szCs w:val="26"/>
        </w:rPr>
      </w:pPr>
      <w:r>
        <w:br w:type="page"/>
      </w:r>
    </w:p>
    <w:p w14:paraId="715D4F75" w14:textId="77777777" w:rsidR="00431FB2" w:rsidRDefault="00431FB2" w:rsidP="00431FB2">
      <w:pPr>
        <w:pStyle w:val="Heading1"/>
      </w:pPr>
      <w:r w:rsidRPr="00CF5E22">
        <w:lastRenderedPageBreak/>
        <w:t>Purpose of analysis</w:t>
      </w:r>
    </w:p>
    <w:p w14:paraId="23BE2A53" w14:textId="77777777" w:rsidR="00431FB2" w:rsidRPr="004265F1" w:rsidRDefault="00431FB2" w:rsidP="00431FB2">
      <w:r>
        <w:t xml:space="preserve">To compare the predicted and actual utilisation of ruxolitinib for high, </w:t>
      </w:r>
      <w:r w:rsidR="00504EEA">
        <w:t>Int</w:t>
      </w:r>
      <w:r>
        <w:t xml:space="preserve">-2 and </w:t>
      </w:r>
      <w:r w:rsidR="00504EEA">
        <w:t>Int</w:t>
      </w:r>
      <w:r>
        <w:t xml:space="preserve">-1 risk myelofibrosis in the first 24 months of PBS listing. </w:t>
      </w:r>
    </w:p>
    <w:p w14:paraId="516A7E81" w14:textId="77777777" w:rsidR="00431FB2" w:rsidRDefault="00431FB2" w:rsidP="00431FB2">
      <w:pPr>
        <w:pStyle w:val="Heading1"/>
      </w:pPr>
      <w:r w:rsidRPr="005E22C2">
        <w:t>Background</w:t>
      </w:r>
    </w:p>
    <w:p w14:paraId="7D83F838" w14:textId="77777777" w:rsidR="00431FB2" w:rsidRDefault="00431FB2" w:rsidP="00431FB2">
      <w:r>
        <w:t>Myelofibrosis is a disorder of the bone marrow, in which the marrow is replaced by scar tissue. The abnormal marrow can no longer produce enough normal blood cells and results in a significantly enlarged spleen.</w:t>
      </w:r>
      <w:bookmarkStart w:id="0" w:name="_Ref517947070"/>
      <w:r>
        <w:rPr>
          <w:rStyle w:val="FootnoteReference"/>
        </w:rPr>
        <w:footnoteReference w:id="1"/>
      </w:r>
      <w:bookmarkEnd w:id="0"/>
      <w:r>
        <w:t xml:space="preserve"> </w:t>
      </w:r>
    </w:p>
    <w:p w14:paraId="4AD688FC" w14:textId="77777777" w:rsidR="00431FB2" w:rsidRDefault="00431FB2" w:rsidP="00431FB2">
      <w:r>
        <w:t>Myelofibrosis can produce a variety of symptoms such as fever, night sweats, bone pain, itch, lethargy and weight loss. Myelofibrosis can occur at any age but is usually diagnosed later in life, between the ages of 60 and 70 years. It is diagnosed using a combination of a physical examination showing the presence of an enlarged spleen, blood tests and a bone marrow examination.</w:t>
      </w:r>
      <w:r>
        <w:rPr>
          <w:rStyle w:val="FootnoteReference"/>
        </w:rPr>
        <w:footnoteReference w:id="2"/>
      </w:r>
    </w:p>
    <w:p w14:paraId="23520324" w14:textId="77777777" w:rsidR="00431FB2" w:rsidRDefault="00431FB2" w:rsidP="00431FB2">
      <w:r>
        <w:t>The current prognostic models used for myelofibrosis include the International Prognostic Scoring System (IPSS), the Dynamic International Prognostic Scoring System (DIPSS), and DIPSS-plus.</w:t>
      </w:r>
      <w:bookmarkStart w:id="1" w:name="_Ref521574429"/>
      <w:r>
        <w:rPr>
          <w:rStyle w:val="FootnoteReference"/>
        </w:rPr>
        <w:footnoteReference w:id="3"/>
      </w:r>
      <w:bookmarkEnd w:id="1"/>
      <w:r>
        <w:t xml:space="preserve"> </w:t>
      </w:r>
      <w:r w:rsidR="00810C69">
        <w:t xml:space="preserve">The scoring systems include the variables age, white blood cell count, haemoglobin, peripheral blood blast and constitutional symptoms. </w:t>
      </w:r>
      <w:r>
        <w:t xml:space="preserve">The IPSS is applicable at the time of initial diagnosis and </w:t>
      </w:r>
      <w:r w:rsidR="00616606">
        <w:t>the</w:t>
      </w:r>
      <w:r>
        <w:t xml:space="preserve"> DIPSS can be applied at any time during follow-up. The DIPSS contains </w:t>
      </w:r>
      <w:r w:rsidR="00450BC3">
        <w:t>two</w:t>
      </w:r>
      <w:r>
        <w:t xml:space="preserve"> separate models, one that incorporates all patients (DIPSS) and one for patients below the age of 65 (age-adjusted DIPSS).</w:t>
      </w:r>
      <w:r>
        <w:rPr>
          <w:rStyle w:val="FootnoteReference"/>
        </w:rPr>
        <w:footnoteReference w:id="4"/>
      </w:r>
      <w:r>
        <w:t xml:space="preserve"> </w:t>
      </w:r>
      <w:r w:rsidR="00616606">
        <w:t>Eligibility for PBS subsidised ruxolitinib is based on the IPSS, DIPSS or age-adjusted DIPSS. Another model, t</w:t>
      </w:r>
      <w:r>
        <w:t>he DIPSS-plus</w:t>
      </w:r>
      <w:r w:rsidR="00616606">
        <w:t>,</w:t>
      </w:r>
      <w:r>
        <w:t xml:space="preserve"> incorporates eight risk factors; the five risk factors from IPSS, in addition to a further three risk factors. Patients are categorised as low, </w:t>
      </w:r>
      <w:r w:rsidR="00504EEA">
        <w:t>Int</w:t>
      </w:r>
      <w:r w:rsidR="004C3356">
        <w:noBreakHyphen/>
      </w:r>
      <w:r>
        <w:t xml:space="preserve">1, </w:t>
      </w:r>
      <w:r w:rsidR="00504EEA">
        <w:t>Int</w:t>
      </w:r>
      <w:r w:rsidR="004C3356">
        <w:noBreakHyphen/>
      </w:r>
      <w:r>
        <w:t>2</w:t>
      </w:r>
      <w:r w:rsidR="00530131">
        <w:t>,</w:t>
      </w:r>
      <w:r>
        <w:t xml:space="preserve"> or high risk depending on how many risk factors they present with.</w:t>
      </w:r>
      <w:r>
        <w:fldChar w:fldCharType="begin"/>
      </w:r>
      <w:r>
        <w:instrText xml:space="preserve"> NOTEREF _Ref521574429 \f \h </w:instrText>
      </w:r>
      <w:r>
        <w:fldChar w:fldCharType="separate"/>
      </w:r>
      <w:r w:rsidR="00C47E40" w:rsidRPr="00C47E40">
        <w:rPr>
          <w:rStyle w:val="FootnoteReference"/>
        </w:rPr>
        <w:t>3</w:t>
      </w:r>
      <w:r>
        <w:fldChar w:fldCharType="end"/>
      </w:r>
      <w:r>
        <w:t xml:space="preserve"> </w:t>
      </w:r>
    </w:p>
    <w:p w14:paraId="1C4F3C85" w14:textId="77777777" w:rsidR="00431FB2" w:rsidRDefault="007507B1" w:rsidP="00431FB2">
      <w:r>
        <w:t>Drug therapy for myelofibrosis aims to relieve symptoms and reduce the risk of complications. Therapies may include ruxolitinib, hydroxyurea and interferons.</w:t>
      </w:r>
      <w:bookmarkStart w:id="2" w:name="_Ref522796135"/>
      <w:r w:rsidR="00097FE4">
        <w:rPr>
          <w:rStyle w:val="FootnoteReference"/>
        </w:rPr>
        <w:footnoteReference w:id="5"/>
      </w:r>
      <w:bookmarkEnd w:id="2"/>
      <w:r>
        <w:t xml:space="preserve"> </w:t>
      </w:r>
      <w:r w:rsidR="00876CA1">
        <w:t xml:space="preserve">Low or </w:t>
      </w:r>
      <w:r w:rsidR="00504EEA">
        <w:t>Int</w:t>
      </w:r>
      <w:r w:rsidR="004C3356">
        <w:noBreakHyphen/>
      </w:r>
      <w:r w:rsidR="00876CA1">
        <w:t>1 risk asymptomatic patients are usually observed without intervention.</w:t>
      </w:r>
      <w:r>
        <w:t xml:space="preserve"> Higher risk patients may be </w:t>
      </w:r>
      <w:r w:rsidR="00876CA1">
        <w:t xml:space="preserve">considered for </w:t>
      </w:r>
      <w:r>
        <w:t>allogeneic stem cell transplantation (</w:t>
      </w:r>
      <w:r w:rsidR="00876CA1">
        <w:t>ASCT</w:t>
      </w:r>
      <w:r>
        <w:t>)</w:t>
      </w:r>
      <w:r w:rsidR="00876CA1">
        <w:t xml:space="preserve"> or investigational treatments. </w:t>
      </w:r>
      <w:r w:rsidR="00431FB2">
        <w:t>The only treatment that has shown to have an impact on disease progression is allogeneic stem cell transplantation (ASCT)</w:t>
      </w:r>
      <w:r w:rsidR="003E522D">
        <w:t>, although it is not a</w:t>
      </w:r>
      <w:r w:rsidR="00876CA1">
        <w:t xml:space="preserve"> suitable </w:t>
      </w:r>
      <w:r w:rsidR="003E522D">
        <w:t xml:space="preserve">option </w:t>
      </w:r>
      <w:r w:rsidR="00431FB2">
        <w:t>for most people.</w:t>
      </w:r>
      <w:r w:rsidR="00431FB2">
        <w:fldChar w:fldCharType="begin"/>
      </w:r>
      <w:r w:rsidR="00431FB2">
        <w:instrText xml:space="preserve"> NOTEREF _Ref521574429 \f \h </w:instrText>
      </w:r>
      <w:r w:rsidR="00431FB2">
        <w:fldChar w:fldCharType="separate"/>
      </w:r>
      <w:r w:rsidR="00C47E40" w:rsidRPr="00C47E40">
        <w:rPr>
          <w:rStyle w:val="FootnoteReference"/>
        </w:rPr>
        <w:t>3</w:t>
      </w:r>
      <w:r w:rsidR="00431FB2">
        <w:fldChar w:fldCharType="end"/>
      </w:r>
      <w:r w:rsidR="00431FB2">
        <w:t xml:space="preserve"> </w:t>
      </w:r>
    </w:p>
    <w:p w14:paraId="26D175E3" w14:textId="77777777" w:rsidR="00431FB2" w:rsidRDefault="00431FB2" w:rsidP="00431FB2"/>
    <w:p w14:paraId="4CA44873" w14:textId="77777777" w:rsidR="00431FB2" w:rsidRDefault="00431FB2" w:rsidP="00431FB2">
      <w:pPr>
        <w:pStyle w:val="Heading2"/>
      </w:pPr>
      <w:r>
        <w:t>Pharmacology</w:t>
      </w:r>
    </w:p>
    <w:p w14:paraId="557C4C74" w14:textId="2D8ED9CD" w:rsidR="00431FB2" w:rsidRDefault="00431FB2" w:rsidP="00431FB2">
      <w:r>
        <w:lastRenderedPageBreak/>
        <w:t xml:space="preserve">Ruxolitinib is an inhibitor of </w:t>
      </w:r>
      <w:r w:rsidR="00D36AE3">
        <w:t>janus kinase (</w:t>
      </w:r>
      <w:r>
        <w:t>JAK</w:t>
      </w:r>
      <w:r w:rsidR="00D36AE3">
        <w:t>)</w:t>
      </w:r>
      <w:r>
        <w:t>1 and JAK2 with nanomolar potency. JAKs mediate the signalling of a number of cytokines and growth factors that are important for haematopoiesis and immune function. JAK signalling involves recruitment of STATs (signal transducers and activators of transcription) to cytokine receptors, activation, and subsequent localisation of STATs to the nucleus leading to modulation of gene expression. Dysregulation of the JAK-STAT pathway has been associated with several cancers and increased proliferation and survival of malignant cells. Ruxolitinib inhibits JAK-STAT signalling and cell proliferation of cytokine-dependent cellular models of haematological malignancies.</w:t>
      </w:r>
      <w:bookmarkStart w:id="3" w:name="_Ref522719351"/>
      <w:r>
        <w:rPr>
          <w:rStyle w:val="FootnoteReference"/>
        </w:rPr>
        <w:footnoteReference w:id="6"/>
      </w:r>
      <w:bookmarkEnd w:id="3"/>
      <w:r>
        <w:t xml:space="preserve">  </w:t>
      </w:r>
    </w:p>
    <w:p w14:paraId="1C8DCE77" w14:textId="77777777" w:rsidR="00431FB2" w:rsidRDefault="00431FB2" w:rsidP="00431FB2">
      <w:pPr>
        <w:pStyle w:val="Heading2"/>
      </w:pPr>
      <w:r w:rsidRPr="00A52918">
        <w:t xml:space="preserve">Therapeutic Goods Administration </w:t>
      </w:r>
      <w:r>
        <w:t>(</w:t>
      </w:r>
      <w:r w:rsidRPr="005E22C2">
        <w:t>TGA</w:t>
      </w:r>
      <w:r>
        <w:t>)</w:t>
      </w:r>
      <w:r w:rsidRPr="005E22C2">
        <w:t xml:space="preserve"> approved </w:t>
      </w:r>
      <w:r>
        <w:t>i</w:t>
      </w:r>
      <w:r w:rsidRPr="005E22C2">
        <w:t>ndications</w:t>
      </w:r>
    </w:p>
    <w:p w14:paraId="07367A49" w14:textId="77777777" w:rsidR="00431FB2" w:rsidRDefault="00431FB2" w:rsidP="00431FB2">
      <w:r>
        <w:t>Ruxolitinib (Jakavi</w:t>
      </w:r>
      <w:r>
        <w:sym w:font="Symbol" w:char="F0E2"/>
      </w:r>
      <w:r>
        <w:t>) is indicated for the treatment of</w:t>
      </w:r>
    </w:p>
    <w:p w14:paraId="4FFDE7D5" w14:textId="77777777" w:rsidR="00431FB2" w:rsidRDefault="00431FB2" w:rsidP="00431FB2">
      <w:pPr>
        <w:pStyle w:val="ListParagraph"/>
        <w:numPr>
          <w:ilvl w:val="0"/>
          <w:numId w:val="11"/>
        </w:numPr>
      </w:pPr>
      <w:r>
        <w:t>Disease-related splenomegaly or symptoms in patients with primary myelofibrosis, post-polycythemia vera myelofibrosis or post-essential thrombocythemia</w:t>
      </w:r>
      <w:r w:rsidRPr="00CE388F">
        <w:t xml:space="preserve"> </w:t>
      </w:r>
      <w:r>
        <w:t xml:space="preserve">myelofibrosis. </w:t>
      </w:r>
    </w:p>
    <w:p w14:paraId="5AB3C1C0" w14:textId="77777777" w:rsidR="00431FB2" w:rsidRDefault="00431FB2" w:rsidP="00431FB2">
      <w:pPr>
        <w:pStyle w:val="ListParagraph"/>
        <w:numPr>
          <w:ilvl w:val="0"/>
          <w:numId w:val="11"/>
        </w:numPr>
      </w:pPr>
      <w:r>
        <w:t>Adult patients with polycythemia vera who are resistant or intolerant of hydroxyurea.</w:t>
      </w:r>
    </w:p>
    <w:p w14:paraId="3D1CC7C1" w14:textId="77777777" w:rsidR="00431FB2" w:rsidRDefault="00431FB2" w:rsidP="00431FB2">
      <w:pPr>
        <w:pStyle w:val="Heading2"/>
      </w:pPr>
      <w:r>
        <w:t>Dosage and administration</w:t>
      </w:r>
      <w:r w:rsidR="00097FE4" w:rsidRPr="00097FE4">
        <w:rPr>
          <w:vertAlign w:val="superscript"/>
        </w:rPr>
        <w:fldChar w:fldCharType="begin"/>
      </w:r>
      <w:r w:rsidR="00097FE4" w:rsidRPr="00097FE4">
        <w:rPr>
          <w:vertAlign w:val="superscript"/>
        </w:rPr>
        <w:instrText xml:space="preserve"> NOTEREF _Ref522719351 \h </w:instrText>
      </w:r>
      <w:r w:rsidR="00097FE4">
        <w:rPr>
          <w:vertAlign w:val="superscript"/>
        </w:rPr>
        <w:instrText xml:space="preserve"> \* MERGEFORMAT </w:instrText>
      </w:r>
      <w:r w:rsidR="00097FE4" w:rsidRPr="00097FE4">
        <w:rPr>
          <w:vertAlign w:val="superscript"/>
        </w:rPr>
      </w:r>
      <w:r w:rsidR="00097FE4" w:rsidRPr="00097FE4">
        <w:rPr>
          <w:vertAlign w:val="superscript"/>
        </w:rPr>
        <w:fldChar w:fldCharType="separate"/>
      </w:r>
      <w:r w:rsidR="00C47E40">
        <w:rPr>
          <w:vertAlign w:val="superscript"/>
        </w:rPr>
        <w:t>6</w:t>
      </w:r>
      <w:r w:rsidR="00097FE4" w:rsidRPr="00097FE4">
        <w:rPr>
          <w:vertAlign w:val="superscript"/>
        </w:rPr>
        <w:fldChar w:fldCharType="end"/>
      </w:r>
    </w:p>
    <w:p w14:paraId="14280B43" w14:textId="77777777" w:rsidR="00431FB2" w:rsidRPr="00C557C3" w:rsidRDefault="00431FB2" w:rsidP="00431FB2">
      <w:r>
        <w:t>A blood cell count must be performed before initiating therapy with ruxolitinib. Complete blood counts should be monitored every 2 to 4 weeks until doses are stabilised, and then as clinically indicated. Ruxolitinib is given orally twice daily with or without food in myelofibrosis. The recommended starting dose is based on platelet count as shown in Table 1.</w:t>
      </w:r>
    </w:p>
    <w:p w14:paraId="5F44BC24" w14:textId="77777777" w:rsidR="00431FB2" w:rsidRPr="00141AFF" w:rsidRDefault="00431FB2" w:rsidP="00431FB2">
      <w:pPr>
        <w:pStyle w:val="Tabletitle"/>
      </w:pPr>
      <w:r w:rsidRPr="00141AFF">
        <w:t xml:space="preserve">Table 1: </w:t>
      </w:r>
      <w:r>
        <w:t>Recommended starting dose</w:t>
      </w:r>
      <w:r w:rsidRPr="00141AFF">
        <w:t xml:space="preserve"> of ruxolitinib</w:t>
      </w:r>
    </w:p>
    <w:tbl>
      <w:tblPr>
        <w:tblStyle w:val="TableGrid"/>
        <w:tblW w:w="6520" w:type="dxa"/>
        <w:tblLook w:val="04A0" w:firstRow="1" w:lastRow="0" w:firstColumn="1" w:lastColumn="0" w:noHBand="0" w:noVBand="1"/>
        <w:tblCaption w:val="Table 1: Recommended starting dose of ruxolitinib"/>
      </w:tblPr>
      <w:tblGrid>
        <w:gridCol w:w="3544"/>
        <w:gridCol w:w="2976"/>
      </w:tblGrid>
      <w:tr w:rsidR="00431FB2" w:rsidRPr="00A35800" w14:paraId="349C61DC" w14:textId="77777777" w:rsidTr="00493611">
        <w:trPr>
          <w:cantSplit/>
          <w:tblHeader/>
        </w:trPr>
        <w:tc>
          <w:tcPr>
            <w:tcW w:w="3544" w:type="dxa"/>
            <w:shd w:val="clear" w:color="auto" w:fill="BFBFBF" w:themeFill="background1" w:themeFillShade="BF"/>
          </w:tcPr>
          <w:p w14:paraId="6AF290C2" w14:textId="77777777" w:rsidR="00431FB2" w:rsidRPr="00A35800" w:rsidRDefault="00431FB2" w:rsidP="00495EE0">
            <w:pPr>
              <w:pStyle w:val="Tableheading"/>
              <w:rPr>
                <w:sz w:val="20"/>
                <w:szCs w:val="20"/>
              </w:rPr>
            </w:pPr>
            <w:r>
              <w:rPr>
                <w:sz w:val="20"/>
                <w:szCs w:val="20"/>
              </w:rPr>
              <w:t>Platelet Count</w:t>
            </w:r>
          </w:p>
        </w:tc>
        <w:tc>
          <w:tcPr>
            <w:tcW w:w="2976" w:type="dxa"/>
            <w:shd w:val="clear" w:color="auto" w:fill="BFBFBF" w:themeFill="background1" w:themeFillShade="BF"/>
          </w:tcPr>
          <w:p w14:paraId="76A860F4" w14:textId="77777777" w:rsidR="00431FB2" w:rsidRPr="00A35800" w:rsidRDefault="00431FB2" w:rsidP="00495EE0">
            <w:pPr>
              <w:pStyle w:val="Tableheading"/>
              <w:rPr>
                <w:sz w:val="20"/>
                <w:szCs w:val="20"/>
              </w:rPr>
            </w:pPr>
            <w:r>
              <w:rPr>
                <w:sz w:val="20"/>
                <w:szCs w:val="20"/>
              </w:rPr>
              <w:t>Starting d</w:t>
            </w:r>
            <w:r w:rsidRPr="00A35800">
              <w:rPr>
                <w:sz w:val="20"/>
                <w:szCs w:val="20"/>
              </w:rPr>
              <w:t xml:space="preserve">ose and frequency of administration </w:t>
            </w:r>
          </w:p>
        </w:tc>
      </w:tr>
      <w:tr w:rsidR="00431FB2" w:rsidRPr="00A35800" w14:paraId="1213F14F" w14:textId="77777777" w:rsidTr="00495EE0">
        <w:trPr>
          <w:cantSplit/>
        </w:trPr>
        <w:tc>
          <w:tcPr>
            <w:tcW w:w="3544" w:type="dxa"/>
          </w:tcPr>
          <w:p w14:paraId="6E62FA14" w14:textId="77777777" w:rsidR="00431FB2" w:rsidRPr="00141AFF" w:rsidRDefault="00431FB2" w:rsidP="00495EE0">
            <w:pPr>
              <w:pStyle w:val="Tablewriting"/>
              <w:jc w:val="center"/>
            </w:pPr>
            <w:r>
              <w:t>50-100 x 10</w:t>
            </w:r>
            <w:r w:rsidRPr="00141AFF">
              <w:rPr>
                <w:vertAlign w:val="superscript"/>
              </w:rPr>
              <w:t>9</w:t>
            </w:r>
            <w:r>
              <w:t>/L</w:t>
            </w:r>
          </w:p>
        </w:tc>
        <w:tc>
          <w:tcPr>
            <w:tcW w:w="2976" w:type="dxa"/>
          </w:tcPr>
          <w:p w14:paraId="6620C434" w14:textId="77777777" w:rsidR="00431FB2" w:rsidRPr="00A35800" w:rsidRDefault="00431FB2" w:rsidP="00495EE0">
            <w:pPr>
              <w:pStyle w:val="Tablewriting"/>
              <w:jc w:val="center"/>
            </w:pPr>
            <w:r>
              <w:t>oral 5 mg twice daily</w:t>
            </w:r>
          </w:p>
        </w:tc>
      </w:tr>
      <w:tr w:rsidR="00431FB2" w:rsidRPr="00A35800" w14:paraId="51CA51C2" w14:textId="77777777" w:rsidTr="00495EE0">
        <w:trPr>
          <w:cantSplit/>
        </w:trPr>
        <w:tc>
          <w:tcPr>
            <w:tcW w:w="3544" w:type="dxa"/>
          </w:tcPr>
          <w:p w14:paraId="221D2530" w14:textId="77777777" w:rsidR="00431FB2" w:rsidRDefault="00431FB2" w:rsidP="00495EE0">
            <w:pPr>
              <w:pStyle w:val="Tablewriting"/>
              <w:jc w:val="center"/>
            </w:pPr>
            <w:r>
              <w:t>100-200 x 10</w:t>
            </w:r>
            <w:r w:rsidRPr="00141AFF">
              <w:rPr>
                <w:vertAlign w:val="superscript"/>
              </w:rPr>
              <w:t>9</w:t>
            </w:r>
            <w:r>
              <w:t>/L</w:t>
            </w:r>
          </w:p>
        </w:tc>
        <w:tc>
          <w:tcPr>
            <w:tcW w:w="2976" w:type="dxa"/>
          </w:tcPr>
          <w:p w14:paraId="532872D6" w14:textId="77777777" w:rsidR="00431FB2" w:rsidRPr="00A35800" w:rsidRDefault="00431FB2" w:rsidP="00495EE0">
            <w:pPr>
              <w:pStyle w:val="Tablewriting"/>
              <w:jc w:val="center"/>
            </w:pPr>
            <w:r>
              <w:t>oral 15 mg twice daily</w:t>
            </w:r>
          </w:p>
        </w:tc>
      </w:tr>
      <w:tr w:rsidR="00431FB2" w:rsidRPr="00A35800" w14:paraId="5F98552B" w14:textId="77777777" w:rsidTr="00495EE0">
        <w:trPr>
          <w:cantSplit/>
        </w:trPr>
        <w:tc>
          <w:tcPr>
            <w:tcW w:w="3544" w:type="dxa"/>
          </w:tcPr>
          <w:p w14:paraId="59AF6D65" w14:textId="77777777" w:rsidR="00431FB2" w:rsidRDefault="00431FB2" w:rsidP="00495EE0">
            <w:pPr>
              <w:pStyle w:val="Tablewriting"/>
              <w:jc w:val="center"/>
            </w:pPr>
            <w:r>
              <w:t>&gt;200 x 10</w:t>
            </w:r>
            <w:r w:rsidRPr="00141AFF">
              <w:rPr>
                <w:vertAlign w:val="superscript"/>
              </w:rPr>
              <w:t>9</w:t>
            </w:r>
            <w:r>
              <w:t>/L</w:t>
            </w:r>
          </w:p>
        </w:tc>
        <w:tc>
          <w:tcPr>
            <w:tcW w:w="2976" w:type="dxa"/>
          </w:tcPr>
          <w:p w14:paraId="3A04A770" w14:textId="77777777" w:rsidR="00431FB2" w:rsidRPr="00A35800" w:rsidRDefault="00431FB2" w:rsidP="00495EE0">
            <w:pPr>
              <w:pStyle w:val="Tablewriting"/>
              <w:jc w:val="center"/>
            </w:pPr>
            <w:r>
              <w:t>oral 20 mg twice daily</w:t>
            </w:r>
          </w:p>
        </w:tc>
      </w:tr>
    </w:tbl>
    <w:p w14:paraId="72083885" w14:textId="77777777" w:rsidR="00431FB2" w:rsidRPr="00025C65" w:rsidRDefault="00431FB2" w:rsidP="00431FB2">
      <w:pPr>
        <w:pStyle w:val="Notes"/>
      </w:pPr>
      <w:r w:rsidRPr="00025C65">
        <w:t xml:space="preserve">Source: </w:t>
      </w:r>
      <w:hyperlink r:id="rId8" w:history="1">
        <w:r w:rsidRPr="00025C65">
          <w:rPr>
            <w:rStyle w:val="Hyperlink"/>
          </w:rPr>
          <w:t>Product Information</w:t>
        </w:r>
      </w:hyperlink>
      <w:r w:rsidR="00097FE4" w:rsidRPr="00097FE4">
        <w:rPr>
          <w:rStyle w:val="Hyperlink"/>
          <w:vertAlign w:val="superscript"/>
        </w:rPr>
        <w:fldChar w:fldCharType="begin"/>
      </w:r>
      <w:r w:rsidR="00097FE4" w:rsidRPr="00097FE4">
        <w:rPr>
          <w:rStyle w:val="Hyperlink"/>
          <w:vertAlign w:val="superscript"/>
        </w:rPr>
        <w:instrText xml:space="preserve"> NOTEREF _Ref522719351 \h </w:instrText>
      </w:r>
      <w:r w:rsidR="00097FE4">
        <w:rPr>
          <w:rStyle w:val="Hyperlink"/>
          <w:vertAlign w:val="superscript"/>
        </w:rPr>
        <w:instrText xml:space="preserve"> \* MERGEFORMAT </w:instrText>
      </w:r>
      <w:r w:rsidR="00097FE4" w:rsidRPr="00097FE4">
        <w:rPr>
          <w:rStyle w:val="Hyperlink"/>
          <w:vertAlign w:val="superscript"/>
        </w:rPr>
      </w:r>
      <w:r w:rsidR="00097FE4" w:rsidRPr="00097FE4">
        <w:rPr>
          <w:rStyle w:val="Hyperlink"/>
          <w:vertAlign w:val="superscript"/>
        </w:rPr>
        <w:fldChar w:fldCharType="separate"/>
      </w:r>
      <w:r w:rsidR="00C47E40">
        <w:rPr>
          <w:rStyle w:val="Hyperlink"/>
          <w:vertAlign w:val="superscript"/>
        </w:rPr>
        <w:t>6</w:t>
      </w:r>
      <w:r w:rsidR="00097FE4" w:rsidRPr="00097FE4">
        <w:rPr>
          <w:rStyle w:val="Hyperlink"/>
          <w:vertAlign w:val="superscript"/>
        </w:rPr>
        <w:fldChar w:fldCharType="end"/>
      </w:r>
    </w:p>
    <w:p w14:paraId="406D47B8" w14:textId="77777777" w:rsidR="00431FB2" w:rsidRDefault="00431FB2" w:rsidP="00431FB2">
      <w:r>
        <w:t>The dose is then titrated based on efficacy and safety. The maximum dose is 25</w:t>
      </w:r>
      <w:r w:rsidR="00A45FF9">
        <w:t> </w:t>
      </w:r>
      <w:r>
        <w:t>mg twice daily.</w:t>
      </w:r>
    </w:p>
    <w:p w14:paraId="3B652BFF" w14:textId="77777777" w:rsidR="00431FB2" w:rsidRDefault="00431FB2" w:rsidP="00431FB2">
      <w:r>
        <w:t>The dose is reduced or treatment interrupted if the platelet count decreases below certain levels. Dose adjustment is also needed with concomitant strong CYP34A inhibitors or fluconazole, in patients with moderate or severe renal impairment</w:t>
      </w:r>
      <w:r w:rsidR="00A45FF9">
        <w:t>,</w:t>
      </w:r>
      <w:r>
        <w:t xml:space="preserve"> and in patients with hepatic impairment.</w:t>
      </w:r>
      <w:r w:rsidRPr="00096A58">
        <w:t xml:space="preserve"> </w:t>
      </w:r>
      <w:r>
        <w:t>S</w:t>
      </w:r>
      <w:r w:rsidRPr="00096A58">
        <w:t>ee</w:t>
      </w:r>
      <w:r w:rsidR="00A45FF9">
        <w:t xml:space="preserve"> the</w:t>
      </w:r>
      <w:r w:rsidRPr="00096A58">
        <w:t xml:space="preserve"> </w:t>
      </w:r>
      <w:hyperlink r:id="rId9" w:history="1">
        <w:r w:rsidRPr="00E96E4D">
          <w:rPr>
            <w:rStyle w:val="Hyperlink"/>
          </w:rPr>
          <w:t>Product Information</w:t>
        </w:r>
      </w:hyperlink>
      <w:r w:rsidR="001E6C91" w:rsidRPr="001E6C91">
        <w:rPr>
          <w:rStyle w:val="Hyperlink"/>
          <w:vertAlign w:val="superscript"/>
        </w:rPr>
        <w:fldChar w:fldCharType="begin"/>
      </w:r>
      <w:r w:rsidR="001E6C91" w:rsidRPr="001E6C91">
        <w:rPr>
          <w:rStyle w:val="Hyperlink"/>
          <w:vertAlign w:val="superscript"/>
        </w:rPr>
        <w:instrText xml:space="preserve"> NOTEREF _Ref522719351 \h </w:instrText>
      </w:r>
      <w:r w:rsidR="001E6C91">
        <w:rPr>
          <w:rStyle w:val="Hyperlink"/>
          <w:vertAlign w:val="superscript"/>
        </w:rPr>
        <w:instrText xml:space="preserve"> \* MERGEFORMAT </w:instrText>
      </w:r>
      <w:r w:rsidR="001E6C91" w:rsidRPr="001E6C91">
        <w:rPr>
          <w:rStyle w:val="Hyperlink"/>
          <w:vertAlign w:val="superscript"/>
        </w:rPr>
      </w:r>
      <w:r w:rsidR="001E6C91" w:rsidRPr="001E6C91">
        <w:rPr>
          <w:rStyle w:val="Hyperlink"/>
          <w:vertAlign w:val="superscript"/>
        </w:rPr>
        <w:fldChar w:fldCharType="separate"/>
      </w:r>
      <w:r w:rsidR="00C47E40">
        <w:rPr>
          <w:rStyle w:val="Hyperlink"/>
          <w:vertAlign w:val="superscript"/>
        </w:rPr>
        <w:t>6</w:t>
      </w:r>
      <w:r w:rsidR="001E6C91" w:rsidRPr="001E6C91">
        <w:rPr>
          <w:rStyle w:val="Hyperlink"/>
          <w:vertAlign w:val="superscript"/>
        </w:rPr>
        <w:fldChar w:fldCharType="end"/>
      </w:r>
      <w:r w:rsidRPr="00096A58">
        <w:t xml:space="preserve"> for full details</w:t>
      </w:r>
      <w:r>
        <w:t>.</w:t>
      </w:r>
    </w:p>
    <w:p w14:paraId="33559A6C" w14:textId="77777777" w:rsidR="00431FB2" w:rsidRPr="00CE5165" w:rsidDel="00EE2BBB" w:rsidRDefault="00431FB2" w:rsidP="00431FB2">
      <w:r w:rsidRPr="002F61CA">
        <w:t xml:space="preserve">The current Product Information (PI) and Consumer Medicine Information (CMI) are available from </w:t>
      </w:r>
      <w:hyperlink r:id="rId10" w:history="1">
        <w:r>
          <w:rPr>
            <w:rStyle w:val="Hyperlink"/>
          </w:rPr>
          <w:t>the TGA (Product Information)</w:t>
        </w:r>
      </w:hyperlink>
      <w:r>
        <w:t xml:space="preserve"> and </w:t>
      </w:r>
      <w:hyperlink r:id="rId11" w:history="1">
        <w:r>
          <w:rPr>
            <w:rStyle w:val="Hyperlink"/>
          </w:rPr>
          <w:t>the TGA (Consumer Medicines Information)</w:t>
        </w:r>
      </w:hyperlink>
      <w:r>
        <w:t>.</w:t>
      </w:r>
    </w:p>
    <w:p w14:paraId="7611F154" w14:textId="77777777" w:rsidR="00431FB2" w:rsidRPr="007247B9" w:rsidDel="00EE2BBB" w:rsidRDefault="00431FB2" w:rsidP="00431FB2">
      <w:pPr>
        <w:pStyle w:val="Heading2"/>
      </w:pPr>
      <w:r w:rsidRPr="007247B9" w:rsidDel="00EE2BBB">
        <w:t>PBS listing details</w:t>
      </w:r>
      <w:r>
        <w:t xml:space="preserve"> (</w:t>
      </w:r>
      <w:r w:rsidDel="00EE2BBB">
        <w:t xml:space="preserve">as at </w:t>
      </w:r>
      <w:r>
        <w:t>July 2018)</w:t>
      </w:r>
    </w:p>
    <w:p w14:paraId="29642A63" w14:textId="77777777" w:rsidR="00431FB2" w:rsidRDefault="00431FB2" w:rsidP="004C3356">
      <w:pPr>
        <w:pStyle w:val="Heading3"/>
      </w:pPr>
      <w:r w:rsidRPr="00CE5165">
        <w:lastRenderedPageBreak/>
        <w:t>Date of listing on PBS</w:t>
      </w:r>
    </w:p>
    <w:p w14:paraId="02BAF002" w14:textId="77777777" w:rsidR="00431FB2" w:rsidRPr="00CE5165" w:rsidDel="00EE2BBB" w:rsidRDefault="00431FB2" w:rsidP="00431FB2">
      <w:r>
        <w:t>The 5</w:t>
      </w:r>
      <w:r w:rsidR="00A45FF9">
        <w:t> </w:t>
      </w:r>
      <w:r>
        <w:t>mg, 15</w:t>
      </w:r>
      <w:r w:rsidR="00A45FF9">
        <w:t> </w:t>
      </w:r>
      <w:r>
        <w:t>mg and 20</w:t>
      </w:r>
      <w:r w:rsidR="00A45FF9">
        <w:t> </w:t>
      </w:r>
      <w:r>
        <w:t>mg strengths of ruxolitinib were PBS listed on 1 February 2016 and the 10</w:t>
      </w:r>
      <w:r w:rsidR="00A45FF9">
        <w:t> </w:t>
      </w:r>
      <w:r>
        <w:t xml:space="preserve">mg strength on 1 November 2016. The PBS item codes are shown in Table 2.  </w:t>
      </w:r>
    </w:p>
    <w:p w14:paraId="5896409C" w14:textId="77777777" w:rsidR="00431FB2" w:rsidRPr="001420B3" w:rsidDel="00EE2BBB" w:rsidRDefault="00431FB2" w:rsidP="00431FB2">
      <w:pPr>
        <w:pStyle w:val="Tabletitle"/>
      </w:pPr>
      <w:r>
        <w:t>Table 2</w:t>
      </w:r>
      <w:r w:rsidRPr="001420B3" w:rsidDel="00EE2BBB">
        <w:t xml:space="preserve">: </w:t>
      </w:r>
      <w:r w:rsidDel="00EE2BBB">
        <w:t xml:space="preserve">PBS listing of </w:t>
      </w:r>
      <w:r>
        <w:t>ruxolitinib</w:t>
      </w:r>
    </w:p>
    <w:tbl>
      <w:tblPr>
        <w:tblStyle w:val="TableGrid"/>
        <w:tblW w:w="9065" w:type="dxa"/>
        <w:tblLayout w:type="fixed"/>
        <w:tblLook w:val="04A0" w:firstRow="1" w:lastRow="0" w:firstColumn="1" w:lastColumn="0" w:noHBand="0" w:noVBand="1"/>
        <w:tblCaption w:val="Table 2: PBS listing of ruxolitinib"/>
      </w:tblPr>
      <w:tblGrid>
        <w:gridCol w:w="959"/>
        <w:gridCol w:w="2494"/>
        <w:gridCol w:w="1134"/>
        <w:gridCol w:w="1247"/>
        <w:gridCol w:w="624"/>
        <w:gridCol w:w="1020"/>
        <w:gridCol w:w="1587"/>
      </w:tblGrid>
      <w:tr w:rsidR="00432A9A" w:rsidRPr="00A35800" w:rsidDel="00EE2BBB" w14:paraId="5C99FA45" w14:textId="77777777" w:rsidTr="00432A9A">
        <w:trPr>
          <w:trHeight w:val="694"/>
          <w:tblHeader/>
        </w:trPr>
        <w:tc>
          <w:tcPr>
            <w:tcW w:w="959" w:type="dxa"/>
            <w:shd w:val="clear" w:color="auto" w:fill="BFBFBF" w:themeFill="background1" w:themeFillShade="BF"/>
          </w:tcPr>
          <w:p w14:paraId="1739903F" w14:textId="77777777" w:rsidR="00431FB2" w:rsidRPr="00A35800" w:rsidDel="00EE2BBB" w:rsidRDefault="00431FB2" w:rsidP="00495EE0">
            <w:pPr>
              <w:pStyle w:val="Tableheading"/>
              <w:rPr>
                <w:sz w:val="20"/>
                <w:szCs w:val="20"/>
              </w:rPr>
            </w:pPr>
            <w:r w:rsidRPr="00A35800" w:rsidDel="00EE2BBB">
              <w:rPr>
                <w:sz w:val="20"/>
                <w:szCs w:val="20"/>
              </w:rPr>
              <w:t>Item</w:t>
            </w:r>
          </w:p>
        </w:tc>
        <w:tc>
          <w:tcPr>
            <w:tcW w:w="2494" w:type="dxa"/>
            <w:shd w:val="clear" w:color="auto" w:fill="BFBFBF" w:themeFill="background1" w:themeFillShade="BF"/>
          </w:tcPr>
          <w:p w14:paraId="165F76C3" w14:textId="77777777" w:rsidR="00431FB2" w:rsidRPr="00A35800" w:rsidDel="00EE2BBB" w:rsidRDefault="00431FB2" w:rsidP="00495EE0">
            <w:pPr>
              <w:pStyle w:val="Tableheading"/>
              <w:rPr>
                <w:sz w:val="20"/>
                <w:szCs w:val="20"/>
              </w:rPr>
            </w:pPr>
            <w:r w:rsidRPr="00A35800" w:rsidDel="00EE2BBB">
              <w:rPr>
                <w:sz w:val="20"/>
                <w:szCs w:val="20"/>
              </w:rPr>
              <w:t>Name, form &amp; strength, pack size</w:t>
            </w:r>
          </w:p>
        </w:tc>
        <w:tc>
          <w:tcPr>
            <w:tcW w:w="1134" w:type="dxa"/>
            <w:shd w:val="clear" w:color="auto" w:fill="BFBFBF" w:themeFill="background1" w:themeFillShade="BF"/>
          </w:tcPr>
          <w:p w14:paraId="675BE151" w14:textId="77777777" w:rsidR="00431FB2" w:rsidRPr="00A35800" w:rsidDel="00EE2BBB" w:rsidRDefault="00431FB2" w:rsidP="00495EE0">
            <w:pPr>
              <w:pStyle w:val="Tableheading"/>
              <w:rPr>
                <w:sz w:val="20"/>
                <w:szCs w:val="20"/>
              </w:rPr>
            </w:pPr>
            <w:r>
              <w:rPr>
                <w:sz w:val="20"/>
                <w:szCs w:val="20"/>
              </w:rPr>
              <w:t>Treatment Phase</w:t>
            </w:r>
          </w:p>
        </w:tc>
        <w:tc>
          <w:tcPr>
            <w:tcW w:w="1247" w:type="dxa"/>
            <w:shd w:val="clear" w:color="auto" w:fill="BFBFBF" w:themeFill="background1" w:themeFillShade="BF"/>
          </w:tcPr>
          <w:p w14:paraId="4ADFCF65" w14:textId="77777777" w:rsidR="00431FB2" w:rsidRPr="00A35800" w:rsidDel="00EE2BBB" w:rsidRDefault="00431FB2" w:rsidP="00432A9A">
            <w:pPr>
              <w:pStyle w:val="Tableheading"/>
              <w:rPr>
                <w:sz w:val="20"/>
                <w:szCs w:val="20"/>
              </w:rPr>
            </w:pPr>
            <w:r w:rsidRPr="00A35800" w:rsidDel="00EE2BBB">
              <w:rPr>
                <w:sz w:val="20"/>
                <w:szCs w:val="20"/>
              </w:rPr>
              <w:t>Max. quant.</w:t>
            </w:r>
            <w:r w:rsidR="00432A9A">
              <w:rPr>
                <w:sz w:val="20"/>
                <w:szCs w:val="20"/>
              </w:rPr>
              <w:br/>
            </w:r>
            <w:r>
              <w:rPr>
                <w:sz w:val="20"/>
                <w:szCs w:val="20"/>
              </w:rPr>
              <w:t>(tablets)</w:t>
            </w:r>
            <w:r w:rsidRPr="00A35800" w:rsidDel="00EE2BBB">
              <w:rPr>
                <w:sz w:val="20"/>
                <w:szCs w:val="20"/>
              </w:rPr>
              <w:t xml:space="preserve"> </w:t>
            </w:r>
          </w:p>
        </w:tc>
        <w:tc>
          <w:tcPr>
            <w:tcW w:w="624" w:type="dxa"/>
            <w:shd w:val="clear" w:color="auto" w:fill="BFBFBF" w:themeFill="background1" w:themeFillShade="BF"/>
          </w:tcPr>
          <w:p w14:paraId="07242FE9" w14:textId="77777777" w:rsidR="00431FB2" w:rsidRPr="00A35800" w:rsidDel="00EE2BBB" w:rsidRDefault="00431FB2" w:rsidP="00432A9A">
            <w:pPr>
              <w:pStyle w:val="Tableheading"/>
              <w:rPr>
                <w:sz w:val="20"/>
                <w:szCs w:val="20"/>
              </w:rPr>
            </w:pPr>
            <w:r w:rsidRPr="00A35800" w:rsidDel="00EE2BBB">
              <w:rPr>
                <w:sz w:val="20"/>
                <w:szCs w:val="20"/>
              </w:rPr>
              <w:t>Rpts</w:t>
            </w:r>
          </w:p>
        </w:tc>
        <w:tc>
          <w:tcPr>
            <w:tcW w:w="1020" w:type="dxa"/>
            <w:shd w:val="clear" w:color="auto" w:fill="BFBFBF" w:themeFill="background1" w:themeFillShade="BF"/>
          </w:tcPr>
          <w:p w14:paraId="124EA56F" w14:textId="77777777" w:rsidR="00431FB2" w:rsidRPr="00A35800" w:rsidDel="00EE2BBB" w:rsidRDefault="00431FB2" w:rsidP="00495EE0">
            <w:pPr>
              <w:pStyle w:val="Tableheading"/>
              <w:rPr>
                <w:sz w:val="20"/>
                <w:szCs w:val="20"/>
              </w:rPr>
            </w:pPr>
            <w:r w:rsidRPr="00A35800" w:rsidDel="00EE2BBB">
              <w:rPr>
                <w:sz w:val="20"/>
                <w:szCs w:val="20"/>
              </w:rPr>
              <w:t>DPMQ</w:t>
            </w:r>
            <w:r w:rsidR="00810C69">
              <w:rPr>
                <w:sz w:val="20"/>
                <w:szCs w:val="20"/>
              </w:rPr>
              <w:t>*</w:t>
            </w:r>
          </w:p>
        </w:tc>
        <w:tc>
          <w:tcPr>
            <w:tcW w:w="1587" w:type="dxa"/>
            <w:shd w:val="clear" w:color="auto" w:fill="BFBFBF" w:themeFill="background1" w:themeFillShade="BF"/>
          </w:tcPr>
          <w:p w14:paraId="6E2D581B" w14:textId="77777777" w:rsidR="00431FB2" w:rsidRPr="00A35800" w:rsidDel="00EE2BBB" w:rsidRDefault="00431FB2" w:rsidP="00495EE0">
            <w:pPr>
              <w:pStyle w:val="Tableheading"/>
              <w:rPr>
                <w:sz w:val="20"/>
                <w:szCs w:val="20"/>
              </w:rPr>
            </w:pPr>
            <w:r w:rsidRPr="00A35800" w:rsidDel="00EE2BBB">
              <w:rPr>
                <w:sz w:val="20"/>
                <w:szCs w:val="20"/>
              </w:rPr>
              <w:t>Brand name and manufacturer</w:t>
            </w:r>
          </w:p>
        </w:tc>
      </w:tr>
      <w:tr w:rsidR="00432A9A" w:rsidRPr="00A35800" w:rsidDel="00EE2BBB" w14:paraId="13D42223" w14:textId="77777777" w:rsidTr="00432A9A">
        <w:trPr>
          <w:trHeight w:val="20"/>
          <w:tblHeader/>
        </w:trPr>
        <w:tc>
          <w:tcPr>
            <w:tcW w:w="959" w:type="dxa"/>
            <w:shd w:val="clear" w:color="auto" w:fill="auto"/>
          </w:tcPr>
          <w:p w14:paraId="1A2309A7" w14:textId="77777777" w:rsidR="00431FB2" w:rsidRPr="006B31EB" w:rsidDel="00EE2BBB" w:rsidRDefault="00431FB2" w:rsidP="00495EE0">
            <w:pPr>
              <w:pStyle w:val="Tablewriting"/>
              <w:spacing w:before="0" w:after="0"/>
            </w:pPr>
            <w:r w:rsidRPr="006B31EB">
              <w:t>10614P</w:t>
            </w:r>
          </w:p>
        </w:tc>
        <w:tc>
          <w:tcPr>
            <w:tcW w:w="2494" w:type="dxa"/>
            <w:shd w:val="clear" w:color="auto" w:fill="auto"/>
          </w:tcPr>
          <w:p w14:paraId="4D360450" w14:textId="77777777" w:rsidR="00431FB2" w:rsidRPr="006B31EB" w:rsidDel="00EE2BBB" w:rsidRDefault="00431FB2" w:rsidP="00495EE0">
            <w:pPr>
              <w:pStyle w:val="Tablewriting"/>
              <w:spacing w:before="0" w:after="0"/>
            </w:pPr>
            <w:r w:rsidRPr="006B31EB">
              <w:t>Ruxolitinib 5 mg tablet, 56</w:t>
            </w:r>
          </w:p>
        </w:tc>
        <w:tc>
          <w:tcPr>
            <w:tcW w:w="1134" w:type="dxa"/>
          </w:tcPr>
          <w:p w14:paraId="2C505731" w14:textId="77777777" w:rsidR="00431FB2" w:rsidRPr="006B31EB" w:rsidRDefault="00431FB2" w:rsidP="00495EE0">
            <w:pPr>
              <w:pStyle w:val="Tablewriting"/>
              <w:spacing w:before="0" w:after="0"/>
              <w:jc w:val="center"/>
            </w:pPr>
            <w:r>
              <w:t>Initial</w:t>
            </w:r>
          </w:p>
        </w:tc>
        <w:tc>
          <w:tcPr>
            <w:tcW w:w="1247" w:type="dxa"/>
            <w:shd w:val="clear" w:color="auto" w:fill="auto"/>
          </w:tcPr>
          <w:p w14:paraId="212DBC62" w14:textId="77777777" w:rsidR="00431FB2" w:rsidRPr="006B31EB" w:rsidDel="00EE2BBB" w:rsidRDefault="00431FB2" w:rsidP="00495EE0">
            <w:pPr>
              <w:pStyle w:val="Tablewriting"/>
              <w:spacing w:before="0" w:after="0"/>
              <w:jc w:val="center"/>
            </w:pPr>
            <w:r w:rsidRPr="006B31EB">
              <w:t>112</w:t>
            </w:r>
          </w:p>
        </w:tc>
        <w:tc>
          <w:tcPr>
            <w:tcW w:w="624" w:type="dxa"/>
            <w:shd w:val="clear" w:color="auto" w:fill="auto"/>
          </w:tcPr>
          <w:p w14:paraId="72A0BD50" w14:textId="77777777" w:rsidR="00431FB2" w:rsidRPr="006B31EB" w:rsidDel="00EE2BBB" w:rsidRDefault="00431FB2" w:rsidP="00495EE0">
            <w:pPr>
              <w:pStyle w:val="Tablewriting"/>
              <w:spacing w:before="0" w:after="0"/>
              <w:jc w:val="center"/>
            </w:pPr>
            <w:r w:rsidRPr="006B31EB">
              <w:t>0</w:t>
            </w:r>
          </w:p>
        </w:tc>
        <w:tc>
          <w:tcPr>
            <w:tcW w:w="1020" w:type="dxa"/>
            <w:shd w:val="clear" w:color="auto" w:fill="auto"/>
          </w:tcPr>
          <w:p w14:paraId="1B8B8B5E" w14:textId="77777777" w:rsidR="00431FB2" w:rsidRPr="006B31EB" w:rsidDel="00EE2BBB" w:rsidRDefault="00431FB2" w:rsidP="00495EE0">
            <w:pPr>
              <w:pStyle w:val="Tablewriting"/>
              <w:spacing w:before="0" w:after="0"/>
            </w:pPr>
            <w:r w:rsidRPr="004E3822">
              <w:t>$5151.04</w:t>
            </w:r>
          </w:p>
        </w:tc>
        <w:tc>
          <w:tcPr>
            <w:tcW w:w="1587" w:type="dxa"/>
            <w:vMerge w:val="restart"/>
            <w:shd w:val="clear" w:color="auto" w:fill="auto"/>
            <w:vAlign w:val="center"/>
          </w:tcPr>
          <w:p w14:paraId="536E5ECD" w14:textId="77777777" w:rsidR="00431FB2" w:rsidRDefault="00431FB2" w:rsidP="00495EE0">
            <w:pPr>
              <w:pStyle w:val="Tablewriting"/>
              <w:jc w:val="center"/>
            </w:pPr>
            <w:r>
              <w:t>Jakavi®</w:t>
            </w:r>
          </w:p>
          <w:p w14:paraId="4C37CD84" w14:textId="77777777" w:rsidR="00431FB2" w:rsidRPr="00A35800" w:rsidDel="00EE2BBB" w:rsidRDefault="00431FB2" w:rsidP="00495EE0">
            <w:pPr>
              <w:pStyle w:val="Tablewriting"/>
              <w:jc w:val="center"/>
            </w:pPr>
            <w:r>
              <w:t>NOVARTIS Pharmaceuticals Australia Pty Limited</w:t>
            </w:r>
          </w:p>
        </w:tc>
      </w:tr>
      <w:tr w:rsidR="00432A9A" w:rsidRPr="00A35800" w:rsidDel="00EE2BBB" w14:paraId="1630BE27" w14:textId="77777777" w:rsidTr="00432A9A">
        <w:trPr>
          <w:trHeight w:val="20"/>
          <w:tblHeader/>
        </w:trPr>
        <w:tc>
          <w:tcPr>
            <w:tcW w:w="959" w:type="dxa"/>
            <w:shd w:val="clear" w:color="auto" w:fill="auto"/>
          </w:tcPr>
          <w:p w14:paraId="4C2E62BE" w14:textId="77777777" w:rsidR="00431FB2" w:rsidRPr="006B31EB" w:rsidRDefault="00431FB2" w:rsidP="00495EE0">
            <w:pPr>
              <w:pStyle w:val="Tablewriting"/>
              <w:spacing w:before="0" w:after="0"/>
            </w:pPr>
            <w:r w:rsidRPr="006B31EB">
              <w:t>10616R</w:t>
            </w:r>
          </w:p>
        </w:tc>
        <w:tc>
          <w:tcPr>
            <w:tcW w:w="2494" w:type="dxa"/>
            <w:shd w:val="clear" w:color="auto" w:fill="auto"/>
          </w:tcPr>
          <w:p w14:paraId="2A8EFE8C" w14:textId="77777777" w:rsidR="00431FB2" w:rsidRPr="006B31EB" w:rsidRDefault="00431FB2" w:rsidP="00495EE0">
            <w:pPr>
              <w:pStyle w:val="Tablewriting"/>
              <w:spacing w:before="0" w:after="0"/>
            </w:pPr>
            <w:r w:rsidRPr="006B31EB">
              <w:t>Ruxolitinib 5 mg tablet, 56</w:t>
            </w:r>
          </w:p>
        </w:tc>
        <w:tc>
          <w:tcPr>
            <w:tcW w:w="1134" w:type="dxa"/>
          </w:tcPr>
          <w:p w14:paraId="4AC80D70" w14:textId="77777777" w:rsidR="00431FB2" w:rsidRPr="006B31EB" w:rsidRDefault="00431FB2" w:rsidP="00495EE0">
            <w:pPr>
              <w:pStyle w:val="Tablewriting"/>
              <w:spacing w:before="0" w:after="0"/>
              <w:jc w:val="center"/>
            </w:pPr>
            <w:r>
              <w:t>Continuing</w:t>
            </w:r>
          </w:p>
        </w:tc>
        <w:tc>
          <w:tcPr>
            <w:tcW w:w="1247" w:type="dxa"/>
            <w:shd w:val="clear" w:color="auto" w:fill="auto"/>
          </w:tcPr>
          <w:p w14:paraId="77B84D96" w14:textId="77777777" w:rsidR="00431FB2" w:rsidRPr="006B31EB" w:rsidRDefault="00431FB2" w:rsidP="00495EE0">
            <w:pPr>
              <w:pStyle w:val="Tablewriting"/>
              <w:spacing w:before="0" w:after="0"/>
              <w:jc w:val="center"/>
            </w:pPr>
            <w:r w:rsidRPr="006B31EB">
              <w:t>112</w:t>
            </w:r>
          </w:p>
        </w:tc>
        <w:tc>
          <w:tcPr>
            <w:tcW w:w="624" w:type="dxa"/>
            <w:shd w:val="clear" w:color="auto" w:fill="auto"/>
          </w:tcPr>
          <w:p w14:paraId="748573C4" w14:textId="77777777" w:rsidR="00431FB2" w:rsidRPr="006B31EB" w:rsidRDefault="00431FB2" w:rsidP="00495EE0">
            <w:pPr>
              <w:pStyle w:val="Tablewriting"/>
              <w:spacing w:before="0" w:after="0"/>
              <w:jc w:val="center"/>
            </w:pPr>
            <w:r w:rsidRPr="006B31EB">
              <w:t>5</w:t>
            </w:r>
          </w:p>
        </w:tc>
        <w:tc>
          <w:tcPr>
            <w:tcW w:w="1020" w:type="dxa"/>
            <w:shd w:val="clear" w:color="auto" w:fill="auto"/>
          </w:tcPr>
          <w:p w14:paraId="3EB72535" w14:textId="77777777" w:rsidR="00431FB2" w:rsidRPr="004E3822" w:rsidRDefault="00431FB2" w:rsidP="00495EE0">
            <w:pPr>
              <w:pStyle w:val="Tablewriting"/>
              <w:spacing w:before="0" w:after="0"/>
            </w:pPr>
            <w:r w:rsidRPr="004E3822">
              <w:t>$5151.04</w:t>
            </w:r>
          </w:p>
        </w:tc>
        <w:tc>
          <w:tcPr>
            <w:tcW w:w="1587" w:type="dxa"/>
            <w:vMerge/>
            <w:shd w:val="clear" w:color="auto" w:fill="auto"/>
          </w:tcPr>
          <w:p w14:paraId="131B379A" w14:textId="77777777" w:rsidR="00431FB2" w:rsidRPr="00A35800" w:rsidDel="00EE2BBB" w:rsidRDefault="00431FB2" w:rsidP="00495EE0">
            <w:pPr>
              <w:pStyle w:val="Tablewriting"/>
            </w:pPr>
          </w:p>
        </w:tc>
      </w:tr>
      <w:tr w:rsidR="00432A9A" w:rsidRPr="00A35800" w:rsidDel="00EE2BBB" w14:paraId="4C35A046" w14:textId="77777777" w:rsidTr="00432A9A">
        <w:trPr>
          <w:trHeight w:val="20"/>
          <w:tblHeader/>
        </w:trPr>
        <w:tc>
          <w:tcPr>
            <w:tcW w:w="959" w:type="dxa"/>
            <w:shd w:val="clear" w:color="auto" w:fill="auto"/>
          </w:tcPr>
          <w:p w14:paraId="66FBA247" w14:textId="77777777" w:rsidR="00431FB2" w:rsidRPr="006B31EB" w:rsidRDefault="00431FB2" w:rsidP="00495EE0">
            <w:pPr>
              <w:pStyle w:val="Tablewriting"/>
              <w:spacing w:before="0" w:after="0"/>
            </w:pPr>
            <w:r w:rsidRPr="006B31EB">
              <w:t>10913J</w:t>
            </w:r>
          </w:p>
        </w:tc>
        <w:tc>
          <w:tcPr>
            <w:tcW w:w="2494" w:type="dxa"/>
            <w:shd w:val="clear" w:color="auto" w:fill="auto"/>
          </w:tcPr>
          <w:p w14:paraId="5E8D5BE7" w14:textId="77777777" w:rsidR="00431FB2" w:rsidRPr="006B31EB" w:rsidRDefault="00431FB2" w:rsidP="00495EE0">
            <w:pPr>
              <w:pStyle w:val="Tablewriting"/>
              <w:spacing w:before="0" w:after="0"/>
            </w:pPr>
            <w:r w:rsidRPr="006B31EB">
              <w:t xml:space="preserve">Ruxolitinib </w:t>
            </w:r>
            <w:r>
              <w:t>1</w:t>
            </w:r>
            <w:r w:rsidRPr="006B31EB">
              <w:t>0 mg tablet, 56</w:t>
            </w:r>
          </w:p>
        </w:tc>
        <w:tc>
          <w:tcPr>
            <w:tcW w:w="1134" w:type="dxa"/>
          </w:tcPr>
          <w:p w14:paraId="700B8C26" w14:textId="77777777" w:rsidR="00431FB2" w:rsidRDefault="00431FB2" w:rsidP="00495EE0">
            <w:pPr>
              <w:pStyle w:val="Tablewriting"/>
              <w:spacing w:before="0" w:after="0"/>
              <w:jc w:val="center"/>
            </w:pPr>
            <w:r>
              <w:t>Initial</w:t>
            </w:r>
          </w:p>
        </w:tc>
        <w:tc>
          <w:tcPr>
            <w:tcW w:w="1247" w:type="dxa"/>
            <w:shd w:val="clear" w:color="auto" w:fill="auto"/>
          </w:tcPr>
          <w:p w14:paraId="060C88D7" w14:textId="77777777" w:rsidR="00431FB2" w:rsidRPr="006B31EB" w:rsidRDefault="00431FB2" w:rsidP="00495EE0">
            <w:pPr>
              <w:pStyle w:val="Tablewriting"/>
              <w:spacing w:before="0" w:after="0"/>
              <w:jc w:val="center"/>
            </w:pPr>
            <w:r w:rsidRPr="006B31EB">
              <w:t>56</w:t>
            </w:r>
          </w:p>
        </w:tc>
        <w:tc>
          <w:tcPr>
            <w:tcW w:w="624" w:type="dxa"/>
            <w:shd w:val="clear" w:color="auto" w:fill="auto"/>
          </w:tcPr>
          <w:p w14:paraId="29EA5D79" w14:textId="77777777" w:rsidR="00431FB2" w:rsidRPr="006B31EB" w:rsidRDefault="00431FB2" w:rsidP="00495EE0">
            <w:pPr>
              <w:pStyle w:val="Tablewriting"/>
              <w:spacing w:before="0" w:after="0"/>
              <w:jc w:val="center"/>
            </w:pPr>
            <w:r w:rsidRPr="006B31EB">
              <w:t>0</w:t>
            </w:r>
          </w:p>
        </w:tc>
        <w:tc>
          <w:tcPr>
            <w:tcW w:w="1020" w:type="dxa"/>
            <w:shd w:val="clear" w:color="auto" w:fill="auto"/>
          </w:tcPr>
          <w:p w14:paraId="1F10BBBB" w14:textId="77777777" w:rsidR="00431FB2" w:rsidRPr="004E3822" w:rsidRDefault="00431FB2" w:rsidP="00495EE0">
            <w:pPr>
              <w:pStyle w:val="Tablewriting"/>
              <w:spacing w:before="0" w:after="0"/>
            </w:pPr>
            <w:r w:rsidRPr="004E3822">
              <w:t>$5151.04</w:t>
            </w:r>
          </w:p>
        </w:tc>
        <w:tc>
          <w:tcPr>
            <w:tcW w:w="1587" w:type="dxa"/>
            <w:vMerge/>
            <w:shd w:val="clear" w:color="auto" w:fill="auto"/>
          </w:tcPr>
          <w:p w14:paraId="5FFEC76E" w14:textId="77777777" w:rsidR="00431FB2" w:rsidRPr="00A35800" w:rsidDel="00EE2BBB" w:rsidRDefault="00431FB2" w:rsidP="00495EE0">
            <w:pPr>
              <w:pStyle w:val="Tablewriting"/>
            </w:pPr>
          </w:p>
        </w:tc>
      </w:tr>
      <w:tr w:rsidR="00432A9A" w:rsidRPr="00A35800" w:rsidDel="00EE2BBB" w14:paraId="1972FEA9" w14:textId="77777777" w:rsidTr="00432A9A">
        <w:trPr>
          <w:trHeight w:val="20"/>
          <w:tblHeader/>
        </w:trPr>
        <w:tc>
          <w:tcPr>
            <w:tcW w:w="959" w:type="dxa"/>
            <w:shd w:val="clear" w:color="auto" w:fill="auto"/>
          </w:tcPr>
          <w:p w14:paraId="40528B0D" w14:textId="77777777" w:rsidR="00431FB2" w:rsidRPr="006B31EB" w:rsidRDefault="00431FB2" w:rsidP="00495EE0">
            <w:pPr>
              <w:pStyle w:val="Tablewriting"/>
              <w:spacing w:before="0" w:after="0"/>
            </w:pPr>
            <w:r w:rsidRPr="006B31EB">
              <w:t>10927D</w:t>
            </w:r>
          </w:p>
        </w:tc>
        <w:tc>
          <w:tcPr>
            <w:tcW w:w="2494" w:type="dxa"/>
            <w:shd w:val="clear" w:color="auto" w:fill="auto"/>
          </w:tcPr>
          <w:p w14:paraId="39AD4199" w14:textId="77777777" w:rsidR="00431FB2" w:rsidRPr="006B31EB" w:rsidRDefault="00431FB2" w:rsidP="00495EE0">
            <w:pPr>
              <w:pStyle w:val="Tablewriting"/>
              <w:spacing w:before="0" w:after="0"/>
            </w:pPr>
            <w:r w:rsidRPr="006B31EB">
              <w:t xml:space="preserve">Ruxolitinib </w:t>
            </w:r>
            <w:r>
              <w:t>1</w:t>
            </w:r>
            <w:r w:rsidRPr="006B31EB">
              <w:t xml:space="preserve">0 mg tablet, 56 </w:t>
            </w:r>
          </w:p>
        </w:tc>
        <w:tc>
          <w:tcPr>
            <w:tcW w:w="1134" w:type="dxa"/>
          </w:tcPr>
          <w:p w14:paraId="46BA562F" w14:textId="77777777" w:rsidR="00431FB2" w:rsidRDefault="00431FB2" w:rsidP="00495EE0">
            <w:pPr>
              <w:pStyle w:val="Tablewriting"/>
              <w:spacing w:before="0" w:after="0"/>
              <w:jc w:val="center"/>
            </w:pPr>
            <w:r>
              <w:t>Continuing</w:t>
            </w:r>
          </w:p>
        </w:tc>
        <w:tc>
          <w:tcPr>
            <w:tcW w:w="1247" w:type="dxa"/>
            <w:shd w:val="clear" w:color="auto" w:fill="auto"/>
          </w:tcPr>
          <w:p w14:paraId="75892D7A" w14:textId="77777777" w:rsidR="00431FB2" w:rsidRPr="006B31EB" w:rsidRDefault="00431FB2" w:rsidP="00495EE0">
            <w:pPr>
              <w:pStyle w:val="Tablewriting"/>
              <w:spacing w:before="0" w:after="0"/>
              <w:jc w:val="center"/>
            </w:pPr>
            <w:r w:rsidRPr="006B31EB">
              <w:t>56</w:t>
            </w:r>
          </w:p>
        </w:tc>
        <w:tc>
          <w:tcPr>
            <w:tcW w:w="624" w:type="dxa"/>
            <w:shd w:val="clear" w:color="auto" w:fill="auto"/>
          </w:tcPr>
          <w:p w14:paraId="2AA28A72" w14:textId="77777777" w:rsidR="00431FB2" w:rsidRPr="006B31EB" w:rsidRDefault="00431FB2" w:rsidP="00495EE0">
            <w:pPr>
              <w:pStyle w:val="Tablewriting"/>
              <w:spacing w:before="0" w:after="0"/>
              <w:jc w:val="center"/>
            </w:pPr>
            <w:r w:rsidRPr="006B31EB">
              <w:t>5</w:t>
            </w:r>
          </w:p>
        </w:tc>
        <w:tc>
          <w:tcPr>
            <w:tcW w:w="1020" w:type="dxa"/>
            <w:shd w:val="clear" w:color="auto" w:fill="auto"/>
          </w:tcPr>
          <w:p w14:paraId="38A60B42" w14:textId="77777777" w:rsidR="00431FB2" w:rsidRPr="004E3822" w:rsidRDefault="00431FB2" w:rsidP="00495EE0">
            <w:pPr>
              <w:pStyle w:val="Tablewriting"/>
              <w:spacing w:before="0" w:after="0"/>
            </w:pPr>
            <w:r w:rsidRPr="004E3822">
              <w:t>$5151.04</w:t>
            </w:r>
          </w:p>
        </w:tc>
        <w:tc>
          <w:tcPr>
            <w:tcW w:w="1587" w:type="dxa"/>
            <w:vMerge/>
            <w:shd w:val="clear" w:color="auto" w:fill="auto"/>
          </w:tcPr>
          <w:p w14:paraId="550AC6A1" w14:textId="77777777" w:rsidR="00431FB2" w:rsidRPr="00A35800" w:rsidDel="00EE2BBB" w:rsidRDefault="00431FB2" w:rsidP="00495EE0">
            <w:pPr>
              <w:pStyle w:val="Tablewriting"/>
            </w:pPr>
          </w:p>
        </w:tc>
      </w:tr>
      <w:tr w:rsidR="00432A9A" w:rsidRPr="00A35800" w:rsidDel="00EE2BBB" w14:paraId="5C412F10" w14:textId="77777777" w:rsidTr="00432A9A">
        <w:trPr>
          <w:trHeight w:val="20"/>
          <w:tblHeader/>
        </w:trPr>
        <w:tc>
          <w:tcPr>
            <w:tcW w:w="959" w:type="dxa"/>
            <w:shd w:val="clear" w:color="auto" w:fill="auto"/>
          </w:tcPr>
          <w:p w14:paraId="6BA049A5" w14:textId="77777777" w:rsidR="00431FB2" w:rsidRPr="006B31EB" w:rsidRDefault="00431FB2" w:rsidP="00495EE0">
            <w:pPr>
              <w:pStyle w:val="Tablewriting"/>
              <w:spacing w:before="0" w:after="0"/>
            </w:pPr>
            <w:r w:rsidRPr="006B31EB">
              <w:t>10619X</w:t>
            </w:r>
          </w:p>
        </w:tc>
        <w:tc>
          <w:tcPr>
            <w:tcW w:w="2494" w:type="dxa"/>
            <w:shd w:val="clear" w:color="auto" w:fill="auto"/>
          </w:tcPr>
          <w:p w14:paraId="7F363E3E" w14:textId="77777777" w:rsidR="00431FB2" w:rsidRPr="006B31EB" w:rsidRDefault="00431FB2" w:rsidP="00495EE0">
            <w:pPr>
              <w:pStyle w:val="Tablewriting"/>
              <w:spacing w:before="0" w:after="0"/>
            </w:pPr>
            <w:r w:rsidRPr="006B31EB">
              <w:t>Ruxoliti</w:t>
            </w:r>
            <w:r>
              <w:t>nib 15</w:t>
            </w:r>
            <w:r w:rsidRPr="006B31EB">
              <w:t xml:space="preserve"> mg tablet, 56</w:t>
            </w:r>
          </w:p>
        </w:tc>
        <w:tc>
          <w:tcPr>
            <w:tcW w:w="1134" w:type="dxa"/>
          </w:tcPr>
          <w:p w14:paraId="5EFEC1BD" w14:textId="77777777" w:rsidR="00431FB2" w:rsidRPr="006B31EB" w:rsidRDefault="00431FB2" w:rsidP="00495EE0">
            <w:pPr>
              <w:pStyle w:val="Tablewriting"/>
              <w:spacing w:before="0" w:after="0"/>
              <w:jc w:val="center"/>
            </w:pPr>
            <w:r>
              <w:t>Initial</w:t>
            </w:r>
          </w:p>
        </w:tc>
        <w:tc>
          <w:tcPr>
            <w:tcW w:w="1247" w:type="dxa"/>
            <w:shd w:val="clear" w:color="auto" w:fill="auto"/>
          </w:tcPr>
          <w:p w14:paraId="6E5B5B2E" w14:textId="77777777" w:rsidR="00431FB2" w:rsidRPr="006B31EB" w:rsidRDefault="00431FB2" w:rsidP="00495EE0">
            <w:pPr>
              <w:pStyle w:val="Tablewriting"/>
              <w:spacing w:before="0" w:after="0"/>
              <w:jc w:val="center"/>
            </w:pPr>
            <w:r w:rsidRPr="006B31EB">
              <w:t>56</w:t>
            </w:r>
          </w:p>
        </w:tc>
        <w:tc>
          <w:tcPr>
            <w:tcW w:w="624" w:type="dxa"/>
            <w:shd w:val="clear" w:color="auto" w:fill="auto"/>
          </w:tcPr>
          <w:p w14:paraId="41C5E6A7" w14:textId="77777777" w:rsidR="00431FB2" w:rsidRPr="006B31EB" w:rsidRDefault="00431FB2" w:rsidP="00495EE0">
            <w:pPr>
              <w:pStyle w:val="Tablewriting"/>
              <w:spacing w:before="0" w:after="0"/>
              <w:jc w:val="center"/>
            </w:pPr>
            <w:r w:rsidRPr="006B31EB">
              <w:t>0</w:t>
            </w:r>
          </w:p>
        </w:tc>
        <w:tc>
          <w:tcPr>
            <w:tcW w:w="1020" w:type="dxa"/>
            <w:shd w:val="clear" w:color="auto" w:fill="auto"/>
          </w:tcPr>
          <w:p w14:paraId="602E60B8" w14:textId="77777777" w:rsidR="00431FB2" w:rsidRPr="006B31EB" w:rsidRDefault="00431FB2" w:rsidP="00495EE0">
            <w:pPr>
              <w:pStyle w:val="Tablewriting"/>
              <w:spacing w:before="0" w:after="0"/>
            </w:pPr>
            <w:r w:rsidRPr="004E3822">
              <w:t>$5151.04</w:t>
            </w:r>
          </w:p>
        </w:tc>
        <w:tc>
          <w:tcPr>
            <w:tcW w:w="1587" w:type="dxa"/>
            <w:vMerge/>
            <w:shd w:val="clear" w:color="auto" w:fill="auto"/>
          </w:tcPr>
          <w:p w14:paraId="6E415AB1" w14:textId="77777777" w:rsidR="00431FB2" w:rsidRPr="00A35800" w:rsidDel="00EE2BBB" w:rsidRDefault="00431FB2" w:rsidP="00495EE0">
            <w:pPr>
              <w:pStyle w:val="Tablewriting"/>
            </w:pPr>
          </w:p>
        </w:tc>
      </w:tr>
      <w:tr w:rsidR="00432A9A" w:rsidRPr="00A35800" w:rsidDel="00EE2BBB" w14:paraId="0BEBB7F4" w14:textId="77777777" w:rsidTr="00432A9A">
        <w:trPr>
          <w:trHeight w:val="20"/>
          <w:tblHeader/>
        </w:trPr>
        <w:tc>
          <w:tcPr>
            <w:tcW w:w="959" w:type="dxa"/>
            <w:shd w:val="clear" w:color="auto" w:fill="auto"/>
          </w:tcPr>
          <w:p w14:paraId="4BB74EE8" w14:textId="77777777" w:rsidR="00431FB2" w:rsidRPr="006B31EB" w:rsidDel="00EE2BBB" w:rsidRDefault="00431FB2" w:rsidP="00495EE0">
            <w:pPr>
              <w:pStyle w:val="Tablewriting"/>
              <w:spacing w:before="0" w:after="0"/>
            </w:pPr>
            <w:r w:rsidRPr="006B31EB">
              <w:t>10615Q</w:t>
            </w:r>
          </w:p>
        </w:tc>
        <w:tc>
          <w:tcPr>
            <w:tcW w:w="2494" w:type="dxa"/>
            <w:shd w:val="clear" w:color="auto" w:fill="auto"/>
          </w:tcPr>
          <w:p w14:paraId="525AE8CE" w14:textId="77777777" w:rsidR="00431FB2" w:rsidRPr="006B31EB" w:rsidDel="00EE2BBB" w:rsidRDefault="00431FB2" w:rsidP="00495EE0">
            <w:pPr>
              <w:pStyle w:val="Tablewriting"/>
              <w:spacing w:before="0" w:after="0"/>
            </w:pPr>
            <w:r w:rsidRPr="006B31EB">
              <w:t>Ruxolitinib 15 mg tablet, 56</w:t>
            </w:r>
          </w:p>
        </w:tc>
        <w:tc>
          <w:tcPr>
            <w:tcW w:w="1134" w:type="dxa"/>
          </w:tcPr>
          <w:p w14:paraId="04A20E77" w14:textId="77777777" w:rsidR="00431FB2" w:rsidRPr="006B31EB" w:rsidRDefault="00431FB2" w:rsidP="00495EE0">
            <w:pPr>
              <w:pStyle w:val="Tablewriting"/>
              <w:spacing w:before="0" w:after="0"/>
              <w:jc w:val="center"/>
            </w:pPr>
            <w:r>
              <w:t>Continuing</w:t>
            </w:r>
          </w:p>
        </w:tc>
        <w:tc>
          <w:tcPr>
            <w:tcW w:w="1247" w:type="dxa"/>
            <w:shd w:val="clear" w:color="auto" w:fill="auto"/>
          </w:tcPr>
          <w:p w14:paraId="5811A6B9" w14:textId="77777777" w:rsidR="00431FB2" w:rsidRPr="006B31EB" w:rsidDel="00EE2BBB" w:rsidRDefault="00431FB2" w:rsidP="00495EE0">
            <w:pPr>
              <w:pStyle w:val="Tablewriting"/>
              <w:spacing w:before="0" w:after="0"/>
              <w:jc w:val="center"/>
            </w:pPr>
            <w:r w:rsidRPr="006B31EB">
              <w:t>56</w:t>
            </w:r>
          </w:p>
        </w:tc>
        <w:tc>
          <w:tcPr>
            <w:tcW w:w="624" w:type="dxa"/>
            <w:shd w:val="clear" w:color="auto" w:fill="auto"/>
          </w:tcPr>
          <w:p w14:paraId="3835E997" w14:textId="77777777" w:rsidR="00431FB2" w:rsidRPr="006B31EB" w:rsidDel="00EE2BBB" w:rsidRDefault="00431FB2" w:rsidP="00495EE0">
            <w:pPr>
              <w:pStyle w:val="Tablewriting"/>
              <w:spacing w:before="0" w:after="0"/>
              <w:jc w:val="center"/>
            </w:pPr>
            <w:r w:rsidRPr="006B31EB">
              <w:t>5</w:t>
            </w:r>
          </w:p>
        </w:tc>
        <w:tc>
          <w:tcPr>
            <w:tcW w:w="1020" w:type="dxa"/>
            <w:shd w:val="clear" w:color="auto" w:fill="auto"/>
          </w:tcPr>
          <w:p w14:paraId="074F0C4B" w14:textId="77777777" w:rsidR="00431FB2" w:rsidRPr="006B31EB" w:rsidDel="00EE2BBB" w:rsidRDefault="00431FB2" w:rsidP="00495EE0">
            <w:pPr>
              <w:pStyle w:val="Tablewriting"/>
              <w:spacing w:before="0" w:after="0"/>
            </w:pPr>
            <w:r w:rsidRPr="004E3822">
              <w:t>$5151.04</w:t>
            </w:r>
          </w:p>
        </w:tc>
        <w:tc>
          <w:tcPr>
            <w:tcW w:w="1587" w:type="dxa"/>
            <w:vMerge/>
            <w:shd w:val="clear" w:color="auto" w:fill="auto"/>
          </w:tcPr>
          <w:p w14:paraId="7E9742D4" w14:textId="77777777" w:rsidR="00431FB2" w:rsidRPr="00A35800" w:rsidDel="00EE2BBB" w:rsidRDefault="00431FB2" w:rsidP="00495EE0">
            <w:pPr>
              <w:pStyle w:val="Tablewriting"/>
            </w:pPr>
          </w:p>
        </w:tc>
      </w:tr>
      <w:tr w:rsidR="00432A9A" w:rsidRPr="00A35800" w:rsidDel="00EE2BBB" w14:paraId="731C7DCD" w14:textId="77777777" w:rsidTr="00432A9A">
        <w:trPr>
          <w:trHeight w:val="20"/>
          <w:tblHeader/>
        </w:trPr>
        <w:tc>
          <w:tcPr>
            <w:tcW w:w="959" w:type="dxa"/>
            <w:shd w:val="clear" w:color="auto" w:fill="auto"/>
          </w:tcPr>
          <w:p w14:paraId="6CFCC5B5" w14:textId="77777777" w:rsidR="00431FB2" w:rsidRPr="006B31EB" w:rsidRDefault="00431FB2" w:rsidP="00495EE0">
            <w:pPr>
              <w:pStyle w:val="Tablewriting"/>
              <w:spacing w:before="0" w:after="0"/>
            </w:pPr>
            <w:r w:rsidRPr="006B31EB">
              <w:t>10618W</w:t>
            </w:r>
          </w:p>
        </w:tc>
        <w:tc>
          <w:tcPr>
            <w:tcW w:w="2494" w:type="dxa"/>
            <w:shd w:val="clear" w:color="auto" w:fill="auto"/>
          </w:tcPr>
          <w:p w14:paraId="3839A831" w14:textId="77777777" w:rsidR="00431FB2" w:rsidRPr="006B31EB" w:rsidRDefault="00431FB2" w:rsidP="00495EE0">
            <w:pPr>
              <w:pStyle w:val="Tablewriting"/>
              <w:spacing w:before="0" w:after="0"/>
            </w:pPr>
            <w:r w:rsidRPr="006B31EB">
              <w:t>Ruxolitinib 20 mg tablet, 56</w:t>
            </w:r>
          </w:p>
        </w:tc>
        <w:tc>
          <w:tcPr>
            <w:tcW w:w="1134" w:type="dxa"/>
          </w:tcPr>
          <w:p w14:paraId="16F627F6" w14:textId="77777777" w:rsidR="00431FB2" w:rsidRPr="006B31EB" w:rsidRDefault="00431FB2" w:rsidP="00495EE0">
            <w:pPr>
              <w:pStyle w:val="Tablewriting"/>
              <w:spacing w:before="0" w:after="0"/>
              <w:jc w:val="center"/>
            </w:pPr>
            <w:r>
              <w:t>Initial</w:t>
            </w:r>
          </w:p>
        </w:tc>
        <w:tc>
          <w:tcPr>
            <w:tcW w:w="1247" w:type="dxa"/>
            <w:shd w:val="clear" w:color="auto" w:fill="auto"/>
          </w:tcPr>
          <w:p w14:paraId="7C67B8C4" w14:textId="77777777" w:rsidR="00431FB2" w:rsidRPr="006B31EB" w:rsidRDefault="00431FB2" w:rsidP="00495EE0">
            <w:pPr>
              <w:pStyle w:val="Tablewriting"/>
              <w:spacing w:before="0" w:after="0"/>
              <w:jc w:val="center"/>
            </w:pPr>
            <w:r w:rsidRPr="006B31EB">
              <w:t>56</w:t>
            </w:r>
          </w:p>
        </w:tc>
        <w:tc>
          <w:tcPr>
            <w:tcW w:w="624" w:type="dxa"/>
            <w:shd w:val="clear" w:color="auto" w:fill="auto"/>
          </w:tcPr>
          <w:p w14:paraId="32284472" w14:textId="77777777" w:rsidR="00431FB2" w:rsidRPr="006B31EB" w:rsidRDefault="00431FB2" w:rsidP="00495EE0">
            <w:pPr>
              <w:pStyle w:val="Tablewriting"/>
              <w:spacing w:before="0" w:after="0"/>
              <w:jc w:val="center"/>
            </w:pPr>
            <w:r w:rsidRPr="006B31EB">
              <w:t>0</w:t>
            </w:r>
          </w:p>
        </w:tc>
        <w:tc>
          <w:tcPr>
            <w:tcW w:w="1020" w:type="dxa"/>
            <w:shd w:val="clear" w:color="auto" w:fill="auto"/>
          </w:tcPr>
          <w:p w14:paraId="4DD68C06" w14:textId="77777777" w:rsidR="00431FB2" w:rsidRPr="006B31EB" w:rsidRDefault="00431FB2" w:rsidP="00495EE0">
            <w:pPr>
              <w:pStyle w:val="Tablewriting"/>
              <w:spacing w:before="0" w:after="0"/>
            </w:pPr>
            <w:r w:rsidRPr="004E3822">
              <w:t>$5151.04</w:t>
            </w:r>
          </w:p>
        </w:tc>
        <w:tc>
          <w:tcPr>
            <w:tcW w:w="1587" w:type="dxa"/>
            <w:vMerge/>
            <w:shd w:val="clear" w:color="auto" w:fill="auto"/>
          </w:tcPr>
          <w:p w14:paraId="3AC6AE60" w14:textId="77777777" w:rsidR="00431FB2" w:rsidRPr="00A35800" w:rsidDel="00EE2BBB" w:rsidRDefault="00431FB2" w:rsidP="00495EE0">
            <w:pPr>
              <w:pStyle w:val="Tablewriting"/>
            </w:pPr>
          </w:p>
        </w:tc>
      </w:tr>
      <w:tr w:rsidR="00432A9A" w:rsidRPr="00A35800" w:rsidDel="00EE2BBB" w14:paraId="6A36ABE6" w14:textId="77777777" w:rsidTr="00432A9A">
        <w:trPr>
          <w:trHeight w:val="20"/>
          <w:tblHeader/>
        </w:trPr>
        <w:tc>
          <w:tcPr>
            <w:tcW w:w="959" w:type="dxa"/>
            <w:shd w:val="clear" w:color="auto" w:fill="auto"/>
          </w:tcPr>
          <w:p w14:paraId="27131504" w14:textId="77777777" w:rsidR="00431FB2" w:rsidRPr="006B31EB" w:rsidRDefault="00431FB2" w:rsidP="00495EE0">
            <w:pPr>
              <w:pStyle w:val="Tablewriting"/>
              <w:spacing w:before="0" w:after="0"/>
            </w:pPr>
            <w:r w:rsidRPr="006B31EB">
              <w:t>10617T</w:t>
            </w:r>
          </w:p>
        </w:tc>
        <w:tc>
          <w:tcPr>
            <w:tcW w:w="2494" w:type="dxa"/>
            <w:shd w:val="clear" w:color="auto" w:fill="auto"/>
          </w:tcPr>
          <w:p w14:paraId="2219F187" w14:textId="77777777" w:rsidR="00431FB2" w:rsidRPr="006B31EB" w:rsidRDefault="00431FB2" w:rsidP="00495EE0">
            <w:pPr>
              <w:pStyle w:val="Tablewriting"/>
              <w:spacing w:before="0" w:after="0"/>
            </w:pPr>
            <w:r w:rsidRPr="006B31EB">
              <w:t>Ruxolitinib 20 mg tablet, 56</w:t>
            </w:r>
          </w:p>
        </w:tc>
        <w:tc>
          <w:tcPr>
            <w:tcW w:w="1134" w:type="dxa"/>
          </w:tcPr>
          <w:p w14:paraId="58538EED" w14:textId="77777777" w:rsidR="00431FB2" w:rsidRPr="006B31EB" w:rsidRDefault="00431FB2" w:rsidP="00495EE0">
            <w:pPr>
              <w:pStyle w:val="Tablewriting"/>
              <w:spacing w:before="0" w:after="0"/>
              <w:jc w:val="center"/>
            </w:pPr>
            <w:r>
              <w:t>Continuing</w:t>
            </w:r>
          </w:p>
        </w:tc>
        <w:tc>
          <w:tcPr>
            <w:tcW w:w="1247" w:type="dxa"/>
            <w:shd w:val="clear" w:color="auto" w:fill="auto"/>
          </w:tcPr>
          <w:p w14:paraId="189EED7F" w14:textId="77777777" w:rsidR="00431FB2" w:rsidRPr="006B31EB" w:rsidRDefault="00431FB2" w:rsidP="00495EE0">
            <w:pPr>
              <w:pStyle w:val="Tablewriting"/>
              <w:spacing w:before="0" w:after="0"/>
              <w:jc w:val="center"/>
            </w:pPr>
            <w:r w:rsidRPr="006B31EB">
              <w:t>56</w:t>
            </w:r>
          </w:p>
        </w:tc>
        <w:tc>
          <w:tcPr>
            <w:tcW w:w="624" w:type="dxa"/>
            <w:shd w:val="clear" w:color="auto" w:fill="auto"/>
          </w:tcPr>
          <w:p w14:paraId="2409DAFC" w14:textId="77777777" w:rsidR="00431FB2" w:rsidRPr="006B31EB" w:rsidRDefault="00431FB2" w:rsidP="00495EE0">
            <w:pPr>
              <w:pStyle w:val="Tablewriting"/>
              <w:spacing w:before="0" w:after="0"/>
              <w:jc w:val="center"/>
            </w:pPr>
            <w:r w:rsidRPr="006B31EB">
              <w:t>5</w:t>
            </w:r>
          </w:p>
        </w:tc>
        <w:tc>
          <w:tcPr>
            <w:tcW w:w="1020" w:type="dxa"/>
            <w:shd w:val="clear" w:color="auto" w:fill="auto"/>
          </w:tcPr>
          <w:p w14:paraId="2922B1B7" w14:textId="77777777" w:rsidR="00431FB2" w:rsidRPr="006B31EB" w:rsidRDefault="00431FB2" w:rsidP="00495EE0">
            <w:pPr>
              <w:pStyle w:val="Tablewriting"/>
              <w:spacing w:before="0" w:after="0"/>
            </w:pPr>
            <w:r w:rsidRPr="004E3822">
              <w:t>$5151.04</w:t>
            </w:r>
          </w:p>
        </w:tc>
        <w:tc>
          <w:tcPr>
            <w:tcW w:w="1587" w:type="dxa"/>
            <w:vMerge/>
            <w:shd w:val="clear" w:color="auto" w:fill="auto"/>
          </w:tcPr>
          <w:p w14:paraId="33088DDA" w14:textId="77777777" w:rsidR="00431FB2" w:rsidRPr="00A35800" w:rsidDel="00EE2BBB" w:rsidRDefault="00431FB2" w:rsidP="00495EE0">
            <w:pPr>
              <w:pStyle w:val="Tablewriting"/>
            </w:pPr>
          </w:p>
        </w:tc>
      </w:tr>
    </w:tbl>
    <w:p w14:paraId="4E6D903D" w14:textId="77777777" w:rsidR="00431FB2" w:rsidRPr="00A35800" w:rsidDel="00EE2BBB" w:rsidRDefault="00431FB2" w:rsidP="00431FB2">
      <w:pPr>
        <w:pStyle w:val="Notes"/>
      </w:pPr>
      <w:r w:rsidRPr="00A35800" w:rsidDel="00EE2BBB">
        <w:t xml:space="preserve">Source: </w:t>
      </w:r>
      <w:r w:rsidDel="00EE2BBB">
        <w:t xml:space="preserve">the </w:t>
      </w:r>
      <w:hyperlink r:id="rId12" w:history="1">
        <w:r w:rsidRPr="001624D7" w:rsidDel="00EE2BBB">
          <w:rPr>
            <w:rStyle w:val="Hyperlink"/>
          </w:rPr>
          <w:t>PBS website</w:t>
        </w:r>
      </w:hyperlink>
      <w:r w:rsidDel="00EE2BBB">
        <w:t xml:space="preserve">. </w:t>
      </w:r>
      <w:r w:rsidR="00810C69">
        <w:t>*</w:t>
      </w:r>
      <w:r w:rsidRPr="0080485E" w:rsidDel="00EE2BBB">
        <w:t>Special Pricing Arrangement</w:t>
      </w:r>
      <w:r>
        <w:t>s</w:t>
      </w:r>
      <w:r w:rsidRPr="0080485E" w:rsidDel="00EE2BBB">
        <w:t xml:space="preserve"> </w:t>
      </w:r>
      <w:r>
        <w:t>apply to these items.</w:t>
      </w:r>
    </w:p>
    <w:p w14:paraId="5C434D66" w14:textId="77777777" w:rsidR="00431FB2" w:rsidRPr="004C3356" w:rsidRDefault="00431FB2" w:rsidP="004C3356">
      <w:pPr>
        <w:pStyle w:val="Heading3"/>
      </w:pPr>
      <w:r w:rsidRPr="004C3356" w:rsidDel="00EE2BBB">
        <w:t>Restriction</w:t>
      </w:r>
    </w:p>
    <w:p w14:paraId="1CFD28B5" w14:textId="77777777" w:rsidR="00431FB2" w:rsidRDefault="00431FB2" w:rsidP="00431FB2">
      <w:r w:rsidRPr="00350F07">
        <w:rPr>
          <w:u w:val="single"/>
        </w:rPr>
        <w:t>High risk and intermediate-2 risk myelofibrosis</w:t>
      </w:r>
    </w:p>
    <w:p w14:paraId="370F7BC0" w14:textId="77777777" w:rsidR="00431FB2" w:rsidRDefault="00431FB2" w:rsidP="00431FB2">
      <w:r>
        <w:t>The condition must be primary myelofibrosis or post-</w:t>
      </w:r>
      <w:r w:rsidR="001E6C91">
        <w:t>polycythemia</w:t>
      </w:r>
      <w:r>
        <w:t xml:space="preserve"> vera myelofibrosis or post-essential thrombocythemia myelofibrosis.</w:t>
      </w:r>
    </w:p>
    <w:p w14:paraId="680B3FFA" w14:textId="77777777" w:rsidR="00431FB2" w:rsidRDefault="00431FB2" w:rsidP="00431FB2">
      <w:r w:rsidRPr="005159F7">
        <w:t>Note:</w:t>
      </w:r>
      <w:r>
        <w:t xml:space="preserve"> Risk of myelofibrosis is defined in accordance with the Myelofibrosis International Prognostic Scoring System (IPSS) OR the Dynamic International Prognostic Scoring System (DIPSS) OR the Age-Adjusted DIPSS.</w:t>
      </w:r>
    </w:p>
    <w:p w14:paraId="12A241C0" w14:textId="77777777" w:rsidR="00431FB2" w:rsidRDefault="00431FB2" w:rsidP="00431FB2">
      <w:r>
        <w:t>Note: The initial authority application must be made in writing and must include:</w:t>
      </w:r>
    </w:p>
    <w:p w14:paraId="75C113C0" w14:textId="77777777" w:rsidR="00431FB2" w:rsidRDefault="00431FB2" w:rsidP="00431FB2">
      <w:pPr>
        <w:pStyle w:val="ListParagraph"/>
        <w:numPr>
          <w:ilvl w:val="0"/>
          <w:numId w:val="12"/>
        </w:numPr>
      </w:pPr>
      <w:r>
        <w:t>A completed authority prescription form; and</w:t>
      </w:r>
    </w:p>
    <w:p w14:paraId="0B1FA503" w14:textId="77777777" w:rsidR="00431FB2" w:rsidRDefault="00431FB2" w:rsidP="00431FB2">
      <w:pPr>
        <w:pStyle w:val="ListParagraph"/>
        <w:numPr>
          <w:ilvl w:val="0"/>
          <w:numId w:val="12"/>
        </w:numPr>
      </w:pPr>
      <w:r>
        <w:t>A completed Myelofibrosis Authority Application Supporting Information Form, which includes all of the following:</w:t>
      </w:r>
    </w:p>
    <w:p w14:paraId="580A2C18" w14:textId="77777777" w:rsidR="00431FB2" w:rsidRDefault="00431FB2" w:rsidP="00431FB2">
      <w:pPr>
        <w:pStyle w:val="ListParagraph"/>
        <w:numPr>
          <w:ilvl w:val="0"/>
          <w:numId w:val="16"/>
        </w:numPr>
      </w:pPr>
      <w:r>
        <w:t>A copy of the bone marrow biopsy report confirming diagnosis of myelofibrosis; and</w:t>
      </w:r>
    </w:p>
    <w:p w14:paraId="194A83EA" w14:textId="77777777" w:rsidR="00431FB2" w:rsidRPr="00DC2EF1" w:rsidRDefault="00431FB2" w:rsidP="00431FB2">
      <w:pPr>
        <w:pStyle w:val="ListParagraph"/>
        <w:numPr>
          <w:ilvl w:val="0"/>
          <w:numId w:val="16"/>
        </w:numPr>
      </w:pPr>
      <w:r>
        <w:t xml:space="preserve">A classification of risk of myelofibrosis according to </w:t>
      </w:r>
      <w:r w:rsidR="001E6C91">
        <w:t>the</w:t>
      </w:r>
      <w:r>
        <w:t xml:space="preserve"> IPSS, DIPSS, or the Age-Adjusted DIPSS.</w:t>
      </w:r>
    </w:p>
    <w:p w14:paraId="5AB370C3" w14:textId="77777777" w:rsidR="00431FB2" w:rsidRDefault="00431FB2" w:rsidP="00431FB2">
      <w:r w:rsidRPr="00350F07">
        <w:rPr>
          <w:u w:val="single"/>
        </w:rPr>
        <w:t>Intermediate-1 risk myelofibrosis</w:t>
      </w:r>
    </w:p>
    <w:p w14:paraId="30F9D0FE" w14:textId="77777777" w:rsidR="00431FB2" w:rsidRDefault="00431FB2" w:rsidP="00431FB2">
      <w:r>
        <w:t>The condition must be primary myelofibrosis or post-</w:t>
      </w:r>
      <w:r w:rsidR="00C07B35">
        <w:t>polycythemia</w:t>
      </w:r>
      <w:r>
        <w:t xml:space="preserve"> vera myelofibrosis or post-essential thrombocythemia myelofibrosis, and patient must have severe disease-related symptoms that are resistant, refractory or intolerant to available therapy. </w:t>
      </w:r>
    </w:p>
    <w:p w14:paraId="7AD3662E" w14:textId="77777777" w:rsidR="00431FB2" w:rsidRDefault="00431FB2" w:rsidP="00431FB2">
      <w:r>
        <w:t>Note: The initial authority application must be made in writing and must include:</w:t>
      </w:r>
    </w:p>
    <w:p w14:paraId="1B03DE9C" w14:textId="77777777" w:rsidR="00431FB2" w:rsidRDefault="00431FB2" w:rsidP="00431FB2">
      <w:pPr>
        <w:pStyle w:val="ListParagraph"/>
        <w:numPr>
          <w:ilvl w:val="0"/>
          <w:numId w:val="14"/>
        </w:numPr>
      </w:pPr>
      <w:r>
        <w:t>A completed authority prescription form; and</w:t>
      </w:r>
    </w:p>
    <w:p w14:paraId="7E7FCFB9" w14:textId="77777777" w:rsidR="00431FB2" w:rsidRDefault="00431FB2" w:rsidP="00431FB2">
      <w:pPr>
        <w:pStyle w:val="ListParagraph"/>
        <w:numPr>
          <w:ilvl w:val="0"/>
          <w:numId w:val="14"/>
        </w:numPr>
      </w:pPr>
      <w:r>
        <w:t>A completed Myelofibrosis Authority Application Supporting Information Form, which includes all of the following:</w:t>
      </w:r>
    </w:p>
    <w:p w14:paraId="0850F03C" w14:textId="77777777" w:rsidR="00431FB2" w:rsidRDefault="00431FB2" w:rsidP="00431FB2">
      <w:pPr>
        <w:pStyle w:val="ListParagraph"/>
        <w:numPr>
          <w:ilvl w:val="0"/>
          <w:numId w:val="15"/>
        </w:numPr>
      </w:pPr>
      <w:r>
        <w:t>A copy of the bone marrow biopsy report confirming diagnosis of myelofibrosis; and</w:t>
      </w:r>
    </w:p>
    <w:p w14:paraId="241CE35F" w14:textId="77777777" w:rsidR="00431FB2" w:rsidRDefault="00431FB2" w:rsidP="00431FB2">
      <w:pPr>
        <w:pStyle w:val="ListParagraph"/>
        <w:numPr>
          <w:ilvl w:val="0"/>
          <w:numId w:val="15"/>
        </w:numPr>
      </w:pPr>
      <w:r>
        <w:t>A classification of risk of myelofibrosis according to the IPSS, DIPSS, or the Age-Adjusted DIPSS</w:t>
      </w:r>
    </w:p>
    <w:p w14:paraId="034B887C" w14:textId="77777777" w:rsidR="00431FB2" w:rsidRDefault="00431FB2" w:rsidP="00431FB2">
      <w:pPr>
        <w:pStyle w:val="ListParagraph"/>
        <w:numPr>
          <w:ilvl w:val="0"/>
          <w:numId w:val="15"/>
        </w:numPr>
      </w:pPr>
      <w:r>
        <w:lastRenderedPageBreak/>
        <w:t>A confirmation that the patient’s disease related symptoms are resistant, refractory or intolerant to available therapy.</w:t>
      </w:r>
    </w:p>
    <w:p w14:paraId="03BFAFC7" w14:textId="77777777" w:rsidR="00431FB2" w:rsidRDefault="00431FB2" w:rsidP="00431FB2">
      <w:pPr>
        <w:rPr>
          <w:rStyle w:val="Hyperlink"/>
        </w:rPr>
      </w:pPr>
      <w:r>
        <w:t xml:space="preserve">Note: No increase in the maximum quantity may be authorised for the 15 mg and 20 mg dose strengths. </w:t>
      </w:r>
      <w:r w:rsidRPr="006775F1" w:rsidDel="00EE2BBB">
        <w:t xml:space="preserve">For </w:t>
      </w:r>
      <w:r w:rsidDel="00EE2BBB">
        <w:t xml:space="preserve">details of the current PBS listing refer to the </w:t>
      </w:r>
      <w:hyperlink r:id="rId13" w:history="1">
        <w:r w:rsidRPr="00645D51" w:rsidDel="00EE2BBB">
          <w:rPr>
            <w:rStyle w:val="Hyperlink"/>
          </w:rPr>
          <w:t>PBS website</w:t>
        </w:r>
      </w:hyperlink>
      <w:r w:rsidDel="00EE2BBB">
        <w:rPr>
          <w:rStyle w:val="Hyperlink"/>
        </w:rPr>
        <w:t>.</w:t>
      </w:r>
    </w:p>
    <w:p w14:paraId="6BC717A5" w14:textId="77777777" w:rsidR="00431FB2" w:rsidRPr="00E62BA2" w:rsidRDefault="00431FB2" w:rsidP="00431FB2">
      <w:r w:rsidRPr="00E62BA2">
        <w:t xml:space="preserve">Authority approval applications for continuing treatment </w:t>
      </w:r>
      <w:r>
        <w:t xml:space="preserve">for both of the above restrictions </w:t>
      </w:r>
      <w:r w:rsidRPr="00E62BA2">
        <w:t>can be made by phone.</w:t>
      </w:r>
    </w:p>
    <w:p w14:paraId="4FE3082C" w14:textId="77777777" w:rsidR="00431FB2" w:rsidRPr="006775F1" w:rsidDel="00EE2BBB" w:rsidRDefault="00431FB2" w:rsidP="00431FB2">
      <w:r w:rsidRPr="00E62BA2">
        <w:t>From February to October 2016</w:t>
      </w:r>
      <w:r w:rsidR="00C07B35">
        <w:t xml:space="preserve"> inclusive</w:t>
      </w:r>
      <w:r w:rsidRPr="00E62BA2">
        <w:t xml:space="preserve"> there was also a grandfathering restriction for h</w:t>
      </w:r>
      <w:r w:rsidRPr="00BE150D">
        <w:t xml:space="preserve">igh risk, </w:t>
      </w:r>
      <w:r w:rsidR="00504EEA">
        <w:t>Int</w:t>
      </w:r>
      <w:r w:rsidR="00504EEA">
        <w:noBreakHyphen/>
      </w:r>
      <w:r w:rsidRPr="00BE150D">
        <w:t xml:space="preserve">2 risk and </w:t>
      </w:r>
      <w:r w:rsidR="00504EEA">
        <w:t>Int</w:t>
      </w:r>
      <w:r w:rsidR="00504EEA">
        <w:noBreakHyphen/>
      </w:r>
      <w:r w:rsidRPr="00BE150D">
        <w:t>1 risk myelofibrosis</w:t>
      </w:r>
      <w:r>
        <w:t>.</w:t>
      </w:r>
      <w:r w:rsidRPr="00BE150D">
        <w:t xml:space="preserve"> </w:t>
      </w:r>
      <w:r>
        <w:t>This stated that t</w:t>
      </w:r>
      <w:r w:rsidRPr="00BE150D">
        <w:t>he condition must be primary myelofibrosis or post-polycythemia vera myelofibrosis or post-essential thrombocythemia myelofibrosis, and</w:t>
      </w:r>
      <w:r>
        <w:t xml:space="preserve"> the p</w:t>
      </w:r>
      <w:r w:rsidRPr="00BE150D">
        <w:t>atient must have previously received non-PBS-subsidised treatment with this drug for this condition before 1 February 2016.</w:t>
      </w:r>
    </w:p>
    <w:p w14:paraId="53BD58A0" w14:textId="77777777" w:rsidR="00431FB2" w:rsidRPr="002F61CA" w:rsidDel="00EE2BBB" w:rsidRDefault="00431FB2" w:rsidP="00431FB2">
      <w:r w:rsidRPr="002F61CA" w:rsidDel="00EE2BBB">
        <w:t xml:space="preserve">Current PBS listing details are available from </w:t>
      </w:r>
      <w:r w:rsidDel="00EE2BBB">
        <w:t xml:space="preserve">the </w:t>
      </w:r>
      <w:hyperlink r:id="rId14" w:history="1">
        <w:r w:rsidRPr="00645D51" w:rsidDel="00EE2BBB">
          <w:rPr>
            <w:rStyle w:val="Hyperlink"/>
          </w:rPr>
          <w:t>PBS website</w:t>
        </w:r>
      </w:hyperlink>
      <w:r w:rsidDel="00EE2BBB">
        <w:t>.</w:t>
      </w:r>
    </w:p>
    <w:p w14:paraId="21FDC765" w14:textId="77777777" w:rsidR="00431FB2" w:rsidRDefault="00431FB2" w:rsidP="00431FB2">
      <w:pPr>
        <w:pStyle w:val="Heading2"/>
      </w:pPr>
      <w:r>
        <w:t>Relevant aspects of</w:t>
      </w:r>
      <w:r w:rsidRPr="005E22C2">
        <w:t xml:space="preserve"> consideration</w:t>
      </w:r>
      <w:r>
        <w:t xml:space="preserve"> by the Pharmaceutical Benefits Advisory Committee (PBAC)</w:t>
      </w:r>
    </w:p>
    <w:p w14:paraId="1FD73C4B" w14:textId="77777777" w:rsidR="00431FB2" w:rsidRDefault="00431FB2" w:rsidP="00431FB2">
      <w:r>
        <w:t>The first submission for ruxolitinib, considered at the July 2013 PBAC meeting, requested listing as first line treatment for intermediate risk or high r</w:t>
      </w:r>
      <w:r w:rsidR="00A45FF9">
        <w:t>isk primary myelofibrosis, post</w:t>
      </w:r>
      <w:r w:rsidR="00A45FF9">
        <w:noBreakHyphen/>
      </w:r>
      <w:r>
        <w:t xml:space="preserve">polycythemia or post-essential thrombocythemia myelofibrosis. The PBAC noted that the pivotal clinical trials included only high-risk and </w:t>
      </w:r>
      <w:r w:rsidR="00504EEA">
        <w:t>Int</w:t>
      </w:r>
      <w:r w:rsidR="00504EEA">
        <w:noBreakHyphen/>
      </w:r>
      <w:r>
        <w:t xml:space="preserve">2 risk patients and the restriction would allow access to </w:t>
      </w:r>
      <w:r w:rsidR="00504EEA">
        <w:t>Int</w:t>
      </w:r>
      <w:r w:rsidR="00504EEA">
        <w:softHyphen/>
      </w:r>
      <w:r>
        <w:t xml:space="preserve">1 patients. </w:t>
      </w:r>
      <w:r w:rsidRPr="006D5054">
        <w:t xml:space="preserve">It is unknown whether this population would derive the same benefit from treatment as the study population, or whether </w:t>
      </w:r>
      <w:r w:rsidR="00504EEA">
        <w:t>Int</w:t>
      </w:r>
      <w:r w:rsidR="00504EEA">
        <w:noBreakHyphen/>
      </w:r>
      <w:r w:rsidRPr="006D5054">
        <w:t xml:space="preserve">1 patients with mild symptoms would gain any benefit. However, the PBAC also recognised that some patients with severe symptoms refractory to </w:t>
      </w:r>
      <w:r>
        <w:t>best available therapies</w:t>
      </w:r>
      <w:r w:rsidRPr="006D5054">
        <w:t xml:space="preserve">, but with a more favourable prognosis, could benefit from treatment with ruxolitinib through symptom relief, and that exclusion of these patients from PBS-subsidy would be problematic. The PBAC therefore considered that </w:t>
      </w:r>
      <w:r w:rsidR="00810C69" w:rsidRPr="006D5054">
        <w:t>th</w:t>
      </w:r>
      <w:r w:rsidR="00810C69">
        <w:t>e</w:t>
      </w:r>
      <w:r w:rsidR="00810C69" w:rsidRPr="006D5054">
        <w:t xml:space="preserve"> </w:t>
      </w:r>
      <w:r w:rsidRPr="006D5054">
        <w:t>cost-effectiveness of ruxolitinib can only be determined with acceptable accuracy once the population for PBS subsidy is further refined.</w:t>
      </w:r>
    </w:p>
    <w:p w14:paraId="1F30D17B" w14:textId="77777777" w:rsidR="00431FB2" w:rsidRDefault="00431FB2" w:rsidP="00431FB2">
      <w:r>
        <w:t xml:space="preserve">For further details refer to </w:t>
      </w:r>
      <w:r w:rsidRPr="00F65F0D">
        <w:t>the</w:t>
      </w:r>
      <w:r>
        <w:t xml:space="preserve"> </w:t>
      </w:r>
      <w:hyperlink r:id="rId15" w:history="1">
        <w:r w:rsidRPr="00013711">
          <w:rPr>
            <w:rStyle w:val="Hyperlink"/>
          </w:rPr>
          <w:t>Public Summary Document</w:t>
        </w:r>
      </w:hyperlink>
      <w:r w:rsidRPr="00F65F0D">
        <w:t xml:space="preserve"> </w:t>
      </w:r>
      <w:r>
        <w:t>from the July 2013 PBAC meeting.</w:t>
      </w:r>
    </w:p>
    <w:p w14:paraId="2EE1130F" w14:textId="77777777" w:rsidR="00431FB2" w:rsidRDefault="00431FB2" w:rsidP="00431FB2">
      <w:r>
        <w:t xml:space="preserve">A subsequent resubmission, considered at the July 2014 meeting, requested second line treatment for patients with </w:t>
      </w:r>
      <w:r w:rsidR="00504EEA">
        <w:t>Int</w:t>
      </w:r>
      <w:r w:rsidR="00504EEA">
        <w:noBreakHyphen/>
      </w:r>
      <w:r>
        <w:t>2 risk or high-risk myelofibrosis who are resistant, refractory, intolerant</w:t>
      </w:r>
      <w:r w:rsidR="004C1587">
        <w:t>,</w:t>
      </w:r>
      <w:r>
        <w:t xml:space="preserve"> or not a ca</w:t>
      </w:r>
      <w:r w:rsidR="00A45FF9">
        <w:t xml:space="preserve">ndidate for available therapy. </w:t>
      </w:r>
      <w:r>
        <w:t xml:space="preserve">The PBAC deferred making a recommendation due to a lack of clarity around the appropriate clinical place of ruxolitinib in Australian clinical practice, concerns regarding the proposed restriction, </w:t>
      </w:r>
      <w:r w:rsidR="00A45FF9">
        <w:t>and an unacceptably high price.</w:t>
      </w:r>
      <w:r>
        <w:t xml:space="preserve"> Each of these matters precluded the Committee from reaching a conclusion that ruxolitinib was cost-effective.</w:t>
      </w:r>
    </w:p>
    <w:p w14:paraId="0BA4E2D8" w14:textId="77777777" w:rsidR="00431FB2" w:rsidRPr="00323C8C" w:rsidRDefault="00431FB2" w:rsidP="00431FB2">
      <w:r w:rsidRPr="00323C8C">
        <w:t xml:space="preserve">The PBAC noted the sponsor’s request to limit the restriction to </w:t>
      </w:r>
      <w:r w:rsidR="00504EEA">
        <w:t>Int</w:t>
      </w:r>
      <w:r w:rsidR="00504EEA">
        <w:noBreakHyphen/>
      </w:r>
      <w:r w:rsidRPr="00323C8C">
        <w:t>2 and high risk patients, so as to ensure the restriction was consistent with the curren</w:t>
      </w:r>
      <w:r w:rsidR="00A45FF9">
        <w:t xml:space="preserve">t available clinical evidence. </w:t>
      </w:r>
      <w:r w:rsidRPr="00323C8C">
        <w:t>The Committee considered this inappropriate as it would exclude lower risk patients who still demon</w:t>
      </w:r>
      <w:r w:rsidR="00A45FF9">
        <w:t xml:space="preserve">strated a clear clinical need. </w:t>
      </w:r>
      <w:r w:rsidRPr="00323C8C">
        <w:t>The PBAC considered there is a clinical need for ruxolitinib in the treatment of myelofibrosis and that there are patients who may benefit from treatment across the risk groups.</w:t>
      </w:r>
    </w:p>
    <w:p w14:paraId="4F9F3B61" w14:textId="77777777" w:rsidR="00431FB2" w:rsidRPr="00323C8C" w:rsidRDefault="00431FB2" w:rsidP="00431FB2">
      <w:r w:rsidRPr="00323C8C">
        <w:t>The PBAC recommended a stakeholder meeting be held between the sponsor, the Department, clinicians from applicable professional bodies, consumer representatives and PBAC members to provide clarity around the clinical place for ruxolitinib and to consider an appropriat</w:t>
      </w:r>
      <w:r w:rsidR="00A45FF9">
        <w:t xml:space="preserve">e restriction. </w:t>
      </w:r>
      <w:r w:rsidRPr="00323C8C">
        <w:t>This in turn would inform the cost-effectiveness analyses.</w:t>
      </w:r>
    </w:p>
    <w:p w14:paraId="2AB5D9F2" w14:textId="77777777" w:rsidR="00431FB2" w:rsidRDefault="00431FB2" w:rsidP="00431FB2">
      <w:r>
        <w:t xml:space="preserve">For further details refer to </w:t>
      </w:r>
      <w:r w:rsidRPr="00F65F0D">
        <w:t>the</w:t>
      </w:r>
      <w:r>
        <w:t xml:space="preserve"> </w:t>
      </w:r>
      <w:hyperlink r:id="rId16" w:history="1">
        <w:r w:rsidRPr="00013711">
          <w:rPr>
            <w:rStyle w:val="Hyperlink"/>
          </w:rPr>
          <w:t>Public Summary Document</w:t>
        </w:r>
      </w:hyperlink>
      <w:r w:rsidRPr="00F65F0D">
        <w:t xml:space="preserve"> </w:t>
      </w:r>
      <w:r>
        <w:t>from the July 2014 PBAC meeting.</w:t>
      </w:r>
    </w:p>
    <w:p w14:paraId="1D76ED5C" w14:textId="77777777" w:rsidR="00431FB2" w:rsidRDefault="00431FB2" w:rsidP="00431FB2">
      <w:r>
        <w:lastRenderedPageBreak/>
        <w:t xml:space="preserve">The stakeholder meeting was convened in September 2014. Stakeholders discussed the clinical place for ruxolitinib including the patient groups for whom treatment with ruxolitinib is appropriate and not appropriate, the various scoring systems for classifying according to risk status, the proposed PBS restriction including whether the restriction should require measurement of spleen size or continuation criteria, and quantities of tablets necessary for dose titration. </w:t>
      </w:r>
    </w:p>
    <w:p w14:paraId="767CB118" w14:textId="77777777" w:rsidR="00431FB2" w:rsidRDefault="00431FB2" w:rsidP="00431FB2">
      <w:r>
        <w:t xml:space="preserve">For further details see the </w:t>
      </w:r>
      <w:hyperlink r:id="rId17" w:history="1">
        <w:r w:rsidRPr="00ED66CF">
          <w:rPr>
            <w:rStyle w:val="Hyperlink"/>
          </w:rPr>
          <w:t>Outcome Statement</w:t>
        </w:r>
      </w:hyperlink>
      <w:r>
        <w:t xml:space="preserve"> for the ruxolitinib stakeholder meeting.</w:t>
      </w:r>
    </w:p>
    <w:p w14:paraId="28A2DB48" w14:textId="77777777" w:rsidR="00431FB2" w:rsidRDefault="00431FB2" w:rsidP="00431FB2">
      <w:r>
        <w:t xml:space="preserve">At the March 2015 meeting, the PBAC recommended ruxolitinib for PBS listing. The recommendation was for </w:t>
      </w:r>
      <w:r w:rsidR="00504EEA">
        <w:t>Int</w:t>
      </w:r>
      <w:r w:rsidR="00504EEA">
        <w:noBreakHyphen/>
      </w:r>
      <w:r>
        <w:t xml:space="preserve">1-risk, </w:t>
      </w:r>
      <w:r w:rsidR="00504EEA">
        <w:t>Int</w:t>
      </w:r>
      <w:r w:rsidR="00504EEA">
        <w:noBreakHyphen/>
      </w:r>
      <w:r>
        <w:t xml:space="preserve">2 and high risk patients with the listing for </w:t>
      </w:r>
      <w:r w:rsidR="00504EEA">
        <w:t>Int</w:t>
      </w:r>
      <w:r w:rsidR="00504EEA">
        <w:noBreakHyphen/>
      </w:r>
      <w:r>
        <w:t>1 patients restricted to those patients with severe disease</w:t>
      </w:r>
      <w:r w:rsidR="00A45FF9">
        <w:noBreakHyphen/>
      </w:r>
      <w:r>
        <w:t>related symptoms that are resistant, refractory or intolerant to available therapy.</w:t>
      </w:r>
    </w:p>
    <w:p w14:paraId="0AC332D9" w14:textId="77777777" w:rsidR="00431FB2" w:rsidRPr="00917AE7" w:rsidRDefault="00431FB2" w:rsidP="00431FB2">
      <w:r w:rsidRPr="00917AE7">
        <w:t xml:space="preserve">The PBAC was satisfied that ruxolitinib provides </w:t>
      </w:r>
      <w:r w:rsidRPr="00917AE7">
        <w:rPr>
          <w:lang w:val="en-US"/>
        </w:rPr>
        <w:t>a major advance in care for patients with poor prognosis and/or with symptoms refractory to current care.</w:t>
      </w:r>
      <w:r w:rsidRPr="00917AE7">
        <w:t xml:space="preserve"> </w:t>
      </w:r>
    </w:p>
    <w:p w14:paraId="7D827290" w14:textId="77777777" w:rsidR="00431FB2" w:rsidRPr="00917AE7" w:rsidRDefault="00431FB2" w:rsidP="00431FB2">
      <w:r w:rsidRPr="00917AE7">
        <w:t xml:space="preserve">The PBAC accepted the clinical place for ruxolitinib, noting advice from expert clinicians at the PBAC stakeholder meeting for ruxolitinib. The PBAC agreed that </w:t>
      </w:r>
      <w:r w:rsidR="00504EEA">
        <w:t>Int</w:t>
      </w:r>
      <w:r w:rsidR="00504EEA">
        <w:noBreakHyphen/>
      </w:r>
      <w:r w:rsidRPr="00917AE7">
        <w:t xml:space="preserve">1 patients with a high symptom burden should be included in the requested population, noting that no randomised controlled trials of ruxolitinib have included </w:t>
      </w:r>
      <w:r w:rsidR="00504EEA">
        <w:t>Int</w:t>
      </w:r>
      <w:r w:rsidR="00504EEA">
        <w:noBreakHyphen/>
      </w:r>
      <w:r w:rsidRPr="00917AE7">
        <w:t xml:space="preserve">1 patients. </w:t>
      </w:r>
    </w:p>
    <w:p w14:paraId="10720650" w14:textId="77777777" w:rsidR="00431FB2" w:rsidRPr="00917AE7" w:rsidRDefault="00431FB2" w:rsidP="00431FB2">
      <w:r w:rsidRPr="00917AE7">
        <w:t>The PBAC considered the extent of survival benefit remains uncertain but cannot be resolved.</w:t>
      </w:r>
    </w:p>
    <w:p w14:paraId="0168D241" w14:textId="77777777" w:rsidR="00431FB2" w:rsidRPr="00917AE7" w:rsidRDefault="00431FB2" w:rsidP="00431FB2">
      <w:r w:rsidRPr="00917AE7">
        <w:t xml:space="preserve">The PBAC accepted that in the absence of comparative evidence for the </w:t>
      </w:r>
      <w:r w:rsidR="00504EEA">
        <w:t>Int</w:t>
      </w:r>
      <w:r w:rsidR="00504EEA">
        <w:noBreakHyphen/>
      </w:r>
      <w:r w:rsidRPr="00917AE7">
        <w:t xml:space="preserve">1 population, it would be reasonable to assume that the effectiveness of ruxolitinib for </w:t>
      </w:r>
      <w:r w:rsidR="00504EEA">
        <w:t>Int</w:t>
      </w:r>
      <w:r w:rsidR="00504EEA">
        <w:noBreakHyphen/>
      </w:r>
      <w:r w:rsidRPr="00917AE7">
        <w:t xml:space="preserve">1 patients would be the same as for </w:t>
      </w:r>
      <w:r w:rsidR="00504EEA">
        <w:t>Int</w:t>
      </w:r>
      <w:r w:rsidR="00504EEA">
        <w:noBreakHyphen/>
      </w:r>
      <w:r w:rsidRPr="00917AE7">
        <w:t>2 for the purpose of determining cost effectiveness, noting the difference in baseline mortality risk.</w:t>
      </w:r>
    </w:p>
    <w:p w14:paraId="2D56BB04" w14:textId="77777777" w:rsidR="00431FB2" w:rsidRPr="00917AE7" w:rsidRDefault="00431FB2" w:rsidP="00431FB2">
      <w:r w:rsidRPr="00917AE7">
        <w:rPr>
          <w:iCs/>
        </w:rPr>
        <w:t xml:space="preserve">The PBAC considered that ruxolitinib could potentially be used outside of the eligible population in myelofibrosis with lower symptom burden or in other chronic myeloid neoplasms. The PBAC recommended a written Authority </w:t>
      </w:r>
      <w:r w:rsidR="00D2447D">
        <w:rPr>
          <w:iCs/>
        </w:rPr>
        <w:t>R</w:t>
      </w:r>
      <w:r w:rsidRPr="00917AE7">
        <w:rPr>
          <w:iCs/>
        </w:rPr>
        <w:t xml:space="preserve">equired restriction for initial use, with continuation by telephone </w:t>
      </w:r>
      <w:r w:rsidR="00D2447D">
        <w:rPr>
          <w:iCs/>
        </w:rPr>
        <w:t>a</w:t>
      </w:r>
      <w:r w:rsidRPr="00917AE7">
        <w:rPr>
          <w:iCs/>
        </w:rPr>
        <w:t xml:space="preserve">uthority approval to mitigate this risk. </w:t>
      </w:r>
    </w:p>
    <w:p w14:paraId="73515328" w14:textId="77777777" w:rsidR="00431FB2" w:rsidRPr="00F65F0D" w:rsidRDefault="00431FB2" w:rsidP="00431FB2">
      <w:r>
        <w:t xml:space="preserve">For further details refer to </w:t>
      </w:r>
      <w:r w:rsidRPr="00F65F0D">
        <w:t>the</w:t>
      </w:r>
      <w:r>
        <w:t xml:space="preserve"> </w:t>
      </w:r>
      <w:hyperlink r:id="rId18" w:history="1">
        <w:r w:rsidRPr="00013711">
          <w:rPr>
            <w:rStyle w:val="Hyperlink"/>
          </w:rPr>
          <w:t>Public Summary Document</w:t>
        </w:r>
      </w:hyperlink>
      <w:r w:rsidRPr="00F65F0D">
        <w:t xml:space="preserve"> </w:t>
      </w:r>
      <w:r>
        <w:t xml:space="preserve">from the March 2015 PBAC meeting. </w:t>
      </w:r>
    </w:p>
    <w:p w14:paraId="11F00E8C" w14:textId="77777777" w:rsidR="000F2F51" w:rsidRDefault="00ED633B" w:rsidP="00CF5E22">
      <w:pPr>
        <w:pStyle w:val="Heading2"/>
      </w:pPr>
      <w:r>
        <w:t>A</w:t>
      </w:r>
      <w:r w:rsidR="000F2F51">
        <w:t xml:space="preserve">pproach </w:t>
      </w:r>
      <w:r>
        <w:t xml:space="preserve">taken to </w:t>
      </w:r>
      <w:r w:rsidR="000F2F51">
        <w:t>estimat</w:t>
      </w:r>
      <w:r>
        <w:t>e</w:t>
      </w:r>
      <w:r w:rsidR="000F2F51">
        <w:t xml:space="preserve"> utilisation</w:t>
      </w:r>
    </w:p>
    <w:p w14:paraId="416AC708" w14:textId="77777777" w:rsidR="002D6C2A" w:rsidRDefault="00F94C77" w:rsidP="00F94C77">
      <w:r>
        <w:t>The submission used an epidemiological approach to estimate the number of pat</w:t>
      </w:r>
      <w:r w:rsidR="00680FBE">
        <w:t xml:space="preserve">ients eligible for ruxolitinib. </w:t>
      </w:r>
    </w:p>
    <w:p w14:paraId="38626442" w14:textId="77777777" w:rsidR="00856C0B" w:rsidRDefault="00680FBE" w:rsidP="00F94C77">
      <w:r>
        <w:t>P</w:t>
      </w:r>
      <w:r w:rsidR="00780E16">
        <w:t>ublished literatur</w:t>
      </w:r>
      <w:r>
        <w:t xml:space="preserve">e was used to estimate annual incidence </w:t>
      </w:r>
      <w:r w:rsidR="00CF50D2">
        <w:t xml:space="preserve">and prevalence </w:t>
      </w:r>
      <w:r>
        <w:t xml:space="preserve">of myelofibrosis. </w:t>
      </w:r>
      <w:r w:rsidR="00F44D78">
        <w:t xml:space="preserve">The </w:t>
      </w:r>
      <w:r w:rsidR="00856C0B">
        <w:t>assumption</w:t>
      </w:r>
      <w:r w:rsidR="00B60D13">
        <w:t>s</w:t>
      </w:r>
      <w:r w:rsidR="00856C0B">
        <w:t xml:space="preserve"> of risk stratification and mortality rate </w:t>
      </w:r>
      <w:r w:rsidR="007A180D">
        <w:t>prior to ruxolitinib access</w:t>
      </w:r>
      <w:r w:rsidR="00856C0B">
        <w:t xml:space="preserve"> w</w:t>
      </w:r>
      <w:r w:rsidR="00B60D13">
        <w:t>ere</w:t>
      </w:r>
      <w:r w:rsidR="00F44D78">
        <w:t xml:space="preserve"> based on published literature. </w:t>
      </w:r>
      <w:r w:rsidR="007A180D">
        <w:t xml:space="preserve">Mortality rate following availability of ruxolitinib was based on trial data from COMFORT I study. </w:t>
      </w:r>
      <w:r w:rsidR="006D3B0B">
        <w:t>Uptake rates were based on clinical advice.</w:t>
      </w:r>
    </w:p>
    <w:p w14:paraId="31AD1676" w14:textId="77777777" w:rsidR="00FB3DB8" w:rsidRDefault="00FB3DB8">
      <w:pPr>
        <w:spacing w:line="276" w:lineRule="auto"/>
        <w:rPr>
          <w:rFonts w:eastAsia="Times New Roman" w:cstheme="minorHAnsi"/>
          <w:b/>
          <w:snapToGrid w:val="0"/>
          <w:szCs w:val="20"/>
        </w:rPr>
      </w:pPr>
      <w:r>
        <w:rPr>
          <w:rFonts w:eastAsia="Times New Roman" w:cstheme="minorHAnsi"/>
          <w:b/>
          <w:snapToGrid w:val="0"/>
          <w:szCs w:val="20"/>
        </w:rPr>
        <w:br w:type="page"/>
      </w:r>
    </w:p>
    <w:p w14:paraId="58438894" w14:textId="77777777" w:rsidR="00015850" w:rsidRPr="00015850" w:rsidRDefault="00015850" w:rsidP="004C3356">
      <w:pPr>
        <w:pStyle w:val="Tabletitle"/>
        <w:rPr>
          <w:snapToGrid w:val="0"/>
        </w:rPr>
      </w:pPr>
      <w:r w:rsidRPr="00015850">
        <w:rPr>
          <w:snapToGrid w:val="0"/>
        </w:rPr>
        <w:lastRenderedPageBreak/>
        <w:t xml:space="preserve">Table </w:t>
      </w:r>
      <w:r w:rsidR="006D3B0B">
        <w:rPr>
          <w:snapToGrid w:val="0"/>
        </w:rPr>
        <w:t>3</w:t>
      </w:r>
      <w:r w:rsidR="005A5BA7">
        <w:rPr>
          <w:snapToGrid w:val="0"/>
        </w:rPr>
        <w:t>:</w:t>
      </w:r>
      <w:r w:rsidRPr="00015850">
        <w:rPr>
          <w:snapToGrid w:val="0"/>
        </w:rPr>
        <w:t xml:space="preserve"> Data sources and assumptions used for financial estimates</w:t>
      </w:r>
    </w:p>
    <w:tbl>
      <w:tblPr>
        <w:tblStyle w:val="TableGrid"/>
        <w:tblW w:w="9071" w:type="dxa"/>
        <w:tblLayout w:type="fixed"/>
        <w:tblCellMar>
          <w:left w:w="28" w:type="dxa"/>
          <w:right w:w="28" w:type="dxa"/>
        </w:tblCellMar>
        <w:tblLook w:val="04A0" w:firstRow="1" w:lastRow="0" w:firstColumn="1" w:lastColumn="0" w:noHBand="0" w:noVBand="1"/>
        <w:tblCaption w:val="Table 3: Data sources and assumptions used for financial estimates"/>
      </w:tblPr>
      <w:tblGrid>
        <w:gridCol w:w="2098"/>
        <w:gridCol w:w="4082"/>
        <w:gridCol w:w="2891"/>
      </w:tblGrid>
      <w:tr w:rsidR="005A5BA7" w:rsidRPr="00015850" w14:paraId="297D23B2" w14:textId="77777777" w:rsidTr="00D2447D">
        <w:trPr>
          <w:tblHeader/>
        </w:trPr>
        <w:tc>
          <w:tcPr>
            <w:tcW w:w="2098" w:type="dxa"/>
            <w:shd w:val="clear" w:color="auto" w:fill="BFBFBF" w:themeFill="background1" w:themeFillShade="BF"/>
            <w:vAlign w:val="center"/>
          </w:tcPr>
          <w:p w14:paraId="31DB7C32" w14:textId="77777777" w:rsidR="00015850" w:rsidRPr="00D2447D" w:rsidRDefault="00015850" w:rsidP="00517657">
            <w:pPr>
              <w:widowControl w:val="0"/>
              <w:rPr>
                <w:rFonts w:cstheme="minorHAnsi"/>
                <w:snapToGrid w:val="0"/>
                <w:sz w:val="20"/>
                <w:szCs w:val="20"/>
              </w:rPr>
            </w:pPr>
          </w:p>
        </w:tc>
        <w:tc>
          <w:tcPr>
            <w:tcW w:w="4082" w:type="dxa"/>
            <w:shd w:val="clear" w:color="auto" w:fill="BFBFBF" w:themeFill="background1" w:themeFillShade="BF"/>
            <w:vAlign w:val="center"/>
          </w:tcPr>
          <w:p w14:paraId="4C384941" w14:textId="77777777" w:rsidR="00015850" w:rsidRPr="00D2447D" w:rsidRDefault="006D3B0B" w:rsidP="00517657">
            <w:pPr>
              <w:widowControl w:val="0"/>
              <w:jc w:val="center"/>
              <w:rPr>
                <w:rFonts w:cstheme="minorHAnsi"/>
                <w:b/>
                <w:snapToGrid w:val="0"/>
                <w:sz w:val="20"/>
                <w:szCs w:val="20"/>
              </w:rPr>
            </w:pPr>
            <w:r w:rsidRPr="00D2447D">
              <w:rPr>
                <w:rFonts w:cstheme="minorHAnsi"/>
                <w:b/>
                <w:snapToGrid w:val="0"/>
                <w:sz w:val="20"/>
                <w:szCs w:val="20"/>
              </w:rPr>
              <w:t>Assumption</w:t>
            </w:r>
          </w:p>
        </w:tc>
        <w:tc>
          <w:tcPr>
            <w:tcW w:w="2891" w:type="dxa"/>
            <w:shd w:val="clear" w:color="auto" w:fill="BFBFBF" w:themeFill="background1" w:themeFillShade="BF"/>
            <w:vAlign w:val="center"/>
          </w:tcPr>
          <w:p w14:paraId="265F1A35" w14:textId="77777777" w:rsidR="00015850" w:rsidRPr="00D2447D" w:rsidRDefault="006D3B0B" w:rsidP="00517657">
            <w:pPr>
              <w:widowControl w:val="0"/>
              <w:jc w:val="center"/>
              <w:rPr>
                <w:rFonts w:cstheme="minorHAnsi"/>
                <w:b/>
                <w:snapToGrid w:val="0"/>
                <w:sz w:val="20"/>
                <w:szCs w:val="20"/>
              </w:rPr>
            </w:pPr>
            <w:r w:rsidRPr="00D2447D">
              <w:rPr>
                <w:rFonts w:cstheme="minorHAnsi"/>
                <w:b/>
                <w:snapToGrid w:val="0"/>
                <w:sz w:val="20"/>
                <w:szCs w:val="20"/>
              </w:rPr>
              <w:t>Source</w:t>
            </w:r>
            <w:r w:rsidR="00FB3DB8" w:rsidRPr="00D2447D">
              <w:rPr>
                <w:rFonts w:cstheme="minorHAnsi"/>
                <w:b/>
                <w:snapToGrid w:val="0"/>
                <w:sz w:val="20"/>
                <w:szCs w:val="20"/>
              </w:rPr>
              <w:t>/Comments</w:t>
            </w:r>
          </w:p>
        </w:tc>
      </w:tr>
      <w:tr w:rsidR="00FB3DB8" w:rsidRPr="00015850" w14:paraId="7E108AF0" w14:textId="77777777" w:rsidTr="000F4457">
        <w:trPr>
          <w:trHeight w:val="430"/>
        </w:trPr>
        <w:tc>
          <w:tcPr>
            <w:tcW w:w="2098" w:type="dxa"/>
            <w:vAlign w:val="center"/>
          </w:tcPr>
          <w:p w14:paraId="40CF1F3B" w14:textId="77777777" w:rsidR="00FB3DB8" w:rsidRPr="00D2447D" w:rsidRDefault="00FB3DB8" w:rsidP="00D2447D">
            <w:pPr>
              <w:widowControl w:val="0"/>
              <w:rPr>
                <w:rFonts w:cstheme="minorHAnsi"/>
                <w:snapToGrid w:val="0"/>
                <w:sz w:val="20"/>
                <w:szCs w:val="20"/>
              </w:rPr>
            </w:pPr>
            <w:r w:rsidRPr="00D2447D">
              <w:rPr>
                <w:rFonts w:cstheme="minorHAnsi"/>
                <w:snapToGrid w:val="0"/>
                <w:sz w:val="20"/>
                <w:szCs w:val="20"/>
              </w:rPr>
              <w:t>Incidence (rate/100,000)</w:t>
            </w:r>
          </w:p>
        </w:tc>
        <w:tc>
          <w:tcPr>
            <w:tcW w:w="4082" w:type="dxa"/>
            <w:vAlign w:val="center"/>
          </w:tcPr>
          <w:p w14:paraId="64EE03C8" w14:textId="77777777" w:rsidR="00FB3DB8" w:rsidRPr="00D2447D" w:rsidRDefault="00FB3DB8" w:rsidP="00D2447D">
            <w:pPr>
              <w:widowControl w:val="0"/>
              <w:jc w:val="center"/>
              <w:rPr>
                <w:rFonts w:cstheme="minorHAnsi"/>
                <w:snapToGrid w:val="0"/>
                <w:sz w:val="20"/>
                <w:szCs w:val="20"/>
              </w:rPr>
            </w:pPr>
            <w:r w:rsidRPr="00D2447D">
              <w:rPr>
                <w:rFonts w:cstheme="minorHAnsi"/>
                <w:snapToGrid w:val="0"/>
                <w:sz w:val="20"/>
                <w:szCs w:val="20"/>
              </w:rPr>
              <w:t>1.2</w:t>
            </w:r>
          </w:p>
        </w:tc>
        <w:tc>
          <w:tcPr>
            <w:tcW w:w="2891" w:type="dxa"/>
            <w:vMerge w:val="restart"/>
            <w:vAlign w:val="center"/>
          </w:tcPr>
          <w:p w14:paraId="1A13F855" w14:textId="77777777" w:rsidR="00FB3DB8" w:rsidRPr="00D2447D" w:rsidRDefault="00FB3DB8" w:rsidP="000F4457">
            <w:pPr>
              <w:widowControl w:val="0"/>
              <w:ind w:left="57"/>
              <w:rPr>
                <w:rFonts w:cstheme="minorHAnsi"/>
                <w:snapToGrid w:val="0"/>
                <w:sz w:val="20"/>
                <w:szCs w:val="20"/>
              </w:rPr>
            </w:pPr>
            <w:r w:rsidRPr="00D2447D">
              <w:rPr>
                <w:rFonts w:cstheme="minorHAnsi"/>
                <w:snapToGrid w:val="0"/>
                <w:sz w:val="20"/>
                <w:szCs w:val="20"/>
              </w:rPr>
              <w:t>Mehta 2013</w:t>
            </w:r>
            <w:r w:rsidRPr="00D2447D">
              <w:rPr>
                <w:rStyle w:val="FootnoteReference"/>
                <w:rFonts w:cstheme="minorHAnsi"/>
                <w:sz w:val="20"/>
                <w:szCs w:val="20"/>
              </w:rPr>
              <w:t xml:space="preserve"> </w:t>
            </w:r>
            <w:r w:rsidRPr="00D2447D">
              <w:rPr>
                <w:rStyle w:val="FootnoteReference"/>
                <w:rFonts w:cstheme="minorHAnsi"/>
                <w:sz w:val="20"/>
                <w:szCs w:val="20"/>
              </w:rPr>
              <w:footnoteReference w:id="7"/>
            </w:r>
          </w:p>
          <w:p w14:paraId="0B2AA535" w14:textId="77777777" w:rsidR="00FB3DB8" w:rsidRPr="00D2447D" w:rsidRDefault="00FB3DB8" w:rsidP="000F4457">
            <w:pPr>
              <w:widowControl w:val="0"/>
              <w:ind w:left="57"/>
              <w:rPr>
                <w:rFonts w:cstheme="minorHAnsi"/>
                <w:snapToGrid w:val="0"/>
                <w:sz w:val="20"/>
                <w:szCs w:val="20"/>
              </w:rPr>
            </w:pPr>
            <w:r w:rsidRPr="00D2447D">
              <w:rPr>
                <w:rFonts w:cstheme="minorHAnsi"/>
                <w:snapToGrid w:val="0"/>
                <w:sz w:val="20"/>
                <w:szCs w:val="20"/>
              </w:rPr>
              <w:t xml:space="preserve">Prevalence is applied in the first year estimates and incidence thereafter. </w:t>
            </w:r>
          </w:p>
        </w:tc>
      </w:tr>
      <w:tr w:rsidR="00FB3DB8" w:rsidRPr="00015850" w14:paraId="4DD8E501" w14:textId="77777777" w:rsidTr="000F4457">
        <w:tc>
          <w:tcPr>
            <w:tcW w:w="2098" w:type="dxa"/>
            <w:vAlign w:val="center"/>
          </w:tcPr>
          <w:p w14:paraId="5BAF0B3A" w14:textId="77777777" w:rsidR="00FB3DB8" w:rsidRPr="00D2447D" w:rsidRDefault="00FB3DB8" w:rsidP="00D2447D">
            <w:pPr>
              <w:widowControl w:val="0"/>
              <w:rPr>
                <w:rFonts w:cstheme="minorHAnsi"/>
                <w:snapToGrid w:val="0"/>
                <w:sz w:val="20"/>
                <w:szCs w:val="20"/>
              </w:rPr>
            </w:pPr>
            <w:r w:rsidRPr="00D2447D">
              <w:rPr>
                <w:rFonts w:cstheme="minorHAnsi"/>
                <w:snapToGrid w:val="0"/>
                <w:sz w:val="20"/>
                <w:szCs w:val="20"/>
              </w:rPr>
              <w:t>Prevalence</w:t>
            </w:r>
          </w:p>
          <w:p w14:paraId="654E9B97" w14:textId="77777777" w:rsidR="00FB3DB8" w:rsidRPr="00D2447D" w:rsidRDefault="00FB3DB8" w:rsidP="00D2447D">
            <w:pPr>
              <w:widowControl w:val="0"/>
              <w:rPr>
                <w:rFonts w:cstheme="minorHAnsi"/>
                <w:snapToGrid w:val="0"/>
                <w:sz w:val="20"/>
                <w:szCs w:val="20"/>
              </w:rPr>
            </w:pPr>
            <w:r w:rsidRPr="00D2447D">
              <w:rPr>
                <w:rFonts w:cstheme="minorHAnsi"/>
                <w:snapToGrid w:val="0"/>
                <w:sz w:val="20"/>
                <w:szCs w:val="20"/>
              </w:rPr>
              <w:t>(rate/100,000)</w:t>
            </w:r>
          </w:p>
        </w:tc>
        <w:tc>
          <w:tcPr>
            <w:tcW w:w="4082" w:type="dxa"/>
            <w:vAlign w:val="center"/>
          </w:tcPr>
          <w:p w14:paraId="13B3E2CC" w14:textId="77777777" w:rsidR="00FB3DB8" w:rsidRPr="00D2447D" w:rsidRDefault="00FB3DB8" w:rsidP="00D2447D">
            <w:pPr>
              <w:widowControl w:val="0"/>
              <w:jc w:val="center"/>
              <w:rPr>
                <w:rFonts w:cstheme="minorHAnsi"/>
                <w:snapToGrid w:val="0"/>
                <w:sz w:val="20"/>
                <w:szCs w:val="20"/>
              </w:rPr>
            </w:pPr>
            <w:r w:rsidRPr="00D2447D">
              <w:rPr>
                <w:rFonts w:cstheme="minorHAnsi"/>
                <w:snapToGrid w:val="0"/>
                <w:sz w:val="20"/>
                <w:szCs w:val="20"/>
              </w:rPr>
              <w:t>3.8</w:t>
            </w:r>
          </w:p>
        </w:tc>
        <w:tc>
          <w:tcPr>
            <w:tcW w:w="2891" w:type="dxa"/>
            <w:vMerge/>
            <w:vAlign w:val="center"/>
          </w:tcPr>
          <w:p w14:paraId="77107802" w14:textId="77777777" w:rsidR="00FB3DB8" w:rsidRPr="00D2447D" w:rsidRDefault="00FB3DB8" w:rsidP="000F4457">
            <w:pPr>
              <w:widowControl w:val="0"/>
              <w:rPr>
                <w:rFonts w:cstheme="minorHAnsi"/>
                <w:i/>
                <w:snapToGrid w:val="0"/>
                <w:sz w:val="20"/>
                <w:szCs w:val="20"/>
              </w:rPr>
            </w:pPr>
          </w:p>
        </w:tc>
      </w:tr>
      <w:tr w:rsidR="005A5BA7" w:rsidRPr="00015850" w14:paraId="05E4628F" w14:textId="77777777" w:rsidTr="000F4457">
        <w:tblPrEx>
          <w:tblCellMar>
            <w:left w:w="108" w:type="dxa"/>
            <w:right w:w="108" w:type="dxa"/>
          </w:tblCellMar>
        </w:tblPrEx>
        <w:trPr>
          <w:trHeight w:val="1294"/>
        </w:trPr>
        <w:tc>
          <w:tcPr>
            <w:tcW w:w="2098" w:type="dxa"/>
            <w:vAlign w:val="center"/>
          </w:tcPr>
          <w:p w14:paraId="14D63002" w14:textId="77777777" w:rsidR="00015850" w:rsidRPr="00D2447D" w:rsidRDefault="00015850" w:rsidP="00D2447D">
            <w:pPr>
              <w:widowControl w:val="0"/>
              <w:ind w:left="-80"/>
              <w:rPr>
                <w:rFonts w:cstheme="minorHAnsi"/>
                <w:snapToGrid w:val="0"/>
                <w:sz w:val="20"/>
                <w:szCs w:val="20"/>
              </w:rPr>
            </w:pPr>
            <w:r w:rsidRPr="00D2447D">
              <w:rPr>
                <w:rFonts w:cstheme="minorHAnsi"/>
                <w:snapToGrid w:val="0"/>
                <w:sz w:val="20"/>
                <w:szCs w:val="20"/>
              </w:rPr>
              <w:t>Distribution of risk categories</w:t>
            </w:r>
          </w:p>
        </w:tc>
        <w:tc>
          <w:tcPr>
            <w:tcW w:w="4082" w:type="dxa"/>
            <w:vAlign w:val="center"/>
          </w:tcPr>
          <w:tbl>
            <w:tblPr>
              <w:tblStyle w:val="TableGrid"/>
              <w:tblW w:w="0" w:type="auto"/>
              <w:tblLayout w:type="fixed"/>
              <w:tblLook w:val="04A0" w:firstRow="1" w:lastRow="0" w:firstColumn="1" w:lastColumn="0" w:noHBand="0" w:noVBand="1"/>
              <w:tblCaption w:val="Distribution of risk categories"/>
            </w:tblPr>
            <w:tblGrid>
              <w:gridCol w:w="2211"/>
              <w:gridCol w:w="1644"/>
            </w:tblGrid>
            <w:tr w:rsidR="00015850" w:rsidRPr="00D2447D" w14:paraId="5DE3CE72" w14:textId="77777777" w:rsidTr="00493611">
              <w:trPr>
                <w:tblHeader/>
              </w:trPr>
              <w:tc>
                <w:tcPr>
                  <w:tcW w:w="2211" w:type="dxa"/>
                </w:tcPr>
                <w:p w14:paraId="77FC6BA1" w14:textId="77777777" w:rsidR="00015850" w:rsidRPr="00D2447D" w:rsidRDefault="00015850" w:rsidP="00D2447D">
                  <w:pPr>
                    <w:widowControl w:val="0"/>
                    <w:jc w:val="center"/>
                    <w:rPr>
                      <w:rFonts w:cstheme="minorHAnsi"/>
                      <w:snapToGrid w:val="0"/>
                      <w:sz w:val="20"/>
                      <w:szCs w:val="20"/>
                    </w:rPr>
                  </w:pPr>
                  <w:r w:rsidRPr="00D2447D">
                    <w:rPr>
                      <w:rFonts w:cstheme="minorHAnsi"/>
                      <w:snapToGrid w:val="0"/>
                      <w:sz w:val="20"/>
                      <w:szCs w:val="20"/>
                    </w:rPr>
                    <w:t>Low risk</w:t>
                  </w:r>
                </w:p>
              </w:tc>
              <w:tc>
                <w:tcPr>
                  <w:tcW w:w="1644" w:type="dxa"/>
                </w:tcPr>
                <w:p w14:paraId="29B9F474" w14:textId="77777777" w:rsidR="00015850" w:rsidRPr="00D2447D" w:rsidRDefault="00015850" w:rsidP="00D2447D">
                  <w:pPr>
                    <w:widowControl w:val="0"/>
                    <w:jc w:val="center"/>
                    <w:rPr>
                      <w:rFonts w:cstheme="minorHAnsi"/>
                      <w:snapToGrid w:val="0"/>
                      <w:sz w:val="20"/>
                      <w:szCs w:val="20"/>
                    </w:rPr>
                  </w:pPr>
                  <w:r w:rsidRPr="00D2447D">
                    <w:rPr>
                      <w:rFonts w:cstheme="minorHAnsi"/>
                      <w:snapToGrid w:val="0"/>
                      <w:sz w:val="20"/>
                      <w:szCs w:val="20"/>
                    </w:rPr>
                    <w:t>22%</w:t>
                  </w:r>
                </w:p>
              </w:tc>
            </w:tr>
            <w:tr w:rsidR="00015850" w:rsidRPr="00D2447D" w14:paraId="0EBC640F" w14:textId="77777777" w:rsidTr="00D2447D">
              <w:tc>
                <w:tcPr>
                  <w:tcW w:w="2211" w:type="dxa"/>
                </w:tcPr>
                <w:p w14:paraId="0773D01F" w14:textId="77777777" w:rsidR="00015850" w:rsidRPr="00D2447D" w:rsidRDefault="00504EEA" w:rsidP="00D2447D">
                  <w:pPr>
                    <w:widowControl w:val="0"/>
                    <w:jc w:val="center"/>
                    <w:rPr>
                      <w:rFonts w:cstheme="minorHAnsi"/>
                      <w:snapToGrid w:val="0"/>
                      <w:sz w:val="20"/>
                      <w:szCs w:val="20"/>
                    </w:rPr>
                  </w:pPr>
                  <w:r>
                    <w:rPr>
                      <w:rFonts w:cstheme="minorHAnsi"/>
                      <w:snapToGrid w:val="0"/>
                      <w:sz w:val="20"/>
                      <w:szCs w:val="20"/>
                    </w:rPr>
                    <w:t>Int</w:t>
                  </w:r>
                  <w:r w:rsidR="00015850" w:rsidRPr="00D2447D">
                    <w:rPr>
                      <w:rFonts w:cstheme="minorHAnsi"/>
                      <w:snapToGrid w:val="0"/>
                      <w:sz w:val="20"/>
                      <w:szCs w:val="20"/>
                    </w:rPr>
                    <w:t>-1 risk</w:t>
                  </w:r>
                </w:p>
              </w:tc>
              <w:tc>
                <w:tcPr>
                  <w:tcW w:w="1644" w:type="dxa"/>
                </w:tcPr>
                <w:p w14:paraId="0103ED89" w14:textId="77777777" w:rsidR="00015850" w:rsidRPr="00D2447D" w:rsidRDefault="00015850" w:rsidP="00D2447D">
                  <w:pPr>
                    <w:widowControl w:val="0"/>
                    <w:jc w:val="center"/>
                    <w:rPr>
                      <w:rFonts w:cstheme="minorHAnsi"/>
                      <w:snapToGrid w:val="0"/>
                      <w:sz w:val="20"/>
                      <w:szCs w:val="20"/>
                    </w:rPr>
                  </w:pPr>
                  <w:r w:rsidRPr="00D2447D">
                    <w:rPr>
                      <w:rFonts w:cstheme="minorHAnsi"/>
                      <w:snapToGrid w:val="0"/>
                      <w:sz w:val="20"/>
                      <w:szCs w:val="20"/>
                    </w:rPr>
                    <w:t>29%</w:t>
                  </w:r>
                </w:p>
              </w:tc>
            </w:tr>
            <w:tr w:rsidR="00015850" w:rsidRPr="00D2447D" w14:paraId="5F386FCC" w14:textId="77777777" w:rsidTr="00D2447D">
              <w:tc>
                <w:tcPr>
                  <w:tcW w:w="2211" w:type="dxa"/>
                </w:tcPr>
                <w:p w14:paraId="6C574B45" w14:textId="77777777" w:rsidR="00015850" w:rsidRPr="00D2447D" w:rsidRDefault="00504EEA" w:rsidP="00D2447D">
                  <w:pPr>
                    <w:widowControl w:val="0"/>
                    <w:jc w:val="center"/>
                    <w:rPr>
                      <w:rFonts w:cstheme="minorHAnsi"/>
                      <w:snapToGrid w:val="0"/>
                      <w:sz w:val="20"/>
                      <w:szCs w:val="20"/>
                    </w:rPr>
                  </w:pPr>
                  <w:r>
                    <w:rPr>
                      <w:rFonts w:cstheme="minorHAnsi"/>
                      <w:snapToGrid w:val="0"/>
                      <w:sz w:val="20"/>
                      <w:szCs w:val="20"/>
                    </w:rPr>
                    <w:t>Int</w:t>
                  </w:r>
                  <w:r w:rsidR="00015850" w:rsidRPr="00D2447D">
                    <w:rPr>
                      <w:rFonts w:cstheme="minorHAnsi"/>
                      <w:snapToGrid w:val="0"/>
                      <w:sz w:val="20"/>
                      <w:szCs w:val="20"/>
                    </w:rPr>
                    <w:t>-2 risk</w:t>
                  </w:r>
                </w:p>
              </w:tc>
              <w:tc>
                <w:tcPr>
                  <w:tcW w:w="1644" w:type="dxa"/>
                </w:tcPr>
                <w:p w14:paraId="6BEF87C5" w14:textId="77777777" w:rsidR="00015850" w:rsidRPr="00D2447D" w:rsidRDefault="00015850" w:rsidP="00D2447D">
                  <w:pPr>
                    <w:widowControl w:val="0"/>
                    <w:jc w:val="center"/>
                    <w:rPr>
                      <w:rFonts w:cstheme="minorHAnsi"/>
                      <w:snapToGrid w:val="0"/>
                      <w:sz w:val="20"/>
                      <w:szCs w:val="20"/>
                    </w:rPr>
                  </w:pPr>
                  <w:r w:rsidRPr="00D2447D">
                    <w:rPr>
                      <w:rFonts w:cstheme="minorHAnsi"/>
                      <w:snapToGrid w:val="0"/>
                      <w:sz w:val="20"/>
                      <w:szCs w:val="20"/>
                    </w:rPr>
                    <w:t>28%</w:t>
                  </w:r>
                </w:p>
              </w:tc>
            </w:tr>
            <w:tr w:rsidR="00015850" w:rsidRPr="00D2447D" w14:paraId="34DD881F" w14:textId="77777777" w:rsidTr="00D2447D">
              <w:tc>
                <w:tcPr>
                  <w:tcW w:w="2211" w:type="dxa"/>
                </w:tcPr>
                <w:p w14:paraId="1325E038" w14:textId="77777777" w:rsidR="00015850" w:rsidRPr="00D2447D" w:rsidRDefault="00015850" w:rsidP="00D2447D">
                  <w:pPr>
                    <w:widowControl w:val="0"/>
                    <w:jc w:val="center"/>
                    <w:rPr>
                      <w:rFonts w:cstheme="minorHAnsi"/>
                      <w:snapToGrid w:val="0"/>
                      <w:sz w:val="20"/>
                      <w:szCs w:val="20"/>
                    </w:rPr>
                  </w:pPr>
                  <w:r w:rsidRPr="00D2447D">
                    <w:rPr>
                      <w:rFonts w:cstheme="minorHAnsi"/>
                      <w:snapToGrid w:val="0"/>
                      <w:sz w:val="20"/>
                      <w:szCs w:val="20"/>
                    </w:rPr>
                    <w:t>High risk</w:t>
                  </w:r>
                </w:p>
              </w:tc>
              <w:tc>
                <w:tcPr>
                  <w:tcW w:w="1644" w:type="dxa"/>
                </w:tcPr>
                <w:p w14:paraId="2F178888" w14:textId="77777777" w:rsidR="00015850" w:rsidRPr="00D2447D" w:rsidRDefault="00015850" w:rsidP="00D2447D">
                  <w:pPr>
                    <w:widowControl w:val="0"/>
                    <w:jc w:val="center"/>
                    <w:rPr>
                      <w:rFonts w:cstheme="minorHAnsi"/>
                      <w:snapToGrid w:val="0"/>
                      <w:sz w:val="20"/>
                      <w:szCs w:val="20"/>
                    </w:rPr>
                  </w:pPr>
                  <w:r w:rsidRPr="00D2447D">
                    <w:rPr>
                      <w:rFonts w:cstheme="minorHAnsi"/>
                      <w:snapToGrid w:val="0"/>
                      <w:sz w:val="20"/>
                      <w:szCs w:val="20"/>
                    </w:rPr>
                    <w:t>21%</w:t>
                  </w:r>
                </w:p>
              </w:tc>
            </w:tr>
          </w:tbl>
          <w:p w14:paraId="31BBE860" w14:textId="77777777" w:rsidR="00015850" w:rsidRPr="00D2447D" w:rsidRDefault="00015850" w:rsidP="00D2447D">
            <w:pPr>
              <w:widowControl w:val="0"/>
              <w:jc w:val="center"/>
              <w:rPr>
                <w:rFonts w:cstheme="minorHAnsi"/>
                <w:snapToGrid w:val="0"/>
                <w:sz w:val="20"/>
                <w:szCs w:val="20"/>
              </w:rPr>
            </w:pPr>
          </w:p>
        </w:tc>
        <w:tc>
          <w:tcPr>
            <w:tcW w:w="2891" w:type="dxa"/>
            <w:vAlign w:val="center"/>
          </w:tcPr>
          <w:p w14:paraId="10CE7FEC" w14:textId="77777777" w:rsidR="00FB3DB8" w:rsidRPr="00D2447D" w:rsidRDefault="006D3B0B" w:rsidP="000F4457">
            <w:pPr>
              <w:widowControl w:val="0"/>
              <w:rPr>
                <w:rFonts w:cstheme="minorHAnsi"/>
                <w:snapToGrid w:val="0"/>
                <w:sz w:val="20"/>
                <w:szCs w:val="20"/>
              </w:rPr>
            </w:pPr>
            <w:r w:rsidRPr="00D2447D">
              <w:rPr>
                <w:rFonts w:cstheme="minorHAnsi"/>
                <w:snapToGrid w:val="0"/>
                <w:sz w:val="20"/>
                <w:szCs w:val="20"/>
              </w:rPr>
              <w:t>Cervantes 2009</w:t>
            </w:r>
            <w:bookmarkStart w:id="4" w:name="_Ref522721066"/>
            <w:r w:rsidR="00FB3DB8" w:rsidRPr="00D2447D">
              <w:rPr>
                <w:rStyle w:val="FootnoteReference"/>
                <w:rFonts w:cstheme="minorHAnsi"/>
                <w:snapToGrid w:val="0"/>
                <w:sz w:val="20"/>
                <w:szCs w:val="20"/>
              </w:rPr>
              <w:footnoteReference w:id="8"/>
            </w:r>
            <w:bookmarkEnd w:id="4"/>
          </w:p>
          <w:p w14:paraId="5D0E3A6D" w14:textId="77777777" w:rsidR="00015850" w:rsidRPr="00D2447D" w:rsidRDefault="006D3B0B" w:rsidP="000F4457">
            <w:pPr>
              <w:widowControl w:val="0"/>
              <w:rPr>
                <w:rFonts w:cstheme="minorHAnsi"/>
                <w:snapToGrid w:val="0"/>
                <w:sz w:val="20"/>
                <w:szCs w:val="20"/>
              </w:rPr>
            </w:pPr>
            <w:r w:rsidRPr="00D2447D">
              <w:rPr>
                <w:rFonts w:cstheme="minorHAnsi"/>
                <w:snapToGrid w:val="0"/>
                <w:sz w:val="20"/>
                <w:szCs w:val="20"/>
              </w:rPr>
              <w:t xml:space="preserve">Based </w:t>
            </w:r>
            <w:r w:rsidR="00015850" w:rsidRPr="00D2447D">
              <w:rPr>
                <w:rFonts w:cstheme="minorHAnsi"/>
                <w:snapToGrid w:val="0"/>
                <w:sz w:val="20"/>
                <w:szCs w:val="20"/>
              </w:rPr>
              <w:t xml:space="preserve">IPSS. </w:t>
            </w:r>
            <w:r w:rsidR="00D2447D" w:rsidRPr="00D2447D">
              <w:rPr>
                <w:rFonts w:cstheme="minorHAnsi"/>
                <w:snapToGrid w:val="0"/>
                <w:sz w:val="20"/>
                <w:szCs w:val="20"/>
              </w:rPr>
              <w:t>on risk categories at diagnosis using the</w:t>
            </w:r>
          </w:p>
        </w:tc>
      </w:tr>
      <w:tr w:rsidR="005A5BA7" w:rsidRPr="00015850" w14:paraId="7C371FE2" w14:textId="77777777" w:rsidTr="000F4457">
        <w:tblPrEx>
          <w:tblCellMar>
            <w:left w:w="108" w:type="dxa"/>
            <w:right w:w="108" w:type="dxa"/>
          </w:tblCellMar>
        </w:tblPrEx>
        <w:trPr>
          <w:trHeight w:val="1255"/>
        </w:trPr>
        <w:tc>
          <w:tcPr>
            <w:tcW w:w="2098" w:type="dxa"/>
            <w:vAlign w:val="center"/>
          </w:tcPr>
          <w:p w14:paraId="25A5BE33" w14:textId="77777777" w:rsidR="00015850" w:rsidRPr="00D2447D" w:rsidRDefault="00015850" w:rsidP="00D2447D">
            <w:pPr>
              <w:widowControl w:val="0"/>
              <w:ind w:left="-80"/>
              <w:rPr>
                <w:rFonts w:cstheme="minorHAnsi"/>
                <w:snapToGrid w:val="0"/>
                <w:sz w:val="20"/>
                <w:szCs w:val="20"/>
              </w:rPr>
            </w:pPr>
            <w:r w:rsidRPr="00D2447D">
              <w:rPr>
                <w:rFonts w:cstheme="minorHAnsi"/>
                <w:snapToGrid w:val="0"/>
                <w:sz w:val="20"/>
                <w:szCs w:val="20"/>
              </w:rPr>
              <w:t>5 year survival (proportion)</w:t>
            </w:r>
          </w:p>
        </w:tc>
        <w:tc>
          <w:tcPr>
            <w:tcW w:w="4082" w:type="dxa"/>
            <w:vAlign w:val="center"/>
          </w:tcPr>
          <w:tbl>
            <w:tblPr>
              <w:tblStyle w:val="TableGrid"/>
              <w:tblW w:w="0" w:type="auto"/>
              <w:tblLayout w:type="fixed"/>
              <w:tblLook w:val="04A0" w:firstRow="1" w:lastRow="0" w:firstColumn="1" w:lastColumn="0" w:noHBand="0" w:noVBand="1"/>
              <w:tblCaption w:val="Table 3: Data sources and assumptions used for financial estimates"/>
            </w:tblPr>
            <w:tblGrid>
              <w:gridCol w:w="2211"/>
              <w:gridCol w:w="1644"/>
            </w:tblGrid>
            <w:tr w:rsidR="00015850" w:rsidRPr="00D2447D" w14:paraId="1DB5A43C" w14:textId="77777777" w:rsidTr="00493611">
              <w:trPr>
                <w:tblHeader/>
              </w:trPr>
              <w:tc>
                <w:tcPr>
                  <w:tcW w:w="2211" w:type="dxa"/>
                </w:tcPr>
                <w:p w14:paraId="627E717C" w14:textId="77777777" w:rsidR="00015850" w:rsidRPr="00D2447D" w:rsidRDefault="00015850" w:rsidP="00D2447D">
                  <w:pPr>
                    <w:widowControl w:val="0"/>
                    <w:jc w:val="center"/>
                    <w:rPr>
                      <w:rFonts w:cstheme="minorHAnsi"/>
                      <w:snapToGrid w:val="0"/>
                      <w:sz w:val="20"/>
                      <w:szCs w:val="20"/>
                    </w:rPr>
                  </w:pPr>
                  <w:r w:rsidRPr="00D2447D">
                    <w:rPr>
                      <w:rFonts w:cstheme="minorHAnsi"/>
                      <w:snapToGrid w:val="0"/>
                      <w:sz w:val="20"/>
                      <w:szCs w:val="20"/>
                    </w:rPr>
                    <w:t>Low risk</w:t>
                  </w:r>
                </w:p>
              </w:tc>
              <w:tc>
                <w:tcPr>
                  <w:tcW w:w="1644" w:type="dxa"/>
                  <w:vAlign w:val="center"/>
                </w:tcPr>
                <w:p w14:paraId="27D47C6A" w14:textId="77777777" w:rsidR="00015850" w:rsidRPr="00D2447D" w:rsidRDefault="00015850" w:rsidP="00D2447D">
                  <w:pPr>
                    <w:widowControl w:val="0"/>
                    <w:jc w:val="center"/>
                    <w:rPr>
                      <w:rFonts w:cstheme="minorHAnsi"/>
                      <w:snapToGrid w:val="0"/>
                      <w:sz w:val="20"/>
                      <w:szCs w:val="20"/>
                    </w:rPr>
                  </w:pPr>
                  <w:r w:rsidRPr="00D2447D">
                    <w:rPr>
                      <w:rFonts w:cstheme="minorHAnsi"/>
                      <w:snapToGrid w:val="0"/>
                      <w:sz w:val="20"/>
                      <w:szCs w:val="20"/>
                    </w:rPr>
                    <w:t>90%</w:t>
                  </w:r>
                </w:p>
              </w:tc>
            </w:tr>
            <w:tr w:rsidR="00015850" w:rsidRPr="00D2447D" w14:paraId="06EBAB9C" w14:textId="77777777" w:rsidTr="005A5BA7">
              <w:tc>
                <w:tcPr>
                  <w:tcW w:w="2211" w:type="dxa"/>
                </w:tcPr>
                <w:p w14:paraId="5C6A4E56" w14:textId="77777777" w:rsidR="00015850" w:rsidRPr="00D2447D" w:rsidRDefault="00504EEA" w:rsidP="00D2447D">
                  <w:pPr>
                    <w:widowControl w:val="0"/>
                    <w:jc w:val="center"/>
                    <w:rPr>
                      <w:rFonts w:cstheme="minorHAnsi"/>
                      <w:snapToGrid w:val="0"/>
                      <w:sz w:val="20"/>
                      <w:szCs w:val="20"/>
                    </w:rPr>
                  </w:pPr>
                  <w:r>
                    <w:rPr>
                      <w:rFonts w:cstheme="minorHAnsi"/>
                      <w:snapToGrid w:val="0"/>
                      <w:sz w:val="20"/>
                      <w:szCs w:val="20"/>
                    </w:rPr>
                    <w:t>Int</w:t>
                  </w:r>
                  <w:r w:rsidR="00015850" w:rsidRPr="00D2447D">
                    <w:rPr>
                      <w:rFonts w:cstheme="minorHAnsi"/>
                      <w:snapToGrid w:val="0"/>
                      <w:sz w:val="20"/>
                      <w:szCs w:val="20"/>
                    </w:rPr>
                    <w:t>-1 risk</w:t>
                  </w:r>
                </w:p>
              </w:tc>
              <w:tc>
                <w:tcPr>
                  <w:tcW w:w="1644" w:type="dxa"/>
                  <w:vAlign w:val="center"/>
                </w:tcPr>
                <w:p w14:paraId="754C3073" w14:textId="77777777" w:rsidR="00015850" w:rsidRPr="00D2447D" w:rsidRDefault="00015850" w:rsidP="00D2447D">
                  <w:pPr>
                    <w:widowControl w:val="0"/>
                    <w:jc w:val="center"/>
                    <w:rPr>
                      <w:rFonts w:cstheme="minorHAnsi"/>
                      <w:snapToGrid w:val="0"/>
                      <w:sz w:val="20"/>
                      <w:szCs w:val="20"/>
                    </w:rPr>
                  </w:pPr>
                  <w:r w:rsidRPr="00D2447D">
                    <w:rPr>
                      <w:rFonts w:cstheme="minorHAnsi"/>
                      <w:snapToGrid w:val="0"/>
                      <w:sz w:val="20"/>
                      <w:szCs w:val="20"/>
                    </w:rPr>
                    <w:t>75%</w:t>
                  </w:r>
                </w:p>
              </w:tc>
            </w:tr>
            <w:tr w:rsidR="00015850" w:rsidRPr="00D2447D" w14:paraId="6713F245" w14:textId="77777777" w:rsidTr="005A5BA7">
              <w:tc>
                <w:tcPr>
                  <w:tcW w:w="2211" w:type="dxa"/>
                </w:tcPr>
                <w:p w14:paraId="1A232EA8" w14:textId="77777777" w:rsidR="00015850" w:rsidRPr="00D2447D" w:rsidRDefault="00504EEA" w:rsidP="00D2447D">
                  <w:pPr>
                    <w:widowControl w:val="0"/>
                    <w:jc w:val="center"/>
                    <w:rPr>
                      <w:rFonts w:cstheme="minorHAnsi"/>
                      <w:snapToGrid w:val="0"/>
                      <w:sz w:val="20"/>
                      <w:szCs w:val="20"/>
                    </w:rPr>
                  </w:pPr>
                  <w:r>
                    <w:rPr>
                      <w:rFonts w:cstheme="minorHAnsi"/>
                      <w:snapToGrid w:val="0"/>
                      <w:sz w:val="20"/>
                      <w:szCs w:val="20"/>
                    </w:rPr>
                    <w:t>Int</w:t>
                  </w:r>
                  <w:r w:rsidR="00015850" w:rsidRPr="00D2447D">
                    <w:rPr>
                      <w:rFonts w:cstheme="minorHAnsi"/>
                      <w:snapToGrid w:val="0"/>
                      <w:sz w:val="20"/>
                      <w:szCs w:val="20"/>
                    </w:rPr>
                    <w:t>-2 risk</w:t>
                  </w:r>
                </w:p>
              </w:tc>
              <w:tc>
                <w:tcPr>
                  <w:tcW w:w="1644" w:type="dxa"/>
                  <w:vAlign w:val="center"/>
                </w:tcPr>
                <w:p w14:paraId="52C1923C" w14:textId="77777777" w:rsidR="00015850" w:rsidRPr="00D2447D" w:rsidRDefault="00015850" w:rsidP="00D2447D">
                  <w:pPr>
                    <w:widowControl w:val="0"/>
                    <w:jc w:val="center"/>
                    <w:rPr>
                      <w:rFonts w:cstheme="minorHAnsi"/>
                      <w:snapToGrid w:val="0"/>
                      <w:sz w:val="20"/>
                      <w:szCs w:val="20"/>
                    </w:rPr>
                  </w:pPr>
                  <w:r w:rsidRPr="00D2447D">
                    <w:rPr>
                      <w:rFonts w:cstheme="minorHAnsi"/>
                      <w:snapToGrid w:val="0"/>
                      <w:sz w:val="20"/>
                      <w:szCs w:val="20"/>
                    </w:rPr>
                    <w:t>46%</w:t>
                  </w:r>
                </w:p>
              </w:tc>
            </w:tr>
            <w:tr w:rsidR="00015850" w:rsidRPr="00D2447D" w14:paraId="5B5E88CD" w14:textId="77777777" w:rsidTr="005A5BA7">
              <w:tc>
                <w:tcPr>
                  <w:tcW w:w="2211" w:type="dxa"/>
                </w:tcPr>
                <w:p w14:paraId="03421F2E" w14:textId="77777777" w:rsidR="00015850" w:rsidRPr="00D2447D" w:rsidRDefault="00015850" w:rsidP="00D2447D">
                  <w:pPr>
                    <w:widowControl w:val="0"/>
                    <w:jc w:val="center"/>
                    <w:rPr>
                      <w:rFonts w:cstheme="minorHAnsi"/>
                      <w:snapToGrid w:val="0"/>
                      <w:sz w:val="20"/>
                      <w:szCs w:val="20"/>
                    </w:rPr>
                  </w:pPr>
                  <w:r w:rsidRPr="00D2447D">
                    <w:rPr>
                      <w:rFonts w:cstheme="minorHAnsi"/>
                      <w:snapToGrid w:val="0"/>
                      <w:sz w:val="20"/>
                      <w:szCs w:val="20"/>
                    </w:rPr>
                    <w:t>High risk</w:t>
                  </w:r>
                </w:p>
              </w:tc>
              <w:tc>
                <w:tcPr>
                  <w:tcW w:w="1644" w:type="dxa"/>
                  <w:vAlign w:val="center"/>
                </w:tcPr>
                <w:p w14:paraId="1AB2E096" w14:textId="77777777" w:rsidR="00015850" w:rsidRPr="00D2447D" w:rsidRDefault="00015850" w:rsidP="00D2447D">
                  <w:pPr>
                    <w:widowControl w:val="0"/>
                    <w:jc w:val="center"/>
                    <w:rPr>
                      <w:rFonts w:cstheme="minorHAnsi"/>
                      <w:snapToGrid w:val="0"/>
                      <w:sz w:val="20"/>
                      <w:szCs w:val="20"/>
                    </w:rPr>
                  </w:pPr>
                  <w:r w:rsidRPr="00D2447D">
                    <w:rPr>
                      <w:rFonts w:cstheme="minorHAnsi"/>
                      <w:snapToGrid w:val="0"/>
                      <w:sz w:val="20"/>
                      <w:szCs w:val="20"/>
                    </w:rPr>
                    <w:t>18%</w:t>
                  </w:r>
                </w:p>
              </w:tc>
            </w:tr>
          </w:tbl>
          <w:p w14:paraId="54B2F4B1" w14:textId="77777777" w:rsidR="00015850" w:rsidRPr="00D2447D" w:rsidRDefault="00015850" w:rsidP="00D2447D">
            <w:pPr>
              <w:widowControl w:val="0"/>
              <w:jc w:val="center"/>
              <w:rPr>
                <w:rFonts w:cstheme="minorHAnsi"/>
                <w:snapToGrid w:val="0"/>
                <w:sz w:val="20"/>
                <w:szCs w:val="20"/>
              </w:rPr>
            </w:pPr>
          </w:p>
        </w:tc>
        <w:tc>
          <w:tcPr>
            <w:tcW w:w="2891" w:type="dxa"/>
            <w:vAlign w:val="center"/>
          </w:tcPr>
          <w:p w14:paraId="70620A6E" w14:textId="77777777" w:rsidR="00015850" w:rsidRPr="00D2447D" w:rsidRDefault="006D3B0B" w:rsidP="000F4457">
            <w:pPr>
              <w:widowControl w:val="0"/>
              <w:rPr>
                <w:rFonts w:cstheme="minorHAnsi"/>
                <w:snapToGrid w:val="0"/>
                <w:sz w:val="20"/>
                <w:szCs w:val="20"/>
              </w:rPr>
            </w:pPr>
            <w:r w:rsidRPr="00D2447D">
              <w:rPr>
                <w:rFonts w:cstheme="minorHAnsi"/>
                <w:snapToGrid w:val="0"/>
                <w:sz w:val="20"/>
                <w:szCs w:val="20"/>
              </w:rPr>
              <w:t>Cervantes 2009</w:t>
            </w:r>
            <w:r w:rsidR="00FB3DB8" w:rsidRPr="00D2447D">
              <w:rPr>
                <w:rFonts w:cstheme="minorHAnsi"/>
                <w:snapToGrid w:val="0"/>
                <w:sz w:val="20"/>
                <w:szCs w:val="20"/>
                <w:vertAlign w:val="superscript"/>
              </w:rPr>
              <w:fldChar w:fldCharType="begin"/>
            </w:r>
            <w:r w:rsidR="00FB3DB8" w:rsidRPr="00D2447D">
              <w:rPr>
                <w:rFonts w:cstheme="minorHAnsi"/>
                <w:snapToGrid w:val="0"/>
                <w:sz w:val="20"/>
                <w:szCs w:val="20"/>
                <w:vertAlign w:val="superscript"/>
              </w:rPr>
              <w:instrText xml:space="preserve"> NOTEREF _Ref522721066 \h  \* MERGEFORMAT </w:instrText>
            </w:r>
            <w:r w:rsidR="00FB3DB8" w:rsidRPr="00D2447D">
              <w:rPr>
                <w:rFonts w:cstheme="minorHAnsi"/>
                <w:snapToGrid w:val="0"/>
                <w:sz w:val="20"/>
                <w:szCs w:val="20"/>
                <w:vertAlign w:val="superscript"/>
              </w:rPr>
            </w:r>
            <w:r w:rsidR="00FB3DB8" w:rsidRPr="00D2447D">
              <w:rPr>
                <w:rFonts w:cstheme="minorHAnsi"/>
                <w:snapToGrid w:val="0"/>
                <w:sz w:val="20"/>
                <w:szCs w:val="20"/>
                <w:vertAlign w:val="superscript"/>
              </w:rPr>
              <w:fldChar w:fldCharType="separate"/>
            </w:r>
            <w:r w:rsidR="00C47E40">
              <w:rPr>
                <w:rFonts w:cstheme="minorHAnsi"/>
                <w:snapToGrid w:val="0"/>
                <w:sz w:val="20"/>
                <w:szCs w:val="20"/>
                <w:vertAlign w:val="superscript"/>
              </w:rPr>
              <w:t>8</w:t>
            </w:r>
            <w:r w:rsidR="00FB3DB8" w:rsidRPr="00D2447D">
              <w:rPr>
                <w:rFonts w:cstheme="minorHAnsi"/>
                <w:snapToGrid w:val="0"/>
                <w:sz w:val="20"/>
                <w:szCs w:val="20"/>
                <w:vertAlign w:val="superscript"/>
              </w:rPr>
              <w:fldChar w:fldCharType="end"/>
            </w:r>
          </w:p>
        </w:tc>
      </w:tr>
      <w:tr w:rsidR="005A5BA7" w:rsidRPr="00015850" w14:paraId="77B28A71" w14:textId="77777777" w:rsidTr="000F4457">
        <w:tblPrEx>
          <w:tblCellMar>
            <w:left w:w="108" w:type="dxa"/>
            <w:right w:w="108" w:type="dxa"/>
          </w:tblCellMar>
        </w:tblPrEx>
        <w:trPr>
          <w:trHeight w:val="1273"/>
        </w:trPr>
        <w:tc>
          <w:tcPr>
            <w:tcW w:w="2098" w:type="dxa"/>
            <w:vAlign w:val="center"/>
          </w:tcPr>
          <w:p w14:paraId="69CF201A" w14:textId="77777777" w:rsidR="00015850" w:rsidRPr="00D2447D" w:rsidRDefault="00015850" w:rsidP="00D2447D">
            <w:pPr>
              <w:widowControl w:val="0"/>
              <w:ind w:left="-80"/>
              <w:rPr>
                <w:rFonts w:cstheme="minorHAnsi"/>
                <w:snapToGrid w:val="0"/>
                <w:sz w:val="20"/>
                <w:szCs w:val="20"/>
              </w:rPr>
            </w:pPr>
            <w:r w:rsidRPr="00D2447D">
              <w:rPr>
                <w:rFonts w:cstheme="minorHAnsi"/>
                <w:snapToGrid w:val="0"/>
                <w:sz w:val="20"/>
                <w:szCs w:val="20"/>
              </w:rPr>
              <w:t>Survival benefits</w:t>
            </w:r>
          </w:p>
        </w:tc>
        <w:tc>
          <w:tcPr>
            <w:tcW w:w="4082" w:type="dxa"/>
            <w:vAlign w:val="center"/>
          </w:tcPr>
          <w:p w14:paraId="4A0F8127" w14:textId="77777777" w:rsidR="00015850" w:rsidRDefault="00336EDC" w:rsidP="00D2447D">
            <w:pPr>
              <w:widowControl w:val="0"/>
              <w:jc w:val="center"/>
              <w:rPr>
                <w:rFonts w:cstheme="minorHAnsi"/>
                <w:snapToGrid w:val="0"/>
                <w:sz w:val="20"/>
                <w:szCs w:val="20"/>
              </w:rPr>
            </w:pPr>
            <w:r w:rsidRPr="00D2447D">
              <w:rPr>
                <w:rFonts w:cstheme="minorHAnsi"/>
                <w:snapToGrid w:val="0"/>
                <w:sz w:val="20"/>
                <w:szCs w:val="20"/>
              </w:rPr>
              <w:t>Mortality rates</w:t>
            </w:r>
          </w:p>
          <w:tbl>
            <w:tblPr>
              <w:tblStyle w:val="TableGrid"/>
              <w:tblW w:w="0" w:type="auto"/>
              <w:jc w:val="center"/>
              <w:tblLayout w:type="fixed"/>
              <w:tblCellMar>
                <w:left w:w="28" w:type="dxa"/>
                <w:right w:w="28" w:type="dxa"/>
              </w:tblCellMar>
              <w:tblLook w:val="04A0" w:firstRow="1" w:lastRow="0" w:firstColumn="1" w:lastColumn="0" w:noHBand="0" w:noVBand="1"/>
              <w:tblCaption w:val="Survival benefits"/>
            </w:tblPr>
            <w:tblGrid>
              <w:gridCol w:w="1009"/>
              <w:gridCol w:w="1069"/>
              <w:gridCol w:w="1069"/>
            </w:tblGrid>
            <w:tr w:rsidR="00D2447D" w:rsidRPr="00D2447D" w14:paraId="5FD3BB14" w14:textId="77777777" w:rsidTr="00493611">
              <w:trPr>
                <w:tblHeader/>
                <w:jc w:val="center"/>
              </w:trPr>
              <w:tc>
                <w:tcPr>
                  <w:tcW w:w="1009" w:type="dxa"/>
                  <w:vAlign w:val="center"/>
                </w:tcPr>
                <w:p w14:paraId="4FDA8ABC" w14:textId="77777777" w:rsidR="00D2447D" w:rsidRPr="00D2447D" w:rsidRDefault="00D2447D" w:rsidP="00D2447D">
                  <w:pPr>
                    <w:widowControl w:val="0"/>
                    <w:jc w:val="center"/>
                    <w:rPr>
                      <w:rFonts w:cstheme="minorHAnsi"/>
                      <w:snapToGrid w:val="0"/>
                      <w:sz w:val="20"/>
                      <w:szCs w:val="20"/>
                    </w:rPr>
                  </w:pPr>
                </w:p>
              </w:tc>
              <w:tc>
                <w:tcPr>
                  <w:tcW w:w="1069" w:type="dxa"/>
                  <w:vAlign w:val="center"/>
                </w:tcPr>
                <w:p w14:paraId="0E0938C6" w14:textId="77777777" w:rsidR="00D2447D" w:rsidRPr="00D2447D" w:rsidRDefault="00D2447D" w:rsidP="00D2447D">
                  <w:pPr>
                    <w:widowControl w:val="0"/>
                    <w:jc w:val="center"/>
                    <w:rPr>
                      <w:rFonts w:cstheme="minorHAnsi"/>
                      <w:snapToGrid w:val="0"/>
                      <w:sz w:val="20"/>
                      <w:szCs w:val="20"/>
                    </w:rPr>
                  </w:pPr>
                  <w:r w:rsidRPr="00D2447D">
                    <w:rPr>
                      <w:rFonts w:cstheme="minorHAnsi"/>
                      <w:snapToGrid w:val="0"/>
                      <w:sz w:val="20"/>
                      <w:szCs w:val="20"/>
                    </w:rPr>
                    <w:t>Pre-RUX</w:t>
                  </w:r>
                </w:p>
              </w:tc>
              <w:tc>
                <w:tcPr>
                  <w:tcW w:w="1069" w:type="dxa"/>
                  <w:vAlign w:val="center"/>
                </w:tcPr>
                <w:p w14:paraId="12D3BBAE" w14:textId="77777777" w:rsidR="00D2447D" w:rsidRPr="00D2447D" w:rsidRDefault="00D2447D" w:rsidP="00D2447D">
                  <w:pPr>
                    <w:widowControl w:val="0"/>
                    <w:jc w:val="center"/>
                    <w:rPr>
                      <w:rFonts w:cstheme="minorHAnsi"/>
                      <w:snapToGrid w:val="0"/>
                      <w:sz w:val="20"/>
                      <w:szCs w:val="20"/>
                    </w:rPr>
                  </w:pPr>
                  <w:r w:rsidRPr="00D2447D">
                    <w:rPr>
                      <w:rFonts w:cstheme="minorHAnsi"/>
                      <w:snapToGrid w:val="0"/>
                      <w:sz w:val="20"/>
                      <w:szCs w:val="20"/>
                    </w:rPr>
                    <w:t>Post-RUX</w:t>
                  </w:r>
                </w:p>
              </w:tc>
            </w:tr>
            <w:tr w:rsidR="00D2447D" w:rsidRPr="00D2447D" w14:paraId="758205F3" w14:textId="77777777" w:rsidTr="00D2447D">
              <w:trPr>
                <w:jc w:val="center"/>
              </w:trPr>
              <w:tc>
                <w:tcPr>
                  <w:tcW w:w="1009" w:type="dxa"/>
                  <w:vAlign w:val="center"/>
                </w:tcPr>
                <w:p w14:paraId="58BCE94C" w14:textId="77777777" w:rsidR="00D2447D" w:rsidRPr="00D2447D" w:rsidRDefault="00D2447D" w:rsidP="00D2447D">
                  <w:pPr>
                    <w:widowControl w:val="0"/>
                    <w:jc w:val="center"/>
                    <w:rPr>
                      <w:rFonts w:cstheme="minorHAnsi"/>
                      <w:snapToGrid w:val="0"/>
                      <w:sz w:val="20"/>
                      <w:szCs w:val="20"/>
                    </w:rPr>
                  </w:pPr>
                  <w:r w:rsidRPr="00D2447D">
                    <w:rPr>
                      <w:rFonts w:cstheme="minorHAnsi"/>
                      <w:snapToGrid w:val="0"/>
                      <w:sz w:val="20"/>
                      <w:szCs w:val="20"/>
                    </w:rPr>
                    <w:t>Int-1</w:t>
                  </w:r>
                </w:p>
              </w:tc>
              <w:tc>
                <w:tcPr>
                  <w:tcW w:w="1069" w:type="dxa"/>
                  <w:vAlign w:val="center"/>
                </w:tcPr>
                <w:p w14:paraId="624EEC30" w14:textId="17644E81" w:rsidR="00D2447D" w:rsidRPr="002A64D4" w:rsidRDefault="002A64D4" w:rsidP="00D2447D">
                  <w:pPr>
                    <w:widowControl w:val="0"/>
                    <w:jc w:val="center"/>
                    <w:rPr>
                      <w:rFonts w:cstheme="minorHAnsi"/>
                      <w:snapToGrid w:val="0"/>
                      <w:sz w:val="20"/>
                      <w:szCs w:val="20"/>
                      <w:highlight w:val="black"/>
                    </w:rPr>
                  </w:pPr>
                  <w:r w:rsidRPr="002A64D4">
                    <w:rPr>
                      <w:rFonts w:cstheme="minorHAnsi"/>
                      <w:snapToGrid w:val="0"/>
                      <w:sz w:val="20"/>
                      <w:szCs w:val="20"/>
                      <w:highlight w:val="black"/>
                    </w:rPr>
                    <w:t>xxxx</w:t>
                  </w:r>
                </w:p>
              </w:tc>
              <w:tc>
                <w:tcPr>
                  <w:tcW w:w="1069" w:type="dxa"/>
                  <w:vAlign w:val="center"/>
                </w:tcPr>
                <w:p w14:paraId="08C7D6A4" w14:textId="54EAB9C7" w:rsidR="00D2447D" w:rsidRPr="002A64D4" w:rsidRDefault="002A64D4" w:rsidP="00D2447D">
                  <w:pPr>
                    <w:widowControl w:val="0"/>
                    <w:jc w:val="center"/>
                    <w:rPr>
                      <w:rFonts w:cstheme="minorHAnsi"/>
                      <w:snapToGrid w:val="0"/>
                      <w:sz w:val="20"/>
                      <w:szCs w:val="20"/>
                      <w:highlight w:val="black"/>
                    </w:rPr>
                  </w:pPr>
                  <w:r w:rsidRPr="002A64D4">
                    <w:rPr>
                      <w:rFonts w:cstheme="minorHAnsi"/>
                      <w:snapToGrid w:val="0"/>
                      <w:sz w:val="20"/>
                      <w:szCs w:val="20"/>
                      <w:highlight w:val="black"/>
                    </w:rPr>
                    <w:t>xxxx</w:t>
                  </w:r>
                </w:p>
              </w:tc>
            </w:tr>
            <w:tr w:rsidR="00D2447D" w:rsidRPr="00D2447D" w14:paraId="0459FD57" w14:textId="77777777" w:rsidTr="00D2447D">
              <w:trPr>
                <w:jc w:val="center"/>
              </w:trPr>
              <w:tc>
                <w:tcPr>
                  <w:tcW w:w="1009" w:type="dxa"/>
                  <w:vAlign w:val="center"/>
                </w:tcPr>
                <w:p w14:paraId="182B3A35" w14:textId="77777777" w:rsidR="00D2447D" w:rsidRPr="00D2447D" w:rsidRDefault="00D2447D" w:rsidP="00D2447D">
                  <w:pPr>
                    <w:widowControl w:val="0"/>
                    <w:jc w:val="center"/>
                    <w:rPr>
                      <w:rFonts w:cstheme="minorHAnsi"/>
                      <w:snapToGrid w:val="0"/>
                      <w:sz w:val="20"/>
                      <w:szCs w:val="20"/>
                    </w:rPr>
                  </w:pPr>
                  <w:r w:rsidRPr="00D2447D">
                    <w:rPr>
                      <w:rFonts w:cstheme="minorHAnsi"/>
                      <w:snapToGrid w:val="0"/>
                      <w:sz w:val="20"/>
                      <w:szCs w:val="20"/>
                    </w:rPr>
                    <w:t>Int-2/HR</w:t>
                  </w:r>
                </w:p>
              </w:tc>
              <w:tc>
                <w:tcPr>
                  <w:tcW w:w="1069" w:type="dxa"/>
                  <w:vAlign w:val="center"/>
                </w:tcPr>
                <w:p w14:paraId="4D64D1B4" w14:textId="4B96370F" w:rsidR="00D2447D" w:rsidRPr="002A64D4" w:rsidRDefault="002A64D4" w:rsidP="00D2447D">
                  <w:pPr>
                    <w:widowControl w:val="0"/>
                    <w:jc w:val="center"/>
                    <w:rPr>
                      <w:rFonts w:cstheme="minorHAnsi"/>
                      <w:snapToGrid w:val="0"/>
                      <w:sz w:val="20"/>
                      <w:szCs w:val="20"/>
                      <w:highlight w:val="black"/>
                    </w:rPr>
                  </w:pPr>
                  <w:r w:rsidRPr="002A64D4">
                    <w:rPr>
                      <w:rFonts w:cstheme="minorHAnsi"/>
                      <w:snapToGrid w:val="0"/>
                      <w:sz w:val="20"/>
                      <w:szCs w:val="20"/>
                      <w:highlight w:val="black"/>
                    </w:rPr>
                    <w:t>xxxxx</w:t>
                  </w:r>
                </w:p>
              </w:tc>
              <w:tc>
                <w:tcPr>
                  <w:tcW w:w="1069" w:type="dxa"/>
                  <w:vAlign w:val="center"/>
                </w:tcPr>
                <w:p w14:paraId="2FCDC70D" w14:textId="779C581E" w:rsidR="00D2447D" w:rsidRPr="002A64D4" w:rsidRDefault="002A64D4" w:rsidP="00D2447D">
                  <w:pPr>
                    <w:widowControl w:val="0"/>
                    <w:jc w:val="center"/>
                    <w:rPr>
                      <w:rFonts w:cstheme="minorHAnsi"/>
                      <w:snapToGrid w:val="0"/>
                      <w:sz w:val="20"/>
                      <w:szCs w:val="20"/>
                      <w:highlight w:val="black"/>
                    </w:rPr>
                  </w:pPr>
                  <w:r w:rsidRPr="002A64D4">
                    <w:rPr>
                      <w:rFonts w:cstheme="minorHAnsi"/>
                      <w:snapToGrid w:val="0"/>
                      <w:sz w:val="20"/>
                      <w:szCs w:val="20"/>
                      <w:highlight w:val="black"/>
                    </w:rPr>
                    <w:t>xxxx</w:t>
                  </w:r>
                </w:p>
              </w:tc>
            </w:tr>
          </w:tbl>
          <w:p w14:paraId="0B58AE40" w14:textId="77777777" w:rsidR="00015850" w:rsidRPr="00D2447D" w:rsidRDefault="00015850" w:rsidP="00D2447D">
            <w:pPr>
              <w:widowControl w:val="0"/>
              <w:jc w:val="center"/>
              <w:rPr>
                <w:rFonts w:cstheme="minorHAnsi"/>
                <w:snapToGrid w:val="0"/>
                <w:sz w:val="20"/>
                <w:szCs w:val="20"/>
              </w:rPr>
            </w:pPr>
          </w:p>
        </w:tc>
        <w:tc>
          <w:tcPr>
            <w:tcW w:w="2891" w:type="dxa"/>
            <w:vAlign w:val="center"/>
          </w:tcPr>
          <w:p w14:paraId="64219734" w14:textId="77777777" w:rsidR="00015850" w:rsidRPr="00D2447D" w:rsidRDefault="006D3B0B" w:rsidP="000F4457">
            <w:pPr>
              <w:widowControl w:val="0"/>
              <w:rPr>
                <w:rFonts w:cstheme="minorHAnsi"/>
                <w:snapToGrid w:val="0"/>
                <w:sz w:val="20"/>
                <w:szCs w:val="20"/>
              </w:rPr>
            </w:pPr>
            <w:r w:rsidRPr="00D2447D">
              <w:rPr>
                <w:rFonts w:cstheme="minorHAnsi"/>
                <w:snapToGrid w:val="0"/>
                <w:sz w:val="20"/>
                <w:szCs w:val="20"/>
              </w:rPr>
              <w:t xml:space="preserve">Assumed survival benefits from ruxolitinib use sourced from COMFORT-I (annual mortality rates listed below). </w:t>
            </w:r>
          </w:p>
        </w:tc>
      </w:tr>
      <w:tr w:rsidR="005A5BA7" w:rsidRPr="00015850" w14:paraId="0B68B5F8" w14:textId="77777777" w:rsidTr="000F4457">
        <w:tblPrEx>
          <w:tblCellMar>
            <w:left w:w="108" w:type="dxa"/>
            <w:right w:w="108" w:type="dxa"/>
          </w:tblCellMar>
        </w:tblPrEx>
        <w:tc>
          <w:tcPr>
            <w:tcW w:w="2098" w:type="dxa"/>
            <w:vAlign w:val="center"/>
          </w:tcPr>
          <w:p w14:paraId="1776081D" w14:textId="77777777" w:rsidR="00015850" w:rsidRPr="00D2447D" w:rsidRDefault="00015850" w:rsidP="00D2447D">
            <w:pPr>
              <w:widowControl w:val="0"/>
              <w:ind w:left="-80"/>
              <w:rPr>
                <w:rFonts w:cstheme="minorHAnsi"/>
                <w:snapToGrid w:val="0"/>
                <w:sz w:val="20"/>
                <w:szCs w:val="20"/>
              </w:rPr>
            </w:pPr>
            <w:r w:rsidRPr="00D2447D">
              <w:rPr>
                <w:rFonts w:cstheme="minorHAnsi"/>
                <w:snapToGrid w:val="0"/>
                <w:sz w:val="20"/>
                <w:szCs w:val="20"/>
              </w:rPr>
              <w:t>Progression rate</w:t>
            </w:r>
          </w:p>
        </w:tc>
        <w:tc>
          <w:tcPr>
            <w:tcW w:w="4082" w:type="dxa"/>
            <w:vAlign w:val="center"/>
          </w:tcPr>
          <w:p w14:paraId="26220C24" w14:textId="77777777" w:rsidR="00D2447D" w:rsidRPr="00FC1BC0" w:rsidRDefault="00D2447D" w:rsidP="00D2447D">
            <w:pPr>
              <w:widowControl w:val="0"/>
              <w:jc w:val="center"/>
              <w:rPr>
                <w:rFonts w:cstheme="minorHAnsi"/>
                <w:snapToGrid w:val="0"/>
                <w:sz w:val="20"/>
                <w:szCs w:val="20"/>
              </w:rPr>
            </w:pPr>
          </w:p>
          <w:p w14:paraId="03387F1F" w14:textId="5B753CB0" w:rsidR="00015850" w:rsidRPr="00FC1BC0" w:rsidRDefault="00015850" w:rsidP="00D2447D">
            <w:pPr>
              <w:widowControl w:val="0"/>
              <w:jc w:val="center"/>
              <w:rPr>
                <w:rFonts w:cstheme="minorHAnsi"/>
                <w:snapToGrid w:val="0"/>
                <w:sz w:val="20"/>
                <w:szCs w:val="20"/>
              </w:rPr>
            </w:pPr>
            <w:r w:rsidRPr="00FC1BC0">
              <w:rPr>
                <w:rFonts w:cstheme="minorHAnsi"/>
                <w:snapToGrid w:val="0"/>
                <w:sz w:val="20"/>
                <w:szCs w:val="20"/>
              </w:rPr>
              <w:t xml:space="preserve">Low to int-1: </w:t>
            </w:r>
            <w:r w:rsidR="002A64D4" w:rsidRPr="002A64D4">
              <w:rPr>
                <w:rFonts w:cstheme="minorHAnsi"/>
                <w:snapToGrid w:val="0"/>
                <w:sz w:val="20"/>
                <w:szCs w:val="20"/>
                <w:highlight w:val="black"/>
              </w:rPr>
              <w:t>x</w:t>
            </w:r>
            <w:r w:rsidRPr="00FC1BC0">
              <w:rPr>
                <w:rFonts w:cstheme="minorHAnsi"/>
                <w:snapToGrid w:val="0"/>
                <w:sz w:val="20"/>
                <w:szCs w:val="20"/>
              </w:rPr>
              <w:t xml:space="preserve">%; Int-1 to Int-2/HR: </w:t>
            </w:r>
            <w:r w:rsidR="002A64D4" w:rsidRPr="002A64D4">
              <w:rPr>
                <w:rFonts w:cstheme="minorHAnsi"/>
                <w:snapToGrid w:val="0"/>
                <w:sz w:val="20"/>
                <w:szCs w:val="20"/>
                <w:highlight w:val="black"/>
              </w:rPr>
              <w:t>xx</w:t>
            </w:r>
            <w:r w:rsidRPr="00FC1BC0">
              <w:rPr>
                <w:rFonts w:cstheme="minorHAnsi"/>
                <w:snapToGrid w:val="0"/>
                <w:sz w:val="20"/>
                <w:szCs w:val="20"/>
              </w:rPr>
              <w:t>%</w:t>
            </w:r>
          </w:p>
          <w:p w14:paraId="29718B06" w14:textId="77777777" w:rsidR="00D2447D" w:rsidRPr="00FC1BC0" w:rsidRDefault="00D2447D" w:rsidP="00D2447D">
            <w:pPr>
              <w:widowControl w:val="0"/>
              <w:jc w:val="center"/>
              <w:rPr>
                <w:rFonts w:cstheme="minorHAnsi"/>
                <w:snapToGrid w:val="0"/>
                <w:sz w:val="20"/>
                <w:szCs w:val="20"/>
              </w:rPr>
            </w:pPr>
          </w:p>
        </w:tc>
        <w:tc>
          <w:tcPr>
            <w:tcW w:w="2891" w:type="dxa"/>
            <w:vAlign w:val="center"/>
          </w:tcPr>
          <w:p w14:paraId="03EF38F5" w14:textId="77777777" w:rsidR="00015850" w:rsidRPr="00D2447D" w:rsidRDefault="00336EDC" w:rsidP="000F4457">
            <w:pPr>
              <w:widowControl w:val="0"/>
              <w:rPr>
                <w:rFonts w:cstheme="minorHAnsi"/>
                <w:i/>
                <w:snapToGrid w:val="0"/>
                <w:sz w:val="20"/>
                <w:szCs w:val="20"/>
              </w:rPr>
            </w:pPr>
            <w:r w:rsidRPr="00D2447D">
              <w:rPr>
                <w:rFonts w:cstheme="minorHAnsi"/>
                <w:snapToGrid w:val="0"/>
                <w:sz w:val="20"/>
                <w:szCs w:val="20"/>
              </w:rPr>
              <w:t>Sponsor a</w:t>
            </w:r>
            <w:r w:rsidR="00015850" w:rsidRPr="00D2447D">
              <w:rPr>
                <w:rFonts w:cstheme="minorHAnsi"/>
                <w:snapToGrid w:val="0"/>
                <w:sz w:val="20"/>
                <w:szCs w:val="20"/>
              </w:rPr>
              <w:t>ssumption.</w:t>
            </w:r>
            <w:r w:rsidR="00015850" w:rsidRPr="00D2447D">
              <w:rPr>
                <w:rFonts w:cstheme="minorHAnsi"/>
                <w:i/>
                <w:snapToGrid w:val="0"/>
                <w:sz w:val="20"/>
                <w:szCs w:val="20"/>
              </w:rPr>
              <w:t xml:space="preserve"> </w:t>
            </w:r>
          </w:p>
        </w:tc>
      </w:tr>
      <w:tr w:rsidR="005A5BA7" w:rsidRPr="00015850" w14:paraId="590E137E" w14:textId="77777777" w:rsidTr="000F4457">
        <w:tblPrEx>
          <w:tblCellMar>
            <w:left w:w="108" w:type="dxa"/>
            <w:right w:w="108" w:type="dxa"/>
          </w:tblCellMar>
        </w:tblPrEx>
        <w:trPr>
          <w:trHeight w:val="522"/>
        </w:trPr>
        <w:tc>
          <w:tcPr>
            <w:tcW w:w="2098" w:type="dxa"/>
            <w:vAlign w:val="center"/>
          </w:tcPr>
          <w:p w14:paraId="4B19AFF4" w14:textId="77777777" w:rsidR="00015850" w:rsidRPr="00D2447D" w:rsidRDefault="00015850" w:rsidP="00D2447D">
            <w:pPr>
              <w:widowControl w:val="0"/>
              <w:ind w:left="-80"/>
              <w:rPr>
                <w:rFonts w:cstheme="minorHAnsi"/>
                <w:snapToGrid w:val="0"/>
                <w:sz w:val="20"/>
                <w:szCs w:val="20"/>
              </w:rPr>
            </w:pPr>
            <w:r w:rsidRPr="00D2447D">
              <w:rPr>
                <w:rFonts w:cstheme="minorHAnsi"/>
                <w:snapToGrid w:val="0"/>
                <w:sz w:val="20"/>
                <w:szCs w:val="20"/>
              </w:rPr>
              <w:t>Proportion eligible for treatment</w:t>
            </w:r>
          </w:p>
        </w:tc>
        <w:tc>
          <w:tcPr>
            <w:tcW w:w="4082" w:type="dxa"/>
            <w:vAlign w:val="center"/>
          </w:tcPr>
          <w:p w14:paraId="337FFAB5" w14:textId="092AB21C" w:rsidR="00015850" w:rsidRPr="00FC1BC0" w:rsidRDefault="00015850" w:rsidP="00D2447D">
            <w:pPr>
              <w:widowControl w:val="0"/>
              <w:jc w:val="center"/>
              <w:rPr>
                <w:rFonts w:cstheme="minorHAnsi"/>
                <w:snapToGrid w:val="0"/>
                <w:sz w:val="20"/>
                <w:szCs w:val="20"/>
              </w:rPr>
            </w:pPr>
            <w:r w:rsidRPr="00FC1BC0">
              <w:rPr>
                <w:rFonts w:cstheme="minorHAnsi"/>
                <w:snapToGrid w:val="0"/>
                <w:sz w:val="20"/>
                <w:szCs w:val="20"/>
              </w:rPr>
              <w:t xml:space="preserve">Int-1: </w:t>
            </w:r>
            <w:r w:rsidR="002A64D4" w:rsidRPr="002A64D4">
              <w:rPr>
                <w:rFonts w:cstheme="minorHAnsi"/>
                <w:snapToGrid w:val="0"/>
                <w:sz w:val="20"/>
                <w:szCs w:val="20"/>
                <w:highlight w:val="black"/>
              </w:rPr>
              <w:t>xx</w:t>
            </w:r>
            <w:r w:rsidRPr="00FC1BC0">
              <w:rPr>
                <w:rFonts w:cstheme="minorHAnsi"/>
                <w:snapToGrid w:val="0"/>
                <w:sz w:val="20"/>
                <w:szCs w:val="20"/>
              </w:rPr>
              <w:t xml:space="preserve">%; Int-2/HR: </w:t>
            </w:r>
            <w:r w:rsidR="002A64D4" w:rsidRPr="002A64D4">
              <w:rPr>
                <w:rFonts w:cstheme="minorHAnsi"/>
                <w:snapToGrid w:val="0"/>
                <w:sz w:val="20"/>
                <w:szCs w:val="20"/>
                <w:highlight w:val="black"/>
              </w:rPr>
              <w:t>xx</w:t>
            </w:r>
            <w:r w:rsidRPr="00FC1BC0">
              <w:rPr>
                <w:rFonts w:cstheme="minorHAnsi"/>
                <w:snapToGrid w:val="0"/>
                <w:sz w:val="20"/>
                <w:szCs w:val="20"/>
              </w:rPr>
              <w:t>%</w:t>
            </w:r>
          </w:p>
        </w:tc>
        <w:tc>
          <w:tcPr>
            <w:tcW w:w="2891" w:type="dxa"/>
            <w:vAlign w:val="center"/>
          </w:tcPr>
          <w:p w14:paraId="4FC1CE24" w14:textId="77777777" w:rsidR="00015850" w:rsidRPr="00D2447D" w:rsidRDefault="00015850" w:rsidP="000F4457">
            <w:pPr>
              <w:widowControl w:val="0"/>
              <w:rPr>
                <w:rFonts w:cstheme="minorHAnsi"/>
                <w:snapToGrid w:val="0"/>
                <w:sz w:val="20"/>
                <w:szCs w:val="20"/>
              </w:rPr>
            </w:pPr>
            <w:r w:rsidRPr="00D2447D">
              <w:rPr>
                <w:rFonts w:cstheme="minorHAnsi"/>
                <w:snapToGrid w:val="0"/>
                <w:sz w:val="20"/>
                <w:szCs w:val="20"/>
              </w:rPr>
              <w:t xml:space="preserve">PBAC stakeholder meeting </w:t>
            </w:r>
            <w:r w:rsidR="00DC681C" w:rsidRPr="00D2447D">
              <w:rPr>
                <w:rFonts w:cstheme="minorHAnsi"/>
                <w:snapToGrid w:val="0"/>
                <w:sz w:val="20"/>
                <w:szCs w:val="20"/>
              </w:rPr>
              <w:t xml:space="preserve">and sponsor sourced </w:t>
            </w:r>
            <w:r w:rsidRPr="00D2447D">
              <w:rPr>
                <w:rFonts w:cstheme="minorHAnsi"/>
                <w:snapToGrid w:val="0"/>
                <w:sz w:val="20"/>
                <w:szCs w:val="20"/>
              </w:rPr>
              <w:t xml:space="preserve">clinician input.  </w:t>
            </w:r>
          </w:p>
        </w:tc>
      </w:tr>
      <w:tr w:rsidR="005A5BA7" w:rsidRPr="00015850" w14:paraId="29E4EF58" w14:textId="77777777" w:rsidTr="000F4457">
        <w:tblPrEx>
          <w:tblCellMar>
            <w:left w:w="108" w:type="dxa"/>
            <w:right w:w="108" w:type="dxa"/>
          </w:tblCellMar>
        </w:tblPrEx>
        <w:trPr>
          <w:trHeight w:val="586"/>
        </w:trPr>
        <w:tc>
          <w:tcPr>
            <w:tcW w:w="2098" w:type="dxa"/>
            <w:vAlign w:val="center"/>
          </w:tcPr>
          <w:p w14:paraId="0C0EAF81" w14:textId="77777777" w:rsidR="00015850" w:rsidRPr="00D2447D" w:rsidRDefault="00015850" w:rsidP="00D2447D">
            <w:pPr>
              <w:widowControl w:val="0"/>
              <w:ind w:left="-80"/>
              <w:rPr>
                <w:rFonts w:cstheme="minorHAnsi"/>
                <w:snapToGrid w:val="0"/>
                <w:sz w:val="20"/>
                <w:szCs w:val="20"/>
              </w:rPr>
            </w:pPr>
            <w:r w:rsidRPr="00D2447D">
              <w:rPr>
                <w:rFonts w:cstheme="minorHAnsi"/>
                <w:snapToGrid w:val="0"/>
                <w:sz w:val="20"/>
                <w:szCs w:val="20"/>
              </w:rPr>
              <w:t>Uptake rate</w:t>
            </w:r>
          </w:p>
        </w:tc>
        <w:tc>
          <w:tcPr>
            <w:tcW w:w="4082" w:type="dxa"/>
            <w:vAlign w:val="center"/>
          </w:tcPr>
          <w:p w14:paraId="2A6F9C77" w14:textId="36573C4C" w:rsidR="00015850" w:rsidRPr="00D2447D" w:rsidRDefault="00015850" w:rsidP="00D2447D">
            <w:pPr>
              <w:widowControl w:val="0"/>
              <w:jc w:val="center"/>
              <w:rPr>
                <w:rFonts w:cstheme="minorHAnsi"/>
                <w:snapToGrid w:val="0"/>
                <w:sz w:val="20"/>
                <w:szCs w:val="20"/>
              </w:rPr>
            </w:pPr>
            <w:r w:rsidRPr="00D2447D">
              <w:rPr>
                <w:rFonts w:cstheme="minorHAnsi"/>
                <w:snapToGrid w:val="0"/>
                <w:sz w:val="20"/>
                <w:szCs w:val="20"/>
              </w:rPr>
              <w:t>Int-1</w:t>
            </w:r>
            <w:r w:rsidR="00DC681C" w:rsidRPr="00D2447D">
              <w:rPr>
                <w:rFonts w:cstheme="minorHAnsi"/>
                <w:snapToGrid w:val="0"/>
                <w:sz w:val="20"/>
                <w:szCs w:val="20"/>
              </w:rPr>
              <w:t xml:space="preserve"> (second line)</w:t>
            </w:r>
            <w:r w:rsidRPr="00D2447D">
              <w:rPr>
                <w:rFonts w:cstheme="minorHAnsi"/>
                <w:snapToGrid w:val="0"/>
                <w:sz w:val="20"/>
                <w:szCs w:val="20"/>
              </w:rPr>
              <w:t xml:space="preserve">: </w:t>
            </w:r>
            <w:r w:rsidR="002A64D4" w:rsidRPr="002A64D4">
              <w:rPr>
                <w:rFonts w:cstheme="minorHAnsi"/>
                <w:snapToGrid w:val="0"/>
                <w:sz w:val="20"/>
                <w:szCs w:val="20"/>
                <w:highlight w:val="black"/>
              </w:rPr>
              <w:t>xxx</w:t>
            </w:r>
            <w:r w:rsidRPr="00D2447D">
              <w:rPr>
                <w:rFonts w:cstheme="minorHAnsi"/>
                <w:snapToGrid w:val="0"/>
                <w:sz w:val="20"/>
                <w:szCs w:val="20"/>
              </w:rPr>
              <w:t>% year 1 to year 5</w:t>
            </w:r>
          </w:p>
          <w:p w14:paraId="16D24857" w14:textId="0F0C025D" w:rsidR="00015850" w:rsidRPr="00D2447D" w:rsidRDefault="00015850" w:rsidP="00D2447D">
            <w:pPr>
              <w:widowControl w:val="0"/>
              <w:jc w:val="center"/>
              <w:rPr>
                <w:rFonts w:cstheme="minorHAnsi"/>
                <w:snapToGrid w:val="0"/>
                <w:sz w:val="20"/>
                <w:szCs w:val="20"/>
              </w:rPr>
            </w:pPr>
            <w:r w:rsidRPr="00D2447D">
              <w:rPr>
                <w:rFonts w:cstheme="minorHAnsi"/>
                <w:snapToGrid w:val="0"/>
                <w:sz w:val="20"/>
                <w:szCs w:val="20"/>
              </w:rPr>
              <w:t xml:space="preserve">Int-2/HR: </w:t>
            </w:r>
            <w:r w:rsidR="002A64D4" w:rsidRPr="002A64D4">
              <w:rPr>
                <w:rFonts w:cstheme="minorHAnsi"/>
                <w:snapToGrid w:val="0"/>
                <w:sz w:val="20"/>
                <w:szCs w:val="20"/>
                <w:highlight w:val="black"/>
              </w:rPr>
              <w:t>xx</w:t>
            </w:r>
            <w:r w:rsidRPr="00D2447D">
              <w:rPr>
                <w:rFonts w:cstheme="minorHAnsi"/>
                <w:snapToGrid w:val="0"/>
                <w:sz w:val="20"/>
                <w:szCs w:val="20"/>
              </w:rPr>
              <w:t xml:space="preserve">% year 1, up to </w:t>
            </w:r>
            <w:r w:rsidR="002A64D4" w:rsidRPr="002A64D4">
              <w:rPr>
                <w:rFonts w:cstheme="minorHAnsi"/>
                <w:snapToGrid w:val="0"/>
                <w:sz w:val="20"/>
                <w:szCs w:val="20"/>
                <w:highlight w:val="black"/>
              </w:rPr>
              <w:t>xx</w:t>
            </w:r>
            <w:r w:rsidRPr="00D2447D">
              <w:rPr>
                <w:rFonts w:cstheme="minorHAnsi"/>
                <w:snapToGrid w:val="0"/>
                <w:sz w:val="20"/>
                <w:szCs w:val="20"/>
              </w:rPr>
              <w:t>% in year 5</w:t>
            </w:r>
          </w:p>
        </w:tc>
        <w:tc>
          <w:tcPr>
            <w:tcW w:w="2891" w:type="dxa"/>
            <w:vAlign w:val="center"/>
          </w:tcPr>
          <w:p w14:paraId="1C2DF38B" w14:textId="77777777" w:rsidR="00015850" w:rsidRPr="00D2447D" w:rsidRDefault="00DC681C" w:rsidP="000F4457">
            <w:pPr>
              <w:widowControl w:val="0"/>
              <w:rPr>
                <w:rFonts w:cstheme="minorHAnsi"/>
                <w:i/>
                <w:snapToGrid w:val="0"/>
                <w:sz w:val="20"/>
                <w:szCs w:val="20"/>
              </w:rPr>
            </w:pPr>
            <w:r w:rsidRPr="00D2447D">
              <w:rPr>
                <w:rFonts w:cstheme="minorHAnsi"/>
                <w:snapToGrid w:val="0"/>
                <w:sz w:val="20"/>
                <w:szCs w:val="20"/>
              </w:rPr>
              <w:t>Sponsor a</w:t>
            </w:r>
            <w:r w:rsidR="00015850" w:rsidRPr="00D2447D">
              <w:rPr>
                <w:rFonts w:cstheme="minorHAnsi"/>
                <w:snapToGrid w:val="0"/>
                <w:sz w:val="20"/>
                <w:szCs w:val="20"/>
              </w:rPr>
              <w:t>ssumption</w:t>
            </w:r>
            <w:r w:rsidRPr="00D2447D">
              <w:rPr>
                <w:rFonts w:cstheme="minorHAnsi"/>
                <w:snapToGrid w:val="0"/>
                <w:sz w:val="20"/>
                <w:szCs w:val="20"/>
              </w:rPr>
              <w:t xml:space="preserve"> based on clinician advice. </w:t>
            </w:r>
            <w:r w:rsidR="00015850" w:rsidRPr="00D2447D">
              <w:rPr>
                <w:rFonts w:cstheme="minorHAnsi"/>
                <w:i/>
                <w:snapToGrid w:val="0"/>
                <w:sz w:val="20"/>
                <w:szCs w:val="20"/>
              </w:rPr>
              <w:t xml:space="preserve"> </w:t>
            </w:r>
          </w:p>
        </w:tc>
      </w:tr>
      <w:tr w:rsidR="005A5BA7" w:rsidRPr="00015850" w14:paraId="061143A9" w14:textId="77777777" w:rsidTr="000F4457">
        <w:tblPrEx>
          <w:tblCellMar>
            <w:left w:w="108" w:type="dxa"/>
            <w:right w:w="108" w:type="dxa"/>
          </w:tblCellMar>
        </w:tblPrEx>
        <w:trPr>
          <w:trHeight w:val="1798"/>
        </w:trPr>
        <w:tc>
          <w:tcPr>
            <w:tcW w:w="2098" w:type="dxa"/>
            <w:vAlign w:val="center"/>
          </w:tcPr>
          <w:p w14:paraId="4EBEC042" w14:textId="77777777" w:rsidR="00367807" w:rsidRPr="00D2447D" w:rsidRDefault="00367807" w:rsidP="00D2447D">
            <w:pPr>
              <w:widowControl w:val="0"/>
              <w:ind w:left="-80"/>
              <w:rPr>
                <w:rFonts w:cstheme="minorHAnsi"/>
                <w:snapToGrid w:val="0"/>
                <w:sz w:val="20"/>
                <w:szCs w:val="20"/>
              </w:rPr>
            </w:pPr>
            <w:r w:rsidRPr="00D2447D">
              <w:rPr>
                <w:rFonts w:cstheme="minorHAnsi"/>
                <w:snapToGrid w:val="0"/>
                <w:sz w:val="20"/>
                <w:szCs w:val="20"/>
              </w:rPr>
              <w:t>Dosage used</w:t>
            </w:r>
          </w:p>
        </w:tc>
        <w:tc>
          <w:tcPr>
            <w:tcW w:w="4082" w:type="dxa"/>
            <w:vAlign w:val="center"/>
          </w:tcPr>
          <w:tbl>
            <w:tblPr>
              <w:tblStyle w:val="TableGrid"/>
              <w:tblW w:w="3572" w:type="dxa"/>
              <w:jc w:val="center"/>
              <w:tblLayout w:type="fixed"/>
              <w:tblCellMar>
                <w:left w:w="28" w:type="dxa"/>
                <w:right w:w="28" w:type="dxa"/>
              </w:tblCellMar>
              <w:tblLook w:val="04A0" w:firstRow="1" w:lastRow="0" w:firstColumn="1" w:lastColumn="0" w:noHBand="0" w:noVBand="1"/>
              <w:tblCaption w:val="Dosage used"/>
            </w:tblPr>
            <w:tblGrid>
              <w:gridCol w:w="2608"/>
              <w:gridCol w:w="964"/>
            </w:tblGrid>
            <w:tr w:rsidR="00D2447D" w:rsidRPr="00D2447D" w14:paraId="4672E664" w14:textId="77777777" w:rsidTr="00493611">
              <w:trPr>
                <w:tblHeader/>
                <w:jc w:val="center"/>
              </w:trPr>
              <w:tc>
                <w:tcPr>
                  <w:tcW w:w="2608" w:type="dxa"/>
                </w:tcPr>
                <w:p w14:paraId="06E29426" w14:textId="77777777" w:rsidR="00D2447D" w:rsidRPr="00D2447D" w:rsidRDefault="00D2447D" w:rsidP="00D2447D">
                  <w:pPr>
                    <w:widowControl w:val="0"/>
                    <w:jc w:val="center"/>
                    <w:rPr>
                      <w:rFonts w:cstheme="minorHAnsi"/>
                      <w:snapToGrid w:val="0"/>
                      <w:sz w:val="20"/>
                      <w:szCs w:val="20"/>
                    </w:rPr>
                  </w:pPr>
                  <w:r w:rsidRPr="00D2447D">
                    <w:rPr>
                      <w:rFonts w:cstheme="minorHAnsi"/>
                      <w:snapToGrid w:val="0"/>
                      <w:sz w:val="20"/>
                      <w:szCs w:val="20"/>
                    </w:rPr>
                    <w:t>5 mg bid (2 x 5mg)</w:t>
                  </w:r>
                </w:p>
              </w:tc>
              <w:tc>
                <w:tcPr>
                  <w:tcW w:w="964" w:type="dxa"/>
                  <w:vAlign w:val="center"/>
                </w:tcPr>
                <w:p w14:paraId="3D5A260F" w14:textId="0815F129" w:rsidR="00D2447D" w:rsidRPr="00D2447D" w:rsidRDefault="002A64D4" w:rsidP="00D2447D">
                  <w:pPr>
                    <w:widowControl w:val="0"/>
                    <w:jc w:val="center"/>
                    <w:rPr>
                      <w:rFonts w:cstheme="minorHAnsi"/>
                      <w:snapToGrid w:val="0"/>
                      <w:sz w:val="20"/>
                      <w:szCs w:val="20"/>
                    </w:rPr>
                  </w:pPr>
                  <w:r w:rsidRPr="002A64D4">
                    <w:rPr>
                      <w:rFonts w:cstheme="minorHAnsi"/>
                      <w:snapToGrid w:val="0"/>
                      <w:sz w:val="20"/>
                      <w:szCs w:val="20"/>
                      <w:highlight w:val="black"/>
                    </w:rPr>
                    <w:t>xxxxx</w:t>
                  </w:r>
                  <w:r w:rsidR="00D2447D" w:rsidRPr="00D2447D">
                    <w:rPr>
                      <w:rFonts w:cstheme="minorHAnsi"/>
                      <w:snapToGrid w:val="0"/>
                      <w:sz w:val="20"/>
                      <w:szCs w:val="20"/>
                    </w:rPr>
                    <w:t>%</w:t>
                  </w:r>
                </w:p>
              </w:tc>
            </w:tr>
            <w:tr w:rsidR="00D2447D" w:rsidRPr="00D2447D" w14:paraId="6D87CD9C" w14:textId="77777777" w:rsidTr="00D2447D">
              <w:trPr>
                <w:jc w:val="center"/>
              </w:trPr>
              <w:tc>
                <w:tcPr>
                  <w:tcW w:w="2608" w:type="dxa"/>
                </w:tcPr>
                <w:p w14:paraId="40FD551B" w14:textId="77777777" w:rsidR="00D2447D" w:rsidRPr="00D2447D" w:rsidRDefault="00D2447D" w:rsidP="00D2447D">
                  <w:pPr>
                    <w:widowControl w:val="0"/>
                    <w:jc w:val="center"/>
                    <w:rPr>
                      <w:rFonts w:cstheme="minorHAnsi"/>
                      <w:snapToGrid w:val="0"/>
                      <w:sz w:val="20"/>
                      <w:szCs w:val="20"/>
                    </w:rPr>
                  </w:pPr>
                  <w:r w:rsidRPr="00D2447D">
                    <w:rPr>
                      <w:rFonts w:cstheme="minorHAnsi"/>
                      <w:snapToGrid w:val="0"/>
                      <w:sz w:val="20"/>
                      <w:szCs w:val="20"/>
                    </w:rPr>
                    <w:t>10 mg bid  (4 x 5mg)</w:t>
                  </w:r>
                </w:p>
              </w:tc>
              <w:tc>
                <w:tcPr>
                  <w:tcW w:w="964" w:type="dxa"/>
                  <w:vAlign w:val="center"/>
                </w:tcPr>
                <w:p w14:paraId="51B6D149" w14:textId="19F3CAA0" w:rsidR="00D2447D" w:rsidRPr="00D2447D" w:rsidRDefault="002A64D4" w:rsidP="00D2447D">
                  <w:pPr>
                    <w:widowControl w:val="0"/>
                    <w:jc w:val="center"/>
                    <w:rPr>
                      <w:rFonts w:cstheme="minorHAnsi"/>
                      <w:snapToGrid w:val="0"/>
                      <w:sz w:val="20"/>
                      <w:szCs w:val="20"/>
                    </w:rPr>
                  </w:pPr>
                  <w:r w:rsidRPr="002A64D4">
                    <w:rPr>
                      <w:rFonts w:cstheme="minorHAnsi"/>
                      <w:snapToGrid w:val="0"/>
                      <w:sz w:val="20"/>
                      <w:szCs w:val="20"/>
                      <w:highlight w:val="black"/>
                    </w:rPr>
                    <w:t>xxxxx</w:t>
                  </w:r>
                  <w:r w:rsidR="00D2447D" w:rsidRPr="00D2447D">
                    <w:rPr>
                      <w:rFonts w:cstheme="minorHAnsi"/>
                      <w:snapToGrid w:val="0"/>
                      <w:sz w:val="20"/>
                      <w:szCs w:val="20"/>
                    </w:rPr>
                    <w:t>%</w:t>
                  </w:r>
                </w:p>
              </w:tc>
            </w:tr>
            <w:tr w:rsidR="00D2447D" w:rsidRPr="00D2447D" w14:paraId="45739C7D" w14:textId="77777777" w:rsidTr="00D2447D">
              <w:trPr>
                <w:jc w:val="center"/>
              </w:trPr>
              <w:tc>
                <w:tcPr>
                  <w:tcW w:w="2608" w:type="dxa"/>
                </w:tcPr>
                <w:p w14:paraId="0DE7CFB0" w14:textId="77777777" w:rsidR="00D2447D" w:rsidRPr="00D2447D" w:rsidRDefault="00D2447D" w:rsidP="00D2447D">
                  <w:pPr>
                    <w:widowControl w:val="0"/>
                    <w:jc w:val="center"/>
                    <w:rPr>
                      <w:rFonts w:cstheme="minorHAnsi"/>
                      <w:snapToGrid w:val="0"/>
                      <w:sz w:val="20"/>
                      <w:szCs w:val="20"/>
                    </w:rPr>
                  </w:pPr>
                  <w:r w:rsidRPr="00D2447D">
                    <w:rPr>
                      <w:rFonts w:cstheme="minorHAnsi"/>
                      <w:snapToGrid w:val="0"/>
                      <w:sz w:val="20"/>
                      <w:szCs w:val="20"/>
                    </w:rPr>
                    <w:t>15 mg bid (2 x 15mg)</w:t>
                  </w:r>
                </w:p>
              </w:tc>
              <w:tc>
                <w:tcPr>
                  <w:tcW w:w="964" w:type="dxa"/>
                  <w:vAlign w:val="center"/>
                </w:tcPr>
                <w:p w14:paraId="111749B7" w14:textId="7B293EB1" w:rsidR="00D2447D" w:rsidRPr="00D2447D" w:rsidRDefault="002A64D4" w:rsidP="00D2447D">
                  <w:pPr>
                    <w:widowControl w:val="0"/>
                    <w:jc w:val="center"/>
                    <w:rPr>
                      <w:rFonts w:cstheme="minorHAnsi"/>
                      <w:snapToGrid w:val="0"/>
                      <w:sz w:val="20"/>
                      <w:szCs w:val="20"/>
                    </w:rPr>
                  </w:pPr>
                  <w:r w:rsidRPr="002A64D4">
                    <w:rPr>
                      <w:rFonts w:cstheme="minorHAnsi"/>
                      <w:snapToGrid w:val="0"/>
                      <w:sz w:val="20"/>
                      <w:szCs w:val="20"/>
                      <w:highlight w:val="black"/>
                    </w:rPr>
                    <w:t>xxxxx</w:t>
                  </w:r>
                  <w:r w:rsidR="00D2447D" w:rsidRPr="00D2447D">
                    <w:rPr>
                      <w:rFonts w:cstheme="minorHAnsi"/>
                      <w:snapToGrid w:val="0"/>
                      <w:sz w:val="20"/>
                      <w:szCs w:val="20"/>
                    </w:rPr>
                    <w:t>%</w:t>
                  </w:r>
                </w:p>
              </w:tc>
            </w:tr>
            <w:tr w:rsidR="00D2447D" w:rsidRPr="00D2447D" w14:paraId="078E757A" w14:textId="77777777" w:rsidTr="00D2447D">
              <w:trPr>
                <w:jc w:val="center"/>
              </w:trPr>
              <w:tc>
                <w:tcPr>
                  <w:tcW w:w="2608" w:type="dxa"/>
                  <w:vAlign w:val="center"/>
                </w:tcPr>
                <w:p w14:paraId="7F474B49" w14:textId="77777777" w:rsidR="00D2447D" w:rsidRPr="00D2447D" w:rsidRDefault="00D2447D" w:rsidP="00D2447D">
                  <w:pPr>
                    <w:widowControl w:val="0"/>
                    <w:jc w:val="center"/>
                    <w:rPr>
                      <w:rFonts w:cstheme="minorHAnsi"/>
                      <w:snapToGrid w:val="0"/>
                      <w:sz w:val="20"/>
                      <w:szCs w:val="20"/>
                    </w:rPr>
                  </w:pPr>
                  <w:r w:rsidRPr="00D2447D">
                    <w:rPr>
                      <w:rFonts w:cstheme="minorHAnsi"/>
                      <w:snapToGrid w:val="0"/>
                      <w:sz w:val="20"/>
                      <w:szCs w:val="20"/>
                    </w:rPr>
                    <w:t>20 mg bid (2 x 20mg)</w:t>
                  </w:r>
                </w:p>
              </w:tc>
              <w:tc>
                <w:tcPr>
                  <w:tcW w:w="964" w:type="dxa"/>
                  <w:vAlign w:val="center"/>
                </w:tcPr>
                <w:p w14:paraId="6D203497" w14:textId="3EBE203A" w:rsidR="00D2447D" w:rsidRPr="00D2447D" w:rsidRDefault="002A64D4" w:rsidP="00D2447D">
                  <w:pPr>
                    <w:widowControl w:val="0"/>
                    <w:jc w:val="center"/>
                    <w:rPr>
                      <w:rFonts w:cstheme="minorHAnsi"/>
                      <w:snapToGrid w:val="0"/>
                      <w:sz w:val="20"/>
                      <w:szCs w:val="20"/>
                    </w:rPr>
                  </w:pPr>
                  <w:r w:rsidRPr="002A64D4">
                    <w:rPr>
                      <w:rFonts w:cstheme="minorHAnsi"/>
                      <w:snapToGrid w:val="0"/>
                      <w:sz w:val="20"/>
                      <w:szCs w:val="20"/>
                      <w:highlight w:val="black"/>
                    </w:rPr>
                    <w:t>xxxxx</w:t>
                  </w:r>
                  <w:r w:rsidR="00D2447D" w:rsidRPr="00D2447D">
                    <w:rPr>
                      <w:rFonts w:cstheme="minorHAnsi"/>
                      <w:snapToGrid w:val="0"/>
                      <w:sz w:val="20"/>
                      <w:szCs w:val="20"/>
                    </w:rPr>
                    <w:t>%</w:t>
                  </w:r>
                </w:p>
              </w:tc>
            </w:tr>
            <w:tr w:rsidR="00D2447D" w:rsidRPr="00D2447D" w14:paraId="738BCCC1" w14:textId="77777777" w:rsidTr="00D2447D">
              <w:trPr>
                <w:jc w:val="center"/>
              </w:trPr>
              <w:tc>
                <w:tcPr>
                  <w:tcW w:w="2608" w:type="dxa"/>
                </w:tcPr>
                <w:p w14:paraId="7F3D7D18" w14:textId="77777777" w:rsidR="00D2447D" w:rsidRPr="00D2447D" w:rsidRDefault="00D2447D" w:rsidP="00D2447D">
                  <w:pPr>
                    <w:widowControl w:val="0"/>
                    <w:jc w:val="center"/>
                    <w:rPr>
                      <w:rFonts w:cstheme="minorHAnsi"/>
                      <w:snapToGrid w:val="0"/>
                      <w:sz w:val="20"/>
                      <w:szCs w:val="20"/>
                    </w:rPr>
                  </w:pPr>
                  <w:r w:rsidRPr="00D2447D">
                    <w:rPr>
                      <w:rFonts w:cstheme="minorHAnsi"/>
                      <w:snapToGrid w:val="0"/>
                      <w:sz w:val="20"/>
                      <w:szCs w:val="20"/>
                    </w:rPr>
                    <w:t>25 mg bid ((2 x 20mg) + (2 x 5mg)</w:t>
                  </w:r>
                </w:p>
              </w:tc>
              <w:tc>
                <w:tcPr>
                  <w:tcW w:w="964" w:type="dxa"/>
                  <w:vAlign w:val="center"/>
                </w:tcPr>
                <w:p w14:paraId="74F4EF43" w14:textId="2731E9A0" w:rsidR="00D2447D" w:rsidRPr="00D2447D" w:rsidRDefault="002A64D4" w:rsidP="00D2447D">
                  <w:pPr>
                    <w:widowControl w:val="0"/>
                    <w:jc w:val="center"/>
                    <w:rPr>
                      <w:rFonts w:cstheme="minorHAnsi"/>
                      <w:snapToGrid w:val="0"/>
                      <w:sz w:val="20"/>
                      <w:szCs w:val="20"/>
                    </w:rPr>
                  </w:pPr>
                  <w:r w:rsidRPr="002A64D4">
                    <w:rPr>
                      <w:rFonts w:cstheme="minorHAnsi"/>
                      <w:snapToGrid w:val="0"/>
                      <w:sz w:val="20"/>
                      <w:szCs w:val="20"/>
                      <w:highlight w:val="black"/>
                    </w:rPr>
                    <w:t>xxxxx</w:t>
                  </w:r>
                  <w:r w:rsidR="00D2447D" w:rsidRPr="00D2447D">
                    <w:rPr>
                      <w:rFonts w:cstheme="minorHAnsi"/>
                      <w:snapToGrid w:val="0"/>
                      <w:sz w:val="20"/>
                      <w:szCs w:val="20"/>
                    </w:rPr>
                    <w:t>%</w:t>
                  </w:r>
                </w:p>
              </w:tc>
            </w:tr>
          </w:tbl>
          <w:p w14:paraId="553B0C36" w14:textId="77777777" w:rsidR="00D2447D" w:rsidRPr="00D2447D" w:rsidRDefault="00D2447D" w:rsidP="00D2447D">
            <w:pPr>
              <w:widowControl w:val="0"/>
              <w:jc w:val="center"/>
              <w:rPr>
                <w:rFonts w:cstheme="minorHAnsi"/>
                <w:snapToGrid w:val="0"/>
                <w:sz w:val="20"/>
                <w:szCs w:val="20"/>
              </w:rPr>
            </w:pPr>
          </w:p>
        </w:tc>
        <w:tc>
          <w:tcPr>
            <w:tcW w:w="2891" w:type="dxa"/>
            <w:vAlign w:val="center"/>
          </w:tcPr>
          <w:p w14:paraId="55505672" w14:textId="77777777" w:rsidR="00367807" w:rsidRPr="00D2447D" w:rsidRDefault="00FB3DB8" w:rsidP="000F4457">
            <w:pPr>
              <w:widowControl w:val="0"/>
              <w:rPr>
                <w:rFonts w:cstheme="minorHAnsi"/>
                <w:snapToGrid w:val="0"/>
                <w:sz w:val="20"/>
                <w:szCs w:val="20"/>
              </w:rPr>
            </w:pPr>
            <w:r w:rsidRPr="00D2447D">
              <w:rPr>
                <w:rFonts w:cstheme="minorHAnsi"/>
                <w:snapToGrid w:val="0"/>
                <w:sz w:val="20"/>
                <w:szCs w:val="20"/>
              </w:rPr>
              <w:t>Dose distribution across 144 weeks of COMFORT-I</w:t>
            </w:r>
          </w:p>
        </w:tc>
      </w:tr>
      <w:tr w:rsidR="005A5BA7" w:rsidRPr="00015850" w14:paraId="1C0AF319" w14:textId="77777777" w:rsidTr="000F4457">
        <w:tblPrEx>
          <w:tblCellMar>
            <w:left w:w="108" w:type="dxa"/>
            <w:right w:w="108" w:type="dxa"/>
          </w:tblCellMar>
        </w:tblPrEx>
        <w:tc>
          <w:tcPr>
            <w:tcW w:w="2098" w:type="dxa"/>
            <w:vAlign w:val="center"/>
          </w:tcPr>
          <w:p w14:paraId="5F5D619D" w14:textId="77777777" w:rsidR="00367807" w:rsidRPr="00D2447D" w:rsidRDefault="00367807" w:rsidP="00D2447D">
            <w:pPr>
              <w:widowControl w:val="0"/>
              <w:ind w:left="-80"/>
              <w:rPr>
                <w:rFonts w:cstheme="minorHAnsi"/>
                <w:snapToGrid w:val="0"/>
                <w:sz w:val="20"/>
                <w:szCs w:val="20"/>
              </w:rPr>
            </w:pPr>
            <w:r w:rsidRPr="00D2447D">
              <w:rPr>
                <w:rFonts w:cstheme="minorHAnsi"/>
                <w:snapToGrid w:val="0"/>
                <w:sz w:val="20"/>
                <w:szCs w:val="20"/>
              </w:rPr>
              <w:t>Average number of days of exposure per patient treated</w:t>
            </w:r>
          </w:p>
        </w:tc>
        <w:tc>
          <w:tcPr>
            <w:tcW w:w="4082" w:type="dxa"/>
            <w:vAlign w:val="center"/>
          </w:tcPr>
          <w:p w14:paraId="1C76BF38" w14:textId="77C4F143" w:rsidR="002D4B65" w:rsidRPr="00D2447D" w:rsidRDefault="002A64D4" w:rsidP="000F4457">
            <w:pPr>
              <w:widowControl w:val="0"/>
              <w:jc w:val="center"/>
              <w:rPr>
                <w:rFonts w:cstheme="minorHAnsi"/>
                <w:snapToGrid w:val="0"/>
                <w:sz w:val="20"/>
                <w:szCs w:val="20"/>
              </w:rPr>
            </w:pPr>
            <w:r w:rsidRPr="002A64D4">
              <w:rPr>
                <w:rFonts w:cstheme="minorHAnsi"/>
                <w:snapToGrid w:val="0"/>
                <w:sz w:val="20"/>
                <w:szCs w:val="20"/>
                <w:highlight w:val="black"/>
              </w:rPr>
              <w:t>xx</w:t>
            </w:r>
            <w:r w:rsidR="00AE0E51" w:rsidRPr="00D2447D">
              <w:rPr>
                <w:rFonts w:cstheme="minorHAnsi"/>
                <w:snapToGrid w:val="0"/>
                <w:sz w:val="20"/>
                <w:szCs w:val="20"/>
              </w:rPr>
              <w:t>%</w:t>
            </w:r>
            <w:r w:rsidR="0008258D" w:rsidRPr="00D2447D">
              <w:rPr>
                <w:rFonts w:cstheme="minorHAnsi"/>
                <w:snapToGrid w:val="0"/>
                <w:sz w:val="20"/>
                <w:szCs w:val="20"/>
              </w:rPr>
              <w:t>*</w:t>
            </w:r>
          </w:p>
        </w:tc>
        <w:tc>
          <w:tcPr>
            <w:tcW w:w="2891" w:type="dxa"/>
            <w:vAlign w:val="center"/>
          </w:tcPr>
          <w:p w14:paraId="12929280" w14:textId="77777777" w:rsidR="00367807" w:rsidRPr="00D2447D" w:rsidRDefault="00367807" w:rsidP="000F4457">
            <w:pPr>
              <w:pStyle w:val="TableBullets"/>
              <w:numPr>
                <w:ilvl w:val="0"/>
                <w:numId w:val="0"/>
              </w:numPr>
              <w:rPr>
                <w:rFonts w:asciiTheme="minorHAnsi" w:hAnsiTheme="minorHAnsi" w:cstheme="minorHAnsi"/>
                <w:snapToGrid w:val="0"/>
                <w:szCs w:val="20"/>
                <w:highlight w:val="yellow"/>
              </w:rPr>
            </w:pPr>
            <w:r w:rsidRPr="00D2447D">
              <w:rPr>
                <w:rFonts w:asciiTheme="minorHAnsi" w:hAnsiTheme="minorHAnsi" w:cstheme="minorHAnsi"/>
                <w:snapToGrid w:val="0"/>
                <w:szCs w:val="20"/>
              </w:rPr>
              <w:t>Proportion of days of exposure relative to the number of potential days on treatment (until death or discontinuation of treat</w:t>
            </w:r>
            <w:r w:rsidR="00AE0E51" w:rsidRPr="00D2447D">
              <w:rPr>
                <w:rFonts w:asciiTheme="minorHAnsi" w:hAnsiTheme="minorHAnsi" w:cstheme="minorHAnsi"/>
                <w:snapToGrid w:val="0"/>
                <w:szCs w:val="20"/>
              </w:rPr>
              <w:t>ment) from COMFORT 1 trial</w:t>
            </w:r>
          </w:p>
        </w:tc>
      </w:tr>
    </w:tbl>
    <w:p w14:paraId="6B1CBB34" w14:textId="77777777" w:rsidR="00CF50D2" w:rsidRPr="00D2447D" w:rsidRDefault="004F67A2" w:rsidP="00B02A75">
      <w:pPr>
        <w:pStyle w:val="Notes"/>
      </w:pPr>
      <w:r w:rsidRPr="00D2447D">
        <w:t xml:space="preserve">Source: </w:t>
      </w:r>
      <w:r w:rsidR="006D3B0B" w:rsidRPr="00D2447D">
        <w:t xml:space="preserve">Adapted from the </w:t>
      </w:r>
      <w:r w:rsidRPr="00D2447D">
        <w:t xml:space="preserve">PEB Addendum to the ESC Advice </w:t>
      </w:r>
      <w:r w:rsidR="006D3B0B" w:rsidRPr="00D2447D">
        <w:t xml:space="preserve">and the Sponsor pre-PBAC response </w:t>
      </w:r>
      <w:r w:rsidRPr="00D2447D">
        <w:t>to the March 2015 PBAC</w:t>
      </w:r>
      <w:r w:rsidR="00AE1F25" w:rsidRPr="00D2447D">
        <w:t xml:space="preserve"> meeting.</w:t>
      </w:r>
    </w:p>
    <w:p w14:paraId="4846B1C7" w14:textId="50299BBE" w:rsidR="00AC5054" w:rsidRPr="00D2447D" w:rsidRDefault="00D0714E" w:rsidP="00B02A75">
      <w:pPr>
        <w:pStyle w:val="Notes"/>
        <w:rPr>
          <w:rFonts w:eastAsia="Calibri" w:cs="Times New Roman"/>
          <w:sz w:val="22"/>
        </w:rPr>
      </w:pPr>
      <w:r w:rsidRPr="00D2447D">
        <w:t>*</w:t>
      </w:r>
      <w:r w:rsidR="005D5C48" w:rsidRPr="00D2447D">
        <w:t>Th</w:t>
      </w:r>
      <w:r w:rsidRPr="00D2447D">
        <w:t>e</w:t>
      </w:r>
      <w:r w:rsidR="005D5C48" w:rsidRPr="00D2447D">
        <w:t xml:space="preserve"> </w:t>
      </w:r>
      <w:r w:rsidR="005323E8" w:rsidRPr="00D2447D">
        <w:t xml:space="preserve">approach </w:t>
      </w:r>
      <w:r w:rsidR="0008258D" w:rsidRPr="00D2447D">
        <w:t xml:space="preserve">for estimating prescriptions </w:t>
      </w:r>
      <w:r w:rsidR="005323E8" w:rsidRPr="00D2447D">
        <w:t xml:space="preserve">was implemented by assuming that </w:t>
      </w:r>
      <w:r w:rsidR="002A64D4" w:rsidRPr="002A64D4">
        <w:rPr>
          <w:rFonts w:cstheme="minorHAnsi"/>
          <w:snapToGrid w:val="0"/>
          <w:highlight w:val="black"/>
        </w:rPr>
        <w:t>xx</w:t>
      </w:r>
      <w:r w:rsidR="005323E8" w:rsidRPr="00D2447D">
        <w:t>% of prevalent patients will be on treatment for the whole year (</w:t>
      </w:r>
      <w:r w:rsidR="002A64D4" w:rsidRPr="002A64D4">
        <w:rPr>
          <w:rFonts w:cstheme="minorHAnsi"/>
          <w:snapToGrid w:val="0"/>
          <w:highlight w:val="black"/>
        </w:rPr>
        <w:t>xx</w:t>
      </w:r>
      <w:r w:rsidR="005323E8" w:rsidRPr="00D2447D">
        <w:t xml:space="preserve"> prescriptions) and </w:t>
      </w:r>
      <w:r w:rsidR="002A64D4" w:rsidRPr="002A64D4">
        <w:rPr>
          <w:rFonts w:cstheme="minorHAnsi"/>
          <w:snapToGrid w:val="0"/>
          <w:highlight w:val="black"/>
        </w:rPr>
        <w:t>x</w:t>
      </w:r>
      <w:r w:rsidR="005323E8" w:rsidRPr="00D2447D">
        <w:t xml:space="preserve">% of patients discontinue during the year and receive on average </w:t>
      </w:r>
      <w:r w:rsidR="002A64D4" w:rsidRPr="002A64D4">
        <w:rPr>
          <w:rFonts w:cstheme="minorHAnsi"/>
          <w:snapToGrid w:val="0"/>
          <w:highlight w:val="black"/>
        </w:rPr>
        <w:t>x</w:t>
      </w:r>
      <w:r w:rsidR="005323E8" w:rsidRPr="00D2447D">
        <w:t xml:space="preserve"> scripts. </w:t>
      </w:r>
      <w:r w:rsidR="00460EA9" w:rsidRPr="00D2447D">
        <w:t>This was referred to as the half cycle correction</w:t>
      </w:r>
      <w:r w:rsidR="007A69D9" w:rsidRPr="00D2447D">
        <w:t xml:space="preserve"> </w:t>
      </w:r>
      <w:r w:rsidR="007A69D9" w:rsidRPr="00D2447D">
        <w:lastRenderedPageBreak/>
        <w:t xml:space="preserve">and </w:t>
      </w:r>
      <w:r w:rsidR="00460EA9" w:rsidRPr="00D2447D">
        <w:t xml:space="preserve">resulted in the average number of prescriptions per year </w:t>
      </w:r>
      <w:r w:rsidR="007A69D9" w:rsidRPr="00D2447D">
        <w:t xml:space="preserve">of </w:t>
      </w:r>
      <w:r w:rsidR="002A64D4" w:rsidRPr="002A64D4">
        <w:rPr>
          <w:rFonts w:cstheme="minorHAnsi"/>
          <w:snapToGrid w:val="0"/>
          <w:highlight w:val="black"/>
        </w:rPr>
        <w:t>xxxx</w:t>
      </w:r>
      <w:r w:rsidR="007A69D9" w:rsidRPr="00D2447D">
        <w:t xml:space="preserve">. In addition, for the </w:t>
      </w:r>
      <w:r w:rsidR="002A64D4" w:rsidRPr="002A64D4">
        <w:rPr>
          <w:rFonts w:cstheme="minorHAnsi"/>
          <w:snapToGrid w:val="0"/>
          <w:highlight w:val="black"/>
        </w:rPr>
        <w:t>xx</w:t>
      </w:r>
      <w:r w:rsidR="007A69D9" w:rsidRPr="00D2447D">
        <w:t>% of patients expected to be prescribed the 25mg</w:t>
      </w:r>
      <w:r w:rsidR="00460EA9" w:rsidRPr="00D2447D">
        <w:t xml:space="preserve"> </w:t>
      </w:r>
      <w:r w:rsidR="007A69D9" w:rsidRPr="00D2447D">
        <w:t xml:space="preserve">dose two prescriptions (5mg and 20mg) are required, increasing the average number of </w:t>
      </w:r>
      <w:r w:rsidR="00460EA9" w:rsidRPr="00D2447D">
        <w:t>prescriptions</w:t>
      </w:r>
      <w:r w:rsidR="007A69D9" w:rsidRPr="00D2447D">
        <w:t xml:space="preserve">/patient/year to </w:t>
      </w:r>
      <w:r w:rsidR="002A64D4" w:rsidRPr="002A64D4">
        <w:rPr>
          <w:rFonts w:cstheme="minorHAnsi"/>
          <w:snapToGrid w:val="0"/>
          <w:highlight w:val="black"/>
        </w:rPr>
        <w:t>xxxx</w:t>
      </w:r>
      <w:r w:rsidR="007A69D9" w:rsidRPr="00D2447D">
        <w:t>.</w:t>
      </w:r>
    </w:p>
    <w:p w14:paraId="5B1EEABF" w14:textId="77777777" w:rsidR="005A3F4B" w:rsidRPr="00B3440B" w:rsidRDefault="005A3F4B" w:rsidP="004C3356">
      <w:pPr>
        <w:pStyle w:val="Heading1"/>
      </w:pPr>
      <w:r w:rsidRPr="00B3440B">
        <w:t>Methods</w:t>
      </w:r>
    </w:p>
    <w:p w14:paraId="4C2077DB" w14:textId="77777777" w:rsidR="005A3F4B" w:rsidRDefault="005A3F4B" w:rsidP="005A3F4B">
      <w:pPr>
        <w:rPr>
          <w:rFonts w:ascii="Calibri" w:eastAsia="MS Mincho" w:hAnsi="Calibri" w:cs="Times New Roman"/>
        </w:rPr>
      </w:pPr>
      <w:r w:rsidRPr="00B3440B">
        <w:rPr>
          <w:rFonts w:ascii="Calibri" w:eastAsia="MS Mincho" w:hAnsi="Calibri" w:cs="Times New Roman"/>
        </w:rPr>
        <w:t xml:space="preserve">PBS prescription data for </w:t>
      </w:r>
      <w:r w:rsidR="00116FE2">
        <w:rPr>
          <w:rFonts w:ascii="Calibri" w:eastAsia="MS Mincho" w:hAnsi="Calibri" w:cs="Times New Roman"/>
        </w:rPr>
        <w:t>r</w:t>
      </w:r>
      <w:r w:rsidR="00B3440B" w:rsidRPr="00B3440B">
        <w:rPr>
          <w:rFonts w:ascii="Calibri" w:eastAsia="MS Mincho" w:hAnsi="Calibri" w:cs="Times New Roman"/>
        </w:rPr>
        <w:t xml:space="preserve">uxolitinib dispensed </w:t>
      </w:r>
      <w:r w:rsidRPr="00B3440B">
        <w:rPr>
          <w:rFonts w:ascii="Calibri" w:eastAsia="MS Mincho" w:hAnsi="Calibri" w:cs="Times New Roman"/>
        </w:rPr>
        <w:t xml:space="preserve">from 1 </w:t>
      </w:r>
      <w:r w:rsidR="00B3440B" w:rsidRPr="00B3440B">
        <w:rPr>
          <w:rFonts w:ascii="Calibri" w:eastAsia="MS Mincho" w:hAnsi="Calibri" w:cs="Times New Roman"/>
        </w:rPr>
        <w:t xml:space="preserve">February </w:t>
      </w:r>
      <w:r w:rsidRPr="00B3440B">
        <w:rPr>
          <w:rFonts w:ascii="Calibri" w:eastAsia="MS Mincho" w:hAnsi="Calibri" w:cs="Times New Roman"/>
        </w:rPr>
        <w:t>201</w:t>
      </w:r>
      <w:r w:rsidR="00B3440B" w:rsidRPr="00B3440B">
        <w:rPr>
          <w:rFonts w:ascii="Calibri" w:eastAsia="MS Mincho" w:hAnsi="Calibri" w:cs="Times New Roman"/>
        </w:rPr>
        <w:t>6</w:t>
      </w:r>
      <w:r w:rsidRPr="00B3440B">
        <w:rPr>
          <w:rFonts w:ascii="Calibri" w:eastAsia="MS Mincho" w:hAnsi="Calibri" w:cs="Times New Roman"/>
        </w:rPr>
        <w:t xml:space="preserve"> to 3</w:t>
      </w:r>
      <w:r w:rsidR="00B3440B" w:rsidRPr="00B3440B">
        <w:rPr>
          <w:rFonts w:ascii="Calibri" w:eastAsia="MS Mincho" w:hAnsi="Calibri" w:cs="Times New Roman"/>
        </w:rPr>
        <w:t>0</w:t>
      </w:r>
      <w:r w:rsidRPr="00B3440B">
        <w:rPr>
          <w:rFonts w:ascii="Calibri" w:eastAsia="MS Mincho" w:hAnsi="Calibri" w:cs="Times New Roman"/>
        </w:rPr>
        <w:t xml:space="preserve"> </w:t>
      </w:r>
      <w:r w:rsidR="00B3440B" w:rsidRPr="00B3440B">
        <w:rPr>
          <w:rFonts w:ascii="Calibri" w:eastAsia="MS Mincho" w:hAnsi="Calibri" w:cs="Times New Roman"/>
        </w:rPr>
        <w:t>April</w:t>
      </w:r>
      <w:r w:rsidRPr="00B3440B">
        <w:rPr>
          <w:rFonts w:ascii="Calibri" w:eastAsia="MS Mincho" w:hAnsi="Calibri" w:cs="Times New Roman"/>
        </w:rPr>
        <w:t xml:space="preserve"> 201</w:t>
      </w:r>
      <w:r w:rsidR="00B3440B" w:rsidRPr="00B3440B">
        <w:rPr>
          <w:rFonts w:ascii="Calibri" w:eastAsia="MS Mincho" w:hAnsi="Calibri" w:cs="Times New Roman"/>
        </w:rPr>
        <w:t>8</w:t>
      </w:r>
      <w:r w:rsidRPr="00B3440B">
        <w:rPr>
          <w:rFonts w:ascii="Calibri" w:eastAsia="MS Mincho" w:hAnsi="Calibri" w:cs="Times New Roman"/>
        </w:rPr>
        <w:t xml:space="preserve"> were extracted from the DHS </w:t>
      </w:r>
      <w:r w:rsidR="00B3440B" w:rsidRPr="00B3440B">
        <w:rPr>
          <w:rFonts w:ascii="Calibri" w:eastAsia="MS Mincho" w:hAnsi="Calibri" w:cs="Times New Roman"/>
        </w:rPr>
        <w:t xml:space="preserve">PBS </w:t>
      </w:r>
      <w:r w:rsidRPr="00B3440B">
        <w:rPr>
          <w:rFonts w:ascii="Calibri" w:eastAsia="MS Mincho" w:hAnsi="Calibri" w:cs="Times New Roman"/>
        </w:rPr>
        <w:t>prescription database</w:t>
      </w:r>
      <w:r w:rsidR="00B3440B" w:rsidRPr="00B3440B">
        <w:rPr>
          <w:rFonts w:ascii="Calibri" w:eastAsia="MS Mincho" w:hAnsi="Calibri" w:cs="Times New Roman"/>
        </w:rPr>
        <w:t>.</w:t>
      </w:r>
      <w:r w:rsidR="000A4136">
        <w:rPr>
          <w:rStyle w:val="FootnoteReference"/>
          <w:rFonts w:ascii="Calibri" w:eastAsia="MS Mincho" w:hAnsi="Calibri" w:cs="Times New Roman"/>
        </w:rPr>
        <w:footnoteReference w:id="9"/>
      </w:r>
      <w:r w:rsidRPr="00B3440B">
        <w:rPr>
          <w:rFonts w:ascii="Calibri" w:eastAsia="MS Mincho" w:hAnsi="Calibri" w:cs="Times New Roman"/>
        </w:rPr>
        <w:t xml:space="preserve"> PBS prescription data were used to determine the number of prescriptions supplied</w:t>
      </w:r>
      <w:r w:rsidR="000A4136">
        <w:rPr>
          <w:rFonts w:ascii="Calibri" w:eastAsia="MS Mincho" w:hAnsi="Calibri" w:cs="Times New Roman"/>
        </w:rPr>
        <w:t xml:space="preserve"> and</w:t>
      </w:r>
      <w:r w:rsidRPr="00B3440B">
        <w:rPr>
          <w:rFonts w:ascii="Calibri" w:eastAsia="MS Mincho" w:hAnsi="Calibri" w:cs="Times New Roman"/>
        </w:rPr>
        <w:t xml:space="preserve"> </w:t>
      </w:r>
      <w:r w:rsidR="000D38C3">
        <w:rPr>
          <w:rFonts w:ascii="Calibri" w:eastAsia="MS Mincho" w:hAnsi="Calibri" w:cs="Times New Roman"/>
        </w:rPr>
        <w:t xml:space="preserve">the number of </w:t>
      </w:r>
      <w:r w:rsidRPr="00B3440B">
        <w:rPr>
          <w:rFonts w:ascii="Calibri" w:eastAsia="MS Mincho" w:hAnsi="Calibri" w:cs="Times New Roman"/>
        </w:rPr>
        <w:t>incident and prevalent patients</w:t>
      </w:r>
      <w:r w:rsidR="000A4136">
        <w:rPr>
          <w:rFonts w:ascii="Calibri" w:eastAsia="MS Mincho" w:hAnsi="Calibri" w:cs="Times New Roman"/>
        </w:rPr>
        <w:t xml:space="preserve"> for the predicted</w:t>
      </w:r>
      <w:r w:rsidR="000A4136" w:rsidRPr="000B2586">
        <w:rPr>
          <w:rFonts w:ascii="Calibri" w:eastAsia="MS Mincho" w:hAnsi="Calibri" w:cs="Times New Roman"/>
        </w:rPr>
        <w:t xml:space="preserve"> vs </w:t>
      </w:r>
      <w:r w:rsidR="000A4136">
        <w:rPr>
          <w:rFonts w:ascii="Calibri" w:eastAsia="MS Mincho" w:hAnsi="Calibri" w:cs="Times New Roman"/>
        </w:rPr>
        <w:t>a</w:t>
      </w:r>
      <w:r w:rsidR="000A4136" w:rsidRPr="000B2586">
        <w:rPr>
          <w:rFonts w:ascii="Calibri" w:eastAsia="MS Mincho" w:hAnsi="Calibri" w:cs="Times New Roman"/>
        </w:rPr>
        <w:t>ctual</w:t>
      </w:r>
      <w:r w:rsidR="000A4136">
        <w:rPr>
          <w:rFonts w:ascii="Calibri" w:eastAsia="MS Mincho" w:hAnsi="Calibri" w:cs="Times New Roman"/>
        </w:rPr>
        <w:t xml:space="preserve"> analysis</w:t>
      </w:r>
      <w:r w:rsidR="002E7916">
        <w:rPr>
          <w:rFonts w:ascii="Calibri" w:eastAsia="MS Mincho" w:hAnsi="Calibri" w:cs="Times New Roman"/>
        </w:rPr>
        <w:t>. They were also use</w:t>
      </w:r>
      <w:r w:rsidR="000A4136">
        <w:rPr>
          <w:rFonts w:ascii="Calibri" w:eastAsia="MS Mincho" w:hAnsi="Calibri" w:cs="Times New Roman"/>
        </w:rPr>
        <w:t>d</w:t>
      </w:r>
      <w:r w:rsidR="002E7916">
        <w:rPr>
          <w:rFonts w:ascii="Calibri" w:eastAsia="MS Mincho" w:hAnsi="Calibri" w:cs="Times New Roman"/>
        </w:rPr>
        <w:t xml:space="preserve"> </w:t>
      </w:r>
      <w:r w:rsidR="000A4136">
        <w:rPr>
          <w:rFonts w:ascii="Calibri" w:eastAsia="MS Mincho" w:hAnsi="Calibri" w:cs="Times New Roman"/>
        </w:rPr>
        <w:t>for</w:t>
      </w:r>
      <w:r w:rsidR="002E7916">
        <w:rPr>
          <w:rFonts w:ascii="Calibri" w:eastAsia="MS Mincho" w:hAnsi="Calibri" w:cs="Times New Roman"/>
        </w:rPr>
        <w:t xml:space="preserve"> the p</w:t>
      </w:r>
      <w:r w:rsidR="002E7916" w:rsidRPr="000B2586">
        <w:rPr>
          <w:rFonts w:ascii="Calibri" w:eastAsia="MS Mincho" w:hAnsi="Calibri" w:cs="Times New Roman"/>
        </w:rPr>
        <w:t>atient demographics</w:t>
      </w:r>
      <w:r w:rsidR="002E7916">
        <w:rPr>
          <w:rFonts w:ascii="Calibri" w:eastAsia="MS Mincho" w:hAnsi="Calibri" w:cs="Times New Roman"/>
        </w:rPr>
        <w:t>, l</w:t>
      </w:r>
      <w:r w:rsidR="002E7916" w:rsidRPr="000B2586">
        <w:rPr>
          <w:rFonts w:ascii="Calibri" w:eastAsia="MS Mincho" w:hAnsi="Calibri" w:cs="Times New Roman"/>
        </w:rPr>
        <w:t xml:space="preserve">ength of </w:t>
      </w:r>
      <w:r w:rsidR="002E7916">
        <w:rPr>
          <w:rFonts w:ascii="Calibri" w:eastAsia="MS Mincho" w:hAnsi="Calibri" w:cs="Times New Roman"/>
        </w:rPr>
        <w:t>t</w:t>
      </w:r>
      <w:r w:rsidR="002E7916" w:rsidRPr="000B2586">
        <w:rPr>
          <w:rFonts w:ascii="Calibri" w:eastAsia="MS Mincho" w:hAnsi="Calibri" w:cs="Times New Roman"/>
        </w:rPr>
        <w:t>reatment</w:t>
      </w:r>
      <w:r w:rsidR="002E7916">
        <w:rPr>
          <w:rFonts w:ascii="Calibri" w:eastAsia="MS Mincho" w:hAnsi="Calibri" w:cs="Times New Roman"/>
        </w:rPr>
        <w:t>, i</w:t>
      </w:r>
      <w:r w:rsidR="002E7916" w:rsidRPr="002E7916">
        <w:rPr>
          <w:rFonts w:ascii="Calibri" w:eastAsia="MS Mincho" w:hAnsi="Calibri" w:cs="Times New Roman"/>
        </w:rPr>
        <w:t>ndication sequence</w:t>
      </w:r>
      <w:r w:rsidR="002E7916">
        <w:rPr>
          <w:rFonts w:ascii="Calibri" w:eastAsia="MS Mincho" w:hAnsi="Calibri" w:cs="Times New Roman"/>
        </w:rPr>
        <w:t>, m</w:t>
      </w:r>
      <w:r w:rsidR="002E7916" w:rsidRPr="002E7916">
        <w:rPr>
          <w:rFonts w:ascii="Calibri" w:eastAsia="MS Mincho" w:hAnsi="Calibri" w:cs="Times New Roman"/>
        </w:rPr>
        <w:t xml:space="preserve">edicines taken prior to initiating ruxolitinib </w:t>
      </w:r>
      <w:r w:rsidR="002E7916">
        <w:rPr>
          <w:rFonts w:ascii="Calibri" w:eastAsia="MS Mincho" w:hAnsi="Calibri" w:cs="Times New Roman"/>
        </w:rPr>
        <w:t>and d</w:t>
      </w:r>
      <w:r w:rsidR="002E7916" w:rsidRPr="002E7916">
        <w:rPr>
          <w:rFonts w:ascii="Calibri" w:eastAsia="MS Mincho" w:hAnsi="Calibri" w:cs="Times New Roman"/>
        </w:rPr>
        <w:t>ose analys</w:t>
      </w:r>
      <w:r w:rsidR="002E7916">
        <w:rPr>
          <w:rFonts w:ascii="Calibri" w:eastAsia="MS Mincho" w:hAnsi="Calibri" w:cs="Times New Roman"/>
        </w:rPr>
        <w:t>e</w:t>
      </w:r>
      <w:r w:rsidR="002E7916" w:rsidRPr="002E7916">
        <w:rPr>
          <w:rFonts w:ascii="Calibri" w:eastAsia="MS Mincho" w:hAnsi="Calibri" w:cs="Times New Roman"/>
        </w:rPr>
        <w:t>s</w:t>
      </w:r>
      <w:r w:rsidR="002E7916">
        <w:rPr>
          <w:rFonts w:ascii="Calibri" w:eastAsia="MS Mincho" w:hAnsi="Calibri" w:cs="Times New Roman"/>
        </w:rPr>
        <w:t>.</w:t>
      </w:r>
      <w:r w:rsidR="00B3440B">
        <w:rPr>
          <w:rFonts w:ascii="Calibri" w:eastAsia="MS Mincho" w:hAnsi="Calibri" w:cs="Times New Roman"/>
        </w:rPr>
        <w:t xml:space="preserve"> </w:t>
      </w:r>
      <w:r w:rsidRPr="00B3440B">
        <w:rPr>
          <w:rFonts w:ascii="Calibri" w:eastAsia="MS Mincho" w:hAnsi="Calibri" w:cs="Times New Roman"/>
        </w:rPr>
        <w:t xml:space="preserve">Prescription indications </w:t>
      </w:r>
      <w:r w:rsidR="00B3440B">
        <w:rPr>
          <w:rFonts w:ascii="Calibri" w:eastAsia="MS Mincho" w:hAnsi="Calibri" w:cs="Times New Roman"/>
        </w:rPr>
        <w:t>(i</w:t>
      </w:r>
      <w:r w:rsidR="00F26F2E">
        <w:rPr>
          <w:rFonts w:ascii="Calibri" w:eastAsia="MS Mincho" w:hAnsi="Calibri" w:cs="Times New Roman"/>
        </w:rPr>
        <w:t>.</w:t>
      </w:r>
      <w:r w:rsidR="00B3440B">
        <w:rPr>
          <w:rFonts w:ascii="Calibri" w:eastAsia="MS Mincho" w:hAnsi="Calibri" w:cs="Times New Roman"/>
        </w:rPr>
        <w:t xml:space="preserve">e. </w:t>
      </w:r>
      <w:r w:rsidR="00504EEA">
        <w:rPr>
          <w:rFonts w:ascii="Calibri" w:eastAsia="MS Mincho" w:hAnsi="Calibri" w:cs="Times New Roman"/>
        </w:rPr>
        <w:t>Int</w:t>
      </w:r>
      <w:r w:rsidR="00504EEA">
        <w:rPr>
          <w:rFonts w:ascii="Calibri" w:eastAsia="MS Mincho" w:hAnsi="Calibri" w:cs="Times New Roman"/>
        </w:rPr>
        <w:noBreakHyphen/>
      </w:r>
      <w:r w:rsidR="00B3440B" w:rsidRPr="00B3440B">
        <w:rPr>
          <w:rFonts w:ascii="Calibri" w:eastAsia="MS Mincho" w:hAnsi="Calibri" w:cs="Times New Roman"/>
        </w:rPr>
        <w:t>1 risk myelofibrosis</w:t>
      </w:r>
      <w:r w:rsidR="00B3440B">
        <w:rPr>
          <w:rFonts w:ascii="Calibri" w:eastAsia="MS Mincho" w:hAnsi="Calibri" w:cs="Times New Roman"/>
        </w:rPr>
        <w:t xml:space="preserve">, </w:t>
      </w:r>
      <w:r w:rsidR="00504EEA">
        <w:rPr>
          <w:rFonts w:ascii="Calibri" w:eastAsia="MS Mincho" w:hAnsi="Calibri" w:cs="Times New Roman"/>
        </w:rPr>
        <w:t>Int</w:t>
      </w:r>
      <w:r w:rsidR="00504EEA">
        <w:rPr>
          <w:rFonts w:ascii="Calibri" w:eastAsia="MS Mincho" w:hAnsi="Calibri" w:cs="Times New Roman"/>
        </w:rPr>
        <w:noBreakHyphen/>
      </w:r>
      <w:r w:rsidR="00B3440B" w:rsidRPr="00B3440B">
        <w:rPr>
          <w:rFonts w:ascii="Calibri" w:eastAsia="MS Mincho" w:hAnsi="Calibri" w:cs="Times New Roman"/>
        </w:rPr>
        <w:t>2</w:t>
      </w:r>
      <w:r w:rsidR="00B3440B">
        <w:rPr>
          <w:rFonts w:ascii="Calibri" w:eastAsia="MS Mincho" w:hAnsi="Calibri" w:cs="Times New Roman"/>
        </w:rPr>
        <w:t xml:space="preserve"> and high risk </w:t>
      </w:r>
      <w:r w:rsidR="00B3440B" w:rsidRPr="00B3440B">
        <w:rPr>
          <w:rFonts w:ascii="Calibri" w:eastAsia="MS Mincho" w:hAnsi="Calibri" w:cs="Times New Roman"/>
        </w:rPr>
        <w:t>myelofibrosis</w:t>
      </w:r>
      <w:r w:rsidR="00B3440B">
        <w:rPr>
          <w:rFonts w:ascii="Calibri" w:eastAsia="MS Mincho" w:hAnsi="Calibri" w:cs="Times New Roman"/>
        </w:rPr>
        <w:t xml:space="preserve"> and grandfathered patient</w:t>
      </w:r>
      <w:r w:rsidR="00C30B8F">
        <w:rPr>
          <w:rFonts w:ascii="Calibri" w:eastAsia="MS Mincho" w:hAnsi="Calibri" w:cs="Times New Roman"/>
        </w:rPr>
        <w:t>s</w:t>
      </w:r>
      <w:r w:rsidR="00B3440B">
        <w:rPr>
          <w:rFonts w:ascii="Calibri" w:eastAsia="MS Mincho" w:hAnsi="Calibri" w:cs="Times New Roman"/>
        </w:rPr>
        <w:t xml:space="preserve">) </w:t>
      </w:r>
      <w:r w:rsidRPr="00B3440B">
        <w:rPr>
          <w:rFonts w:ascii="Calibri" w:eastAsia="MS Mincho" w:hAnsi="Calibri" w:cs="Times New Roman"/>
        </w:rPr>
        <w:t xml:space="preserve">were determined using </w:t>
      </w:r>
      <w:r w:rsidR="000D38C3">
        <w:rPr>
          <w:rFonts w:ascii="Calibri" w:eastAsia="MS Mincho" w:hAnsi="Calibri" w:cs="Times New Roman"/>
        </w:rPr>
        <w:t xml:space="preserve">additional </w:t>
      </w:r>
      <w:r w:rsidR="00C30B8F">
        <w:rPr>
          <w:rFonts w:ascii="Calibri" w:eastAsia="MS Mincho" w:hAnsi="Calibri" w:cs="Times New Roman"/>
        </w:rPr>
        <w:t>information</w:t>
      </w:r>
      <w:r w:rsidR="000D38C3">
        <w:rPr>
          <w:rFonts w:ascii="Calibri" w:eastAsia="MS Mincho" w:hAnsi="Calibri" w:cs="Times New Roman"/>
        </w:rPr>
        <w:t xml:space="preserve"> in </w:t>
      </w:r>
      <w:r w:rsidR="00B3440B">
        <w:rPr>
          <w:rFonts w:ascii="Calibri" w:eastAsia="MS Mincho" w:hAnsi="Calibri" w:cs="Times New Roman"/>
        </w:rPr>
        <w:t xml:space="preserve">the DHS Authority Approvals database. This database records the restriction code for written and telephone authorities. </w:t>
      </w:r>
      <w:r w:rsidR="00D53EF5">
        <w:rPr>
          <w:rFonts w:ascii="Calibri" w:eastAsia="MS Mincho" w:hAnsi="Calibri" w:cs="Times New Roman"/>
        </w:rPr>
        <w:t>There were 0.29</w:t>
      </w:r>
      <w:r w:rsidR="00B86DA9">
        <w:rPr>
          <w:rFonts w:ascii="Calibri" w:eastAsia="MS Mincho" w:hAnsi="Calibri" w:cs="Times New Roman"/>
        </w:rPr>
        <w:t xml:space="preserve">% of prescriptions where the indication of the prescription was unknown after matching with DHS Authority Approvals database. These prescriptions were assumed to be </w:t>
      </w:r>
      <w:r w:rsidR="00D53EF5">
        <w:rPr>
          <w:rFonts w:ascii="Calibri" w:eastAsia="MS Mincho" w:hAnsi="Calibri" w:cs="Times New Roman"/>
        </w:rPr>
        <w:t xml:space="preserve">for </w:t>
      </w:r>
      <w:r w:rsidR="00504EEA">
        <w:rPr>
          <w:rFonts w:ascii="Calibri" w:eastAsia="MS Mincho" w:hAnsi="Calibri" w:cs="Times New Roman"/>
        </w:rPr>
        <w:t>Int</w:t>
      </w:r>
      <w:r w:rsidR="00504EEA">
        <w:rPr>
          <w:rFonts w:ascii="Calibri" w:eastAsia="MS Mincho" w:hAnsi="Calibri" w:cs="Times New Roman"/>
        </w:rPr>
        <w:noBreakHyphen/>
      </w:r>
      <w:r w:rsidR="00B86DA9" w:rsidRPr="00B3440B">
        <w:rPr>
          <w:rFonts w:ascii="Calibri" w:eastAsia="MS Mincho" w:hAnsi="Calibri" w:cs="Times New Roman"/>
        </w:rPr>
        <w:t>2</w:t>
      </w:r>
      <w:r w:rsidR="00B86DA9">
        <w:rPr>
          <w:rFonts w:ascii="Calibri" w:eastAsia="MS Mincho" w:hAnsi="Calibri" w:cs="Times New Roman"/>
        </w:rPr>
        <w:t xml:space="preserve"> and high risk</w:t>
      </w:r>
      <w:r w:rsidR="00D53EF5">
        <w:rPr>
          <w:rFonts w:ascii="Calibri" w:eastAsia="MS Mincho" w:hAnsi="Calibri" w:cs="Times New Roman"/>
        </w:rPr>
        <w:t xml:space="preserve"> </w:t>
      </w:r>
      <w:r w:rsidR="00D53EF5" w:rsidRPr="00B3440B">
        <w:rPr>
          <w:rFonts w:ascii="Calibri" w:eastAsia="MS Mincho" w:hAnsi="Calibri" w:cs="Times New Roman"/>
        </w:rPr>
        <w:t>myelofibrosis</w:t>
      </w:r>
      <w:r w:rsidR="00D53EF5">
        <w:rPr>
          <w:rFonts w:ascii="Calibri" w:eastAsia="MS Mincho" w:hAnsi="Calibri" w:cs="Times New Roman"/>
        </w:rPr>
        <w:t>, as this was the most common indication (72% of all prescriptions).</w:t>
      </w:r>
    </w:p>
    <w:p w14:paraId="14A2D791" w14:textId="77777777" w:rsidR="00C30B8F" w:rsidRPr="008B1A2A" w:rsidRDefault="00726725" w:rsidP="004C3356">
      <w:pPr>
        <w:pStyle w:val="Heading3"/>
      </w:pPr>
      <w:r w:rsidRPr="008B1A2A">
        <w:t xml:space="preserve">Length of </w:t>
      </w:r>
      <w:r w:rsidR="008B1A2A" w:rsidRPr="008B1A2A">
        <w:t>t</w:t>
      </w:r>
      <w:r w:rsidRPr="008B1A2A">
        <w:t>reatment</w:t>
      </w:r>
      <w:r w:rsidR="008B1A2A" w:rsidRPr="008B1A2A">
        <w:t xml:space="preserve"> </w:t>
      </w:r>
    </w:p>
    <w:p w14:paraId="46348255" w14:textId="77777777" w:rsidR="008B1A2A" w:rsidRDefault="008B1A2A" w:rsidP="008B1A2A">
      <w:pPr>
        <w:rPr>
          <w:rFonts w:ascii="Calibri" w:eastAsia="MS Mincho" w:hAnsi="Calibri" w:cs="Times New Roman"/>
        </w:rPr>
      </w:pPr>
      <w:r>
        <w:rPr>
          <w:rFonts w:ascii="Calibri" w:eastAsia="MS Mincho" w:hAnsi="Calibri" w:cs="Times New Roman"/>
        </w:rPr>
        <w:t>The duration of treatment analysis used the Kaplan Meier (aka Product-Limit) method to determine the length of treatment for patients on</w:t>
      </w:r>
      <w:r w:rsidR="000B08B8">
        <w:rPr>
          <w:rFonts w:ascii="Calibri" w:eastAsia="MS Mincho" w:hAnsi="Calibri" w:cs="Times New Roman"/>
        </w:rPr>
        <w:t xml:space="preserve"> </w:t>
      </w:r>
      <w:r w:rsidR="00116FE2">
        <w:rPr>
          <w:rFonts w:ascii="Calibri" w:eastAsia="MS Mincho" w:hAnsi="Calibri" w:cs="Times New Roman"/>
        </w:rPr>
        <w:t>ruxolitinib</w:t>
      </w:r>
      <w:r>
        <w:rPr>
          <w:rFonts w:ascii="Calibri" w:eastAsia="MS Mincho" w:hAnsi="Calibri" w:cs="Times New Roman"/>
        </w:rPr>
        <w:t>. T</w:t>
      </w:r>
      <w:r w:rsidRPr="00DE3347">
        <w:rPr>
          <w:rFonts w:ascii="Calibri" w:eastAsia="MS Mincho" w:hAnsi="Calibri" w:cs="Times New Roman"/>
        </w:rPr>
        <w:t xml:space="preserve">wo </w:t>
      </w:r>
      <w:r>
        <w:rPr>
          <w:rFonts w:ascii="Calibri" w:eastAsia="MS Mincho" w:hAnsi="Calibri" w:cs="Times New Roman"/>
        </w:rPr>
        <w:t xml:space="preserve">ways of </w:t>
      </w:r>
      <w:r w:rsidRPr="00DE3347">
        <w:rPr>
          <w:rFonts w:ascii="Calibri" w:eastAsia="MS Mincho" w:hAnsi="Calibri" w:cs="Times New Roman"/>
        </w:rPr>
        <w:t>measur</w:t>
      </w:r>
      <w:r>
        <w:rPr>
          <w:rFonts w:ascii="Calibri" w:eastAsia="MS Mincho" w:hAnsi="Calibri" w:cs="Times New Roman"/>
        </w:rPr>
        <w:t>ing length of treatment were undertaken</w:t>
      </w:r>
      <w:r w:rsidRPr="00DE3347">
        <w:rPr>
          <w:rFonts w:ascii="Calibri" w:eastAsia="MS Mincho" w:hAnsi="Calibri" w:cs="Times New Roman"/>
        </w:rPr>
        <w:t>. One exclude</w:t>
      </w:r>
      <w:r>
        <w:rPr>
          <w:rFonts w:ascii="Calibri" w:eastAsia="MS Mincho" w:hAnsi="Calibri" w:cs="Times New Roman"/>
        </w:rPr>
        <w:t>d</w:t>
      </w:r>
      <w:r w:rsidRPr="00DE3347">
        <w:rPr>
          <w:rFonts w:ascii="Calibri" w:eastAsia="MS Mincho" w:hAnsi="Calibri" w:cs="Times New Roman"/>
        </w:rPr>
        <w:t xml:space="preserve"> any breaks in treatment and the other d</w:t>
      </w:r>
      <w:r>
        <w:rPr>
          <w:rFonts w:ascii="Calibri" w:eastAsia="MS Mincho" w:hAnsi="Calibri" w:cs="Times New Roman"/>
        </w:rPr>
        <w:t>id</w:t>
      </w:r>
      <w:r w:rsidRPr="00DE3347">
        <w:rPr>
          <w:rFonts w:ascii="Calibri" w:eastAsia="MS Mincho" w:hAnsi="Calibri" w:cs="Times New Roman"/>
        </w:rPr>
        <w:t xml:space="preserve"> not.</w:t>
      </w:r>
      <w:r>
        <w:rPr>
          <w:rFonts w:ascii="Calibri" w:eastAsia="MS Mincho" w:hAnsi="Calibri" w:cs="Times New Roman"/>
        </w:rPr>
        <w:t xml:space="preserve"> A break in treatment was defined as a gap of more than 3 times the median time to resupply between supplies, which was an estimated break in treatment of at least 2 times the median time to resupply. A patient was deemed to be continuing treatment (classified as censored in the Product-Limit method) at the end of the dat</w:t>
      </w:r>
      <w:r w:rsidR="00817E3C">
        <w:rPr>
          <w:rFonts w:ascii="Calibri" w:eastAsia="MS Mincho" w:hAnsi="Calibri" w:cs="Times New Roman"/>
        </w:rPr>
        <w:t>a period (i.e. the end of April </w:t>
      </w:r>
      <w:r>
        <w:rPr>
          <w:rFonts w:ascii="Calibri" w:eastAsia="MS Mincho" w:hAnsi="Calibri" w:cs="Times New Roman"/>
        </w:rPr>
        <w:t xml:space="preserve">2018) if their last prescription was within 3 times the median time to resupply of this end date. Otherwise the patient was deemed to have ceased treatment with the treatment coverage end date being the supply date of their last prescription plus a median time to resupply or the end of the data period, whichever was later. </w:t>
      </w:r>
    </w:p>
    <w:p w14:paraId="6778DA9B" w14:textId="77777777" w:rsidR="00DB025A" w:rsidRDefault="00DB025A" w:rsidP="00DB025A">
      <w:pPr>
        <w:rPr>
          <w:rFonts w:ascii="Calibri" w:eastAsia="MS Mincho" w:hAnsi="Calibri" w:cs="Times New Roman"/>
        </w:rPr>
      </w:pPr>
      <w:r w:rsidRPr="0024048D">
        <w:rPr>
          <w:rFonts w:ascii="Calibri" w:eastAsia="MS Mincho" w:hAnsi="Calibri" w:cs="Times New Roman"/>
        </w:rPr>
        <w:t>Only patients initiating from February 2016 (date of PBS listing) to the end of January 2018 (i</w:t>
      </w:r>
      <w:r w:rsidR="00817E3C">
        <w:rPr>
          <w:rFonts w:ascii="Calibri" w:eastAsia="MS Mincho" w:hAnsi="Calibri" w:cs="Times New Roman"/>
        </w:rPr>
        <w:t>.</w:t>
      </w:r>
      <w:r w:rsidRPr="0024048D">
        <w:rPr>
          <w:rFonts w:ascii="Calibri" w:eastAsia="MS Mincho" w:hAnsi="Calibri" w:cs="Times New Roman"/>
        </w:rPr>
        <w:t>e. 24 months) were included in the analysis. Prescriptions for these patients were followed up to the end of April 2018 (i</w:t>
      </w:r>
      <w:r w:rsidR="00817E3C">
        <w:rPr>
          <w:rFonts w:ascii="Calibri" w:eastAsia="MS Mincho" w:hAnsi="Calibri" w:cs="Times New Roman"/>
        </w:rPr>
        <w:t>.</w:t>
      </w:r>
      <w:r w:rsidRPr="0024048D">
        <w:rPr>
          <w:rFonts w:ascii="Calibri" w:eastAsia="MS Mincho" w:hAnsi="Calibri" w:cs="Times New Roman"/>
        </w:rPr>
        <w:t>e. follow up from 3 to 27 months). Patients initiating from February to the end of April 2018 were excluded as they were considered to have insufficient follow</w:t>
      </w:r>
      <w:r w:rsidR="00495EE0" w:rsidRPr="0024048D">
        <w:rPr>
          <w:rFonts w:ascii="Calibri" w:eastAsia="MS Mincho" w:hAnsi="Calibri" w:cs="Times New Roman"/>
        </w:rPr>
        <w:t xml:space="preserve"> up</w:t>
      </w:r>
      <w:r w:rsidRPr="0024048D">
        <w:rPr>
          <w:rFonts w:ascii="Calibri" w:eastAsia="MS Mincho" w:hAnsi="Calibri" w:cs="Times New Roman"/>
        </w:rPr>
        <w:t>.</w:t>
      </w:r>
    </w:p>
    <w:p w14:paraId="22676372" w14:textId="77777777" w:rsidR="00B02A75" w:rsidRDefault="00B02A75">
      <w:pPr>
        <w:spacing w:line="276" w:lineRule="auto"/>
        <w:rPr>
          <w:b/>
          <w:i/>
          <w:szCs w:val="28"/>
        </w:rPr>
      </w:pPr>
      <w:r>
        <w:br w:type="page"/>
      </w:r>
    </w:p>
    <w:p w14:paraId="735EDEE8" w14:textId="77777777" w:rsidR="008B1A2A" w:rsidRPr="008B1A2A" w:rsidRDefault="008B1A2A" w:rsidP="004C3356">
      <w:pPr>
        <w:pStyle w:val="Heading3"/>
      </w:pPr>
      <w:r w:rsidRPr="008B1A2A">
        <w:lastRenderedPageBreak/>
        <w:t>Dose distribution</w:t>
      </w:r>
    </w:p>
    <w:p w14:paraId="199A69F6" w14:textId="77777777" w:rsidR="008B1A2A" w:rsidRDefault="008B1A2A" w:rsidP="008B1A2A">
      <w:pPr>
        <w:rPr>
          <w:rFonts w:ascii="Calibri" w:eastAsia="MS Mincho" w:hAnsi="Calibri" w:cs="Times New Roman"/>
        </w:rPr>
      </w:pPr>
      <w:r w:rsidRPr="008B1A2A">
        <w:rPr>
          <w:rFonts w:ascii="Calibri" w:eastAsia="MS Mincho" w:hAnsi="Calibri" w:cs="Times New Roman"/>
        </w:rPr>
        <w:t xml:space="preserve">The </w:t>
      </w:r>
      <w:r w:rsidR="0024048D">
        <w:rPr>
          <w:rFonts w:ascii="Calibri" w:eastAsia="MS Mincho" w:hAnsi="Calibri" w:cs="Times New Roman"/>
        </w:rPr>
        <w:t xml:space="preserve">patient average </w:t>
      </w:r>
      <w:r>
        <w:rPr>
          <w:rFonts w:ascii="Calibri" w:eastAsia="MS Mincho" w:hAnsi="Calibri" w:cs="Times New Roman"/>
        </w:rPr>
        <w:t>dose distribution analysis relied on the results of the length of treatment (excluding breaks) analysis. A patient average dose across time was calculated a</w:t>
      </w:r>
      <w:r w:rsidR="00E622AE">
        <w:rPr>
          <w:rFonts w:ascii="Calibri" w:eastAsia="MS Mincho" w:hAnsi="Calibri" w:cs="Times New Roman"/>
        </w:rPr>
        <w:t>s</w:t>
      </w:r>
      <w:r>
        <w:rPr>
          <w:rFonts w:ascii="Calibri" w:eastAsia="MS Mincho" w:hAnsi="Calibri" w:cs="Times New Roman"/>
        </w:rPr>
        <w:t xml:space="preserve"> the total mass of drug supplied divided by the number of day</w:t>
      </w:r>
      <w:r w:rsidR="00E622AE">
        <w:rPr>
          <w:rFonts w:ascii="Calibri" w:eastAsia="MS Mincho" w:hAnsi="Calibri" w:cs="Times New Roman"/>
        </w:rPr>
        <w:t>s</w:t>
      </w:r>
      <w:r>
        <w:rPr>
          <w:rFonts w:ascii="Calibri" w:eastAsia="MS Mincho" w:hAnsi="Calibri" w:cs="Times New Roman"/>
        </w:rPr>
        <w:t xml:space="preserve"> on treatment (excluding breaks).</w:t>
      </w:r>
      <w:r w:rsidR="00DB025A">
        <w:rPr>
          <w:rFonts w:ascii="Calibri" w:eastAsia="MS Mincho" w:hAnsi="Calibri" w:cs="Times New Roman"/>
        </w:rPr>
        <w:t xml:space="preserve"> Only patients included in the length of treatment analysis were included in the </w:t>
      </w:r>
      <w:r w:rsidR="00E622AE">
        <w:rPr>
          <w:rFonts w:ascii="Calibri" w:eastAsia="MS Mincho" w:hAnsi="Calibri" w:cs="Times New Roman"/>
        </w:rPr>
        <w:t xml:space="preserve">average </w:t>
      </w:r>
      <w:r w:rsidR="00DB025A">
        <w:rPr>
          <w:rFonts w:ascii="Calibri" w:eastAsia="MS Mincho" w:hAnsi="Calibri" w:cs="Times New Roman"/>
        </w:rPr>
        <w:t>dose distribution analysis.</w:t>
      </w:r>
    </w:p>
    <w:p w14:paraId="53DFC9A0" w14:textId="77777777" w:rsidR="00DE7D1F" w:rsidRDefault="003146BD" w:rsidP="008B1A2A">
      <w:r>
        <w:rPr>
          <w:rFonts w:ascii="Calibri" w:eastAsia="MS Mincho" w:hAnsi="Calibri" w:cs="Times New Roman"/>
        </w:rPr>
        <w:t>This</w:t>
      </w:r>
      <w:r w:rsidR="00DE7D1F">
        <w:rPr>
          <w:rFonts w:ascii="Calibri" w:eastAsia="MS Mincho" w:hAnsi="Calibri" w:cs="Times New Roman"/>
        </w:rPr>
        <w:t xml:space="preserve"> measure of dose </w:t>
      </w:r>
      <w:r>
        <w:rPr>
          <w:rFonts w:ascii="Calibri" w:eastAsia="MS Mincho" w:hAnsi="Calibri" w:cs="Times New Roman"/>
        </w:rPr>
        <w:t>(i</w:t>
      </w:r>
      <w:r w:rsidR="00817E3C">
        <w:rPr>
          <w:rFonts w:ascii="Calibri" w:eastAsia="MS Mincho" w:hAnsi="Calibri" w:cs="Times New Roman"/>
        </w:rPr>
        <w:t>.</w:t>
      </w:r>
      <w:r>
        <w:rPr>
          <w:rFonts w:ascii="Calibri" w:eastAsia="MS Mincho" w:hAnsi="Calibri" w:cs="Times New Roman"/>
        </w:rPr>
        <w:t xml:space="preserve">e. </w:t>
      </w:r>
      <w:r w:rsidR="002E7916">
        <w:rPr>
          <w:rFonts w:ascii="Calibri" w:eastAsia="MS Mincho" w:hAnsi="Calibri" w:cs="Times New Roman"/>
        </w:rPr>
        <w:t xml:space="preserve">the </w:t>
      </w:r>
      <w:r>
        <w:rPr>
          <w:rFonts w:ascii="Calibri" w:eastAsia="MS Mincho" w:hAnsi="Calibri" w:cs="Times New Roman"/>
        </w:rPr>
        <w:t xml:space="preserve">average across the patients estimated time on treatment) </w:t>
      </w:r>
      <w:r w:rsidR="00DE7D1F">
        <w:rPr>
          <w:rFonts w:ascii="Calibri" w:eastAsia="MS Mincho" w:hAnsi="Calibri" w:cs="Times New Roman"/>
        </w:rPr>
        <w:t xml:space="preserve">is </w:t>
      </w:r>
      <w:r>
        <w:rPr>
          <w:rFonts w:ascii="Calibri" w:eastAsia="MS Mincho" w:hAnsi="Calibri" w:cs="Times New Roman"/>
        </w:rPr>
        <w:t xml:space="preserve">conceptually very similar </w:t>
      </w:r>
      <w:r w:rsidR="00DE7D1F">
        <w:rPr>
          <w:rFonts w:ascii="Calibri" w:eastAsia="MS Mincho" w:hAnsi="Calibri" w:cs="Times New Roman"/>
        </w:rPr>
        <w:t>to the measure of dose in the estimates which wa</w:t>
      </w:r>
      <w:r w:rsidR="00DE7D1F">
        <w:t>s based on days of exposure at each dose across the whole 144 weeks of the COMFORT I trial.</w:t>
      </w:r>
    </w:p>
    <w:p w14:paraId="4B46CF00" w14:textId="77777777" w:rsidR="005A3F4B" w:rsidRPr="004C3356" w:rsidRDefault="005A3F4B" w:rsidP="004C3356">
      <w:pPr>
        <w:pStyle w:val="Heading1"/>
      </w:pPr>
      <w:r w:rsidRPr="004C3356">
        <w:t>Results</w:t>
      </w:r>
    </w:p>
    <w:p w14:paraId="767FFE9A" w14:textId="77777777" w:rsidR="004C3356" w:rsidRDefault="004C3356" w:rsidP="004C3356">
      <w:pPr>
        <w:pStyle w:val="Heading2"/>
      </w:pPr>
      <w:r>
        <w:t>Analysis of drug utilisation</w:t>
      </w:r>
    </w:p>
    <w:p w14:paraId="27573E5A" w14:textId="77777777" w:rsidR="00495EE0" w:rsidRPr="00382B11" w:rsidRDefault="00495EE0" w:rsidP="00382B11">
      <w:pPr>
        <w:pStyle w:val="Heading3"/>
      </w:pPr>
      <w:r w:rsidRPr="00382B11">
        <w:t>Number of patients treated</w:t>
      </w:r>
    </w:p>
    <w:p w14:paraId="58FFC575" w14:textId="77777777" w:rsidR="00495EE0" w:rsidRDefault="00B30D83" w:rsidP="00495EE0">
      <w:pPr>
        <w:spacing w:after="0"/>
        <w:rPr>
          <w:rFonts w:ascii="Calibri" w:eastAsia="MS Mincho" w:hAnsi="Calibri" w:cs="Times New Roman"/>
          <w:b/>
        </w:rPr>
      </w:pPr>
      <w:r>
        <w:rPr>
          <w:noProof/>
        </w:rPr>
        <w:drawing>
          <wp:inline distT="0" distB="0" distL="0" distR="0" wp14:anchorId="56058526" wp14:editId="2CD1DAFF">
            <wp:extent cx="5687695" cy="3710978"/>
            <wp:effectExtent l="0" t="0" r="27305" b="22860"/>
            <wp:docPr id="3" name="Chart 3" title="Figure 1: Patients initiating (by indication) and prevalent to PBS ruxolitinib"/>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C7D2601" w14:textId="77777777" w:rsidR="002B4BA9" w:rsidRDefault="00495EE0" w:rsidP="004C3356">
      <w:pPr>
        <w:spacing w:before="60" w:after="60"/>
        <w:rPr>
          <w:rStyle w:val="FigurecaptionChar"/>
        </w:rPr>
      </w:pPr>
      <w:r w:rsidRPr="004C3356">
        <w:rPr>
          <w:rStyle w:val="FiguretitleChar"/>
        </w:rPr>
        <w:t xml:space="preserve">Figure </w:t>
      </w:r>
      <w:r w:rsidR="0065133B" w:rsidRPr="004C3356">
        <w:rPr>
          <w:rStyle w:val="FiguretitleChar"/>
        </w:rPr>
        <w:t>1</w:t>
      </w:r>
      <w:r w:rsidRPr="004C3356">
        <w:rPr>
          <w:rStyle w:val="FiguretitleChar"/>
        </w:rPr>
        <w:t xml:space="preserve">: Patients initiating </w:t>
      </w:r>
      <w:r w:rsidR="00B30D83" w:rsidRPr="004C3356">
        <w:rPr>
          <w:rStyle w:val="FiguretitleChar"/>
        </w:rPr>
        <w:t xml:space="preserve">(by indication) </w:t>
      </w:r>
      <w:r w:rsidRPr="004C3356">
        <w:rPr>
          <w:rStyle w:val="FiguretitleChar"/>
        </w:rPr>
        <w:t>and prevalent to PBS ruxolitinib</w:t>
      </w:r>
      <w:r>
        <w:rPr>
          <w:rFonts w:ascii="Calibri" w:eastAsia="MS Mincho" w:hAnsi="Calibri" w:cs="Times New Roman"/>
          <w:b/>
        </w:rPr>
        <w:br/>
      </w:r>
      <w:r w:rsidR="00B30D83" w:rsidRPr="004C3356">
        <w:rPr>
          <w:rStyle w:val="FigurecaptionChar"/>
        </w:rPr>
        <w:t xml:space="preserve">Sources: DHS prescription database (accessed 2 July 2018) and DHS authority approvals database. </w:t>
      </w:r>
    </w:p>
    <w:p w14:paraId="6746ED46" w14:textId="159050EC" w:rsidR="00495EE0" w:rsidRPr="004C3356" w:rsidRDefault="00B30D83" w:rsidP="004C3356">
      <w:pPr>
        <w:spacing w:before="60" w:after="60"/>
        <w:rPr>
          <w:rStyle w:val="FigurecaptionChar"/>
        </w:rPr>
      </w:pPr>
      <w:r w:rsidRPr="004C3356">
        <w:rPr>
          <w:rStyle w:val="FigurecaptionChar"/>
        </w:rPr>
        <w:t>Note: where the patient count is between 1 and 5 (inclusive), the data point has been set to 5 to protect confidentiality. Indications are that of the first prescription for a patient.</w:t>
      </w:r>
    </w:p>
    <w:p w14:paraId="2709731E" w14:textId="77777777" w:rsidR="004C3356" w:rsidRDefault="004C3356" w:rsidP="004C3356">
      <w:pPr>
        <w:rPr>
          <w:rFonts w:ascii="Calibri" w:eastAsia="MS Mincho" w:hAnsi="Calibri" w:cs="Times New Roman"/>
        </w:rPr>
      </w:pPr>
    </w:p>
    <w:p w14:paraId="309213D3" w14:textId="77777777" w:rsidR="00B02A75" w:rsidRDefault="00B02A75">
      <w:pPr>
        <w:spacing w:line="276" w:lineRule="auto"/>
        <w:rPr>
          <w:rFonts w:ascii="Calibri" w:eastAsia="MS Mincho" w:hAnsi="Calibri" w:cs="Times New Roman"/>
        </w:rPr>
      </w:pPr>
      <w:r>
        <w:rPr>
          <w:rFonts w:ascii="Calibri" w:eastAsia="MS Mincho" w:hAnsi="Calibri" w:cs="Times New Roman"/>
        </w:rPr>
        <w:br w:type="page"/>
      </w:r>
    </w:p>
    <w:p w14:paraId="6F0F5BE4" w14:textId="77777777" w:rsidR="009217A6" w:rsidRDefault="00F7591A" w:rsidP="004C3356">
      <w:pPr>
        <w:rPr>
          <w:rFonts w:ascii="Calibri" w:eastAsia="MS Mincho" w:hAnsi="Calibri" w:cs="Times New Roman"/>
          <w:b/>
          <w:i/>
          <w:szCs w:val="28"/>
        </w:rPr>
      </w:pPr>
      <w:r>
        <w:rPr>
          <w:rFonts w:ascii="Calibri" w:eastAsia="MS Mincho" w:hAnsi="Calibri" w:cs="Times New Roman"/>
        </w:rPr>
        <w:lastRenderedPageBreak/>
        <w:t xml:space="preserve">In the first few months after listing 315 grandfathered patients initiated PBS treatment as patients transitioned from the Sponsors’ compassionate use program. </w:t>
      </w:r>
      <w:r w:rsidR="00B30D83">
        <w:rPr>
          <w:rFonts w:ascii="Calibri" w:eastAsia="MS Mincho" w:hAnsi="Calibri" w:cs="Times New Roman"/>
        </w:rPr>
        <w:t xml:space="preserve">It </w:t>
      </w:r>
      <w:r w:rsidR="007B2DE7">
        <w:rPr>
          <w:rFonts w:ascii="Calibri" w:eastAsia="MS Mincho" w:hAnsi="Calibri" w:cs="Times New Roman"/>
        </w:rPr>
        <w:t>is</w:t>
      </w:r>
      <w:r w:rsidR="00B30D83">
        <w:rPr>
          <w:rFonts w:ascii="Calibri" w:eastAsia="MS Mincho" w:hAnsi="Calibri" w:cs="Times New Roman"/>
        </w:rPr>
        <w:t xml:space="preserve"> reasonable to assume that </w:t>
      </w:r>
      <w:r w:rsidR="007B2DE7">
        <w:rPr>
          <w:rFonts w:ascii="Calibri" w:eastAsia="MS Mincho" w:hAnsi="Calibri" w:cs="Times New Roman"/>
        </w:rPr>
        <w:t xml:space="preserve">most </w:t>
      </w:r>
      <w:r w:rsidR="00B30D83">
        <w:rPr>
          <w:rFonts w:ascii="Calibri" w:eastAsia="MS Mincho" w:hAnsi="Calibri" w:cs="Times New Roman"/>
        </w:rPr>
        <w:t xml:space="preserve">grandfathered patients have </w:t>
      </w:r>
      <w:r w:rsidR="001220FB">
        <w:rPr>
          <w:rFonts w:ascii="Calibri" w:eastAsia="MS Mincho" w:hAnsi="Calibri" w:cs="Times New Roman"/>
        </w:rPr>
        <w:t>Int</w:t>
      </w:r>
      <w:r w:rsidR="00B30D83">
        <w:rPr>
          <w:rFonts w:ascii="Calibri" w:eastAsia="MS Mincho" w:hAnsi="Calibri" w:cs="Times New Roman"/>
        </w:rPr>
        <w:t>-2 or high risk myelofibrosis as the Sponsor’s compassionate use program enrolled patients in accordance with the COMFORT</w:t>
      </w:r>
      <w:r w:rsidR="007B2DE7">
        <w:rPr>
          <w:rFonts w:ascii="Calibri" w:eastAsia="MS Mincho" w:hAnsi="Calibri" w:cs="Times New Roman"/>
        </w:rPr>
        <w:noBreakHyphen/>
      </w:r>
      <w:r w:rsidR="00B30D83">
        <w:rPr>
          <w:rFonts w:ascii="Calibri" w:eastAsia="MS Mincho" w:hAnsi="Calibri" w:cs="Times New Roman"/>
        </w:rPr>
        <w:t>2 trial eligibility criteria</w:t>
      </w:r>
      <w:r w:rsidR="00E676DA">
        <w:rPr>
          <w:rFonts w:ascii="Calibri" w:eastAsia="MS Mincho" w:hAnsi="Calibri" w:cs="Times New Roman"/>
        </w:rPr>
        <w:t>.</w:t>
      </w:r>
      <w:r w:rsidR="00E676DA">
        <w:rPr>
          <w:rStyle w:val="FootnoteReference"/>
          <w:rFonts w:ascii="Calibri" w:eastAsia="MS Mincho" w:hAnsi="Calibri" w:cs="Times New Roman"/>
        </w:rPr>
        <w:footnoteReference w:id="10"/>
      </w:r>
      <w:r>
        <w:rPr>
          <w:rFonts w:ascii="Calibri" w:eastAsia="MS Mincho" w:hAnsi="Calibri" w:cs="Times New Roman"/>
        </w:rPr>
        <w:t xml:space="preserve"> The number of new </w:t>
      </w:r>
      <w:r w:rsidR="00920BB4">
        <w:rPr>
          <w:rFonts w:ascii="Calibri" w:eastAsia="MS Mincho" w:hAnsi="Calibri" w:cs="Times New Roman"/>
        </w:rPr>
        <w:t>Int</w:t>
      </w:r>
      <w:r w:rsidR="00920BB4">
        <w:rPr>
          <w:rFonts w:ascii="Calibri" w:eastAsia="MS Mincho" w:hAnsi="Calibri" w:cs="Times New Roman"/>
        </w:rPr>
        <w:noBreakHyphen/>
      </w:r>
      <w:r>
        <w:rPr>
          <w:rFonts w:ascii="Calibri" w:eastAsia="MS Mincho" w:hAnsi="Calibri" w:cs="Times New Roman"/>
        </w:rPr>
        <w:t xml:space="preserve">2 or high risk patients commencing treatment </w:t>
      </w:r>
      <w:r w:rsidR="008B5F79">
        <w:rPr>
          <w:rFonts w:ascii="Calibri" w:eastAsia="MS Mincho" w:hAnsi="Calibri" w:cs="Times New Roman"/>
        </w:rPr>
        <w:t xml:space="preserve">with ruxolitinib </w:t>
      </w:r>
      <w:r>
        <w:rPr>
          <w:rFonts w:ascii="Calibri" w:eastAsia="MS Mincho" w:hAnsi="Calibri" w:cs="Times New Roman"/>
        </w:rPr>
        <w:t xml:space="preserve">stabilised to about </w:t>
      </w:r>
      <w:r w:rsidR="008B5F79">
        <w:rPr>
          <w:rFonts w:ascii="Calibri" w:eastAsia="MS Mincho" w:hAnsi="Calibri" w:cs="Times New Roman"/>
        </w:rPr>
        <w:t>67 patient</w:t>
      </w:r>
      <w:r w:rsidR="00596318">
        <w:rPr>
          <w:rFonts w:ascii="Calibri" w:eastAsia="MS Mincho" w:hAnsi="Calibri" w:cs="Times New Roman"/>
        </w:rPr>
        <w:t>s</w:t>
      </w:r>
      <w:r w:rsidR="008B5F79">
        <w:rPr>
          <w:rFonts w:ascii="Calibri" w:eastAsia="MS Mincho" w:hAnsi="Calibri" w:cs="Times New Roman"/>
        </w:rPr>
        <w:t xml:space="preserve"> per quarter within 6 months of listing. </w:t>
      </w:r>
      <w:r w:rsidRPr="00641615">
        <w:rPr>
          <w:rFonts w:ascii="Calibri" w:eastAsia="MS Mincho" w:hAnsi="Calibri" w:cs="Times New Roman"/>
        </w:rPr>
        <w:t xml:space="preserve">The number of </w:t>
      </w:r>
      <w:r w:rsidR="00920BB4">
        <w:rPr>
          <w:rFonts w:ascii="Calibri" w:eastAsia="MS Mincho" w:hAnsi="Calibri" w:cs="Times New Roman"/>
        </w:rPr>
        <w:t>Int</w:t>
      </w:r>
      <w:r w:rsidR="00920BB4">
        <w:rPr>
          <w:rFonts w:ascii="Calibri" w:eastAsia="MS Mincho" w:hAnsi="Calibri" w:cs="Times New Roman"/>
        </w:rPr>
        <w:noBreakHyphen/>
      </w:r>
      <w:r>
        <w:rPr>
          <w:rFonts w:ascii="Calibri" w:eastAsia="MS Mincho" w:hAnsi="Calibri" w:cs="Times New Roman"/>
        </w:rPr>
        <w:t xml:space="preserve">1 risk </w:t>
      </w:r>
      <w:r w:rsidRPr="00641615">
        <w:rPr>
          <w:rFonts w:ascii="Calibri" w:eastAsia="MS Mincho" w:hAnsi="Calibri" w:cs="Times New Roman"/>
        </w:rPr>
        <w:t>patient</w:t>
      </w:r>
      <w:r>
        <w:rPr>
          <w:rFonts w:ascii="Calibri" w:eastAsia="MS Mincho" w:hAnsi="Calibri" w:cs="Times New Roman"/>
        </w:rPr>
        <w:t>s</w:t>
      </w:r>
      <w:r w:rsidRPr="00641615">
        <w:rPr>
          <w:rFonts w:ascii="Calibri" w:eastAsia="MS Mincho" w:hAnsi="Calibri" w:cs="Times New Roman"/>
        </w:rPr>
        <w:t xml:space="preserve"> initiating</w:t>
      </w:r>
      <w:r>
        <w:rPr>
          <w:rFonts w:ascii="Calibri" w:eastAsia="MS Mincho" w:hAnsi="Calibri" w:cs="Times New Roman"/>
        </w:rPr>
        <w:t xml:space="preserve"> </w:t>
      </w:r>
      <w:r w:rsidR="008B5F79">
        <w:rPr>
          <w:rFonts w:ascii="Calibri" w:eastAsia="MS Mincho" w:hAnsi="Calibri" w:cs="Times New Roman"/>
        </w:rPr>
        <w:t>ruxolitinib</w:t>
      </w:r>
      <w:r>
        <w:rPr>
          <w:rFonts w:ascii="Calibri" w:eastAsia="MS Mincho" w:hAnsi="Calibri" w:cs="Times New Roman"/>
        </w:rPr>
        <w:t xml:space="preserve"> was approximately half that of </w:t>
      </w:r>
      <w:r w:rsidR="00920BB4">
        <w:rPr>
          <w:rFonts w:ascii="Calibri" w:eastAsia="MS Mincho" w:hAnsi="Calibri" w:cs="Times New Roman"/>
        </w:rPr>
        <w:t>Int</w:t>
      </w:r>
      <w:r w:rsidR="00920BB4">
        <w:rPr>
          <w:rFonts w:ascii="Calibri" w:eastAsia="MS Mincho" w:hAnsi="Calibri" w:cs="Times New Roman"/>
        </w:rPr>
        <w:noBreakHyphen/>
      </w:r>
      <w:r w:rsidR="00817E3C">
        <w:rPr>
          <w:rFonts w:ascii="Calibri" w:eastAsia="MS Mincho" w:hAnsi="Calibri" w:cs="Times New Roman"/>
        </w:rPr>
        <w:t>2 and</w:t>
      </w:r>
      <w:r>
        <w:rPr>
          <w:rFonts w:ascii="Calibri" w:eastAsia="MS Mincho" w:hAnsi="Calibri" w:cs="Times New Roman"/>
        </w:rPr>
        <w:t xml:space="preserve"> high risk </w:t>
      </w:r>
      <w:r w:rsidRPr="00641615">
        <w:rPr>
          <w:rFonts w:ascii="Calibri" w:eastAsia="MS Mincho" w:hAnsi="Calibri" w:cs="Times New Roman"/>
        </w:rPr>
        <w:t>patient</w:t>
      </w:r>
      <w:r>
        <w:rPr>
          <w:rFonts w:ascii="Calibri" w:eastAsia="MS Mincho" w:hAnsi="Calibri" w:cs="Times New Roman"/>
        </w:rPr>
        <w:t>s.</w:t>
      </w:r>
    </w:p>
    <w:p w14:paraId="3B453CA7" w14:textId="77777777" w:rsidR="005A3F4B" w:rsidRDefault="005A3F4B" w:rsidP="00382B11">
      <w:pPr>
        <w:pStyle w:val="Heading3"/>
      </w:pPr>
      <w:r>
        <w:t xml:space="preserve">Number of </w:t>
      </w:r>
      <w:r w:rsidRPr="00382B11">
        <w:t>prescriptions</w:t>
      </w:r>
    </w:p>
    <w:p w14:paraId="6A34B233" w14:textId="77777777" w:rsidR="005A3F4B" w:rsidRDefault="005A3F4B" w:rsidP="005A3F4B">
      <w:pPr>
        <w:rPr>
          <w:rFonts w:ascii="Calibri" w:eastAsia="MS Mincho" w:hAnsi="Calibri" w:cs="Times New Roman"/>
          <w:b/>
        </w:rPr>
      </w:pPr>
      <w:r w:rsidRPr="00CF1434">
        <w:rPr>
          <w:rFonts w:ascii="Calibri" w:eastAsia="MS Mincho" w:hAnsi="Calibri" w:cs="Times New Roman"/>
        </w:rPr>
        <w:t xml:space="preserve">Figure </w:t>
      </w:r>
      <w:r w:rsidR="0065133B">
        <w:rPr>
          <w:rFonts w:ascii="Calibri" w:eastAsia="MS Mincho" w:hAnsi="Calibri" w:cs="Times New Roman"/>
        </w:rPr>
        <w:t>2</w:t>
      </w:r>
      <w:r w:rsidRPr="00CF1434">
        <w:rPr>
          <w:rFonts w:ascii="Calibri" w:eastAsia="MS Mincho" w:hAnsi="Calibri" w:cs="Times New Roman"/>
        </w:rPr>
        <w:t xml:space="preserve"> shows the utilisation of </w:t>
      </w:r>
      <w:r>
        <w:rPr>
          <w:rFonts w:ascii="Calibri" w:eastAsia="MS Mincho" w:hAnsi="Calibri" w:cs="Times New Roman"/>
        </w:rPr>
        <w:t xml:space="preserve">PBS </w:t>
      </w:r>
      <w:r w:rsidR="009B4838">
        <w:rPr>
          <w:rFonts w:ascii="Calibri" w:eastAsia="MS Mincho" w:hAnsi="Calibri" w:cs="Times New Roman"/>
        </w:rPr>
        <w:t>prescriptions</w:t>
      </w:r>
      <w:r>
        <w:rPr>
          <w:rFonts w:ascii="Calibri" w:eastAsia="MS Mincho" w:hAnsi="Calibri" w:cs="Times New Roman"/>
        </w:rPr>
        <w:t xml:space="preserve"> for ruxolitinib.</w:t>
      </w:r>
    </w:p>
    <w:p w14:paraId="02A53F13" w14:textId="77777777" w:rsidR="001E3A3D" w:rsidRDefault="001E3A3D" w:rsidP="005A3F4B">
      <w:pPr>
        <w:spacing w:after="0"/>
        <w:rPr>
          <w:noProof/>
        </w:rPr>
      </w:pPr>
      <w:r>
        <w:rPr>
          <w:noProof/>
        </w:rPr>
        <w:drawing>
          <wp:inline distT="0" distB="0" distL="0" distR="0" wp14:anchorId="09CB3A76" wp14:editId="548E81D4">
            <wp:extent cx="5687695" cy="3710978"/>
            <wp:effectExtent l="0" t="0" r="27305" b="22860"/>
            <wp:docPr id="4" name="Chart 4" title="Figure 2: PBS prescriptions for ruxolitinib"/>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87168A3" w14:textId="77777777" w:rsidR="005A3F4B" w:rsidRPr="004C3356" w:rsidRDefault="005A3F4B" w:rsidP="004C3356">
      <w:pPr>
        <w:pStyle w:val="Figuretitle"/>
      </w:pPr>
      <w:r w:rsidRPr="004C3356">
        <w:t xml:space="preserve">Figure </w:t>
      </w:r>
      <w:r w:rsidR="0065133B" w:rsidRPr="004C3356">
        <w:t>2</w:t>
      </w:r>
      <w:r w:rsidRPr="004C3356">
        <w:t xml:space="preserve">: PBS </w:t>
      </w:r>
      <w:r w:rsidR="00D846E0" w:rsidRPr="004C3356">
        <w:t>prescriptions</w:t>
      </w:r>
      <w:r w:rsidRPr="004C3356">
        <w:t xml:space="preserve"> for ruxolitinib</w:t>
      </w:r>
    </w:p>
    <w:p w14:paraId="51C7F98D" w14:textId="77777777" w:rsidR="005A3F4B" w:rsidRDefault="005A3F4B" w:rsidP="004C3356">
      <w:pPr>
        <w:pStyle w:val="Figurecaption"/>
      </w:pPr>
      <w:r>
        <w:t>Source:</w:t>
      </w:r>
      <w:r w:rsidRPr="00AB4293">
        <w:t xml:space="preserve"> </w:t>
      </w:r>
      <w:r>
        <w:t>D</w:t>
      </w:r>
      <w:r w:rsidRPr="00B87CD5">
        <w:t xml:space="preserve">HS </w:t>
      </w:r>
      <w:r>
        <w:t xml:space="preserve">prescription </w:t>
      </w:r>
      <w:r w:rsidRPr="00B87CD5">
        <w:t>database</w:t>
      </w:r>
      <w:r>
        <w:t xml:space="preserve"> (</w:t>
      </w:r>
      <w:r w:rsidRPr="00B87CD5">
        <w:t xml:space="preserve">accessed </w:t>
      </w:r>
      <w:r>
        <w:t xml:space="preserve">2 July </w:t>
      </w:r>
      <w:r w:rsidRPr="00B87CD5">
        <w:t>201</w:t>
      </w:r>
      <w:r>
        <w:t>8)</w:t>
      </w:r>
      <w:r w:rsidR="001E3A3D">
        <w:t>. Note: ruxolitinib was listed on 1 February 2016 so 2016 Q1 only contains two months of data.</w:t>
      </w:r>
    </w:p>
    <w:p w14:paraId="7FBD79E0" w14:textId="77777777" w:rsidR="004C3356" w:rsidRDefault="004C3356" w:rsidP="001220FB">
      <w:pPr>
        <w:rPr>
          <w:rFonts w:ascii="Calibri" w:eastAsia="MS Mincho" w:hAnsi="Calibri" w:cs="Times New Roman"/>
        </w:rPr>
      </w:pPr>
    </w:p>
    <w:p w14:paraId="22F9768B" w14:textId="77777777" w:rsidR="005A3F4B" w:rsidRDefault="009B4838" w:rsidP="001220FB">
      <w:pPr>
        <w:rPr>
          <w:rFonts w:ascii="Calibri" w:eastAsia="MS Mincho" w:hAnsi="Calibri" w:cs="Times New Roman"/>
        </w:rPr>
      </w:pPr>
      <w:r>
        <w:rPr>
          <w:rFonts w:ascii="Calibri" w:eastAsia="MS Mincho" w:hAnsi="Calibri" w:cs="Times New Roman"/>
        </w:rPr>
        <w:t xml:space="preserve">Figure </w:t>
      </w:r>
      <w:r w:rsidR="001E3A3D">
        <w:rPr>
          <w:rFonts w:ascii="Calibri" w:eastAsia="MS Mincho" w:hAnsi="Calibri" w:cs="Times New Roman"/>
        </w:rPr>
        <w:t>2</w:t>
      </w:r>
      <w:r>
        <w:rPr>
          <w:rFonts w:ascii="Calibri" w:eastAsia="MS Mincho" w:hAnsi="Calibri" w:cs="Times New Roman"/>
        </w:rPr>
        <w:t xml:space="preserve"> shows that prescription utilisation increas</w:t>
      </w:r>
      <w:r w:rsidR="00EB729A">
        <w:rPr>
          <w:rFonts w:ascii="Calibri" w:eastAsia="MS Mincho" w:hAnsi="Calibri" w:cs="Times New Roman"/>
        </w:rPr>
        <w:t>ed</w:t>
      </w:r>
      <w:r>
        <w:rPr>
          <w:rFonts w:ascii="Calibri" w:eastAsia="MS Mincho" w:hAnsi="Calibri" w:cs="Times New Roman"/>
        </w:rPr>
        <w:t xml:space="preserve"> at </w:t>
      </w:r>
      <w:r w:rsidR="00B36D2D">
        <w:rPr>
          <w:rFonts w:ascii="Calibri" w:eastAsia="MS Mincho" w:hAnsi="Calibri" w:cs="Times New Roman"/>
        </w:rPr>
        <w:t xml:space="preserve">a </w:t>
      </w:r>
      <w:r>
        <w:rPr>
          <w:rFonts w:ascii="Calibri" w:eastAsia="MS Mincho" w:hAnsi="Calibri" w:cs="Times New Roman"/>
        </w:rPr>
        <w:t>steady linear rate</w:t>
      </w:r>
      <w:r w:rsidR="00817E3C">
        <w:rPr>
          <w:rFonts w:ascii="Calibri" w:eastAsia="MS Mincho" w:hAnsi="Calibri" w:cs="Times New Roman"/>
        </w:rPr>
        <w:t xml:space="preserve"> from mid-</w:t>
      </w:r>
      <w:r w:rsidR="00EB729A">
        <w:rPr>
          <w:rFonts w:ascii="Calibri" w:eastAsia="MS Mincho" w:hAnsi="Calibri" w:cs="Times New Roman"/>
        </w:rPr>
        <w:t>2016 to the end of 2017</w:t>
      </w:r>
      <w:r>
        <w:rPr>
          <w:rFonts w:ascii="Calibri" w:eastAsia="MS Mincho" w:hAnsi="Calibri" w:cs="Times New Roman"/>
        </w:rPr>
        <w:t xml:space="preserve">. </w:t>
      </w:r>
      <w:r w:rsidR="001E3A3D">
        <w:rPr>
          <w:rFonts w:ascii="Calibri" w:eastAsia="MS Mincho" w:hAnsi="Calibri" w:cs="Times New Roman"/>
        </w:rPr>
        <w:t xml:space="preserve">The slight decrease in 2017 Q1 and the levelling off in 2018 Q1 </w:t>
      </w:r>
      <w:r w:rsidR="00FE4394">
        <w:rPr>
          <w:rFonts w:ascii="Calibri" w:eastAsia="MS Mincho" w:hAnsi="Calibri" w:cs="Times New Roman"/>
        </w:rPr>
        <w:t xml:space="preserve">may be due to Safety Net </w:t>
      </w:r>
      <w:r w:rsidR="001E3A3D">
        <w:rPr>
          <w:rFonts w:ascii="Calibri" w:eastAsia="MS Mincho" w:hAnsi="Calibri" w:cs="Times New Roman"/>
        </w:rPr>
        <w:t xml:space="preserve">seasonality. </w:t>
      </w:r>
    </w:p>
    <w:p w14:paraId="57458930" w14:textId="77777777" w:rsidR="005A3F4B" w:rsidRPr="00FE4394" w:rsidRDefault="00F450B7" w:rsidP="004C3356">
      <w:pPr>
        <w:spacing w:before="60" w:after="60"/>
        <w:rPr>
          <w:noProof/>
        </w:rPr>
      </w:pPr>
      <w:r>
        <w:rPr>
          <w:noProof/>
        </w:rPr>
        <w:lastRenderedPageBreak/>
        <w:drawing>
          <wp:inline distT="0" distB="0" distL="0" distR="0" wp14:anchorId="7A178E5C" wp14:editId="74BD5249">
            <wp:extent cx="5687695" cy="3716447"/>
            <wp:effectExtent l="0" t="0" r="27305" b="17780"/>
            <wp:docPr id="2" name="Chart 2" title="Figure 3: PBS prescriptions for ruxolitinib by item"/>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5A3F4B" w:rsidRPr="004C3356">
        <w:rPr>
          <w:rStyle w:val="FiguretitleChar"/>
        </w:rPr>
        <w:t>F</w:t>
      </w:r>
      <w:r w:rsidR="00B86DA9" w:rsidRPr="004C3356">
        <w:rPr>
          <w:rStyle w:val="FiguretitleChar"/>
        </w:rPr>
        <w:t>igure 3</w:t>
      </w:r>
      <w:r w:rsidR="005A3F4B" w:rsidRPr="004C3356">
        <w:rPr>
          <w:rStyle w:val="FiguretitleChar"/>
        </w:rPr>
        <w:t xml:space="preserve">: PBS </w:t>
      </w:r>
      <w:r w:rsidR="0000150F" w:rsidRPr="004C3356">
        <w:rPr>
          <w:rStyle w:val="FiguretitleChar"/>
        </w:rPr>
        <w:t>prescriptions</w:t>
      </w:r>
      <w:r w:rsidR="005A3F4B" w:rsidRPr="004C3356">
        <w:rPr>
          <w:rStyle w:val="FiguretitleChar"/>
        </w:rPr>
        <w:t xml:space="preserve"> for ruxolitinib by item</w:t>
      </w:r>
      <w:r w:rsidR="005A3F4B">
        <w:rPr>
          <w:rFonts w:ascii="Calibri" w:eastAsia="MS Mincho" w:hAnsi="Calibri" w:cs="Times New Roman"/>
          <w:b/>
        </w:rPr>
        <w:br/>
      </w:r>
      <w:r w:rsidR="005A3F4B" w:rsidRPr="004C3356">
        <w:rPr>
          <w:rStyle w:val="FigurecaptionChar"/>
        </w:rPr>
        <w:t>Sources: DHS prescription database (accessed 2 July 2018).</w:t>
      </w:r>
      <w:r w:rsidR="005A3F4B">
        <w:rPr>
          <w:rFonts w:ascii="Calibri" w:eastAsia="MS Mincho" w:hAnsi="Calibri" w:cs="Times New Roman"/>
          <w:sz w:val="20"/>
        </w:rPr>
        <w:t xml:space="preserve"> </w:t>
      </w:r>
    </w:p>
    <w:p w14:paraId="21ACD659" w14:textId="77777777" w:rsidR="004C3356" w:rsidRDefault="004C3356" w:rsidP="005A3F4B">
      <w:pPr>
        <w:rPr>
          <w:rFonts w:ascii="Calibri" w:eastAsia="MS Mincho" w:hAnsi="Calibri" w:cs="Times New Roman"/>
        </w:rPr>
      </w:pPr>
    </w:p>
    <w:p w14:paraId="7EA7DAFC" w14:textId="77777777" w:rsidR="005A3F4B" w:rsidRDefault="005A3F4B" w:rsidP="005A3F4B">
      <w:pPr>
        <w:rPr>
          <w:rFonts w:ascii="Calibri" w:eastAsia="MS Mincho" w:hAnsi="Calibri" w:cs="Times New Roman"/>
        </w:rPr>
      </w:pPr>
      <w:r>
        <w:rPr>
          <w:rFonts w:ascii="Calibri" w:eastAsia="MS Mincho" w:hAnsi="Calibri" w:cs="Times New Roman"/>
        </w:rPr>
        <w:t>The 10</w:t>
      </w:r>
      <w:r w:rsidR="00817E3C">
        <w:rPr>
          <w:rFonts w:ascii="Calibri" w:eastAsia="MS Mincho" w:hAnsi="Calibri" w:cs="Times New Roman"/>
        </w:rPr>
        <w:t> </w:t>
      </w:r>
      <w:r>
        <w:rPr>
          <w:rFonts w:ascii="Calibri" w:eastAsia="MS Mincho" w:hAnsi="Calibri" w:cs="Times New Roman"/>
        </w:rPr>
        <w:t>mg tablet was listed after the other stren</w:t>
      </w:r>
      <w:r w:rsidR="00B86DA9">
        <w:rPr>
          <w:rFonts w:ascii="Calibri" w:eastAsia="MS Mincho" w:hAnsi="Calibri" w:cs="Times New Roman"/>
        </w:rPr>
        <w:t>gths, in November 2016. Figure 3</w:t>
      </w:r>
      <w:r>
        <w:rPr>
          <w:rFonts w:ascii="Calibri" w:eastAsia="MS Mincho" w:hAnsi="Calibri" w:cs="Times New Roman"/>
        </w:rPr>
        <w:t xml:space="preserve"> shows that the 5</w:t>
      </w:r>
      <w:r w:rsidR="00817E3C">
        <w:rPr>
          <w:rFonts w:ascii="Calibri" w:eastAsia="MS Mincho" w:hAnsi="Calibri" w:cs="Times New Roman"/>
        </w:rPr>
        <w:t> </w:t>
      </w:r>
      <w:r>
        <w:rPr>
          <w:rFonts w:ascii="Calibri" w:eastAsia="MS Mincho" w:hAnsi="Calibri" w:cs="Times New Roman"/>
        </w:rPr>
        <w:t>mg tablet was substituted by the 10</w:t>
      </w:r>
      <w:r w:rsidR="00817E3C">
        <w:rPr>
          <w:rFonts w:ascii="Calibri" w:eastAsia="MS Mincho" w:hAnsi="Calibri" w:cs="Times New Roman"/>
        </w:rPr>
        <w:t> </w:t>
      </w:r>
      <w:r>
        <w:rPr>
          <w:rFonts w:ascii="Calibri" w:eastAsia="MS Mincho" w:hAnsi="Calibri" w:cs="Times New Roman"/>
        </w:rPr>
        <w:t xml:space="preserve">mg tablet after it was listed. </w:t>
      </w:r>
      <w:r w:rsidR="00046B8F">
        <w:rPr>
          <w:rFonts w:ascii="Calibri" w:eastAsia="MS Mincho" w:hAnsi="Calibri" w:cs="Times New Roman"/>
        </w:rPr>
        <w:t>The number of prescription</w:t>
      </w:r>
      <w:r w:rsidR="0015580B">
        <w:rPr>
          <w:rFonts w:ascii="Calibri" w:eastAsia="MS Mincho" w:hAnsi="Calibri" w:cs="Times New Roman"/>
        </w:rPr>
        <w:t>s overall would not have changed</w:t>
      </w:r>
      <w:r w:rsidR="00046B8F">
        <w:rPr>
          <w:rFonts w:ascii="Calibri" w:eastAsia="MS Mincho" w:hAnsi="Calibri" w:cs="Times New Roman"/>
        </w:rPr>
        <w:t xml:space="preserve"> as the 5</w:t>
      </w:r>
      <w:r w:rsidR="00817E3C">
        <w:rPr>
          <w:rFonts w:ascii="Calibri" w:eastAsia="MS Mincho" w:hAnsi="Calibri" w:cs="Times New Roman"/>
        </w:rPr>
        <w:t> </w:t>
      </w:r>
      <w:r w:rsidR="00046B8F">
        <w:rPr>
          <w:rFonts w:ascii="Calibri" w:eastAsia="MS Mincho" w:hAnsi="Calibri" w:cs="Times New Roman"/>
        </w:rPr>
        <w:t xml:space="preserve">mg strength is </w:t>
      </w:r>
      <w:r w:rsidR="0015580B">
        <w:rPr>
          <w:rFonts w:ascii="Calibri" w:eastAsia="MS Mincho" w:hAnsi="Calibri" w:cs="Times New Roman"/>
        </w:rPr>
        <w:t>supplied as</w:t>
      </w:r>
      <w:r w:rsidR="00046B8F">
        <w:rPr>
          <w:rFonts w:ascii="Calibri" w:eastAsia="MS Mincho" w:hAnsi="Calibri" w:cs="Times New Roman"/>
        </w:rPr>
        <w:t xml:space="preserve"> double the quantity (112 tablets) compared with the 10</w:t>
      </w:r>
      <w:r w:rsidR="00817E3C">
        <w:rPr>
          <w:rFonts w:ascii="Calibri" w:eastAsia="MS Mincho" w:hAnsi="Calibri" w:cs="Times New Roman"/>
        </w:rPr>
        <w:t> </w:t>
      </w:r>
      <w:r w:rsidR="00046B8F">
        <w:rPr>
          <w:rFonts w:ascii="Calibri" w:eastAsia="MS Mincho" w:hAnsi="Calibri" w:cs="Times New Roman"/>
        </w:rPr>
        <w:t>mg strength (56 tablets)</w:t>
      </w:r>
      <w:r w:rsidR="007B2DE7">
        <w:rPr>
          <w:rFonts w:ascii="Calibri" w:eastAsia="MS Mincho" w:hAnsi="Calibri" w:cs="Times New Roman"/>
        </w:rPr>
        <w:t>.</w:t>
      </w:r>
      <w:r w:rsidR="001D72A5">
        <w:rPr>
          <w:rFonts w:ascii="Calibri" w:eastAsia="MS Mincho" w:hAnsi="Calibri" w:cs="Times New Roman"/>
        </w:rPr>
        <w:t xml:space="preserve"> </w:t>
      </w:r>
      <w:r>
        <w:rPr>
          <w:rFonts w:ascii="Calibri" w:eastAsia="MS Mincho" w:hAnsi="Calibri" w:cs="Times New Roman"/>
        </w:rPr>
        <w:t>The 20</w:t>
      </w:r>
      <w:r w:rsidR="00817E3C">
        <w:rPr>
          <w:rFonts w:ascii="Calibri" w:eastAsia="MS Mincho" w:hAnsi="Calibri" w:cs="Times New Roman"/>
        </w:rPr>
        <w:t> </w:t>
      </w:r>
      <w:r>
        <w:rPr>
          <w:rFonts w:ascii="Calibri" w:eastAsia="MS Mincho" w:hAnsi="Calibri" w:cs="Times New Roman"/>
        </w:rPr>
        <w:t>mg tablet is most commonly prescribed.</w:t>
      </w:r>
      <w:r w:rsidR="00FE4394">
        <w:rPr>
          <w:rFonts w:ascii="Calibri" w:eastAsia="MS Mincho" w:hAnsi="Calibri" w:cs="Times New Roman"/>
        </w:rPr>
        <w:t xml:space="preserve"> This is consistent with </w:t>
      </w:r>
      <w:r w:rsidR="007B2DE7">
        <w:rPr>
          <w:rFonts w:ascii="Calibri" w:eastAsia="MS Mincho" w:hAnsi="Calibri" w:cs="Times New Roman"/>
        </w:rPr>
        <w:t xml:space="preserve">the </w:t>
      </w:r>
      <w:r w:rsidR="00FE4394">
        <w:rPr>
          <w:rFonts w:ascii="Calibri" w:eastAsia="MS Mincho" w:hAnsi="Calibri" w:cs="Times New Roman"/>
        </w:rPr>
        <w:t>predicted dose distribution in Table</w:t>
      </w:r>
      <w:r w:rsidR="007B2DE7">
        <w:rPr>
          <w:rFonts w:ascii="Calibri" w:eastAsia="MS Mincho" w:hAnsi="Calibri" w:cs="Times New Roman"/>
        </w:rPr>
        <w:t> </w:t>
      </w:r>
      <w:r w:rsidR="00395C86">
        <w:rPr>
          <w:rFonts w:ascii="Calibri" w:eastAsia="MS Mincho" w:hAnsi="Calibri" w:cs="Times New Roman"/>
        </w:rPr>
        <w:t>3</w:t>
      </w:r>
      <w:r w:rsidR="00FE4394">
        <w:rPr>
          <w:rFonts w:ascii="Calibri" w:eastAsia="MS Mincho" w:hAnsi="Calibri" w:cs="Times New Roman"/>
        </w:rPr>
        <w:t>.</w:t>
      </w:r>
      <w:r w:rsidR="00BD733E">
        <w:rPr>
          <w:rFonts w:ascii="Calibri" w:eastAsia="MS Mincho" w:hAnsi="Calibri" w:cs="Times New Roman"/>
        </w:rPr>
        <w:t xml:space="preserve"> </w:t>
      </w:r>
      <w:r w:rsidR="007B2DE7">
        <w:rPr>
          <w:rFonts w:ascii="Calibri" w:eastAsia="MS Mincho" w:hAnsi="Calibri" w:cs="Times New Roman"/>
        </w:rPr>
        <w:t>An analysis the</w:t>
      </w:r>
      <w:r w:rsidR="007B2DE7">
        <w:rPr>
          <w:rFonts w:ascii="Calibri" w:eastAsia="MS Gothic" w:hAnsi="Calibri" w:cs="Times New Roman"/>
          <w:bCs/>
        </w:rPr>
        <w:t xml:space="preserve"> average daily dose is provided in the</w:t>
      </w:r>
      <w:r w:rsidR="00BD733E">
        <w:rPr>
          <w:rFonts w:ascii="Calibri" w:eastAsia="MS Mincho" w:hAnsi="Calibri" w:cs="Times New Roman"/>
        </w:rPr>
        <w:t xml:space="preserve"> “Dose analysis” section </w:t>
      </w:r>
      <w:r w:rsidR="007B2DE7">
        <w:rPr>
          <w:rFonts w:ascii="Calibri" w:eastAsia="MS Mincho" w:hAnsi="Calibri" w:cs="Times New Roman"/>
        </w:rPr>
        <w:t>later in this report.</w:t>
      </w:r>
    </w:p>
    <w:p w14:paraId="088900C4" w14:textId="77777777" w:rsidR="005A3F4B" w:rsidRPr="0035551E" w:rsidRDefault="0035551E" w:rsidP="001D72A5">
      <w:pPr>
        <w:spacing w:before="60" w:after="60"/>
        <w:rPr>
          <w:rFonts w:ascii="Calibri" w:eastAsia="MS Mincho" w:hAnsi="Calibri" w:cs="Times New Roman"/>
          <w:b/>
        </w:rPr>
      </w:pPr>
      <w:bookmarkStart w:id="5" w:name="_GoBack"/>
      <w:r>
        <w:rPr>
          <w:noProof/>
        </w:rPr>
        <w:lastRenderedPageBreak/>
        <w:drawing>
          <wp:inline distT="0" distB="0" distL="0" distR="0" wp14:anchorId="1E0AA5E5" wp14:editId="198B00E9">
            <wp:extent cx="5687695" cy="3716447"/>
            <wp:effectExtent l="0" t="0" r="27305" b="17780"/>
            <wp:docPr id="6" name="Chart 6" title="Figure 4: PBS prescriptions for ruxolitinib by indicat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bookmarkEnd w:id="5"/>
      <w:r w:rsidR="005A3F4B" w:rsidRPr="001D72A5">
        <w:rPr>
          <w:rStyle w:val="FiguretitleChar"/>
        </w:rPr>
        <w:t xml:space="preserve">Figure </w:t>
      </w:r>
      <w:r w:rsidR="00B86DA9" w:rsidRPr="001D72A5">
        <w:rPr>
          <w:rStyle w:val="FiguretitleChar"/>
        </w:rPr>
        <w:t>4</w:t>
      </w:r>
      <w:r w:rsidR="005A3F4B" w:rsidRPr="001D72A5">
        <w:rPr>
          <w:rStyle w:val="FiguretitleChar"/>
        </w:rPr>
        <w:t xml:space="preserve">: PBS </w:t>
      </w:r>
      <w:r w:rsidR="0000150F" w:rsidRPr="001D72A5">
        <w:rPr>
          <w:rStyle w:val="FiguretitleChar"/>
        </w:rPr>
        <w:t>prescriptions</w:t>
      </w:r>
      <w:r w:rsidR="005A3F4B" w:rsidRPr="001D72A5">
        <w:rPr>
          <w:rStyle w:val="FiguretitleChar"/>
        </w:rPr>
        <w:t xml:space="preserve"> for ruxolitinib</w:t>
      </w:r>
      <w:r w:rsidR="00A033BE" w:rsidRPr="001D72A5">
        <w:rPr>
          <w:rStyle w:val="FiguretitleChar"/>
        </w:rPr>
        <w:t xml:space="preserve"> by indication</w:t>
      </w:r>
      <w:r w:rsidR="005A3F4B">
        <w:rPr>
          <w:rFonts w:ascii="Calibri" w:eastAsia="MS Mincho" w:hAnsi="Calibri" w:cs="Times New Roman"/>
          <w:b/>
        </w:rPr>
        <w:br/>
      </w:r>
      <w:r w:rsidR="005A3F4B" w:rsidRPr="001D72A5">
        <w:rPr>
          <w:rStyle w:val="FigurecaptionChar"/>
        </w:rPr>
        <w:t>Sources: DHS prescription database (accessed 2 July 2018) and DHS authority approvals database</w:t>
      </w:r>
      <w:r w:rsidR="00891EED" w:rsidRPr="001D72A5">
        <w:rPr>
          <w:rStyle w:val="FigurecaptionChar"/>
        </w:rPr>
        <w:t>.</w:t>
      </w:r>
      <w:r w:rsidR="00891EED" w:rsidRPr="001D72A5">
        <w:rPr>
          <w:rStyle w:val="FigurecaptionChar"/>
        </w:rPr>
        <w:br/>
        <w:t xml:space="preserve">Note: </w:t>
      </w:r>
      <w:r w:rsidR="00E00270" w:rsidRPr="001D72A5">
        <w:rPr>
          <w:rStyle w:val="FigurecaptionChar"/>
        </w:rPr>
        <w:t xml:space="preserve">Where the number of </w:t>
      </w:r>
      <w:r w:rsidR="00F571CD" w:rsidRPr="001D72A5">
        <w:rPr>
          <w:rStyle w:val="FigurecaptionChar"/>
        </w:rPr>
        <w:t>prescriptions</w:t>
      </w:r>
      <w:r w:rsidR="00E00270" w:rsidRPr="001D72A5">
        <w:rPr>
          <w:rStyle w:val="FigurecaptionChar"/>
        </w:rPr>
        <w:t xml:space="preserve"> </w:t>
      </w:r>
      <w:r w:rsidR="00F571CD" w:rsidRPr="001D72A5">
        <w:rPr>
          <w:rStyle w:val="FigurecaptionChar"/>
        </w:rPr>
        <w:t>wa</w:t>
      </w:r>
      <w:r w:rsidR="00E00270" w:rsidRPr="001D72A5">
        <w:rPr>
          <w:rStyle w:val="FigurecaptionChar"/>
        </w:rPr>
        <w:t>s between 1 and 5 (inclusive), the data point has been set to 5 to protect confidentiality.</w:t>
      </w:r>
      <w:r w:rsidR="00E00270">
        <w:rPr>
          <w:rFonts w:ascii="Calibri" w:eastAsia="MS Mincho" w:hAnsi="Calibri" w:cs="Times New Roman"/>
          <w:sz w:val="20"/>
        </w:rPr>
        <w:t xml:space="preserve"> </w:t>
      </w:r>
    </w:p>
    <w:p w14:paraId="0AEF2590" w14:textId="77777777" w:rsidR="001D72A5" w:rsidRDefault="001D72A5" w:rsidP="005A3F4B">
      <w:pPr>
        <w:rPr>
          <w:rFonts w:ascii="Calibri" w:eastAsia="MS Mincho" w:hAnsi="Calibri" w:cs="Times New Roman"/>
        </w:rPr>
      </w:pPr>
    </w:p>
    <w:p w14:paraId="1380CE4C" w14:textId="77777777" w:rsidR="005A3F4B" w:rsidRDefault="00B36D2D" w:rsidP="005A3F4B">
      <w:pPr>
        <w:rPr>
          <w:rFonts w:ascii="Calibri" w:eastAsia="MS Mincho" w:hAnsi="Calibri" w:cs="Times New Roman"/>
        </w:rPr>
      </w:pPr>
      <w:r>
        <w:rPr>
          <w:rFonts w:ascii="Calibri" w:eastAsia="MS Mincho" w:hAnsi="Calibri" w:cs="Times New Roman"/>
        </w:rPr>
        <w:t xml:space="preserve">The grandfathering restriction ceased at the end of October 2016. The small volume of </w:t>
      </w:r>
      <w:r w:rsidR="007C2B0D">
        <w:rPr>
          <w:rFonts w:ascii="Calibri" w:eastAsia="MS Mincho" w:hAnsi="Calibri" w:cs="Times New Roman"/>
        </w:rPr>
        <w:t xml:space="preserve">grandfathering </w:t>
      </w:r>
      <w:r>
        <w:rPr>
          <w:rFonts w:ascii="Calibri" w:eastAsia="MS Mincho" w:hAnsi="Calibri" w:cs="Times New Roman"/>
        </w:rPr>
        <w:t>prescriptions supplied in 2017 are most likely repeats</w:t>
      </w:r>
      <w:r w:rsidR="007C2B0D">
        <w:rPr>
          <w:rFonts w:ascii="Calibri" w:eastAsia="MS Mincho" w:hAnsi="Calibri" w:cs="Times New Roman"/>
        </w:rPr>
        <w:t xml:space="preserve"> and take the indication assigned at the authority approval prior to the supply of the original prescription.</w:t>
      </w:r>
    </w:p>
    <w:p w14:paraId="4F76E9F0" w14:textId="66E0D4E5" w:rsidR="007C2B0D" w:rsidRDefault="007C2B0D" w:rsidP="005A3F4B">
      <w:pPr>
        <w:rPr>
          <w:rFonts w:ascii="Calibri" w:eastAsia="MS Mincho" w:hAnsi="Calibri" w:cs="Times New Roman"/>
        </w:rPr>
      </w:pPr>
      <w:r>
        <w:rPr>
          <w:rFonts w:ascii="Calibri" w:eastAsia="MS Mincho" w:hAnsi="Calibri" w:cs="Times New Roman"/>
        </w:rPr>
        <w:t>Utilisation</w:t>
      </w:r>
      <w:r w:rsidR="0022063D">
        <w:rPr>
          <w:rFonts w:ascii="Calibri" w:eastAsia="MS Mincho" w:hAnsi="Calibri" w:cs="Times New Roman"/>
        </w:rPr>
        <w:t xml:space="preserve"> by Int-1 risk patients wa</w:t>
      </w:r>
      <w:r>
        <w:rPr>
          <w:rFonts w:ascii="Calibri" w:eastAsia="MS Mincho" w:hAnsi="Calibri" w:cs="Times New Roman"/>
        </w:rPr>
        <w:t>s approximately one third of that of Int-2 patients</w:t>
      </w:r>
      <w:r w:rsidR="00FE258A">
        <w:rPr>
          <w:rFonts w:ascii="Calibri" w:eastAsia="MS Mincho" w:hAnsi="Calibri" w:cs="Times New Roman"/>
        </w:rPr>
        <w:t xml:space="preserve"> in 2018 Q1</w:t>
      </w:r>
      <w:r w:rsidR="0022063D">
        <w:rPr>
          <w:rFonts w:ascii="Calibri" w:eastAsia="MS Mincho" w:hAnsi="Calibri" w:cs="Times New Roman"/>
        </w:rPr>
        <w:t xml:space="preserve"> (631/2012 = 3</w:t>
      </w:r>
      <w:r w:rsidR="00D20EC7">
        <w:rPr>
          <w:rFonts w:ascii="Calibri" w:eastAsia="MS Mincho" w:hAnsi="Calibri" w:cs="Times New Roman"/>
        </w:rPr>
        <w:t>1</w:t>
      </w:r>
      <w:r w:rsidR="0022063D">
        <w:rPr>
          <w:rFonts w:ascii="Calibri" w:eastAsia="MS Mincho" w:hAnsi="Calibri" w:cs="Times New Roman"/>
        </w:rPr>
        <w:t>%)</w:t>
      </w:r>
      <w:r>
        <w:rPr>
          <w:rFonts w:ascii="Calibri" w:eastAsia="MS Mincho" w:hAnsi="Calibri" w:cs="Times New Roman"/>
        </w:rPr>
        <w:t xml:space="preserve">. </w:t>
      </w:r>
      <w:r w:rsidR="00FE258A">
        <w:rPr>
          <w:rFonts w:ascii="Calibri" w:eastAsia="MS Mincho" w:hAnsi="Calibri" w:cs="Times New Roman"/>
        </w:rPr>
        <w:t xml:space="preserve">This is in line with the estimates which predicted Int-1 prescriptions would be </w:t>
      </w:r>
      <w:r w:rsidR="002A64D4" w:rsidRPr="002A64D4">
        <w:rPr>
          <w:rFonts w:ascii="Calibri" w:eastAsia="MS Mincho" w:hAnsi="Calibri" w:cs="Times New Roman"/>
          <w:highlight w:val="black"/>
        </w:rPr>
        <w:t>xx</w:t>
      </w:r>
      <w:r w:rsidR="00FE258A">
        <w:rPr>
          <w:rFonts w:ascii="Calibri" w:eastAsia="MS Mincho" w:hAnsi="Calibri" w:cs="Times New Roman"/>
        </w:rPr>
        <w:t>% of Int-2 prescriptions in Year 2 after listing</w:t>
      </w:r>
      <w:r w:rsidR="00D7624A">
        <w:rPr>
          <w:rFonts w:ascii="Calibri" w:eastAsia="MS Mincho" w:hAnsi="Calibri" w:cs="Times New Roman"/>
        </w:rPr>
        <w:t xml:space="preserve"> (s</w:t>
      </w:r>
      <w:r>
        <w:rPr>
          <w:rFonts w:ascii="Calibri" w:eastAsia="MS Mincho" w:hAnsi="Calibri" w:cs="Times New Roman"/>
        </w:rPr>
        <w:t xml:space="preserve">ee </w:t>
      </w:r>
      <w:r w:rsidRPr="007C2B0D">
        <w:rPr>
          <w:rFonts w:ascii="Calibri" w:eastAsia="MS Mincho" w:hAnsi="Calibri" w:cs="Times New Roman"/>
        </w:rPr>
        <w:t>Predicted vs Actual analysis</w:t>
      </w:r>
      <w:r>
        <w:rPr>
          <w:rFonts w:ascii="Calibri" w:eastAsia="MS Mincho" w:hAnsi="Calibri" w:cs="Times New Roman"/>
        </w:rPr>
        <w:t xml:space="preserve"> section for </w:t>
      </w:r>
      <w:r w:rsidR="00FE258A">
        <w:rPr>
          <w:rFonts w:ascii="Calibri" w:eastAsia="MS Mincho" w:hAnsi="Calibri" w:cs="Times New Roman"/>
        </w:rPr>
        <w:t>more details</w:t>
      </w:r>
      <w:r w:rsidR="00D7624A">
        <w:rPr>
          <w:rFonts w:ascii="Calibri" w:eastAsia="MS Mincho" w:hAnsi="Calibri" w:cs="Times New Roman"/>
        </w:rPr>
        <w:t>)</w:t>
      </w:r>
      <w:r w:rsidR="00FE258A">
        <w:rPr>
          <w:rFonts w:ascii="Calibri" w:eastAsia="MS Mincho" w:hAnsi="Calibri" w:cs="Times New Roman"/>
        </w:rPr>
        <w:t>.</w:t>
      </w:r>
    </w:p>
    <w:p w14:paraId="1FF97C19" w14:textId="77777777" w:rsidR="005A3F4B" w:rsidRDefault="005A3F4B" w:rsidP="005A3F4B">
      <w:pPr>
        <w:spacing w:line="276" w:lineRule="auto"/>
        <w:rPr>
          <w:rFonts w:ascii="Calibri" w:eastAsia="MS Mincho" w:hAnsi="Calibri" w:cs="Times New Roman"/>
          <w:b/>
          <w:i/>
        </w:rPr>
      </w:pPr>
      <w:r>
        <w:rPr>
          <w:rFonts w:ascii="Calibri" w:eastAsia="MS Mincho" w:hAnsi="Calibri" w:cs="Times New Roman"/>
          <w:b/>
          <w:i/>
        </w:rPr>
        <w:br w:type="page"/>
      </w:r>
    </w:p>
    <w:p w14:paraId="411A91BD" w14:textId="77777777" w:rsidR="005A3F4B" w:rsidRDefault="005A3F4B" w:rsidP="00382B11">
      <w:pPr>
        <w:pStyle w:val="Heading2"/>
      </w:pPr>
      <w:r>
        <w:lastRenderedPageBreak/>
        <w:t>Predicted vs Actual analysis</w:t>
      </w:r>
    </w:p>
    <w:p w14:paraId="3355E484" w14:textId="77777777" w:rsidR="00D27474" w:rsidRPr="00E676DA" w:rsidRDefault="000678D8" w:rsidP="00382B11">
      <w:pPr>
        <w:pStyle w:val="Tabletitle"/>
      </w:pPr>
      <w:r>
        <w:t>T</w:t>
      </w:r>
      <w:r w:rsidR="001D70E4">
        <w:t xml:space="preserve">able </w:t>
      </w:r>
      <w:r w:rsidR="00BD733E">
        <w:t>4</w:t>
      </w:r>
      <w:r w:rsidRPr="00CC4B55">
        <w:t xml:space="preserve">: Predicted vs Actual analysis – ruxolitinib for </w:t>
      </w:r>
      <w:r w:rsidR="00071DAB" w:rsidRPr="00071DAB">
        <w:t>myelofibrosis</w:t>
      </w:r>
    </w:p>
    <w:tbl>
      <w:tblPr>
        <w:tblW w:w="7867" w:type="dxa"/>
        <w:tblInd w:w="93" w:type="dxa"/>
        <w:tblLook w:val="04A0" w:firstRow="1" w:lastRow="0" w:firstColumn="1" w:lastColumn="0" w:noHBand="0" w:noVBand="1"/>
      </w:tblPr>
      <w:tblGrid>
        <w:gridCol w:w="2709"/>
        <w:gridCol w:w="1984"/>
        <w:gridCol w:w="1587"/>
        <w:gridCol w:w="1587"/>
      </w:tblGrid>
      <w:tr w:rsidR="000678D8" w:rsidRPr="00CC4B55" w14:paraId="5901F7E6" w14:textId="77777777" w:rsidTr="009217A6">
        <w:trPr>
          <w:trHeight w:val="315"/>
        </w:trPr>
        <w:tc>
          <w:tcPr>
            <w:tcW w:w="2709"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14:paraId="012C622A" w14:textId="77777777" w:rsidR="000678D8" w:rsidRPr="00CC4B55" w:rsidRDefault="000678D8" w:rsidP="008C3101">
            <w:pPr>
              <w:spacing w:after="0"/>
              <w:rPr>
                <w:rFonts w:ascii="Calibri" w:eastAsia="Times New Roman" w:hAnsi="Calibri" w:cs="Calibri"/>
                <w:color w:val="000000"/>
                <w:sz w:val="20"/>
                <w:szCs w:val="20"/>
              </w:rPr>
            </w:pPr>
            <w:r w:rsidRPr="00CC4B55">
              <w:rPr>
                <w:rFonts w:ascii="Calibri" w:eastAsia="Times New Roman" w:hAnsi="Calibri" w:cs="Calibri"/>
                <w:color w:val="000000"/>
                <w:sz w:val="20"/>
                <w:szCs w:val="20"/>
              </w:rPr>
              <w:t> </w:t>
            </w:r>
          </w:p>
        </w:tc>
        <w:tc>
          <w:tcPr>
            <w:tcW w:w="1984"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1EBEA04E" w14:textId="77777777" w:rsidR="000678D8" w:rsidRPr="00CC4B55" w:rsidRDefault="000678D8" w:rsidP="008C3101">
            <w:pPr>
              <w:spacing w:after="0"/>
              <w:rPr>
                <w:rFonts w:ascii="Calibri" w:eastAsia="Times New Roman" w:hAnsi="Calibri" w:cs="Calibri"/>
                <w:b/>
                <w:bCs/>
                <w:color w:val="000000"/>
                <w:sz w:val="20"/>
                <w:szCs w:val="20"/>
              </w:rPr>
            </w:pPr>
            <w:r w:rsidRPr="00CC4B55">
              <w:rPr>
                <w:rFonts w:ascii="Calibri" w:eastAsia="Times New Roman" w:hAnsi="Calibri" w:cs="Calibri"/>
                <w:b/>
                <w:bCs/>
                <w:color w:val="000000"/>
                <w:sz w:val="20"/>
                <w:szCs w:val="20"/>
              </w:rPr>
              <w:t> </w:t>
            </w:r>
          </w:p>
        </w:tc>
        <w:tc>
          <w:tcPr>
            <w:tcW w:w="1587" w:type="dxa"/>
            <w:tcBorders>
              <w:top w:val="single" w:sz="8" w:space="0" w:color="auto"/>
              <w:left w:val="nil"/>
              <w:bottom w:val="single" w:sz="8" w:space="0" w:color="auto"/>
              <w:right w:val="single" w:sz="8" w:space="0" w:color="auto"/>
            </w:tcBorders>
            <w:shd w:val="clear" w:color="000000" w:fill="BFBFBF"/>
            <w:noWrap/>
            <w:vAlign w:val="center"/>
            <w:hideMark/>
          </w:tcPr>
          <w:p w14:paraId="121888E9" w14:textId="77777777" w:rsidR="000678D8" w:rsidRPr="00CC4B55" w:rsidRDefault="000678D8" w:rsidP="008C3101">
            <w:pPr>
              <w:spacing w:after="0"/>
              <w:jc w:val="center"/>
              <w:rPr>
                <w:rFonts w:ascii="Calibri" w:eastAsia="Times New Roman" w:hAnsi="Calibri" w:cs="Calibri"/>
                <w:b/>
                <w:bCs/>
                <w:color w:val="000000"/>
                <w:sz w:val="20"/>
                <w:szCs w:val="20"/>
              </w:rPr>
            </w:pPr>
            <w:r w:rsidRPr="00CC4B55">
              <w:rPr>
                <w:rFonts w:ascii="Calibri" w:eastAsia="Times New Roman" w:hAnsi="Calibri" w:cs="Calibri"/>
                <w:b/>
                <w:bCs/>
                <w:color w:val="000000"/>
                <w:sz w:val="20"/>
                <w:szCs w:val="20"/>
              </w:rPr>
              <w:t>Year1</w:t>
            </w:r>
          </w:p>
        </w:tc>
        <w:tc>
          <w:tcPr>
            <w:tcW w:w="1587" w:type="dxa"/>
            <w:tcBorders>
              <w:top w:val="single" w:sz="8" w:space="0" w:color="auto"/>
              <w:left w:val="nil"/>
              <w:bottom w:val="single" w:sz="8" w:space="0" w:color="auto"/>
              <w:right w:val="single" w:sz="8" w:space="0" w:color="auto"/>
            </w:tcBorders>
            <w:shd w:val="clear" w:color="000000" w:fill="BFBFBF"/>
            <w:noWrap/>
            <w:vAlign w:val="center"/>
            <w:hideMark/>
          </w:tcPr>
          <w:p w14:paraId="524916F1" w14:textId="77777777" w:rsidR="000678D8" w:rsidRPr="00CC4B55" w:rsidRDefault="000678D8" w:rsidP="008C3101">
            <w:pPr>
              <w:spacing w:after="0"/>
              <w:jc w:val="center"/>
              <w:rPr>
                <w:rFonts w:ascii="Calibri" w:eastAsia="Times New Roman" w:hAnsi="Calibri" w:cs="Calibri"/>
                <w:b/>
                <w:bCs/>
                <w:color w:val="000000"/>
                <w:sz w:val="20"/>
                <w:szCs w:val="20"/>
              </w:rPr>
            </w:pPr>
            <w:r w:rsidRPr="00CC4B55">
              <w:rPr>
                <w:rFonts w:ascii="Calibri" w:eastAsia="Times New Roman" w:hAnsi="Calibri" w:cs="Calibri"/>
                <w:b/>
                <w:bCs/>
                <w:color w:val="000000"/>
                <w:sz w:val="20"/>
                <w:szCs w:val="20"/>
              </w:rPr>
              <w:t>Year 2</w:t>
            </w:r>
          </w:p>
        </w:tc>
      </w:tr>
      <w:tr w:rsidR="000678D8" w:rsidRPr="00CC4B55" w14:paraId="5F0BBFB5" w14:textId="77777777" w:rsidTr="009217A6">
        <w:trPr>
          <w:trHeight w:val="315"/>
        </w:trPr>
        <w:tc>
          <w:tcPr>
            <w:tcW w:w="2709" w:type="dxa"/>
            <w:vMerge/>
            <w:tcBorders>
              <w:top w:val="single" w:sz="8" w:space="0" w:color="auto"/>
              <w:left w:val="single" w:sz="8" w:space="0" w:color="auto"/>
              <w:bottom w:val="single" w:sz="8" w:space="0" w:color="000000"/>
              <w:right w:val="single" w:sz="8" w:space="0" w:color="auto"/>
            </w:tcBorders>
            <w:vAlign w:val="center"/>
            <w:hideMark/>
          </w:tcPr>
          <w:p w14:paraId="3B901AB5" w14:textId="77777777" w:rsidR="000678D8" w:rsidRPr="00CC4B55" w:rsidRDefault="000678D8" w:rsidP="008C3101">
            <w:pPr>
              <w:spacing w:after="0"/>
              <w:rPr>
                <w:rFonts w:ascii="Calibri" w:eastAsia="Times New Roman" w:hAnsi="Calibri" w:cs="Calibri"/>
                <w:color w:val="000000"/>
                <w:sz w:val="20"/>
                <w:szCs w:val="20"/>
              </w:rPr>
            </w:pPr>
          </w:p>
        </w:tc>
        <w:tc>
          <w:tcPr>
            <w:tcW w:w="1984" w:type="dxa"/>
            <w:vMerge/>
            <w:tcBorders>
              <w:top w:val="single" w:sz="8" w:space="0" w:color="auto"/>
              <w:left w:val="single" w:sz="8" w:space="0" w:color="auto"/>
              <w:bottom w:val="single" w:sz="8" w:space="0" w:color="000000"/>
              <w:right w:val="single" w:sz="8" w:space="0" w:color="auto"/>
            </w:tcBorders>
            <w:vAlign w:val="center"/>
            <w:hideMark/>
          </w:tcPr>
          <w:p w14:paraId="225D57AA" w14:textId="77777777" w:rsidR="000678D8" w:rsidRPr="00CC4B55" w:rsidRDefault="000678D8" w:rsidP="008C3101">
            <w:pPr>
              <w:spacing w:after="0"/>
              <w:rPr>
                <w:rFonts w:ascii="Calibri" w:eastAsia="Times New Roman" w:hAnsi="Calibri" w:cs="Calibri"/>
                <w:b/>
                <w:bCs/>
                <w:color w:val="000000"/>
                <w:sz w:val="20"/>
                <w:szCs w:val="20"/>
              </w:rPr>
            </w:pPr>
          </w:p>
        </w:tc>
        <w:tc>
          <w:tcPr>
            <w:tcW w:w="1587" w:type="dxa"/>
            <w:tcBorders>
              <w:top w:val="nil"/>
              <w:left w:val="nil"/>
              <w:bottom w:val="single" w:sz="8" w:space="0" w:color="auto"/>
              <w:right w:val="single" w:sz="8" w:space="0" w:color="auto"/>
            </w:tcBorders>
            <w:shd w:val="clear" w:color="000000" w:fill="BFBFBF"/>
            <w:noWrap/>
            <w:vAlign w:val="center"/>
            <w:hideMark/>
          </w:tcPr>
          <w:p w14:paraId="71F8DA4A" w14:textId="77777777" w:rsidR="000678D8" w:rsidRPr="00CC4B55" w:rsidRDefault="000678D8" w:rsidP="008C3101">
            <w:pPr>
              <w:spacing w:after="0"/>
              <w:jc w:val="center"/>
              <w:rPr>
                <w:rFonts w:ascii="Calibri" w:eastAsia="Times New Roman" w:hAnsi="Calibri" w:cs="Calibri"/>
                <w:b/>
                <w:bCs/>
                <w:color w:val="000000"/>
                <w:sz w:val="20"/>
                <w:szCs w:val="20"/>
              </w:rPr>
            </w:pPr>
            <w:r w:rsidRPr="00CC4B55">
              <w:rPr>
                <w:rFonts w:ascii="Calibri" w:eastAsia="Times New Roman" w:hAnsi="Calibri" w:cs="Calibri"/>
                <w:b/>
                <w:bCs/>
                <w:color w:val="000000"/>
                <w:sz w:val="20"/>
                <w:szCs w:val="20"/>
              </w:rPr>
              <w:t>Feb 16 to Jan 17</w:t>
            </w:r>
          </w:p>
        </w:tc>
        <w:tc>
          <w:tcPr>
            <w:tcW w:w="1587" w:type="dxa"/>
            <w:tcBorders>
              <w:top w:val="nil"/>
              <w:left w:val="nil"/>
              <w:bottom w:val="single" w:sz="8" w:space="0" w:color="auto"/>
              <w:right w:val="single" w:sz="8" w:space="0" w:color="auto"/>
            </w:tcBorders>
            <w:shd w:val="clear" w:color="000000" w:fill="BFBFBF"/>
            <w:noWrap/>
            <w:vAlign w:val="center"/>
            <w:hideMark/>
          </w:tcPr>
          <w:p w14:paraId="72DB384C" w14:textId="77777777" w:rsidR="000678D8" w:rsidRPr="00CC4B55" w:rsidRDefault="000678D8" w:rsidP="008C3101">
            <w:pPr>
              <w:spacing w:after="0"/>
              <w:jc w:val="center"/>
              <w:rPr>
                <w:rFonts w:ascii="Calibri" w:eastAsia="Times New Roman" w:hAnsi="Calibri" w:cs="Calibri"/>
                <w:b/>
                <w:bCs/>
                <w:color w:val="000000"/>
                <w:sz w:val="20"/>
                <w:szCs w:val="20"/>
              </w:rPr>
            </w:pPr>
            <w:r w:rsidRPr="00CC4B55">
              <w:rPr>
                <w:rFonts w:ascii="Calibri" w:eastAsia="Times New Roman" w:hAnsi="Calibri" w:cs="Calibri"/>
                <w:b/>
                <w:bCs/>
                <w:color w:val="000000"/>
                <w:sz w:val="20"/>
                <w:szCs w:val="20"/>
              </w:rPr>
              <w:t>Feb 17 to Jan 18</w:t>
            </w:r>
          </w:p>
        </w:tc>
      </w:tr>
      <w:tr w:rsidR="00D27474" w:rsidRPr="00CC4B55" w14:paraId="2BEC0313" w14:textId="77777777" w:rsidTr="009217A6">
        <w:trPr>
          <w:trHeight w:val="315"/>
        </w:trPr>
        <w:tc>
          <w:tcPr>
            <w:tcW w:w="270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0C66595" w14:textId="77777777" w:rsidR="00D27474" w:rsidRPr="004C1B5D" w:rsidRDefault="00D27474" w:rsidP="00D069C2">
            <w:pPr>
              <w:spacing w:after="0"/>
              <w:rPr>
                <w:rFonts w:ascii="Calibri" w:eastAsia="Times New Roman" w:hAnsi="Calibri" w:cs="Calibri"/>
                <w:color w:val="000000"/>
                <w:sz w:val="20"/>
                <w:szCs w:val="20"/>
              </w:rPr>
            </w:pPr>
            <w:r w:rsidRPr="004C1B5D">
              <w:rPr>
                <w:rFonts w:ascii="Calibri" w:eastAsia="Times New Roman" w:hAnsi="Calibri" w:cs="Calibri"/>
                <w:color w:val="000000"/>
                <w:sz w:val="20"/>
                <w:szCs w:val="20"/>
              </w:rPr>
              <w:t>Treated patients (PBS &amp; RPBS)</w:t>
            </w:r>
          </w:p>
        </w:tc>
        <w:tc>
          <w:tcPr>
            <w:tcW w:w="1984" w:type="dxa"/>
            <w:tcBorders>
              <w:top w:val="nil"/>
              <w:left w:val="nil"/>
              <w:bottom w:val="single" w:sz="8" w:space="0" w:color="auto"/>
              <w:right w:val="single" w:sz="8" w:space="0" w:color="auto"/>
            </w:tcBorders>
            <w:shd w:val="clear" w:color="auto" w:fill="auto"/>
            <w:vAlign w:val="center"/>
            <w:hideMark/>
          </w:tcPr>
          <w:p w14:paraId="3633F55F" w14:textId="77777777" w:rsidR="00D27474" w:rsidRPr="00CC4B55" w:rsidRDefault="00D27474" w:rsidP="008C3101">
            <w:pPr>
              <w:spacing w:after="0"/>
              <w:rPr>
                <w:rFonts w:ascii="Calibri" w:eastAsia="Times New Roman" w:hAnsi="Calibri" w:cs="Calibri"/>
                <w:color w:val="000000"/>
                <w:sz w:val="20"/>
                <w:szCs w:val="20"/>
              </w:rPr>
            </w:pPr>
            <w:r w:rsidRPr="00CC4B55">
              <w:rPr>
                <w:rFonts w:ascii="Calibri" w:eastAsia="Times New Roman" w:hAnsi="Calibri" w:cs="Calibri"/>
                <w:color w:val="000000"/>
                <w:sz w:val="20"/>
                <w:szCs w:val="20"/>
              </w:rPr>
              <w:t>Predicted (P)</w:t>
            </w:r>
          </w:p>
        </w:tc>
        <w:tc>
          <w:tcPr>
            <w:tcW w:w="1587" w:type="dxa"/>
            <w:tcBorders>
              <w:top w:val="nil"/>
              <w:left w:val="nil"/>
              <w:bottom w:val="single" w:sz="8" w:space="0" w:color="auto"/>
              <w:right w:val="single" w:sz="8" w:space="0" w:color="auto"/>
            </w:tcBorders>
            <w:shd w:val="clear" w:color="auto" w:fill="auto"/>
            <w:vAlign w:val="center"/>
            <w:hideMark/>
          </w:tcPr>
          <w:p w14:paraId="02591B1A" w14:textId="72723B1B" w:rsidR="00D27474" w:rsidRPr="002A64D4" w:rsidRDefault="002A64D4" w:rsidP="008C3101">
            <w:pPr>
              <w:spacing w:after="0"/>
              <w:jc w:val="center"/>
              <w:rPr>
                <w:rFonts w:ascii="Calibri" w:eastAsia="Times New Roman" w:hAnsi="Calibri" w:cs="Calibri"/>
                <w:color w:val="000000"/>
                <w:sz w:val="20"/>
                <w:szCs w:val="20"/>
                <w:highlight w:val="black"/>
              </w:rPr>
            </w:pPr>
            <w:r w:rsidRPr="002A64D4">
              <w:rPr>
                <w:rFonts w:ascii="Calibri" w:hAnsi="Calibri" w:cs="Calibri"/>
                <w:color w:val="000000"/>
                <w:sz w:val="20"/>
                <w:szCs w:val="20"/>
                <w:highlight w:val="black"/>
              </w:rPr>
              <w:t>xxx</w:t>
            </w:r>
          </w:p>
        </w:tc>
        <w:tc>
          <w:tcPr>
            <w:tcW w:w="1587" w:type="dxa"/>
            <w:tcBorders>
              <w:top w:val="nil"/>
              <w:left w:val="nil"/>
              <w:bottom w:val="single" w:sz="8" w:space="0" w:color="auto"/>
              <w:right w:val="single" w:sz="8" w:space="0" w:color="auto"/>
            </w:tcBorders>
            <w:shd w:val="clear" w:color="auto" w:fill="auto"/>
            <w:vAlign w:val="center"/>
            <w:hideMark/>
          </w:tcPr>
          <w:p w14:paraId="2F7162E7" w14:textId="3CB93862" w:rsidR="00D27474" w:rsidRPr="002A64D4" w:rsidRDefault="002A64D4" w:rsidP="008C3101">
            <w:pPr>
              <w:spacing w:after="0"/>
              <w:jc w:val="center"/>
              <w:rPr>
                <w:rFonts w:ascii="Calibri" w:eastAsia="Times New Roman" w:hAnsi="Calibri" w:cs="Calibri"/>
                <w:color w:val="000000"/>
                <w:sz w:val="20"/>
                <w:szCs w:val="20"/>
                <w:highlight w:val="black"/>
              </w:rPr>
            </w:pPr>
            <w:r w:rsidRPr="002A64D4">
              <w:rPr>
                <w:rFonts w:ascii="Calibri" w:hAnsi="Calibri" w:cs="Calibri"/>
                <w:color w:val="000000"/>
                <w:sz w:val="20"/>
                <w:szCs w:val="20"/>
                <w:highlight w:val="black"/>
              </w:rPr>
              <w:t>xxx</w:t>
            </w:r>
          </w:p>
        </w:tc>
      </w:tr>
      <w:tr w:rsidR="00D27474" w:rsidRPr="00CC4B55" w14:paraId="3C65EA3A" w14:textId="77777777" w:rsidTr="009217A6">
        <w:trPr>
          <w:trHeight w:val="315"/>
        </w:trPr>
        <w:tc>
          <w:tcPr>
            <w:tcW w:w="2709" w:type="dxa"/>
            <w:vMerge/>
            <w:tcBorders>
              <w:top w:val="nil"/>
              <w:left w:val="single" w:sz="8" w:space="0" w:color="auto"/>
              <w:bottom w:val="single" w:sz="8" w:space="0" w:color="000000"/>
              <w:right w:val="single" w:sz="8" w:space="0" w:color="auto"/>
            </w:tcBorders>
            <w:vAlign w:val="center"/>
            <w:hideMark/>
          </w:tcPr>
          <w:p w14:paraId="183EC181" w14:textId="77777777" w:rsidR="00D27474" w:rsidRPr="00CC4B55" w:rsidRDefault="00D27474" w:rsidP="008C3101">
            <w:pPr>
              <w:spacing w:after="0"/>
              <w:rPr>
                <w:rFonts w:ascii="Calibri" w:eastAsia="Times New Roman" w:hAnsi="Calibri" w:cs="Calibri"/>
                <w:color w:val="000000"/>
                <w:sz w:val="20"/>
                <w:szCs w:val="20"/>
              </w:rPr>
            </w:pPr>
          </w:p>
        </w:tc>
        <w:tc>
          <w:tcPr>
            <w:tcW w:w="1984" w:type="dxa"/>
            <w:tcBorders>
              <w:top w:val="nil"/>
              <w:left w:val="nil"/>
              <w:bottom w:val="single" w:sz="8" w:space="0" w:color="auto"/>
              <w:right w:val="single" w:sz="8" w:space="0" w:color="auto"/>
            </w:tcBorders>
            <w:shd w:val="clear" w:color="auto" w:fill="auto"/>
            <w:vAlign w:val="center"/>
            <w:hideMark/>
          </w:tcPr>
          <w:p w14:paraId="3A921DEC" w14:textId="77777777" w:rsidR="00D27474" w:rsidRPr="00CC4B55" w:rsidRDefault="00D27474" w:rsidP="008C3101">
            <w:pPr>
              <w:spacing w:after="0"/>
              <w:rPr>
                <w:rFonts w:ascii="Calibri" w:eastAsia="Times New Roman" w:hAnsi="Calibri" w:cs="Calibri"/>
                <w:color w:val="000000"/>
                <w:sz w:val="20"/>
                <w:szCs w:val="20"/>
              </w:rPr>
            </w:pPr>
            <w:r w:rsidRPr="00CC4B55">
              <w:rPr>
                <w:rFonts w:ascii="Calibri" w:eastAsia="Times New Roman" w:hAnsi="Calibri" w:cs="Calibri"/>
                <w:color w:val="000000"/>
                <w:sz w:val="20"/>
                <w:szCs w:val="20"/>
              </w:rPr>
              <w:t>Actual (A)</w:t>
            </w:r>
          </w:p>
        </w:tc>
        <w:tc>
          <w:tcPr>
            <w:tcW w:w="1587" w:type="dxa"/>
            <w:tcBorders>
              <w:top w:val="nil"/>
              <w:left w:val="nil"/>
              <w:bottom w:val="single" w:sz="8" w:space="0" w:color="auto"/>
              <w:right w:val="single" w:sz="8" w:space="0" w:color="auto"/>
            </w:tcBorders>
            <w:shd w:val="clear" w:color="auto" w:fill="auto"/>
            <w:vAlign w:val="center"/>
            <w:hideMark/>
          </w:tcPr>
          <w:p w14:paraId="1292B915" w14:textId="77777777" w:rsidR="00D27474" w:rsidRPr="00CC4B55" w:rsidRDefault="00D27474" w:rsidP="008C3101">
            <w:pPr>
              <w:spacing w:after="0"/>
              <w:jc w:val="center"/>
              <w:rPr>
                <w:rFonts w:ascii="Calibri" w:eastAsia="Times New Roman" w:hAnsi="Calibri" w:cs="Calibri"/>
                <w:color w:val="000000"/>
                <w:sz w:val="20"/>
                <w:szCs w:val="20"/>
              </w:rPr>
            </w:pPr>
            <w:r>
              <w:rPr>
                <w:rFonts w:ascii="Calibri" w:hAnsi="Calibri" w:cs="Calibri"/>
                <w:color w:val="000000"/>
                <w:sz w:val="20"/>
                <w:szCs w:val="20"/>
              </w:rPr>
              <w:t>861</w:t>
            </w:r>
          </w:p>
        </w:tc>
        <w:tc>
          <w:tcPr>
            <w:tcW w:w="1587" w:type="dxa"/>
            <w:tcBorders>
              <w:top w:val="nil"/>
              <w:left w:val="nil"/>
              <w:bottom w:val="single" w:sz="8" w:space="0" w:color="auto"/>
              <w:right w:val="single" w:sz="8" w:space="0" w:color="auto"/>
            </w:tcBorders>
            <w:shd w:val="clear" w:color="auto" w:fill="auto"/>
            <w:vAlign w:val="center"/>
            <w:hideMark/>
          </w:tcPr>
          <w:p w14:paraId="21D32602" w14:textId="77777777" w:rsidR="00D27474" w:rsidRPr="00CC4B55" w:rsidRDefault="00D27474" w:rsidP="008C3101">
            <w:pPr>
              <w:spacing w:after="0"/>
              <w:jc w:val="center"/>
              <w:rPr>
                <w:rFonts w:ascii="Calibri" w:eastAsia="Times New Roman" w:hAnsi="Calibri" w:cs="Calibri"/>
                <w:color w:val="000000"/>
                <w:sz w:val="20"/>
                <w:szCs w:val="20"/>
              </w:rPr>
            </w:pPr>
            <w:r>
              <w:rPr>
                <w:rFonts w:ascii="Calibri" w:hAnsi="Calibri" w:cs="Calibri"/>
                <w:color w:val="000000"/>
                <w:sz w:val="20"/>
                <w:szCs w:val="20"/>
              </w:rPr>
              <w:t>1,082</w:t>
            </w:r>
          </w:p>
        </w:tc>
      </w:tr>
      <w:tr w:rsidR="00D27474" w:rsidRPr="00CC4B55" w14:paraId="2BC7CA28" w14:textId="77777777" w:rsidTr="009217A6">
        <w:trPr>
          <w:trHeight w:val="315"/>
        </w:trPr>
        <w:tc>
          <w:tcPr>
            <w:tcW w:w="2709" w:type="dxa"/>
            <w:vMerge/>
            <w:tcBorders>
              <w:top w:val="nil"/>
              <w:left w:val="single" w:sz="8" w:space="0" w:color="auto"/>
              <w:bottom w:val="single" w:sz="8" w:space="0" w:color="000000"/>
              <w:right w:val="single" w:sz="8" w:space="0" w:color="auto"/>
            </w:tcBorders>
            <w:vAlign w:val="center"/>
            <w:hideMark/>
          </w:tcPr>
          <w:p w14:paraId="2CD78232" w14:textId="77777777" w:rsidR="00D27474" w:rsidRPr="00CC4B55" w:rsidRDefault="00D27474" w:rsidP="008C3101">
            <w:pPr>
              <w:spacing w:after="0"/>
              <w:rPr>
                <w:rFonts w:ascii="Calibri" w:eastAsia="Times New Roman" w:hAnsi="Calibri" w:cs="Calibri"/>
                <w:color w:val="000000"/>
                <w:sz w:val="20"/>
                <w:szCs w:val="20"/>
              </w:rPr>
            </w:pPr>
          </w:p>
        </w:tc>
        <w:tc>
          <w:tcPr>
            <w:tcW w:w="1984" w:type="dxa"/>
            <w:tcBorders>
              <w:top w:val="nil"/>
              <w:left w:val="nil"/>
              <w:bottom w:val="single" w:sz="8" w:space="0" w:color="auto"/>
              <w:right w:val="single" w:sz="8" w:space="0" w:color="auto"/>
            </w:tcBorders>
            <w:shd w:val="clear" w:color="auto" w:fill="auto"/>
            <w:vAlign w:val="center"/>
            <w:hideMark/>
          </w:tcPr>
          <w:p w14:paraId="62AA8ACF" w14:textId="77777777" w:rsidR="00D27474" w:rsidRPr="00CC4B55" w:rsidRDefault="00D27474" w:rsidP="008C3101">
            <w:pPr>
              <w:spacing w:after="0"/>
              <w:rPr>
                <w:rFonts w:ascii="Calibri" w:eastAsia="Times New Roman" w:hAnsi="Calibri" w:cs="Calibri"/>
                <w:color w:val="000000"/>
                <w:sz w:val="20"/>
                <w:szCs w:val="20"/>
              </w:rPr>
            </w:pPr>
            <w:r w:rsidRPr="00CC4B55">
              <w:rPr>
                <w:rFonts w:ascii="Calibri" w:eastAsia="Times New Roman" w:hAnsi="Calibri" w:cs="Calibri"/>
                <w:color w:val="000000"/>
                <w:sz w:val="20"/>
                <w:szCs w:val="20"/>
              </w:rPr>
              <w:t>% Difference (A-P)/P</w:t>
            </w:r>
          </w:p>
        </w:tc>
        <w:tc>
          <w:tcPr>
            <w:tcW w:w="1587" w:type="dxa"/>
            <w:tcBorders>
              <w:top w:val="nil"/>
              <w:left w:val="nil"/>
              <w:bottom w:val="single" w:sz="8" w:space="0" w:color="auto"/>
              <w:right w:val="single" w:sz="8" w:space="0" w:color="auto"/>
            </w:tcBorders>
            <w:shd w:val="clear" w:color="auto" w:fill="auto"/>
            <w:vAlign w:val="center"/>
            <w:hideMark/>
          </w:tcPr>
          <w:p w14:paraId="439C0E73" w14:textId="5ACF3E60" w:rsidR="00D27474" w:rsidRPr="002A64D4" w:rsidRDefault="002A64D4" w:rsidP="008C3101">
            <w:pPr>
              <w:spacing w:after="0"/>
              <w:jc w:val="center"/>
              <w:rPr>
                <w:rFonts w:ascii="Calibri" w:eastAsia="Times New Roman" w:hAnsi="Calibri" w:cs="Calibri"/>
                <w:color w:val="000000"/>
                <w:sz w:val="20"/>
                <w:szCs w:val="20"/>
                <w:highlight w:val="black"/>
              </w:rPr>
            </w:pPr>
            <w:r w:rsidRPr="002A64D4">
              <w:rPr>
                <w:rFonts w:ascii="Calibri" w:hAnsi="Calibri" w:cs="Calibri"/>
                <w:color w:val="000000"/>
                <w:sz w:val="20"/>
                <w:szCs w:val="20"/>
                <w:highlight w:val="black"/>
              </w:rPr>
              <w:t>xxxx</w:t>
            </w:r>
          </w:p>
        </w:tc>
        <w:tc>
          <w:tcPr>
            <w:tcW w:w="1587" w:type="dxa"/>
            <w:tcBorders>
              <w:top w:val="nil"/>
              <w:left w:val="nil"/>
              <w:bottom w:val="single" w:sz="8" w:space="0" w:color="auto"/>
              <w:right w:val="single" w:sz="8" w:space="0" w:color="auto"/>
            </w:tcBorders>
            <w:shd w:val="clear" w:color="auto" w:fill="auto"/>
            <w:vAlign w:val="center"/>
            <w:hideMark/>
          </w:tcPr>
          <w:p w14:paraId="54E33728" w14:textId="1315E2BE" w:rsidR="00D27474" w:rsidRPr="002A64D4" w:rsidRDefault="002A64D4" w:rsidP="008C3101">
            <w:pPr>
              <w:spacing w:after="0"/>
              <w:jc w:val="center"/>
              <w:rPr>
                <w:rFonts w:ascii="Calibri" w:eastAsia="Times New Roman" w:hAnsi="Calibri" w:cs="Calibri"/>
                <w:color w:val="000000"/>
                <w:sz w:val="20"/>
                <w:szCs w:val="20"/>
                <w:highlight w:val="black"/>
              </w:rPr>
            </w:pPr>
            <w:r w:rsidRPr="002A64D4">
              <w:rPr>
                <w:rFonts w:ascii="Calibri" w:hAnsi="Calibri" w:cs="Calibri"/>
                <w:color w:val="000000"/>
                <w:sz w:val="20"/>
                <w:szCs w:val="20"/>
                <w:highlight w:val="black"/>
              </w:rPr>
              <w:t>xxxx</w:t>
            </w:r>
          </w:p>
        </w:tc>
      </w:tr>
      <w:tr w:rsidR="00D27474" w:rsidRPr="00CC4B55" w14:paraId="25044277" w14:textId="77777777" w:rsidTr="009217A6">
        <w:trPr>
          <w:trHeight w:val="315"/>
        </w:trPr>
        <w:tc>
          <w:tcPr>
            <w:tcW w:w="270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AA32518" w14:textId="77777777" w:rsidR="00D27474" w:rsidRPr="00CC4B55" w:rsidRDefault="00D27474" w:rsidP="008C3101">
            <w:pPr>
              <w:spacing w:after="0"/>
              <w:rPr>
                <w:rFonts w:ascii="Calibri" w:eastAsia="Times New Roman" w:hAnsi="Calibri" w:cs="Calibri"/>
                <w:color w:val="000000"/>
                <w:sz w:val="20"/>
                <w:szCs w:val="20"/>
              </w:rPr>
            </w:pPr>
            <w:r w:rsidRPr="00CC4B55">
              <w:rPr>
                <w:rFonts w:ascii="Calibri" w:eastAsia="Times New Roman" w:hAnsi="Calibri" w:cs="Calibri"/>
                <w:color w:val="000000"/>
                <w:sz w:val="20"/>
                <w:szCs w:val="20"/>
              </w:rPr>
              <w:t xml:space="preserve">Prescriptions </w:t>
            </w:r>
          </w:p>
        </w:tc>
        <w:tc>
          <w:tcPr>
            <w:tcW w:w="1984" w:type="dxa"/>
            <w:tcBorders>
              <w:top w:val="nil"/>
              <w:left w:val="nil"/>
              <w:bottom w:val="single" w:sz="8" w:space="0" w:color="auto"/>
              <w:right w:val="single" w:sz="8" w:space="0" w:color="auto"/>
            </w:tcBorders>
            <w:shd w:val="clear" w:color="auto" w:fill="auto"/>
            <w:vAlign w:val="center"/>
            <w:hideMark/>
          </w:tcPr>
          <w:p w14:paraId="4FD2C4E9" w14:textId="77777777" w:rsidR="00D27474" w:rsidRPr="00CC4B55" w:rsidRDefault="00D27474" w:rsidP="008C3101">
            <w:pPr>
              <w:spacing w:after="0"/>
              <w:rPr>
                <w:rFonts w:ascii="Calibri" w:eastAsia="Times New Roman" w:hAnsi="Calibri" w:cs="Calibri"/>
                <w:color w:val="000000"/>
                <w:sz w:val="20"/>
                <w:szCs w:val="20"/>
              </w:rPr>
            </w:pPr>
            <w:r w:rsidRPr="00CC4B55">
              <w:rPr>
                <w:rFonts w:ascii="Calibri" w:eastAsia="Times New Roman" w:hAnsi="Calibri" w:cs="Calibri"/>
                <w:color w:val="000000"/>
                <w:sz w:val="20"/>
                <w:szCs w:val="20"/>
              </w:rPr>
              <w:t>Predicted (P)</w:t>
            </w:r>
          </w:p>
        </w:tc>
        <w:tc>
          <w:tcPr>
            <w:tcW w:w="1587" w:type="dxa"/>
            <w:tcBorders>
              <w:top w:val="nil"/>
              <w:left w:val="nil"/>
              <w:bottom w:val="single" w:sz="8" w:space="0" w:color="auto"/>
              <w:right w:val="single" w:sz="8" w:space="0" w:color="auto"/>
            </w:tcBorders>
            <w:shd w:val="clear" w:color="auto" w:fill="auto"/>
            <w:vAlign w:val="center"/>
            <w:hideMark/>
          </w:tcPr>
          <w:p w14:paraId="63D90B83" w14:textId="4F9BABBF" w:rsidR="00D27474" w:rsidRPr="002A64D4" w:rsidRDefault="002A64D4" w:rsidP="008C3101">
            <w:pPr>
              <w:spacing w:after="0"/>
              <w:jc w:val="center"/>
              <w:rPr>
                <w:rFonts w:ascii="Calibri" w:eastAsia="Times New Roman" w:hAnsi="Calibri" w:cs="Calibri"/>
                <w:color w:val="000000"/>
                <w:sz w:val="20"/>
                <w:szCs w:val="20"/>
                <w:highlight w:val="black"/>
              </w:rPr>
            </w:pPr>
            <w:r w:rsidRPr="002A64D4">
              <w:rPr>
                <w:rFonts w:ascii="Calibri" w:hAnsi="Calibri" w:cs="Calibri"/>
                <w:color w:val="000000"/>
                <w:sz w:val="20"/>
                <w:szCs w:val="20"/>
                <w:highlight w:val="black"/>
              </w:rPr>
              <w:t>xxxxx</w:t>
            </w:r>
          </w:p>
        </w:tc>
        <w:tc>
          <w:tcPr>
            <w:tcW w:w="1587" w:type="dxa"/>
            <w:tcBorders>
              <w:top w:val="nil"/>
              <w:left w:val="nil"/>
              <w:bottom w:val="single" w:sz="8" w:space="0" w:color="auto"/>
              <w:right w:val="single" w:sz="8" w:space="0" w:color="auto"/>
            </w:tcBorders>
            <w:shd w:val="clear" w:color="auto" w:fill="auto"/>
            <w:vAlign w:val="center"/>
            <w:hideMark/>
          </w:tcPr>
          <w:p w14:paraId="189B9DDF" w14:textId="22A930DC" w:rsidR="00D27474" w:rsidRPr="002A64D4" w:rsidRDefault="002A64D4" w:rsidP="008C3101">
            <w:pPr>
              <w:spacing w:after="0"/>
              <w:jc w:val="center"/>
              <w:rPr>
                <w:rFonts w:ascii="Calibri" w:eastAsia="Times New Roman" w:hAnsi="Calibri" w:cs="Calibri"/>
                <w:color w:val="000000"/>
                <w:sz w:val="20"/>
                <w:szCs w:val="20"/>
                <w:highlight w:val="black"/>
              </w:rPr>
            </w:pPr>
            <w:r w:rsidRPr="002A64D4">
              <w:rPr>
                <w:rFonts w:ascii="Calibri" w:hAnsi="Calibri" w:cs="Calibri"/>
                <w:color w:val="000000"/>
                <w:sz w:val="20"/>
                <w:szCs w:val="20"/>
                <w:highlight w:val="black"/>
              </w:rPr>
              <w:t>xxxxxx</w:t>
            </w:r>
          </w:p>
        </w:tc>
      </w:tr>
      <w:tr w:rsidR="00D27474" w:rsidRPr="00CC4B55" w14:paraId="12F8660D" w14:textId="77777777" w:rsidTr="009217A6">
        <w:trPr>
          <w:trHeight w:val="315"/>
        </w:trPr>
        <w:tc>
          <w:tcPr>
            <w:tcW w:w="2709" w:type="dxa"/>
            <w:vMerge/>
            <w:tcBorders>
              <w:top w:val="nil"/>
              <w:left w:val="single" w:sz="8" w:space="0" w:color="auto"/>
              <w:bottom w:val="single" w:sz="8" w:space="0" w:color="000000"/>
              <w:right w:val="single" w:sz="8" w:space="0" w:color="auto"/>
            </w:tcBorders>
            <w:vAlign w:val="center"/>
            <w:hideMark/>
          </w:tcPr>
          <w:p w14:paraId="2F768987" w14:textId="77777777" w:rsidR="00D27474" w:rsidRPr="00CC4B55" w:rsidRDefault="00D27474" w:rsidP="008C3101">
            <w:pPr>
              <w:spacing w:after="0"/>
              <w:rPr>
                <w:rFonts w:ascii="Calibri" w:eastAsia="Times New Roman" w:hAnsi="Calibri" w:cs="Calibri"/>
                <w:color w:val="000000"/>
                <w:sz w:val="20"/>
                <w:szCs w:val="20"/>
              </w:rPr>
            </w:pPr>
          </w:p>
        </w:tc>
        <w:tc>
          <w:tcPr>
            <w:tcW w:w="1984" w:type="dxa"/>
            <w:tcBorders>
              <w:top w:val="nil"/>
              <w:left w:val="nil"/>
              <w:bottom w:val="single" w:sz="8" w:space="0" w:color="auto"/>
              <w:right w:val="single" w:sz="8" w:space="0" w:color="auto"/>
            </w:tcBorders>
            <w:shd w:val="clear" w:color="auto" w:fill="auto"/>
            <w:vAlign w:val="center"/>
            <w:hideMark/>
          </w:tcPr>
          <w:p w14:paraId="7186BFA8" w14:textId="77777777" w:rsidR="00D27474" w:rsidRPr="00CC4B55" w:rsidRDefault="00D27474" w:rsidP="008C3101">
            <w:pPr>
              <w:spacing w:after="0"/>
              <w:rPr>
                <w:rFonts w:ascii="Calibri" w:eastAsia="Times New Roman" w:hAnsi="Calibri" w:cs="Calibri"/>
                <w:color w:val="000000"/>
                <w:sz w:val="20"/>
                <w:szCs w:val="20"/>
              </w:rPr>
            </w:pPr>
            <w:r w:rsidRPr="00CC4B55">
              <w:rPr>
                <w:rFonts w:ascii="Calibri" w:eastAsia="Times New Roman" w:hAnsi="Calibri" w:cs="Calibri"/>
                <w:color w:val="000000"/>
                <w:sz w:val="20"/>
                <w:szCs w:val="20"/>
              </w:rPr>
              <w:t>Actual (A)</w:t>
            </w:r>
          </w:p>
        </w:tc>
        <w:tc>
          <w:tcPr>
            <w:tcW w:w="1587" w:type="dxa"/>
            <w:tcBorders>
              <w:top w:val="nil"/>
              <w:left w:val="nil"/>
              <w:bottom w:val="single" w:sz="8" w:space="0" w:color="auto"/>
              <w:right w:val="single" w:sz="8" w:space="0" w:color="auto"/>
            </w:tcBorders>
            <w:shd w:val="clear" w:color="auto" w:fill="auto"/>
            <w:vAlign w:val="center"/>
            <w:hideMark/>
          </w:tcPr>
          <w:p w14:paraId="59737209" w14:textId="77777777" w:rsidR="00D27474" w:rsidRPr="00CC4B55" w:rsidRDefault="00D27474" w:rsidP="008C3101">
            <w:pPr>
              <w:spacing w:after="0"/>
              <w:jc w:val="center"/>
              <w:rPr>
                <w:rFonts w:ascii="Calibri" w:eastAsia="Times New Roman" w:hAnsi="Calibri" w:cs="Calibri"/>
                <w:color w:val="000000"/>
                <w:sz w:val="20"/>
                <w:szCs w:val="20"/>
              </w:rPr>
            </w:pPr>
            <w:r>
              <w:rPr>
                <w:rFonts w:ascii="Calibri" w:hAnsi="Calibri" w:cs="Calibri"/>
                <w:color w:val="000000"/>
                <w:sz w:val="20"/>
                <w:szCs w:val="20"/>
              </w:rPr>
              <w:t>7,223</w:t>
            </w:r>
          </w:p>
        </w:tc>
        <w:tc>
          <w:tcPr>
            <w:tcW w:w="1587" w:type="dxa"/>
            <w:tcBorders>
              <w:top w:val="nil"/>
              <w:left w:val="nil"/>
              <w:bottom w:val="single" w:sz="8" w:space="0" w:color="auto"/>
              <w:right w:val="single" w:sz="8" w:space="0" w:color="auto"/>
            </w:tcBorders>
            <w:shd w:val="clear" w:color="auto" w:fill="auto"/>
            <w:vAlign w:val="center"/>
            <w:hideMark/>
          </w:tcPr>
          <w:p w14:paraId="3CEAB396" w14:textId="77777777" w:rsidR="00D27474" w:rsidRPr="00CC4B55" w:rsidRDefault="00D27474" w:rsidP="008C3101">
            <w:pPr>
              <w:spacing w:after="0"/>
              <w:jc w:val="center"/>
              <w:rPr>
                <w:rFonts w:ascii="Calibri" w:eastAsia="Times New Roman" w:hAnsi="Calibri" w:cs="Calibri"/>
                <w:color w:val="000000"/>
                <w:sz w:val="20"/>
                <w:szCs w:val="20"/>
              </w:rPr>
            </w:pPr>
            <w:r>
              <w:rPr>
                <w:rFonts w:ascii="Calibri" w:hAnsi="Calibri" w:cs="Calibri"/>
                <w:color w:val="000000"/>
                <w:sz w:val="20"/>
                <w:szCs w:val="20"/>
              </w:rPr>
              <w:t>9,662</w:t>
            </w:r>
          </w:p>
        </w:tc>
      </w:tr>
      <w:tr w:rsidR="00D27474" w:rsidRPr="00CC4B55" w14:paraId="6A432E2F" w14:textId="77777777" w:rsidTr="009217A6">
        <w:trPr>
          <w:trHeight w:val="315"/>
        </w:trPr>
        <w:tc>
          <w:tcPr>
            <w:tcW w:w="2709" w:type="dxa"/>
            <w:vMerge/>
            <w:tcBorders>
              <w:top w:val="nil"/>
              <w:left w:val="single" w:sz="8" w:space="0" w:color="auto"/>
              <w:bottom w:val="single" w:sz="8" w:space="0" w:color="000000"/>
              <w:right w:val="single" w:sz="8" w:space="0" w:color="auto"/>
            </w:tcBorders>
            <w:vAlign w:val="center"/>
            <w:hideMark/>
          </w:tcPr>
          <w:p w14:paraId="5E6FAB0E" w14:textId="77777777" w:rsidR="00D27474" w:rsidRPr="00CC4B55" w:rsidRDefault="00D27474" w:rsidP="008C3101">
            <w:pPr>
              <w:spacing w:after="0"/>
              <w:rPr>
                <w:rFonts w:ascii="Calibri" w:eastAsia="Times New Roman" w:hAnsi="Calibri" w:cs="Calibri"/>
                <w:color w:val="000000"/>
                <w:sz w:val="20"/>
                <w:szCs w:val="20"/>
              </w:rPr>
            </w:pPr>
          </w:p>
        </w:tc>
        <w:tc>
          <w:tcPr>
            <w:tcW w:w="1984" w:type="dxa"/>
            <w:tcBorders>
              <w:top w:val="nil"/>
              <w:left w:val="nil"/>
              <w:bottom w:val="single" w:sz="8" w:space="0" w:color="auto"/>
              <w:right w:val="single" w:sz="8" w:space="0" w:color="auto"/>
            </w:tcBorders>
            <w:shd w:val="clear" w:color="auto" w:fill="auto"/>
            <w:vAlign w:val="center"/>
            <w:hideMark/>
          </w:tcPr>
          <w:p w14:paraId="7D0229F9" w14:textId="77777777" w:rsidR="00D27474" w:rsidRPr="00CC4B55" w:rsidRDefault="00D27474" w:rsidP="008C3101">
            <w:pPr>
              <w:spacing w:after="0"/>
              <w:rPr>
                <w:rFonts w:ascii="Calibri" w:eastAsia="Times New Roman" w:hAnsi="Calibri" w:cs="Calibri"/>
                <w:color w:val="000000"/>
                <w:sz w:val="20"/>
                <w:szCs w:val="20"/>
              </w:rPr>
            </w:pPr>
            <w:r w:rsidRPr="00CC4B55">
              <w:rPr>
                <w:rFonts w:ascii="Calibri" w:eastAsia="Times New Roman" w:hAnsi="Calibri" w:cs="Calibri"/>
                <w:color w:val="000000"/>
                <w:sz w:val="20"/>
                <w:szCs w:val="20"/>
              </w:rPr>
              <w:t>% Difference (A-P)/P</w:t>
            </w:r>
          </w:p>
        </w:tc>
        <w:tc>
          <w:tcPr>
            <w:tcW w:w="1587" w:type="dxa"/>
            <w:tcBorders>
              <w:top w:val="nil"/>
              <w:left w:val="nil"/>
              <w:bottom w:val="single" w:sz="8" w:space="0" w:color="auto"/>
              <w:right w:val="single" w:sz="8" w:space="0" w:color="auto"/>
            </w:tcBorders>
            <w:shd w:val="clear" w:color="auto" w:fill="auto"/>
            <w:vAlign w:val="center"/>
            <w:hideMark/>
          </w:tcPr>
          <w:p w14:paraId="57113941" w14:textId="47B335FA" w:rsidR="00D27474" w:rsidRPr="002A64D4" w:rsidRDefault="002A64D4" w:rsidP="008C3101">
            <w:pPr>
              <w:spacing w:after="0"/>
              <w:jc w:val="center"/>
              <w:rPr>
                <w:rFonts w:ascii="Calibri" w:eastAsia="Times New Roman" w:hAnsi="Calibri" w:cs="Calibri"/>
                <w:color w:val="000000"/>
                <w:sz w:val="20"/>
                <w:szCs w:val="20"/>
                <w:highlight w:val="black"/>
              </w:rPr>
            </w:pPr>
            <w:r w:rsidRPr="002A64D4">
              <w:rPr>
                <w:rFonts w:ascii="Calibri" w:hAnsi="Calibri" w:cs="Calibri"/>
                <w:color w:val="000000"/>
                <w:sz w:val="20"/>
                <w:szCs w:val="20"/>
                <w:highlight w:val="black"/>
              </w:rPr>
              <w:t>xxxx</w:t>
            </w:r>
          </w:p>
        </w:tc>
        <w:tc>
          <w:tcPr>
            <w:tcW w:w="1587" w:type="dxa"/>
            <w:tcBorders>
              <w:top w:val="nil"/>
              <w:left w:val="nil"/>
              <w:bottom w:val="single" w:sz="8" w:space="0" w:color="auto"/>
              <w:right w:val="single" w:sz="8" w:space="0" w:color="auto"/>
            </w:tcBorders>
            <w:shd w:val="clear" w:color="auto" w:fill="auto"/>
            <w:vAlign w:val="center"/>
            <w:hideMark/>
          </w:tcPr>
          <w:p w14:paraId="4ACE5FEF" w14:textId="1839FC8B" w:rsidR="00D27474" w:rsidRPr="002A64D4" w:rsidRDefault="002A64D4" w:rsidP="008C3101">
            <w:pPr>
              <w:spacing w:after="0"/>
              <w:jc w:val="center"/>
              <w:rPr>
                <w:rFonts w:ascii="Calibri" w:eastAsia="Times New Roman" w:hAnsi="Calibri" w:cs="Calibri"/>
                <w:color w:val="000000"/>
                <w:sz w:val="20"/>
                <w:szCs w:val="20"/>
                <w:highlight w:val="black"/>
              </w:rPr>
            </w:pPr>
            <w:r w:rsidRPr="002A64D4">
              <w:rPr>
                <w:rFonts w:ascii="Calibri" w:hAnsi="Calibri" w:cs="Calibri"/>
                <w:color w:val="000000"/>
                <w:sz w:val="20"/>
                <w:szCs w:val="20"/>
                <w:highlight w:val="black"/>
              </w:rPr>
              <w:t>xxxx</w:t>
            </w:r>
          </w:p>
        </w:tc>
      </w:tr>
      <w:tr w:rsidR="00D27474" w:rsidRPr="00CC4B55" w14:paraId="416DE7BC" w14:textId="77777777" w:rsidTr="009217A6">
        <w:trPr>
          <w:trHeight w:val="315"/>
        </w:trPr>
        <w:tc>
          <w:tcPr>
            <w:tcW w:w="2709" w:type="dxa"/>
            <w:vMerge w:val="restart"/>
            <w:tcBorders>
              <w:top w:val="nil"/>
              <w:left w:val="single" w:sz="8" w:space="0" w:color="auto"/>
              <w:bottom w:val="single" w:sz="8" w:space="0" w:color="000000"/>
              <w:right w:val="single" w:sz="8" w:space="0" w:color="auto"/>
            </w:tcBorders>
            <w:shd w:val="clear" w:color="auto" w:fill="auto"/>
            <w:noWrap/>
            <w:vAlign w:val="center"/>
          </w:tcPr>
          <w:p w14:paraId="2E4FC387" w14:textId="77777777" w:rsidR="00D27474" w:rsidRPr="00CC4B55" w:rsidRDefault="001A1AA3" w:rsidP="001A1AA3">
            <w:pPr>
              <w:spacing w:after="0"/>
              <w:rPr>
                <w:rFonts w:ascii="Calibri" w:eastAsia="Times New Roman" w:hAnsi="Calibri" w:cs="Calibri"/>
                <w:color w:val="000000"/>
                <w:sz w:val="20"/>
                <w:szCs w:val="20"/>
              </w:rPr>
            </w:pPr>
            <w:r>
              <w:rPr>
                <w:rFonts w:ascii="Calibri" w:eastAsia="Times New Roman" w:hAnsi="Calibri" w:cs="Calibri"/>
                <w:color w:val="000000"/>
                <w:sz w:val="20"/>
                <w:szCs w:val="20"/>
              </w:rPr>
              <w:t>P</w:t>
            </w:r>
            <w:r w:rsidR="00D27474" w:rsidRPr="00CC4B55">
              <w:rPr>
                <w:rFonts w:ascii="Calibri" w:eastAsia="Times New Roman" w:hAnsi="Calibri" w:cs="Calibri"/>
                <w:color w:val="000000"/>
                <w:sz w:val="20"/>
                <w:szCs w:val="20"/>
              </w:rPr>
              <w:t>rescriptions per patient</w:t>
            </w:r>
            <w:r w:rsidR="004C1B5D">
              <w:rPr>
                <w:rFonts w:ascii="Calibri" w:eastAsia="Times New Roman" w:hAnsi="Calibri" w:cs="Calibri"/>
                <w:color w:val="000000"/>
                <w:sz w:val="20"/>
                <w:szCs w:val="20"/>
              </w:rPr>
              <w:t xml:space="preserve"> </w:t>
            </w:r>
          </w:p>
        </w:tc>
        <w:tc>
          <w:tcPr>
            <w:tcW w:w="1984" w:type="dxa"/>
            <w:tcBorders>
              <w:top w:val="nil"/>
              <w:left w:val="nil"/>
              <w:bottom w:val="single" w:sz="8" w:space="0" w:color="auto"/>
              <w:right w:val="single" w:sz="8" w:space="0" w:color="auto"/>
            </w:tcBorders>
            <w:shd w:val="clear" w:color="auto" w:fill="auto"/>
            <w:vAlign w:val="center"/>
          </w:tcPr>
          <w:p w14:paraId="450CCE96" w14:textId="77777777" w:rsidR="00D27474" w:rsidRPr="00CC4B55" w:rsidRDefault="00D27474" w:rsidP="008C3101">
            <w:pPr>
              <w:spacing w:after="0"/>
              <w:rPr>
                <w:rFonts w:ascii="Calibri" w:eastAsia="Times New Roman" w:hAnsi="Calibri" w:cs="Calibri"/>
                <w:color w:val="000000"/>
                <w:sz w:val="20"/>
                <w:szCs w:val="20"/>
              </w:rPr>
            </w:pPr>
            <w:r w:rsidRPr="00CC4B55">
              <w:rPr>
                <w:rFonts w:ascii="Calibri" w:eastAsia="Times New Roman" w:hAnsi="Calibri" w:cs="Calibri"/>
                <w:color w:val="000000"/>
                <w:sz w:val="20"/>
                <w:szCs w:val="20"/>
              </w:rPr>
              <w:t>Predicted (P)</w:t>
            </w:r>
          </w:p>
        </w:tc>
        <w:tc>
          <w:tcPr>
            <w:tcW w:w="1587" w:type="dxa"/>
            <w:tcBorders>
              <w:top w:val="nil"/>
              <w:left w:val="nil"/>
              <w:bottom w:val="single" w:sz="8" w:space="0" w:color="auto"/>
              <w:right w:val="single" w:sz="8" w:space="0" w:color="auto"/>
            </w:tcBorders>
            <w:shd w:val="clear" w:color="auto" w:fill="auto"/>
            <w:vAlign w:val="center"/>
          </w:tcPr>
          <w:p w14:paraId="175E2158" w14:textId="6870AD37" w:rsidR="00D27474" w:rsidRPr="002A64D4" w:rsidRDefault="002A64D4" w:rsidP="008C3101">
            <w:pPr>
              <w:spacing w:after="0"/>
              <w:jc w:val="center"/>
              <w:rPr>
                <w:rFonts w:ascii="Calibri" w:eastAsia="Times New Roman" w:hAnsi="Calibri" w:cs="Calibri"/>
                <w:color w:val="000000"/>
                <w:sz w:val="20"/>
                <w:szCs w:val="20"/>
                <w:highlight w:val="black"/>
              </w:rPr>
            </w:pPr>
            <w:r w:rsidRPr="002A64D4">
              <w:rPr>
                <w:rFonts w:ascii="Calibri" w:hAnsi="Calibri" w:cs="Calibri"/>
                <w:color w:val="000000"/>
                <w:sz w:val="20"/>
                <w:szCs w:val="20"/>
                <w:highlight w:val="black"/>
              </w:rPr>
              <w:t>xxxx</w:t>
            </w:r>
          </w:p>
        </w:tc>
        <w:tc>
          <w:tcPr>
            <w:tcW w:w="1587" w:type="dxa"/>
            <w:tcBorders>
              <w:top w:val="nil"/>
              <w:left w:val="nil"/>
              <w:bottom w:val="single" w:sz="8" w:space="0" w:color="auto"/>
              <w:right w:val="single" w:sz="8" w:space="0" w:color="auto"/>
            </w:tcBorders>
            <w:shd w:val="clear" w:color="auto" w:fill="auto"/>
            <w:vAlign w:val="center"/>
          </w:tcPr>
          <w:p w14:paraId="1131E013" w14:textId="579B6C83" w:rsidR="00D27474" w:rsidRPr="002A64D4" w:rsidRDefault="002A64D4" w:rsidP="008C3101">
            <w:pPr>
              <w:spacing w:after="0"/>
              <w:jc w:val="center"/>
              <w:rPr>
                <w:rFonts w:ascii="Calibri" w:eastAsia="Times New Roman" w:hAnsi="Calibri" w:cs="Calibri"/>
                <w:color w:val="000000"/>
                <w:sz w:val="20"/>
                <w:szCs w:val="20"/>
                <w:highlight w:val="black"/>
              </w:rPr>
            </w:pPr>
            <w:r w:rsidRPr="002A64D4">
              <w:rPr>
                <w:rFonts w:ascii="Calibri" w:hAnsi="Calibri" w:cs="Calibri"/>
                <w:color w:val="000000"/>
                <w:sz w:val="20"/>
                <w:szCs w:val="20"/>
                <w:highlight w:val="black"/>
              </w:rPr>
              <w:t>xxxx</w:t>
            </w:r>
          </w:p>
        </w:tc>
      </w:tr>
      <w:tr w:rsidR="00D27474" w:rsidRPr="00CC4B55" w14:paraId="6BE0D29B" w14:textId="77777777" w:rsidTr="009217A6">
        <w:trPr>
          <w:trHeight w:val="315"/>
        </w:trPr>
        <w:tc>
          <w:tcPr>
            <w:tcW w:w="2709" w:type="dxa"/>
            <w:vMerge/>
            <w:tcBorders>
              <w:top w:val="nil"/>
              <w:left w:val="single" w:sz="8" w:space="0" w:color="auto"/>
              <w:bottom w:val="single" w:sz="8" w:space="0" w:color="000000"/>
              <w:right w:val="single" w:sz="8" w:space="0" w:color="auto"/>
            </w:tcBorders>
            <w:vAlign w:val="center"/>
          </w:tcPr>
          <w:p w14:paraId="305FDEEE" w14:textId="77777777" w:rsidR="00D27474" w:rsidRPr="00CC4B55" w:rsidRDefault="00D27474" w:rsidP="008C3101">
            <w:pPr>
              <w:spacing w:after="0"/>
              <w:rPr>
                <w:rFonts w:ascii="Calibri" w:eastAsia="Times New Roman" w:hAnsi="Calibri" w:cs="Calibri"/>
                <w:color w:val="000000"/>
                <w:sz w:val="20"/>
                <w:szCs w:val="20"/>
              </w:rPr>
            </w:pPr>
          </w:p>
        </w:tc>
        <w:tc>
          <w:tcPr>
            <w:tcW w:w="1984" w:type="dxa"/>
            <w:tcBorders>
              <w:top w:val="nil"/>
              <w:left w:val="nil"/>
              <w:bottom w:val="single" w:sz="8" w:space="0" w:color="auto"/>
              <w:right w:val="single" w:sz="8" w:space="0" w:color="auto"/>
            </w:tcBorders>
            <w:shd w:val="clear" w:color="auto" w:fill="auto"/>
            <w:vAlign w:val="center"/>
          </w:tcPr>
          <w:p w14:paraId="68F81CD0" w14:textId="77777777" w:rsidR="00D27474" w:rsidRPr="00CC4B55" w:rsidRDefault="00D27474" w:rsidP="008C3101">
            <w:pPr>
              <w:spacing w:after="0"/>
              <w:rPr>
                <w:rFonts w:ascii="Calibri" w:eastAsia="Times New Roman" w:hAnsi="Calibri" w:cs="Calibri"/>
                <w:color w:val="000000"/>
                <w:sz w:val="20"/>
                <w:szCs w:val="20"/>
              </w:rPr>
            </w:pPr>
            <w:r w:rsidRPr="00CC4B55">
              <w:rPr>
                <w:rFonts w:ascii="Calibri" w:eastAsia="Times New Roman" w:hAnsi="Calibri" w:cs="Calibri"/>
                <w:color w:val="000000"/>
                <w:sz w:val="20"/>
                <w:szCs w:val="20"/>
              </w:rPr>
              <w:t>Actual (A)</w:t>
            </w:r>
          </w:p>
        </w:tc>
        <w:tc>
          <w:tcPr>
            <w:tcW w:w="1587" w:type="dxa"/>
            <w:tcBorders>
              <w:top w:val="nil"/>
              <w:left w:val="nil"/>
              <w:bottom w:val="single" w:sz="8" w:space="0" w:color="auto"/>
              <w:right w:val="single" w:sz="8" w:space="0" w:color="auto"/>
            </w:tcBorders>
            <w:shd w:val="clear" w:color="auto" w:fill="auto"/>
            <w:vAlign w:val="center"/>
          </w:tcPr>
          <w:p w14:paraId="117634ED" w14:textId="77777777" w:rsidR="00D27474" w:rsidRPr="00CC4B55" w:rsidRDefault="00D27474" w:rsidP="008C3101">
            <w:pPr>
              <w:spacing w:after="0"/>
              <w:jc w:val="center"/>
              <w:rPr>
                <w:rFonts w:ascii="Calibri" w:eastAsia="Times New Roman" w:hAnsi="Calibri" w:cs="Calibri"/>
                <w:color w:val="000000"/>
                <w:sz w:val="20"/>
                <w:szCs w:val="20"/>
              </w:rPr>
            </w:pPr>
            <w:r>
              <w:rPr>
                <w:rFonts w:ascii="Calibri" w:hAnsi="Calibri" w:cs="Calibri"/>
                <w:color w:val="000000"/>
                <w:sz w:val="20"/>
                <w:szCs w:val="20"/>
              </w:rPr>
              <w:t>8.4</w:t>
            </w:r>
          </w:p>
        </w:tc>
        <w:tc>
          <w:tcPr>
            <w:tcW w:w="1587" w:type="dxa"/>
            <w:tcBorders>
              <w:top w:val="nil"/>
              <w:left w:val="nil"/>
              <w:bottom w:val="single" w:sz="8" w:space="0" w:color="auto"/>
              <w:right w:val="single" w:sz="8" w:space="0" w:color="auto"/>
            </w:tcBorders>
            <w:shd w:val="clear" w:color="auto" w:fill="auto"/>
            <w:vAlign w:val="center"/>
          </w:tcPr>
          <w:p w14:paraId="7ED92802" w14:textId="77777777" w:rsidR="00D27474" w:rsidRPr="00CC4B55" w:rsidRDefault="00D27474" w:rsidP="008C3101">
            <w:pPr>
              <w:spacing w:after="0"/>
              <w:jc w:val="center"/>
              <w:rPr>
                <w:rFonts w:ascii="Calibri" w:eastAsia="Times New Roman" w:hAnsi="Calibri" w:cs="Calibri"/>
                <w:color w:val="000000"/>
                <w:sz w:val="20"/>
                <w:szCs w:val="20"/>
              </w:rPr>
            </w:pPr>
            <w:r>
              <w:rPr>
                <w:rFonts w:ascii="Calibri" w:hAnsi="Calibri" w:cs="Calibri"/>
                <w:color w:val="000000"/>
                <w:sz w:val="20"/>
                <w:szCs w:val="20"/>
              </w:rPr>
              <w:t>8.9</w:t>
            </w:r>
          </w:p>
        </w:tc>
      </w:tr>
      <w:tr w:rsidR="00D27474" w:rsidRPr="00CC4B55" w14:paraId="3F8E1372" w14:textId="77777777" w:rsidTr="009217A6">
        <w:trPr>
          <w:trHeight w:val="315"/>
        </w:trPr>
        <w:tc>
          <w:tcPr>
            <w:tcW w:w="2709" w:type="dxa"/>
            <w:vMerge/>
            <w:tcBorders>
              <w:top w:val="nil"/>
              <w:left w:val="single" w:sz="8" w:space="0" w:color="auto"/>
              <w:bottom w:val="single" w:sz="8" w:space="0" w:color="000000"/>
              <w:right w:val="single" w:sz="8" w:space="0" w:color="auto"/>
            </w:tcBorders>
            <w:vAlign w:val="center"/>
          </w:tcPr>
          <w:p w14:paraId="2AFC6425" w14:textId="77777777" w:rsidR="00D27474" w:rsidRPr="00CC4B55" w:rsidRDefault="00D27474" w:rsidP="008C3101">
            <w:pPr>
              <w:spacing w:after="0"/>
              <w:rPr>
                <w:rFonts w:ascii="Calibri" w:eastAsia="Times New Roman" w:hAnsi="Calibri" w:cs="Calibri"/>
                <w:color w:val="000000"/>
                <w:sz w:val="20"/>
                <w:szCs w:val="20"/>
              </w:rPr>
            </w:pPr>
          </w:p>
        </w:tc>
        <w:tc>
          <w:tcPr>
            <w:tcW w:w="1984" w:type="dxa"/>
            <w:tcBorders>
              <w:top w:val="nil"/>
              <w:left w:val="nil"/>
              <w:bottom w:val="single" w:sz="8" w:space="0" w:color="auto"/>
              <w:right w:val="single" w:sz="8" w:space="0" w:color="auto"/>
            </w:tcBorders>
            <w:shd w:val="clear" w:color="auto" w:fill="auto"/>
            <w:vAlign w:val="center"/>
          </w:tcPr>
          <w:p w14:paraId="2F9A9F35" w14:textId="77777777" w:rsidR="00D27474" w:rsidRPr="00CC4B55" w:rsidRDefault="00D27474" w:rsidP="008C3101">
            <w:pPr>
              <w:spacing w:after="0"/>
              <w:rPr>
                <w:rFonts w:ascii="Calibri" w:eastAsia="Times New Roman" w:hAnsi="Calibri" w:cs="Calibri"/>
                <w:color w:val="000000"/>
                <w:sz w:val="20"/>
                <w:szCs w:val="20"/>
              </w:rPr>
            </w:pPr>
            <w:r w:rsidRPr="00CC4B55">
              <w:rPr>
                <w:rFonts w:ascii="Calibri" w:eastAsia="Times New Roman" w:hAnsi="Calibri" w:cs="Calibri"/>
                <w:color w:val="000000"/>
                <w:sz w:val="20"/>
                <w:szCs w:val="20"/>
              </w:rPr>
              <w:t>% Difference (A-P)/P</w:t>
            </w:r>
          </w:p>
        </w:tc>
        <w:tc>
          <w:tcPr>
            <w:tcW w:w="1587" w:type="dxa"/>
            <w:tcBorders>
              <w:top w:val="nil"/>
              <w:left w:val="nil"/>
              <w:bottom w:val="single" w:sz="8" w:space="0" w:color="auto"/>
              <w:right w:val="single" w:sz="8" w:space="0" w:color="auto"/>
            </w:tcBorders>
            <w:shd w:val="clear" w:color="auto" w:fill="auto"/>
            <w:vAlign w:val="center"/>
          </w:tcPr>
          <w:p w14:paraId="59DA7DD5" w14:textId="4CF3BB7A" w:rsidR="00D27474" w:rsidRPr="002A64D4" w:rsidRDefault="002A64D4" w:rsidP="008C3101">
            <w:pPr>
              <w:spacing w:after="0"/>
              <w:jc w:val="center"/>
              <w:rPr>
                <w:rFonts w:ascii="Calibri" w:eastAsia="Times New Roman" w:hAnsi="Calibri" w:cs="Calibri"/>
                <w:color w:val="000000"/>
                <w:sz w:val="20"/>
                <w:szCs w:val="20"/>
                <w:highlight w:val="black"/>
              </w:rPr>
            </w:pPr>
            <w:r w:rsidRPr="002A64D4">
              <w:rPr>
                <w:rFonts w:ascii="Calibri" w:hAnsi="Calibri" w:cs="Calibri"/>
                <w:color w:val="000000"/>
                <w:sz w:val="20"/>
                <w:szCs w:val="20"/>
                <w:highlight w:val="black"/>
              </w:rPr>
              <w:t>xxxx</w:t>
            </w:r>
          </w:p>
        </w:tc>
        <w:tc>
          <w:tcPr>
            <w:tcW w:w="1587" w:type="dxa"/>
            <w:tcBorders>
              <w:top w:val="nil"/>
              <w:left w:val="nil"/>
              <w:bottom w:val="single" w:sz="8" w:space="0" w:color="auto"/>
              <w:right w:val="single" w:sz="8" w:space="0" w:color="auto"/>
            </w:tcBorders>
            <w:shd w:val="clear" w:color="auto" w:fill="auto"/>
            <w:vAlign w:val="center"/>
          </w:tcPr>
          <w:p w14:paraId="2E1A3C75" w14:textId="763FBF09" w:rsidR="00D27474" w:rsidRPr="002A64D4" w:rsidRDefault="002A64D4" w:rsidP="008C3101">
            <w:pPr>
              <w:spacing w:after="0"/>
              <w:jc w:val="center"/>
              <w:rPr>
                <w:rFonts w:ascii="Calibri" w:eastAsia="Times New Roman" w:hAnsi="Calibri" w:cs="Calibri"/>
                <w:color w:val="000000"/>
                <w:sz w:val="20"/>
                <w:szCs w:val="20"/>
                <w:highlight w:val="black"/>
              </w:rPr>
            </w:pPr>
            <w:r w:rsidRPr="002A64D4">
              <w:rPr>
                <w:rFonts w:ascii="Calibri" w:hAnsi="Calibri" w:cs="Calibri"/>
                <w:color w:val="000000"/>
                <w:sz w:val="20"/>
                <w:szCs w:val="20"/>
                <w:highlight w:val="black"/>
              </w:rPr>
              <w:t>xxxx</w:t>
            </w:r>
          </w:p>
        </w:tc>
      </w:tr>
    </w:tbl>
    <w:p w14:paraId="488CC612" w14:textId="77777777" w:rsidR="001D70E4" w:rsidRPr="004C1B5D" w:rsidRDefault="00AD6B6F" w:rsidP="001D72A5">
      <w:pPr>
        <w:pStyle w:val="Notes"/>
      </w:pPr>
      <w:r w:rsidRPr="004C1B5D">
        <w:t xml:space="preserve">Source: Final agreed estimates between </w:t>
      </w:r>
      <w:r w:rsidR="001A1AA3">
        <w:t>the Department of Health</w:t>
      </w:r>
      <w:r w:rsidRPr="004C1B5D">
        <w:t xml:space="preserve"> and sponsor (PBS Ruxolitinib vI 20151201.xlsx)</w:t>
      </w:r>
      <w:r w:rsidR="007B7F4B">
        <w:t xml:space="preserve"> with </w:t>
      </w:r>
      <w:r w:rsidR="004C08E8">
        <w:t>2016 as the first year of listing</w:t>
      </w:r>
      <w:r w:rsidR="00A05EBD" w:rsidRPr="004C1B5D">
        <w:t>.</w:t>
      </w:r>
      <w:r w:rsidR="004C1B5D">
        <w:t xml:space="preserve"> </w:t>
      </w:r>
    </w:p>
    <w:p w14:paraId="5B976938" w14:textId="0FDB19D7" w:rsidR="00517657" w:rsidRDefault="005A3F4B">
      <w:pPr>
        <w:rPr>
          <w:rFonts w:ascii="Calibri" w:eastAsia="MS Mincho" w:hAnsi="Calibri" w:cs="Times New Roman"/>
        </w:rPr>
      </w:pPr>
      <w:r w:rsidRPr="0013365A">
        <w:rPr>
          <w:rFonts w:ascii="Calibri" w:eastAsia="MS Mincho" w:hAnsi="Calibri" w:cs="Times New Roman"/>
        </w:rPr>
        <w:t xml:space="preserve">Table </w:t>
      </w:r>
      <w:r w:rsidR="00BD733E">
        <w:rPr>
          <w:rFonts w:ascii="Calibri" w:eastAsia="MS Mincho" w:hAnsi="Calibri" w:cs="Times New Roman"/>
        </w:rPr>
        <w:t>4</w:t>
      </w:r>
      <w:r>
        <w:rPr>
          <w:rFonts w:ascii="Calibri" w:eastAsia="MS Mincho" w:hAnsi="Calibri" w:cs="Times New Roman"/>
        </w:rPr>
        <w:t xml:space="preserve"> shows that the number of patients treated in both Year 1 and 2 was approximately </w:t>
      </w:r>
      <w:r w:rsidR="002A64D4" w:rsidRPr="002A64D4">
        <w:rPr>
          <w:rFonts w:ascii="Calibri" w:eastAsia="MS Mincho" w:hAnsi="Calibri" w:cs="Times New Roman"/>
          <w:highlight w:val="black"/>
        </w:rPr>
        <w:t>xx</w:t>
      </w:r>
      <w:r>
        <w:rPr>
          <w:rFonts w:ascii="Calibri" w:eastAsia="MS Mincho" w:hAnsi="Calibri" w:cs="Times New Roman"/>
        </w:rPr>
        <w:t xml:space="preserve">% more than expected. However the number of prescriptions supplied was slightly </w:t>
      </w:r>
      <w:r w:rsidR="001D70E4">
        <w:rPr>
          <w:rFonts w:ascii="Calibri" w:eastAsia="MS Mincho" w:hAnsi="Calibri" w:cs="Times New Roman"/>
        </w:rPr>
        <w:t xml:space="preserve">less </w:t>
      </w:r>
      <w:r>
        <w:rPr>
          <w:rFonts w:ascii="Calibri" w:eastAsia="MS Mincho" w:hAnsi="Calibri" w:cs="Times New Roman"/>
        </w:rPr>
        <w:t>than expected (</w:t>
      </w:r>
      <w:r w:rsidR="002A64D4" w:rsidRPr="002A64D4">
        <w:rPr>
          <w:rFonts w:ascii="Calibri" w:eastAsia="MS Mincho" w:hAnsi="Calibri" w:cs="Times New Roman"/>
          <w:highlight w:val="black"/>
        </w:rPr>
        <w:t>xxx</w:t>
      </w:r>
      <w:r>
        <w:rPr>
          <w:rFonts w:ascii="Calibri" w:eastAsia="MS Mincho" w:hAnsi="Calibri" w:cs="Times New Roman"/>
        </w:rPr>
        <w:t xml:space="preserve">% and </w:t>
      </w:r>
      <w:r w:rsidR="002A64D4" w:rsidRPr="002A64D4">
        <w:rPr>
          <w:rFonts w:ascii="Calibri" w:eastAsia="MS Mincho" w:hAnsi="Calibri" w:cs="Times New Roman"/>
          <w:highlight w:val="black"/>
        </w:rPr>
        <w:t>xxx</w:t>
      </w:r>
      <w:r>
        <w:rPr>
          <w:rFonts w:ascii="Calibri" w:eastAsia="MS Mincho" w:hAnsi="Calibri" w:cs="Times New Roman"/>
        </w:rPr>
        <w:t>% in Years 1 and 2 respectively).</w:t>
      </w:r>
      <w:r w:rsidR="004C08E8">
        <w:rPr>
          <w:rFonts w:ascii="Calibri" w:eastAsia="MS Mincho" w:hAnsi="Calibri" w:cs="Times New Roman"/>
        </w:rPr>
        <w:t xml:space="preserve"> A contributing factor </w:t>
      </w:r>
      <w:r w:rsidR="00046B8F">
        <w:rPr>
          <w:rFonts w:ascii="Calibri" w:eastAsia="MS Mincho" w:hAnsi="Calibri" w:cs="Times New Roman"/>
        </w:rPr>
        <w:t xml:space="preserve">to the lower number of prescriptions </w:t>
      </w:r>
      <w:r w:rsidR="004C08E8">
        <w:rPr>
          <w:rFonts w:ascii="Calibri" w:eastAsia="MS Mincho" w:hAnsi="Calibri" w:cs="Times New Roman"/>
        </w:rPr>
        <w:t xml:space="preserve">may be the assumption of a full year of treatment for patients new to ruxolitinib, whereas commencement is spread throughout the year (see Figure 1). For patients discontinuing treatment throughout </w:t>
      </w:r>
      <w:r w:rsidR="00046B8F">
        <w:rPr>
          <w:rFonts w:ascii="Calibri" w:eastAsia="MS Mincho" w:hAnsi="Calibri" w:cs="Times New Roman"/>
        </w:rPr>
        <w:t xml:space="preserve">the year patients were assumed to receive </w:t>
      </w:r>
      <w:r w:rsidR="004C08E8">
        <w:rPr>
          <w:rFonts w:ascii="Calibri" w:eastAsia="MS Mincho" w:hAnsi="Calibri" w:cs="Times New Roman"/>
        </w:rPr>
        <w:t xml:space="preserve">fewer </w:t>
      </w:r>
      <w:r w:rsidR="00046B8F">
        <w:rPr>
          <w:rFonts w:ascii="Calibri" w:eastAsia="MS Mincho" w:hAnsi="Calibri" w:cs="Times New Roman"/>
        </w:rPr>
        <w:t>prescriptions</w:t>
      </w:r>
      <w:r w:rsidR="004C08E8">
        <w:rPr>
          <w:rFonts w:ascii="Calibri" w:eastAsia="MS Mincho" w:hAnsi="Calibri" w:cs="Times New Roman"/>
        </w:rPr>
        <w:t>.</w:t>
      </w:r>
      <w:r w:rsidR="00046B8F">
        <w:rPr>
          <w:rFonts w:ascii="Calibri" w:eastAsia="MS Mincho" w:hAnsi="Calibri" w:cs="Times New Roman"/>
        </w:rPr>
        <w:t xml:space="preserve"> A further contributing factor to the lower number of prescriptions is likely to be lower rates of adherence in practice compared to the clinical trial setting upon which the estimates were based.</w:t>
      </w:r>
      <w:r w:rsidR="004C08E8">
        <w:rPr>
          <w:rFonts w:ascii="Calibri" w:eastAsia="MS Mincho" w:hAnsi="Calibri" w:cs="Times New Roman"/>
        </w:rPr>
        <w:t xml:space="preserve"> </w:t>
      </w:r>
      <w:r w:rsidR="00046B8F">
        <w:rPr>
          <w:rFonts w:ascii="Calibri" w:eastAsia="MS Mincho" w:hAnsi="Calibri" w:cs="Times New Roman"/>
        </w:rPr>
        <w:t xml:space="preserve">A supplementary analysis, examining the </w:t>
      </w:r>
      <w:r w:rsidR="00D4248C">
        <w:rPr>
          <w:rFonts w:ascii="Calibri" w:eastAsia="MS Mincho" w:hAnsi="Calibri" w:cs="Times New Roman"/>
        </w:rPr>
        <w:t xml:space="preserve">number of prescriptions in the first 12 months after initiation for each patient </w:t>
      </w:r>
      <w:r w:rsidR="00517657">
        <w:rPr>
          <w:rFonts w:ascii="Calibri" w:eastAsia="MS Mincho" w:hAnsi="Calibri" w:cs="Times New Roman"/>
        </w:rPr>
        <w:t>that had a full 12 months follow up (i</w:t>
      </w:r>
      <w:r w:rsidR="009217A6">
        <w:rPr>
          <w:rFonts w:ascii="Calibri" w:eastAsia="MS Mincho" w:hAnsi="Calibri" w:cs="Times New Roman"/>
        </w:rPr>
        <w:t>.</w:t>
      </w:r>
      <w:r w:rsidR="00517657">
        <w:rPr>
          <w:rFonts w:ascii="Calibri" w:eastAsia="MS Mincho" w:hAnsi="Calibri" w:cs="Times New Roman"/>
        </w:rPr>
        <w:t>e. initiators from February 2016 to the end of April 2017)</w:t>
      </w:r>
      <w:r w:rsidR="00D7624A">
        <w:rPr>
          <w:rFonts w:ascii="Calibri" w:eastAsia="MS Mincho" w:hAnsi="Calibri" w:cs="Times New Roman"/>
        </w:rPr>
        <w:t xml:space="preserve"> </w:t>
      </w:r>
      <w:r w:rsidR="00517657">
        <w:rPr>
          <w:rFonts w:ascii="Calibri" w:eastAsia="MS Mincho" w:hAnsi="Calibri" w:cs="Times New Roman"/>
        </w:rPr>
        <w:t>from the PBS data</w:t>
      </w:r>
      <w:r w:rsidR="00046B8F">
        <w:rPr>
          <w:rFonts w:ascii="Calibri" w:eastAsia="MS Mincho" w:hAnsi="Calibri" w:cs="Times New Roman"/>
        </w:rPr>
        <w:t xml:space="preserve"> found a</w:t>
      </w:r>
      <w:r w:rsidR="00D4248C">
        <w:rPr>
          <w:rFonts w:ascii="Calibri" w:eastAsia="MS Mincho" w:hAnsi="Calibri" w:cs="Times New Roman"/>
        </w:rPr>
        <w:t xml:space="preserve"> median </w:t>
      </w:r>
      <w:r w:rsidR="00046B8F">
        <w:rPr>
          <w:rFonts w:ascii="Calibri" w:eastAsia="MS Mincho" w:hAnsi="Calibri" w:cs="Times New Roman"/>
        </w:rPr>
        <w:t>of</w:t>
      </w:r>
      <w:r w:rsidR="00D4248C">
        <w:rPr>
          <w:rFonts w:ascii="Calibri" w:eastAsia="MS Mincho" w:hAnsi="Calibri" w:cs="Times New Roman"/>
        </w:rPr>
        <w:t xml:space="preserve"> 12 and </w:t>
      </w:r>
      <w:r w:rsidR="00046B8F">
        <w:rPr>
          <w:rFonts w:ascii="Calibri" w:eastAsia="MS Mincho" w:hAnsi="Calibri" w:cs="Times New Roman"/>
        </w:rPr>
        <w:t>a</w:t>
      </w:r>
      <w:r w:rsidR="00D4248C">
        <w:rPr>
          <w:rFonts w:ascii="Calibri" w:eastAsia="MS Mincho" w:hAnsi="Calibri" w:cs="Times New Roman"/>
        </w:rPr>
        <w:t xml:space="preserve"> mean</w:t>
      </w:r>
      <w:r w:rsidR="00596318">
        <w:rPr>
          <w:rFonts w:ascii="Calibri" w:eastAsia="MS Mincho" w:hAnsi="Calibri" w:cs="Times New Roman"/>
        </w:rPr>
        <w:t xml:space="preserve"> </w:t>
      </w:r>
      <w:r w:rsidR="00046B8F">
        <w:rPr>
          <w:rFonts w:ascii="Calibri" w:eastAsia="MS Mincho" w:hAnsi="Calibri" w:cs="Times New Roman"/>
        </w:rPr>
        <w:t>of</w:t>
      </w:r>
      <w:r w:rsidR="00D4248C">
        <w:rPr>
          <w:rFonts w:ascii="Calibri" w:eastAsia="MS Mincho" w:hAnsi="Calibri" w:cs="Times New Roman"/>
        </w:rPr>
        <w:t xml:space="preserve"> 10.8 prescriptions. </w:t>
      </w:r>
    </w:p>
    <w:p w14:paraId="5AAC6A86" w14:textId="77777777" w:rsidR="00596318" w:rsidRDefault="0001224A" w:rsidP="009217A6">
      <w:r>
        <w:t xml:space="preserve">The PBAC considered that for the </w:t>
      </w:r>
      <w:r w:rsidR="00080DB2">
        <w:t xml:space="preserve">purpose of the </w:t>
      </w:r>
      <w:r>
        <w:t xml:space="preserve">RSA the maximum number of </w:t>
      </w:r>
      <w:r w:rsidR="001220FB">
        <w:t>Int</w:t>
      </w:r>
      <w:r w:rsidR="001220FB">
        <w:noBreakHyphen/>
      </w:r>
      <w:r>
        <w:t>1 patients should not ex</w:t>
      </w:r>
      <w:r w:rsidR="003164B9">
        <w:t xml:space="preserve">ceed the number of </w:t>
      </w:r>
      <w:r w:rsidR="001220FB">
        <w:t>Int</w:t>
      </w:r>
      <w:r w:rsidR="001220FB">
        <w:noBreakHyphen/>
      </w:r>
      <w:r>
        <w:t xml:space="preserve">1 patients in the pre-PBAC response. </w:t>
      </w:r>
      <w:r w:rsidR="004C1B5D">
        <w:t>Table 5</w:t>
      </w:r>
      <w:r w:rsidR="00596318">
        <w:t xml:space="preserve"> </w:t>
      </w:r>
      <w:r w:rsidR="00E676DA">
        <w:t xml:space="preserve">compares </w:t>
      </w:r>
      <w:r w:rsidR="00080DB2">
        <w:t xml:space="preserve">the predicted and actual </w:t>
      </w:r>
      <w:r w:rsidR="00E676DA">
        <w:t>patient numbers by indication.</w:t>
      </w:r>
    </w:p>
    <w:p w14:paraId="237F8713" w14:textId="77777777" w:rsidR="00596318" w:rsidRDefault="00596318">
      <w:pPr>
        <w:spacing w:line="276" w:lineRule="auto"/>
      </w:pPr>
      <w:r>
        <w:br w:type="page"/>
      </w:r>
    </w:p>
    <w:p w14:paraId="6E6DA90F" w14:textId="77777777" w:rsidR="00755A56" w:rsidRPr="003164B9" w:rsidRDefault="00755A56" w:rsidP="009217A6">
      <w:pPr>
        <w:pStyle w:val="Tabletitle"/>
        <w:rPr>
          <w:sz w:val="20"/>
        </w:rPr>
      </w:pPr>
      <w:r>
        <w:lastRenderedPageBreak/>
        <w:t>T</w:t>
      </w:r>
      <w:r w:rsidR="00BD733E">
        <w:t>able 5</w:t>
      </w:r>
      <w:r w:rsidRPr="00CC4B55">
        <w:t>:</w:t>
      </w:r>
      <w:r>
        <w:t xml:space="preserve"> Predicted vs Actual analysis by </w:t>
      </w:r>
      <w:r w:rsidR="00BD733E">
        <w:t xml:space="preserve">indication </w:t>
      </w:r>
    </w:p>
    <w:tbl>
      <w:tblPr>
        <w:tblW w:w="8816" w:type="dxa"/>
        <w:tblInd w:w="93" w:type="dxa"/>
        <w:tblLook w:val="04A0" w:firstRow="1" w:lastRow="0" w:firstColumn="1" w:lastColumn="0" w:noHBand="0" w:noVBand="1"/>
      </w:tblPr>
      <w:tblGrid>
        <w:gridCol w:w="3417"/>
        <w:gridCol w:w="2225"/>
        <w:gridCol w:w="1587"/>
        <w:gridCol w:w="1587"/>
      </w:tblGrid>
      <w:tr w:rsidR="00755A56" w:rsidRPr="00755A56" w14:paraId="4C11EDF8" w14:textId="77777777" w:rsidTr="009217A6">
        <w:trPr>
          <w:trHeight w:val="315"/>
        </w:trPr>
        <w:tc>
          <w:tcPr>
            <w:tcW w:w="3417"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14:paraId="7FFB9763" w14:textId="77777777" w:rsidR="00755A56" w:rsidRPr="00755A56" w:rsidRDefault="00755A56" w:rsidP="00755A56">
            <w:pPr>
              <w:spacing w:after="0"/>
              <w:rPr>
                <w:rFonts w:ascii="Calibri" w:eastAsia="Times New Roman" w:hAnsi="Calibri" w:cs="Calibri"/>
                <w:color w:val="000000"/>
                <w:sz w:val="20"/>
                <w:szCs w:val="20"/>
              </w:rPr>
            </w:pPr>
          </w:p>
        </w:tc>
        <w:tc>
          <w:tcPr>
            <w:tcW w:w="2225"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71EBA361" w14:textId="77777777" w:rsidR="00755A56" w:rsidRPr="00755A56" w:rsidRDefault="00755A56" w:rsidP="00755A56">
            <w:pPr>
              <w:spacing w:after="0"/>
              <w:rPr>
                <w:rFonts w:ascii="Calibri" w:eastAsia="Times New Roman" w:hAnsi="Calibri" w:cs="Calibri"/>
                <w:b/>
                <w:bCs/>
                <w:color w:val="000000"/>
                <w:sz w:val="20"/>
                <w:szCs w:val="20"/>
              </w:rPr>
            </w:pPr>
            <w:r w:rsidRPr="00755A56">
              <w:rPr>
                <w:rFonts w:ascii="Calibri" w:eastAsia="Times New Roman" w:hAnsi="Calibri" w:cs="Calibri"/>
                <w:b/>
                <w:bCs/>
                <w:color w:val="000000"/>
                <w:sz w:val="20"/>
                <w:szCs w:val="20"/>
              </w:rPr>
              <w:t> </w:t>
            </w:r>
          </w:p>
        </w:tc>
        <w:tc>
          <w:tcPr>
            <w:tcW w:w="1587" w:type="dxa"/>
            <w:tcBorders>
              <w:top w:val="single" w:sz="8" w:space="0" w:color="auto"/>
              <w:left w:val="nil"/>
              <w:bottom w:val="single" w:sz="8" w:space="0" w:color="auto"/>
              <w:right w:val="single" w:sz="8" w:space="0" w:color="auto"/>
            </w:tcBorders>
            <w:shd w:val="clear" w:color="000000" w:fill="BFBFBF"/>
            <w:noWrap/>
            <w:vAlign w:val="center"/>
            <w:hideMark/>
          </w:tcPr>
          <w:p w14:paraId="77E7A829" w14:textId="77777777" w:rsidR="00755A56" w:rsidRPr="00755A56" w:rsidRDefault="00755A56" w:rsidP="00755A56">
            <w:pPr>
              <w:spacing w:after="0"/>
              <w:jc w:val="center"/>
              <w:rPr>
                <w:rFonts w:ascii="Calibri" w:eastAsia="Times New Roman" w:hAnsi="Calibri" w:cs="Calibri"/>
                <w:b/>
                <w:bCs/>
                <w:color w:val="000000"/>
                <w:sz w:val="20"/>
                <w:szCs w:val="20"/>
              </w:rPr>
            </w:pPr>
            <w:r w:rsidRPr="00755A56">
              <w:rPr>
                <w:rFonts w:ascii="Calibri" w:eastAsia="Times New Roman" w:hAnsi="Calibri" w:cs="Calibri"/>
                <w:b/>
                <w:bCs/>
                <w:color w:val="000000"/>
                <w:sz w:val="20"/>
                <w:szCs w:val="20"/>
              </w:rPr>
              <w:t>Year1</w:t>
            </w:r>
          </w:p>
        </w:tc>
        <w:tc>
          <w:tcPr>
            <w:tcW w:w="1587" w:type="dxa"/>
            <w:tcBorders>
              <w:top w:val="single" w:sz="8" w:space="0" w:color="auto"/>
              <w:left w:val="nil"/>
              <w:bottom w:val="single" w:sz="8" w:space="0" w:color="auto"/>
              <w:right w:val="single" w:sz="8" w:space="0" w:color="auto"/>
            </w:tcBorders>
            <w:shd w:val="clear" w:color="000000" w:fill="BFBFBF"/>
            <w:noWrap/>
            <w:vAlign w:val="center"/>
            <w:hideMark/>
          </w:tcPr>
          <w:p w14:paraId="0D2B2AB4" w14:textId="77777777" w:rsidR="00755A56" w:rsidRPr="00755A56" w:rsidRDefault="00755A56" w:rsidP="00755A56">
            <w:pPr>
              <w:spacing w:after="0"/>
              <w:jc w:val="center"/>
              <w:rPr>
                <w:rFonts w:ascii="Calibri" w:eastAsia="Times New Roman" w:hAnsi="Calibri" w:cs="Calibri"/>
                <w:b/>
                <w:bCs/>
                <w:color w:val="000000"/>
                <w:sz w:val="20"/>
                <w:szCs w:val="20"/>
              </w:rPr>
            </w:pPr>
            <w:r w:rsidRPr="00755A56">
              <w:rPr>
                <w:rFonts w:ascii="Calibri" w:eastAsia="Times New Roman" w:hAnsi="Calibri" w:cs="Calibri"/>
                <w:b/>
                <w:bCs/>
                <w:color w:val="000000"/>
                <w:sz w:val="20"/>
                <w:szCs w:val="20"/>
              </w:rPr>
              <w:t>Year 2</w:t>
            </w:r>
          </w:p>
        </w:tc>
      </w:tr>
      <w:tr w:rsidR="00755A56" w:rsidRPr="00755A56" w14:paraId="4979FDBA" w14:textId="77777777" w:rsidTr="009217A6">
        <w:trPr>
          <w:trHeight w:val="315"/>
        </w:trPr>
        <w:tc>
          <w:tcPr>
            <w:tcW w:w="3417" w:type="dxa"/>
            <w:vMerge/>
            <w:tcBorders>
              <w:top w:val="single" w:sz="8" w:space="0" w:color="auto"/>
              <w:left w:val="single" w:sz="8" w:space="0" w:color="auto"/>
              <w:bottom w:val="single" w:sz="8" w:space="0" w:color="000000"/>
              <w:right w:val="single" w:sz="8" w:space="0" w:color="auto"/>
            </w:tcBorders>
            <w:vAlign w:val="center"/>
            <w:hideMark/>
          </w:tcPr>
          <w:p w14:paraId="66E30DDF" w14:textId="77777777" w:rsidR="00755A56" w:rsidRPr="00755A56" w:rsidRDefault="00755A56" w:rsidP="00755A56">
            <w:pPr>
              <w:spacing w:after="0"/>
              <w:rPr>
                <w:rFonts w:ascii="Calibri" w:eastAsia="Times New Roman" w:hAnsi="Calibri" w:cs="Calibri"/>
                <w:color w:val="000000"/>
                <w:sz w:val="20"/>
                <w:szCs w:val="20"/>
              </w:rPr>
            </w:pPr>
          </w:p>
        </w:tc>
        <w:tc>
          <w:tcPr>
            <w:tcW w:w="2225" w:type="dxa"/>
            <w:vMerge/>
            <w:tcBorders>
              <w:top w:val="single" w:sz="8" w:space="0" w:color="auto"/>
              <w:left w:val="single" w:sz="8" w:space="0" w:color="auto"/>
              <w:bottom w:val="single" w:sz="8" w:space="0" w:color="000000"/>
              <w:right w:val="single" w:sz="8" w:space="0" w:color="auto"/>
            </w:tcBorders>
            <w:vAlign w:val="center"/>
            <w:hideMark/>
          </w:tcPr>
          <w:p w14:paraId="2F98087E" w14:textId="77777777" w:rsidR="00755A56" w:rsidRPr="00755A56" w:rsidRDefault="00755A56" w:rsidP="00755A56">
            <w:pPr>
              <w:spacing w:after="0"/>
              <w:rPr>
                <w:rFonts w:ascii="Calibri" w:eastAsia="Times New Roman" w:hAnsi="Calibri" w:cs="Calibri"/>
                <w:b/>
                <w:bCs/>
                <w:color w:val="000000"/>
                <w:sz w:val="20"/>
                <w:szCs w:val="20"/>
              </w:rPr>
            </w:pPr>
          </w:p>
        </w:tc>
        <w:tc>
          <w:tcPr>
            <w:tcW w:w="1587" w:type="dxa"/>
            <w:tcBorders>
              <w:top w:val="nil"/>
              <w:left w:val="nil"/>
              <w:bottom w:val="single" w:sz="8" w:space="0" w:color="auto"/>
              <w:right w:val="single" w:sz="8" w:space="0" w:color="auto"/>
            </w:tcBorders>
            <w:shd w:val="clear" w:color="000000" w:fill="BFBFBF"/>
            <w:noWrap/>
            <w:vAlign w:val="center"/>
            <w:hideMark/>
          </w:tcPr>
          <w:p w14:paraId="768A9380" w14:textId="77777777" w:rsidR="00755A56" w:rsidRPr="00755A56" w:rsidRDefault="00755A56" w:rsidP="00755A56">
            <w:pPr>
              <w:spacing w:after="0"/>
              <w:jc w:val="center"/>
              <w:rPr>
                <w:rFonts w:ascii="Calibri" w:eastAsia="Times New Roman" w:hAnsi="Calibri" w:cs="Calibri"/>
                <w:b/>
                <w:bCs/>
                <w:color w:val="000000"/>
                <w:sz w:val="20"/>
                <w:szCs w:val="20"/>
              </w:rPr>
            </w:pPr>
            <w:r w:rsidRPr="00755A56">
              <w:rPr>
                <w:rFonts w:ascii="Calibri" w:eastAsia="Times New Roman" w:hAnsi="Calibri" w:cs="Calibri"/>
                <w:b/>
                <w:bCs/>
                <w:color w:val="000000"/>
                <w:sz w:val="20"/>
                <w:szCs w:val="20"/>
              </w:rPr>
              <w:t>Feb 16 to Jan 17</w:t>
            </w:r>
          </w:p>
        </w:tc>
        <w:tc>
          <w:tcPr>
            <w:tcW w:w="1587" w:type="dxa"/>
            <w:tcBorders>
              <w:top w:val="nil"/>
              <w:left w:val="nil"/>
              <w:bottom w:val="single" w:sz="8" w:space="0" w:color="auto"/>
              <w:right w:val="single" w:sz="8" w:space="0" w:color="auto"/>
            </w:tcBorders>
            <w:shd w:val="clear" w:color="000000" w:fill="BFBFBF"/>
            <w:noWrap/>
            <w:vAlign w:val="center"/>
            <w:hideMark/>
          </w:tcPr>
          <w:p w14:paraId="3D498B83" w14:textId="77777777" w:rsidR="00755A56" w:rsidRPr="00755A56" w:rsidRDefault="00755A56" w:rsidP="00755A56">
            <w:pPr>
              <w:spacing w:after="0"/>
              <w:jc w:val="center"/>
              <w:rPr>
                <w:rFonts w:ascii="Calibri" w:eastAsia="Times New Roman" w:hAnsi="Calibri" w:cs="Calibri"/>
                <w:b/>
                <w:bCs/>
                <w:color w:val="000000"/>
                <w:sz w:val="20"/>
                <w:szCs w:val="20"/>
              </w:rPr>
            </w:pPr>
            <w:r w:rsidRPr="00755A56">
              <w:rPr>
                <w:rFonts w:ascii="Calibri" w:eastAsia="Times New Roman" w:hAnsi="Calibri" w:cs="Calibri"/>
                <w:b/>
                <w:bCs/>
                <w:color w:val="000000"/>
                <w:sz w:val="20"/>
                <w:szCs w:val="20"/>
              </w:rPr>
              <w:t>Feb 17 to Jan 18</w:t>
            </w:r>
          </w:p>
        </w:tc>
      </w:tr>
      <w:tr w:rsidR="00262D9A" w:rsidRPr="00755A56" w14:paraId="0D8914BA" w14:textId="77777777" w:rsidTr="009217A6">
        <w:trPr>
          <w:trHeight w:val="315"/>
        </w:trPr>
        <w:tc>
          <w:tcPr>
            <w:tcW w:w="3417" w:type="dxa"/>
            <w:vMerge w:val="restart"/>
            <w:tcBorders>
              <w:top w:val="nil"/>
              <w:left w:val="single" w:sz="8" w:space="0" w:color="auto"/>
              <w:bottom w:val="single" w:sz="8" w:space="0" w:color="000000"/>
              <w:right w:val="single" w:sz="8" w:space="0" w:color="auto"/>
            </w:tcBorders>
            <w:shd w:val="clear" w:color="auto" w:fill="auto"/>
            <w:vAlign w:val="center"/>
            <w:hideMark/>
          </w:tcPr>
          <w:p w14:paraId="680799F1" w14:textId="77777777" w:rsidR="00262D9A" w:rsidRPr="00755A56" w:rsidRDefault="00262D9A" w:rsidP="00FF0329">
            <w:pPr>
              <w:spacing w:after="0"/>
              <w:rPr>
                <w:rFonts w:ascii="Calibri" w:eastAsia="Times New Roman" w:hAnsi="Calibri" w:cs="Calibri"/>
                <w:color w:val="000000"/>
                <w:sz w:val="20"/>
                <w:szCs w:val="20"/>
              </w:rPr>
            </w:pPr>
            <w:r w:rsidRPr="00755A56">
              <w:rPr>
                <w:rFonts w:ascii="Calibri" w:eastAsia="Times New Roman" w:hAnsi="Calibri" w:cs="Calibri"/>
                <w:color w:val="000000"/>
                <w:sz w:val="20"/>
                <w:szCs w:val="20"/>
              </w:rPr>
              <w:t>Treated Int-1 patients</w:t>
            </w:r>
          </w:p>
        </w:tc>
        <w:tc>
          <w:tcPr>
            <w:tcW w:w="2225" w:type="dxa"/>
            <w:tcBorders>
              <w:top w:val="nil"/>
              <w:left w:val="nil"/>
              <w:bottom w:val="single" w:sz="8" w:space="0" w:color="auto"/>
              <w:right w:val="single" w:sz="8" w:space="0" w:color="auto"/>
            </w:tcBorders>
            <w:shd w:val="clear" w:color="auto" w:fill="auto"/>
            <w:vAlign w:val="center"/>
            <w:hideMark/>
          </w:tcPr>
          <w:p w14:paraId="06A9966F" w14:textId="77777777" w:rsidR="00262D9A" w:rsidRPr="00755A56" w:rsidRDefault="00262D9A" w:rsidP="00755A56">
            <w:pPr>
              <w:spacing w:after="0"/>
              <w:rPr>
                <w:rFonts w:ascii="Calibri" w:eastAsia="Times New Roman" w:hAnsi="Calibri" w:cs="Calibri"/>
                <w:color w:val="000000"/>
                <w:sz w:val="20"/>
                <w:szCs w:val="20"/>
              </w:rPr>
            </w:pPr>
            <w:r w:rsidRPr="00755A56">
              <w:rPr>
                <w:rFonts w:ascii="Calibri" w:eastAsia="Times New Roman" w:hAnsi="Calibri" w:cs="Calibri"/>
                <w:color w:val="000000"/>
                <w:sz w:val="20"/>
                <w:szCs w:val="20"/>
              </w:rPr>
              <w:t>Predicted (P)</w:t>
            </w:r>
          </w:p>
        </w:tc>
        <w:tc>
          <w:tcPr>
            <w:tcW w:w="1587" w:type="dxa"/>
            <w:tcBorders>
              <w:top w:val="nil"/>
              <w:left w:val="nil"/>
              <w:bottom w:val="single" w:sz="8" w:space="0" w:color="auto"/>
              <w:right w:val="single" w:sz="8" w:space="0" w:color="auto"/>
            </w:tcBorders>
            <w:shd w:val="clear" w:color="auto" w:fill="auto"/>
            <w:vAlign w:val="center"/>
            <w:hideMark/>
          </w:tcPr>
          <w:p w14:paraId="32FCD8AC" w14:textId="13029BAC" w:rsidR="00262D9A" w:rsidRPr="002A64D4" w:rsidRDefault="002A64D4" w:rsidP="00755A56">
            <w:pPr>
              <w:spacing w:after="0"/>
              <w:jc w:val="center"/>
              <w:rPr>
                <w:rFonts w:ascii="Calibri" w:eastAsia="Times New Roman" w:hAnsi="Calibri" w:cs="Calibri"/>
                <w:color w:val="000000"/>
                <w:sz w:val="20"/>
                <w:szCs w:val="20"/>
                <w:highlight w:val="black"/>
              </w:rPr>
            </w:pPr>
            <w:r w:rsidRPr="002A64D4">
              <w:rPr>
                <w:rFonts w:ascii="Calibri" w:hAnsi="Calibri" w:cs="Calibri"/>
                <w:color w:val="000000"/>
                <w:sz w:val="20"/>
                <w:szCs w:val="20"/>
                <w:highlight w:val="black"/>
              </w:rPr>
              <w:t>xxx</w:t>
            </w:r>
          </w:p>
        </w:tc>
        <w:tc>
          <w:tcPr>
            <w:tcW w:w="1587" w:type="dxa"/>
            <w:tcBorders>
              <w:top w:val="nil"/>
              <w:left w:val="nil"/>
              <w:bottom w:val="single" w:sz="8" w:space="0" w:color="auto"/>
              <w:right w:val="single" w:sz="8" w:space="0" w:color="auto"/>
            </w:tcBorders>
            <w:shd w:val="clear" w:color="auto" w:fill="auto"/>
            <w:vAlign w:val="center"/>
            <w:hideMark/>
          </w:tcPr>
          <w:p w14:paraId="291108BD" w14:textId="6145D955" w:rsidR="00262D9A" w:rsidRPr="002A64D4" w:rsidRDefault="002A64D4" w:rsidP="00755A56">
            <w:pPr>
              <w:spacing w:after="0"/>
              <w:jc w:val="center"/>
              <w:rPr>
                <w:rFonts w:ascii="Calibri" w:eastAsia="Times New Roman" w:hAnsi="Calibri" w:cs="Calibri"/>
                <w:color w:val="000000"/>
                <w:sz w:val="20"/>
                <w:szCs w:val="20"/>
                <w:highlight w:val="black"/>
              </w:rPr>
            </w:pPr>
            <w:r w:rsidRPr="002A64D4">
              <w:rPr>
                <w:rFonts w:ascii="Calibri" w:hAnsi="Calibri" w:cs="Calibri"/>
                <w:color w:val="000000"/>
                <w:sz w:val="20"/>
                <w:szCs w:val="20"/>
                <w:highlight w:val="black"/>
              </w:rPr>
              <w:t>xxx</w:t>
            </w:r>
          </w:p>
        </w:tc>
      </w:tr>
      <w:tr w:rsidR="00262D9A" w:rsidRPr="00755A56" w14:paraId="5884B839" w14:textId="77777777" w:rsidTr="009217A6">
        <w:trPr>
          <w:trHeight w:val="315"/>
        </w:trPr>
        <w:tc>
          <w:tcPr>
            <w:tcW w:w="3417" w:type="dxa"/>
            <w:vMerge/>
            <w:tcBorders>
              <w:top w:val="nil"/>
              <w:left w:val="single" w:sz="8" w:space="0" w:color="auto"/>
              <w:bottom w:val="single" w:sz="8" w:space="0" w:color="000000"/>
              <w:right w:val="single" w:sz="8" w:space="0" w:color="auto"/>
            </w:tcBorders>
            <w:vAlign w:val="center"/>
            <w:hideMark/>
          </w:tcPr>
          <w:p w14:paraId="5EECE3C8" w14:textId="77777777" w:rsidR="00262D9A" w:rsidRPr="00755A56" w:rsidRDefault="00262D9A" w:rsidP="00755A56">
            <w:pPr>
              <w:spacing w:after="0"/>
              <w:rPr>
                <w:rFonts w:ascii="Calibri" w:eastAsia="Times New Roman" w:hAnsi="Calibri" w:cs="Calibri"/>
                <w:color w:val="000000"/>
                <w:sz w:val="20"/>
                <w:szCs w:val="20"/>
              </w:rPr>
            </w:pPr>
          </w:p>
        </w:tc>
        <w:tc>
          <w:tcPr>
            <w:tcW w:w="2225" w:type="dxa"/>
            <w:tcBorders>
              <w:top w:val="nil"/>
              <w:left w:val="nil"/>
              <w:bottom w:val="single" w:sz="8" w:space="0" w:color="auto"/>
              <w:right w:val="single" w:sz="8" w:space="0" w:color="auto"/>
            </w:tcBorders>
            <w:shd w:val="clear" w:color="auto" w:fill="auto"/>
            <w:vAlign w:val="center"/>
            <w:hideMark/>
          </w:tcPr>
          <w:p w14:paraId="40EB630C" w14:textId="77777777" w:rsidR="00262D9A" w:rsidRPr="00755A56" w:rsidRDefault="00262D9A" w:rsidP="00755A56">
            <w:pPr>
              <w:spacing w:after="0"/>
              <w:rPr>
                <w:rFonts w:ascii="Calibri" w:eastAsia="Times New Roman" w:hAnsi="Calibri" w:cs="Calibri"/>
                <w:color w:val="000000"/>
                <w:sz w:val="20"/>
                <w:szCs w:val="20"/>
              </w:rPr>
            </w:pPr>
            <w:r w:rsidRPr="00755A56">
              <w:rPr>
                <w:rFonts w:ascii="Calibri" w:eastAsia="Times New Roman" w:hAnsi="Calibri" w:cs="Calibri"/>
                <w:color w:val="000000"/>
                <w:sz w:val="20"/>
                <w:szCs w:val="20"/>
              </w:rPr>
              <w:t>Actual (A)</w:t>
            </w:r>
          </w:p>
        </w:tc>
        <w:tc>
          <w:tcPr>
            <w:tcW w:w="1587" w:type="dxa"/>
            <w:tcBorders>
              <w:top w:val="nil"/>
              <w:left w:val="nil"/>
              <w:bottom w:val="single" w:sz="8" w:space="0" w:color="auto"/>
              <w:right w:val="single" w:sz="8" w:space="0" w:color="auto"/>
            </w:tcBorders>
            <w:shd w:val="clear" w:color="auto" w:fill="auto"/>
            <w:vAlign w:val="center"/>
            <w:hideMark/>
          </w:tcPr>
          <w:p w14:paraId="214392B6" w14:textId="77777777" w:rsidR="00262D9A" w:rsidRPr="00755A56" w:rsidRDefault="00262D9A" w:rsidP="00755A56">
            <w:pPr>
              <w:spacing w:after="0"/>
              <w:jc w:val="center"/>
              <w:rPr>
                <w:rFonts w:ascii="Calibri" w:eastAsia="Times New Roman" w:hAnsi="Calibri" w:cs="Calibri"/>
                <w:color w:val="000000"/>
                <w:sz w:val="20"/>
                <w:szCs w:val="20"/>
              </w:rPr>
            </w:pPr>
            <w:r>
              <w:rPr>
                <w:rFonts w:ascii="Calibri" w:hAnsi="Calibri" w:cs="Calibri"/>
                <w:color w:val="000000"/>
                <w:sz w:val="20"/>
                <w:szCs w:val="20"/>
              </w:rPr>
              <w:t>124</w:t>
            </w:r>
          </w:p>
        </w:tc>
        <w:tc>
          <w:tcPr>
            <w:tcW w:w="1587" w:type="dxa"/>
            <w:tcBorders>
              <w:top w:val="nil"/>
              <w:left w:val="nil"/>
              <w:bottom w:val="single" w:sz="8" w:space="0" w:color="auto"/>
              <w:right w:val="single" w:sz="8" w:space="0" w:color="auto"/>
            </w:tcBorders>
            <w:shd w:val="clear" w:color="auto" w:fill="auto"/>
            <w:vAlign w:val="center"/>
            <w:hideMark/>
          </w:tcPr>
          <w:p w14:paraId="3860114E" w14:textId="77777777" w:rsidR="00262D9A" w:rsidRPr="00755A56" w:rsidRDefault="00262D9A" w:rsidP="00755A56">
            <w:pPr>
              <w:spacing w:after="0"/>
              <w:jc w:val="center"/>
              <w:rPr>
                <w:rFonts w:ascii="Calibri" w:eastAsia="Times New Roman" w:hAnsi="Calibri" w:cs="Calibri"/>
                <w:color w:val="000000"/>
                <w:sz w:val="20"/>
                <w:szCs w:val="20"/>
              </w:rPr>
            </w:pPr>
            <w:r>
              <w:rPr>
                <w:rFonts w:ascii="Calibri" w:hAnsi="Calibri" w:cs="Calibri"/>
                <w:color w:val="000000"/>
                <w:sz w:val="20"/>
                <w:szCs w:val="20"/>
              </w:rPr>
              <w:t>253</w:t>
            </w:r>
          </w:p>
        </w:tc>
      </w:tr>
      <w:tr w:rsidR="00262D9A" w:rsidRPr="00755A56" w14:paraId="1832A840" w14:textId="77777777" w:rsidTr="009217A6">
        <w:trPr>
          <w:trHeight w:val="315"/>
        </w:trPr>
        <w:tc>
          <w:tcPr>
            <w:tcW w:w="3417" w:type="dxa"/>
            <w:vMerge/>
            <w:tcBorders>
              <w:top w:val="nil"/>
              <w:left w:val="single" w:sz="8" w:space="0" w:color="auto"/>
              <w:bottom w:val="single" w:sz="8" w:space="0" w:color="000000"/>
              <w:right w:val="single" w:sz="8" w:space="0" w:color="auto"/>
            </w:tcBorders>
            <w:vAlign w:val="center"/>
            <w:hideMark/>
          </w:tcPr>
          <w:p w14:paraId="769C4935" w14:textId="77777777" w:rsidR="00262D9A" w:rsidRPr="00755A56" w:rsidRDefault="00262D9A" w:rsidP="00755A56">
            <w:pPr>
              <w:spacing w:after="0"/>
              <w:rPr>
                <w:rFonts w:ascii="Calibri" w:eastAsia="Times New Roman" w:hAnsi="Calibri" w:cs="Calibri"/>
                <w:color w:val="000000"/>
                <w:sz w:val="20"/>
                <w:szCs w:val="20"/>
              </w:rPr>
            </w:pPr>
          </w:p>
        </w:tc>
        <w:tc>
          <w:tcPr>
            <w:tcW w:w="2225" w:type="dxa"/>
            <w:tcBorders>
              <w:top w:val="nil"/>
              <w:left w:val="nil"/>
              <w:bottom w:val="single" w:sz="8" w:space="0" w:color="auto"/>
              <w:right w:val="single" w:sz="8" w:space="0" w:color="auto"/>
            </w:tcBorders>
            <w:shd w:val="clear" w:color="auto" w:fill="auto"/>
            <w:vAlign w:val="center"/>
            <w:hideMark/>
          </w:tcPr>
          <w:p w14:paraId="64B162AC" w14:textId="77777777" w:rsidR="00262D9A" w:rsidRPr="00755A56" w:rsidRDefault="00262D9A" w:rsidP="00755A56">
            <w:pPr>
              <w:spacing w:after="0"/>
              <w:rPr>
                <w:rFonts w:ascii="Calibri" w:eastAsia="Times New Roman" w:hAnsi="Calibri" w:cs="Calibri"/>
                <w:color w:val="000000"/>
                <w:sz w:val="20"/>
                <w:szCs w:val="20"/>
              </w:rPr>
            </w:pPr>
            <w:r w:rsidRPr="00755A56">
              <w:rPr>
                <w:rFonts w:ascii="Calibri" w:eastAsia="Times New Roman" w:hAnsi="Calibri" w:cs="Calibri"/>
                <w:color w:val="000000"/>
                <w:sz w:val="20"/>
                <w:szCs w:val="20"/>
              </w:rPr>
              <w:t>% Difference (A-P)/P</w:t>
            </w:r>
          </w:p>
        </w:tc>
        <w:tc>
          <w:tcPr>
            <w:tcW w:w="1587" w:type="dxa"/>
            <w:tcBorders>
              <w:top w:val="nil"/>
              <w:left w:val="nil"/>
              <w:bottom w:val="single" w:sz="8" w:space="0" w:color="auto"/>
              <w:right w:val="single" w:sz="8" w:space="0" w:color="auto"/>
            </w:tcBorders>
            <w:shd w:val="clear" w:color="auto" w:fill="auto"/>
            <w:vAlign w:val="center"/>
            <w:hideMark/>
          </w:tcPr>
          <w:p w14:paraId="04235A66" w14:textId="024AB4DD" w:rsidR="00262D9A" w:rsidRPr="002A64D4" w:rsidRDefault="002A64D4" w:rsidP="00755A56">
            <w:pPr>
              <w:spacing w:after="0"/>
              <w:jc w:val="center"/>
              <w:rPr>
                <w:rFonts w:ascii="Calibri" w:eastAsia="Times New Roman" w:hAnsi="Calibri" w:cs="Calibri"/>
                <w:color w:val="000000"/>
                <w:sz w:val="20"/>
                <w:szCs w:val="20"/>
                <w:highlight w:val="black"/>
              </w:rPr>
            </w:pPr>
            <w:r w:rsidRPr="002A64D4">
              <w:rPr>
                <w:rFonts w:ascii="Calibri" w:hAnsi="Calibri" w:cs="Calibri"/>
                <w:color w:val="000000"/>
                <w:sz w:val="20"/>
                <w:szCs w:val="20"/>
                <w:highlight w:val="black"/>
              </w:rPr>
              <w:t>xxxx</w:t>
            </w:r>
          </w:p>
        </w:tc>
        <w:tc>
          <w:tcPr>
            <w:tcW w:w="1587" w:type="dxa"/>
            <w:tcBorders>
              <w:top w:val="nil"/>
              <w:left w:val="nil"/>
              <w:bottom w:val="single" w:sz="8" w:space="0" w:color="auto"/>
              <w:right w:val="single" w:sz="8" w:space="0" w:color="auto"/>
            </w:tcBorders>
            <w:shd w:val="clear" w:color="auto" w:fill="auto"/>
            <w:vAlign w:val="center"/>
            <w:hideMark/>
          </w:tcPr>
          <w:p w14:paraId="5B4F9C79" w14:textId="21DA4CDB" w:rsidR="00262D9A" w:rsidRPr="002A64D4" w:rsidRDefault="002A64D4" w:rsidP="00755A56">
            <w:pPr>
              <w:spacing w:after="0"/>
              <w:jc w:val="center"/>
              <w:rPr>
                <w:rFonts w:ascii="Calibri" w:eastAsia="Times New Roman" w:hAnsi="Calibri" w:cs="Calibri"/>
                <w:color w:val="000000"/>
                <w:sz w:val="20"/>
                <w:szCs w:val="20"/>
                <w:highlight w:val="black"/>
              </w:rPr>
            </w:pPr>
            <w:r w:rsidRPr="002A64D4">
              <w:rPr>
                <w:rFonts w:ascii="Calibri" w:hAnsi="Calibri" w:cs="Calibri"/>
                <w:color w:val="000000"/>
                <w:sz w:val="20"/>
                <w:szCs w:val="20"/>
                <w:highlight w:val="black"/>
              </w:rPr>
              <w:t>xxx</w:t>
            </w:r>
          </w:p>
        </w:tc>
      </w:tr>
      <w:tr w:rsidR="00262D9A" w:rsidRPr="00755A56" w14:paraId="028E6E0C" w14:textId="77777777" w:rsidTr="009217A6">
        <w:trPr>
          <w:trHeight w:val="315"/>
        </w:trPr>
        <w:tc>
          <w:tcPr>
            <w:tcW w:w="3417" w:type="dxa"/>
            <w:vMerge w:val="restart"/>
            <w:tcBorders>
              <w:top w:val="nil"/>
              <w:left w:val="single" w:sz="8" w:space="0" w:color="auto"/>
              <w:bottom w:val="single" w:sz="8" w:space="0" w:color="000000"/>
              <w:right w:val="single" w:sz="8" w:space="0" w:color="auto"/>
            </w:tcBorders>
            <w:shd w:val="clear" w:color="auto" w:fill="auto"/>
            <w:vAlign w:val="center"/>
            <w:hideMark/>
          </w:tcPr>
          <w:p w14:paraId="6A6D4E01" w14:textId="77777777" w:rsidR="00262D9A" w:rsidRPr="00755A56" w:rsidRDefault="00262D9A" w:rsidP="00FF0329">
            <w:pPr>
              <w:spacing w:after="0"/>
              <w:rPr>
                <w:rFonts w:ascii="Calibri" w:eastAsia="Times New Roman" w:hAnsi="Calibri" w:cs="Calibri"/>
                <w:color w:val="000000"/>
                <w:sz w:val="20"/>
                <w:szCs w:val="20"/>
              </w:rPr>
            </w:pPr>
            <w:r w:rsidRPr="00755A56">
              <w:rPr>
                <w:rFonts w:ascii="Calibri" w:eastAsia="Times New Roman" w:hAnsi="Calibri" w:cs="Calibri"/>
                <w:color w:val="000000"/>
                <w:sz w:val="20"/>
                <w:szCs w:val="20"/>
              </w:rPr>
              <w:t xml:space="preserve">Treated Int-2 &amp; High Risk patients </w:t>
            </w:r>
            <w:r>
              <w:rPr>
                <w:rFonts w:ascii="Calibri" w:eastAsia="Times New Roman" w:hAnsi="Calibri" w:cs="Calibri"/>
                <w:color w:val="000000"/>
                <w:sz w:val="20"/>
                <w:szCs w:val="20"/>
              </w:rPr>
              <w:t>(including Grandfathered &amp; Unknown)</w:t>
            </w:r>
          </w:p>
        </w:tc>
        <w:tc>
          <w:tcPr>
            <w:tcW w:w="2225" w:type="dxa"/>
            <w:tcBorders>
              <w:top w:val="nil"/>
              <w:left w:val="nil"/>
              <w:bottom w:val="single" w:sz="8" w:space="0" w:color="auto"/>
              <w:right w:val="single" w:sz="8" w:space="0" w:color="auto"/>
            </w:tcBorders>
            <w:shd w:val="clear" w:color="auto" w:fill="auto"/>
            <w:vAlign w:val="center"/>
            <w:hideMark/>
          </w:tcPr>
          <w:p w14:paraId="7E566363" w14:textId="77777777" w:rsidR="00262D9A" w:rsidRPr="00755A56" w:rsidRDefault="00262D9A" w:rsidP="00755A56">
            <w:pPr>
              <w:spacing w:after="0"/>
              <w:rPr>
                <w:rFonts w:ascii="Calibri" w:eastAsia="Times New Roman" w:hAnsi="Calibri" w:cs="Calibri"/>
                <w:color w:val="000000"/>
                <w:sz w:val="20"/>
                <w:szCs w:val="20"/>
              </w:rPr>
            </w:pPr>
            <w:r w:rsidRPr="00755A56">
              <w:rPr>
                <w:rFonts w:ascii="Calibri" w:eastAsia="Times New Roman" w:hAnsi="Calibri" w:cs="Calibri"/>
                <w:color w:val="000000"/>
                <w:sz w:val="20"/>
                <w:szCs w:val="20"/>
              </w:rPr>
              <w:t>Predicted (P)</w:t>
            </w:r>
          </w:p>
        </w:tc>
        <w:tc>
          <w:tcPr>
            <w:tcW w:w="1587" w:type="dxa"/>
            <w:tcBorders>
              <w:top w:val="nil"/>
              <w:left w:val="nil"/>
              <w:bottom w:val="single" w:sz="8" w:space="0" w:color="auto"/>
              <w:right w:val="single" w:sz="8" w:space="0" w:color="auto"/>
            </w:tcBorders>
            <w:shd w:val="clear" w:color="auto" w:fill="auto"/>
            <w:vAlign w:val="center"/>
            <w:hideMark/>
          </w:tcPr>
          <w:p w14:paraId="532FC3CD" w14:textId="306E6C48" w:rsidR="00262D9A" w:rsidRPr="002A64D4" w:rsidRDefault="002A64D4" w:rsidP="00755A56">
            <w:pPr>
              <w:spacing w:after="0"/>
              <w:jc w:val="center"/>
              <w:rPr>
                <w:rFonts w:ascii="Calibri" w:eastAsia="Times New Roman" w:hAnsi="Calibri" w:cs="Calibri"/>
                <w:color w:val="000000"/>
                <w:sz w:val="20"/>
                <w:szCs w:val="20"/>
                <w:highlight w:val="black"/>
              </w:rPr>
            </w:pPr>
            <w:r w:rsidRPr="002A64D4">
              <w:rPr>
                <w:rFonts w:ascii="Calibri" w:hAnsi="Calibri" w:cs="Calibri"/>
                <w:color w:val="000000"/>
                <w:sz w:val="20"/>
                <w:szCs w:val="20"/>
                <w:highlight w:val="black"/>
              </w:rPr>
              <w:t>xxx</w:t>
            </w:r>
          </w:p>
        </w:tc>
        <w:tc>
          <w:tcPr>
            <w:tcW w:w="1587" w:type="dxa"/>
            <w:tcBorders>
              <w:top w:val="nil"/>
              <w:left w:val="nil"/>
              <w:bottom w:val="single" w:sz="8" w:space="0" w:color="auto"/>
              <w:right w:val="single" w:sz="8" w:space="0" w:color="auto"/>
            </w:tcBorders>
            <w:shd w:val="clear" w:color="auto" w:fill="auto"/>
            <w:vAlign w:val="center"/>
            <w:hideMark/>
          </w:tcPr>
          <w:p w14:paraId="6A776C9B" w14:textId="148135C9" w:rsidR="00262D9A" w:rsidRPr="002A64D4" w:rsidRDefault="002A64D4" w:rsidP="00755A56">
            <w:pPr>
              <w:spacing w:after="0"/>
              <w:jc w:val="center"/>
              <w:rPr>
                <w:rFonts w:ascii="Calibri" w:eastAsia="Times New Roman" w:hAnsi="Calibri" w:cs="Calibri"/>
                <w:color w:val="000000"/>
                <w:sz w:val="20"/>
                <w:szCs w:val="20"/>
                <w:highlight w:val="black"/>
              </w:rPr>
            </w:pPr>
            <w:r w:rsidRPr="002A64D4">
              <w:rPr>
                <w:rFonts w:ascii="Calibri" w:hAnsi="Calibri" w:cs="Calibri"/>
                <w:color w:val="000000"/>
                <w:sz w:val="20"/>
                <w:szCs w:val="20"/>
                <w:highlight w:val="black"/>
              </w:rPr>
              <w:t>xxx</w:t>
            </w:r>
          </w:p>
        </w:tc>
      </w:tr>
      <w:tr w:rsidR="00262D9A" w:rsidRPr="00755A56" w14:paraId="739F5449" w14:textId="77777777" w:rsidTr="009217A6">
        <w:trPr>
          <w:trHeight w:val="315"/>
        </w:trPr>
        <w:tc>
          <w:tcPr>
            <w:tcW w:w="3417" w:type="dxa"/>
            <w:vMerge/>
            <w:tcBorders>
              <w:top w:val="nil"/>
              <w:left w:val="single" w:sz="8" w:space="0" w:color="auto"/>
              <w:bottom w:val="single" w:sz="8" w:space="0" w:color="000000"/>
              <w:right w:val="single" w:sz="8" w:space="0" w:color="auto"/>
            </w:tcBorders>
            <w:vAlign w:val="center"/>
            <w:hideMark/>
          </w:tcPr>
          <w:p w14:paraId="2D207FE1" w14:textId="77777777" w:rsidR="00262D9A" w:rsidRPr="00755A56" w:rsidRDefault="00262D9A" w:rsidP="00755A56">
            <w:pPr>
              <w:spacing w:after="0"/>
              <w:rPr>
                <w:rFonts w:ascii="Calibri" w:eastAsia="Times New Roman" w:hAnsi="Calibri" w:cs="Calibri"/>
                <w:color w:val="000000"/>
                <w:sz w:val="20"/>
                <w:szCs w:val="20"/>
              </w:rPr>
            </w:pPr>
          </w:p>
        </w:tc>
        <w:tc>
          <w:tcPr>
            <w:tcW w:w="2225" w:type="dxa"/>
            <w:tcBorders>
              <w:top w:val="nil"/>
              <w:left w:val="nil"/>
              <w:bottom w:val="single" w:sz="8" w:space="0" w:color="auto"/>
              <w:right w:val="single" w:sz="8" w:space="0" w:color="auto"/>
            </w:tcBorders>
            <w:shd w:val="clear" w:color="auto" w:fill="auto"/>
            <w:vAlign w:val="center"/>
            <w:hideMark/>
          </w:tcPr>
          <w:p w14:paraId="52D69316" w14:textId="77777777" w:rsidR="00262D9A" w:rsidRPr="00755A56" w:rsidRDefault="00262D9A" w:rsidP="00755A56">
            <w:pPr>
              <w:spacing w:after="0"/>
              <w:rPr>
                <w:rFonts w:ascii="Calibri" w:eastAsia="Times New Roman" w:hAnsi="Calibri" w:cs="Calibri"/>
                <w:color w:val="000000"/>
                <w:sz w:val="20"/>
                <w:szCs w:val="20"/>
              </w:rPr>
            </w:pPr>
            <w:r w:rsidRPr="00755A56">
              <w:rPr>
                <w:rFonts w:ascii="Calibri" w:eastAsia="Times New Roman" w:hAnsi="Calibri" w:cs="Calibri"/>
                <w:color w:val="000000"/>
                <w:sz w:val="20"/>
                <w:szCs w:val="20"/>
              </w:rPr>
              <w:t>Actual (A)</w:t>
            </w:r>
          </w:p>
        </w:tc>
        <w:tc>
          <w:tcPr>
            <w:tcW w:w="1587" w:type="dxa"/>
            <w:tcBorders>
              <w:top w:val="nil"/>
              <w:left w:val="nil"/>
              <w:bottom w:val="single" w:sz="8" w:space="0" w:color="auto"/>
              <w:right w:val="single" w:sz="8" w:space="0" w:color="auto"/>
            </w:tcBorders>
            <w:shd w:val="clear" w:color="auto" w:fill="auto"/>
            <w:vAlign w:val="center"/>
            <w:hideMark/>
          </w:tcPr>
          <w:p w14:paraId="0CD59441" w14:textId="77777777" w:rsidR="00262D9A" w:rsidRPr="00755A56" w:rsidRDefault="00262D9A" w:rsidP="00755A56">
            <w:pPr>
              <w:spacing w:after="0"/>
              <w:jc w:val="center"/>
              <w:rPr>
                <w:rFonts w:ascii="Calibri" w:eastAsia="Times New Roman" w:hAnsi="Calibri" w:cs="Calibri"/>
                <w:color w:val="000000"/>
                <w:sz w:val="20"/>
                <w:szCs w:val="20"/>
              </w:rPr>
            </w:pPr>
            <w:r>
              <w:rPr>
                <w:rFonts w:ascii="Calibri" w:hAnsi="Calibri" w:cs="Calibri"/>
                <w:color w:val="000000"/>
                <w:sz w:val="20"/>
                <w:szCs w:val="20"/>
              </w:rPr>
              <w:t>737</w:t>
            </w:r>
          </w:p>
        </w:tc>
        <w:tc>
          <w:tcPr>
            <w:tcW w:w="1587" w:type="dxa"/>
            <w:tcBorders>
              <w:top w:val="nil"/>
              <w:left w:val="nil"/>
              <w:bottom w:val="single" w:sz="8" w:space="0" w:color="auto"/>
              <w:right w:val="single" w:sz="8" w:space="0" w:color="auto"/>
            </w:tcBorders>
            <w:shd w:val="clear" w:color="auto" w:fill="auto"/>
            <w:vAlign w:val="center"/>
            <w:hideMark/>
          </w:tcPr>
          <w:p w14:paraId="78A52C3F" w14:textId="77777777" w:rsidR="00262D9A" w:rsidRPr="00755A56" w:rsidRDefault="00262D9A" w:rsidP="00755A56">
            <w:pPr>
              <w:spacing w:after="0"/>
              <w:jc w:val="center"/>
              <w:rPr>
                <w:rFonts w:ascii="Calibri" w:eastAsia="Times New Roman" w:hAnsi="Calibri" w:cs="Calibri"/>
                <w:color w:val="000000"/>
                <w:sz w:val="20"/>
                <w:szCs w:val="20"/>
              </w:rPr>
            </w:pPr>
            <w:r>
              <w:rPr>
                <w:rFonts w:ascii="Calibri" w:hAnsi="Calibri" w:cs="Calibri"/>
                <w:color w:val="000000"/>
                <w:sz w:val="20"/>
                <w:szCs w:val="20"/>
              </w:rPr>
              <w:t>829</w:t>
            </w:r>
          </w:p>
        </w:tc>
      </w:tr>
      <w:tr w:rsidR="00262D9A" w:rsidRPr="00755A56" w14:paraId="5FC6A578" w14:textId="77777777" w:rsidTr="009217A6">
        <w:trPr>
          <w:trHeight w:val="315"/>
        </w:trPr>
        <w:tc>
          <w:tcPr>
            <w:tcW w:w="3417" w:type="dxa"/>
            <w:vMerge/>
            <w:tcBorders>
              <w:top w:val="nil"/>
              <w:left w:val="single" w:sz="8" w:space="0" w:color="auto"/>
              <w:bottom w:val="single" w:sz="8" w:space="0" w:color="000000"/>
              <w:right w:val="single" w:sz="8" w:space="0" w:color="auto"/>
            </w:tcBorders>
            <w:vAlign w:val="center"/>
            <w:hideMark/>
          </w:tcPr>
          <w:p w14:paraId="427167D6" w14:textId="77777777" w:rsidR="00262D9A" w:rsidRPr="00755A56" w:rsidRDefault="00262D9A" w:rsidP="00755A56">
            <w:pPr>
              <w:spacing w:after="0"/>
              <w:rPr>
                <w:rFonts w:ascii="Calibri" w:eastAsia="Times New Roman" w:hAnsi="Calibri" w:cs="Calibri"/>
                <w:color w:val="000000"/>
                <w:sz w:val="20"/>
                <w:szCs w:val="20"/>
              </w:rPr>
            </w:pPr>
          </w:p>
        </w:tc>
        <w:tc>
          <w:tcPr>
            <w:tcW w:w="2225" w:type="dxa"/>
            <w:tcBorders>
              <w:top w:val="nil"/>
              <w:left w:val="nil"/>
              <w:bottom w:val="single" w:sz="8" w:space="0" w:color="auto"/>
              <w:right w:val="single" w:sz="8" w:space="0" w:color="auto"/>
            </w:tcBorders>
            <w:shd w:val="clear" w:color="auto" w:fill="auto"/>
            <w:vAlign w:val="center"/>
            <w:hideMark/>
          </w:tcPr>
          <w:p w14:paraId="13A94533" w14:textId="77777777" w:rsidR="00262D9A" w:rsidRPr="00755A56" w:rsidRDefault="00262D9A" w:rsidP="00755A56">
            <w:pPr>
              <w:spacing w:after="0"/>
              <w:rPr>
                <w:rFonts w:ascii="Calibri" w:eastAsia="Times New Roman" w:hAnsi="Calibri" w:cs="Calibri"/>
                <w:color w:val="000000"/>
                <w:sz w:val="20"/>
                <w:szCs w:val="20"/>
              </w:rPr>
            </w:pPr>
            <w:r w:rsidRPr="00755A56">
              <w:rPr>
                <w:rFonts w:ascii="Calibri" w:eastAsia="Times New Roman" w:hAnsi="Calibri" w:cs="Calibri"/>
                <w:color w:val="000000"/>
                <w:sz w:val="20"/>
                <w:szCs w:val="20"/>
              </w:rPr>
              <w:t>% Difference (A-P)/P</w:t>
            </w:r>
          </w:p>
        </w:tc>
        <w:tc>
          <w:tcPr>
            <w:tcW w:w="1587" w:type="dxa"/>
            <w:tcBorders>
              <w:top w:val="nil"/>
              <w:left w:val="nil"/>
              <w:bottom w:val="single" w:sz="8" w:space="0" w:color="auto"/>
              <w:right w:val="single" w:sz="8" w:space="0" w:color="auto"/>
            </w:tcBorders>
            <w:shd w:val="clear" w:color="auto" w:fill="auto"/>
            <w:vAlign w:val="center"/>
            <w:hideMark/>
          </w:tcPr>
          <w:p w14:paraId="5FD081CD" w14:textId="2F4FE283" w:rsidR="00262D9A" w:rsidRPr="002A64D4" w:rsidRDefault="002A64D4" w:rsidP="00755A56">
            <w:pPr>
              <w:spacing w:after="0"/>
              <w:jc w:val="center"/>
              <w:rPr>
                <w:rFonts w:ascii="Calibri" w:eastAsia="Times New Roman" w:hAnsi="Calibri" w:cs="Calibri"/>
                <w:color w:val="000000"/>
                <w:sz w:val="20"/>
                <w:szCs w:val="20"/>
                <w:highlight w:val="black"/>
              </w:rPr>
            </w:pPr>
            <w:r w:rsidRPr="002A64D4">
              <w:rPr>
                <w:rFonts w:ascii="Calibri" w:hAnsi="Calibri" w:cs="Calibri"/>
                <w:color w:val="000000"/>
                <w:sz w:val="20"/>
                <w:szCs w:val="20"/>
                <w:highlight w:val="black"/>
              </w:rPr>
              <w:t>xxx</w:t>
            </w:r>
          </w:p>
        </w:tc>
        <w:tc>
          <w:tcPr>
            <w:tcW w:w="1587" w:type="dxa"/>
            <w:tcBorders>
              <w:top w:val="nil"/>
              <w:left w:val="nil"/>
              <w:bottom w:val="single" w:sz="8" w:space="0" w:color="auto"/>
              <w:right w:val="single" w:sz="8" w:space="0" w:color="auto"/>
            </w:tcBorders>
            <w:shd w:val="clear" w:color="auto" w:fill="auto"/>
            <w:vAlign w:val="center"/>
            <w:hideMark/>
          </w:tcPr>
          <w:p w14:paraId="5D10923A" w14:textId="02BC114C" w:rsidR="00262D9A" w:rsidRPr="002A64D4" w:rsidRDefault="002A64D4" w:rsidP="00755A56">
            <w:pPr>
              <w:spacing w:after="0"/>
              <w:jc w:val="center"/>
              <w:rPr>
                <w:rFonts w:ascii="Calibri" w:eastAsia="Times New Roman" w:hAnsi="Calibri" w:cs="Calibri"/>
                <w:color w:val="000000"/>
                <w:sz w:val="20"/>
                <w:szCs w:val="20"/>
                <w:highlight w:val="black"/>
              </w:rPr>
            </w:pPr>
            <w:r w:rsidRPr="002A64D4">
              <w:rPr>
                <w:rFonts w:ascii="Calibri" w:hAnsi="Calibri" w:cs="Calibri"/>
                <w:color w:val="000000"/>
                <w:sz w:val="20"/>
                <w:szCs w:val="20"/>
                <w:highlight w:val="black"/>
              </w:rPr>
              <w:t>xxx</w:t>
            </w:r>
          </w:p>
        </w:tc>
      </w:tr>
      <w:tr w:rsidR="00262D9A" w:rsidRPr="00755A56" w14:paraId="3D378EE8" w14:textId="77777777" w:rsidTr="009217A6">
        <w:trPr>
          <w:trHeight w:val="315"/>
        </w:trPr>
        <w:tc>
          <w:tcPr>
            <w:tcW w:w="3417" w:type="dxa"/>
            <w:vMerge w:val="restart"/>
            <w:tcBorders>
              <w:top w:val="nil"/>
              <w:left w:val="single" w:sz="8" w:space="0" w:color="auto"/>
              <w:bottom w:val="single" w:sz="8" w:space="0" w:color="000000"/>
              <w:right w:val="single" w:sz="8" w:space="0" w:color="auto"/>
            </w:tcBorders>
            <w:shd w:val="clear" w:color="auto" w:fill="auto"/>
            <w:vAlign w:val="center"/>
          </w:tcPr>
          <w:p w14:paraId="62C6C3BC" w14:textId="77777777" w:rsidR="00262D9A" w:rsidRPr="00755A56" w:rsidRDefault="00262D9A" w:rsidP="00E428B4">
            <w:pPr>
              <w:spacing w:after="0"/>
              <w:rPr>
                <w:rFonts w:ascii="Calibri" w:eastAsia="Times New Roman" w:hAnsi="Calibri" w:cs="Calibri"/>
                <w:color w:val="000000"/>
                <w:sz w:val="20"/>
                <w:szCs w:val="20"/>
              </w:rPr>
            </w:pPr>
            <w:r>
              <w:rPr>
                <w:rFonts w:ascii="Calibri" w:eastAsia="Times New Roman" w:hAnsi="Calibri" w:cs="Calibri"/>
                <w:color w:val="000000"/>
                <w:sz w:val="20"/>
                <w:szCs w:val="20"/>
              </w:rPr>
              <w:t xml:space="preserve">Prescriptions for </w:t>
            </w:r>
            <w:r w:rsidRPr="00755A56">
              <w:rPr>
                <w:rFonts w:ascii="Calibri" w:eastAsia="Times New Roman" w:hAnsi="Calibri" w:cs="Calibri"/>
                <w:color w:val="000000"/>
                <w:sz w:val="20"/>
                <w:szCs w:val="20"/>
              </w:rPr>
              <w:t>Int-1 patients</w:t>
            </w:r>
          </w:p>
        </w:tc>
        <w:tc>
          <w:tcPr>
            <w:tcW w:w="2225" w:type="dxa"/>
            <w:tcBorders>
              <w:top w:val="nil"/>
              <w:left w:val="nil"/>
              <w:bottom w:val="single" w:sz="8" w:space="0" w:color="auto"/>
              <w:right w:val="single" w:sz="8" w:space="0" w:color="auto"/>
            </w:tcBorders>
            <w:shd w:val="clear" w:color="auto" w:fill="auto"/>
            <w:vAlign w:val="center"/>
          </w:tcPr>
          <w:p w14:paraId="7E4FE6A6" w14:textId="77777777" w:rsidR="00262D9A" w:rsidRPr="00755A56" w:rsidRDefault="00262D9A" w:rsidP="00755A56">
            <w:pPr>
              <w:spacing w:after="0"/>
              <w:rPr>
                <w:rFonts w:ascii="Calibri" w:eastAsia="Times New Roman" w:hAnsi="Calibri" w:cs="Calibri"/>
                <w:color w:val="000000"/>
                <w:sz w:val="20"/>
                <w:szCs w:val="20"/>
              </w:rPr>
            </w:pPr>
            <w:r w:rsidRPr="00755A56">
              <w:rPr>
                <w:rFonts w:ascii="Calibri" w:eastAsia="Times New Roman" w:hAnsi="Calibri" w:cs="Calibri"/>
                <w:color w:val="000000"/>
                <w:sz w:val="20"/>
                <w:szCs w:val="20"/>
              </w:rPr>
              <w:t>Predicted (P)</w:t>
            </w:r>
          </w:p>
        </w:tc>
        <w:tc>
          <w:tcPr>
            <w:tcW w:w="1587" w:type="dxa"/>
            <w:tcBorders>
              <w:top w:val="nil"/>
              <w:left w:val="nil"/>
              <w:bottom w:val="single" w:sz="8" w:space="0" w:color="auto"/>
              <w:right w:val="single" w:sz="8" w:space="0" w:color="auto"/>
            </w:tcBorders>
            <w:shd w:val="clear" w:color="auto" w:fill="auto"/>
            <w:vAlign w:val="center"/>
          </w:tcPr>
          <w:p w14:paraId="5A5068F6" w14:textId="3369F210" w:rsidR="00262D9A" w:rsidRPr="002A64D4" w:rsidRDefault="002A64D4" w:rsidP="00755A56">
            <w:pPr>
              <w:spacing w:after="0"/>
              <w:jc w:val="center"/>
              <w:rPr>
                <w:rFonts w:ascii="Calibri" w:eastAsia="Times New Roman" w:hAnsi="Calibri" w:cs="Calibri"/>
                <w:color w:val="000000"/>
                <w:sz w:val="20"/>
                <w:szCs w:val="20"/>
                <w:highlight w:val="black"/>
              </w:rPr>
            </w:pPr>
            <w:r w:rsidRPr="002A64D4">
              <w:rPr>
                <w:rFonts w:ascii="Calibri" w:hAnsi="Calibri" w:cs="Calibri"/>
                <w:color w:val="000000"/>
                <w:sz w:val="20"/>
                <w:szCs w:val="20"/>
                <w:highlight w:val="black"/>
              </w:rPr>
              <w:t>xxxxx</w:t>
            </w:r>
          </w:p>
        </w:tc>
        <w:tc>
          <w:tcPr>
            <w:tcW w:w="1587" w:type="dxa"/>
            <w:tcBorders>
              <w:top w:val="nil"/>
              <w:left w:val="nil"/>
              <w:bottom w:val="single" w:sz="8" w:space="0" w:color="auto"/>
              <w:right w:val="single" w:sz="8" w:space="0" w:color="auto"/>
            </w:tcBorders>
            <w:shd w:val="clear" w:color="auto" w:fill="auto"/>
            <w:vAlign w:val="center"/>
          </w:tcPr>
          <w:p w14:paraId="59D78C8B" w14:textId="5308C9B3" w:rsidR="00262D9A" w:rsidRPr="002A64D4" w:rsidRDefault="002A64D4" w:rsidP="00755A56">
            <w:pPr>
              <w:spacing w:after="0"/>
              <w:jc w:val="center"/>
              <w:rPr>
                <w:rFonts w:ascii="Calibri" w:eastAsia="Times New Roman" w:hAnsi="Calibri" w:cs="Calibri"/>
                <w:color w:val="000000"/>
                <w:sz w:val="20"/>
                <w:szCs w:val="20"/>
                <w:highlight w:val="black"/>
              </w:rPr>
            </w:pPr>
            <w:r w:rsidRPr="002A64D4">
              <w:rPr>
                <w:rFonts w:ascii="Calibri" w:hAnsi="Calibri" w:cs="Calibri"/>
                <w:color w:val="000000"/>
                <w:sz w:val="20"/>
                <w:szCs w:val="20"/>
                <w:highlight w:val="black"/>
              </w:rPr>
              <w:t>xxxxx</w:t>
            </w:r>
          </w:p>
        </w:tc>
      </w:tr>
      <w:tr w:rsidR="00262D9A" w:rsidRPr="00755A56" w14:paraId="70301FE9" w14:textId="77777777" w:rsidTr="009217A6">
        <w:trPr>
          <w:trHeight w:val="315"/>
        </w:trPr>
        <w:tc>
          <w:tcPr>
            <w:tcW w:w="3417" w:type="dxa"/>
            <w:vMerge/>
            <w:tcBorders>
              <w:top w:val="nil"/>
              <w:left w:val="single" w:sz="8" w:space="0" w:color="auto"/>
              <w:bottom w:val="single" w:sz="8" w:space="0" w:color="000000"/>
              <w:right w:val="single" w:sz="8" w:space="0" w:color="auto"/>
            </w:tcBorders>
            <w:vAlign w:val="center"/>
          </w:tcPr>
          <w:p w14:paraId="17722F07" w14:textId="77777777" w:rsidR="00262D9A" w:rsidRPr="00755A56" w:rsidRDefault="00262D9A" w:rsidP="00755A56">
            <w:pPr>
              <w:spacing w:after="0"/>
              <w:rPr>
                <w:rFonts w:ascii="Calibri" w:eastAsia="Times New Roman" w:hAnsi="Calibri" w:cs="Calibri"/>
                <w:color w:val="000000"/>
                <w:sz w:val="20"/>
                <w:szCs w:val="20"/>
              </w:rPr>
            </w:pPr>
          </w:p>
        </w:tc>
        <w:tc>
          <w:tcPr>
            <w:tcW w:w="2225" w:type="dxa"/>
            <w:tcBorders>
              <w:top w:val="nil"/>
              <w:left w:val="nil"/>
              <w:bottom w:val="single" w:sz="8" w:space="0" w:color="auto"/>
              <w:right w:val="single" w:sz="8" w:space="0" w:color="auto"/>
            </w:tcBorders>
            <w:shd w:val="clear" w:color="auto" w:fill="auto"/>
            <w:vAlign w:val="center"/>
          </w:tcPr>
          <w:p w14:paraId="1282E3BB" w14:textId="77777777" w:rsidR="00262D9A" w:rsidRPr="00755A56" w:rsidRDefault="00262D9A" w:rsidP="00755A56">
            <w:pPr>
              <w:spacing w:after="0"/>
              <w:rPr>
                <w:rFonts w:ascii="Calibri" w:eastAsia="Times New Roman" w:hAnsi="Calibri" w:cs="Calibri"/>
                <w:color w:val="000000"/>
                <w:sz w:val="20"/>
                <w:szCs w:val="20"/>
              </w:rPr>
            </w:pPr>
            <w:r w:rsidRPr="00755A56">
              <w:rPr>
                <w:rFonts w:ascii="Calibri" w:eastAsia="Times New Roman" w:hAnsi="Calibri" w:cs="Calibri"/>
                <w:color w:val="000000"/>
                <w:sz w:val="20"/>
                <w:szCs w:val="20"/>
              </w:rPr>
              <w:t>Actual (A)</w:t>
            </w:r>
          </w:p>
        </w:tc>
        <w:tc>
          <w:tcPr>
            <w:tcW w:w="1587" w:type="dxa"/>
            <w:tcBorders>
              <w:top w:val="nil"/>
              <w:left w:val="nil"/>
              <w:bottom w:val="single" w:sz="8" w:space="0" w:color="auto"/>
              <w:right w:val="single" w:sz="8" w:space="0" w:color="auto"/>
            </w:tcBorders>
            <w:shd w:val="clear" w:color="auto" w:fill="auto"/>
            <w:vAlign w:val="center"/>
          </w:tcPr>
          <w:p w14:paraId="42673BA6" w14:textId="77777777" w:rsidR="00262D9A" w:rsidRPr="00755A56" w:rsidRDefault="00262D9A" w:rsidP="00755A56">
            <w:pPr>
              <w:spacing w:after="0"/>
              <w:jc w:val="center"/>
              <w:rPr>
                <w:rFonts w:ascii="Calibri" w:eastAsia="Times New Roman" w:hAnsi="Calibri" w:cs="Calibri"/>
                <w:color w:val="000000"/>
                <w:sz w:val="20"/>
                <w:szCs w:val="20"/>
              </w:rPr>
            </w:pPr>
            <w:r>
              <w:rPr>
                <w:rFonts w:ascii="Calibri" w:hAnsi="Calibri" w:cs="Calibri"/>
                <w:color w:val="000000"/>
                <w:sz w:val="20"/>
                <w:szCs w:val="20"/>
              </w:rPr>
              <w:t>616</w:t>
            </w:r>
          </w:p>
        </w:tc>
        <w:tc>
          <w:tcPr>
            <w:tcW w:w="1587" w:type="dxa"/>
            <w:tcBorders>
              <w:top w:val="nil"/>
              <w:left w:val="nil"/>
              <w:bottom w:val="single" w:sz="8" w:space="0" w:color="auto"/>
              <w:right w:val="single" w:sz="8" w:space="0" w:color="auto"/>
            </w:tcBorders>
            <w:shd w:val="clear" w:color="auto" w:fill="auto"/>
            <w:vAlign w:val="center"/>
          </w:tcPr>
          <w:p w14:paraId="0D682A6C" w14:textId="77777777" w:rsidR="00262D9A" w:rsidRPr="00755A56" w:rsidRDefault="00262D9A" w:rsidP="00755A56">
            <w:pPr>
              <w:spacing w:after="0"/>
              <w:jc w:val="center"/>
              <w:rPr>
                <w:rFonts w:ascii="Calibri" w:eastAsia="Times New Roman" w:hAnsi="Calibri" w:cs="Calibri"/>
                <w:color w:val="000000"/>
                <w:sz w:val="20"/>
                <w:szCs w:val="20"/>
              </w:rPr>
            </w:pPr>
            <w:r>
              <w:rPr>
                <w:rFonts w:ascii="Calibri" w:hAnsi="Calibri" w:cs="Calibri"/>
                <w:color w:val="000000"/>
                <w:sz w:val="20"/>
                <w:szCs w:val="20"/>
              </w:rPr>
              <w:t>2,078</w:t>
            </w:r>
          </w:p>
        </w:tc>
      </w:tr>
      <w:tr w:rsidR="00262D9A" w:rsidRPr="00755A56" w14:paraId="2D574C1B" w14:textId="77777777" w:rsidTr="009217A6">
        <w:trPr>
          <w:trHeight w:val="315"/>
        </w:trPr>
        <w:tc>
          <w:tcPr>
            <w:tcW w:w="3417" w:type="dxa"/>
            <w:vMerge/>
            <w:tcBorders>
              <w:top w:val="nil"/>
              <w:left w:val="single" w:sz="8" w:space="0" w:color="auto"/>
              <w:bottom w:val="single" w:sz="8" w:space="0" w:color="000000"/>
              <w:right w:val="single" w:sz="8" w:space="0" w:color="auto"/>
            </w:tcBorders>
            <w:vAlign w:val="center"/>
          </w:tcPr>
          <w:p w14:paraId="01453412" w14:textId="77777777" w:rsidR="00262D9A" w:rsidRPr="00755A56" w:rsidRDefault="00262D9A" w:rsidP="00755A56">
            <w:pPr>
              <w:spacing w:after="0"/>
              <w:rPr>
                <w:rFonts w:ascii="Calibri" w:eastAsia="Times New Roman" w:hAnsi="Calibri" w:cs="Calibri"/>
                <w:color w:val="000000"/>
                <w:sz w:val="20"/>
                <w:szCs w:val="20"/>
              </w:rPr>
            </w:pPr>
          </w:p>
        </w:tc>
        <w:tc>
          <w:tcPr>
            <w:tcW w:w="2225" w:type="dxa"/>
            <w:tcBorders>
              <w:top w:val="nil"/>
              <w:left w:val="nil"/>
              <w:bottom w:val="single" w:sz="8" w:space="0" w:color="auto"/>
              <w:right w:val="single" w:sz="8" w:space="0" w:color="auto"/>
            </w:tcBorders>
            <w:shd w:val="clear" w:color="auto" w:fill="auto"/>
            <w:vAlign w:val="center"/>
          </w:tcPr>
          <w:p w14:paraId="56EB44EB" w14:textId="77777777" w:rsidR="00262D9A" w:rsidRPr="00755A56" w:rsidRDefault="00262D9A" w:rsidP="00755A56">
            <w:pPr>
              <w:spacing w:after="0"/>
              <w:rPr>
                <w:rFonts w:ascii="Calibri" w:eastAsia="Times New Roman" w:hAnsi="Calibri" w:cs="Calibri"/>
                <w:color w:val="000000"/>
                <w:sz w:val="20"/>
                <w:szCs w:val="20"/>
              </w:rPr>
            </w:pPr>
            <w:r w:rsidRPr="00755A56">
              <w:rPr>
                <w:rFonts w:ascii="Calibri" w:eastAsia="Times New Roman" w:hAnsi="Calibri" w:cs="Calibri"/>
                <w:color w:val="000000"/>
                <w:sz w:val="20"/>
                <w:szCs w:val="20"/>
              </w:rPr>
              <w:t>% Difference (A-P)/P</w:t>
            </w:r>
          </w:p>
        </w:tc>
        <w:tc>
          <w:tcPr>
            <w:tcW w:w="1587" w:type="dxa"/>
            <w:tcBorders>
              <w:top w:val="nil"/>
              <w:left w:val="nil"/>
              <w:bottom w:val="single" w:sz="8" w:space="0" w:color="auto"/>
              <w:right w:val="single" w:sz="8" w:space="0" w:color="auto"/>
            </w:tcBorders>
            <w:shd w:val="clear" w:color="auto" w:fill="auto"/>
            <w:vAlign w:val="center"/>
          </w:tcPr>
          <w:p w14:paraId="1ABFD5EC" w14:textId="06E4B114" w:rsidR="00262D9A" w:rsidRPr="002A64D4" w:rsidRDefault="002A64D4" w:rsidP="00755A56">
            <w:pPr>
              <w:spacing w:after="0"/>
              <w:jc w:val="center"/>
              <w:rPr>
                <w:rFonts w:ascii="Calibri" w:eastAsia="Times New Roman" w:hAnsi="Calibri" w:cs="Calibri"/>
                <w:color w:val="000000"/>
                <w:sz w:val="20"/>
                <w:szCs w:val="20"/>
                <w:highlight w:val="black"/>
              </w:rPr>
            </w:pPr>
            <w:r w:rsidRPr="002A64D4">
              <w:rPr>
                <w:rFonts w:ascii="Calibri" w:hAnsi="Calibri" w:cs="Calibri"/>
                <w:color w:val="000000"/>
                <w:sz w:val="20"/>
                <w:szCs w:val="20"/>
                <w:highlight w:val="black"/>
              </w:rPr>
              <w:t>xxxx</w:t>
            </w:r>
          </w:p>
        </w:tc>
        <w:tc>
          <w:tcPr>
            <w:tcW w:w="1587" w:type="dxa"/>
            <w:tcBorders>
              <w:top w:val="nil"/>
              <w:left w:val="nil"/>
              <w:bottom w:val="single" w:sz="8" w:space="0" w:color="auto"/>
              <w:right w:val="single" w:sz="8" w:space="0" w:color="auto"/>
            </w:tcBorders>
            <w:shd w:val="clear" w:color="auto" w:fill="auto"/>
            <w:vAlign w:val="center"/>
          </w:tcPr>
          <w:p w14:paraId="4C7E88EA" w14:textId="14B54402" w:rsidR="00262D9A" w:rsidRPr="002A64D4" w:rsidRDefault="002A64D4" w:rsidP="00755A56">
            <w:pPr>
              <w:spacing w:after="0"/>
              <w:jc w:val="center"/>
              <w:rPr>
                <w:rFonts w:ascii="Calibri" w:eastAsia="Times New Roman" w:hAnsi="Calibri" w:cs="Calibri"/>
                <w:color w:val="000000"/>
                <w:sz w:val="20"/>
                <w:szCs w:val="20"/>
                <w:highlight w:val="black"/>
              </w:rPr>
            </w:pPr>
            <w:r w:rsidRPr="002A64D4">
              <w:rPr>
                <w:rFonts w:ascii="Calibri" w:hAnsi="Calibri" w:cs="Calibri"/>
                <w:color w:val="000000"/>
                <w:sz w:val="20"/>
                <w:szCs w:val="20"/>
                <w:highlight w:val="black"/>
              </w:rPr>
              <w:t>xxxx</w:t>
            </w:r>
          </w:p>
        </w:tc>
      </w:tr>
      <w:tr w:rsidR="00262D9A" w:rsidRPr="00755A56" w14:paraId="6C957E51" w14:textId="77777777" w:rsidTr="009217A6">
        <w:trPr>
          <w:trHeight w:val="315"/>
        </w:trPr>
        <w:tc>
          <w:tcPr>
            <w:tcW w:w="3417" w:type="dxa"/>
            <w:vMerge w:val="restart"/>
            <w:tcBorders>
              <w:top w:val="nil"/>
              <w:left w:val="single" w:sz="8" w:space="0" w:color="auto"/>
              <w:bottom w:val="single" w:sz="8" w:space="0" w:color="000000"/>
              <w:right w:val="single" w:sz="8" w:space="0" w:color="auto"/>
            </w:tcBorders>
            <w:shd w:val="clear" w:color="auto" w:fill="auto"/>
            <w:vAlign w:val="center"/>
          </w:tcPr>
          <w:p w14:paraId="090F6C26" w14:textId="77777777" w:rsidR="00262D9A" w:rsidRPr="00755A56" w:rsidRDefault="00262D9A" w:rsidP="00E428B4">
            <w:pPr>
              <w:spacing w:after="0"/>
              <w:rPr>
                <w:rFonts w:ascii="Calibri" w:eastAsia="Times New Roman" w:hAnsi="Calibri" w:cs="Calibri"/>
                <w:color w:val="000000"/>
                <w:sz w:val="20"/>
                <w:szCs w:val="20"/>
              </w:rPr>
            </w:pPr>
            <w:r>
              <w:rPr>
                <w:rFonts w:ascii="Calibri" w:eastAsia="Times New Roman" w:hAnsi="Calibri" w:cs="Calibri"/>
                <w:color w:val="000000"/>
                <w:sz w:val="20"/>
                <w:szCs w:val="20"/>
              </w:rPr>
              <w:t xml:space="preserve">Prescriptions for </w:t>
            </w:r>
            <w:r w:rsidRPr="00755A56">
              <w:rPr>
                <w:rFonts w:ascii="Calibri" w:eastAsia="Times New Roman" w:hAnsi="Calibri" w:cs="Calibri"/>
                <w:color w:val="000000"/>
                <w:sz w:val="20"/>
                <w:szCs w:val="20"/>
              </w:rPr>
              <w:t xml:space="preserve">Int-2 &amp; High Risk patients </w:t>
            </w:r>
            <w:r>
              <w:rPr>
                <w:rFonts w:ascii="Calibri" w:eastAsia="Times New Roman" w:hAnsi="Calibri" w:cs="Calibri"/>
                <w:color w:val="000000"/>
                <w:sz w:val="20"/>
                <w:szCs w:val="20"/>
              </w:rPr>
              <w:t>(including Grandfathered &amp; Unknown)</w:t>
            </w:r>
          </w:p>
        </w:tc>
        <w:tc>
          <w:tcPr>
            <w:tcW w:w="2225" w:type="dxa"/>
            <w:tcBorders>
              <w:top w:val="nil"/>
              <w:left w:val="nil"/>
              <w:bottom w:val="single" w:sz="8" w:space="0" w:color="auto"/>
              <w:right w:val="single" w:sz="8" w:space="0" w:color="auto"/>
            </w:tcBorders>
            <w:shd w:val="clear" w:color="auto" w:fill="auto"/>
            <w:vAlign w:val="center"/>
          </w:tcPr>
          <w:p w14:paraId="2FB49418" w14:textId="77777777" w:rsidR="00262D9A" w:rsidRPr="00755A56" w:rsidRDefault="00262D9A" w:rsidP="00755A56">
            <w:pPr>
              <w:spacing w:after="0"/>
              <w:rPr>
                <w:rFonts w:ascii="Calibri" w:eastAsia="Times New Roman" w:hAnsi="Calibri" w:cs="Calibri"/>
                <w:color w:val="000000"/>
                <w:sz w:val="20"/>
                <w:szCs w:val="20"/>
              </w:rPr>
            </w:pPr>
            <w:r w:rsidRPr="00755A56">
              <w:rPr>
                <w:rFonts w:ascii="Calibri" w:eastAsia="Times New Roman" w:hAnsi="Calibri" w:cs="Calibri"/>
                <w:color w:val="000000"/>
                <w:sz w:val="20"/>
                <w:szCs w:val="20"/>
              </w:rPr>
              <w:t>Predicted (P)</w:t>
            </w:r>
          </w:p>
        </w:tc>
        <w:tc>
          <w:tcPr>
            <w:tcW w:w="1587" w:type="dxa"/>
            <w:tcBorders>
              <w:top w:val="nil"/>
              <w:left w:val="nil"/>
              <w:bottom w:val="single" w:sz="8" w:space="0" w:color="auto"/>
              <w:right w:val="single" w:sz="8" w:space="0" w:color="auto"/>
            </w:tcBorders>
            <w:shd w:val="clear" w:color="auto" w:fill="auto"/>
            <w:vAlign w:val="center"/>
          </w:tcPr>
          <w:p w14:paraId="3DA22F97" w14:textId="00762552" w:rsidR="00262D9A" w:rsidRPr="002A64D4" w:rsidRDefault="002A64D4" w:rsidP="00755A56">
            <w:pPr>
              <w:spacing w:after="0"/>
              <w:jc w:val="center"/>
              <w:rPr>
                <w:rFonts w:ascii="Calibri" w:eastAsia="Times New Roman" w:hAnsi="Calibri" w:cs="Calibri"/>
                <w:color w:val="000000"/>
                <w:sz w:val="20"/>
                <w:szCs w:val="20"/>
                <w:highlight w:val="black"/>
              </w:rPr>
            </w:pPr>
            <w:r w:rsidRPr="002A64D4">
              <w:rPr>
                <w:rFonts w:ascii="Calibri" w:hAnsi="Calibri" w:cs="Calibri"/>
                <w:color w:val="000000"/>
                <w:sz w:val="20"/>
                <w:szCs w:val="20"/>
                <w:highlight w:val="black"/>
              </w:rPr>
              <w:t>xxxxx</w:t>
            </w:r>
          </w:p>
        </w:tc>
        <w:tc>
          <w:tcPr>
            <w:tcW w:w="1587" w:type="dxa"/>
            <w:tcBorders>
              <w:top w:val="nil"/>
              <w:left w:val="nil"/>
              <w:bottom w:val="single" w:sz="8" w:space="0" w:color="auto"/>
              <w:right w:val="single" w:sz="8" w:space="0" w:color="auto"/>
            </w:tcBorders>
            <w:shd w:val="clear" w:color="auto" w:fill="auto"/>
            <w:vAlign w:val="center"/>
          </w:tcPr>
          <w:p w14:paraId="120889A7" w14:textId="59208022" w:rsidR="00262D9A" w:rsidRPr="002A64D4" w:rsidRDefault="002A64D4" w:rsidP="00755A56">
            <w:pPr>
              <w:spacing w:after="0"/>
              <w:jc w:val="center"/>
              <w:rPr>
                <w:rFonts w:ascii="Calibri" w:eastAsia="Times New Roman" w:hAnsi="Calibri" w:cs="Calibri"/>
                <w:color w:val="000000"/>
                <w:sz w:val="20"/>
                <w:szCs w:val="20"/>
                <w:highlight w:val="black"/>
              </w:rPr>
            </w:pPr>
            <w:r w:rsidRPr="002A64D4">
              <w:rPr>
                <w:rFonts w:ascii="Calibri" w:hAnsi="Calibri" w:cs="Calibri"/>
                <w:color w:val="000000"/>
                <w:sz w:val="20"/>
                <w:szCs w:val="20"/>
                <w:highlight w:val="black"/>
              </w:rPr>
              <w:t>xxxxx</w:t>
            </w:r>
          </w:p>
        </w:tc>
      </w:tr>
      <w:tr w:rsidR="00262D9A" w:rsidRPr="00755A56" w14:paraId="642F467D" w14:textId="77777777" w:rsidTr="009217A6">
        <w:trPr>
          <w:trHeight w:val="315"/>
        </w:trPr>
        <w:tc>
          <w:tcPr>
            <w:tcW w:w="3417" w:type="dxa"/>
            <w:vMerge/>
            <w:tcBorders>
              <w:top w:val="nil"/>
              <w:left w:val="single" w:sz="8" w:space="0" w:color="auto"/>
              <w:bottom w:val="single" w:sz="8" w:space="0" w:color="000000"/>
              <w:right w:val="single" w:sz="8" w:space="0" w:color="auto"/>
            </w:tcBorders>
            <w:vAlign w:val="center"/>
          </w:tcPr>
          <w:p w14:paraId="3E1BE189" w14:textId="77777777" w:rsidR="00262D9A" w:rsidRPr="00755A56" w:rsidRDefault="00262D9A" w:rsidP="00755A56">
            <w:pPr>
              <w:spacing w:after="0"/>
              <w:rPr>
                <w:rFonts w:ascii="Calibri" w:eastAsia="Times New Roman" w:hAnsi="Calibri" w:cs="Calibri"/>
                <w:color w:val="000000"/>
                <w:sz w:val="20"/>
                <w:szCs w:val="20"/>
              </w:rPr>
            </w:pPr>
          </w:p>
        </w:tc>
        <w:tc>
          <w:tcPr>
            <w:tcW w:w="2225" w:type="dxa"/>
            <w:tcBorders>
              <w:top w:val="nil"/>
              <w:left w:val="nil"/>
              <w:bottom w:val="single" w:sz="4" w:space="0" w:color="auto"/>
              <w:right w:val="single" w:sz="8" w:space="0" w:color="auto"/>
            </w:tcBorders>
            <w:shd w:val="clear" w:color="auto" w:fill="auto"/>
            <w:vAlign w:val="center"/>
          </w:tcPr>
          <w:p w14:paraId="4EA82534" w14:textId="77777777" w:rsidR="00262D9A" w:rsidRPr="00755A56" w:rsidRDefault="00262D9A" w:rsidP="00755A56">
            <w:pPr>
              <w:spacing w:after="0"/>
              <w:rPr>
                <w:rFonts w:ascii="Calibri" w:eastAsia="Times New Roman" w:hAnsi="Calibri" w:cs="Calibri"/>
                <w:color w:val="000000"/>
                <w:sz w:val="20"/>
                <w:szCs w:val="20"/>
              </w:rPr>
            </w:pPr>
            <w:r w:rsidRPr="00755A56">
              <w:rPr>
                <w:rFonts w:ascii="Calibri" w:eastAsia="Times New Roman" w:hAnsi="Calibri" w:cs="Calibri"/>
                <w:color w:val="000000"/>
                <w:sz w:val="20"/>
                <w:szCs w:val="20"/>
              </w:rPr>
              <w:t>Actual (A)</w:t>
            </w:r>
          </w:p>
        </w:tc>
        <w:tc>
          <w:tcPr>
            <w:tcW w:w="1587" w:type="dxa"/>
            <w:tcBorders>
              <w:top w:val="nil"/>
              <w:left w:val="nil"/>
              <w:bottom w:val="single" w:sz="4" w:space="0" w:color="auto"/>
              <w:right w:val="single" w:sz="8" w:space="0" w:color="auto"/>
            </w:tcBorders>
            <w:shd w:val="clear" w:color="auto" w:fill="auto"/>
            <w:vAlign w:val="center"/>
          </w:tcPr>
          <w:p w14:paraId="23A80CF7" w14:textId="77777777" w:rsidR="00262D9A" w:rsidRPr="00755A56" w:rsidRDefault="00262D9A" w:rsidP="00755A56">
            <w:pPr>
              <w:spacing w:after="0"/>
              <w:jc w:val="center"/>
              <w:rPr>
                <w:rFonts w:ascii="Calibri" w:eastAsia="Times New Roman" w:hAnsi="Calibri" w:cs="Calibri"/>
                <w:color w:val="000000"/>
                <w:sz w:val="20"/>
                <w:szCs w:val="20"/>
              </w:rPr>
            </w:pPr>
            <w:r>
              <w:rPr>
                <w:rFonts w:ascii="Calibri" w:hAnsi="Calibri" w:cs="Calibri"/>
                <w:color w:val="000000"/>
                <w:sz w:val="20"/>
                <w:szCs w:val="20"/>
              </w:rPr>
              <w:t>6,575</w:t>
            </w:r>
          </w:p>
        </w:tc>
        <w:tc>
          <w:tcPr>
            <w:tcW w:w="1587" w:type="dxa"/>
            <w:tcBorders>
              <w:top w:val="nil"/>
              <w:left w:val="nil"/>
              <w:bottom w:val="single" w:sz="4" w:space="0" w:color="auto"/>
              <w:right w:val="single" w:sz="8" w:space="0" w:color="auto"/>
            </w:tcBorders>
            <w:shd w:val="clear" w:color="auto" w:fill="auto"/>
            <w:vAlign w:val="center"/>
          </w:tcPr>
          <w:p w14:paraId="010627BE" w14:textId="77777777" w:rsidR="00262D9A" w:rsidRPr="00755A56" w:rsidRDefault="00262D9A" w:rsidP="00755A56">
            <w:pPr>
              <w:spacing w:after="0"/>
              <w:jc w:val="center"/>
              <w:rPr>
                <w:rFonts w:ascii="Calibri" w:eastAsia="Times New Roman" w:hAnsi="Calibri" w:cs="Calibri"/>
                <w:color w:val="000000"/>
                <w:sz w:val="20"/>
                <w:szCs w:val="20"/>
              </w:rPr>
            </w:pPr>
            <w:r>
              <w:rPr>
                <w:rFonts w:ascii="Calibri" w:hAnsi="Calibri" w:cs="Calibri"/>
                <w:color w:val="000000"/>
                <w:sz w:val="20"/>
                <w:szCs w:val="20"/>
              </w:rPr>
              <w:t>7,557</w:t>
            </w:r>
          </w:p>
        </w:tc>
      </w:tr>
      <w:tr w:rsidR="00262D9A" w:rsidRPr="00755A56" w14:paraId="20665196" w14:textId="77777777" w:rsidTr="009217A6">
        <w:trPr>
          <w:trHeight w:val="315"/>
        </w:trPr>
        <w:tc>
          <w:tcPr>
            <w:tcW w:w="3417" w:type="dxa"/>
            <w:vMerge/>
            <w:tcBorders>
              <w:top w:val="nil"/>
              <w:left w:val="single" w:sz="8" w:space="0" w:color="auto"/>
              <w:bottom w:val="single" w:sz="4" w:space="0" w:color="auto"/>
              <w:right w:val="single" w:sz="4" w:space="0" w:color="auto"/>
            </w:tcBorders>
            <w:vAlign w:val="center"/>
          </w:tcPr>
          <w:p w14:paraId="04B01889" w14:textId="77777777" w:rsidR="00262D9A" w:rsidRPr="00755A56" w:rsidRDefault="00262D9A" w:rsidP="00755A56">
            <w:pPr>
              <w:spacing w:after="0"/>
              <w:rPr>
                <w:rFonts w:ascii="Calibri" w:eastAsia="Times New Roman" w:hAnsi="Calibri" w:cs="Calibri"/>
                <w:color w:val="000000"/>
                <w:sz w:val="20"/>
                <w:szCs w:val="20"/>
              </w:rPr>
            </w:pPr>
          </w:p>
        </w:tc>
        <w:tc>
          <w:tcPr>
            <w:tcW w:w="2225" w:type="dxa"/>
            <w:tcBorders>
              <w:top w:val="single" w:sz="4" w:space="0" w:color="auto"/>
              <w:left w:val="single" w:sz="4" w:space="0" w:color="auto"/>
              <w:bottom w:val="single" w:sz="4" w:space="0" w:color="auto"/>
              <w:right w:val="single" w:sz="4" w:space="0" w:color="auto"/>
            </w:tcBorders>
            <w:shd w:val="clear" w:color="auto" w:fill="auto"/>
            <w:vAlign w:val="center"/>
          </w:tcPr>
          <w:p w14:paraId="72A9E6A8" w14:textId="77777777" w:rsidR="00262D9A" w:rsidRPr="00755A56" w:rsidRDefault="00262D9A" w:rsidP="00755A56">
            <w:pPr>
              <w:spacing w:after="0"/>
              <w:rPr>
                <w:rFonts w:ascii="Calibri" w:eastAsia="Times New Roman" w:hAnsi="Calibri" w:cs="Calibri"/>
                <w:color w:val="000000"/>
                <w:sz w:val="20"/>
                <w:szCs w:val="20"/>
              </w:rPr>
            </w:pPr>
            <w:r w:rsidRPr="00755A56">
              <w:rPr>
                <w:rFonts w:ascii="Calibri" w:eastAsia="Times New Roman" w:hAnsi="Calibri" w:cs="Calibri"/>
                <w:color w:val="000000"/>
                <w:sz w:val="20"/>
                <w:szCs w:val="20"/>
              </w:rPr>
              <w:t>% Difference (A-P)/P</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7B029F48" w14:textId="461A3B6F" w:rsidR="00262D9A" w:rsidRPr="002A64D4" w:rsidRDefault="002A64D4" w:rsidP="00755A56">
            <w:pPr>
              <w:spacing w:after="0"/>
              <w:jc w:val="center"/>
              <w:rPr>
                <w:rFonts w:ascii="Calibri" w:eastAsia="Times New Roman" w:hAnsi="Calibri" w:cs="Calibri"/>
                <w:color w:val="000000"/>
                <w:sz w:val="20"/>
                <w:szCs w:val="20"/>
                <w:highlight w:val="black"/>
              </w:rPr>
            </w:pPr>
            <w:r w:rsidRPr="002A64D4">
              <w:rPr>
                <w:rFonts w:ascii="Calibri" w:hAnsi="Calibri" w:cs="Calibri"/>
                <w:color w:val="000000"/>
                <w:sz w:val="20"/>
                <w:szCs w:val="20"/>
                <w:highlight w:val="black"/>
              </w:rPr>
              <w:t>xx</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2EA58EDC" w14:textId="2CD5B1C4" w:rsidR="00262D9A" w:rsidRPr="002A64D4" w:rsidRDefault="002A64D4" w:rsidP="00755A56">
            <w:pPr>
              <w:spacing w:after="0"/>
              <w:jc w:val="center"/>
              <w:rPr>
                <w:rFonts w:ascii="Calibri" w:eastAsia="Times New Roman" w:hAnsi="Calibri" w:cs="Calibri"/>
                <w:color w:val="000000"/>
                <w:sz w:val="20"/>
                <w:szCs w:val="20"/>
                <w:highlight w:val="black"/>
              </w:rPr>
            </w:pPr>
            <w:r w:rsidRPr="002A64D4">
              <w:rPr>
                <w:rFonts w:ascii="Calibri" w:hAnsi="Calibri" w:cs="Calibri"/>
                <w:color w:val="000000"/>
                <w:sz w:val="20"/>
                <w:szCs w:val="20"/>
                <w:highlight w:val="black"/>
              </w:rPr>
              <w:t>xxxx</w:t>
            </w:r>
          </w:p>
        </w:tc>
      </w:tr>
      <w:tr w:rsidR="00262D9A" w:rsidRPr="00755A56" w14:paraId="63A9DC39" w14:textId="77777777" w:rsidTr="009217A6">
        <w:trPr>
          <w:trHeight w:val="315"/>
        </w:trPr>
        <w:tc>
          <w:tcPr>
            <w:tcW w:w="3417" w:type="dxa"/>
            <w:vMerge w:val="restart"/>
            <w:tcBorders>
              <w:top w:val="single" w:sz="4" w:space="0" w:color="auto"/>
              <w:left w:val="single" w:sz="4" w:space="0" w:color="auto"/>
              <w:bottom w:val="single" w:sz="4" w:space="0" w:color="auto"/>
              <w:right w:val="single" w:sz="4" w:space="0" w:color="auto"/>
            </w:tcBorders>
            <w:vAlign w:val="center"/>
          </w:tcPr>
          <w:p w14:paraId="10549BCC" w14:textId="77777777" w:rsidR="00262D9A" w:rsidRPr="00755A56" w:rsidRDefault="00262D9A" w:rsidP="00B83C90">
            <w:pPr>
              <w:spacing w:after="0"/>
              <w:rPr>
                <w:rFonts w:ascii="Calibri" w:eastAsia="Times New Roman" w:hAnsi="Calibri" w:cs="Calibri"/>
                <w:color w:val="000000"/>
                <w:sz w:val="20"/>
                <w:szCs w:val="20"/>
              </w:rPr>
            </w:pPr>
            <w:r>
              <w:rPr>
                <w:rFonts w:ascii="Calibri" w:hAnsi="Calibri" w:cs="Calibri"/>
                <w:color w:val="000000"/>
                <w:sz w:val="20"/>
                <w:szCs w:val="20"/>
              </w:rPr>
              <w:t xml:space="preserve">Prescriptions per </w:t>
            </w:r>
            <w:r w:rsidR="00B83C90">
              <w:rPr>
                <w:rFonts w:ascii="Calibri" w:hAnsi="Calibri" w:cs="Calibri"/>
                <w:color w:val="000000"/>
                <w:sz w:val="20"/>
                <w:szCs w:val="20"/>
              </w:rPr>
              <w:t xml:space="preserve">Int-1 </w:t>
            </w:r>
            <w:r>
              <w:rPr>
                <w:rFonts w:ascii="Calibri" w:hAnsi="Calibri" w:cs="Calibri"/>
                <w:color w:val="000000"/>
                <w:sz w:val="20"/>
                <w:szCs w:val="20"/>
              </w:rPr>
              <w:t>patient</w:t>
            </w:r>
          </w:p>
        </w:tc>
        <w:tc>
          <w:tcPr>
            <w:tcW w:w="2225" w:type="dxa"/>
            <w:tcBorders>
              <w:top w:val="single" w:sz="4" w:space="0" w:color="auto"/>
              <w:left w:val="single" w:sz="4" w:space="0" w:color="auto"/>
              <w:bottom w:val="single" w:sz="4" w:space="0" w:color="auto"/>
              <w:right w:val="single" w:sz="4" w:space="0" w:color="auto"/>
            </w:tcBorders>
            <w:shd w:val="clear" w:color="auto" w:fill="auto"/>
            <w:vAlign w:val="center"/>
          </w:tcPr>
          <w:p w14:paraId="18E98C59" w14:textId="77777777" w:rsidR="00262D9A" w:rsidRPr="00755A56" w:rsidRDefault="00262D9A" w:rsidP="00755A56">
            <w:pPr>
              <w:spacing w:after="0"/>
              <w:rPr>
                <w:rFonts w:ascii="Calibri" w:eastAsia="Times New Roman" w:hAnsi="Calibri" w:cs="Calibri"/>
                <w:color w:val="000000"/>
                <w:sz w:val="20"/>
                <w:szCs w:val="20"/>
              </w:rPr>
            </w:pPr>
            <w:r>
              <w:rPr>
                <w:rFonts w:ascii="Calibri" w:hAnsi="Calibri" w:cs="Calibri"/>
                <w:color w:val="000000"/>
                <w:sz w:val="20"/>
                <w:szCs w:val="20"/>
              </w:rPr>
              <w:t>Predicted (P)</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52B9DE64" w14:textId="62E194CA" w:rsidR="00262D9A" w:rsidRPr="002A64D4" w:rsidRDefault="002A64D4" w:rsidP="00755A56">
            <w:pPr>
              <w:spacing w:after="0"/>
              <w:jc w:val="center"/>
              <w:rPr>
                <w:rFonts w:ascii="Calibri" w:hAnsi="Calibri" w:cs="Calibri"/>
                <w:color w:val="000000"/>
                <w:sz w:val="20"/>
                <w:szCs w:val="20"/>
                <w:highlight w:val="black"/>
              </w:rPr>
            </w:pPr>
            <w:r w:rsidRPr="002A64D4">
              <w:rPr>
                <w:rFonts w:ascii="Calibri" w:hAnsi="Calibri" w:cs="Calibri"/>
                <w:color w:val="000000"/>
                <w:sz w:val="20"/>
                <w:szCs w:val="20"/>
                <w:highlight w:val="black"/>
              </w:rPr>
              <w:t>xxxx</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3F9574AD" w14:textId="7A395926" w:rsidR="00262D9A" w:rsidRPr="002A64D4" w:rsidRDefault="002A64D4" w:rsidP="00755A56">
            <w:pPr>
              <w:spacing w:after="0"/>
              <w:jc w:val="center"/>
              <w:rPr>
                <w:rFonts w:ascii="Calibri" w:hAnsi="Calibri" w:cs="Calibri"/>
                <w:color w:val="000000"/>
                <w:sz w:val="20"/>
                <w:szCs w:val="20"/>
                <w:highlight w:val="black"/>
              </w:rPr>
            </w:pPr>
            <w:r w:rsidRPr="002A64D4">
              <w:rPr>
                <w:rFonts w:ascii="Calibri" w:hAnsi="Calibri" w:cs="Calibri"/>
                <w:color w:val="000000"/>
                <w:sz w:val="20"/>
                <w:szCs w:val="20"/>
                <w:highlight w:val="black"/>
              </w:rPr>
              <w:t>xxxx</w:t>
            </w:r>
          </w:p>
        </w:tc>
      </w:tr>
      <w:tr w:rsidR="00262D9A" w:rsidRPr="00755A56" w14:paraId="088DE8E0" w14:textId="77777777" w:rsidTr="009217A6">
        <w:trPr>
          <w:trHeight w:val="315"/>
        </w:trPr>
        <w:tc>
          <w:tcPr>
            <w:tcW w:w="3417" w:type="dxa"/>
            <w:vMerge/>
            <w:tcBorders>
              <w:top w:val="single" w:sz="4" w:space="0" w:color="auto"/>
              <w:left w:val="single" w:sz="4" w:space="0" w:color="auto"/>
              <w:bottom w:val="single" w:sz="4" w:space="0" w:color="auto"/>
              <w:right w:val="single" w:sz="4" w:space="0" w:color="auto"/>
            </w:tcBorders>
            <w:vAlign w:val="center"/>
          </w:tcPr>
          <w:p w14:paraId="06726C93" w14:textId="77777777" w:rsidR="00262D9A" w:rsidRPr="00755A56" w:rsidRDefault="00262D9A" w:rsidP="00755A56">
            <w:pPr>
              <w:spacing w:after="0"/>
              <w:rPr>
                <w:rFonts w:ascii="Calibri" w:eastAsia="Times New Roman" w:hAnsi="Calibri" w:cs="Calibri"/>
                <w:color w:val="000000"/>
                <w:sz w:val="20"/>
                <w:szCs w:val="20"/>
              </w:rPr>
            </w:pPr>
          </w:p>
        </w:tc>
        <w:tc>
          <w:tcPr>
            <w:tcW w:w="2225" w:type="dxa"/>
            <w:tcBorders>
              <w:top w:val="single" w:sz="4" w:space="0" w:color="auto"/>
              <w:left w:val="single" w:sz="4" w:space="0" w:color="auto"/>
              <w:bottom w:val="single" w:sz="4" w:space="0" w:color="auto"/>
              <w:right w:val="single" w:sz="4" w:space="0" w:color="auto"/>
            </w:tcBorders>
            <w:shd w:val="clear" w:color="auto" w:fill="auto"/>
            <w:vAlign w:val="center"/>
          </w:tcPr>
          <w:p w14:paraId="6EBBEC29" w14:textId="77777777" w:rsidR="00262D9A" w:rsidRPr="00755A56" w:rsidRDefault="00262D9A" w:rsidP="00755A56">
            <w:pPr>
              <w:spacing w:after="0"/>
              <w:rPr>
                <w:rFonts w:ascii="Calibri" w:eastAsia="Times New Roman" w:hAnsi="Calibri" w:cs="Calibri"/>
                <w:color w:val="000000"/>
                <w:sz w:val="20"/>
                <w:szCs w:val="20"/>
              </w:rPr>
            </w:pPr>
            <w:r>
              <w:rPr>
                <w:rFonts w:ascii="Calibri" w:hAnsi="Calibri" w:cs="Calibri"/>
                <w:color w:val="000000"/>
                <w:sz w:val="20"/>
                <w:szCs w:val="20"/>
              </w:rPr>
              <w:t>Actual (A)</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3A5FD9E8" w14:textId="77777777" w:rsidR="00262D9A" w:rsidRDefault="00262D9A" w:rsidP="00755A56">
            <w:pPr>
              <w:spacing w:after="0"/>
              <w:jc w:val="center"/>
              <w:rPr>
                <w:rFonts w:ascii="Calibri" w:hAnsi="Calibri" w:cs="Calibri"/>
                <w:color w:val="000000"/>
                <w:sz w:val="20"/>
                <w:szCs w:val="20"/>
              </w:rPr>
            </w:pPr>
            <w:r>
              <w:rPr>
                <w:rFonts w:ascii="Calibri" w:hAnsi="Calibri" w:cs="Calibri"/>
                <w:color w:val="000000"/>
                <w:sz w:val="20"/>
                <w:szCs w:val="20"/>
              </w:rPr>
              <w:t>5.0</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0A375A3F" w14:textId="77777777" w:rsidR="00262D9A" w:rsidRDefault="00262D9A" w:rsidP="00755A56">
            <w:pPr>
              <w:spacing w:after="0"/>
              <w:jc w:val="center"/>
              <w:rPr>
                <w:rFonts w:ascii="Calibri" w:hAnsi="Calibri" w:cs="Calibri"/>
                <w:color w:val="000000"/>
                <w:sz w:val="20"/>
                <w:szCs w:val="20"/>
              </w:rPr>
            </w:pPr>
            <w:r>
              <w:rPr>
                <w:rFonts w:ascii="Calibri" w:hAnsi="Calibri" w:cs="Calibri"/>
                <w:color w:val="000000"/>
                <w:sz w:val="20"/>
                <w:szCs w:val="20"/>
              </w:rPr>
              <w:t>8.2</w:t>
            </w:r>
          </w:p>
        </w:tc>
      </w:tr>
      <w:tr w:rsidR="00262D9A" w:rsidRPr="00755A56" w14:paraId="1CFB22DE" w14:textId="77777777" w:rsidTr="009217A6">
        <w:trPr>
          <w:trHeight w:val="315"/>
        </w:trPr>
        <w:tc>
          <w:tcPr>
            <w:tcW w:w="3417" w:type="dxa"/>
            <w:vMerge/>
            <w:tcBorders>
              <w:top w:val="single" w:sz="4" w:space="0" w:color="auto"/>
              <w:left w:val="single" w:sz="4" w:space="0" w:color="auto"/>
              <w:bottom w:val="single" w:sz="4" w:space="0" w:color="auto"/>
              <w:right w:val="single" w:sz="4" w:space="0" w:color="auto"/>
            </w:tcBorders>
            <w:vAlign w:val="center"/>
          </w:tcPr>
          <w:p w14:paraId="472B7F83" w14:textId="77777777" w:rsidR="00262D9A" w:rsidRPr="00755A56" w:rsidRDefault="00262D9A" w:rsidP="00755A56">
            <w:pPr>
              <w:spacing w:after="0"/>
              <w:rPr>
                <w:rFonts w:ascii="Calibri" w:eastAsia="Times New Roman" w:hAnsi="Calibri" w:cs="Calibri"/>
                <w:color w:val="000000"/>
                <w:sz w:val="20"/>
                <w:szCs w:val="20"/>
              </w:rPr>
            </w:pPr>
          </w:p>
        </w:tc>
        <w:tc>
          <w:tcPr>
            <w:tcW w:w="2225" w:type="dxa"/>
            <w:tcBorders>
              <w:top w:val="single" w:sz="4" w:space="0" w:color="auto"/>
              <w:left w:val="single" w:sz="4" w:space="0" w:color="auto"/>
              <w:bottom w:val="single" w:sz="4" w:space="0" w:color="auto"/>
              <w:right w:val="single" w:sz="4" w:space="0" w:color="auto"/>
            </w:tcBorders>
            <w:shd w:val="clear" w:color="auto" w:fill="auto"/>
            <w:vAlign w:val="center"/>
          </w:tcPr>
          <w:p w14:paraId="6AC7AFE3" w14:textId="77777777" w:rsidR="00262D9A" w:rsidRPr="00755A56" w:rsidRDefault="00262D9A" w:rsidP="00755A56">
            <w:pPr>
              <w:spacing w:after="0"/>
              <w:rPr>
                <w:rFonts w:ascii="Calibri" w:eastAsia="Times New Roman" w:hAnsi="Calibri" w:cs="Calibri"/>
                <w:color w:val="000000"/>
                <w:sz w:val="20"/>
                <w:szCs w:val="20"/>
              </w:rPr>
            </w:pPr>
            <w:r>
              <w:rPr>
                <w:rFonts w:ascii="Calibri" w:hAnsi="Calibri" w:cs="Calibri"/>
                <w:color w:val="000000"/>
                <w:sz w:val="20"/>
                <w:szCs w:val="20"/>
              </w:rPr>
              <w:t>% Difference (A-P)/P</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09B37581" w14:textId="4025B5A6" w:rsidR="00262D9A" w:rsidRPr="002A64D4" w:rsidRDefault="002A64D4" w:rsidP="00755A56">
            <w:pPr>
              <w:spacing w:after="0"/>
              <w:jc w:val="center"/>
              <w:rPr>
                <w:rFonts w:ascii="Calibri" w:hAnsi="Calibri" w:cs="Calibri"/>
                <w:color w:val="000000"/>
                <w:sz w:val="20"/>
                <w:szCs w:val="20"/>
                <w:highlight w:val="black"/>
              </w:rPr>
            </w:pPr>
            <w:r w:rsidRPr="002A64D4">
              <w:rPr>
                <w:rFonts w:ascii="Calibri" w:hAnsi="Calibri" w:cs="Calibri"/>
                <w:color w:val="000000"/>
                <w:sz w:val="20"/>
                <w:szCs w:val="20"/>
                <w:highlight w:val="black"/>
              </w:rPr>
              <w:t>xxxx</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44AF87D7" w14:textId="4FB63697" w:rsidR="00262D9A" w:rsidRPr="002A64D4" w:rsidRDefault="002A64D4" w:rsidP="00755A56">
            <w:pPr>
              <w:spacing w:after="0"/>
              <w:jc w:val="center"/>
              <w:rPr>
                <w:rFonts w:ascii="Calibri" w:hAnsi="Calibri" w:cs="Calibri"/>
                <w:color w:val="000000"/>
                <w:sz w:val="20"/>
                <w:szCs w:val="20"/>
                <w:highlight w:val="black"/>
              </w:rPr>
            </w:pPr>
            <w:r w:rsidRPr="002A64D4">
              <w:rPr>
                <w:rFonts w:ascii="Calibri" w:hAnsi="Calibri" w:cs="Calibri"/>
                <w:color w:val="000000"/>
                <w:sz w:val="20"/>
                <w:szCs w:val="20"/>
                <w:highlight w:val="black"/>
              </w:rPr>
              <w:t>xxxx</w:t>
            </w:r>
          </w:p>
        </w:tc>
      </w:tr>
      <w:tr w:rsidR="00262D9A" w:rsidRPr="00755A56" w14:paraId="11221EA8" w14:textId="77777777" w:rsidTr="009217A6">
        <w:trPr>
          <w:trHeight w:val="315"/>
        </w:trPr>
        <w:tc>
          <w:tcPr>
            <w:tcW w:w="3417" w:type="dxa"/>
            <w:vMerge w:val="restart"/>
            <w:tcBorders>
              <w:top w:val="single" w:sz="4" w:space="0" w:color="auto"/>
              <w:left w:val="single" w:sz="4" w:space="0" w:color="auto"/>
              <w:bottom w:val="single" w:sz="4" w:space="0" w:color="auto"/>
              <w:right w:val="single" w:sz="4" w:space="0" w:color="auto"/>
            </w:tcBorders>
            <w:vAlign w:val="center"/>
          </w:tcPr>
          <w:p w14:paraId="6975575E" w14:textId="77777777" w:rsidR="00262D9A" w:rsidRPr="00755A56" w:rsidRDefault="00262D9A" w:rsidP="00B83C90">
            <w:pPr>
              <w:spacing w:after="0"/>
              <w:rPr>
                <w:rFonts w:ascii="Calibri" w:eastAsia="Times New Roman" w:hAnsi="Calibri" w:cs="Calibri"/>
                <w:color w:val="000000"/>
                <w:sz w:val="20"/>
                <w:szCs w:val="20"/>
              </w:rPr>
            </w:pPr>
            <w:r>
              <w:rPr>
                <w:rFonts w:ascii="Calibri" w:hAnsi="Calibri" w:cs="Calibri"/>
                <w:color w:val="000000"/>
                <w:sz w:val="20"/>
                <w:szCs w:val="20"/>
              </w:rPr>
              <w:t>Prescriptions per Int-2 &amp; High Risk patient (including Grandfathered &amp; Unknown)</w:t>
            </w:r>
          </w:p>
        </w:tc>
        <w:tc>
          <w:tcPr>
            <w:tcW w:w="2225" w:type="dxa"/>
            <w:tcBorders>
              <w:top w:val="single" w:sz="4" w:space="0" w:color="auto"/>
              <w:left w:val="single" w:sz="4" w:space="0" w:color="auto"/>
              <w:bottom w:val="single" w:sz="4" w:space="0" w:color="auto"/>
              <w:right w:val="single" w:sz="4" w:space="0" w:color="auto"/>
            </w:tcBorders>
            <w:shd w:val="clear" w:color="auto" w:fill="auto"/>
            <w:vAlign w:val="center"/>
          </w:tcPr>
          <w:p w14:paraId="55A59E3E" w14:textId="77777777" w:rsidR="00262D9A" w:rsidRPr="00755A56" w:rsidRDefault="00262D9A" w:rsidP="00755A56">
            <w:pPr>
              <w:spacing w:after="0"/>
              <w:rPr>
                <w:rFonts w:ascii="Calibri" w:eastAsia="Times New Roman" w:hAnsi="Calibri" w:cs="Calibri"/>
                <w:color w:val="000000"/>
                <w:sz w:val="20"/>
                <w:szCs w:val="20"/>
              </w:rPr>
            </w:pPr>
            <w:r>
              <w:rPr>
                <w:rFonts w:ascii="Calibri" w:hAnsi="Calibri" w:cs="Calibri"/>
                <w:color w:val="000000"/>
                <w:sz w:val="20"/>
                <w:szCs w:val="20"/>
              </w:rPr>
              <w:t>Predicted (P)</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4DB49C58" w14:textId="6C4D5CFB" w:rsidR="00262D9A" w:rsidRPr="002A64D4" w:rsidRDefault="002A64D4" w:rsidP="00755A56">
            <w:pPr>
              <w:spacing w:after="0"/>
              <w:jc w:val="center"/>
              <w:rPr>
                <w:rFonts w:ascii="Calibri" w:hAnsi="Calibri" w:cs="Calibri"/>
                <w:color w:val="000000"/>
                <w:sz w:val="20"/>
                <w:szCs w:val="20"/>
                <w:highlight w:val="black"/>
              </w:rPr>
            </w:pPr>
            <w:r w:rsidRPr="002A64D4">
              <w:rPr>
                <w:rFonts w:ascii="Calibri" w:hAnsi="Calibri" w:cs="Calibri"/>
                <w:color w:val="000000"/>
                <w:sz w:val="20"/>
                <w:szCs w:val="20"/>
                <w:highlight w:val="black"/>
              </w:rPr>
              <w:t>xxxx</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24DEC46C" w14:textId="49A6CA70" w:rsidR="00262D9A" w:rsidRPr="002A64D4" w:rsidRDefault="002A64D4" w:rsidP="00755A56">
            <w:pPr>
              <w:spacing w:after="0"/>
              <w:jc w:val="center"/>
              <w:rPr>
                <w:rFonts w:ascii="Calibri" w:hAnsi="Calibri" w:cs="Calibri"/>
                <w:color w:val="000000"/>
                <w:sz w:val="20"/>
                <w:szCs w:val="20"/>
                <w:highlight w:val="black"/>
              </w:rPr>
            </w:pPr>
            <w:r w:rsidRPr="002A64D4">
              <w:rPr>
                <w:rFonts w:ascii="Calibri" w:hAnsi="Calibri" w:cs="Calibri"/>
                <w:color w:val="000000"/>
                <w:sz w:val="20"/>
                <w:szCs w:val="20"/>
                <w:highlight w:val="black"/>
              </w:rPr>
              <w:t>xxxx</w:t>
            </w:r>
          </w:p>
        </w:tc>
      </w:tr>
      <w:tr w:rsidR="00262D9A" w:rsidRPr="00755A56" w14:paraId="62A457A7" w14:textId="77777777" w:rsidTr="009217A6">
        <w:trPr>
          <w:trHeight w:val="315"/>
        </w:trPr>
        <w:tc>
          <w:tcPr>
            <w:tcW w:w="3417" w:type="dxa"/>
            <w:vMerge/>
            <w:tcBorders>
              <w:top w:val="single" w:sz="4" w:space="0" w:color="auto"/>
              <w:left w:val="single" w:sz="4" w:space="0" w:color="auto"/>
              <w:bottom w:val="single" w:sz="4" w:space="0" w:color="auto"/>
              <w:right w:val="single" w:sz="4" w:space="0" w:color="auto"/>
            </w:tcBorders>
            <w:vAlign w:val="center"/>
          </w:tcPr>
          <w:p w14:paraId="64FEC814" w14:textId="77777777" w:rsidR="00262D9A" w:rsidRPr="00755A56" w:rsidRDefault="00262D9A" w:rsidP="00755A56">
            <w:pPr>
              <w:spacing w:after="0"/>
              <w:rPr>
                <w:rFonts w:ascii="Calibri" w:eastAsia="Times New Roman" w:hAnsi="Calibri" w:cs="Calibri"/>
                <w:color w:val="000000"/>
                <w:sz w:val="20"/>
                <w:szCs w:val="20"/>
              </w:rPr>
            </w:pPr>
          </w:p>
        </w:tc>
        <w:tc>
          <w:tcPr>
            <w:tcW w:w="2225" w:type="dxa"/>
            <w:tcBorders>
              <w:top w:val="single" w:sz="4" w:space="0" w:color="auto"/>
              <w:left w:val="single" w:sz="4" w:space="0" w:color="auto"/>
              <w:bottom w:val="single" w:sz="4" w:space="0" w:color="auto"/>
              <w:right w:val="single" w:sz="4" w:space="0" w:color="auto"/>
            </w:tcBorders>
            <w:shd w:val="clear" w:color="auto" w:fill="auto"/>
            <w:vAlign w:val="center"/>
          </w:tcPr>
          <w:p w14:paraId="1D4E982F" w14:textId="77777777" w:rsidR="00262D9A" w:rsidRPr="00755A56" w:rsidRDefault="00262D9A" w:rsidP="00755A56">
            <w:pPr>
              <w:spacing w:after="0"/>
              <w:rPr>
                <w:rFonts w:ascii="Calibri" w:eastAsia="Times New Roman" w:hAnsi="Calibri" w:cs="Calibri"/>
                <w:color w:val="000000"/>
                <w:sz w:val="20"/>
                <w:szCs w:val="20"/>
              </w:rPr>
            </w:pPr>
            <w:r>
              <w:rPr>
                <w:rFonts w:ascii="Calibri" w:hAnsi="Calibri" w:cs="Calibri"/>
                <w:color w:val="000000"/>
                <w:sz w:val="20"/>
                <w:szCs w:val="20"/>
              </w:rPr>
              <w:t>Actual (A)</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6B3112A5" w14:textId="77777777" w:rsidR="00262D9A" w:rsidRDefault="00262D9A" w:rsidP="00755A56">
            <w:pPr>
              <w:spacing w:after="0"/>
              <w:jc w:val="center"/>
              <w:rPr>
                <w:rFonts w:ascii="Calibri" w:hAnsi="Calibri" w:cs="Calibri"/>
                <w:color w:val="000000"/>
                <w:sz w:val="20"/>
                <w:szCs w:val="20"/>
              </w:rPr>
            </w:pPr>
            <w:r>
              <w:rPr>
                <w:rFonts w:ascii="Calibri" w:hAnsi="Calibri" w:cs="Calibri"/>
                <w:color w:val="000000"/>
                <w:sz w:val="20"/>
                <w:szCs w:val="20"/>
              </w:rPr>
              <w:t>8.9</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54A54065" w14:textId="77777777" w:rsidR="00262D9A" w:rsidRDefault="00262D9A" w:rsidP="00755A56">
            <w:pPr>
              <w:spacing w:after="0"/>
              <w:jc w:val="center"/>
              <w:rPr>
                <w:rFonts w:ascii="Calibri" w:hAnsi="Calibri" w:cs="Calibri"/>
                <w:color w:val="000000"/>
                <w:sz w:val="20"/>
                <w:szCs w:val="20"/>
              </w:rPr>
            </w:pPr>
            <w:r>
              <w:rPr>
                <w:rFonts w:ascii="Calibri" w:hAnsi="Calibri" w:cs="Calibri"/>
                <w:color w:val="000000"/>
                <w:sz w:val="20"/>
                <w:szCs w:val="20"/>
              </w:rPr>
              <w:t>9.1</w:t>
            </w:r>
          </w:p>
        </w:tc>
      </w:tr>
      <w:tr w:rsidR="00262D9A" w:rsidRPr="00755A56" w14:paraId="58E67B0B" w14:textId="77777777" w:rsidTr="009217A6">
        <w:trPr>
          <w:trHeight w:val="315"/>
        </w:trPr>
        <w:tc>
          <w:tcPr>
            <w:tcW w:w="3417" w:type="dxa"/>
            <w:vMerge/>
            <w:tcBorders>
              <w:top w:val="single" w:sz="4" w:space="0" w:color="auto"/>
              <w:left w:val="single" w:sz="4" w:space="0" w:color="auto"/>
              <w:bottom w:val="single" w:sz="4" w:space="0" w:color="auto"/>
              <w:right w:val="single" w:sz="4" w:space="0" w:color="auto"/>
            </w:tcBorders>
            <w:vAlign w:val="center"/>
          </w:tcPr>
          <w:p w14:paraId="55C39043" w14:textId="77777777" w:rsidR="00262D9A" w:rsidRPr="00755A56" w:rsidRDefault="00262D9A" w:rsidP="00755A56">
            <w:pPr>
              <w:spacing w:after="0"/>
              <w:rPr>
                <w:rFonts w:ascii="Calibri" w:eastAsia="Times New Roman" w:hAnsi="Calibri" w:cs="Calibri"/>
                <w:color w:val="000000"/>
                <w:sz w:val="20"/>
                <w:szCs w:val="20"/>
              </w:rPr>
            </w:pPr>
          </w:p>
        </w:tc>
        <w:tc>
          <w:tcPr>
            <w:tcW w:w="2225" w:type="dxa"/>
            <w:tcBorders>
              <w:top w:val="single" w:sz="4" w:space="0" w:color="auto"/>
              <w:left w:val="single" w:sz="4" w:space="0" w:color="auto"/>
              <w:bottom w:val="single" w:sz="4" w:space="0" w:color="auto"/>
              <w:right w:val="single" w:sz="4" w:space="0" w:color="auto"/>
            </w:tcBorders>
            <w:shd w:val="clear" w:color="auto" w:fill="auto"/>
            <w:vAlign w:val="center"/>
          </w:tcPr>
          <w:p w14:paraId="4A823813" w14:textId="77777777" w:rsidR="00262D9A" w:rsidRPr="00755A56" w:rsidRDefault="00262D9A" w:rsidP="00755A56">
            <w:pPr>
              <w:spacing w:after="0"/>
              <w:rPr>
                <w:rFonts w:ascii="Calibri" w:eastAsia="Times New Roman" w:hAnsi="Calibri" w:cs="Calibri"/>
                <w:color w:val="000000"/>
                <w:sz w:val="20"/>
                <w:szCs w:val="20"/>
              </w:rPr>
            </w:pPr>
            <w:r>
              <w:rPr>
                <w:rFonts w:ascii="Calibri" w:hAnsi="Calibri" w:cs="Calibri"/>
                <w:color w:val="000000"/>
                <w:sz w:val="20"/>
                <w:szCs w:val="20"/>
              </w:rPr>
              <w:t>% Difference (A-P)/P</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00AE13A9" w14:textId="1F4C41E7" w:rsidR="00262D9A" w:rsidRPr="002A64D4" w:rsidRDefault="002A64D4" w:rsidP="00755A56">
            <w:pPr>
              <w:spacing w:after="0"/>
              <w:jc w:val="center"/>
              <w:rPr>
                <w:rFonts w:ascii="Calibri" w:hAnsi="Calibri" w:cs="Calibri"/>
                <w:color w:val="000000"/>
                <w:sz w:val="20"/>
                <w:szCs w:val="20"/>
                <w:highlight w:val="black"/>
              </w:rPr>
            </w:pPr>
            <w:r w:rsidRPr="002A64D4">
              <w:rPr>
                <w:rFonts w:ascii="Calibri" w:hAnsi="Calibri" w:cs="Calibri"/>
                <w:color w:val="000000"/>
                <w:sz w:val="20"/>
                <w:szCs w:val="20"/>
                <w:highlight w:val="black"/>
              </w:rPr>
              <w:t>xxxx</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3134FD4F" w14:textId="63F6F345" w:rsidR="00262D9A" w:rsidRPr="002A64D4" w:rsidRDefault="002A64D4" w:rsidP="00755A56">
            <w:pPr>
              <w:spacing w:after="0"/>
              <w:jc w:val="center"/>
              <w:rPr>
                <w:rFonts w:ascii="Calibri" w:hAnsi="Calibri" w:cs="Calibri"/>
                <w:color w:val="000000"/>
                <w:sz w:val="20"/>
                <w:szCs w:val="20"/>
                <w:highlight w:val="black"/>
              </w:rPr>
            </w:pPr>
            <w:r w:rsidRPr="002A64D4">
              <w:rPr>
                <w:rFonts w:ascii="Calibri" w:hAnsi="Calibri" w:cs="Calibri"/>
                <w:color w:val="000000"/>
                <w:sz w:val="20"/>
                <w:szCs w:val="20"/>
                <w:highlight w:val="black"/>
              </w:rPr>
              <w:t>xxxx</w:t>
            </w:r>
          </w:p>
        </w:tc>
      </w:tr>
    </w:tbl>
    <w:p w14:paraId="1D0B34F2" w14:textId="77777777" w:rsidR="00755A56" w:rsidRPr="00755A56" w:rsidRDefault="00071DAB" w:rsidP="001D72A5">
      <w:pPr>
        <w:pStyle w:val="Notes"/>
        <w:rPr>
          <w:rFonts w:eastAsia="MS Mincho" w:cs="Times New Roman"/>
          <w:b/>
          <w:sz w:val="22"/>
        </w:rPr>
      </w:pPr>
      <w:r>
        <w:t>Note: indication</w:t>
      </w:r>
      <w:r w:rsidR="00D91311">
        <w:t>s</w:t>
      </w:r>
      <w:r>
        <w:t xml:space="preserve"> </w:t>
      </w:r>
      <w:r w:rsidR="00D91311">
        <w:t>are</w:t>
      </w:r>
      <w:r>
        <w:t xml:space="preserve"> that of the first prescription for </w:t>
      </w:r>
      <w:r w:rsidR="007D7661">
        <w:t>a</w:t>
      </w:r>
      <w:r>
        <w:t xml:space="preserve"> patient in the period.</w:t>
      </w:r>
    </w:p>
    <w:p w14:paraId="51FADEE9" w14:textId="5B3A64EA" w:rsidR="00755A56" w:rsidRPr="00755A56" w:rsidRDefault="00BD733E" w:rsidP="009217A6">
      <w:pPr>
        <w:rPr>
          <w:rFonts w:ascii="Calibri" w:eastAsia="MS Mincho" w:hAnsi="Calibri" w:cs="Times New Roman"/>
        </w:rPr>
      </w:pPr>
      <w:r>
        <w:rPr>
          <w:rFonts w:ascii="Calibri" w:eastAsia="MS Mincho" w:hAnsi="Calibri" w:cs="Times New Roman"/>
        </w:rPr>
        <w:t>Table 5</w:t>
      </w:r>
      <w:r w:rsidR="00755A56" w:rsidRPr="00755A56">
        <w:rPr>
          <w:rFonts w:ascii="Calibri" w:eastAsia="MS Mincho" w:hAnsi="Calibri" w:cs="Times New Roman"/>
        </w:rPr>
        <w:t xml:space="preserve"> </w:t>
      </w:r>
      <w:r w:rsidR="00755A56">
        <w:rPr>
          <w:rFonts w:ascii="Calibri" w:eastAsia="MS Mincho" w:hAnsi="Calibri" w:cs="Times New Roman"/>
        </w:rPr>
        <w:t>show</w:t>
      </w:r>
      <w:r w:rsidR="003C209F">
        <w:rPr>
          <w:rFonts w:ascii="Calibri" w:eastAsia="MS Mincho" w:hAnsi="Calibri" w:cs="Times New Roman"/>
        </w:rPr>
        <w:t>s</w:t>
      </w:r>
      <w:r w:rsidR="00755A56">
        <w:rPr>
          <w:rFonts w:ascii="Calibri" w:eastAsia="MS Mincho" w:hAnsi="Calibri" w:cs="Times New Roman"/>
        </w:rPr>
        <w:t xml:space="preserve"> tha</w:t>
      </w:r>
      <w:r w:rsidR="00596318">
        <w:rPr>
          <w:rFonts w:ascii="Calibri" w:eastAsia="MS Mincho" w:hAnsi="Calibri" w:cs="Times New Roman"/>
        </w:rPr>
        <w:t>t the number of Int-1 patients wa</w:t>
      </w:r>
      <w:r w:rsidR="00755A56">
        <w:rPr>
          <w:rFonts w:ascii="Calibri" w:eastAsia="MS Mincho" w:hAnsi="Calibri" w:cs="Times New Roman"/>
        </w:rPr>
        <w:t>s less than predicted</w:t>
      </w:r>
      <w:r w:rsidR="00262D9A">
        <w:rPr>
          <w:rFonts w:ascii="Calibri" w:eastAsia="MS Mincho" w:hAnsi="Calibri" w:cs="Times New Roman"/>
        </w:rPr>
        <w:t xml:space="preserve"> in Year 1 and more than predicted in Year 2.</w:t>
      </w:r>
      <w:r w:rsidR="007F221A">
        <w:rPr>
          <w:rFonts w:ascii="Calibri" w:eastAsia="MS Mincho" w:hAnsi="Calibri" w:cs="Times New Roman"/>
        </w:rPr>
        <w:t xml:space="preserve"> Figure 1 showed gradual uptake in the Int-1 population compared with the Int-2</w:t>
      </w:r>
      <w:r w:rsidR="00596318">
        <w:rPr>
          <w:rFonts w:ascii="Calibri" w:eastAsia="MS Mincho" w:hAnsi="Calibri" w:cs="Times New Roman"/>
        </w:rPr>
        <w:t xml:space="preserve"> </w:t>
      </w:r>
      <w:r w:rsidR="007F221A">
        <w:rPr>
          <w:rFonts w:ascii="Calibri" w:eastAsia="MS Mincho" w:hAnsi="Calibri" w:cs="Times New Roman"/>
        </w:rPr>
        <w:t>population where there was initially higher uptake that then stabilised.</w:t>
      </w:r>
      <w:r w:rsidR="00262D9A">
        <w:rPr>
          <w:rFonts w:ascii="Calibri" w:eastAsia="MS Mincho" w:hAnsi="Calibri" w:cs="Times New Roman"/>
        </w:rPr>
        <w:t xml:space="preserve"> </w:t>
      </w:r>
      <w:r w:rsidR="002C657B">
        <w:rPr>
          <w:rFonts w:ascii="Calibri" w:eastAsia="MS Mincho" w:hAnsi="Calibri" w:cs="Times New Roman"/>
        </w:rPr>
        <w:t xml:space="preserve">The </w:t>
      </w:r>
      <w:r w:rsidR="007F221A">
        <w:rPr>
          <w:rFonts w:ascii="Calibri" w:eastAsia="MS Mincho" w:hAnsi="Calibri" w:cs="Times New Roman"/>
        </w:rPr>
        <w:t>higher than predicted number of Int-</w:t>
      </w:r>
      <w:r w:rsidR="005D5E6D">
        <w:rPr>
          <w:rFonts w:ascii="Calibri" w:eastAsia="MS Mincho" w:hAnsi="Calibri" w:cs="Times New Roman"/>
        </w:rPr>
        <w:t xml:space="preserve">1 </w:t>
      </w:r>
      <w:r w:rsidR="007F221A">
        <w:rPr>
          <w:rFonts w:ascii="Calibri" w:eastAsia="MS Mincho" w:hAnsi="Calibri" w:cs="Times New Roman"/>
        </w:rPr>
        <w:t>patients in Year 2 (</w:t>
      </w:r>
      <w:r w:rsidR="002A64D4" w:rsidRPr="002A64D4">
        <w:rPr>
          <w:rFonts w:ascii="Calibri" w:eastAsia="MS Mincho" w:hAnsi="Calibri" w:cs="Times New Roman"/>
          <w:highlight w:val="black"/>
        </w:rPr>
        <w:t>xxx</w:t>
      </w:r>
      <w:r w:rsidR="002C657B">
        <w:rPr>
          <w:rFonts w:ascii="Calibri" w:eastAsia="MS Mincho" w:hAnsi="Calibri" w:cs="Times New Roman"/>
        </w:rPr>
        <w:t>%</w:t>
      </w:r>
      <w:r w:rsidR="007F221A">
        <w:rPr>
          <w:rFonts w:ascii="Calibri" w:eastAsia="MS Mincho" w:hAnsi="Calibri" w:cs="Times New Roman"/>
        </w:rPr>
        <w:t>)</w:t>
      </w:r>
      <w:r w:rsidR="002C657B">
        <w:rPr>
          <w:rFonts w:ascii="Calibri" w:eastAsia="MS Mincho" w:hAnsi="Calibri" w:cs="Times New Roman"/>
        </w:rPr>
        <w:t xml:space="preserve"> consumed </w:t>
      </w:r>
      <w:r w:rsidR="002A64D4" w:rsidRPr="002A64D4">
        <w:rPr>
          <w:rFonts w:ascii="Calibri" w:eastAsia="MS Mincho" w:hAnsi="Calibri" w:cs="Times New Roman"/>
          <w:highlight w:val="black"/>
        </w:rPr>
        <w:t>xx</w:t>
      </w:r>
      <w:r w:rsidR="002C657B">
        <w:rPr>
          <w:rFonts w:ascii="Calibri" w:eastAsia="MS Mincho" w:hAnsi="Calibri" w:cs="Times New Roman"/>
        </w:rPr>
        <w:t>% less than predicted prescriptions.</w:t>
      </w:r>
      <w:r w:rsidR="001F2D15">
        <w:rPr>
          <w:rFonts w:ascii="Calibri" w:eastAsia="MS Mincho" w:hAnsi="Calibri" w:cs="Times New Roman"/>
        </w:rPr>
        <w:t xml:space="preserve"> </w:t>
      </w:r>
      <w:r w:rsidR="003164B9">
        <w:rPr>
          <w:rFonts w:ascii="Calibri" w:eastAsia="MS Mincho" w:hAnsi="Calibri" w:cs="Times New Roman"/>
        </w:rPr>
        <w:t>Th</w:t>
      </w:r>
      <w:r w:rsidR="001F2D15">
        <w:rPr>
          <w:rFonts w:ascii="Calibri" w:eastAsia="MS Mincho" w:hAnsi="Calibri" w:cs="Times New Roman"/>
        </w:rPr>
        <w:t xml:space="preserve">us even though the number of Int-1 patients exceeded the PBAC threshold, the number of prescriptions and </w:t>
      </w:r>
      <w:r w:rsidR="007F221A">
        <w:rPr>
          <w:rFonts w:ascii="Calibri" w:eastAsia="MS Mincho" w:hAnsi="Calibri" w:cs="Times New Roman"/>
        </w:rPr>
        <w:t xml:space="preserve">therefore </w:t>
      </w:r>
      <w:r w:rsidR="003164B9">
        <w:rPr>
          <w:rFonts w:ascii="Calibri" w:eastAsia="MS Mincho" w:hAnsi="Calibri" w:cs="Times New Roman"/>
        </w:rPr>
        <w:t xml:space="preserve">cost </w:t>
      </w:r>
      <w:r w:rsidR="001F2D15">
        <w:rPr>
          <w:rFonts w:ascii="Calibri" w:eastAsia="MS Mincho" w:hAnsi="Calibri" w:cs="Times New Roman"/>
        </w:rPr>
        <w:t>for these patients did not.</w:t>
      </w:r>
    </w:p>
    <w:p w14:paraId="204676ED" w14:textId="77777777" w:rsidR="00336D26" w:rsidRPr="00297D71" w:rsidRDefault="00336D26" w:rsidP="005A3F4B">
      <w:pPr>
        <w:spacing w:before="240"/>
        <w:outlineLvl w:val="1"/>
        <w:rPr>
          <w:rFonts w:ascii="Calibri" w:eastAsia="MS Mincho" w:hAnsi="Calibri" w:cs="Times New Roman"/>
          <w:b/>
        </w:rPr>
      </w:pPr>
    </w:p>
    <w:p w14:paraId="4A4D1340" w14:textId="77777777" w:rsidR="00336D26" w:rsidRDefault="00336D26">
      <w:pPr>
        <w:spacing w:line="276" w:lineRule="auto"/>
        <w:rPr>
          <w:rFonts w:ascii="Calibri" w:eastAsia="MS Mincho" w:hAnsi="Calibri" w:cs="Times New Roman"/>
          <w:b/>
          <w:i/>
        </w:rPr>
      </w:pPr>
      <w:r>
        <w:rPr>
          <w:rFonts w:ascii="Calibri" w:eastAsia="MS Mincho" w:hAnsi="Calibri" w:cs="Times New Roman"/>
          <w:b/>
          <w:i/>
        </w:rPr>
        <w:br w:type="page"/>
      </w:r>
    </w:p>
    <w:p w14:paraId="09E85E16" w14:textId="77777777" w:rsidR="0080165B" w:rsidRPr="003667CC" w:rsidRDefault="0080165B" w:rsidP="00382B11">
      <w:pPr>
        <w:pStyle w:val="Meetingdate"/>
      </w:pPr>
      <w:r>
        <w:lastRenderedPageBreak/>
        <w:t>Length of Treatment</w:t>
      </w:r>
    </w:p>
    <w:p w14:paraId="52FB93E9" w14:textId="77777777" w:rsidR="002B4BA9" w:rsidRDefault="0080165B" w:rsidP="001D72A5">
      <w:pPr>
        <w:spacing w:before="60" w:after="60"/>
        <w:outlineLvl w:val="1"/>
        <w:rPr>
          <w:rFonts w:ascii="Calibri" w:eastAsia="MS Mincho" w:hAnsi="Calibri" w:cs="Times New Roman"/>
          <w:b/>
        </w:rPr>
      </w:pPr>
      <w:r>
        <w:rPr>
          <w:rFonts w:ascii="Arial" w:hAnsi="Arial" w:cs="Arial"/>
          <w:noProof/>
          <w:color w:val="000000"/>
          <w:sz w:val="20"/>
          <w:szCs w:val="20"/>
        </w:rPr>
        <w:drawing>
          <wp:inline distT="0" distB="0" distL="0" distR="0" wp14:anchorId="04AE9F66" wp14:editId="3A25BABC">
            <wp:extent cx="5687695" cy="4265771"/>
            <wp:effectExtent l="0" t="0" r="8255" b="1905"/>
            <wp:docPr id="18" name="Picture 18" descr="img0.png" title="Figure 5: Length of treatment, including and excluding brea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87695" cy="4265771"/>
                    </a:xfrm>
                    <a:prstGeom prst="rect">
                      <a:avLst/>
                    </a:prstGeom>
                    <a:noFill/>
                    <a:ln>
                      <a:noFill/>
                    </a:ln>
                  </pic:spPr>
                </pic:pic>
              </a:graphicData>
            </a:graphic>
          </wp:inline>
        </w:drawing>
      </w:r>
      <w:r w:rsidRPr="001D72A5">
        <w:rPr>
          <w:rStyle w:val="FiguretitleChar"/>
        </w:rPr>
        <w:t xml:space="preserve">Figure </w:t>
      </w:r>
      <w:r w:rsidR="003C209F" w:rsidRPr="001D72A5">
        <w:rPr>
          <w:rStyle w:val="FiguretitleChar"/>
        </w:rPr>
        <w:t>5</w:t>
      </w:r>
      <w:r w:rsidRPr="001D72A5">
        <w:rPr>
          <w:rStyle w:val="FiguretitleChar"/>
        </w:rPr>
        <w:t>: Length of treatment, including and excluding breaks.</w:t>
      </w:r>
      <w:r>
        <w:rPr>
          <w:rFonts w:ascii="Calibri" w:eastAsia="MS Mincho" w:hAnsi="Calibri" w:cs="Times New Roman"/>
          <w:b/>
        </w:rPr>
        <w:t xml:space="preserve"> </w:t>
      </w:r>
    </w:p>
    <w:p w14:paraId="326E31AF" w14:textId="2698E7A6" w:rsidR="0080165B" w:rsidRDefault="0080165B" w:rsidP="001D72A5">
      <w:pPr>
        <w:spacing w:before="60" w:after="60"/>
        <w:outlineLvl w:val="1"/>
        <w:rPr>
          <w:rFonts w:ascii="Calibri" w:eastAsia="MS Mincho" w:hAnsi="Calibri" w:cs="Times New Roman"/>
          <w:b/>
        </w:rPr>
      </w:pPr>
      <w:r w:rsidRPr="001D72A5">
        <w:rPr>
          <w:rStyle w:val="FigurecaptionChar"/>
        </w:rPr>
        <w:t>Note: Includes initiations from listing in February 2016 to the end of January 2018 (i</w:t>
      </w:r>
      <w:r w:rsidR="009217A6" w:rsidRPr="001D72A5">
        <w:rPr>
          <w:rStyle w:val="FigurecaptionChar"/>
        </w:rPr>
        <w:t>.</w:t>
      </w:r>
      <w:r w:rsidRPr="001D72A5">
        <w:rPr>
          <w:rStyle w:val="FigurecaptionChar"/>
        </w:rPr>
        <w:t>e. 24 months). Follow up to the end of April 2018 (i</w:t>
      </w:r>
      <w:r w:rsidR="009217A6" w:rsidRPr="001D72A5">
        <w:rPr>
          <w:rStyle w:val="FigurecaptionChar"/>
        </w:rPr>
        <w:t>.e. </w:t>
      </w:r>
      <w:r w:rsidRPr="001D72A5">
        <w:rPr>
          <w:rStyle w:val="FigurecaptionChar"/>
        </w:rPr>
        <w:t>follow up from 3 to 27 months).</w:t>
      </w:r>
    </w:p>
    <w:p w14:paraId="4874C92F" w14:textId="77777777" w:rsidR="0080165B" w:rsidRPr="00916BAE" w:rsidRDefault="003C209F" w:rsidP="0080165B">
      <w:pPr>
        <w:spacing w:before="240"/>
        <w:outlineLvl w:val="1"/>
        <w:rPr>
          <w:rFonts w:ascii="Calibri" w:eastAsia="MS Mincho" w:hAnsi="Calibri" w:cs="Times New Roman"/>
        </w:rPr>
      </w:pPr>
      <w:r>
        <w:rPr>
          <w:rFonts w:ascii="Calibri" w:eastAsia="MS Mincho" w:hAnsi="Calibri" w:cs="Times New Roman"/>
        </w:rPr>
        <w:t>Figure 5</w:t>
      </w:r>
      <w:r w:rsidR="0080165B">
        <w:rPr>
          <w:rFonts w:ascii="Calibri" w:eastAsia="MS Mincho" w:hAnsi="Calibri" w:cs="Times New Roman"/>
        </w:rPr>
        <w:t xml:space="preserve"> shows there is minimal difference in the length of treatment including or excluding breaks. The estimated median length of treatment (Survival</w:t>
      </w:r>
      <w:r w:rsidR="009217A6">
        <w:rPr>
          <w:rFonts w:ascii="Calibri" w:eastAsia="MS Mincho" w:hAnsi="Calibri" w:cs="Times New Roman"/>
        </w:rPr>
        <w:t xml:space="preserve"> Probability = 0.5) has not yet</w:t>
      </w:r>
      <w:r w:rsidR="0080165B">
        <w:rPr>
          <w:rFonts w:ascii="Calibri" w:eastAsia="MS Mincho" w:hAnsi="Calibri" w:cs="Times New Roman"/>
        </w:rPr>
        <w:t xml:space="preserve"> been reached. The 0.25 Survival </w:t>
      </w:r>
      <w:r w:rsidR="00432A9A">
        <w:rPr>
          <w:rFonts w:ascii="Calibri" w:eastAsia="MS Mincho" w:hAnsi="Calibri" w:cs="Times New Roman"/>
        </w:rPr>
        <w:t>Probability</w:t>
      </w:r>
      <w:r w:rsidR="0080165B">
        <w:rPr>
          <w:rFonts w:ascii="Calibri" w:eastAsia="MS Mincho" w:hAnsi="Calibri" w:cs="Times New Roman"/>
        </w:rPr>
        <w:t xml:space="preserve"> (i</w:t>
      </w:r>
      <w:r w:rsidR="009217A6">
        <w:rPr>
          <w:rFonts w:ascii="Calibri" w:eastAsia="MS Mincho" w:hAnsi="Calibri" w:cs="Times New Roman"/>
        </w:rPr>
        <w:t>.</w:t>
      </w:r>
      <w:r w:rsidR="0080165B">
        <w:rPr>
          <w:rFonts w:ascii="Calibri" w:eastAsia="MS Mincho" w:hAnsi="Calibri" w:cs="Times New Roman"/>
        </w:rPr>
        <w:t>e. probability of stopping treatment) occurs at 10.8 months if breaks are excluded and 11.5 months if breaks are included, a difference of 0.7 months.</w:t>
      </w:r>
    </w:p>
    <w:p w14:paraId="4356FC45" w14:textId="77777777" w:rsidR="0080165B" w:rsidRDefault="0080165B" w:rsidP="0080165B">
      <w:pPr>
        <w:spacing w:line="276" w:lineRule="auto"/>
        <w:rPr>
          <w:rFonts w:ascii="Calibri" w:eastAsia="MS Mincho" w:hAnsi="Calibri" w:cs="Times New Roman"/>
        </w:rPr>
      </w:pPr>
    </w:p>
    <w:p w14:paraId="7B18C7FE" w14:textId="77777777" w:rsidR="0080165B" w:rsidRDefault="0080165B" w:rsidP="0080165B">
      <w:pPr>
        <w:spacing w:line="276" w:lineRule="auto"/>
        <w:rPr>
          <w:rFonts w:ascii="Calibri" w:eastAsia="MS Mincho" w:hAnsi="Calibri" w:cs="Times New Roman"/>
        </w:rPr>
      </w:pPr>
    </w:p>
    <w:p w14:paraId="00BD4ED1" w14:textId="77777777" w:rsidR="0080165B" w:rsidRDefault="0080165B" w:rsidP="0080165B">
      <w:pPr>
        <w:spacing w:line="276" w:lineRule="auto"/>
        <w:rPr>
          <w:rFonts w:ascii="Calibri" w:eastAsia="MS Mincho" w:hAnsi="Calibri" w:cs="Times New Roman"/>
        </w:rPr>
      </w:pPr>
    </w:p>
    <w:p w14:paraId="79855EFF" w14:textId="77777777" w:rsidR="0080165B" w:rsidRDefault="0080165B" w:rsidP="0080165B">
      <w:pPr>
        <w:spacing w:line="276" w:lineRule="auto"/>
        <w:rPr>
          <w:rFonts w:ascii="Calibri" w:eastAsia="MS Mincho" w:hAnsi="Calibri" w:cs="Times New Roman"/>
        </w:rPr>
      </w:pPr>
    </w:p>
    <w:p w14:paraId="0C9A49E3" w14:textId="77777777" w:rsidR="0080165B" w:rsidRDefault="0080165B" w:rsidP="0080165B">
      <w:pPr>
        <w:spacing w:line="276" w:lineRule="auto"/>
        <w:rPr>
          <w:rFonts w:ascii="Calibri" w:eastAsia="MS Mincho" w:hAnsi="Calibri" w:cs="Times New Roman"/>
        </w:rPr>
      </w:pPr>
    </w:p>
    <w:p w14:paraId="1611420A" w14:textId="77777777" w:rsidR="0080165B" w:rsidRDefault="0080165B" w:rsidP="0080165B">
      <w:pPr>
        <w:spacing w:line="276" w:lineRule="auto"/>
        <w:rPr>
          <w:rFonts w:ascii="Calibri" w:eastAsia="MS Mincho" w:hAnsi="Calibri" w:cs="Times New Roman"/>
        </w:rPr>
      </w:pPr>
    </w:p>
    <w:p w14:paraId="749098EF" w14:textId="77777777" w:rsidR="002B4BA9" w:rsidRDefault="0080165B" w:rsidP="001D72A5">
      <w:pPr>
        <w:spacing w:before="60" w:after="60"/>
        <w:outlineLvl w:val="1"/>
        <w:rPr>
          <w:rFonts w:ascii="Calibri" w:eastAsia="MS Mincho" w:hAnsi="Calibri" w:cs="Times New Roman"/>
          <w:b/>
        </w:rPr>
      </w:pPr>
      <w:r w:rsidRPr="00EA14A2">
        <w:rPr>
          <w:rFonts w:ascii="Calibri" w:eastAsia="MS Mincho" w:hAnsi="Calibri" w:cs="Times New Roman"/>
          <w:b/>
          <w:noProof/>
        </w:rPr>
        <w:lastRenderedPageBreak/>
        <mc:AlternateContent>
          <mc:Choice Requires="wps">
            <w:drawing>
              <wp:anchor distT="0" distB="0" distL="114300" distR="114300" simplePos="0" relativeHeight="251659264" behindDoc="0" locked="0" layoutInCell="1" allowOverlap="1" wp14:anchorId="54799E5B" wp14:editId="58BCDDA7">
                <wp:simplePos x="0" y="0"/>
                <wp:positionH relativeFrom="column">
                  <wp:posOffset>4433570</wp:posOffset>
                </wp:positionH>
                <wp:positionV relativeFrom="paragraph">
                  <wp:posOffset>4007816</wp:posOffset>
                </wp:positionV>
                <wp:extent cx="972921" cy="160934"/>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921" cy="160934"/>
                        </a:xfrm>
                        <a:prstGeom prst="rect">
                          <a:avLst/>
                        </a:prstGeom>
                        <a:solidFill>
                          <a:srgbClr val="FFFFFF"/>
                        </a:solidFill>
                        <a:ln w="9525">
                          <a:noFill/>
                          <a:miter lim="800000"/>
                          <a:headEnd/>
                          <a:tailEnd/>
                        </a:ln>
                      </wps:spPr>
                      <wps:txbx>
                        <w:txbxContent>
                          <w:p w14:paraId="30420F6F" w14:textId="77777777" w:rsidR="00B02BB1" w:rsidRPr="00EA14A2" w:rsidRDefault="00B02BB1" w:rsidP="0080165B">
                            <w:pPr>
                              <w:spacing w:after="0"/>
                              <w:rPr>
                                <w:sz w:val="18"/>
                              </w:rPr>
                            </w:pPr>
                            <w:r w:rsidRPr="00EA14A2">
                              <w:rPr>
                                <w:sz w:val="18"/>
                              </w:rPr>
                              <w:t>Int-2 &amp; High risk</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799E5B" id="_x0000_t202" coordsize="21600,21600" o:spt="202" path="m,l,21600r21600,l21600,xe">
                <v:stroke joinstyle="miter"/>
                <v:path gradientshapeok="t" o:connecttype="rect"/>
              </v:shapetype>
              <v:shape id="Text Box 2" o:spid="_x0000_s1026" type="#_x0000_t202" style="position:absolute;margin-left:349.1pt;margin-top:315.6pt;width:76.6pt;height:1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" stroked="f">
                <v:textbox inset="0,0,0,0">
                  <w:txbxContent>
                    <w:p w14:paraId="30420F6F" w14:textId="77777777" w:rsidR="00B02BB1" w:rsidRPr="00EA14A2" w:rsidRDefault="00B02BB1" w:rsidP="0080165B">
                      <w:pPr>
                        <w:spacing w:after="0"/>
                        <w:rPr>
                          <w:sz w:val="18"/>
                        </w:rPr>
                      </w:pPr>
                      <w:r w:rsidRPr="00EA14A2">
                        <w:rPr>
                          <w:sz w:val="18"/>
                        </w:rPr>
                        <w:t>Int-2 &amp; High risk</w:t>
                      </w:r>
                    </w:p>
                  </w:txbxContent>
                </v:textbox>
              </v:shape>
            </w:pict>
          </mc:Fallback>
        </mc:AlternateContent>
      </w:r>
      <w:r>
        <w:rPr>
          <w:rFonts w:ascii="Arial" w:hAnsi="Arial" w:cs="Arial"/>
          <w:noProof/>
          <w:color w:val="000000"/>
          <w:sz w:val="20"/>
          <w:szCs w:val="20"/>
        </w:rPr>
        <w:drawing>
          <wp:inline distT="0" distB="0" distL="0" distR="0" wp14:anchorId="60902C47" wp14:editId="15FF8D1E">
            <wp:extent cx="5687695" cy="4262663"/>
            <wp:effectExtent l="0" t="0" r="8255" b="5080"/>
            <wp:docPr id="19" name="Picture 19" descr="img1.png" title="Figure 6: Length of treatment including breaks by indication at initiation to PBS Ruxolitini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1.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87695" cy="4262663"/>
                    </a:xfrm>
                    <a:prstGeom prst="rect">
                      <a:avLst/>
                    </a:prstGeom>
                    <a:noFill/>
                    <a:ln>
                      <a:noFill/>
                    </a:ln>
                  </pic:spPr>
                </pic:pic>
              </a:graphicData>
            </a:graphic>
          </wp:inline>
        </w:drawing>
      </w:r>
      <w:r w:rsidRPr="001D72A5">
        <w:rPr>
          <w:rStyle w:val="FiguretitleChar"/>
        </w:rPr>
        <w:t xml:space="preserve">Figure </w:t>
      </w:r>
      <w:r w:rsidR="003C209F" w:rsidRPr="001D72A5">
        <w:rPr>
          <w:rStyle w:val="FiguretitleChar"/>
        </w:rPr>
        <w:t>6</w:t>
      </w:r>
      <w:r w:rsidRPr="001D72A5">
        <w:rPr>
          <w:rStyle w:val="FiguretitleChar"/>
        </w:rPr>
        <w:t>: Length of treatment including breaks by indication at initiation to PBS Ruxolitinib.</w:t>
      </w:r>
      <w:r>
        <w:rPr>
          <w:rFonts w:ascii="Calibri" w:eastAsia="MS Mincho" w:hAnsi="Calibri" w:cs="Times New Roman"/>
          <w:b/>
        </w:rPr>
        <w:t xml:space="preserve"> </w:t>
      </w:r>
    </w:p>
    <w:p w14:paraId="2F1F326E" w14:textId="770777EC" w:rsidR="0080165B" w:rsidRDefault="0080165B" w:rsidP="001D72A5">
      <w:pPr>
        <w:spacing w:before="60" w:after="60"/>
        <w:outlineLvl w:val="1"/>
        <w:rPr>
          <w:rStyle w:val="FigurecaptionChar"/>
        </w:rPr>
      </w:pPr>
      <w:r w:rsidRPr="001D72A5">
        <w:rPr>
          <w:rStyle w:val="FigurecaptionChar"/>
        </w:rPr>
        <w:t>Note: Includes initiations from listing in February 2016 to the end of January 2018 (i</w:t>
      </w:r>
      <w:r w:rsidR="00543B27">
        <w:rPr>
          <w:rStyle w:val="FigurecaptionChar"/>
        </w:rPr>
        <w:t>.</w:t>
      </w:r>
      <w:r w:rsidRPr="001D72A5">
        <w:rPr>
          <w:rStyle w:val="FigurecaptionChar"/>
        </w:rPr>
        <w:t>e. 24 months). Follow up to the end of April 2018 (i</w:t>
      </w:r>
      <w:r w:rsidR="00543B27">
        <w:rPr>
          <w:rStyle w:val="FigurecaptionChar"/>
        </w:rPr>
        <w:t>.</w:t>
      </w:r>
      <w:r w:rsidRPr="001D72A5">
        <w:rPr>
          <w:rStyle w:val="FigurecaptionChar"/>
        </w:rPr>
        <w:t>e. follow up from 3 to 27 months).</w:t>
      </w:r>
    </w:p>
    <w:p w14:paraId="5ADE73A9" w14:textId="77777777" w:rsidR="001D72A5" w:rsidRDefault="001D72A5" w:rsidP="001D72A5">
      <w:pPr>
        <w:spacing w:before="60" w:after="60"/>
        <w:outlineLvl w:val="1"/>
        <w:rPr>
          <w:rFonts w:ascii="Calibri" w:eastAsia="MS Mincho" w:hAnsi="Calibri" w:cs="Times New Roman"/>
          <w:b/>
        </w:rPr>
      </w:pPr>
    </w:p>
    <w:p w14:paraId="23080219" w14:textId="77777777" w:rsidR="0080165B" w:rsidRDefault="0080165B" w:rsidP="009217A6">
      <w:pPr>
        <w:rPr>
          <w:rFonts w:ascii="Calibri" w:eastAsia="MS Mincho" w:hAnsi="Calibri" w:cs="Times New Roman"/>
        </w:rPr>
      </w:pPr>
      <w:r>
        <w:rPr>
          <w:rFonts w:ascii="Calibri" w:eastAsia="MS Mincho" w:hAnsi="Calibri" w:cs="Times New Roman"/>
        </w:rPr>
        <w:t xml:space="preserve">The estimated median length of treatment has not yet been reached </w:t>
      </w:r>
      <w:r w:rsidR="007F221A">
        <w:rPr>
          <w:rFonts w:ascii="Calibri" w:eastAsia="MS Mincho" w:hAnsi="Calibri" w:cs="Times New Roman"/>
        </w:rPr>
        <w:t xml:space="preserve">for </w:t>
      </w:r>
      <w:r>
        <w:rPr>
          <w:rFonts w:ascii="Calibri" w:eastAsia="MS Mincho" w:hAnsi="Calibri" w:cs="Times New Roman"/>
        </w:rPr>
        <w:t xml:space="preserve">any indication. The 0.25 Survival </w:t>
      </w:r>
      <w:r w:rsidR="00432A9A">
        <w:rPr>
          <w:rFonts w:ascii="Calibri" w:eastAsia="MS Mincho" w:hAnsi="Calibri" w:cs="Times New Roman"/>
        </w:rPr>
        <w:t>Probability</w:t>
      </w:r>
      <w:r>
        <w:rPr>
          <w:rFonts w:ascii="Calibri" w:eastAsia="MS Mincho" w:hAnsi="Calibri" w:cs="Times New Roman"/>
        </w:rPr>
        <w:t xml:space="preserve"> occurs at 10.3, 14.2 and 13.7 months for Int-2 &amp; High risk, </w:t>
      </w:r>
      <w:r w:rsidR="00920BB4">
        <w:rPr>
          <w:rFonts w:ascii="Calibri" w:eastAsia="MS Mincho" w:hAnsi="Calibri" w:cs="Times New Roman"/>
        </w:rPr>
        <w:t>Int</w:t>
      </w:r>
      <w:r w:rsidR="009217A6">
        <w:rPr>
          <w:rFonts w:ascii="Calibri" w:eastAsia="MS Mincho" w:hAnsi="Calibri" w:cs="Times New Roman"/>
        </w:rPr>
        <w:t>-1 and g</w:t>
      </w:r>
      <w:r>
        <w:rPr>
          <w:rFonts w:ascii="Calibri" w:eastAsia="MS Mincho" w:hAnsi="Calibri" w:cs="Times New Roman"/>
        </w:rPr>
        <w:t>randfathered patients respectively.</w:t>
      </w:r>
    </w:p>
    <w:p w14:paraId="05453B8C" w14:textId="77777777" w:rsidR="0080165B" w:rsidRPr="00716440" w:rsidRDefault="0080165B" w:rsidP="009217A6">
      <w:pPr>
        <w:rPr>
          <w:rFonts w:ascii="Calibri" w:eastAsia="MS Mincho" w:hAnsi="Calibri" w:cs="Times New Roman"/>
        </w:rPr>
      </w:pPr>
      <w:r>
        <w:rPr>
          <w:rFonts w:ascii="Calibri" w:eastAsia="MS Mincho" w:hAnsi="Calibri" w:cs="Times New Roman"/>
        </w:rPr>
        <w:t>It can be seen that the grandfathered patients do not have significant discontinuation after their first PBS prescription as it is not their first ruxolitinib treatment.</w:t>
      </w:r>
      <w:r>
        <w:rPr>
          <w:rFonts w:ascii="Calibri" w:eastAsia="MS Mincho" w:hAnsi="Calibri" w:cs="Times New Roman"/>
          <w:b/>
          <w:i/>
        </w:rPr>
        <w:br w:type="page"/>
      </w:r>
    </w:p>
    <w:p w14:paraId="4C0A21C1" w14:textId="77777777" w:rsidR="0080165B" w:rsidRPr="003667CC" w:rsidRDefault="0080165B" w:rsidP="001D72A5">
      <w:pPr>
        <w:pStyle w:val="Heading3"/>
      </w:pPr>
      <w:r>
        <w:lastRenderedPageBreak/>
        <w:t>Dose analysis</w:t>
      </w:r>
    </w:p>
    <w:p w14:paraId="3BBDD649" w14:textId="77777777" w:rsidR="0080165B" w:rsidRDefault="003C209F" w:rsidP="001D72A5">
      <w:pPr>
        <w:rPr>
          <w:rFonts w:ascii="Calibri" w:eastAsia="MS Gothic" w:hAnsi="Calibri" w:cs="Times New Roman"/>
          <w:bCs/>
        </w:rPr>
      </w:pPr>
      <w:r>
        <w:rPr>
          <w:rFonts w:ascii="Calibri" w:eastAsia="MS Gothic" w:hAnsi="Calibri" w:cs="Times New Roman"/>
          <w:bCs/>
        </w:rPr>
        <w:t>Figure 7</w:t>
      </w:r>
      <w:r w:rsidR="0080165B">
        <w:rPr>
          <w:rFonts w:ascii="Calibri" w:eastAsia="MS Gothic" w:hAnsi="Calibri" w:cs="Times New Roman"/>
          <w:bCs/>
        </w:rPr>
        <w:t xml:space="preserve"> shows the distribution of average daily dose for patients included </w:t>
      </w:r>
      <w:r>
        <w:rPr>
          <w:rFonts w:ascii="Calibri" w:eastAsia="MS Gothic" w:hAnsi="Calibri" w:cs="Times New Roman"/>
          <w:bCs/>
        </w:rPr>
        <w:t xml:space="preserve">in </w:t>
      </w:r>
      <w:r w:rsidR="0080165B">
        <w:rPr>
          <w:rFonts w:ascii="Calibri" w:eastAsia="MS Gothic" w:hAnsi="Calibri" w:cs="Times New Roman"/>
          <w:bCs/>
        </w:rPr>
        <w:t>the length of treatment analysis.</w:t>
      </w:r>
      <w:r w:rsidR="00A53640" w:rsidRPr="00A53640">
        <w:t xml:space="preserve"> </w:t>
      </w:r>
      <w:r w:rsidR="00A53640" w:rsidRPr="00A53640">
        <w:rPr>
          <w:rFonts w:ascii="Calibri" w:eastAsia="MS Gothic" w:hAnsi="Calibri" w:cs="Times New Roman"/>
          <w:bCs/>
        </w:rPr>
        <w:t>A patient average dose across time was calculated as the total mass of drug supplied divided by the number of days on treatment (excluding breaks). Only patients included in the length of treatment analysis were included in the average dose distribution analysis.</w:t>
      </w:r>
      <w:r w:rsidR="0080165B">
        <w:rPr>
          <w:rFonts w:ascii="Calibri" w:eastAsia="MS Gothic" w:hAnsi="Calibri" w:cs="Times New Roman"/>
          <w:bCs/>
        </w:rPr>
        <w:t xml:space="preserve"> </w:t>
      </w:r>
      <w:r w:rsidR="00A53640">
        <w:rPr>
          <w:rFonts w:ascii="Calibri" w:eastAsia="MS Gothic" w:hAnsi="Calibri" w:cs="Times New Roman"/>
          <w:bCs/>
        </w:rPr>
        <w:t>S</w:t>
      </w:r>
      <w:r w:rsidR="0080165B">
        <w:rPr>
          <w:rFonts w:ascii="Calibri" w:eastAsia="MS Gothic" w:hAnsi="Calibri" w:cs="Times New Roman"/>
          <w:bCs/>
        </w:rPr>
        <w:t>ee Methods section for details.</w:t>
      </w:r>
    </w:p>
    <w:p w14:paraId="269C74B1" w14:textId="77777777" w:rsidR="002B4BA9" w:rsidRDefault="006F374F" w:rsidP="001D72A5">
      <w:pPr>
        <w:spacing w:before="60" w:after="60"/>
        <w:rPr>
          <w:rFonts w:ascii="Calibri" w:eastAsia="MS Mincho" w:hAnsi="Calibri" w:cs="Times New Roman"/>
          <w:b/>
        </w:rPr>
      </w:pPr>
      <w:r>
        <w:rPr>
          <w:noProof/>
        </w:rPr>
        <w:drawing>
          <wp:inline distT="0" distB="0" distL="0" distR="0" wp14:anchorId="07D56BE7" wp14:editId="219932A5">
            <wp:extent cx="5697941" cy="3882788"/>
            <wp:effectExtent l="0" t="0" r="17145" b="22860"/>
            <wp:docPr id="14" name="Chart 14" title="Figure 7: Percent distribution of average daily dose (mg) by indication at initiation to PBS ruxolitinib"/>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80165B" w:rsidRPr="00382B11">
        <w:rPr>
          <w:rStyle w:val="FiguretitleChar"/>
        </w:rPr>
        <w:t xml:space="preserve">Figure </w:t>
      </w:r>
      <w:r w:rsidR="003C209F" w:rsidRPr="00382B11">
        <w:rPr>
          <w:rStyle w:val="FiguretitleChar"/>
        </w:rPr>
        <w:t>7</w:t>
      </w:r>
      <w:r w:rsidR="0080165B" w:rsidRPr="00382B11">
        <w:rPr>
          <w:rStyle w:val="FiguretitleChar"/>
        </w:rPr>
        <w:t xml:space="preserve">: </w:t>
      </w:r>
      <w:r w:rsidR="00DF48A0" w:rsidRPr="00382B11">
        <w:rPr>
          <w:rStyle w:val="FiguretitleChar"/>
        </w:rPr>
        <w:t>Percent</w:t>
      </w:r>
      <w:r w:rsidR="0080165B" w:rsidRPr="00382B11">
        <w:rPr>
          <w:rStyle w:val="FiguretitleChar"/>
        </w:rPr>
        <w:t xml:space="preserve"> distribution of average daily dose (mg) by indication at initiation to PBS </w:t>
      </w:r>
      <w:r w:rsidR="00DF48A0" w:rsidRPr="00382B11">
        <w:rPr>
          <w:rStyle w:val="FiguretitleChar"/>
        </w:rPr>
        <w:t>r</w:t>
      </w:r>
      <w:r w:rsidR="0080165B" w:rsidRPr="00382B11">
        <w:rPr>
          <w:rStyle w:val="FiguretitleChar"/>
        </w:rPr>
        <w:t>uxolitinib.</w:t>
      </w:r>
      <w:r w:rsidR="0080165B">
        <w:rPr>
          <w:rFonts w:ascii="Calibri" w:eastAsia="MS Mincho" w:hAnsi="Calibri" w:cs="Times New Roman"/>
          <w:b/>
        </w:rPr>
        <w:t xml:space="preserve"> </w:t>
      </w:r>
    </w:p>
    <w:p w14:paraId="7CD27AF1" w14:textId="0D5F9324" w:rsidR="0080165B" w:rsidRDefault="0080165B" w:rsidP="001D72A5">
      <w:pPr>
        <w:spacing w:before="60" w:after="60"/>
        <w:rPr>
          <w:rStyle w:val="FigurecaptionChar"/>
        </w:rPr>
      </w:pPr>
      <w:r w:rsidRPr="00382B11">
        <w:rPr>
          <w:rStyle w:val="FigurecaptionChar"/>
        </w:rPr>
        <w:t xml:space="preserve">Note: initiations from </w:t>
      </w:r>
      <w:r w:rsidR="007F221A" w:rsidRPr="00382B11">
        <w:rPr>
          <w:rStyle w:val="FigurecaptionChar"/>
        </w:rPr>
        <w:t>February</w:t>
      </w:r>
      <w:r w:rsidRPr="00382B11">
        <w:rPr>
          <w:rStyle w:val="FigurecaptionChar"/>
        </w:rPr>
        <w:t xml:space="preserve"> 2016 to the end of January 2018 (i</w:t>
      </w:r>
      <w:r w:rsidR="009217A6" w:rsidRPr="00382B11">
        <w:rPr>
          <w:rStyle w:val="FigurecaptionChar"/>
        </w:rPr>
        <w:t>.</w:t>
      </w:r>
      <w:r w:rsidRPr="00382B11">
        <w:rPr>
          <w:rStyle w:val="FigurecaptionChar"/>
        </w:rPr>
        <w:t>e. 24 months). Follow up to the end of April 2018 (i</w:t>
      </w:r>
      <w:r w:rsidR="009217A6" w:rsidRPr="00382B11">
        <w:rPr>
          <w:rStyle w:val="FigurecaptionChar"/>
        </w:rPr>
        <w:t>.</w:t>
      </w:r>
      <w:r w:rsidRPr="00382B11">
        <w:rPr>
          <w:rStyle w:val="FigurecaptionChar"/>
        </w:rPr>
        <w:t xml:space="preserve">e. follow up from 3 to 27 months). </w:t>
      </w:r>
    </w:p>
    <w:p w14:paraId="31C37A3F" w14:textId="77777777" w:rsidR="001D72A5" w:rsidRPr="00934C09" w:rsidRDefault="001D72A5" w:rsidP="001D72A5">
      <w:pPr>
        <w:spacing w:before="60" w:after="60"/>
        <w:rPr>
          <w:rFonts w:ascii="Calibri" w:eastAsia="MS Gothic" w:hAnsi="Calibri" w:cs="Times New Roman"/>
          <w:bCs/>
        </w:rPr>
      </w:pPr>
    </w:p>
    <w:p w14:paraId="33357EC1" w14:textId="77777777" w:rsidR="0080165B" w:rsidRDefault="005A69FC" w:rsidP="00382B11">
      <w:pPr>
        <w:rPr>
          <w:rFonts w:ascii="Calibri" w:eastAsia="MS Gothic" w:hAnsi="Calibri" w:cs="Times New Roman"/>
          <w:bCs/>
        </w:rPr>
      </w:pPr>
      <w:r>
        <w:rPr>
          <w:rFonts w:ascii="Calibri" w:eastAsia="MS Gothic" w:hAnsi="Calibri" w:cs="Times New Roman"/>
          <w:bCs/>
        </w:rPr>
        <w:t>Figure 7</w:t>
      </w:r>
      <w:r w:rsidR="0080165B">
        <w:rPr>
          <w:rFonts w:ascii="Calibri" w:eastAsia="MS Gothic" w:hAnsi="Calibri" w:cs="Times New Roman"/>
          <w:bCs/>
        </w:rPr>
        <w:t xml:space="preserve"> shows that </w:t>
      </w:r>
      <w:r w:rsidR="001B6426">
        <w:rPr>
          <w:rFonts w:ascii="Calibri" w:eastAsia="MS Gothic" w:hAnsi="Calibri" w:cs="Times New Roman"/>
          <w:bCs/>
        </w:rPr>
        <w:t xml:space="preserve">the </w:t>
      </w:r>
      <w:r w:rsidR="0080165B">
        <w:rPr>
          <w:rFonts w:ascii="Calibri" w:eastAsia="MS Gothic" w:hAnsi="Calibri" w:cs="Times New Roman"/>
          <w:bCs/>
        </w:rPr>
        <w:t>30</w:t>
      </w:r>
      <w:r w:rsidR="009217A6">
        <w:rPr>
          <w:rFonts w:ascii="Calibri" w:eastAsia="MS Gothic" w:hAnsi="Calibri" w:cs="Times New Roman"/>
          <w:bCs/>
        </w:rPr>
        <w:t> </w:t>
      </w:r>
      <w:r w:rsidR="0080165B">
        <w:rPr>
          <w:rFonts w:ascii="Calibri" w:eastAsia="MS Gothic" w:hAnsi="Calibri" w:cs="Times New Roman"/>
          <w:bCs/>
        </w:rPr>
        <w:t>mg dose (15</w:t>
      </w:r>
      <w:r w:rsidR="00382B11">
        <w:rPr>
          <w:rFonts w:ascii="Calibri" w:eastAsia="MS Gothic" w:hAnsi="Calibri" w:cs="Times New Roman"/>
          <w:bCs/>
        </w:rPr>
        <w:t> mg </w:t>
      </w:r>
      <w:r w:rsidR="0080165B">
        <w:rPr>
          <w:rFonts w:ascii="Calibri" w:eastAsia="MS Gothic" w:hAnsi="Calibri" w:cs="Times New Roman"/>
          <w:bCs/>
        </w:rPr>
        <w:t>bid) is the most common. The med</w:t>
      </w:r>
      <w:r w:rsidR="009217A6">
        <w:rPr>
          <w:rFonts w:ascii="Calibri" w:eastAsia="MS Gothic" w:hAnsi="Calibri" w:cs="Times New Roman"/>
          <w:bCs/>
        </w:rPr>
        <w:t>ian doses are 29, 30, 26 and 28 </w:t>
      </w:r>
      <w:r w:rsidR="0080165B">
        <w:rPr>
          <w:rFonts w:ascii="Calibri" w:eastAsia="MS Gothic" w:hAnsi="Calibri" w:cs="Times New Roman"/>
          <w:bCs/>
        </w:rPr>
        <w:t xml:space="preserve">mg per day for </w:t>
      </w:r>
      <w:r w:rsidR="0080165B" w:rsidRPr="008F7A71">
        <w:rPr>
          <w:rFonts w:ascii="Calibri" w:eastAsia="MS Gothic" w:hAnsi="Calibri" w:cs="Times New Roman"/>
          <w:bCs/>
        </w:rPr>
        <w:t>Grandfathering</w:t>
      </w:r>
      <w:r w:rsidR="0080165B">
        <w:rPr>
          <w:rFonts w:ascii="Calibri" w:eastAsia="MS Gothic" w:hAnsi="Calibri" w:cs="Times New Roman"/>
          <w:bCs/>
        </w:rPr>
        <w:t xml:space="preserve">, </w:t>
      </w:r>
      <w:r w:rsidR="0080165B" w:rsidRPr="008F7A71">
        <w:rPr>
          <w:rFonts w:ascii="Calibri" w:eastAsia="MS Gothic" w:hAnsi="Calibri" w:cs="Times New Roman"/>
          <w:bCs/>
        </w:rPr>
        <w:t>Int-1</w:t>
      </w:r>
      <w:r w:rsidR="0080165B">
        <w:rPr>
          <w:rFonts w:ascii="Calibri" w:eastAsia="MS Gothic" w:hAnsi="Calibri" w:cs="Times New Roman"/>
          <w:bCs/>
        </w:rPr>
        <w:t xml:space="preserve">, </w:t>
      </w:r>
      <w:r w:rsidR="0080165B" w:rsidRPr="008F7A71">
        <w:rPr>
          <w:rFonts w:ascii="Calibri" w:eastAsia="MS Gothic" w:hAnsi="Calibri" w:cs="Times New Roman"/>
          <w:bCs/>
        </w:rPr>
        <w:t>Int-2</w:t>
      </w:r>
      <w:r w:rsidR="001B6426">
        <w:rPr>
          <w:rFonts w:ascii="Calibri" w:eastAsia="MS Gothic" w:hAnsi="Calibri" w:cs="Times New Roman"/>
          <w:bCs/>
        </w:rPr>
        <w:t xml:space="preserve"> &amp; High risk </w:t>
      </w:r>
      <w:r w:rsidR="0080165B">
        <w:rPr>
          <w:rFonts w:ascii="Calibri" w:eastAsia="MS Gothic" w:hAnsi="Calibri" w:cs="Times New Roman"/>
          <w:bCs/>
        </w:rPr>
        <w:t>and Total patients respectively. Thus the doses are fairly consistent across the indications</w:t>
      </w:r>
      <w:r w:rsidR="00DF48A0">
        <w:rPr>
          <w:rFonts w:ascii="Calibri" w:eastAsia="MS Gothic" w:hAnsi="Calibri" w:cs="Times New Roman"/>
          <w:bCs/>
        </w:rPr>
        <w:t>.</w:t>
      </w:r>
    </w:p>
    <w:p w14:paraId="264C90F9" w14:textId="77777777" w:rsidR="0080165B" w:rsidRDefault="00B57200" w:rsidP="00382B11">
      <w:pPr>
        <w:rPr>
          <w:rFonts w:ascii="Calibri" w:eastAsia="MS Gothic" w:hAnsi="Calibri" w:cs="Times New Roman"/>
          <w:bCs/>
        </w:rPr>
      </w:pPr>
      <w:r>
        <w:rPr>
          <w:rFonts w:ascii="Calibri" w:eastAsia="MS Gothic" w:hAnsi="Calibri" w:cs="Times New Roman"/>
          <w:bCs/>
        </w:rPr>
        <w:t>Table 6</w:t>
      </w:r>
      <w:r w:rsidR="0080165B">
        <w:rPr>
          <w:rFonts w:ascii="Calibri" w:eastAsia="MS Gothic" w:hAnsi="Calibri" w:cs="Times New Roman"/>
          <w:bCs/>
        </w:rPr>
        <w:t xml:space="preserve"> compares the above distribution of doses with that predicted in the submission.</w:t>
      </w:r>
    </w:p>
    <w:p w14:paraId="626278A5" w14:textId="77777777" w:rsidR="0080165B" w:rsidRDefault="0080165B" w:rsidP="0080165B">
      <w:pPr>
        <w:spacing w:line="276" w:lineRule="auto"/>
        <w:rPr>
          <w:rFonts w:ascii="Calibri" w:eastAsia="MS Gothic" w:hAnsi="Calibri" w:cs="Times New Roman"/>
          <w:bCs/>
        </w:rPr>
      </w:pPr>
      <w:r>
        <w:rPr>
          <w:rFonts w:ascii="Calibri" w:eastAsia="MS Gothic" w:hAnsi="Calibri" w:cs="Times New Roman"/>
          <w:bCs/>
        </w:rPr>
        <w:br w:type="page"/>
      </w:r>
    </w:p>
    <w:p w14:paraId="76BB4A20" w14:textId="77777777" w:rsidR="0080165B" w:rsidRPr="00D91311" w:rsidRDefault="0080165B" w:rsidP="00382B11">
      <w:pPr>
        <w:pStyle w:val="Tabletitle"/>
      </w:pPr>
      <w:r w:rsidRPr="00D91311">
        <w:lastRenderedPageBreak/>
        <w:t xml:space="preserve">Table </w:t>
      </w:r>
      <w:r w:rsidR="00B57200">
        <w:t>6</w:t>
      </w:r>
      <w:r w:rsidRPr="00D91311">
        <w:t xml:space="preserve">: </w:t>
      </w:r>
      <w:r>
        <w:t xml:space="preserve">Predicted vs Actual average daily doses of PBS </w:t>
      </w:r>
      <w:r w:rsidR="007F221A">
        <w:t>ruxolitinib</w:t>
      </w:r>
    </w:p>
    <w:tbl>
      <w:tblPr>
        <w:tblStyle w:val="TableGrid"/>
        <w:tblW w:w="9141" w:type="dxa"/>
        <w:tblInd w:w="108" w:type="dxa"/>
        <w:tblLook w:val="04A0" w:firstRow="1" w:lastRow="0" w:firstColumn="1" w:lastColumn="0" w:noHBand="0" w:noVBand="1"/>
        <w:tblCaption w:val="Table 6: Predicted vs Actual average daily doses of PBS ruxolitinib"/>
      </w:tblPr>
      <w:tblGrid>
        <w:gridCol w:w="928"/>
        <w:gridCol w:w="2438"/>
        <w:gridCol w:w="1555"/>
        <w:gridCol w:w="1555"/>
        <w:gridCol w:w="1361"/>
        <w:gridCol w:w="1304"/>
      </w:tblGrid>
      <w:tr w:rsidR="0080165B" w:rsidRPr="00B1355F" w14:paraId="4E005193" w14:textId="77777777" w:rsidTr="00493611">
        <w:trPr>
          <w:trHeight w:val="20"/>
          <w:tblHeader/>
        </w:trPr>
        <w:tc>
          <w:tcPr>
            <w:tcW w:w="928" w:type="dxa"/>
            <w:shd w:val="clear" w:color="auto" w:fill="BFBFBF" w:themeFill="background1" w:themeFillShade="BF"/>
            <w:vAlign w:val="center"/>
          </w:tcPr>
          <w:p w14:paraId="0A1794F4" w14:textId="77777777" w:rsidR="0080165B" w:rsidRPr="00F35EB8" w:rsidRDefault="0080165B" w:rsidP="0024048D">
            <w:pPr>
              <w:pStyle w:val="TableCentred"/>
              <w:spacing w:line="240" w:lineRule="auto"/>
              <w:rPr>
                <w:rStyle w:val="TableBold"/>
                <w:rFonts w:asciiTheme="minorHAnsi" w:hAnsiTheme="minorHAnsi" w:cstheme="minorHAnsi"/>
              </w:rPr>
            </w:pPr>
            <w:r w:rsidRPr="00F35EB8">
              <w:rPr>
                <w:rStyle w:val="TableBold"/>
                <w:rFonts w:asciiTheme="minorHAnsi" w:hAnsiTheme="minorHAnsi" w:cstheme="minorHAnsi"/>
              </w:rPr>
              <w:t>Dose (bid)</w:t>
            </w:r>
          </w:p>
        </w:tc>
        <w:tc>
          <w:tcPr>
            <w:tcW w:w="2438" w:type="dxa"/>
            <w:shd w:val="clear" w:color="auto" w:fill="BFBFBF" w:themeFill="background1" w:themeFillShade="BF"/>
            <w:vAlign w:val="center"/>
          </w:tcPr>
          <w:p w14:paraId="45BA1AB3" w14:textId="77777777" w:rsidR="0080165B" w:rsidRPr="00F35EB8" w:rsidRDefault="0080165B" w:rsidP="0024048D">
            <w:pPr>
              <w:pStyle w:val="TableCentred"/>
              <w:spacing w:line="240" w:lineRule="auto"/>
              <w:rPr>
                <w:rStyle w:val="TableBold"/>
                <w:rFonts w:asciiTheme="minorHAnsi" w:hAnsiTheme="minorHAnsi" w:cstheme="minorHAnsi"/>
              </w:rPr>
            </w:pPr>
            <w:r w:rsidRPr="00F35EB8">
              <w:rPr>
                <w:rStyle w:val="TableBold"/>
                <w:rFonts w:asciiTheme="minorHAnsi" w:hAnsiTheme="minorHAnsi" w:cstheme="minorHAnsi"/>
              </w:rPr>
              <w:t>Tablets</w:t>
            </w:r>
          </w:p>
        </w:tc>
        <w:tc>
          <w:tcPr>
            <w:tcW w:w="1555" w:type="dxa"/>
            <w:shd w:val="clear" w:color="auto" w:fill="BFBFBF" w:themeFill="background1" w:themeFillShade="BF"/>
            <w:vAlign w:val="center"/>
          </w:tcPr>
          <w:p w14:paraId="0F9F1880" w14:textId="77777777" w:rsidR="0080165B" w:rsidRPr="00F35EB8" w:rsidRDefault="0080165B" w:rsidP="0024048D">
            <w:pPr>
              <w:pStyle w:val="TableCentred"/>
              <w:spacing w:line="240" w:lineRule="auto"/>
              <w:rPr>
                <w:rStyle w:val="TableBold"/>
                <w:rFonts w:asciiTheme="minorHAnsi" w:hAnsiTheme="minorHAnsi" w:cstheme="minorHAnsi"/>
              </w:rPr>
            </w:pPr>
            <w:r w:rsidRPr="00F35EB8">
              <w:rPr>
                <w:rStyle w:val="TableBold"/>
                <w:rFonts w:asciiTheme="minorHAnsi" w:hAnsiTheme="minorHAnsi" w:cstheme="minorHAnsi"/>
              </w:rPr>
              <w:t>% of patients in COMFORT I trial</w:t>
            </w:r>
          </w:p>
        </w:tc>
        <w:tc>
          <w:tcPr>
            <w:tcW w:w="1555" w:type="dxa"/>
            <w:shd w:val="clear" w:color="auto" w:fill="BFBFBF" w:themeFill="background1" w:themeFillShade="BF"/>
          </w:tcPr>
          <w:p w14:paraId="657BA750" w14:textId="77777777" w:rsidR="0080165B" w:rsidRDefault="0080165B" w:rsidP="0024048D">
            <w:pPr>
              <w:pStyle w:val="TableCentred"/>
              <w:spacing w:line="240" w:lineRule="auto"/>
              <w:rPr>
                <w:rStyle w:val="TableBold"/>
                <w:rFonts w:asciiTheme="minorHAnsi" w:hAnsiTheme="minorHAnsi" w:cstheme="minorHAnsi"/>
              </w:rPr>
            </w:pPr>
            <w:r>
              <w:rPr>
                <w:rStyle w:val="TableBold"/>
                <w:rFonts w:asciiTheme="minorHAnsi" w:hAnsiTheme="minorHAnsi" w:cstheme="minorHAnsi"/>
              </w:rPr>
              <w:t>Actual dose range</w:t>
            </w:r>
          </w:p>
        </w:tc>
        <w:tc>
          <w:tcPr>
            <w:tcW w:w="1361" w:type="dxa"/>
            <w:shd w:val="clear" w:color="auto" w:fill="BFBFBF" w:themeFill="background1" w:themeFillShade="BF"/>
            <w:vAlign w:val="center"/>
          </w:tcPr>
          <w:p w14:paraId="53CE8679" w14:textId="77777777" w:rsidR="0080165B" w:rsidRPr="00F35EB8" w:rsidRDefault="0080165B" w:rsidP="0024048D">
            <w:pPr>
              <w:pStyle w:val="TableCentred"/>
              <w:spacing w:line="240" w:lineRule="auto"/>
              <w:rPr>
                <w:rStyle w:val="TableBold"/>
                <w:rFonts w:asciiTheme="minorHAnsi" w:hAnsiTheme="minorHAnsi" w:cstheme="minorHAnsi"/>
              </w:rPr>
            </w:pPr>
            <w:r>
              <w:rPr>
                <w:rStyle w:val="TableBold"/>
                <w:rFonts w:asciiTheme="minorHAnsi" w:hAnsiTheme="minorHAnsi" w:cstheme="minorHAnsi"/>
              </w:rPr>
              <w:t>% of all PBS patients</w:t>
            </w:r>
          </w:p>
        </w:tc>
        <w:tc>
          <w:tcPr>
            <w:tcW w:w="1304" w:type="dxa"/>
            <w:shd w:val="clear" w:color="auto" w:fill="BFBFBF" w:themeFill="background1" w:themeFillShade="BF"/>
          </w:tcPr>
          <w:p w14:paraId="3509A4B4" w14:textId="77777777" w:rsidR="0080165B" w:rsidRDefault="0080165B" w:rsidP="0024048D">
            <w:pPr>
              <w:pStyle w:val="TableCentred"/>
              <w:spacing w:line="240" w:lineRule="auto"/>
              <w:rPr>
                <w:rStyle w:val="TableBold"/>
                <w:rFonts w:asciiTheme="minorHAnsi" w:hAnsiTheme="minorHAnsi" w:cstheme="minorHAnsi"/>
              </w:rPr>
            </w:pPr>
            <w:r>
              <w:rPr>
                <w:rStyle w:val="TableBold"/>
                <w:rFonts w:asciiTheme="minorHAnsi" w:hAnsiTheme="minorHAnsi" w:cstheme="minorHAnsi"/>
              </w:rPr>
              <w:t>% of Int-2 and high risk PBS patients</w:t>
            </w:r>
          </w:p>
        </w:tc>
      </w:tr>
      <w:tr w:rsidR="0080165B" w:rsidRPr="00B1355F" w14:paraId="33A1A378" w14:textId="77777777" w:rsidTr="0024048D">
        <w:trPr>
          <w:trHeight w:val="20"/>
        </w:trPr>
        <w:tc>
          <w:tcPr>
            <w:tcW w:w="928" w:type="dxa"/>
            <w:vAlign w:val="center"/>
          </w:tcPr>
          <w:p w14:paraId="7D46597A" w14:textId="77777777" w:rsidR="0080165B" w:rsidRPr="00F35EB8" w:rsidRDefault="0080165B" w:rsidP="0024048D">
            <w:pPr>
              <w:pStyle w:val="TableLeft"/>
              <w:jc w:val="center"/>
              <w:rPr>
                <w:rFonts w:asciiTheme="minorHAnsi" w:hAnsiTheme="minorHAnsi" w:cstheme="minorHAnsi"/>
              </w:rPr>
            </w:pPr>
            <w:r w:rsidRPr="00F35EB8">
              <w:rPr>
                <w:rFonts w:asciiTheme="minorHAnsi" w:hAnsiTheme="minorHAnsi" w:cstheme="minorHAnsi"/>
              </w:rPr>
              <w:t>5 mg</w:t>
            </w:r>
          </w:p>
        </w:tc>
        <w:tc>
          <w:tcPr>
            <w:tcW w:w="2438" w:type="dxa"/>
            <w:vAlign w:val="center"/>
          </w:tcPr>
          <w:p w14:paraId="0EE39ECD" w14:textId="77777777" w:rsidR="0080165B" w:rsidRPr="00F35EB8" w:rsidRDefault="0080165B" w:rsidP="0024048D">
            <w:pPr>
              <w:pStyle w:val="TableCentred"/>
              <w:spacing w:line="240" w:lineRule="auto"/>
              <w:rPr>
                <w:rFonts w:asciiTheme="minorHAnsi" w:hAnsiTheme="minorHAnsi" w:cstheme="minorHAnsi"/>
              </w:rPr>
            </w:pPr>
            <w:r w:rsidRPr="00F35EB8">
              <w:rPr>
                <w:rFonts w:asciiTheme="minorHAnsi" w:hAnsiTheme="minorHAnsi" w:cstheme="minorHAnsi"/>
              </w:rPr>
              <w:t>2 x 5mg</w:t>
            </w:r>
            <w:r>
              <w:rPr>
                <w:rFonts w:asciiTheme="minorHAnsi" w:hAnsiTheme="minorHAnsi" w:cstheme="minorHAnsi"/>
              </w:rPr>
              <w:t xml:space="preserve"> = 10mg</w:t>
            </w:r>
          </w:p>
        </w:tc>
        <w:tc>
          <w:tcPr>
            <w:tcW w:w="1555" w:type="dxa"/>
            <w:vAlign w:val="center"/>
          </w:tcPr>
          <w:p w14:paraId="4D4FCD27" w14:textId="1E93A74A" w:rsidR="0080165B" w:rsidRPr="002A64D4" w:rsidRDefault="002A64D4" w:rsidP="0024048D">
            <w:pPr>
              <w:pStyle w:val="TableCentred"/>
              <w:spacing w:line="240" w:lineRule="auto"/>
              <w:rPr>
                <w:rFonts w:asciiTheme="minorHAnsi" w:hAnsiTheme="minorHAnsi" w:cstheme="minorHAnsi"/>
                <w:highlight w:val="black"/>
              </w:rPr>
            </w:pPr>
            <w:r w:rsidRPr="002A64D4">
              <w:rPr>
                <w:rFonts w:asciiTheme="minorHAnsi" w:hAnsiTheme="minorHAnsi" w:cstheme="minorHAnsi"/>
                <w:highlight w:val="black"/>
              </w:rPr>
              <w:t>xxx</w:t>
            </w:r>
          </w:p>
        </w:tc>
        <w:tc>
          <w:tcPr>
            <w:tcW w:w="1555" w:type="dxa"/>
            <w:vAlign w:val="bottom"/>
          </w:tcPr>
          <w:p w14:paraId="097E313B" w14:textId="77777777" w:rsidR="0080165B" w:rsidRPr="00921909" w:rsidRDefault="0080165B" w:rsidP="0024048D">
            <w:pPr>
              <w:pStyle w:val="TableCentred"/>
              <w:spacing w:line="240" w:lineRule="auto"/>
              <w:rPr>
                <w:rFonts w:asciiTheme="minorHAnsi" w:hAnsiTheme="minorHAnsi" w:cstheme="minorHAnsi"/>
                <w:szCs w:val="20"/>
              </w:rPr>
            </w:pPr>
            <w:r w:rsidRPr="00921909">
              <w:rPr>
                <w:rFonts w:ascii="Calibri" w:hAnsi="Calibri" w:cs="Calibri"/>
                <w:szCs w:val="20"/>
              </w:rPr>
              <w:t>5 to 14 mg</w:t>
            </w:r>
          </w:p>
        </w:tc>
        <w:tc>
          <w:tcPr>
            <w:tcW w:w="1361" w:type="dxa"/>
            <w:vAlign w:val="bottom"/>
          </w:tcPr>
          <w:p w14:paraId="493352AA" w14:textId="77777777" w:rsidR="0080165B" w:rsidRPr="00F35EB8" w:rsidRDefault="0080165B" w:rsidP="0024048D">
            <w:pPr>
              <w:pStyle w:val="TableCentred"/>
              <w:spacing w:line="240" w:lineRule="auto"/>
              <w:rPr>
                <w:rFonts w:asciiTheme="minorHAnsi" w:hAnsiTheme="minorHAnsi" w:cstheme="minorHAnsi"/>
              </w:rPr>
            </w:pPr>
            <w:r w:rsidRPr="008F7A71">
              <w:rPr>
                <w:rFonts w:asciiTheme="minorHAnsi" w:hAnsiTheme="minorHAnsi" w:cstheme="minorHAnsi"/>
              </w:rPr>
              <w:t>15%</w:t>
            </w:r>
          </w:p>
        </w:tc>
        <w:tc>
          <w:tcPr>
            <w:tcW w:w="1304" w:type="dxa"/>
            <w:vAlign w:val="center"/>
          </w:tcPr>
          <w:p w14:paraId="50F7205E" w14:textId="77777777" w:rsidR="0080165B" w:rsidRPr="008F7A71" w:rsidRDefault="0080165B" w:rsidP="0024048D">
            <w:pPr>
              <w:pStyle w:val="TableCentred"/>
              <w:spacing w:line="240" w:lineRule="auto"/>
              <w:rPr>
                <w:rFonts w:asciiTheme="minorHAnsi" w:hAnsiTheme="minorHAnsi" w:cstheme="minorHAnsi"/>
              </w:rPr>
            </w:pPr>
            <w:r>
              <w:rPr>
                <w:rFonts w:ascii="Calibri" w:hAnsi="Calibri" w:cs="Calibri"/>
                <w:szCs w:val="20"/>
              </w:rPr>
              <w:t>18%</w:t>
            </w:r>
          </w:p>
        </w:tc>
      </w:tr>
      <w:tr w:rsidR="0080165B" w:rsidRPr="00B1355F" w14:paraId="1F521A36" w14:textId="77777777" w:rsidTr="0024048D">
        <w:trPr>
          <w:trHeight w:val="20"/>
        </w:trPr>
        <w:tc>
          <w:tcPr>
            <w:tcW w:w="928" w:type="dxa"/>
            <w:vAlign w:val="center"/>
          </w:tcPr>
          <w:p w14:paraId="5B090CF5" w14:textId="77777777" w:rsidR="0080165B" w:rsidRPr="00F35EB8" w:rsidRDefault="0080165B" w:rsidP="0024048D">
            <w:pPr>
              <w:pStyle w:val="TableLeft"/>
              <w:jc w:val="center"/>
              <w:rPr>
                <w:rFonts w:asciiTheme="minorHAnsi" w:hAnsiTheme="minorHAnsi" w:cstheme="minorHAnsi"/>
              </w:rPr>
            </w:pPr>
            <w:r w:rsidRPr="00F35EB8">
              <w:rPr>
                <w:rFonts w:asciiTheme="minorHAnsi" w:hAnsiTheme="minorHAnsi" w:cstheme="minorHAnsi"/>
              </w:rPr>
              <w:t>10 mg</w:t>
            </w:r>
          </w:p>
        </w:tc>
        <w:tc>
          <w:tcPr>
            <w:tcW w:w="2438" w:type="dxa"/>
            <w:vAlign w:val="center"/>
          </w:tcPr>
          <w:p w14:paraId="0542EF18" w14:textId="77777777" w:rsidR="0080165B" w:rsidRPr="00F35EB8" w:rsidRDefault="0080165B" w:rsidP="0024048D">
            <w:pPr>
              <w:pStyle w:val="TableCentred"/>
              <w:spacing w:line="240" w:lineRule="auto"/>
              <w:rPr>
                <w:rFonts w:asciiTheme="minorHAnsi" w:hAnsiTheme="minorHAnsi" w:cstheme="minorHAnsi"/>
              </w:rPr>
            </w:pPr>
            <w:r w:rsidRPr="00F35EB8">
              <w:rPr>
                <w:rFonts w:asciiTheme="minorHAnsi" w:hAnsiTheme="minorHAnsi" w:cstheme="minorHAnsi"/>
              </w:rPr>
              <w:t>4 x 5mg</w:t>
            </w:r>
            <w:r>
              <w:rPr>
                <w:rFonts w:asciiTheme="minorHAnsi" w:hAnsiTheme="minorHAnsi" w:cstheme="minorHAnsi"/>
              </w:rPr>
              <w:t xml:space="preserve"> = 20mg</w:t>
            </w:r>
          </w:p>
        </w:tc>
        <w:tc>
          <w:tcPr>
            <w:tcW w:w="1555" w:type="dxa"/>
            <w:vAlign w:val="center"/>
          </w:tcPr>
          <w:p w14:paraId="73DB2842" w14:textId="1CDF2374" w:rsidR="0080165B" w:rsidRPr="002A64D4" w:rsidRDefault="002A64D4" w:rsidP="0024048D">
            <w:pPr>
              <w:pStyle w:val="TableCentred"/>
              <w:spacing w:line="240" w:lineRule="auto"/>
              <w:rPr>
                <w:rFonts w:asciiTheme="minorHAnsi" w:hAnsiTheme="minorHAnsi" w:cstheme="minorHAnsi"/>
                <w:highlight w:val="black"/>
              </w:rPr>
            </w:pPr>
            <w:r w:rsidRPr="002A64D4">
              <w:rPr>
                <w:rFonts w:asciiTheme="minorHAnsi" w:hAnsiTheme="minorHAnsi" w:cstheme="minorHAnsi"/>
                <w:highlight w:val="black"/>
              </w:rPr>
              <w:t>xxx</w:t>
            </w:r>
          </w:p>
        </w:tc>
        <w:tc>
          <w:tcPr>
            <w:tcW w:w="1555" w:type="dxa"/>
            <w:vAlign w:val="bottom"/>
          </w:tcPr>
          <w:p w14:paraId="39A46330" w14:textId="77777777" w:rsidR="0080165B" w:rsidRPr="00921909" w:rsidRDefault="0080165B" w:rsidP="0024048D">
            <w:pPr>
              <w:pStyle w:val="TableCentred"/>
              <w:spacing w:line="240" w:lineRule="auto"/>
              <w:rPr>
                <w:rFonts w:asciiTheme="minorHAnsi" w:hAnsiTheme="minorHAnsi" w:cstheme="minorHAnsi"/>
                <w:szCs w:val="20"/>
              </w:rPr>
            </w:pPr>
            <w:r w:rsidRPr="00921909">
              <w:rPr>
                <w:rFonts w:ascii="Calibri" w:hAnsi="Calibri" w:cs="Calibri"/>
                <w:szCs w:val="20"/>
              </w:rPr>
              <w:t>15 to 24 mg</w:t>
            </w:r>
          </w:p>
        </w:tc>
        <w:tc>
          <w:tcPr>
            <w:tcW w:w="1361" w:type="dxa"/>
            <w:vAlign w:val="bottom"/>
          </w:tcPr>
          <w:p w14:paraId="727E01F9" w14:textId="77777777" w:rsidR="0080165B" w:rsidRPr="00F35EB8" w:rsidRDefault="0080165B" w:rsidP="0024048D">
            <w:pPr>
              <w:pStyle w:val="TableCentred"/>
              <w:spacing w:line="240" w:lineRule="auto"/>
              <w:rPr>
                <w:rFonts w:asciiTheme="minorHAnsi" w:hAnsiTheme="minorHAnsi" w:cstheme="minorHAnsi"/>
              </w:rPr>
            </w:pPr>
            <w:r w:rsidRPr="008F7A71">
              <w:rPr>
                <w:rFonts w:asciiTheme="minorHAnsi" w:hAnsiTheme="minorHAnsi" w:cstheme="minorHAnsi"/>
              </w:rPr>
              <w:t>27%</w:t>
            </w:r>
          </w:p>
        </w:tc>
        <w:tc>
          <w:tcPr>
            <w:tcW w:w="1304" w:type="dxa"/>
            <w:vAlign w:val="center"/>
          </w:tcPr>
          <w:p w14:paraId="671EAFFB" w14:textId="77777777" w:rsidR="0080165B" w:rsidRPr="008F7A71" w:rsidRDefault="0080165B" w:rsidP="0024048D">
            <w:pPr>
              <w:pStyle w:val="TableCentred"/>
              <w:spacing w:line="240" w:lineRule="auto"/>
              <w:rPr>
                <w:rFonts w:asciiTheme="minorHAnsi" w:hAnsiTheme="minorHAnsi" w:cstheme="minorHAnsi"/>
              </w:rPr>
            </w:pPr>
            <w:r>
              <w:rPr>
                <w:rFonts w:ascii="Calibri" w:hAnsi="Calibri" w:cs="Calibri"/>
                <w:szCs w:val="20"/>
              </w:rPr>
              <w:t>28%</w:t>
            </w:r>
          </w:p>
        </w:tc>
      </w:tr>
      <w:tr w:rsidR="0080165B" w:rsidRPr="00B1355F" w14:paraId="0AFCC14B" w14:textId="77777777" w:rsidTr="0024048D">
        <w:trPr>
          <w:trHeight w:val="20"/>
        </w:trPr>
        <w:tc>
          <w:tcPr>
            <w:tcW w:w="928" w:type="dxa"/>
            <w:vAlign w:val="center"/>
          </w:tcPr>
          <w:p w14:paraId="2BC43DEB" w14:textId="77777777" w:rsidR="0080165B" w:rsidRPr="00F35EB8" w:rsidRDefault="0080165B" w:rsidP="0024048D">
            <w:pPr>
              <w:pStyle w:val="TableLeft"/>
              <w:jc w:val="center"/>
              <w:rPr>
                <w:rFonts w:asciiTheme="minorHAnsi" w:hAnsiTheme="minorHAnsi" w:cstheme="minorHAnsi"/>
              </w:rPr>
            </w:pPr>
            <w:r w:rsidRPr="00F35EB8">
              <w:rPr>
                <w:rFonts w:asciiTheme="minorHAnsi" w:hAnsiTheme="minorHAnsi" w:cstheme="minorHAnsi"/>
              </w:rPr>
              <w:t>15 mg</w:t>
            </w:r>
          </w:p>
        </w:tc>
        <w:tc>
          <w:tcPr>
            <w:tcW w:w="2438" w:type="dxa"/>
            <w:vAlign w:val="center"/>
          </w:tcPr>
          <w:p w14:paraId="228831F8" w14:textId="77777777" w:rsidR="0080165B" w:rsidRPr="00F35EB8" w:rsidRDefault="0080165B" w:rsidP="0024048D">
            <w:pPr>
              <w:pStyle w:val="TableCentred"/>
              <w:spacing w:line="240" w:lineRule="auto"/>
              <w:rPr>
                <w:rFonts w:asciiTheme="minorHAnsi" w:hAnsiTheme="minorHAnsi" w:cstheme="minorHAnsi"/>
              </w:rPr>
            </w:pPr>
            <w:r w:rsidRPr="00F35EB8">
              <w:rPr>
                <w:rFonts w:asciiTheme="minorHAnsi" w:hAnsiTheme="minorHAnsi" w:cstheme="minorHAnsi"/>
              </w:rPr>
              <w:t>2 x 15mg</w:t>
            </w:r>
            <w:r>
              <w:rPr>
                <w:rFonts w:asciiTheme="minorHAnsi" w:hAnsiTheme="minorHAnsi" w:cstheme="minorHAnsi"/>
              </w:rPr>
              <w:t xml:space="preserve"> = 30mg</w:t>
            </w:r>
          </w:p>
        </w:tc>
        <w:tc>
          <w:tcPr>
            <w:tcW w:w="1555" w:type="dxa"/>
            <w:vAlign w:val="center"/>
          </w:tcPr>
          <w:p w14:paraId="5DF1C983" w14:textId="70DD9F35" w:rsidR="0080165B" w:rsidRPr="002A64D4" w:rsidRDefault="002A64D4" w:rsidP="0024048D">
            <w:pPr>
              <w:pStyle w:val="TableCentred"/>
              <w:spacing w:line="240" w:lineRule="auto"/>
              <w:rPr>
                <w:rFonts w:asciiTheme="minorHAnsi" w:hAnsiTheme="minorHAnsi" w:cstheme="minorHAnsi"/>
                <w:highlight w:val="black"/>
              </w:rPr>
            </w:pPr>
            <w:r w:rsidRPr="002A64D4">
              <w:rPr>
                <w:rFonts w:asciiTheme="minorHAnsi" w:hAnsiTheme="minorHAnsi" w:cstheme="minorHAnsi"/>
                <w:highlight w:val="black"/>
              </w:rPr>
              <w:t>xxx</w:t>
            </w:r>
          </w:p>
        </w:tc>
        <w:tc>
          <w:tcPr>
            <w:tcW w:w="1555" w:type="dxa"/>
            <w:vAlign w:val="bottom"/>
          </w:tcPr>
          <w:p w14:paraId="1FCC9F4D" w14:textId="77777777" w:rsidR="0080165B" w:rsidRPr="00921909" w:rsidRDefault="0080165B" w:rsidP="0024048D">
            <w:pPr>
              <w:pStyle w:val="TableCentred"/>
              <w:spacing w:line="240" w:lineRule="auto"/>
              <w:rPr>
                <w:rFonts w:asciiTheme="minorHAnsi" w:hAnsiTheme="minorHAnsi" w:cstheme="minorHAnsi"/>
                <w:szCs w:val="20"/>
              </w:rPr>
            </w:pPr>
            <w:r w:rsidRPr="00921909">
              <w:rPr>
                <w:rFonts w:ascii="Calibri" w:hAnsi="Calibri" w:cs="Calibri"/>
                <w:szCs w:val="20"/>
              </w:rPr>
              <w:t>25 to 34 mg</w:t>
            </w:r>
          </w:p>
        </w:tc>
        <w:tc>
          <w:tcPr>
            <w:tcW w:w="1361" w:type="dxa"/>
            <w:vAlign w:val="bottom"/>
          </w:tcPr>
          <w:p w14:paraId="0808185B" w14:textId="77777777" w:rsidR="0080165B" w:rsidRPr="00F35EB8" w:rsidRDefault="0080165B" w:rsidP="0024048D">
            <w:pPr>
              <w:pStyle w:val="TableCentred"/>
              <w:spacing w:line="240" w:lineRule="auto"/>
              <w:rPr>
                <w:rFonts w:asciiTheme="minorHAnsi" w:hAnsiTheme="minorHAnsi" w:cstheme="minorHAnsi"/>
              </w:rPr>
            </w:pPr>
            <w:r w:rsidRPr="008F7A71">
              <w:rPr>
                <w:rFonts w:asciiTheme="minorHAnsi" w:hAnsiTheme="minorHAnsi" w:cstheme="minorHAnsi"/>
              </w:rPr>
              <w:t>29%</w:t>
            </w:r>
          </w:p>
        </w:tc>
        <w:tc>
          <w:tcPr>
            <w:tcW w:w="1304" w:type="dxa"/>
            <w:vAlign w:val="center"/>
          </w:tcPr>
          <w:p w14:paraId="399B0432" w14:textId="77777777" w:rsidR="0080165B" w:rsidRPr="008F7A71" w:rsidRDefault="0080165B" w:rsidP="0024048D">
            <w:pPr>
              <w:pStyle w:val="TableCentred"/>
              <w:spacing w:line="240" w:lineRule="auto"/>
              <w:rPr>
                <w:rFonts w:asciiTheme="minorHAnsi" w:hAnsiTheme="minorHAnsi" w:cstheme="minorHAnsi"/>
              </w:rPr>
            </w:pPr>
            <w:r>
              <w:rPr>
                <w:rFonts w:ascii="Calibri" w:hAnsi="Calibri" w:cs="Calibri"/>
                <w:szCs w:val="20"/>
              </w:rPr>
              <w:t>29%</w:t>
            </w:r>
          </w:p>
        </w:tc>
      </w:tr>
      <w:tr w:rsidR="0080165B" w:rsidRPr="00B1355F" w14:paraId="7F5FA07B" w14:textId="77777777" w:rsidTr="0024048D">
        <w:trPr>
          <w:trHeight w:val="20"/>
        </w:trPr>
        <w:tc>
          <w:tcPr>
            <w:tcW w:w="928" w:type="dxa"/>
            <w:vAlign w:val="center"/>
          </w:tcPr>
          <w:p w14:paraId="1D900688" w14:textId="77777777" w:rsidR="0080165B" w:rsidRPr="00F35EB8" w:rsidRDefault="0080165B" w:rsidP="0024048D">
            <w:pPr>
              <w:pStyle w:val="TableLeft"/>
              <w:ind w:firstLine="36"/>
              <w:jc w:val="center"/>
              <w:rPr>
                <w:rFonts w:asciiTheme="minorHAnsi" w:hAnsiTheme="minorHAnsi" w:cstheme="minorHAnsi"/>
              </w:rPr>
            </w:pPr>
            <w:r w:rsidRPr="00F35EB8">
              <w:rPr>
                <w:rFonts w:asciiTheme="minorHAnsi" w:hAnsiTheme="minorHAnsi" w:cstheme="minorHAnsi"/>
              </w:rPr>
              <w:t>20 mg</w:t>
            </w:r>
          </w:p>
        </w:tc>
        <w:tc>
          <w:tcPr>
            <w:tcW w:w="2438" w:type="dxa"/>
            <w:vAlign w:val="center"/>
          </w:tcPr>
          <w:p w14:paraId="3957504B" w14:textId="77777777" w:rsidR="0080165B" w:rsidRPr="00F35EB8" w:rsidRDefault="0080165B" w:rsidP="0024048D">
            <w:pPr>
              <w:pStyle w:val="TableCentred"/>
              <w:spacing w:line="240" w:lineRule="auto"/>
              <w:rPr>
                <w:rFonts w:asciiTheme="minorHAnsi" w:hAnsiTheme="minorHAnsi" w:cstheme="minorHAnsi"/>
              </w:rPr>
            </w:pPr>
            <w:r w:rsidRPr="00F35EB8">
              <w:rPr>
                <w:rFonts w:asciiTheme="minorHAnsi" w:hAnsiTheme="minorHAnsi" w:cstheme="minorHAnsi"/>
              </w:rPr>
              <w:t>2 x 20mg</w:t>
            </w:r>
            <w:r>
              <w:rPr>
                <w:rFonts w:asciiTheme="minorHAnsi" w:hAnsiTheme="minorHAnsi" w:cstheme="minorHAnsi"/>
              </w:rPr>
              <w:t xml:space="preserve"> = 40mg</w:t>
            </w:r>
          </w:p>
        </w:tc>
        <w:tc>
          <w:tcPr>
            <w:tcW w:w="1555" w:type="dxa"/>
            <w:vAlign w:val="center"/>
          </w:tcPr>
          <w:p w14:paraId="65B0329F" w14:textId="6797A445" w:rsidR="0080165B" w:rsidRPr="002A64D4" w:rsidRDefault="002A64D4" w:rsidP="0024048D">
            <w:pPr>
              <w:pStyle w:val="TableCentred"/>
              <w:spacing w:line="240" w:lineRule="auto"/>
              <w:rPr>
                <w:rFonts w:asciiTheme="minorHAnsi" w:hAnsiTheme="minorHAnsi" w:cstheme="minorHAnsi"/>
                <w:highlight w:val="black"/>
              </w:rPr>
            </w:pPr>
            <w:r w:rsidRPr="002A64D4">
              <w:rPr>
                <w:rFonts w:asciiTheme="minorHAnsi" w:hAnsiTheme="minorHAnsi" w:cstheme="minorHAnsi"/>
                <w:highlight w:val="black"/>
              </w:rPr>
              <w:t>xxx</w:t>
            </w:r>
          </w:p>
        </w:tc>
        <w:tc>
          <w:tcPr>
            <w:tcW w:w="1555" w:type="dxa"/>
            <w:vAlign w:val="bottom"/>
          </w:tcPr>
          <w:p w14:paraId="3392F4C0" w14:textId="77777777" w:rsidR="0080165B" w:rsidRPr="00921909" w:rsidRDefault="0080165B" w:rsidP="0024048D">
            <w:pPr>
              <w:pStyle w:val="TableCentred"/>
              <w:spacing w:line="240" w:lineRule="auto"/>
              <w:rPr>
                <w:rFonts w:asciiTheme="minorHAnsi" w:hAnsiTheme="minorHAnsi" w:cstheme="minorHAnsi"/>
                <w:szCs w:val="20"/>
              </w:rPr>
            </w:pPr>
            <w:r w:rsidRPr="00921909">
              <w:rPr>
                <w:rFonts w:ascii="Calibri" w:hAnsi="Calibri" w:cs="Calibri"/>
                <w:szCs w:val="20"/>
              </w:rPr>
              <w:t>35 to 44 mg</w:t>
            </w:r>
          </w:p>
        </w:tc>
        <w:tc>
          <w:tcPr>
            <w:tcW w:w="1361" w:type="dxa"/>
            <w:vAlign w:val="bottom"/>
          </w:tcPr>
          <w:p w14:paraId="27C42E50" w14:textId="77777777" w:rsidR="0080165B" w:rsidRPr="00F35EB8" w:rsidRDefault="0080165B" w:rsidP="0024048D">
            <w:pPr>
              <w:pStyle w:val="TableCentred"/>
              <w:spacing w:line="240" w:lineRule="auto"/>
              <w:rPr>
                <w:rFonts w:asciiTheme="minorHAnsi" w:hAnsiTheme="minorHAnsi" w:cstheme="minorHAnsi"/>
              </w:rPr>
            </w:pPr>
            <w:r w:rsidRPr="008F7A71">
              <w:rPr>
                <w:rFonts w:asciiTheme="minorHAnsi" w:hAnsiTheme="minorHAnsi" w:cstheme="minorHAnsi"/>
              </w:rPr>
              <w:t>25%</w:t>
            </w:r>
          </w:p>
        </w:tc>
        <w:tc>
          <w:tcPr>
            <w:tcW w:w="1304" w:type="dxa"/>
            <w:vAlign w:val="center"/>
          </w:tcPr>
          <w:p w14:paraId="2C316E42" w14:textId="77777777" w:rsidR="0080165B" w:rsidRPr="008F7A71" w:rsidRDefault="0080165B" w:rsidP="0024048D">
            <w:pPr>
              <w:pStyle w:val="TableCentred"/>
              <w:spacing w:line="240" w:lineRule="auto"/>
              <w:rPr>
                <w:rFonts w:asciiTheme="minorHAnsi" w:hAnsiTheme="minorHAnsi" w:cstheme="minorHAnsi"/>
              </w:rPr>
            </w:pPr>
            <w:r>
              <w:rPr>
                <w:rFonts w:ascii="Calibri" w:hAnsi="Calibri" w:cs="Calibri"/>
                <w:szCs w:val="20"/>
              </w:rPr>
              <w:t>24%</w:t>
            </w:r>
          </w:p>
        </w:tc>
      </w:tr>
      <w:tr w:rsidR="0080165B" w:rsidRPr="00B1355F" w14:paraId="10FB2665" w14:textId="77777777" w:rsidTr="0024048D">
        <w:trPr>
          <w:trHeight w:val="20"/>
        </w:trPr>
        <w:tc>
          <w:tcPr>
            <w:tcW w:w="928" w:type="dxa"/>
            <w:vAlign w:val="center"/>
          </w:tcPr>
          <w:p w14:paraId="129C8BF7" w14:textId="77777777" w:rsidR="0080165B" w:rsidRPr="00F35EB8" w:rsidRDefault="0080165B" w:rsidP="0024048D">
            <w:pPr>
              <w:pStyle w:val="TableLeft"/>
              <w:jc w:val="center"/>
              <w:rPr>
                <w:rFonts w:asciiTheme="minorHAnsi" w:hAnsiTheme="minorHAnsi" w:cstheme="minorHAnsi"/>
              </w:rPr>
            </w:pPr>
            <w:r w:rsidRPr="00F35EB8">
              <w:rPr>
                <w:rFonts w:asciiTheme="minorHAnsi" w:hAnsiTheme="minorHAnsi" w:cstheme="minorHAnsi"/>
              </w:rPr>
              <w:t>25 mg</w:t>
            </w:r>
          </w:p>
        </w:tc>
        <w:tc>
          <w:tcPr>
            <w:tcW w:w="2438" w:type="dxa"/>
            <w:vAlign w:val="center"/>
          </w:tcPr>
          <w:p w14:paraId="1AB2512F" w14:textId="77777777" w:rsidR="0080165B" w:rsidRPr="00F35EB8" w:rsidRDefault="0080165B" w:rsidP="0024048D">
            <w:pPr>
              <w:pStyle w:val="TableCentred"/>
              <w:spacing w:line="240" w:lineRule="auto"/>
              <w:rPr>
                <w:rFonts w:asciiTheme="minorHAnsi" w:hAnsiTheme="minorHAnsi" w:cstheme="minorHAnsi"/>
              </w:rPr>
            </w:pPr>
            <w:r w:rsidRPr="00F35EB8">
              <w:rPr>
                <w:rFonts w:asciiTheme="minorHAnsi" w:hAnsiTheme="minorHAnsi" w:cstheme="minorHAnsi"/>
              </w:rPr>
              <w:t>2 x 20mg + 2 x 5mg</w:t>
            </w:r>
            <w:r>
              <w:rPr>
                <w:rFonts w:asciiTheme="minorHAnsi" w:hAnsiTheme="minorHAnsi" w:cstheme="minorHAnsi"/>
              </w:rPr>
              <w:t xml:space="preserve"> = 50mg</w:t>
            </w:r>
          </w:p>
        </w:tc>
        <w:tc>
          <w:tcPr>
            <w:tcW w:w="1555" w:type="dxa"/>
            <w:vAlign w:val="center"/>
          </w:tcPr>
          <w:p w14:paraId="45E1325E" w14:textId="0E3283A1" w:rsidR="0080165B" w:rsidRPr="002A64D4" w:rsidRDefault="002A64D4" w:rsidP="0024048D">
            <w:pPr>
              <w:pStyle w:val="TableCentred"/>
              <w:spacing w:line="240" w:lineRule="auto"/>
              <w:rPr>
                <w:rFonts w:asciiTheme="minorHAnsi" w:hAnsiTheme="minorHAnsi" w:cstheme="minorHAnsi"/>
                <w:highlight w:val="black"/>
              </w:rPr>
            </w:pPr>
            <w:r w:rsidRPr="002A64D4">
              <w:rPr>
                <w:rFonts w:asciiTheme="minorHAnsi" w:hAnsiTheme="minorHAnsi" w:cstheme="minorHAnsi"/>
                <w:highlight w:val="black"/>
              </w:rPr>
              <w:t>xxx</w:t>
            </w:r>
          </w:p>
        </w:tc>
        <w:tc>
          <w:tcPr>
            <w:tcW w:w="1555" w:type="dxa"/>
            <w:vAlign w:val="bottom"/>
          </w:tcPr>
          <w:p w14:paraId="6B562620" w14:textId="77777777" w:rsidR="0080165B" w:rsidRPr="00921909" w:rsidRDefault="0080165B" w:rsidP="0024048D">
            <w:pPr>
              <w:pStyle w:val="TableCentred"/>
              <w:spacing w:line="240" w:lineRule="auto"/>
              <w:rPr>
                <w:rFonts w:asciiTheme="minorHAnsi" w:hAnsiTheme="minorHAnsi" w:cstheme="minorHAnsi"/>
                <w:szCs w:val="20"/>
              </w:rPr>
            </w:pPr>
            <w:r>
              <w:rPr>
                <w:rFonts w:ascii="Calibri" w:hAnsi="Calibri" w:cs="Calibri"/>
                <w:szCs w:val="20"/>
              </w:rPr>
              <w:t xml:space="preserve"> &gt;= </w:t>
            </w:r>
            <w:r w:rsidRPr="00921909">
              <w:rPr>
                <w:rFonts w:ascii="Calibri" w:hAnsi="Calibri" w:cs="Calibri"/>
                <w:szCs w:val="20"/>
              </w:rPr>
              <w:t>45</w:t>
            </w:r>
          </w:p>
        </w:tc>
        <w:tc>
          <w:tcPr>
            <w:tcW w:w="1361" w:type="dxa"/>
            <w:vAlign w:val="bottom"/>
          </w:tcPr>
          <w:p w14:paraId="63017BA1" w14:textId="77777777" w:rsidR="0080165B" w:rsidRPr="00F35EB8" w:rsidRDefault="0080165B" w:rsidP="0024048D">
            <w:pPr>
              <w:pStyle w:val="TableCentred"/>
              <w:spacing w:line="240" w:lineRule="auto"/>
              <w:rPr>
                <w:rFonts w:asciiTheme="minorHAnsi" w:hAnsiTheme="minorHAnsi" w:cstheme="minorHAnsi"/>
              </w:rPr>
            </w:pPr>
            <w:r>
              <w:rPr>
                <w:rFonts w:asciiTheme="minorHAnsi" w:hAnsiTheme="minorHAnsi" w:cstheme="minorHAnsi"/>
              </w:rPr>
              <w:t>4</w:t>
            </w:r>
            <w:r w:rsidRPr="008F7A71">
              <w:rPr>
                <w:rFonts w:asciiTheme="minorHAnsi" w:hAnsiTheme="minorHAnsi" w:cstheme="minorHAnsi"/>
              </w:rPr>
              <w:t>%</w:t>
            </w:r>
          </w:p>
        </w:tc>
        <w:tc>
          <w:tcPr>
            <w:tcW w:w="1304" w:type="dxa"/>
            <w:vAlign w:val="center"/>
          </w:tcPr>
          <w:p w14:paraId="4AF0BFCE" w14:textId="77777777" w:rsidR="0080165B" w:rsidRDefault="0080165B" w:rsidP="0024048D">
            <w:pPr>
              <w:pStyle w:val="TableCentred"/>
              <w:spacing w:line="240" w:lineRule="auto"/>
              <w:rPr>
                <w:rFonts w:asciiTheme="minorHAnsi" w:hAnsiTheme="minorHAnsi" w:cstheme="minorHAnsi"/>
              </w:rPr>
            </w:pPr>
            <w:r>
              <w:rPr>
                <w:rFonts w:ascii="Calibri" w:hAnsi="Calibri" w:cs="Calibri"/>
                <w:szCs w:val="20"/>
              </w:rPr>
              <w:t>2%</w:t>
            </w:r>
          </w:p>
        </w:tc>
      </w:tr>
    </w:tbl>
    <w:p w14:paraId="0DFC9B07" w14:textId="77777777" w:rsidR="0080165B" w:rsidRPr="00382B11" w:rsidRDefault="0080165B" w:rsidP="001D72A5">
      <w:pPr>
        <w:pStyle w:val="Notes"/>
      </w:pPr>
      <w:r w:rsidRPr="00382B11">
        <w:t xml:space="preserve">Note: In this analysis Int-2 and high risk does not include grandfathered patients </w:t>
      </w:r>
    </w:p>
    <w:p w14:paraId="2ED42712" w14:textId="79BA9CC9" w:rsidR="0080165B" w:rsidRDefault="00791F8C" w:rsidP="0080165B">
      <w:pPr>
        <w:rPr>
          <w:rFonts w:ascii="Calibri" w:eastAsia="MS Gothic" w:hAnsi="Calibri" w:cs="Times New Roman"/>
          <w:bCs/>
        </w:rPr>
      </w:pPr>
      <w:r>
        <w:rPr>
          <w:rFonts w:ascii="Calibri" w:eastAsia="MS Gothic" w:hAnsi="Calibri" w:cs="Times New Roman"/>
          <w:bCs/>
        </w:rPr>
        <w:t xml:space="preserve">For all patients, </w:t>
      </w:r>
      <w:r w:rsidR="00B57200">
        <w:rPr>
          <w:rFonts w:ascii="Calibri" w:eastAsia="MS Gothic" w:hAnsi="Calibri" w:cs="Times New Roman"/>
          <w:bCs/>
        </w:rPr>
        <w:t>Table 6</w:t>
      </w:r>
      <w:r w:rsidR="0080165B">
        <w:rPr>
          <w:rFonts w:ascii="Calibri" w:eastAsia="MS Gothic" w:hAnsi="Calibri" w:cs="Times New Roman"/>
          <w:bCs/>
        </w:rPr>
        <w:t xml:space="preserve"> shows that there is good agreement between predicted and actual for the two lower doses. Actuals were greater than predicted for the middle dose (30</w:t>
      </w:r>
      <w:r w:rsidR="00382B11">
        <w:rPr>
          <w:rFonts w:ascii="Calibri" w:eastAsia="MS Gothic" w:hAnsi="Calibri" w:cs="Times New Roman"/>
          <w:bCs/>
        </w:rPr>
        <w:t> </w:t>
      </w:r>
      <w:r w:rsidR="0080165B">
        <w:rPr>
          <w:rFonts w:ascii="Calibri" w:eastAsia="MS Gothic" w:hAnsi="Calibri" w:cs="Times New Roman"/>
          <w:bCs/>
        </w:rPr>
        <w:t xml:space="preserve">mg per day) and less than predicted for the higher doses. The mean predicted dose was </w:t>
      </w:r>
      <w:r w:rsidR="002A64D4" w:rsidRPr="002A64D4">
        <w:rPr>
          <w:rFonts w:ascii="Calibri" w:eastAsia="MS Gothic" w:hAnsi="Calibri" w:cs="Times New Roman"/>
          <w:bCs/>
          <w:highlight w:val="black"/>
        </w:rPr>
        <w:t>xxxx</w:t>
      </w:r>
      <w:r w:rsidR="00DF48A0">
        <w:rPr>
          <w:rFonts w:ascii="Calibri" w:eastAsia="MS Gothic" w:hAnsi="Calibri" w:cs="Times New Roman"/>
          <w:bCs/>
        </w:rPr>
        <w:t> </w:t>
      </w:r>
      <w:r w:rsidR="0080165B">
        <w:rPr>
          <w:rFonts w:ascii="Calibri" w:eastAsia="MS Gothic" w:hAnsi="Calibri" w:cs="Times New Roman"/>
          <w:bCs/>
        </w:rPr>
        <w:t>mg per day an</w:t>
      </w:r>
      <w:r w:rsidR="00382B11">
        <w:rPr>
          <w:rFonts w:ascii="Calibri" w:eastAsia="MS Gothic" w:hAnsi="Calibri" w:cs="Times New Roman"/>
          <w:bCs/>
        </w:rPr>
        <w:t>d the mean actual dose was 27.1 </w:t>
      </w:r>
      <w:r w:rsidR="0080165B">
        <w:rPr>
          <w:rFonts w:ascii="Calibri" w:eastAsia="MS Gothic" w:hAnsi="Calibri" w:cs="Times New Roman"/>
          <w:bCs/>
        </w:rPr>
        <w:t>mg per day.</w:t>
      </w:r>
    </w:p>
    <w:p w14:paraId="1BEBBAFA" w14:textId="77777777" w:rsidR="0080165B" w:rsidRDefault="0080165B" w:rsidP="0080165B">
      <w:pPr>
        <w:rPr>
          <w:rFonts w:ascii="Calibri" w:eastAsia="MS Gothic" w:hAnsi="Calibri" w:cs="Times New Roman"/>
          <w:bCs/>
        </w:rPr>
      </w:pPr>
      <w:r>
        <w:rPr>
          <w:rFonts w:ascii="Calibri" w:eastAsia="MS Gothic" w:hAnsi="Calibri" w:cs="Times New Roman"/>
          <w:bCs/>
        </w:rPr>
        <w:t xml:space="preserve">As the </w:t>
      </w:r>
      <w:r w:rsidRPr="00E6709B">
        <w:rPr>
          <w:rFonts w:ascii="Calibri" w:eastAsia="MS Gothic" w:hAnsi="Calibri" w:cs="Times New Roman"/>
          <w:bCs/>
        </w:rPr>
        <w:t>COMFORT I trial</w:t>
      </w:r>
      <w:r>
        <w:rPr>
          <w:rFonts w:ascii="Calibri" w:eastAsia="MS Gothic" w:hAnsi="Calibri" w:cs="Times New Roman"/>
          <w:bCs/>
        </w:rPr>
        <w:t xml:space="preserve"> was only for </w:t>
      </w:r>
      <w:r w:rsidRPr="00E6709B">
        <w:rPr>
          <w:rFonts w:ascii="Calibri" w:eastAsia="MS Gothic" w:hAnsi="Calibri" w:cs="Times New Roman"/>
          <w:bCs/>
        </w:rPr>
        <w:t>Int-2 and high risk</w:t>
      </w:r>
      <w:r>
        <w:rPr>
          <w:rFonts w:ascii="Calibri" w:eastAsia="MS Gothic" w:hAnsi="Calibri" w:cs="Times New Roman"/>
          <w:bCs/>
        </w:rPr>
        <w:t xml:space="preserve"> patients the distribution for these patients is also shown in Table </w:t>
      </w:r>
      <w:r w:rsidR="00791F8C">
        <w:rPr>
          <w:rFonts w:ascii="Calibri" w:eastAsia="MS Gothic" w:hAnsi="Calibri" w:cs="Times New Roman"/>
          <w:bCs/>
        </w:rPr>
        <w:t>6</w:t>
      </w:r>
      <w:r>
        <w:rPr>
          <w:rFonts w:ascii="Calibri" w:eastAsia="MS Gothic" w:hAnsi="Calibri" w:cs="Times New Roman"/>
          <w:bCs/>
        </w:rPr>
        <w:t>. It can be seen that the distribution is similar to that for all PBS patients.</w:t>
      </w:r>
    </w:p>
    <w:p w14:paraId="3D70CFB4" w14:textId="77777777" w:rsidR="005A3F4B" w:rsidRPr="003667CC" w:rsidRDefault="005A3F4B" w:rsidP="00382B11">
      <w:pPr>
        <w:pStyle w:val="Meetingdate"/>
      </w:pPr>
      <w:r>
        <w:t>P</w:t>
      </w:r>
      <w:r w:rsidRPr="003667CC">
        <w:t>atient demographics</w:t>
      </w:r>
    </w:p>
    <w:p w14:paraId="2BDCFFCA" w14:textId="77777777" w:rsidR="005A3F4B" w:rsidRPr="00734C23" w:rsidRDefault="00DA366F" w:rsidP="001D72A5">
      <w:pPr>
        <w:spacing w:before="60" w:after="60"/>
        <w:outlineLvl w:val="1"/>
        <w:rPr>
          <w:rFonts w:ascii="Calibri" w:eastAsia="MS Mincho" w:hAnsi="Calibri" w:cs="Times New Roman"/>
          <w:b/>
        </w:rPr>
      </w:pPr>
      <w:r>
        <w:rPr>
          <w:noProof/>
        </w:rPr>
        <w:drawing>
          <wp:inline distT="0" distB="0" distL="0" distR="0" wp14:anchorId="0D38A07D" wp14:editId="507185E5">
            <wp:extent cx="5687695" cy="3716447"/>
            <wp:effectExtent l="0" t="0" r="27305" b="17780"/>
            <wp:docPr id="12" name="Chart 12" title="Figure 8: Number of patients initiating ruxolitinib by age and gende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5A3F4B" w:rsidRPr="00382B11">
        <w:rPr>
          <w:rStyle w:val="FiguretitleChar"/>
        </w:rPr>
        <w:t xml:space="preserve">Figure </w:t>
      </w:r>
      <w:r w:rsidR="00382B11">
        <w:rPr>
          <w:rStyle w:val="FiguretitleChar"/>
        </w:rPr>
        <w:t>8</w:t>
      </w:r>
      <w:r w:rsidR="005A3F4B" w:rsidRPr="00382B11">
        <w:rPr>
          <w:rStyle w:val="FiguretitleChar"/>
        </w:rPr>
        <w:t>: Number of patients initiating ruxolitinib by age and gender*</w:t>
      </w:r>
      <w:r w:rsidR="005A3F4B">
        <w:rPr>
          <w:rFonts w:ascii="Calibri" w:eastAsia="MS Mincho" w:hAnsi="Calibri" w:cs="Times New Roman"/>
          <w:b/>
        </w:rPr>
        <w:br/>
      </w:r>
      <w:r w:rsidR="005A3F4B" w:rsidRPr="00382B11">
        <w:rPr>
          <w:rStyle w:val="FigurecaptionChar"/>
        </w:rPr>
        <w:t>* age and gender are those recorded on a patient’s first script.</w:t>
      </w:r>
      <w:r w:rsidRPr="00382B11">
        <w:rPr>
          <w:rStyle w:val="FigurecaptionChar"/>
        </w:rPr>
        <w:t xml:space="preserve"> </w:t>
      </w:r>
      <w:r w:rsidR="005A3F4B" w:rsidRPr="00382B11">
        <w:rPr>
          <w:rStyle w:val="FigurecaptionChar"/>
        </w:rPr>
        <w:t>Note: includes all patients since listing</w:t>
      </w:r>
      <w:r w:rsidR="00000A2A" w:rsidRPr="00382B11">
        <w:rPr>
          <w:rStyle w:val="FigurecaptionChar"/>
        </w:rPr>
        <w:t xml:space="preserve"> to the end of April 2018</w:t>
      </w:r>
      <w:r w:rsidR="005A3F4B" w:rsidRPr="00382B11">
        <w:rPr>
          <w:rStyle w:val="FigurecaptionChar"/>
        </w:rPr>
        <w:t>, except grandfathered patients (</w:t>
      </w:r>
      <w:r w:rsidR="00543B27" w:rsidRPr="00382B11">
        <w:rPr>
          <w:rStyle w:val="FigurecaptionChar"/>
        </w:rPr>
        <w:t>i.e.</w:t>
      </w:r>
      <w:r w:rsidR="005A3F4B" w:rsidRPr="00382B11">
        <w:rPr>
          <w:rStyle w:val="FigurecaptionChar"/>
        </w:rPr>
        <w:t xml:space="preserve"> </w:t>
      </w:r>
      <w:r w:rsidRPr="00382B11">
        <w:rPr>
          <w:rStyle w:val="FigurecaptionChar"/>
        </w:rPr>
        <w:t>patients</w:t>
      </w:r>
      <w:r w:rsidR="005A3F4B" w:rsidRPr="00382B11">
        <w:rPr>
          <w:rStyle w:val="FigurecaptionChar"/>
        </w:rPr>
        <w:t xml:space="preserve"> whose </w:t>
      </w:r>
      <w:r w:rsidRPr="00382B11">
        <w:rPr>
          <w:rStyle w:val="FigurecaptionChar"/>
        </w:rPr>
        <w:t>first script was grandfathering).</w:t>
      </w:r>
    </w:p>
    <w:p w14:paraId="584DA23A" w14:textId="77777777" w:rsidR="00000A2A" w:rsidRDefault="005A3F4B" w:rsidP="005A3F4B">
      <w:pPr>
        <w:spacing w:before="240"/>
        <w:outlineLvl w:val="1"/>
        <w:rPr>
          <w:rFonts w:ascii="Calibri" w:eastAsia="MS Mincho" w:hAnsi="Calibri" w:cs="Times New Roman"/>
        </w:rPr>
      </w:pPr>
      <w:r>
        <w:rPr>
          <w:rFonts w:ascii="Calibri" w:eastAsia="MS Mincho" w:hAnsi="Calibri" w:cs="Times New Roman"/>
        </w:rPr>
        <w:t xml:space="preserve">Figure </w:t>
      </w:r>
      <w:r w:rsidR="00382B11">
        <w:rPr>
          <w:rFonts w:ascii="Calibri" w:eastAsia="MS Mincho" w:hAnsi="Calibri" w:cs="Times New Roman"/>
        </w:rPr>
        <w:t>8</w:t>
      </w:r>
      <w:r>
        <w:rPr>
          <w:rFonts w:ascii="Calibri" w:eastAsia="MS Mincho" w:hAnsi="Calibri" w:cs="Times New Roman"/>
        </w:rPr>
        <w:t xml:space="preserve"> shows that there are more males than females that have initiated ruxolitinib. The </w:t>
      </w:r>
      <w:r w:rsidR="006E73C3">
        <w:rPr>
          <w:rFonts w:ascii="Calibri" w:eastAsia="MS Mincho" w:hAnsi="Calibri" w:cs="Times New Roman"/>
        </w:rPr>
        <w:t>median</w:t>
      </w:r>
      <w:r>
        <w:rPr>
          <w:rFonts w:ascii="Calibri" w:eastAsia="MS Mincho" w:hAnsi="Calibri" w:cs="Times New Roman"/>
        </w:rPr>
        <w:t xml:space="preserve"> age to initiate treatment for both genders is 70-74 years.</w:t>
      </w:r>
      <w:r w:rsidR="008975FA">
        <w:rPr>
          <w:rFonts w:ascii="Calibri" w:eastAsia="MS Mincho" w:hAnsi="Calibri" w:cs="Times New Roman"/>
        </w:rPr>
        <w:t xml:space="preserve"> </w:t>
      </w:r>
    </w:p>
    <w:p w14:paraId="35556D9A" w14:textId="77777777" w:rsidR="007D2B65" w:rsidRPr="005D5E6D" w:rsidRDefault="005D5E6D" w:rsidP="005A3F4B">
      <w:pPr>
        <w:spacing w:before="240"/>
        <w:outlineLvl w:val="1"/>
        <w:rPr>
          <w:rFonts w:ascii="Calibri" w:eastAsia="MS Mincho" w:hAnsi="Calibri" w:cs="Times New Roman"/>
        </w:rPr>
      </w:pPr>
      <w:r>
        <w:rPr>
          <w:rFonts w:ascii="Calibri" w:eastAsia="MS Mincho" w:hAnsi="Calibri" w:cs="Times New Roman"/>
        </w:rPr>
        <w:lastRenderedPageBreak/>
        <w:t xml:space="preserve">The gender distribution of patients in the COMFORT I trial was 46% female and 54% male. In Figure </w:t>
      </w:r>
      <w:r w:rsidR="00382B11">
        <w:rPr>
          <w:rFonts w:ascii="Calibri" w:eastAsia="MS Mincho" w:hAnsi="Calibri" w:cs="Times New Roman"/>
        </w:rPr>
        <w:t>8</w:t>
      </w:r>
      <w:r>
        <w:rPr>
          <w:rFonts w:ascii="Calibri" w:eastAsia="MS Mincho" w:hAnsi="Calibri" w:cs="Times New Roman"/>
        </w:rPr>
        <w:t xml:space="preserve"> the gender distribution is </w:t>
      </w:r>
      <w:r w:rsidR="007C2157">
        <w:rPr>
          <w:rFonts w:ascii="Calibri" w:eastAsia="MS Mincho" w:hAnsi="Calibri" w:cs="Times New Roman"/>
        </w:rPr>
        <w:t>41% female and 59% male.</w:t>
      </w:r>
    </w:p>
    <w:p w14:paraId="295A8151" w14:textId="77777777" w:rsidR="005A3F4B" w:rsidRPr="00822258" w:rsidRDefault="00F8244C" w:rsidP="001D72A5">
      <w:pPr>
        <w:spacing w:before="60" w:after="60"/>
        <w:outlineLvl w:val="1"/>
        <w:rPr>
          <w:rFonts w:ascii="Calibri" w:eastAsia="MS Mincho" w:hAnsi="Calibri" w:cs="Times New Roman"/>
          <w:b/>
        </w:rPr>
      </w:pPr>
      <w:r>
        <w:rPr>
          <w:noProof/>
        </w:rPr>
        <w:drawing>
          <wp:inline distT="0" distB="0" distL="0" distR="0" wp14:anchorId="2E2A7BA8" wp14:editId="2ED6B13A">
            <wp:extent cx="5779827" cy="3875964"/>
            <wp:effectExtent l="0" t="0" r="11430" b="10795"/>
            <wp:docPr id="10" name="Chart 10" title="Figure 9: Number of patients initiating PBS ruxolitinib by indication and age"/>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005A3F4B" w:rsidRPr="00382B11">
        <w:rPr>
          <w:rStyle w:val="FiguretitleChar"/>
        </w:rPr>
        <w:t xml:space="preserve">Figure </w:t>
      </w:r>
      <w:r w:rsidR="00382B11" w:rsidRPr="00382B11">
        <w:rPr>
          <w:rStyle w:val="FiguretitleChar"/>
        </w:rPr>
        <w:t>9</w:t>
      </w:r>
      <w:r w:rsidR="005A3F4B" w:rsidRPr="00382B11">
        <w:rPr>
          <w:rStyle w:val="FiguretitleChar"/>
        </w:rPr>
        <w:t>: Number of patients initiating PBS ruxolitinib by indication and age</w:t>
      </w:r>
      <w:r w:rsidR="005A3F4B">
        <w:rPr>
          <w:rFonts w:ascii="Calibri" w:eastAsia="MS Mincho" w:hAnsi="Calibri" w:cs="Times New Roman"/>
          <w:b/>
        </w:rPr>
        <w:br/>
      </w:r>
      <w:r w:rsidR="00D76569" w:rsidRPr="001D72A5">
        <w:rPr>
          <w:rStyle w:val="FigurecaptionChar"/>
        </w:rPr>
        <w:t>Note:</w:t>
      </w:r>
      <w:r w:rsidR="005A3F4B" w:rsidRPr="001D72A5">
        <w:rPr>
          <w:rStyle w:val="FigurecaptionChar"/>
        </w:rPr>
        <w:t xml:space="preserve"> indication and age are those </w:t>
      </w:r>
      <w:r w:rsidR="002F7A35" w:rsidRPr="001D72A5">
        <w:rPr>
          <w:rStyle w:val="FigurecaptionChar"/>
        </w:rPr>
        <w:t xml:space="preserve">at the </w:t>
      </w:r>
      <w:r w:rsidR="005A3F4B" w:rsidRPr="001D72A5">
        <w:rPr>
          <w:rStyle w:val="FigurecaptionChar"/>
        </w:rPr>
        <w:t>patient’s first script.</w:t>
      </w:r>
      <w:r w:rsidR="007D2B65" w:rsidRPr="001D72A5">
        <w:rPr>
          <w:rStyle w:val="FigurecaptionChar"/>
        </w:rPr>
        <w:t xml:space="preserve"> </w:t>
      </w:r>
      <w:r w:rsidR="00D76569" w:rsidRPr="001D72A5">
        <w:rPr>
          <w:rStyle w:val="FigurecaptionChar"/>
        </w:rPr>
        <w:t>W</w:t>
      </w:r>
      <w:r w:rsidR="005A3F4B" w:rsidRPr="001D72A5">
        <w:rPr>
          <w:rStyle w:val="FigurecaptionChar"/>
        </w:rPr>
        <w:t>here the patient count is between 1 and 5 (inclusive), the data point has been set to 5 to protect confidentiality.</w:t>
      </w:r>
    </w:p>
    <w:p w14:paraId="101FC823" w14:textId="77777777" w:rsidR="00053AFE" w:rsidRDefault="005A3F4B" w:rsidP="005A3F4B">
      <w:pPr>
        <w:spacing w:before="240"/>
        <w:outlineLvl w:val="1"/>
        <w:rPr>
          <w:rFonts w:ascii="Calibri" w:eastAsia="MS Mincho" w:hAnsi="Calibri" w:cs="Times New Roman"/>
        </w:rPr>
      </w:pPr>
      <w:r>
        <w:rPr>
          <w:rFonts w:ascii="Calibri" w:eastAsia="MS Mincho" w:hAnsi="Calibri" w:cs="Times New Roman"/>
        </w:rPr>
        <w:t>The median age of patients when they received th</w:t>
      </w:r>
      <w:r w:rsidR="007D2B65">
        <w:rPr>
          <w:rFonts w:ascii="Calibri" w:eastAsia="MS Mincho" w:hAnsi="Calibri" w:cs="Times New Roman"/>
        </w:rPr>
        <w:t>eir first PBS prescription for r</w:t>
      </w:r>
      <w:r>
        <w:rPr>
          <w:rFonts w:ascii="Calibri" w:eastAsia="MS Mincho" w:hAnsi="Calibri" w:cs="Times New Roman"/>
        </w:rPr>
        <w:t xml:space="preserve">uxolitinib in Figure </w:t>
      </w:r>
      <w:r w:rsidR="00382B11">
        <w:rPr>
          <w:rFonts w:ascii="Calibri" w:eastAsia="MS Mincho" w:hAnsi="Calibri" w:cs="Times New Roman"/>
        </w:rPr>
        <w:t>9</w:t>
      </w:r>
      <w:r>
        <w:rPr>
          <w:rFonts w:ascii="Calibri" w:eastAsia="MS Mincho" w:hAnsi="Calibri" w:cs="Times New Roman"/>
        </w:rPr>
        <w:t xml:space="preserve"> is lower for </w:t>
      </w:r>
      <w:r w:rsidR="00920BB4">
        <w:rPr>
          <w:rFonts w:ascii="Calibri" w:eastAsia="MS Mincho" w:hAnsi="Calibri" w:cs="Times New Roman"/>
        </w:rPr>
        <w:t>Int</w:t>
      </w:r>
      <w:r>
        <w:rPr>
          <w:rFonts w:ascii="Calibri" w:eastAsia="MS Mincho" w:hAnsi="Calibri" w:cs="Times New Roman"/>
        </w:rPr>
        <w:t xml:space="preserve">-1 risk patients (65-69 </w:t>
      </w:r>
      <w:r w:rsidR="00543B27">
        <w:rPr>
          <w:rFonts w:ascii="Calibri" w:eastAsia="MS Mincho" w:hAnsi="Calibri" w:cs="Times New Roman"/>
        </w:rPr>
        <w:t>years</w:t>
      </w:r>
      <w:r>
        <w:rPr>
          <w:rFonts w:ascii="Calibri" w:eastAsia="MS Mincho" w:hAnsi="Calibri" w:cs="Times New Roman"/>
        </w:rPr>
        <w:t xml:space="preserve">) compared to </w:t>
      </w:r>
      <w:r w:rsidR="00920BB4">
        <w:rPr>
          <w:rFonts w:ascii="Calibri" w:eastAsia="MS Mincho" w:hAnsi="Calibri" w:cs="Times New Roman"/>
        </w:rPr>
        <w:t>Int</w:t>
      </w:r>
      <w:r>
        <w:rPr>
          <w:rFonts w:ascii="Calibri" w:eastAsia="MS Mincho" w:hAnsi="Calibri" w:cs="Times New Roman"/>
        </w:rPr>
        <w:t xml:space="preserve">-2 and grandfathered patients (both 70-74 </w:t>
      </w:r>
      <w:r w:rsidR="00543B27">
        <w:rPr>
          <w:rFonts w:ascii="Calibri" w:eastAsia="MS Mincho" w:hAnsi="Calibri" w:cs="Times New Roman"/>
        </w:rPr>
        <w:t>years</w:t>
      </w:r>
      <w:r>
        <w:rPr>
          <w:rFonts w:ascii="Calibri" w:eastAsia="MS Mincho" w:hAnsi="Calibri" w:cs="Times New Roman"/>
        </w:rPr>
        <w:t>).</w:t>
      </w:r>
      <w:r w:rsidR="002C74A7">
        <w:rPr>
          <w:rFonts w:ascii="Calibri" w:eastAsia="MS Mincho" w:hAnsi="Calibri" w:cs="Times New Roman"/>
        </w:rPr>
        <w:t xml:space="preserve"> Age is a prognostic variable for myelofibrosis.</w:t>
      </w:r>
    </w:p>
    <w:p w14:paraId="2E4D93AC" w14:textId="77777777" w:rsidR="00053AFE" w:rsidRDefault="00053AFE" w:rsidP="00053AFE">
      <w:pPr>
        <w:spacing w:before="240"/>
        <w:outlineLvl w:val="1"/>
        <w:rPr>
          <w:rFonts w:ascii="Calibri" w:eastAsia="MS Mincho" w:hAnsi="Calibri" w:cs="Times New Roman"/>
        </w:rPr>
      </w:pPr>
      <w:r>
        <w:rPr>
          <w:rFonts w:ascii="Calibri" w:eastAsia="MS Mincho" w:hAnsi="Calibri" w:cs="Times New Roman"/>
        </w:rPr>
        <w:t>In the COMFORT I trial (I</w:t>
      </w:r>
      <w:r w:rsidR="00DF48A0">
        <w:rPr>
          <w:rFonts w:ascii="Calibri" w:eastAsia="MS Mincho" w:hAnsi="Calibri" w:cs="Times New Roman"/>
        </w:rPr>
        <w:t>n</w:t>
      </w:r>
      <w:r>
        <w:rPr>
          <w:rFonts w:ascii="Calibri" w:eastAsia="MS Mincho" w:hAnsi="Calibri" w:cs="Times New Roman"/>
        </w:rPr>
        <w:t>t-2 and high risk patients) the median age of patients at baseline was 68 years</w:t>
      </w:r>
      <w:r w:rsidR="008C4C2D">
        <w:rPr>
          <w:rFonts w:ascii="Calibri" w:eastAsia="MS Mincho" w:hAnsi="Calibri" w:cs="Times New Roman"/>
        </w:rPr>
        <w:t>. This was</w:t>
      </w:r>
      <w:r>
        <w:rPr>
          <w:rFonts w:ascii="Calibri" w:eastAsia="MS Mincho" w:hAnsi="Calibri" w:cs="Times New Roman"/>
        </w:rPr>
        <w:t xml:space="preserve"> slightly younger than the PBS initiation age</w:t>
      </w:r>
      <w:r w:rsidR="008C4C2D">
        <w:rPr>
          <w:rFonts w:ascii="Calibri" w:eastAsia="MS Mincho" w:hAnsi="Calibri" w:cs="Times New Roman"/>
        </w:rPr>
        <w:t xml:space="preserve"> for Int-2 and high risk</w:t>
      </w:r>
      <w:r>
        <w:rPr>
          <w:rFonts w:ascii="Calibri" w:eastAsia="MS Mincho" w:hAnsi="Calibri" w:cs="Times New Roman"/>
        </w:rPr>
        <w:t>.</w:t>
      </w:r>
    </w:p>
    <w:p w14:paraId="712706B9" w14:textId="77777777" w:rsidR="000D0F5E" w:rsidRPr="003667CC" w:rsidRDefault="000D0F5E" w:rsidP="00382B11">
      <w:pPr>
        <w:pStyle w:val="Heading3"/>
      </w:pPr>
      <w:r>
        <w:t>Medicines taken prior to initiating ruxolitinib</w:t>
      </w:r>
    </w:p>
    <w:p w14:paraId="0139CDDD" w14:textId="77777777" w:rsidR="000D0F5E" w:rsidRDefault="000D0F5E" w:rsidP="001D72A5">
      <w:pPr>
        <w:rPr>
          <w:rFonts w:ascii="Calibri" w:eastAsia="MS Mincho" w:hAnsi="Calibri" w:cs="Times New Roman"/>
        </w:rPr>
      </w:pPr>
      <w:r>
        <w:rPr>
          <w:rFonts w:ascii="Calibri" w:eastAsia="MS Mincho" w:hAnsi="Calibri" w:cs="Times New Roman"/>
        </w:rPr>
        <w:t xml:space="preserve">The PBS restriction for </w:t>
      </w:r>
      <w:r w:rsidRPr="000D0F5E">
        <w:rPr>
          <w:rFonts w:ascii="Calibri" w:eastAsia="MS Mincho" w:hAnsi="Calibri" w:cs="Times New Roman"/>
        </w:rPr>
        <w:t>Int-1 risk myelofibrosis</w:t>
      </w:r>
      <w:r>
        <w:rPr>
          <w:rFonts w:ascii="Calibri" w:eastAsia="MS Mincho" w:hAnsi="Calibri" w:cs="Times New Roman"/>
        </w:rPr>
        <w:t xml:space="preserve"> includes the criterion that the “</w:t>
      </w:r>
      <w:r w:rsidRPr="000D0F5E">
        <w:rPr>
          <w:rFonts w:ascii="Calibri" w:eastAsia="MS Mincho" w:hAnsi="Calibri" w:cs="Times New Roman"/>
        </w:rPr>
        <w:t>patient must have severe disease-related symptoms that are resistant, refractory or intolerant to available therapy</w:t>
      </w:r>
      <w:r w:rsidR="00382B11">
        <w:rPr>
          <w:rFonts w:ascii="Calibri" w:eastAsia="MS Mincho" w:hAnsi="Calibri" w:cs="Times New Roman"/>
        </w:rPr>
        <w:t>.</w:t>
      </w:r>
      <w:r>
        <w:rPr>
          <w:rFonts w:ascii="Calibri" w:eastAsia="MS Mincho" w:hAnsi="Calibri" w:cs="Times New Roman"/>
        </w:rPr>
        <w:t>”</w:t>
      </w:r>
    </w:p>
    <w:p w14:paraId="219B4512" w14:textId="77777777" w:rsidR="00B02A75" w:rsidRDefault="00B02A75">
      <w:pPr>
        <w:spacing w:line="276" w:lineRule="auto"/>
        <w:rPr>
          <w:rFonts w:ascii="Calibri" w:eastAsia="MS Mincho" w:hAnsi="Calibri" w:cs="Times New Roman"/>
        </w:rPr>
      </w:pPr>
      <w:r>
        <w:rPr>
          <w:rFonts w:ascii="Calibri" w:eastAsia="MS Mincho" w:hAnsi="Calibri" w:cs="Times New Roman"/>
        </w:rPr>
        <w:br w:type="page"/>
      </w:r>
    </w:p>
    <w:p w14:paraId="5CB57657" w14:textId="77777777" w:rsidR="00D9383A" w:rsidRDefault="000D0F5E" w:rsidP="001D72A5">
      <w:pPr>
        <w:rPr>
          <w:rFonts w:ascii="Calibri" w:eastAsia="MS Mincho" w:hAnsi="Calibri" w:cs="Times New Roman"/>
          <w:b/>
        </w:rPr>
      </w:pPr>
      <w:r>
        <w:rPr>
          <w:rFonts w:ascii="Calibri" w:eastAsia="MS Mincho" w:hAnsi="Calibri" w:cs="Times New Roman"/>
        </w:rPr>
        <w:lastRenderedPageBreak/>
        <w:t xml:space="preserve">To </w:t>
      </w:r>
      <w:r w:rsidR="002F7A35">
        <w:rPr>
          <w:rFonts w:ascii="Calibri" w:eastAsia="MS Mincho" w:hAnsi="Calibri" w:cs="Times New Roman"/>
        </w:rPr>
        <w:t xml:space="preserve">determine </w:t>
      </w:r>
      <w:r>
        <w:rPr>
          <w:rFonts w:ascii="Calibri" w:eastAsia="MS Mincho" w:hAnsi="Calibri" w:cs="Times New Roman"/>
        </w:rPr>
        <w:t xml:space="preserve">what available </w:t>
      </w:r>
      <w:r w:rsidR="002F7A35">
        <w:rPr>
          <w:rFonts w:ascii="Calibri" w:eastAsia="MS Mincho" w:hAnsi="Calibri" w:cs="Times New Roman"/>
        </w:rPr>
        <w:t xml:space="preserve">PBS </w:t>
      </w:r>
      <w:r>
        <w:rPr>
          <w:rFonts w:ascii="Calibri" w:eastAsia="MS Mincho" w:hAnsi="Calibri" w:cs="Times New Roman"/>
        </w:rPr>
        <w:t xml:space="preserve">therapy patients </w:t>
      </w:r>
      <w:r w:rsidR="00B80172">
        <w:rPr>
          <w:rFonts w:ascii="Calibri" w:eastAsia="MS Mincho" w:hAnsi="Calibri" w:cs="Times New Roman"/>
        </w:rPr>
        <w:t>used</w:t>
      </w:r>
      <w:r>
        <w:rPr>
          <w:rFonts w:ascii="Calibri" w:eastAsia="MS Mincho" w:hAnsi="Calibri" w:cs="Times New Roman"/>
        </w:rPr>
        <w:t xml:space="preserve"> prior to initiation of ruxolitinib, all prescription data were extracted for each patient </w:t>
      </w:r>
      <w:r w:rsidR="008A24D3">
        <w:rPr>
          <w:rFonts w:ascii="Calibri" w:eastAsia="MS Mincho" w:hAnsi="Calibri" w:cs="Times New Roman"/>
        </w:rPr>
        <w:t>(n=</w:t>
      </w:r>
      <w:r w:rsidR="008A24D3" w:rsidRPr="008A24D3">
        <w:t xml:space="preserve"> </w:t>
      </w:r>
      <w:r w:rsidR="008A24D3">
        <w:rPr>
          <w:rFonts w:ascii="Calibri" w:eastAsia="MS Mincho" w:hAnsi="Calibri" w:cs="Times New Roman"/>
        </w:rPr>
        <w:t xml:space="preserve">1,367) </w:t>
      </w:r>
      <w:r>
        <w:rPr>
          <w:rFonts w:ascii="Calibri" w:eastAsia="MS Mincho" w:hAnsi="Calibri" w:cs="Times New Roman"/>
        </w:rPr>
        <w:t xml:space="preserve">in the 2 years prior to starting </w:t>
      </w:r>
      <w:r w:rsidR="008A24D3">
        <w:rPr>
          <w:rFonts w:ascii="Calibri" w:eastAsia="MS Mincho" w:hAnsi="Calibri" w:cs="Times New Roman"/>
        </w:rPr>
        <w:t>r</w:t>
      </w:r>
      <w:r>
        <w:rPr>
          <w:rFonts w:ascii="Calibri" w:eastAsia="MS Mincho" w:hAnsi="Calibri" w:cs="Times New Roman"/>
        </w:rPr>
        <w:t>uxolitinib. T</w:t>
      </w:r>
      <w:r w:rsidR="0022220B">
        <w:rPr>
          <w:rFonts w:ascii="Calibri" w:eastAsia="MS Mincho" w:hAnsi="Calibri" w:cs="Times New Roman"/>
        </w:rPr>
        <w:t xml:space="preserve">he main </w:t>
      </w:r>
      <w:r>
        <w:rPr>
          <w:rFonts w:ascii="Calibri" w:eastAsia="MS Mincho" w:hAnsi="Calibri" w:cs="Times New Roman"/>
        </w:rPr>
        <w:t xml:space="preserve">medicine of interest </w:t>
      </w:r>
      <w:r w:rsidR="00B80172">
        <w:rPr>
          <w:rFonts w:ascii="Calibri" w:eastAsia="MS Mincho" w:hAnsi="Calibri" w:cs="Times New Roman"/>
        </w:rPr>
        <w:t xml:space="preserve">is </w:t>
      </w:r>
      <w:r w:rsidRPr="000D0F5E">
        <w:rPr>
          <w:rFonts w:ascii="Calibri" w:eastAsia="MS Mincho" w:hAnsi="Calibri" w:cs="Times New Roman"/>
        </w:rPr>
        <w:t>hydroxyurea</w:t>
      </w:r>
      <w:r w:rsidR="00587173">
        <w:rPr>
          <w:rFonts w:ascii="Calibri" w:eastAsia="MS Mincho" w:hAnsi="Calibri" w:cs="Times New Roman"/>
        </w:rPr>
        <w:t xml:space="preserve"> (hydroxycarbamide)</w:t>
      </w:r>
      <w:r w:rsidR="0022220B">
        <w:rPr>
          <w:rFonts w:ascii="Calibri" w:eastAsia="MS Mincho" w:hAnsi="Calibri" w:cs="Times New Roman"/>
        </w:rPr>
        <w:t>. Busulfan</w:t>
      </w:r>
      <w:r w:rsidR="00B80172">
        <w:rPr>
          <w:rFonts w:ascii="Calibri" w:eastAsia="MS Mincho" w:hAnsi="Calibri" w:cs="Times New Roman"/>
        </w:rPr>
        <w:t xml:space="preserve"> and</w:t>
      </w:r>
      <w:r w:rsidR="0022220B">
        <w:rPr>
          <w:rFonts w:ascii="Calibri" w:eastAsia="MS Mincho" w:hAnsi="Calibri" w:cs="Times New Roman"/>
        </w:rPr>
        <w:t xml:space="preserve"> thalidomide</w:t>
      </w:r>
      <w:r w:rsidR="00B80172">
        <w:rPr>
          <w:rFonts w:ascii="Calibri" w:eastAsia="MS Mincho" w:hAnsi="Calibri" w:cs="Times New Roman"/>
        </w:rPr>
        <w:t xml:space="preserve"> were also included as they have been reported</w:t>
      </w:r>
      <w:r w:rsidR="00F77F7A">
        <w:rPr>
          <w:rFonts w:ascii="Calibri" w:eastAsia="MS Mincho" w:hAnsi="Calibri" w:cs="Times New Roman"/>
        </w:rPr>
        <w:t xml:space="preserve"> as being used for symptoms associated with myeloproliferative neoplasms</w:t>
      </w:r>
      <w:r w:rsidR="00587173">
        <w:rPr>
          <w:rFonts w:ascii="Calibri" w:eastAsia="MS Mincho" w:hAnsi="Calibri" w:cs="Times New Roman"/>
        </w:rPr>
        <w:t>. Busulfan may be used as a</w:t>
      </w:r>
      <w:r w:rsidR="00587173" w:rsidRPr="00587173">
        <w:rPr>
          <w:rFonts w:ascii="Calibri" w:eastAsia="MS Mincho" w:hAnsi="Calibri" w:cs="Times New Roman"/>
        </w:rPr>
        <w:t xml:space="preserve"> conditioning agent prior to ASCT</w:t>
      </w:r>
      <w:r w:rsidR="00587173">
        <w:rPr>
          <w:rFonts w:ascii="Calibri" w:eastAsia="MS Mincho" w:hAnsi="Calibri" w:cs="Times New Roman"/>
        </w:rPr>
        <w:t>, so supply may indicate that the patient was a candidate for ASCT.</w:t>
      </w:r>
      <w:r w:rsidR="00F77F7A" w:rsidRPr="00F77F7A">
        <w:rPr>
          <w:rFonts w:ascii="Calibri" w:eastAsia="MS Mincho" w:hAnsi="Calibri" w:cs="Times New Roman"/>
          <w:vertAlign w:val="superscript"/>
        </w:rPr>
        <w:fldChar w:fldCharType="begin"/>
      </w:r>
      <w:r w:rsidR="00F77F7A" w:rsidRPr="00F77F7A">
        <w:rPr>
          <w:rFonts w:ascii="Calibri" w:eastAsia="MS Mincho" w:hAnsi="Calibri" w:cs="Times New Roman"/>
          <w:vertAlign w:val="superscript"/>
        </w:rPr>
        <w:instrText xml:space="preserve"> NOTEREF _Ref522796135 \h </w:instrText>
      </w:r>
      <w:r w:rsidR="00F77F7A">
        <w:rPr>
          <w:rFonts w:ascii="Calibri" w:eastAsia="MS Mincho" w:hAnsi="Calibri" w:cs="Times New Roman"/>
          <w:vertAlign w:val="superscript"/>
        </w:rPr>
        <w:instrText xml:space="preserve"> \* MERGEFORMAT </w:instrText>
      </w:r>
      <w:r w:rsidR="00F77F7A" w:rsidRPr="00F77F7A">
        <w:rPr>
          <w:rFonts w:ascii="Calibri" w:eastAsia="MS Mincho" w:hAnsi="Calibri" w:cs="Times New Roman"/>
          <w:vertAlign w:val="superscript"/>
        </w:rPr>
      </w:r>
      <w:r w:rsidR="00F77F7A" w:rsidRPr="00F77F7A">
        <w:rPr>
          <w:rFonts w:ascii="Calibri" w:eastAsia="MS Mincho" w:hAnsi="Calibri" w:cs="Times New Roman"/>
          <w:vertAlign w:val="superscript"/>
        </w:rPr>
        <w:fldChar w:fldCharType="separate"/>
      </w:r>
      <w:r w:rsidR="00C47E40">
        <w:rPr>
          <w:rFonts w:ascii="Calibri" w:eastAsia="MS Mincho" w:hAnsi="Calibri" w:cs="Times New Roman"/>
          <w:vertAlign w:val="superscript"/>
        </w:rPr>
        <w:t>5</w:t>
      </w:r>
      <w:r w:rsidR="00F77F7A" w:rsidRPr="00F77F7A">
        <w:rPr>
          <w:rFonts w:ascii="Calibri" w:eastAsia="MS Mincho" w:hAnsi="Calibri" w:cs="Times New Roman"/>
          <w:vertAlign w:val="superscript"/>
        </w:rPr>
        <w:fldChar w:fldCharType="end"/>
      </w:r>
      <w:r w:rsidR="00B80172">
        <w:rPr>
          <w:rFonts w:ascii="Calibri" w:eastAsia="MS Mincho" w:hAnsi="Calibri" w:cs="Times New Roman"/>
        </w:rPr>
        <w:t xml:space="preserve"> Peginterferon</w:t>
      </w:r>
      <w:r w:rsidR="00B80172" w:rsidRPr="00B80172">
        <w:t xml:space="preserve"> </w:t>
      </w:r>
      <w:r w:rsidR="00B80172" w:rsidRPr="00B80172">
        <w:rPr>
          <w:rFonts w:ascii="Calibri" w:eastAsia="MS Mincho" w:hAnsi="Calibri" w:cs="Times New Roman"/>
        </w:rPr>
        <w:t>alfa-2a</w:t>
      </w:r>
      <w:r w:rsidR="00B80172">
        <w:rPr>
          <w:rFonts w:ascii="Calibri" w:eastAsia="MS Mincho" w:hAnsi="Calibri" w:cs="Times New Roman"/>
        </w:rPr>
        <w:t xml:space="preserve"> was recommended by the PBAC in November 2017 as an unrestricted listing thereby allowing access for patients with </w:t>
      </w:r>
      <w:r w:rsidR="00F77F7A" w:rsidRPr="00F77F7A">
        <w:rPr>
          <w:rFonts w:ascii="Calibri" w:eastAsia="MS Mincho" w:hAnsi="Calibri" w:cs="Times New Roman"/>
        </w:rPr>
        <w:t>myeloproliferative neoplasms</w:t>
      </w:r>
      <w:r w:rsidR="00F77F7A">
        <w:rPr>
          <w:rFonts w:ascii="Calibri" w:eastAsia="MS Mincho" w:hAnsi="Calibri" w:cs="Times New Roman"/>
        </w:rPr>
        <w:t>. It is too early to assess the impact of this listing.</w:t>
      </w:r>
      <w:r w:rsidR="00B80172">
        <w:rPr>
          <w:rFonts w:ascii="Calibri" w:eastAsia="MS Mincho" w:hAnsi="Calibri" w:cs="Times New Roman"/>
        </w:rPr>
        <w:t xml:space="preserve"> </w:t>
      </w:r>
    </w:p>
    <w:p w14:paraId="3889D2CB" w14:textId="77777777" w:rsidR="00844E8E" w:rsidRPr="00D91311" w:rsidRDefault="00844E8E" w:rsidP="00382B11">
      <w:pPr>
        <w:pStyle w:val="Tabletitle"/>
      </w:pPr>
      <w:r w:rsidRPr="00D91311">
        <w:t xml:space="preserve">Table </w:t>
      </w:r>
      <w:r w:rsidR="00382B11">
        <w:t>7</w:t>
      </w:r>
      <w:r w:rsidRPr="00D91311">
        <w:t xml:space="preserve">: </w:t>
      </w:r>
      <w:r>
        <w:t xml:space="preserve">Drug </w:t>
      </w:r>
      <w:r w:rsidRPr="00D91311">
        <w:t xml:space="preserve">sequence </w:t>
      </w:r>
      <w:r>
        <w:t xml:space="preserve">in the 2 years prior to initiation of PBS </w:t>
      </w:r>
      <w:r w:rsidR="0022220B">
        <w:t>ruxolitinib</w:t>
      </w:r>
      <w:r>
        <w:t xml:space="preserve"> for the drugs </w:t>
      </w:r>
      <w:r w:rsidR="007C34ED">
        <w:t>hydroxyurea, busulfan and</w:t>
      </w:r>
      <w:r w:rsidRPr="00844E8E">
        <w:t xml:space="preserve"> thalidomide</w:t>
      </w:r>
      <w:r w:rsidR="00D91332">
        <w:t xml:space="preserve"> by indication at ruxolitinib initiation</w:t>
      </w:r>
      <w:r w:rsidR="00C232F9">
        <w:t>.</w:t>
      </w:r>
    </w:p>
    <w:tbl>
      <w:tblPr>
        <w:tblW w:w="92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9"/>
        <w:gridCol w:w="964"/>
        <w:gridCol w:w="850"/>
        <w:gridCol w:w="16"/>
        <w:gridCol w:w="834"/>
        <w:gridCol w:w="17"/>
        <w:gridCol w:w="833"/>
        <w:gridCol w:w="17"/>
        <w:gridCol w:w="709"/>
        <w:gridCol w:w="11"/>
      </w:tblGrid>
      <w:tr w:rsidR="00C232F9" w:rsidRPr="00D9383A" w14:paraId="0CF904CC" w14:textId="77777777" w:rsidTr="00382B11">
        <w:trPr>
          <w:gridAfter w:val="1"/>
          <w:wAfter w:w="11" w:type="dxa"/>
          <w:trHeight w:val="165"/>
        </w:trPr>
        <w:tc>
          <w:tcPr>
            <w:tcW w:w="4989" w:type="dxa"/>
            <w:shd w:val="clear" w:color="auto" w:fill="BFBFBF" w:themeFill="background1" w:themeFillShade="BF"/>
            <w:noWrap/>
            <w:vAlign w:val="bottom"/>
          </w:tcPr>
          <w:p w14:paraId="1A687630" w14:textId="77777777" w:rsidR="00C232F9" w:rsidRDefault="00C232F9" w:rsidP="0024048D">
            <w:pPr>
              <w:spacing w:after="0"/>
              <w:rPr>
                <w:rFonts w:ascii="Calibri" w:eastAsia="Times New Roman" w:hAnsi="Calibri" w:cs="Calibri"/>
                <w:sz w:val="20"/>
                <w:szCs w:val="20"/>
              </w:rPr>
            </w:pPr>
          </w:p>
        </w:tc>
        <w:tc>
          <w:tcPr>
            <w:tcW w:w="3531" w:type="dxa"/>
            <w:gridSpan w:val="7"/>
            <w:shd w:val="clear" w:color="auto" w:fill="BFBFBF" w:themeFill="background1" w:themeFillShade="BF"/>
          </w:tcPr>
          <w:p w14:paraId="348ACB02" w14:textId="77777777" w:rsidR="00C232F9" w:rsidRPr="008228D3" w:rsidRDefault="00C232F9" w:rsidP="0024048D">
            <w:pPr>
              <w:spacing w:after="0"/>
              <w:jc w:val="center"/>
              <w:rPr>
                <w:rFonts w:ascii="Calibri" w:eastAsia="MS Mincho" w:hAnsi="Calibri" w:cs="Times New Roman"/>
                <w:bCs/>
                <w:sz w:val="20"/>
                <w:szCs w:val="20"/>
              </w:rPr>
            </w:pPr>
            <w:r>
              <w:rPr>
                <w:rFonts w:ascii="Calibri" w:eastAsia="MS Mincho" w:hAnsi="Calibri" w:cs="Times New Roman"/>
                <w:bCs/>
                <w:sz w:val="20"/>
                <w:szCs w:val="20"/>
              </w:rPr>
              <w:t>I</w:t>
            </w:r>
            <w:r w:rsidRPr="00C232F9">
              <w:rPr>
                <w:rFonts w:ascii="Calibri" w:eastAsia="MS Mincho" w:hAnsi="Calibri" w:cs="Times New Roman"/>
                <w:bCs/>
                <w:sz w:val="20"/>
                <w:szCs w:val="20"/>
              </w:rPr>
              <w:t>ndication at ruxolitinib initiation</w:t>
            </w:r>
          </w:p>
        </w:tc>
        <w:tc>
          <w:tcPr>
            <w:tcW w:w="709" w:type="dxa"/>
            <w:shd w:val="clear" w:color="auto" w:fill="BFBFBF" w:themeFill="background1" w:themeFillShade="BF"/>
            <w:noWrap/>
            <w:vAlign w:val="center"/>
          </w:tcPr>
          <w:p w14:paraId="4B9ACEB6" w14:textId="77777777" w:rsidR="00C232F9" w:rsidRPr="008228D3" w:rsidRDefault="00C232F9" w:rsidP="0024048D">
            <w:pPr>
              <w:spacing w:after="0"/>
              <w:jc w:val="center"/>
              <w:rPr>
                <w:rFonts w:ascii="Calibri" w:eastAsia="Times New Roman" w:hAnsi="Calibri" w:cs="Calibri"/>
                <w:sz w:val="20"/>
                <w:szCs w:val="20"/>
              </w:rPr>
            </w:pPr>
          </w:p>
        </w:tc>
      </w:tr>
      <w:tr w:rsidR="008228D3" w:rsidRPr="00D9383A" w14:paraId="03E2B448" w14:textId="77777777" w:rsidTr="00382B11">
        <w:trPr>
          <w:gridAfter w:val="1"/>
          <w:wAfter w:w="11" w:type="dxa"/>
          <w:trHeight w:val="397"/>
        </w:trPr>
        <w:tc>
          <w:tcPr>
            <w:tcW w:w="4989" w:type="dxa"/>
            <w:shd w:val="clear" w:color="auto" w:fill="BFBFBF" w:themeFill="background1" w:themeFillShade="BF"/>
            <w:noWrap/>
            <w:vAlign w:val="bottom"/>
            <w:hideMark/>
          </w:tcPr>
          <w:p w14:paraId="4839B012" w14:textId="77777777" w:rsidR="008228D3" w:rsidRPr="008228D3" w:rsidRDefault="001C2DE4" w:rsidP="0024048D">
            <w:pPr>
              <w:spacing w:after="0"/>
              <w:rPr>
                <w:rFonts w:ascii="Calibri" w:eastAsia="Times New Roman" w:hAnsi="Calibri" w:cs="Calibri"/>
                <w:sz w:val="20"/>
                <w:szCs w:val="20"/>
              </w:rPr>
            </w:pPr>
            <w:r>
              <w:rPr>
                <w:rFonts w:ascii="Calibri" w:eastAsia="Times New Roman" w:hAnsi="Calibri" w:cs="Calibri"/>
                <w:sz w:val="20"/>
                <w:szCs w:val="20"/>
              </w:rPr>
              <w:t>Patients</w:t>
            </w:r>
          </w:p>
        </w:tc>
        <w:tc>
          <w:tcPr>
            <w:tcW w:w="964" w:type="dxa"/>
            <w:shd w:val="clear" w:color="auto" w:fill="BFBFBF" w:themeFill="background1" w:themeFillShade="BF"/>
          </w:tcPr>
          <w:p w14:paraId="68247196" w14:textId="77777777" w:rsidR="008228D3" w:rsidRPr="008228D3" w:rsidRDefault="008228D3" w:rsidP="0024048D">
            <w:pPr>
              <w:spacing w:after="0"/>
              <w:jc w:val="center"/>
              <w:rPr>
                <w:rFonts w:ascii="Calibri" w:eastAsia="Times New Roman" w:hAnsi="Calibri" w:cs="Calibri"/>
                <w:sz w:val="20"/>
                <w:szCs w:val="20"/>
              </w:rPr>
            </w:pPr>
            <w:r w:rsidRPr="008228D3">
              <w:rPr>
                <w:rFonts w:ascii="Calibri" w:eastAsia="MS Mincho" w:hAnsi="Calibri" w:cs="Times New Roman"/>
                <w:bCs/>
                <w:sz w:val="20"/>
                <w:szCs w:val="20"/>
              </w:rPr>
              <w:t>Int-2 &amp; High risk</w:t>
            </w:r>
          </w:p>
        </w:tc>
        <w:tc>
          <w:tcPr>
            <w:tcW w:w="866" w:type="dxa"/>
            <w:gridSpan w:val="2"/>
            <w:shd w:val="clear" w:color="auto" w:fill="BFBFBF" w:themeFill="background1" w:themeFillShade="BF"/>
            <w:noWrap/>
            <w:hideMark/>
          </w:tcPr>
          <w:p w14:paraId="59267988" w14:textId="77777777" w:rsidR="008228D3" w:rsidRPr="008228D3" w:rsidRDefault="008228D3" w:rsidP="008228D3">
            <w:pPr>
              <w:spacing w:after="0"/>
              <w:jc w:val="center"/>
              <w:rPr>
                <w:rFonts w:ascii="Calibri" w:eastAsia="Times New Roman" w:hAnsi="Calibri" w:cs="Calibri"/>
                <w:sz w:val="20"/>
                <w:szCs w:val="20"/>
              </w:rPr>
            </w:pPr>
            <w:r w:rsidRPr="008228D3">
              <w:rPr>
                <w:rFonts w:ascii="Calibri" w:eastAsia="MS Mincho" w:hAnsi="Calibri" w:cs="Times New Roman"/>
                <w:bCs/>
                <w:sz w:val="20"/>
                <w:szCs w:val="20"/>
              </w:rPr>
              <w:t>GF</w:t>
            </w:r>
          </w:p>
        </w:tc>
        <w:tc>
          <w:tcPr>
            <w:tcW w:w="851" w:type="dxa"/>
            <w:gridSpan w:val="2"/>
            <w:shd w:val="clear" w:color="auto" w:fill="BFBFBF" w:themeFill="background1" w:themeFillShade="BF"/>
          </w:tcPr>
          <w:p w14:paraId="341141C8" w14:textId="77777777" w:rsidR="008228D3" w:rsidRPr="008228D3" w:rsidRDefault="008228D3" w:rsidP="008228D3">
            <w:pPr>
              <w:spacing w:after="0"/>
              <w:jc w:val="center"/>
              <w:rPr>
                <w:rFonts w:ascii="Calibri" w:eastAsia="Times New Roman" w:hAnsi="Calibri" w:cs="Calibri"/>
                <w:sz w:val="20"/>
                <w:szCs w:val="20"/>
              </w:rPr>
            </w:pPr>
            <w:r w:rsidRPr="008228D3">
              <w:rPr>
                <w:rFonts w:ascii="Calibri" w:eastAsia="MS Mincho" w:hAnsi="Calibri" w:cs="Times New Roman"/>
                <w:bCs/>
                <w:sz w:val="20"/>
                <w:szCs w:val="20"/>
              </w:rPr>
              <w:t>Int-1</w:t>
            </w:r>
          </w:p>
        </w:tc>
        <w:tc>
          <w:tcPr>
            <w:tcW w:w="850" w:type="dxa"/>
            <w:gridSpan w:val="2"/>
            <w:shd w:val="clear" w:color="auto" w:fill="BFBFBF" w:themeFill="background1" w:themeFillShade="BF"/>
            <w:noWrap/>
            <w:hideMark/>
          </w:tcPr>
          <w:p w14:paraId="1515544D" w14:textId="77777777" w:rsidR="008228D3" w:rsidRPr="008228D3" w:rsidRDefault="008228D3" w:rsidP="0024048D">
            <w:pPr>
              <w:spacing w:after="0"/>
              <w:jc w:val="center"/>
              <w:rPr>
                <w:rFonts w:ascii="Calibri" w:eastAsia="Times New Roman" w:hAnsi="Calibri" w:cs="Calibri"/>
                <w:sz w:val="20"/>
                <w:szCs w:val="20"/>
              </w:rPr>
            </w:pPr>
            <w:r w:rsidRPr="008228D3">
              <w:rPr>
                <w:rFonts w:ascii="Calibri" w:eastAsia="MS Mincho" w:hAnsi="Calibri" w:cs="Times New Roman"/>
                <w:bCs/>
                <w:sz w:val="20"/>
                <w:szCs w:val="20"/>
              </w:rPr>
              <w:t>Total</w:t>
            </w:r>
          </w:p>
        </w:tc>
        <w:tc>
          <w:tcPr>
            <w:tcW w:w="709" w:type="dxa"/>
            <w:shd w:val="clear" w:color="auto" w:fill="BFBFBF" w:themeFill="background1" w:themeFillShade="BF"/>
            <w:noWrap/>
            <w:vAlign w:val="center"/>
            <w:hideMark/>
          </w:tcPr>
          <w:p w14:paraId="6E4FBBC0" w14:textId="77777777" w:rsidR="008228D3" w:rsidRPr="008228D3" w:rsidRDefault="008228D3" w:rsidP="0024048D">
            <w:pPr>
              <w:spacing w:after="0"/>
              <w:jc w:val="center"/>
              <w:rPr>
                <w:rFonts w:ascii="Calibri" w:eastAsia="Times New Roman" w:hAnsi="Calibri" w:cs="Calibri"/>
                <w:sz w:val="20"/>
                <w:szCs w:val="20"/>
              </w:rPr>
            </w:pPr>
            <w:r w:rsidRPr="008228D3">
              <w:rPr>
                <w:rFonts w:ascii="Calibri" w:eastAsia="Times New Roman" w:hAnsi="Calibri" w:cs="Calibri"/>
                <w:sz w:val="20"/>
                <w:szCs w:val="20"/>
              </w:rPr>
              <w:t>Rank</w:t>
            </w:r>
          </w:p>
        </w:tc>
      </w:tr>
      <w:tr w:rsidR="008228D3" w:rsidRPr="00D9383A" w14:paraId="01FCBD6D" w14:textId="77777777" w:rsidTr="00382B11">
        <w:trPr>
          <w:gridAfter w:val="1"/>
          <w:wAfter w:w="11" w:type="dxa"/>
          <w:trHeight w:val="20"/>
        </w:trPr>
        <w:tc>
          <w:tcPr>
            <w:tcW w:w="4989" w:type="dxa"/>
            <w:shd w:val="clear" w:color="auto" w:fill="auto"/>
            <w:noWrap/>
            <w:vAlign w:val="bottom"/>
            <w:hideMark/>
          </w:tcPr>
          <w:p w14:paraId="2B2AE7A1" w14:textId="77777777" w:rsidR="008228D3" w:rsidRPr="008228D3" w:rsidRDefault="008228D3" w:rsidP="0024048D">
            <w:pPr>
              <w:spacing w:after="0"/>
              <w:rPr>
                <w:rFonts w:ascii="Calibri" w:eastAsia="Times New Roman" w:hAnsi="Calibri" w:cs="Calibri"/>
                <w:sz w:val="20"/>
                <w:szCs w:val="20"/>
              </w:rPr>
            </w:pPr>
            <w:r w:rsidRPr="008228D3">
              <w:rPr>
                <w:rFonts w:ascii="Calibri" w:hAnsi="Calibri" w:cs="Calibri"/>
                <w:sz w:val="20"/>
                <w:szCs w:val="20"/>
              </w:rPr>
              <w:t>ruxolitinib</w:t>
            </w:r>
          </w:p>
        </w:tc>
        <w:tc>
          <w:tcPr>
            <w:tcW w:w="964" w:type="dxa"/>
          </w:tcPr>
          <w:p w14:paraId="2804CB2E" w14:textId="77777777" w:rsidR="008228D3" w:rsidRPr="008228D3" w:rsidRDefault="008228D3" w:rsidP="0024048D">
            <w:pPr>
              <w:spacing w:after="0"/>
              <w:jc w:val="center"/>
              <w:rPr>
                <w:rFonts w:ascii="Calibri" w:hAnsi="Calibri" w:cs="Calibri"/>
                <w:sz w:val="20"/>
                <w:szCs w:val="20"/>
              </w:rPr>
            </w:pPr>
            <w:r w:rsidRPr="008228D3">
              <w:rPr>
                <w:rFonts w:ascii="Calibri" w:eastAsia="MS Mincho" w:hAnsi="Calibri" w:cs="Times New Roman"/>
                <w:sz w:val="20"/>
                <w:szCs w:val="20"/>
              </w:rPr>
              <w:t>431</w:t>
            </w:r>
          </w:p>
        </w:tc>
        <w:tc>
          <w:tcPr>
            <w:tcW w:w="866" w:type="dxa"/>
            <w:gridSpan w:val="2"/>
            <w:shd w:val="clear" w:color="auto" w:fill="auto"/>
            <w:noWrap/>
            <w:hideMark/>
          </w:tcPr>
          <w:p w14:paraId="5AF36652" w14:textId="77777777" w:rsidR="008228D3" w:rsidRPr="008228D3" w:rsidRDefault="008228D3" w:rsidP="0024048D">
            <w:pPr>
              <w:spacing w:after="0"/>
              <w:jc w:val="center"/>
              <w:rPr>
                <w:rFonts w:ascii="Calibri" w:eastAsia="Times New Roman" w:hAnsi="Calibri" w:cs="Calibri"/>
                <w:sz w:val="20"/>
                <w:szCs w:val="20"/>
              </w:rPr>
            </w:pPr>
            <w:r w:rsidRPr="008228D3">
              <w:rPr>
                <w:rFonts w:ascii="Calibri" w:eastAsia="MS Mincho" w:hAnsi="Calibri" w:cs="Times New Roman"/>
                <w:sz w:val="20"/>
                <w:szCs w:val="20"/>
              </w:rPr>
              <w:t>194</w:t>
            </w:r>
          </w:p>
        </w:tc>
        <w:tc>
          <w:tcPr>
            <w:tcW w:w="851" w:type="dxa"/>
            <w:gridSpan w:val="2"/>
          </w:tcPr>
          <w:p w14:paraId="46A943FC" w14:textId="77777777" w:rsidR="008228D3" w:rsidRPr="008228D3" w:rsidRDefault="008228D3" w:rsidP="0024048D">
            <w:pPr>
              <w:spacing w:after="0"/>
              <w:jc w:val="center"/>
              <w:rPr>
                <w:rFonts w:ascii="Calibri" w:hAnsi="Calibri" w:cs="Calibri"/>
                <w:sz w:val="20"/>
                <w:szCs w:val="20"/>
              </w:rPr>
            </w:pPr>
            <w:r w:rsidRPr="008228D3">
              <w:rPr>
                <w:rFonts w:ascii="Calibri" w:eastAsia="MS Mincho" w:hAnsi="Calibri" w:cs="Times New Roman"/>
                <w:sz w:val="20"/>
                <w:szCs w:val="20"/>
              </w:rPr>
              <w:t>133</w:t>
            </w:r>
          </w:p>
        </w:tc>
        <w:tc>
          <w:tcPr>
            <w:tcW w:w="850" w:type="dxa"/>
            <w:gridSpan w:val="2"/>
            <w:shd w:val="clear" w:color="auto" w:fill="auto"/>
            <w:noWrap/>
            <w:hideMark/>
          </w:tcPr>
          <w:p w14:paraId="66A1FF79" w14:textId="77777777" w:rsidR="008228D3" w:rsidRPr="008228D3" w:rsidRDefault="008228D3" w:rsidP="0024048D">
            <w:pPr>
              <w:spacing w:after="0"/>
              <w:jc w:val="center"/>
              <w:rPr>
                <w:rFonts w:ascii="Calibri" w:eastAsia="Times New Roman" w:hAnsi="Calibri" w:cs="Calibri"/>
                <w:sz w:val="20"/>
                <w:szCs w:val="20"/>
              </w:rPr>
            </w:pPr>
            <w:r w:rsidRPr="008228D3">
              <w:rPr>
                <w:rFonts w:ascii="Calibri" w:eastAsia="MS Mincho" w:hAnsi="Calibri" w:cs="Times New Roman"/>
                <w:sz w:val="20"/>
                <w:szCs w:val="20"/>
              </w:rPr>
              <w:t>758</w:t>
            </w:r>
          </w:p>
        </w:tc>
        <w:tc>
          <w:tcPr>
            <w:tcW w:w="709" w:type="dxa"/>
            <w:shd w:val="clear" w:color="auto" w:fill="auto"/>
            <w:noWrap/>
            <w:vAlign w:val="center"/>
            <w:hideMark/>
          </w:tcPr>
          <w:p w14:paraId="6FD2B87E" w14:textId="77777777" w:rsidR="008228D3" w:rsidRPr="008228D3" w:rsidRDefault="008228D3" w:rsidP="0024048D">
            <w:pPr>
              <w:spacing w:after="0"/>
              <w:jc w:val="center"/>
              <w:rPr>
                <w:rFonts w:ascii="Calibri" w:eastAsia="Times New Roman" w:hAnsi="Calibri" w:cs="Calibri"/>
                <w:sz w:val="20"/>
                <w:szCs w:val="20"/>
              </w:rPr>
            </w:pPr>
            <w:r w:rsidRPr="008228D3">
              <w:rPr>
                <w:rFonts w:ascii="Calibri" w:eastAsia="Times New Roman" w:hAnsi="Calibri" w:cs="Calibri"/>
                <w:sz w:val="20"/>
                <w:szCs w:val="20"/>
              </w:rPr>
              <w:t>1</w:t>
            </w:r>
          </w:p>
        </w:tc>
      </w:tr>
      <w:tr w:rsidR="008228D3" w:rsidRPr="00D9383A" w14:paraId="79704E4A" w14:textId="77777777" w:rsidTr="00382B11">
        <w:trPr>
          <w:gridAfter w:val="1"/>
          <w:wAfter w:w="11" w:type="dxa"/>
          <w:trHeight w:val="20"/>
        </w:trPr>
        <w:tc>
          <w:tcPr>
            <w:tcW w:w="4989" w:type="dxa"/>
            <w:shd w:val="clear" w:color="auto" w:fill="auto"/>
            <w:noWrap/>
            <w:vAlign w:val="bottom"/>
            <w:hideMark/>
          </w:tcPr>
          <w:p w14:paraId="57FBB79E" w14:textId="77777777" w:rsidR="008228D3" w:rsidRPr="008228D3" w:rsidRDefault="008228D3" w:rsidP="00587173">
            <w:pPr>
              <w:spacing w:after="0"/>
              <w:rPr>
                <w:rFonts w:ascii="Calibri" w:eastAsia="Times New Roman" w:hAnsi="Calibri" w:cs="Calibri"/>
                <w:sz w:val="20"/>
                <w:szCs w:val="20"/>
              </w:rPr>
            </w:pPr>
            <w:r w:rsidRPr="008228D3">
              <w:rPr>
                <w:rFonts w:ascii="Calibri" w:hAnsi="Calibri" w:cs="Calibri"/>
                <w:sz w:val="20"/>
                <w:szCs w:val="20"/>
              </w:rPr>
              <w:t>hydroxyurea -&gt; ruxolitinib</w:t>
            </w:r>
          </w:p>
        </w:tc>
        <w:tc>
          <w:tcPr>
            <w:tcW w:w="964" w:type="dxa"/>
          </w:tcPr>
          <w:p w14:paraId="6EC00B01" w14:textId="77777777" w:rsidR="008228D3" w:rsidRPr="008228D3" w:rsidRDefault="008228D3" w:rsidP="0024048D">
            <w:pPr>
              <w:spacing w:after="0"/>
              <w:jc w:val="center"/>
              <w:rPr>
                <w:rFonts w:ascii="Calibri" w:hAnsi="Calibri" w:cs="Calibri"/>
                <w:sz w:val="20"/>
                <w:szCs w:val="20"/>
              </w:rPr>
            </w:pPr>
            <w:r w:rsidRPr="008228D3">
              <w:rPr>
                <w:rFonts w:ascii="Calibri" w:eastAsia="MS Mincho" w:hAnsi="Calibri" w:cs="Times New Roman"/>
                <w:sz w:val="20"/>
                <w:szCs w:val="20"/>
              </w:rPr>
              <w:t>318</w:t>
            </w:r>
          </w:p>
        </w:tc>
        <w:tc>
          <w:tcPr>
            <w:tcW w:w="866" w:type="dxa"/>
            <w:gridSpan w:val="2"/>
            <w:shd w:val="clear" w:color="auto" w:fill="auto"/>
            <w:noWrap/>
            <w:hideMark/>
          </w:tcPr>
          <w:p w14:paraId="587317B4" w14:textId="77777777" w:rsidR="008228D3" w:rsidRPr="008228D3" w:rsidRDefault="008228D3" w:rsidP="0024048D">
            <w:pPr>
              <w:spacing w:after="0"/>
              <w:jc w:val="center"/>
              <w:rPr>
                <w:rFonts w:ascii="Calibri" w:eastAsia="Times New Roman" w:hAnsi="Calibri" w:cs="Calibri"/>
                <w:sz w:val="20"/>
                <w:szCs w:val="20"/>
              </w:rPr>
            </w:pPr>
            <w:r w:rsidRPr="008228D3">
              <w:rPr>
                <w:rFonts w:ascii="Calibri" w:eastAsia="MS Mincho" w:hAnsi="Calibri" w:cs="Times New Roman"/>
                <w:sz w:val="20"/>
                <w:szCs w:val="20"/>
              </w:rPr>
              <w:t>115</w:t>
            </w:r>
          </w:p>
        </w:tc>
        <w:tc>
          <w:tcPr>
            <w:tcW w:w="851" w:type="dxa"/>
            <w:gridSpan w:val="2"/>
          </w:tcPr>
          <w:p w14:paraId="5261356C" w14:textId="77777777" w:rsidR="008228D3" w:rsidRPr="008228D3" w:rsidRDefault="008228D3" w:rsidP="0024048D">
            <w:pPr>
              <w:spacing w:after="0"/>
              <w:jc w:val="center"/>
              <w:rPr>
                <w:rFonts w:ascii="Calibri" w:hAnsi="Calibri" w:cs="Calibri"/>
                <w:sz w:val="20"/>
                <w:szCs w:val="20"/>
              </w:rPr>
            </w:pPr>
            <w:r w:rsidRPr="008228D3">
              <w:rPr>
                <w:rFonts w:ascii="Calibri" w:eastAsia="MS Mincho" w:hAnsi="Calibri" w:cs="Times New Roman"/>
                <w:sz w:val="20"/>
                <w:szCs w:val="20"/>
              </w:rPr>
              <w:t>148</w:t>
            </w:r>
          </w:p>
        </w:tc>
        <w:tc>
          <w:tcPr>
            <w:tcW w:w="850" w:type="dxa"/>
            <w:gridSpan w:val="2"/>
            <w:shd w:val="clear" w:color="auto" w:fill="auto"/>
            <w:noWrap/>
            <w:hideMark/>
          </w:tcPr>
          <w:p w14:paraId="764B52B0" w14:textId="77777777" w:rsidR="008228D3" w:rsidRPr="008228D3" w:rsidRDefault="008228D3" w:rsidP="0024048D">
            <w:pPr>
              <w:spacing w:after="0"/>
              <w:jc w:val="center"/>
              <w:rPr>
                <w:rFonts w:ascii="Calibri" w:eastAsia="Times New Roman" w:hAnsi="Calibri" w:cs="Calibri"/>
                <w:sz w:val="20"/>
                <w:szCs w:val="20"/>
              </w:rPr>
            </w:pPr>
            <w:r w:rsidRPr="008228D3">
              <w:rPr>
                <w:rFonts w:ascii="Calibri" w:eastAsia="MS Mincho" w:hAnsi="Calibri" w:cs="Times New Roman"/>
                <w:sz w:val="20"/>
                <w:szCs w:val="20"/>
              </w:rPr>
              <w:t>581</w:t>
            </w:r>
          </w:p>
        </w:tc>
        <w:tc>
          <w:tcPr>
            <w:tcW w:w="709" w:type="dxa"/>
            <w:shd w:val="clear" w:color="auto" w:fill="auto"/>
            <w:noWrap/>
            <w:vAlign w:val="center"/>
            <w:hideMark/>
          </w:tcPr>
          <w:p w14:paraId="42B01DB4" w14:textId="77777777" w:rsidR="008228D3" w:rsidRPr="008228D3" w:rsidRDefault="008228D3" w:rsidP="0024048D">
            <w:pPr>
              <w:spacing w:after="0"/>
              <w:jc w:val="center"/>
              <w:rPr>
                <w:rFonts w:ascii="Calibri" w:eastAsia="Times New Roman" w:hAnsi="Calibri" w:cs="Calibri"/>
                <w:sz w:val="20"/>
                <w:szCs w:val="20"/>
              </w:rPr>
            </w:pPr>
            <w:r w:rsidRPr="008228D3">
              <w:rPr>
                <w:rFonts w:ascii="Calibri" w:eastAsia="Times New Roman" w:hAnsi="Calibri" w:cs="Calibri"/>
                <w:sz w:val="20"/>
                <w:szCs w:val="20"/>
              </w:rPr>
              <w:t>2</w:t>
            </w:r>
          </w:p>
        </w:tc>
      </w:tr>
      <w:tr w:rsidR="001C2DE4" w:rsidRPr="00D9383A" w14:paraId="0A52EFF5" w14:textId="77777777" w:rsidTr="00382B11">
        <w:trPr>
          <w:gridAfter w:val="1"/>
          <w:wAfter w:w="11" w:type="dxa"/>
          <w:trHeight w:val="20"/>
        </w:trPr>
        <w:tc>
          <w:tcPr>
            <w:tcW w:w="4989" w:type="dxa"/>
            <w:shd w:val="clear" w:color="auto" w:fill="auto"/>
            <w:noWrap/>
            <w:vAlign w:val="bottom"/>
            <w:hideMark/>
          </w:tcPr>
          <w:p w14:paraId="64786D28" w14:textId="77777777" w:rsidR="001C2DE4" w:rsidRPr="008228D3" w:rsidRDefault="001C2DE4" w:rsidP="00587173">
            <w:pPr>
              <w:spacing w:after="0"/>
              <w:rPr>
                <w:rFonts w:ascii="Calibri" w:eastAsia="Times New Roman" w:hAnsi="Calibri" w:cs="Calibri"/>
                <w:sz w:val="20"/>
                <w:szCs w:val="20"/>
              </w:rPr>
            </w:pPr>
            <w:r w:rsidRPr="008228D3">
              <w:rPr>
                <w:rFonts w:ascii="Calibri" w:hAnsi="Calibri" w:cs="Calibri"/>
                <w:sz w:val="20"/>
                <w:szCs w:val="20"/>
              </w:rPr>
              <w:t>hydroxyurea -&gt; busulfan -&gt; ruxolitinib</w:t>
            </w:r>
          </w:p>
        </w:tc>
        <w:tc>
          <w:tcPr>
            <w:tcW w:w="964" w:type="dxa"/>
          </w:tcPr>
          <w:p w14:paraId="7B009688" w14:textId="77777777" w:rsidR="001C2DE4" w:rsidRPr="008228D3" w:rsidRDefault="001C2DE4" w:rsidP="001C2DE4">
            <w:pPr>
              <w:spacing w:after="0"/>
              <w:jc w:val="center"/>
              <w:rPr>
                <w:rFonts w:ascii="Calibri" w:hAnsi="Calibri" w:cs="Calibri"/>
                <w:sz w:val="20"/>
                <w:szCs w:val="20"/>
              </w:rPr>
            </w:pPr>
            <w:r w:rsidRPr="00B80CC5">
              <w:rPr>
                <w:rFonts w:ascii="Calibri" w:eastAsia="MS Mincho" w:hAnsi="Calibri" w:cs="Times New Roman"/>
                <w:sz w:val="20"/>
                <w:szCs w:val="20"/>
              </w:rPr>
              <w:t>&lt;=5</w:t>
            </w:r>
          </w:p>
        </w:tc>
        <w:tc>
          <w:tcPr>
            <w:tcW w:w="866" w:type="dxa"/>
            <w:gridSpan w:val="2"/>
            <w:shd w:val="clear" w:color="auto" w:fill="auto"/>
            <w:noWrap/>
            <w:hideMark/>
          </w:tcPr>
          <w:p w14:paraId="609BDB09" w14:textId="77777777" w:rsidR="001C2DE4" w:rsidRPr="008228D3" w:rsidRDefault="001C2DE4" w:rsidP="0024048D">
            <w:pPr>
              <w:spacing w:after="0"/>
              <w:jc w:val="center"/>
              <w:rPr>
                <w:rFonts w:ascii="Calibri" w:eastAsia="Times New Roman" w:hAnsi="Calibri" w:cs="Calibri"/>
                <w:sz w:val="20"/>
                <w:szCs w:val="20"/>
              </w:rPr>
            </w:pPr>
            <w:r w:rsidRPr="00B80CC5">
              <w:rPr>
                <w:rFonts w:ascii="Calibri" w:eastAsia="MS Mincho" w:hAnsi="Calibri" w:cs="Times New Roman"/>
                <w:sz w:val="20"/>
                <w:szCs w:val="20"/>
              </w:rPr>
              <w:t>&lt;=5</w:t>
            </w:r>
          </w:p>
        </w:tc>
        <w:tc>
          <w:tcPr>
            <w:tcW w:w="851" w:type="dxa"/>
            <w:gridSpan w:val="2"/>
          </w:tcPr>
          <w:p w14:paraId="562EDD62" w14:textId="77777777" w:rsidR="001C2DE4" w:rsidRPr="008228D3" w:rsidRDefault="001C2DE4" w:rsidP="0024048D">
            <w:pPr>
              <w:spacing w:after="0"/>
              <w:jc w:val="center"/>
              <w:rPr>
                <w:rFonts w:ascii="Calibri" w:hAnsi="Calibri" w:cs="Calibri"/>
                <w:sz w:val="20"/>
                <w:szCs w:val="20"/>
              </w:rPr>
            </w:pPr>
            <w:r w:rsidRPr="00B80CC5">
              <w:rPr>
                <w:rFonts w:ascii="Calibri" w:eastAsia="MS Mincho" w:hAnsi="Calibri" w:cs="Times New Roman"/>
                <w:sz w:val="20"/>
                <w:szCs w:val="20"/>
              </w:rPr>
              <w:t>&lt;=5</w:t>
            </w:r>
          </w:p>
        </w:tc>
        <w:tc>
          <w:tcPr>
            <w:tcW w:w="850" w:type="dxa"/>
            <w:gridSpan w:val="2"/>
            <w:shd w:val="clear" w:color="auto" w:fill="auto"/>
            <w:noWrap/>
            <w:hideMark/>
          </w:tcPr>
          <w:p w14:paraId="5EEFCEC4" w14:textId="77777777" w:rsidR="001C2DE4" w:rsidRPr="008228D3" w:rsidRDefault="001C2DE4" w:rsidP="0024048D">
            <w:pPr>
              <w:spacing w:after="0"/>
              <w:jc w:val="center"/>
              <w:rPr>
                <w:rFonts w:ascii="Calibri" w:eastAsia="Times New Roman" w:hAnsi="Calibri" w:cs="Calibri"/>
                <w:sz w:val="20"/>
                <w:szCs w:val="20"/>
              </w:rPr>
            </w:pPr>
            <w:r w:rsidRPr="008228D3">
              <w:rPr>
                <w:rFonts w:ascii="Calibri" w:eastAsia="MS Mincho" w:hAnsi="Calibri" w:cs="Times New Roman"/>
                <w:sz w:val="20"/>
                <w:szCs w:val="20"/>
              </w:rPr>
              <w:t>10</w:t>
            </w:r>
          </w:p>
        </w:tc>
        <w:tc>
          <w:tcPr>
            <w:tcW w:w="709" w:type="dxa"/>
            <w:shd w:val="clear" w:color="auto" w:fill="auto"/>
            <w:noWrap/>
            <w:vAlign w:val="center"/>
            <w:hideMark/>
          </w:tcPr>
          <w:p w14:paraId="30DC3110" w14:textId="77777777" w:rsidR="001C2DE4" w:rsidRPr="008228D3" w:rsidRDefault="001C2DE4" w:rsidP="0024048D">
            <w:pPr>
              <w:spacing w:after="0"/>
              <w:jc w:val="center"/>
              <w:rPr>
                <w:rFonts w:ascii="Calibri" w:eastAsia="Times New Roman" w:hAnsi="Calibri" w:cs="Calibri"/>
                <w:sz w:val="20"/>
                <w:szCs w:val="20"/>
              </w:rPr>
            </w:pPr>
            <w:r w:rsidRPr="008228D3">
              <w:rPr>
                <w:rFonts w:ascii="Calibri" w:eastAsia="Times New Roman" w:hAnsi="Calibri" w:cs="Calibri"/>
                <w:sz w:val="20"/>
                <w:szCs w:val="20"/>
              </w:rPr>
              <w:t>3</w:t>
            </w:r>
          </w:p>
        </w:tc>
      </w:tr>
      <w:tr w:rsidR="001C2DE4" w:rsidRPr="00D9383A" w14:paraId="1D005AC3" w14:textId="77777777" w:rsidTr="00382B11">
        <w:trPr>
          <w:gridAfter w:val="1"/>
          <w:wAfter w:w="11" w:type="dxa"/>
          <w:trHeight w:val="20"/>
        </w:trPr>
        <w:tc>
          <w:tcPr>
            <w:tcW w:w="4989" w:type="dxa"/>
            <w:shd w:val="clear" w:color="auto" w:fill="auto"/>
            <w:noWrap/>
            <w:vAlign w:val="bottom"/>
            <w:hideMark/>
          </w:tcPr>
          <w:p w14:paraId="2ACC45E0" w14:textId="77777777" w:rsidR="001C2DE4" w:rsidRPr="008228D3" w:rsidRDefault="001C2DE4" w:rsidP="0024048D">
            <w:pPr>
              <w:spacing w:after="0"/>
              <w:rPr>
                <w:rFonts w:ascii="Calibri" w:eastAsia="Times New Roman" w:hAnsi="Calibri" w:cs="Calibri"/>
                <w:sz w:val="20"/>
                <w:szCs w:val="20"/>
              </w:rPr>
            </w:pPr>
            <w:r w:rsidRPr="008228D3">
              <w:rPr>
                <w:rFonts w:ascii="Calibri" w:hAnsi="Calibri" w:cs="Calibri"/>
                <w:sz w:val="20"/>
                <w:szCs w:val="20"/>
              </w:rPr>
              <w:t>busulfan -&gt; ruxolitinib</w:t>
            </w:r>
          </w:p>
        </w:tc>
        <w:tc>
          <w:tcPr>
            <w:tcW w:w="964" w:type="dxa"/>
          </w:tcPr>
          <w:p w14:paraId="79A15ADE" w14:textId="77777777" w:rsidR="001C2DE4" w:rsidRPr="008228D3" w:rsidRDefault="001C2DE4" w:rsidP="0024048D">
            <w:pPr>
              <w:spacing w:after="0"/>
              <w:jc w:val="center"/>
              <w:rPr>
                <w:rFonts w:ascii="Calibri" w:hAnsi="Calibri" w:cs="Calibri"/>
                <w:sz w:val="20"/>
                <w:szCs w:val="20"/>
              </w:rPr>
            </w:pPr>
            <w:r w:rsidRPr="00B80CC5">
              <w:rPr>
                <w:rFonts w:ascii="Calibri" w:eastAsia="MS Mincho" w:hAnsi="Calibri" w:cs="Times New Roman"/>
                <w:sz w:val="20"/>
                <w:szCs w:val="20"/>
              </w:rPr>
              <w:t>&lt;=5</w:t>
            </w:r>
          </w:p>
        </w:tc>
        <w:tc>
          <w:tcPr>
            <w:tcW w:w="866" w:type="dxa"/>
            <w:gridSpan w:val="2"/>
            <w:shd w:val="clear" w:color="auto" w:fill="auto"/>
            <w:noWrap/>
            <w:hideMark/>
          </w:tcPr>
          <w:p w14:paraId="3E27F534" w14:textId="77777777" w:rsidR="001C2DE4" w:rsidRPr="008228D3" w:rsidRDefault="001C2DE4" w:rsidP="0024048D">
            <w:pPr>
              <w:spacing w:after="0"/>
              <w:jc w:val="center"/>
              <w:rPr>
                <w:rFonts w:ascii="Calibri" w:eastAsia="Times New Roman" w:hAnsi="Calibri" w:cs="Calibri"/>
                <w:sz w:val="20"/>
                <w:szCs w:val="20"/>
              </w:rPr>
            </w:pPr>
            <w:r w:rsidRPr="00B80CC5">
              <w:rPr>
                <w:rFonts w:ascii="Calibri" w:eastAsia="MS Mincho" w:hAnsi="Calibri" w:cs="Times New Roman"/>
                <w:sz w:val="20"/>
                <w:szCs w:val="20"/>
              </w:rPr>
              <w:t>&lt;=5</w:t>
            </w:r>
          </w:p>
        </w:tc>
        <w:tc>
          <w:tcPr>
            <w:tcW w:w="851" w:type="dxa"/>
            <w:gridSpan w:val="2"/>
          </w:tcPr>
          <w:p w14:paraId="1DF69DCA" w14:textId="77777777" w:rsidR="001C2DE4" w:rsidRPr="008228D3" w:rsidRDefault="001C2DE4" w:rsidP="0024048D">
            <w:pPr>
              <w:spacing w:after="0"/>
              <w:jc w:val="center"/>
              <w:rPr>
                <w:rFonts w:ascii="Calibri" w:hAnsi="Calibri" w:cs="Calibri"/>
                <w:sz w:val="20"/>
                <w:szCs w:val="20"/>
              </w:rPr>
            </w:pPr>
            <w:r w:rsidRPr="00B80CC5">
              <w:rPr>
                <w:rFonts w:ascii="Calibri" w:eastAsia="MS Mincho" w:hAnsi="Calibri" w:cs="Times New Roman"/>
                <w:sz w:val="20"/>
                <w:szCs w:val="20"/>
              </w:rPr>
              <w:t>&lt;=5</w:t>
            </w:r>
          </w:p>
        </w:tc>
        <w:tc>
          <w:tcPr>
            <w:tcW w:w="850" w:type="dxa"/>
            <w:gridSpan w:val="2"/>
            <w:shd w:val="clear" w:color="auto" w:fill="auto"/>
            <w:noWrap/>
            <w:hideMark/>
          </w:tcPr>
          <w:p w14:paraId="19101651" w14:textId="77777777" w:rsidR="001C2DE4" w:rsidRPr="008228D3" w:rsidRDefault="001C2DE4" w:rsidP="0024048D">
            <w:pPr>
              <w:spacing w:after="0"/>
              <w:jc w:val="center"/>
              <w:rPr>
                <w:rFonts w:ascii="Calibri" w:eastAsia="Times New Roman" w:hAnsi="Calibri" w:cs="Calibri"/>
                <w:sz w:val="20"/>
                <w:szCs w:val="20"/>
              </w:rPr>
            </w:pPr>
            <w:r w:rsidRPr="008228D3">
              <w:rPr>
                <w:rFonts w:ascii="Calibri" w:eastAsia="MS Mincho" w:hAnsi="Calibri" w:cs="Times New Roman"/>
                <w:sz w:val="20"/>
                <w:szCs w:val="20"/>
              </w:rPr>
              <w:t>9</w:t>
            </w:r>
          </w:p>
        </w:tc>
        <w:tc>
          <w:tcPr>
            <w:tcW w:w="709" w:type="dxa"/>
            <w:shd w:val="clear" w:color="auto" w:fill="auto"/>
            <w:noWrap/>
            <w:vAlign w:val="center"/>
            <w:hideMark/>
          </w:tcPr>
          <w:p w14:paraId="1934E34A" w14:textId="77777777" w:rsidR="001C2DE4" w:rsidRPr="008228D3" w:rsidRDefault="001C2DE4" w:rsidP="0024048D">
            <w:pPr>
              <w:spacing w:after="0"/>
              <w:jc w:val="center"/>
              <w:rPr>
                <w:rFonts w:ascii="Calibri" w:eastAsia="Times New Roman" w:hAnsi="Calibri" w:cs="Calibri"/>
                <w:sz w:val="20"/>
                <w:szCs w:val="20"/>
              </w:rPr>
            </w:pPr>
            <w:r w:rsidRPr="008228D3">
              <w:rPr>
                <w:rFonts w:ascii="Calibri" w:eastAsia="Times New Roman" w:hAnsi="Calibri" w:cs="Calibri"/>
                <w:sz w:val="20"/>
                <w:szCs w:val="20"/>
              </w:rPr>
              <w:t>4</w:t>
            </w:r>
          </w:p>
        </w:tc>
      </w:tr>
      <w:tr w:rsidR="001C2DE4" w:rsidRPr="00D9383A" w14:paraId="1EE2EAE3" w14:textId="77777777" w:rsidTr="00382B11">
        <w:trPr>
          <w:gridAfter w:val="1"/>
          <w:wAfter w:w="11" w:type="dxa"/>
          <w:trHeight w:val="20"/>
        </w:trPr>
        <w:tc>
          <w:tcPr>
            <w:tcW w:w="4989" w:type="dxa"/>
            <w:shd w:val="clear" w:color="auto" w:fill="auto"/>
            <w:noWrap/>
            <w:vAlign w:val="bottom"/>
            <w:hideMark/>
          </w:tcPr>
          <w:p w14:paraId="31A6AC41" w14:textId="77777777" w:rsidR="001C2DE4" w:rsidRPr="008228D3" w:rsidRDefault="001C2DE4" w:rsidP="00587173">
            <w:pPr>
              <w:spacing w:after="0"/>
              <w:rPr>
                <w:rFonts w:ascii="Calibri" w:eastAsia="Times New Roman" w:hAnsi="Calibri" w:cs="Calibri"/>
                <w:sz w:val="20"/>
                <w:szCs w:val="20"/>
              </w:rPr>
            </w:pPr>
            <w:r w:rsidRPr="008228D3">
              <w:rPr>
                <w:rFonts w:ascii="Calibri" w:hAnsi="Calibri" w:cs="Calibri"/>
                <w:sz w:val="20"/>
                <w:szCs w:val="20"/>
              </w:rPr>
              <w:t>hydroxyurea -&gt; ruxolitinib(sd)</w:t>
            </w:r>
          </w:p>
        </w:tc>
        <w:tc>
          <w:tcPr>
            <w:tcW w:w="964" w:type="dxa"/>
          </w:tcPr>
          <w:p w14:paraId="622B030B" w14:textId="77777777" w:rsidR="001C2DE4" w:rsidRPr="008228D3" w:rsidRDefault="001C2DE4" w:rsidP="0024048D">
            <w:pPr>
              <w:spacing w:after="0"/>
              <w:jc w:val="center"/>
              <w:rPr>
                <w:rFonts w:ascii="Calibri" w:hAnsi="Calibri" w:cs="Calibri"/>
                <w:sz w:val="20"/>
                <w:szCs w:val="20"/>
              </w:rPr>
            </w:pPr>
            <w:r w:rsidRPr="00B80CC5">
              <w:rPr>
                <w:rFonts w:ascii="Calibri" w:eastAsia="MS Mincho" w:hAnsi="Calibri" w:cs="Times New Roman"/>
                <w:sz w:val="20"/>
                <w:szCs w:val="20"/>
              </w:rPr>
              <w:t>&lt;=5</w:t>
            </w:r>
          </w:p>
        </w:tc>
        <w:tc>
          <w:tcPr>
            <w:tcW w:w="866" w:type="dxa"/>
            <w:gridSpan w:val="2"/>
            <w:shd w:val="clear" w:color="auto" w:fill="auto"/>
            <w:noWrap/>
            <w:hideMark/>
          </w:tcPr>
          <w:p w14:paraId="27209723" w14:textId="77777777" w:rsidR="001C2DE4" w:rsidRPr="008228D3" w:rsidRDefault="001C2DE4" w:rsidP="0024048D">
            <w:pPr>
              <w:spacing w:after="0"/>
              <w:jc w:val="center"/>
              <w:rPr>
                <w:rFonts w:ascii="Calibri" w:eastAsia="Times New Roman" w:hAnsi="Calibri" w:cs="Calibri"/>
                <w:sz w:val="20"/>
                <w:szCs w:val="20"/>
              </w:rPr>
            </w:pPr>
            <w:r w:rsidRPr="00B80CC5">
              <w:rPr>
                <w:rFonts w:ascii="Calibri" w:eastAsia="MS Mincho" w:hAnsi="Calibri" w:cs="Times New Roman"/>
                <w:sz w:val="20"/>
                <w:szCs w:val="20"/>
              </w:rPr>
              <w:t>&lt;=5</w:t>
            </w:r>
          </w:p>
        </w:tc>
        <w:tc>
          <w:tcPr>
            <w:tcW w:w="851" w:type="dxa"/>
            <w:gridSpan w:val="2"/>
          </w:tcPr>
          <w:p w14:paraId="2852E0E6" w14:textId="77777777" w:rsidR="001C2DE4" w:rsidRPr="008228D3" w:rsidRDefault="001C2DE4" w:rsidP="0024048D">
            <w:pPr>
              <w:spacing w:after="0"/>
              <w:jc w:val="center"/>
              <w:rPr>
                <w:rFonts w:ascii="Calibri" w:hAnsi="Calibri" w:cs="Calibri"/>
                <w:sz w:val="20"/>
                <w:szCs w:val="20"/>
              </w:rPr>
            </w:pPr>
            <w:r w:rsidRPr="00B80CC5">
              <w:rPr>
                <w:rFonts w:ascii="Calibri" w:eastAsia="MS Mincho" w:hAnsi="Calibri" w:cs="Times New Roman"/>
                <w:sz w:val="20"/>
                <w:szCs w:val="20"/>
              </w:rPr>
              <w:t>&lt;=5</w:t>
            </w:r>
          </w:p>
        </w:tc>
        <w:tc>
          <w:tcPr>
            <w:tcW w:w="850" w:type="dxa"/>
            <w:gridSpan w:val="2"/>
            <w:shd w:val="clear" w:color="auto" w:fill="auto"/>
            <w:noWrap/>
            <w:hideMark/>
          </w:tcPr>
          <w:p w14:paraId="0E8AA077" w14:textId="77777777" w:rsidR="001C2DE4" w:rsidRPr="008228D3" w:rsidRDefault="001C2DE4" w:rsidP="0024048D">
            <w:pPr>
              <w:spacing w:after="0"/>
              <w:jc w:val="center"/>
              <w:rPr>
                <w:rFonts w:ascii="Calibri" w:eastAsia="Times New Roman" w:hAnsi="Calibri" w:cs="Calibri"/>
                <w:sz w:val="20"/>
                <w:szCs w:val="20"/>
              </w:rPr>
            </w:pPr>
            <w:r w:rsidRPr="008228D3">
              <w:rPr>
                <w:rFonts w:ascii="Calibri" w:eastAsia="MS Mincho" w:hAnsi="Calibri" w:cs="Times New Roman"/>
                <w:sz w:val="20"/>
                <w:szCs w:val="20"/>
              </w:rPr>
              <w:t>7</w:t>
            </w:r>
          </w:p>
        </w:tc>
        <w:tc>
          <w:tcPr>
            <w:tcW w:w="709" w:type="dxa"/>
            <w:shd w:val="clear" w:color="auto" w:fill="auto"/>
            <w:noWrap/>
            <w:vAlign w:val="center"/>
            <w:hideMark/>
          </w:tcPr>
          <w:p w14:paraId="773A9E96" w14:textId="77777777" w:rsidR="001C2DE4" w:rsidRPr="008228D3" w:rsidRDefault="001C2DE4" w:rsidP="0024048D">
            <w:pPr>
              <w:spacing w:after="0"/>
              <w:jc w:val="center"/>
              <w:rPr>
                <w:rFonts w:ascii="Calibri" w:eastAsia="Times New Roman" w:hAnsi="Calibri" w:cs="Calibri"/>
                <w:sz w:val="20"/>
                <w:szCs w:val="20"/>
              </w:rPr>
            </w:pPr>
            <w:r w:rsidRPr="008228D3">
              <w:rPr>
                <w:rFonts w:ascii="Calibri" w:eastAsia="Times New Roman" w:hAnsi="Calibri" w:cs="Calibri"/>
                <w:sz w:val="20"/>
                <w:szCs w:val="20"/>
              </w:rPr>
              <w:t>5</w:t>
            </w:r>
          </w:p>
        </w:tc>
      </w:tr>
      <w:tr w:rsidR="001C2DE4" w:rsidRPr="00D9383A" w14:paraId="10D05608" w14:textId="77777777" w:rsidTr="00382B11">
        <w:trPr>
          <w:gridAfter w:val="1"/>
          <w:wAfter w:w="11" w:type="dxa"/>
          <w:trHeight w:val="20"/>
        </w:trPr>
        <w:tc>
          <w:tcPr>
            <w:tcW w:w="4989" w:type="dxa"/>
            <w:shd w:val="clear" w:color="auto" w:fill="auto"/>
            <w:noWrap/>
            <w:vAlign w:val="bottom"/>
            <w:hideMark/>
          </w:tcPr>
          <w:p w14:paraId="0259CCD4" w14:textId="77777777" w:rsidR="001C2DE4" w:rsidRPr="008228D3" w:rsidRDefault="001C2DE4" w:rsidP="0024048D">
            <w:pPr>
              <w:spacing w:after="0"/>
              <w:rPr>
                <w:rFonts w:ascii="Calibri" w:eastAsia="Times New Roman" w:hAnsi="Calibri" w:cs="Calibri"/>
                <w:sz w:val="20"/>
                <w:szCs w:val="20"/>
              </w:rPr>
            </w:pPr>
            <w:r w:rsidRPr="008228D3">
              <w:rPr>
                <w:rFonts w:ascii="Calibri" w:eastAsia="Times New Roman" w:hAnsi="Calibri" w:cs="Calibri"/>
                <w:sz w:val="20"/>
                <w:szCs w:val="20"/>
              </w:rPr>
              <w:t xml:space="preserve">Other </w:t>
            </w:r>
          </w:p>
        </w:tc>
        <w:tc>
          <w:tcPr>
            <w:tcW w:w="964" w:type="dxa"/>
          </w:tcPr>
          <w:p w14:paraId="4A1383A2" w14:textId="77777777" w:rsidR="001C2DE4" w:rsidRPr="008228D3" w:rsidRDefault="001C2DE4" w:rsidP="0024048D">
            <w:pPr>
              <w:spacing w:after="0"/>
              <w:jc w:val="center"/>
              <w:rPr>
                <w:rFonts w:ascii="Calibri" w:eastAsia="Times New Roman" w:hAnsi="Calibri" w:cs="Calibri"/>
                <w:sz w:val="20"/>
                <w:szCs w:val="20"/>
              </w:rPr>
            </w:pPr>
            <w:r w:rsidRPr="00B80CC5">
              <w:rPr>
                <w:rFonts w:ascii="Calibri" w:eastAsia="MS Mincho" w:hAnsi="Calibri" w:cs="Times New Roman"/>
                <w:sz w:val="20"/>
                <w:szCs w:val="20"/>
              </w:rPr>
              <w:t>&lt;=5</w:t>
            </w:r>
          </w:p>
        </w:tc>
        <w:tc>
          <w:tcPr>
            <w:tcW w:w="866" w:type="dxa"/>
            <w:gridSpan w:val="2"/>
            <w:shd w:val="clear" w:color="auto" w:fill="auto"/>
            <w:noWrap/>
            <w:hideMark/>
          </w:tcPr>
          <w:p w14:paraId="69ADB48B" w14:textId="77777777" w:rsidR="001C2DE4" w:rsidRPr="008228D3" w:rsidRDefault="001C2DE4" w:rsidP="0024048D">
            <w:pPr>
              <w:spacing w:after="0"/>
              <w:jc w:val="center"/>
              <w:rPr>
                <w:rFonts w:ascii="Calibri" w:eastAsia="Times New Roman" w:hAnsi="Calibri" w:cs="Calibri"/>
                <w:sz w:val="20"/>
                <w:szCs w:val="20"/>
              </w:rPr>
            </w:pPr>
            <w:r w:rsidRPr="00B80CC5">
              <w:rPr>
                <w:rFonts w:ascii="Calibri" w:eastAsia="MS Mincho" w:hAnsi="Calibri" w:cs="Times New Roman"/>
                <w:sz w:val="20"/>
                <w:szCs w:val="20"/>
              </w:rPr>
              <w:t>&lt;=5</w:t>
            </w:r>
          </w:p>
        </w:tc>
        <w:tc>
          <w:tcPr>
            <w:tcW w:w="851" w:type="dxa"/>
            <w:gridSpan w:val="2"/>
          </w:tcPr>
          <w:p w14:paraId="47F42F68" w14:textId="77777777" w:rsidR="001C2DE4" w:rsidRPr="008228D3" w:rsidRDefault="001C2DE4" w:rsidP="0024048D">
            <w:pPr>
              <w:spacing w:after="0"/>
              <w:jc w:val="center"/>
              <w:rPr>
                <w:rFonts w:ascii="Calibri" w:eastAsia="Times New Roman" w:hAnsi="Calibri" w:cs="Calibri"/>
                <w:sz w:val="20"/>
                <w:szCs w:val="20"/>
              </w:rPr>
            </w:pPr>
            <w:r w:rsidRPr="00B80CC5">
              <w:rPr>
                <w:rFonts w:ascii="Calibri" w:eastAsia="MS Mincho" w:hAnsi="Calibri" w:cs="Times New Roman"/>
                <w:sz w:val="20"/>
                <w:szCs w:val="20"/>
              </w:rPr>
              <w:t>&lt;=5</w:t>
            </w:r>
          </w:p>
        </w:tc>
        <w:tc>
          <w:tcPr>
            <w:tcW w:w="850" w:type="dxa"/>
            <w:gridSpan w:val="2"/>
            <w:shd w:val="clear" w:color="auto" w:fill="auto"/>
            <w:noWrap/>
            <w:hideMark/>
          </w:tcPr>
          <w:p w14:paraId="7DCB8CBB" w14:textId="77777777" w:rsidR="001C2DE4" w:rsidRPr="008228D3" w:rsidRDefault="001C2DE4" w:rsidP="0024048D">
            <w:pPr>
              <w:spacing w:after="0"/>
              <w:jc w:val="center"/>
              <w:rPr>
                <w:rFonts w:ascii="Calibri" w:eastAsia="Times New Roman" w:hAnsi="Calibri" w:cs="Calibri"/>
                <w:sz w:val="20"/>
                <w:szCs w:val="20"/>
              </w:rPr>
            </w:pPr>
            <w:r>
              <w:rPr>
                <w:rFonts w:ascii="Calibri" w:eastAsia="MS Mincho" w:hAnsi="Calibri" w:cs="Times New Roman"/>
                <w:sz w:val="20"/>
                <w:szCs w:val="20"/>
              </w:rPr>
              <w:t>&lt;=5</w:t>
            </w:r>
          </w:p>
        </w:tc>
        <w:tc>
          <w:tcPr>
            <w:tcW w:w="709" w:type="dxa"/>
            <w:shd w:val="clear" w:color="auto" w:fill="auto"/>
            <w:noWrap/>
            <w:vAlign w:val="center"/>
          </w:tcPr>
          <w:p w14:paraId="04E2EDFA" w14:textId="77777777" w:rsidR="001C2DE4" w:rsidRPr="008228D3" w:rsidRDefault="001C2DE4" w:rsidP="0024048D">
            <w:pPr>
              <w:spacing w:after="0"/>
              <w:jc w:val="center"/>
              <w:rPr>
                <w:rFonts w:ascii="Calibri" w:eastAsia="Times New Roman" w:hAnsi="Calibri" w:cs="Calibri"/>
                <w:sz w:val="20"/>
                <w:szCs w:val="20"/>
              </w:rPr>
            </w:pPr>
          </w:p>
        </w:tc>
      </w:tr>
      <w:tr w:rsidR="008228D3" w:rsidRPr="00D9383A" w14:paraId="1F19056B" w14:textId="77777777" w:rsidTr="00382B11">
        <w:trPr>
          <w:gridAfter w:val="1"/>
          <w:wAfter w:w="11" w:type="dxa"/>
          <w:trHeight w:val="20"/>
        </w:trPr>
        <w:tc>
          <w:tcPr>
            <w:tcW w:w="4989" w:type="dxa"/>
            <w:shd w:val="clear" w:color="auto" w:fill="auto"/>
            <w:noWrap/>
            <w:vAlign w:val="bottom"/>
            <w:hideMark/>
          </w:tcPr>
          <w:p w14:paraId="23812BF4" w14:textId="77777777" w:rsidR="008228D3" w:rsidRPr="008228D3" w:rsidRDefault="008228D3" w:rsidP="0024048D">
            <w:pPr>
              <w:spacing w:after="0"/>
              <w:rPr>
                <w:rFonts w:ascii="Calibri" w:eastAsia="Times New Roman" w:hAnsi="Calibri" w:cs="Calibri"/>
                <w:sz w:val="20"/>
                <w:szCs w:val="20"/>
              </w:rPr>
            </w:pPr>
            <w:r w:rsidRPr="008228D3">
              <w:rPr>
                <w:rFonts w:ascii="Calibri" w:eastAsia="Times New Roman" w:hAnsi="Calibri" w:cs="Calibri"/>
                <w:sz w:val="20"/>
                <w:szCs w:val="20"/>
              </w:rPr>
              <w:t>Total</w:t>
            </w:r>
          </w:p>
        </w:tc>
        <w:tc>
          <w:tcPr>
            <w:tcW w:w="964" w:type="dxa"/>
          </w:tcPr>
          <w:p w14:paraId="2D7FE837" w14:textId="77777777" w:rsidR="008228D3" w:rsidRPr="008228D3" w:rsidRDefault="008228D3" w:rsidP="0024048D">
            <w:pPr>
              <w:spacing w:after="0"/>
              <w:jc w:val="center"/>
              <w:rPr>
                <w:rFonts w:ascii="Calibri" w:eastAsia="Times New Roman" w:hAnsi="Calibri" w:cs="Calibri"/>
                <w:sz w:val="20"/>
                <w:szCs w:val="20"/>
              </w:rPr>
            </w:pPr>
            <w:r w:rsidRPr="008228D3">
              <w:rPr>
                <w:rFonts w:ascii="Calibri" w:eastAsia="MS Mincho" w:hAnsi="Calibri" w:cs="Times New Roman"/>
                <w:bCs/>
                <w:sz w:val="20"/>
                <w:szCs w:val="20"/>
              </w:rPr>
              <w:t>760</w:t>
            </w:r>
          </w:p>
        </w:tc>
        <w:tc>
          <w:tcPr>
            <w:tcW w:w="866" w:type="dxa"/>
            <w:gridSpan w:val="2"/>
            <w:shd w:val="clear" w:color="auto" w:fill="auto"/>
            <w:noWrap/>
            <w:hideMark/>
          </w:tcPr>
          <w:p w14:paraId="1EFC3EC7" w14:textId="77777777" w:rsidR="008228D3" w:rsidRPr="008228D3" w:rsidRDefault="008228D3" w:rsidP="0024048D">
            <w:pPr>
              <w:spacing w:after="0"/>
              <w:jc w:val="center"/>
              <w:rPr>
                <w:rFonts w:ascii="Calibri" w:eastAsia="Times New Roman" w:hAnsi="Calibri" w:cs="Calibri"/>
                <w:sz w:val="20"/>
                <w:szCs w:val="20"/>
              </w:rPr>
            </w:pPr>
            <w:r w:rsidRPr="008228D3">
              <w:rPr>
                <w:rFonts w:ascii="Calibri" w:eastAsia="MS Mincho" w:hAnsi="Calibri" w:cs="Times New Roman"/>
                <w:bCs/>
                <w:sz w:val="20"/>
                <w:szCs w:val="20"/>
              </w:rPr>
              <w:t>315</w:t>
            </w:r>
          </w:p>
        </w:tc>
        <w:tc>
          <w:tcPr>
            <w:tcW w:w="851" w:type="dxa"/>
            <w:gridSpan w:val="2"/>
          </w:tcPr>
          <w:p w14:paraId="4E0125FE" w14:textId="77777777" w:rsidR="008228D3" w:rsidRPr="008228D3" w:rsidRDefault="008228D3" w:rsidP="0024048D">
            <w:pPr>
              <w:spacing w:after="0"/>
              <w:jc w:val="center"/>
              <w:rPr>
                <w:rFonts w:ascii="Calibri" w:eastAsia="Times New Roman" w:hAnsi="Calibri" w:cs="Calibri"/>
                <w:sz w:val="20"/>
                <w:szCs w:val="20"/>
              </w:rPr>
            </w:pPr>
            <w:r w:rsidRPr="008228D3">
              <w:rPr>
                <w:rFonts w:ascii="Calibri" w:eastAsia="MS Mincho" w:hAnsi="Calibri" w:cs="Times New Roman"/>
                <w:bCs/>
                <w:sz w:val="20"/>
                <w:szCs w:val="20"/>
              </w:rPr>
              <w:t>292</w:t>
            </w:r>
          </w:p>
        </w:tc>
        <w:tc>
          <w:tcPr>
            <w:tcW w:w="850" w:type="dxa"/>
            <w:gridSpan w:val="2"/>
            <w:shd w:val="clear" w:color="auto" w:fill="auto"/>
            <w:noWrap/>
            <w:hideMark/>
          </w:tcPr>
          <w:p w14:paraId="1D1B68FA" w14:textId="77777777" w:rsidR="008228D3" w:rsidRPr="008228D3" w:rsidRDefault="008228D3" w:rsidP="0024048D">
            <w:pPr>
              <w:spacing w:after="0"/>
              <w:jc w:val="center"/>
              <w:rPr>
                <w:rFonts w:ascii="Calibri" w:eastAsia="Times New Roman" w:hAnsi="Calibri" w:cs="Calibri"/>
                <w:sz w:val="20"/>
                <w:szCs w:val="20"/>
              </w:rPr>
            </w:pPr>
            <w:r w:rsidRPr="008228D3">
              <w:rPr>
                <w:rFonts w:ascii="Calibri" w:eastAsia="MS Mincho" w:hAnsi="Calibri" w:cs="Times New Roman"/>
                <w:bCs/>
                <w:sz w:val="20"/>
                <w:szCs w:val="20"/>
              </w:rPr>
              <w:t>1,367</w:t>
            </w:r>
          </w:p>
        </w:tc>
        <w:tc>
          <w:tcPr>
            <w:tcW w:w="709" w:type="dxa"/>
            <w:shd w:val="clear" w:color="auto" w:fill="auto"/>
            <w:noWrap/>
            <w:vAlign w:val="center"/>
          </w:tcPr>
          <w:p w14:paraId="3F970148" w14:textId="77777777" w:rsidR="008228D3" w:rsidRPr="008228D3" w:rsidRDefault="008228D3" w:rsidP="0024048D">
            <w:pPr>
              <w:spacing w:after="0"/>
              <w:jc w:val="center"/>
              <w:rPr>
                <w:rFonts w:ascii="Calibri" w:eastAsia="Times New Roman" w:hAnsi="Calibri" w:cs="Calibri"/>
                <w:sz w:val="20"/>
                <w:szCs w:val="20"/>
              </w:rPr>
            </w:pPr>
          </w:p>
        </w:tc>
      </w:tr>
      <w:tr w:rsidR="004468B5" w:rsidRPr="00D9383A" w14:paraId="44DB4615" w14:textId="77777777" w:rsidTr="00382B11">
        <w:trPr>
          <w:trHeight w:val="397"/>
        </w:trPr>
        <w:tc>
          <w:tcPr>
            <w:tcW w:w="4989" w:type="dxa"/>
            <w:shd w:val="clear" w:color="auto" w:fill="BFBFBF" w:themeFill="background1" w:themeFillShade="BF"/>
            <w:noWrap/>
            <w:vAlign w:val="bottom"/>
            <w:hideMark/>
          </w:tcPr>
          <w:p w14:paraId="1DF1A0AE" w14:textId="77777777" w:rsidR="004468B5" w:rsidRPr="008228D3" w:rsidRDefault="00C232F9" w:rsidP="00810C69">
            <w:pPr>
              <w:spacing w:after="0"/>
              <w:rPr>
                <w:rFonts w:ascii="Calibri" w:eastAsia="Times New Roman" w:hAnsi="Calibri" w:cs="Calibri"/>
                <w:sz w:val="20"/>
                <w:szCs w:val="20"/>
              </w:rPr>
            </w:pPr>
            <w:r>
              <w:rPr>
                <w:rFonts w:ascii="Calibri" w:eastAsia="Times New Roman" w:hAnsi="Calibri" w:cs="Calibri"/>
                <w:sz w:val="20"/>
                <w:szCs w:val="20"/>
              </w:rPr>
              <w:t xml:space="preserve">% </w:t>
            </w:r>
            <w:r w:rsidR="004468B5">
              <w:rPr>
                <w:rFonts w:ascii="Calibri" w:eastAsia="Times New Roman" w:hAnsi="Calibri" w:cs="Calibri"/>
                <w:sz w:val="20"/>
                <w:szCs w:val="20"/>
              </w:rPr>
              <w:t>Patients</w:t>
            </w:r>
          </w:p>
        </w:tc>
        <w:tc>
          <w:tcPr>
            <w:tcW w:w="964" w:type="dxa"/>
            <w:shd w:val="clear" w:color="auto" w:fill="BFBFBF" w:themeFill="background1" w:themeFillShade="BF"/>
          </w:tcPr>
          <w:p w14:paraId="59ADFFA3" w14:textId="77777777" w:rsidR="004468B5" w:rsidRPr="008228D3" w:rsidRDefault="004468B5" w:rsidP="00810C69">
            <w:pPr>
              <w:spacing w:after="0"/>
              <w:jc w:val="center"/>
              <w:rPr>
                <w:rFonts w:ascii="Calibri" w:eastAsia="Times New Roman" w:hAnsi="Calibri" w:cs="Calibri"/>
                <w:sz w:val="20"/>
                <w:szCs w:val="20"/>
              </w:rPr>
            </w:pPr>
            <w:r w:rsidRPr="008228D3">
              <w:rPr>
                <w:rFonts w:ascii="Calibri" w:eastAsia="MS Mincho" w:hAnsi="Calibri" w:cs="Times New Roman"/>
                <w:bCs/>
                <w:sz w:val="20"/>
                <w:szCs w:val="20"/>
              </w:rPr>
              <w:t>Int-2 &amp; High risk</w:t>
            </w:r>
          </w:p>
        </w:tc>
        <w:tc>
          <w:tcPr>
            <w:tcW w:w="850" w:type="dxa"/>
            <w:shd w:val="clear" w:color="auto" w:fill="BFBFBF" w:themeFill="background1" w:themeFillShade="BF"/>
            <w:noWrap/>
            <w:hideMark/>
          </w:tcPr>
          <w:p w14:paraId="0334F48C" w14:textId="77777777" w:rsidR="004468B5" w:rsidRPr="008228D3" w:rsidRDefault="004468B5" w:rsidP="00810C69">
            <w:pPr>
              <w:spacing w:after="0"/>
              <w:jc w:val="center"/>
              <w:rPr>
                <w:rFonts w:ascii="Calibri" w:eastAsia="Times New Roman" w:hAnsi="Calibri" w:cs="Calibri"/>
                <w:sz w:val="20"/>
                <w:szCs w:val="20"/>
              </w:rPr>
            </w:pPr>
            <w:r w:rsidRPr="008228D3">
              <w:rPr>
                <w:rFonts w:ascii="Calibri" w:eastAsia="MS Mincho" w:hAnsi="Calibri" w:cs="Times New Roman"/>
                <w:bCs/>
                <w:sz w:val="20"/>
                <w:szCs w:val="20"/>
              </w:rPr>
              <w:t>GF</w:t>
            </w:r>
          </w:p>
        </w:tc>
        <w:tc>
          <w:tcPr>
            <w:tcW w:w="850" w:type="dxa"/>
            <w:gridSpan w:val="2"/>
            <w:shd w:val="clear" w:color="auto" w:fill="BFBFBF" w:themeFill="background1" w:themeFillShade="BF"/>
          </w:tcPr>
          <w:p w14:paraId="21965AA8" w14:textId="77777777" w:rsidR="004468B5" w:rsidRPr="008228D3" w:rsidRDefault="004468B5" w:rsidP="00810C69">
            <w:pPr>
              <w:spacing w:after="0"/>
              <w:jc w:val="center"/>
              <w:rPr>
                <w:rFonts w:ascii="Calibri" w:eastAsia="Times New Roman" w:hAnsi="Calibri" w:cs="Calibri"/>
                <w:sz w:val="20"/>
                <w:szCs w:val="20"/>
              </w:rPr>
            </w:pPr>
            <w:r w:rsidRPr="008228D3">
              <w:rPr>
                <w:rFonts w:ascii="Calibri" w:eastAsia="MS Mincho" w:hAnsi="Calibri" w:cs="Times New Roman"/>
                <w:bCs/>
                <w:sz w:val="20"/>
                <w:szCs w:val="20"/>
              </w:rPr>
              <w:t>Int-1</w:t>
            </w:r>
          </w:p>
        </w:tc>
        <w:tc>
          <w:tcPr>
            <w:tcW w:w="850" w:type="dxa"/>
            <w:gridSpan w:val="2"/>
            <w:shd w:val="clear" w:color="auto" w:fill="BFBFBF" w:themeFill="background1" w:themeFillShade="BF"/>
            <w:noWrap/>
            <w:hideMark/>
          </w:tcPr>
          <w:p w14:paraId="20209090" w14:textId="77777777" w:rsidR="004468B5" w:rsidRPr="008228D3" w:rsidRDefault="004468B5" w:rsidP="00810C69">
            <w:pPr>
              <w:spacing w:after="0"/>
              <w:jc w:val="center"/>
              <w:rPr>
                <w:rFonts w:ascii="Calibri" w:eastAsia="Times New Roman" w:hAnsi="Calibri" w:cs="Calibri"/>
                <w:sz w:val="20"/>
                <w:szCs w:val="20"/>
              </w:rPr>
            </w:pPr>
            <w:r w:rsidRPr="008228D3">
              <w:rPr>
                <w:rFonts w:ascii="Calibri" w:eastAsia="MS Mincho" w:hAnsi="Calibri" w:cs="Times New Roman"/>
                <w:bCs/>
                <w:sz w:val="20"/>
                <w:szCs w:val="20"/>
              </w:rPr>
              <w:t>Total</w:t>
            </w:r>
          </w:p>
        </w:tc>
        <w:tc>
          <w:tcPr>
            <w:tcW w:w="737" w:type="dxa"/>
            <w:gridSpan w:val="3"/>
            <w:shd w:val="clear" w:color="auto" w:fill="BFBFBF" w:themeFill="background1" w:themeFillShade="BF"/>
            <w:noWrap/>
            <w:vAlign w:val="center"/>
            <w:hideMark/>
          </w:tcPr>
          <w:p w14:paraId="1C56B144" w14:textId="77777777" w:rsidR="004468B5" w:rsidRPr="008228D3" w:rsidRDefault="004468B5" w:rsidP="00810C69">
            <w:pPr>
              <w:spacing w:after="0"/>
              <w:jc w:val="center"/>
              <w:rPr>
                <w:rFonts w:ascii="Calibri" w:eastAsia="Times New Roman" w:hAnsi="Calibri" w:cs="Calibri"/>
                <w:sz w:val="20"/>
                <w:szCs w:val="20"/>
              </w:rPr>
            </w:pPr>
            <w:r w:rsidRPr="008228D3">
              <w:rPr>
                <w:rFonts w:ascii="Calibri" w:eastAsia="Times New Roman" w:hAnsi="Calibri" w:cs="Calibri"/>
                <w:sz w:val="20"/>
                <w:szCs w:val="20"/>
              </w:rPr>
              <w:t>Rank</w:t>
            </w:r>
          </w:p>
        </w:tc>
      </w:tr>
      <w:tr w:rsidR="004468B5" w:rsidRPr="00D9383A" w14:paraId="6A7A2DED" w14:textId="77777777" w:rsidTr="00382B11">
        <w:trPr>
          <w:trHeight w:val="20"/>
        </w:trPr>
        <w:tc>
          <w:tcPr>
            <w:tcW w:w="4989" w:type="dxa"/>
            <w:shd w:val="clear" w:color="auto" w:fill="auto"/>
            <w:noWrap/>
            <w:vAlign w:val="bottom"/>
            <w:hideMark/>
          </w:tcPr>
          <w:p w14:paraId="2B1C7F4D" w14:textId="77777777" w:rsidR="004468B5" w:rsidRPr="008228D3" w:rsidRDefault="004468B5" w:rsidP="00810C69">
            <w:pPr>
              <w:spacing w:after="0"/>
              <w:rPr>
                <w:rFonts w:ascii="Calibri" w:eastAsia="Times New Roman" w:hAnsi="Calibri" w:cs="Calibri"/>
                <w:sz w:val="20"/>
                <w:szCs w:val="20"/>
              </w:rPr>
            </w:pPr>
            <w:r w:rsidRPr="008228D3">
              <w:rPr>
                <w:rFonts w:ascii="Calibri" w:hAnsi="Calibri" w:cs="Calibri"/>
                <w:sz w:val="20"/>
                <w:szCs w:val="20"/>
              </w:rPr>
              <w:t>ruxolitinib</w:t>
            </w:r>
          </w:p>
        </w:tc>
        <w:tc>
          <w:tcPr>
            <w:tcW w:w="964" w:type="dxa"/>
            <w:vAlign w:val="center"/>
          </w:tcPr>
          <w:p w14:paraId="7F4C877C" w14:textId="77777777" w:rsidR="004468B5" w:rsidRPr="004468B5" w:rsidRDefault="004468B5" w:rsidP="004468B5">
            <w:pPr>
              <w:spacing w:after="0"/>
              <w:jc w:val="center"/>
              <w:rPr>
                <w:rFonts w:ascii="Calibri" w:hAnsi="Calibri" w:cs="Calibri"/>
                <w:sz w:val="20"/>
                <w:szCs w:val="20"/>
              </w:rPr>
            </w:pPr>
            <w:r w:rsidRPr="004468B5">
              <w:rPr>
                <w:rFonts w:ascii="Calibri" w:hAnsi="Calibri" w:cs="Calibri"/>
                <w:sz w:val="20"/>
                <w:szCs w:val="22"/>
              </w:rPr>
              <w:t>56.7%</w:t>
            </w:r>
          </w:p>
        </w:tc>
        <w:tc>
          <w:tcPr>
            <w:tcW w:w="850" w:type="dxa"/>
            <w:shd w:val="clear" w:color="auto" w:fill="auto"/>
            <w:noWrap/>
            <w:vAlign w:val="center"/>
            <w:hideMark/>
          </w:tcPr>
          <w:p w14:paraId="35F68A12" w14:textId="77777777" w:rsidR="004468B5" w:rsidRPr="004468B5" w:rsidRDefault="004468B5" w:rsidP="004468B5">
            <w:pPr>
              <w:spacing w:after="0"/>
              <w:jc w:val="center"/>
              <w:rPr>
                <w:rFonts w:ascii="Calibri" w:eastAsia="Times New Roman" w:hAnsi="Calibri" w:cs="Calibri"/>
                <w:sz w:val="20"/>
                <w:szCs w:val="20"/>
              </w:rPr>
            </w:pPr>
            <w:r w:rsidRPr="004468B5">
              <w:rPr>
                <w:rFonts w:ascii="Calibri" w:hAnsi="Calibri" w:cs="Calibri"/>
                <w:sz w:val="20"/>
                <w:szCs w:val="22"/>
              </w:rPr>
              <w:t>61.6%</w:t>
            </w:r>
          </w:p>
        </w:tc>
        <w:tc>
          <w:tcPr>
            <w:tcW w:w="850" w:type="dxa"/>
            <w:gridSpan w:val="2"/>
            <w:vAlign w:val="center"/>
          </w:tcPr>
          <w:p w14:paraId="4E1BAF47" w14:textId="77777777" w:rsidR="004468B5" w:rsidRPr="004468B5" w:rsidRDefault="004468B5" w:rsidP="004468B5">
            <w:pPr>
              <w:spacing w:after="0"/>
              <w:jc w:val="center"/>
              <w:rPr>
                <w:rFonts w:ascii="Calibri" w:hAnsi="Calibri" w:cs="Calibri"/>
                <w:sz w:val="20"/>
                <w:szCs w:val="20"/>
              </w:rPr>
            </w:pPr>
            <w:r w:rsidRPr="004468B5">
              <w:rPr>
                <w:rFonts w:ascii="Calibri" w:hAnsi="Calibri" w:cs="Calibri"/>
                <w:sz w:val="20"/>
                <w:szCs w:val="22"/>
              </w:rPr>
              <w:t>45.5%</w:t>
            </w:r>
          </w:p>
        </w:tc>
        <w:tc>
          <w:tcPr>
            <w:tcW w:w="850" w:type="dxa"/>
            <w:gridSpan w:val="2"/>
            <w:shd w:val="clear" w:color="auto" w:fill="auto"/>
            <w:noWrap/>
            <w:vAlign w:val="center"/>
            <w:hideMark/>
          </w:tcPr>
          <w:p w14:paraId="17200F5C" w14:textId="77777777" w:rsidR="004468B5" w:rsidRPr="004468B5" w:rsidRDefault="004468B5" w:rsidP="004468B5">
            <w:pPr>
              <w:spacing w:after="0"/>
              <w:jc w:val="center"/>
              <w:rPr>
                <w:rFonts w:ascii="Calibri" w:eastAsia="Times New Roman" w:hAnsi="Calibri" w:cs="Calibri"/>
                <w:sz w:val="20"/>
                <w:szCs w:val="20"/>
              </w:rPr>
            </w:pPr>
            <w:r w:rsidRPr="004468B5">
              <w:rPr>
                <w:rFonts w:ascii="Calibri" w:hAnsi="Calibri" w:cs="Calibri"/>
                <w:sz w:val="20"/>
                <w:szCs w:val="22"/>
              </w:rPr>
              <w:t>55.4%</w:t>
            </w:r>
          </w:p>
        </w:tc>
        <w:tc>
          <w:tcPr>
            <w:tcW w:w="737" w:type="dxa"/>
            <w:gridSpan w:val="3"/>
            <w:shd w:val="clear" w:color="auto" w:fill="auto"/>
            <w:noWrap/>
            <w:vAlign w:val="center"/>
            <w:hideMark/>
          </w:tcPr>
          <w:p w14:paraId="43FA0AB9" w14:textId="77777777" w:rsidR="004468B5" w:rsidRPr="008228D3" w:rsidRDefault="004468B5" w:rsidP="00810C69">
            <w:pPr>
              <w:spacing w:after="0"/>
              <w:jc w:val="center"/>
              <w:rPr>
                <w:rFonts w:ascii="Calibri" w:eastAsia="Times New Roman" w:hAnsi="Calibri" w:cs="Calibri"/>
                <w:sz w:val="20"/>
                <w:szCs w:val="20"/>
              </w:rPr>
            </w:pPr>
            <w:r w:rsidRPr="008228D3">
              <w:rPr>
                <w:rFonts w:ascii="Calibri" w:eastAsia="Times New Roman" w:hAnsi="Calibri" w:cs="Calibri"/>
                <w:sz w:val="20"/>
                <w:szCs w:val="20"/>
              </w:rPr>
              <w:t>1</w:t>
            </w:r>
          </w:p>
        </w:tc>
      </w:tr>
      <w:tr w:rsidR="004468B5" w:rsidRPr="00D9383A" w14:paraId="4D529237" w14:textId="77777777" w:rsidTr="00382B11">
        <w:trPr>
          <w:trHeight w:val="20"/>
        </w:trPr>
        <w:tc>
          <w:tcPr>
            <w:tcW w:w="4989" w:type="dxa"/>
            <w:shd w:val="clear" w:color="auto" w:fill="auto"/>
            <w:noWrap/>
            <w:vAlign w:val="bottom"/>
            <w:hideMark/>
          </w:tcPr>
          <w:p w14:paraId="6C40CB51" w14:textId="77777777" w:rsidR="004468B5" w:rsidRPr="008228D3" w:rsidRDefault="004468B5" w:rsidP="00587173">
            <w:pPr>
              <w:spacing w:after="0"/>
              <w:rPr>
                <w:rFonts w:ascii="Calibri" w:eastAsia="Times New Roman" w:hAnsi="Calibri" w:cs="Calibri"/>
                <w:sz w:val="20"/>
                <w:szCs w:val="20"/>
              </w:rPr>
            </w:pPr>
            <w:r w:rsidRPr="008228D3">
              <w:rPr>
                <w:rFonts w:ascii="Calibri" w:hAnsi="Calibri" w:cs="Calibri"/>
                <w:sz w:val="20"/>
                <w:szCs w:val="20"/>
              </w:rPr>
              <w:t>hydroxyurea -&gt; ruxolitinib</w:t>
            </w:r>
          </w:p>
        </w:tc>
        <w:tc>
          <w:tcPr>
            <w:tcW w:w="964" w:type="dxa"/>
            <w:vAlign w:val="center"/>
          </w:tcPr>
          <w:p w14:paraId="0CC4C3B0" w14:textId="77777777" w:rsidR="004468B5" w:rsidRPr="004468B5" w:rsidRDefault="004468B5" w:rsidP="004468B5">
            <w:pPr>
              <w:spacing w:after="0"/>
              <w:jc w:val="center"/>
              <w:rPr>
                <w:rFonts w:ascii="Calibri" w:hAnsi="Calibri" w:cs="Calibri"/>
                <w:sz w:val="20"/>
                <w:szCs w:val="20"/>
              </w:rPr>
            </w:pPr>
            <w:r w:rsidRPr="004468B5">
              <w:rPr>
                <w:rFonts w:ascii="Calibri" w:hAnsi="Calibri" w:cs="Calibri"/>
                <w:sz w:val="20"/>
                <w:szCs w:val="22"/>
              </w:rPr>
              <w:t>41.8%</w:t>
            </w:r>
          </w:p>
        </w:tc>
        <w:tc>
          <w:tcPr>
            <w:tcW w:w="850" w:type="dxa"/>
            <w:shd w:val="clear" w:color="auto" w:fill="auto"/>
            <w:noWrap/>
            <w:vAlign w:val="center"/>
            <w:hideMark/>
          </w:tcPr>
          <w:p w14:paraId="7393E1B8" w14:textId="77777777" w:rsidR="004468B5" w:rsidRPr="004468B5" w:rsidRDefault="004468B5" w:rsidP="004468B5">
            <w:pPr>
              <w:spacing w:after="0"/>
              <w:jc w:val="center"/>
              <w:rPr>
                <w:rFonts w:ascii="Calibri" w:eastAsia="Times New Roman" w:hAnsi="Calibri" w:cs="Calibri"/>
                <w:sz w:val="20"/>
                <w:szCs w:val="20"/>
              </w:rPr>
            </w:pPr>
            <w:r w:rsidRPr="004468B5">
              <w:rPr>
                <w:rFonts w:ascii="Calibri" w:hAnsi="Calibri" w:cs="Calibri"/>
                <w:sz w:val="20"/>
                <w:szCs w:val="22"/>
              </w:rPr>
              <w:t>36.5%</w:t>
            </w:r>
          </w:p>
        </w:tc>
        <w:tc>
          <w:tcPr>
            <w:tcW w:w="850" w:type="dxa"/>
            <w:gridSpan w:val="2"/>
            <w:vAlign w:val="center"/>
          </w:tcPr>
          <w:p w14:paraId="0B47452F" w14:textId="77777777" w:rsidR="004468B5" w:rsidRPr="004468B5" w:rsidRDefault="004468B5" w:rsidP="004468B5">
            <w:pPr>
              <w:spacing w:after="0"/>
              <w:jc w:val="center"/>
              <w:rPr>
                <w:rFonts w:ascii="Calibri" w:hAnsi="Calibri" w:cs="Calibri"/>
                <w:sz w:val="20"/>
                <w:szCs w:val="20"/>
              </w:rPr>
            </w:pPr>
            <w:r w:rsidRPr="004468B5">
              <w:rPr>
                <w:rFonts w:ascii="Calibri" w:hAnsi="Calibri" w:cs="Calibri"/>
                <w:sz w:val="20"/>
                <w:szCs w:val="22"/>
              </w:rPr>
              <w:t>50.7%</w:t>
            </w:r>
          </w:p>
        </w:tc>
        <w:tc>
          <w:tcPr>
            <w:tcW w:w="850" w:type="dxa"/>
            <w:gridSpan w:val="2"/>
            <w:shd w:val="clear" w:color="auto" w:fill="auto"/>
            <w:noWrap/>
            <w:vAlign w:val="center"/>
            <w:hideMark/>
          </w:tcPr>
          <w:p w14:paraId="4835E0EF" w14:textId="77777777" w:rsidR="004468B5" w:rsidRPr="004468B5" w:rsidRDefault="004468B5" w:rsidP="004468B5">
            <w:pPr>
              <w:spacing w:after="0"/>
              <w:jc w:val="center"/>
              <w:rPr>
                <w:rFonts w:ascii="Calibri" w:eastAsia="Times New Roman" w:hAnsi="Calibri" w:cs="Calibri"/>
                <w:sz w:val="20"/>
                <w:szCs w:val="20"/>
              </w:rPr>
            </w:pPr>
            <w:r w:rsidRPr="004468B5">
              <w:rPr>
                <w:rFonts w:ascii="Calibri" w:hAnsi="Calibri" w:cs="Calibri"/>
                <w:sz w:val="20"/>
                <w:szCs w:val="22"/>
              </w:rPr>
              <w:t>42.5%</w:t>
            </w:r>
          </w:p>
        </w:tc>
        <w:tc>
          <w:tcPr>
            <w:tcW w:w="737" w:type="dxa"/>
            <w:gridSpan w:val="3"/>
            <w:shd w:val="clear" w:color="auto" w:fill="auto"/>
            <w:noWrap/>
            <w:vAlign w:val="center"/>
            <w:hideMark/>
          </w:tcPr>
          <w:p w14:paraId="560307E4" w14:textId="77777777" w:rsidR="004468B5" w:rsidRPr="008228D3" w:rsidRDefault="004468B5" w:rsidP="00810C69">
            <w:pPr>
              <w:spacing w:after="0"/>
              <w:jc w:val="center"/>
              <w:rPr>
                <w:rFonts w:ascii="Calibri" w:eastAsia="Times New Roman" w:hAnsi="Calibri" w:cs="Calibri"/>
                <w:sz w:val="20"/>
                <w:szCs w:val="20"/>
              </w:rPr>
            </w:pPr>
            <w:r w:rsidRPr="008228D3">
              <w:rPr>
                <w:rFonts w:ascii="Calibri" w:eastAsia="Times New Roman" w:hAnsi="Calibri" w:cs="Calibri"/>
                <w:sz w:val="20"/>
                <w:szCs w:val="20"/>
              </w:rPr>
              <w:t>2</w:t>
            </w:r>
          </w:p>
        </w:tc>
      </w:tr>
      <w:tr w:rsidR="00C232F9" w:rsidRPr="00D9383A" w14:paraId="63418A30" w14:textId="77777777" w:rsidTr="00382B11">
        <w:trPr>
          <w:trHeight w:val="20"/>
        </w:trPr>
        <w:tc>
          <w:tcPr>
            <w:tcW w:w="4989" w:type="dxa"/>
            <w:shd w:val="clear" w:color="auto" w:fill="auto"/>
            <w:noWrap/>
            <w:vAlign w:val="bottom"/>
            <w:hideMark/>
          </w:tcPr>
          <w:p w14:paraId="73C02065" w14:textId="77777777" w:rsidR="00C232F9" w:rsidRPr="008228D3" w:rsidRDefault="00C232F9" w:rsidP="00587173">
            <w:pPr>
              <w:spacing w:after="0"/>
              <w:rPr>
                <w:rFonts w:ascii="Calibri" w:eastAsia="Times New Roman" w:hAnsi="Calibri" w:cs="Calibri"/>
                <w:sz w:val="20"/>
                <w:szCs w:val="20"/>
              </w:rPr>
            </w:pPr>
            <w:r w:rsidRPr="008228D3">
              <w:rPr>
                <w:rFonts w:ascii="Calibri" w:hAnsi="Calibri" w:cs="Calibri"/>
                <w:sz w:val="20"/>
                <w:szCs w:val="20"/>
              </w:rPr>
              <w:t>hydroxyurea -&gt; busulfan -&gt; ruxolitinib</w:t>
            </w:r>
          </w:p>
        </w:tc>
        <w:tc>
          <w:tcPr>
            <w:tcW w:w="964" w:type="dxa"/>
            <w:vAlign w:val="center"/>
          </w:tcPr>
          <w:p w14:paraId="2CA7A96B" w14:textId="77777777" w:rsidR="00C232F9" w:rsidRPr="004468B5" w:rsidRDefault="00C232F9" w:rsidP="004468B5">
            <w:pPr>
              <w:spacing w:after="0"/>
              <w:jc w:val="center"/>
              <w:rPr>
                <w:rFonts w:ascii="Calibri" w:hAnsi="Calibri" w:cs="Calibri"/>
                <w:sz w:val="20"/>
                <w:szCs w:val="20"/>
              </w:rPr>
            </w:pPr>
            <w:r>
              <w:rPr>
                <w:rFonts w:ascii="Calibri" w:hAnsi="Calibri" w:cs="Calibri"/>
                <w:sz w:val="20"/>
                <w:szCs w:val="22"/>
              </w:rPr>
              <w:t>&lt;=0.6%</w:t>
            </w:r>
          </w:p>
        </w:tc>
        <w:tc>
          <w:tcPr>
            <w:tcW w:w="850" w:type="dxa"/>
            <w:shd w:val="clear" w:color="auto" w:fill="auto"/>
            <w:noWrap/>
            <w:vAlign w:val="center"/>
            <w:hideMark/>
          </w:tcPr>
          <w:p w14:paraId="371B48E9" w14:textId="77777777" w:rsidR="00C232F9" w:rsidRPr="004468B5" w:rsidRDefault="00C232F9" w:rsidP="004468B5">
            <w:pPr>
              <w:spacing w:after="0"/>
              <w:jc w:val="center"/>
              <w:rPr>
                <w:rFonts w:ascii="Calibri" w:eastAsia="Times New Roman" w:hAnsi="Calibri" w:cs="Calibri"/>
                <w:sz w:val="20"/>
                <w:szCs w:val="20"/>
              </w:rPr>
            </w:pPr>
            <w:r>
              <w:rPr>
                <w:rFonts w:ascii="Calibri" w:hAnsi="Calibri" w:cs="Calibri"/>
                <w:sz w:val="20"/>
                <w:szCs w:val="22"/>
              </w:rPr>
              <w:t>&lt;=1.6%</w:t>
            </w:r>
          </w:p>
        </w:tc>
        <w:tc>
          <w:tcPr>
            <w:tcW w:w="850" w:type="dxa"/>
            <w:gridSpan w:val="2"/>
          </w:tcPr>
          <w:p w14:paraId="2CC8E0B9" w14:textId="77777777" w:rsidR="00C232F9" w:rsidRPr="004468B5" w:rsidRDefault="00C232F9" w:rsidP="00850552">
            <w:pPr>
              <w:spacing w:after="0"/>
              <w:jc w:val="center"/>
              <w:rPr>
                <w:rFonts w:ascii="Calibri" w:hAnsi="Calibri" w:cs="Calibri"/>
                <w:sz w:val="20"/>
                <w:szCs w:val="20"/>
              </w:rPr>
            </w:pPr>
            <w:r w:rsidRPr="0070631C">
              <w:rPr>
                <w:rFonts w:ascii="Calibri" w:hAnsi="Calibri" w:cs="Calibri"/>
                <w:sz w:val="20"/>
                <w:szCs w:val="22"/>
              </w:rPr>
              <w:t>&lt;=1.</w:t>
            </w:r>
            <w:r>
              <w:rPr>
                <w:rFonts w:ascii="Calibri" w:hAnsi="Calibri" w:cs="Calibri"/>
                <w:sz w:val="20"/>
                <w:szCs w:val="22"/>
              </w:rPr>
              <w:t>7</w:t>
            </w:r>
            <w:r w:rsidRPr="0070631C">
              <w:rPr>
                <w:rFonts w:ascii="Calibri" w:hAnsi="Calibri" w:cs="Calibri"/>
                <w:sz w:val="20"/>
                <w:szCs w:val="22"/>
              </w:rPr>
              <w:t>%</w:t>
            </w:r>
          </w:p>
        </w:tc>
        <w:tc>
          <w:tcPr>
            <w:tcW w:w="850" w:type="dxa"/>
            <w:gridSpan w:val="2"/>
            <w:shd w:val="clear" w:color="auto" w:fill="auto"/>
            <w:noWrap/>
            <w:vAlign w:val="bottom"/>
            <w:hideMark/>
          </w:tcPr>
          <w:p w14:paraId="3161D706" w14:textId="77777777" w:rsidR="00C232F9" w:rsidRPr="00C232F9" w:rsidRDefault="00C232F9" w:rsidP="00850552">
            <w:pPr>
              <w:spacing w:after="0"/>
              <w:jc w:val="center"/>
              <w:rPr>
                <w:rFonts w:ascii="Calibri" w:eastAsia="Times New Roman" w:hAnsi="Calibri" w:cs="Calibri"/>
                <w:sz w:val="20"/>
                <w:szCs w:val="20"/>
              </w:rPr>
            </w:pPr>
            <w:r w:rsidRPr="00C232F9">
              <w:rPr>
                <w:rFonts w:ascii="Calibri" w:hAnsi="Calibri" w:cs="Calibri"/>
                <w:sz w:val="20"/>
                <w:szCs w:val="20"/>
              </w:rPr>
              <w:t>0.7%</w:t>
            </w:r>
          </w:p>
        </w:tc>
        <w:tc>
          <w:tcPr>
            <w:tcW w:w="737" w:type="dxa"/>
            <w:gridSpan w:val="3"/>
            <w:shd w:val="clear" w:color="auto" w:fill="auto"/>
            <w:noWrap/>
            <w:vAlign w:val="center"/>
            <w:hideMark/>
          </w:tcPr>
          <w:p w14:paraId="1182D567" w14:textId="77777777" w:rsidR="00C232F9" w:rsidRPr="008228D3" w:rsidRDefault="00C232F9" w:rsidP="00810C69">
            <w:pPr>
              <w:spacing w:after="0"/>
              <w:jc w:val="center"/>
              <w:rPr>
                <w:rFonts w:ascii="Calibri" w:eastAsia="Times New Roman" w:hAnsi="Calibri" w:cs="Calibri"/>
                <w:sz w:val="20"/>
                <w:szCs w:val="20"/>
              </w:rPr>
            </w:pPr>
            <w:r w:rsidRPr="008228D3">
              <w:rPr>
                <w:rFonts w:ascii="Calibri" w:eastAsia="Times New Roman" w:hAnsi="Calibri" w:cs="Calibri"/>
                <w:sz w:val="20"/>
                <w:szCs w:val="20"/>
              </w:rPr>
              <w:t>3</w:t>
            </w:r>
          </w:p>
        </w:tc>
      </w:tr>
      <w:tr w:rsidR="00C232F9" w:rsidRPr="00D9383A" w14:paraId="64EED19F" w14:textId="77777777" w:rsidTr="00382B11">
        <w:trPr>
          <w:trHeight w:val="20"/>
        </w:trPr>
        <w:tc>
          <w:tcPr>
            <w:tcW w:w="4989" w:type="dxa"/>
            <w:shd w:val="clear" w:color="auto" w:fill="auto"/>
            <w:noWrap/>
            <w:vAlign w:val="bottom"/>
            <w:hideMark/>
          </w:tcPr>
          <w:p w14:paraId="645F2EFF" w14:textId="77777777" w:rsidR="00C232F9" w:rsidRPr="008228D3" w:rsidRDefault="00C232F9" w:rsidP="00810C69">
            <w:pPr>
              <w:spacing w:after="0"/>
              <w:rPr>
                <w:rFonts w:ascii="Calibri" w:eastAsia="Times New Roman" w:hAnsi="Calibri" w:cs="Calibri"/>
                <w:sz w:val="20"/>
                <w:szCs w:val="20"/>
              </w:rPr>
            </w:pPr>
            <w:r w:rsidRPr="008228D3">
              <w:rPr>
                <w:rFonts w:ascii="Calibri" w:hAnsi="Calibri" w:cs="Calibri"/>
                <w:sz w:val="20"/>
                <w:szCs w:val="20"/>
              </w:rPr>
              <w:t>busulfan -&gt; ruxolitinib</w:t>
            </w:r>
          </w:p>
        </w:tc>
        <w:tc>
          <w:tcPr>
            <w:tcW w:w="964" w:type="dxa"/>
          </w:tcPr>
          <w:p w14:paraId="329AEB7E" w14:textId="77777777" w:rsidR="00C232F9" w:rsidRPr="004468B5" w:rsidRDefault="00C232F9" w:rsidP="004468B5">
            <w:pPr>
              <w:spacing w:after="0"/>
              <w:jc w:val="center"/>
              <w:rPr>
                <w:rFonts w:ascii="Calibri" w:hAnsi="Calibri" w:cs="Calibri"/>
                <w:sz w:val="20"/>
                <w:szCs w:val="20"/>
              </w:rPr>
            </w:pPr>
            <w:r w:rsidRPr="009E068C">
              <w:rPr>
                <w:rFonts w:ascii="Calibri" w:hAnsi="Calibri" w:cs="Calibri"/>
                <w:sz w:val="20"/>
                <w:szCs w:val="22"/>
              </w:rPr>
              <w:t>&lt;=0.6%</w:t>
            </w:r>
          </w:p>
        </w:tc>
        <w:tc>
          <w:tcPr>
            <w:tcW w:w="850" w:type="dxa"/>
            <w:shd w:val="clear" w:color="auto" w:fill="auto"/>
            <w:noWrap/>
            <w:hideMark/>
          </w:tcPr>
          <w:p w14:paraId="7C49081A" w14:textId="77777777" w:rsidR="00C232F9" w:rsidRPr="004468B5" w:rsidRDefault="00C232F9" w:rsidP="004468B5">
            <w:pPr>
              <w:spacing w:after="0"/>
              <w:jc w:val="center"/>
              <w:rPr>
                <w:rFonts w:ascii="Calibri" w:eastAsia="Times New Roman" w:hAnsi="Calibri" w:cs="Calibri"/>
                <w:sz w:val="20"/>
                <w:szCs w:val="20"/>
              </w:rPr>
            </w:pPr>
            <w:r w:rsidRPr="0070631C">
              <w:rPr>
                <w:rFonts w:ascii="Calibri" w:hAnsi="Calibri" w:cs="Calibri"/>
                <w:sz w:val="20"/>
                <w:szCs w:val="22"/>
              </w:rPr>
              <w:t>&lt;=1.6%</w:t>
            </w:r>
          </w:p>
        </w:tc>
        <w:tc>
          <w:tcPr>
            <w:tcW w:w="850" w:type="dxa"/>
            <w:gridSpan w:val="2"/>
          </w:tcPr>
          <w:p w14:paraId="18C8CAA7" w14:textId="77777777" w:rsidR="00C232F9" w:rsidRPr="004468B5" w:rsidRDefault="00C232F9" w:rsidP="004468B5">
            <w:pPr>
              <w:spacing w:after="0"/>
              <w:jc w:val="center"/>
              <w:rPr>
                <w:rFonts w:ascii="Calibri" w:hAnsi="Calibri" w:cs="Calibri"/>
                <w:sz w:val="20"/>
                <w:szCs w:val="20"/>
              </w:rPr>
            </w:pPr>
            <w:r w:rsidRPr="0070631C">
              <w:rPr>
                <w:rFonts w:ascii="Calibri" w:hAnsi="Calibri" w:cs="Calibri"/>
                <w:sz w:val="20"/>
                <w:szCs w:val="22"/>
              </w:rPr>
              <w:t>&lt;=1.</w:t>
            </w:r>
            <w:r>
              <w:rPr>
                <w:rFonts w:ascii="Calibri" w:hAnsi="Calibri" w:cs="Calibri"/>
                <w:sz w:val="20"/>
                <w:szCs w:val="22"/>
              </w:rPr>
              <w:t>7</w:t>
            </w:r>
            <w:r w:rsidRPr="0070631C">
              <w:rPr>
                <w:rFonts w:ascii="Calibri" w:hAnsi="Calibri" w:cs="Calibri"/>
                <w:sz w:val="20"/>
                <w:szCs w:val="22"/>
              </w:rPr>
              <w:t>%</w:t>
            </w:r>
          </w:p>
        </w:tc>
        <w:tc>
          <w:tcPr>
            <w:tcW w:w="850" w:type="dxa"/>
            <w:gridSpan w:val="2"/>
            <w:shd w:val="clear" w:color="auto" w:fill="auto"/>
            <w:noWrap/>
            <w:vAlign w:val="bottom"/>
            <w:hideMark/>
          </w:tcPr>
          <w:p w14:paraId="6A133039" w14:textId="77777777" w:rsidR="00C232F9" w:rsidRPr="00C232F9" w:rsidRDefault="00C232F9" w:rsidP="004468B5">
            <w:pPr>
              <w:spacing w:after="0"/>
              <w:jc w:val="center"/>
              <w:rPr>
                <w:rFonts w:ascii="Calibri" w:eastAsia="Times New Roman" w:hAnsi="Calibri" w:cs="Calibri"/>
                <w:sz w:val="20"/>
                <w:szCs w:val="20"/>
              </w:rPr>
            </w:pPr>
            <w:r w:rsidRPr="00C232F9">
              <w:rPr>
                <w:rFonts w:ascii="Calibri" w:hAnsi="Calibri" w:cs="Calibri"/>
                <w:sz w:val="20"/>
                <w:szCs w:val="20"/>
              </w:rPr>
              <w:t>0.7%</w:t>
            </w:r>
          </w:p>
        </w:tc>
        <w:tc>
          <w:tcPr>
            <w:tcW w:w="737" w:type="dxa"/>
            <w:gridSpan w:val="3"/>
            <w:shd w:val="clear" w:color="auto" w:fill="auto"/>
            <w:noWrap/>
            <w:vAlign w:val="center"/>
            <w:hideMark/>
          </w:tcPr>
          <w:p w14:paraId="7D2DE673" w14:textId="77777777" w:rsidR="00C232F9" w:rsidRPr="008228D3" w:rsidRDefault="00C232F9" w:rsidP="00810C69">
            <w:pPr>
              <w:spacing w:after="0"/>
              <w:jc w:val="center"/>
              <w:rPr>
                <w:rFonts w:ascii="Calibri" w:eastAsia="Times New Roman" w:hAnsi="Calibri" w:cs="Calibri"/>
                <w:sz w:val="20"/>
                <w:szCs w:val="20"/>
              </w:rPr>
            </w:pPr>
            <w:r w:rsidRPr="008228D3">
              <w:rPr>
                <w:rFonts w:ascii="Calibri" w:eastAsia="Times New Roman" w:hAnsi="Calibri" w:cs="Calibri"/>
                <w:sz w:val="20"/>
                <w:szCs w:val="20"/>
              </w:rPr>
              <w:t>4</w:t>
            </w:r>
          </w:p>
        </w:tc>
      </w:tr>
      <w:tr w:rsidR="00C232F9" w:rsidRPr="00D9383A" w14:paraId="65AEDA4E" w14:textId="77777777" w:rsidTr="00382B11">
        <w:trPr>
          <w:trHeight w:val="20"/>
        </w:trPr>
        <w:tc>
          <w:tcPr>
            <w:tcW w:w="4989" w:type="dxa"/>
            <w:shd w:val="clear" w:color="auto" w:fill="auto"/>
            <w:noWrap/>
            <w:vAlign w:val="bottom"/>
            <w:hideMark/>
          </w:tcPr>
          <w:p w14:paraId="38ECA6BD" w14:textId="77777777" w:rsidR="00C232F9" w:rsidRPr="008228D3" w:rsidRDefault="00C232F9" w:rsidP="00587173">
            <w:pPr>
              <w:spacing w:after="0"/>
              <w:rPr>
                <w:rFonts w:ascii="Calibri" w:eastAsia="Times New Roman" w:hAnsi="Calibri" w:cs="Calibri"/>
                <w:sz w:val="20"/>
                <w:szCs w:val="20"/>
              </w:rPr>
            </w:pPr>
            <w:r w:rsidRPr="008228D3">
              <w:rPr>
                <w:rFonts w:ascii="Calibri" w:hAnsi="Calibri" w:cs="Calibri"/>
                <w:sz w:val="20"/>
                <w:szCs w:val="20"/>
              </w:rPr>
              <w:t>hydroxyurea -&gt; ruxolitinib(sd)</w:t>
            </w:r>
          </w:p>
        </w:tc>
        <w:tc>
          <w:tcPr>
            <w:tcW w:w="964" w:type="dxa"/>
          </w:tcPr>
          <w:p w14:paraId="69C582AA" w14:textId="77777777" w:rsidR="00C232F9" w:rsidRPr="004468B5" w:rsidRDefault="00C232F9" w:rsidP="004468B5">
            <w:pPr>
              <w:spacing w:after="0"/>
              <w:jc w:val="center"/>
              <w:rPr>
                <w:rFonts w:ascii="Calibri" w:hAnsi="Calibri" w:cs="Calibri"/>
                <w:sz w:val="20"/>
                <w:szCs w:val="20"/>
              </w:rPr>
            </w:pPr>
            <w:r w:rsidRPr="009E068C">
              <w:rPr>
                <w:rFonts w:ascii="Calibri" w:hAnsi="Calibri" w:cs="Calibri"/>
                <w:sz w:val="20"/>
                <w:szCs w:val="22"/>
              </w:rPr>
              <w:t>&lt;=0.6%</w:t>
            </w:r>
          </w:p>
        </w:tc>
        <w:tc>
          <w:tcPr>
            <w:tcW w:w="850" w:type="dxa"/>
            <w:shd w:val="clear" w:color="auto" w:fill="auto"/>
            <w:noWrap/>
            <w:hideMark/>
          </w:tcPr>
          <w:p w14:paraId="5932A413" w14:textId="77777777" w:rsidR="00C232F9" w:rsidRPr="004468B5" w:rsidRDefault="00C232F9" w:rsidP="004468B5">
            <w:pPr>
              <w:spacing w:after="0"/>
              <w:jc w:val="center"/>
              <w:rPr>
                <w:rFonts w:ascii="Calibri" w:eastAsia="Times New Roman" w:hAnsi="Calibri" w:cs="Calibri"/>
                <w:sz w:val="20"/>
                <w:szCs w:val="20"/>
              </w:rPr>
            </w:pPr>
            <w:r w:rsidRPr="0070631C">
              <w:rPr>
                <w:rFonts w:ascii="Calibri" w:hAnsi="Calibri" w:cs="Calibri"/>
                <w:sz w:val="20"/>
                <w:szCs w:val="22"/>
              </w:rPr>
              <w:t>&lt;=1.6%</w:t>
            </w:r>
          </w:p>
        </w:tc>
        <w:tc>
          <w:tcPr>
            <w:tcW w:w="850" w:type="dxa"/>
            <w:gridSpan w:val="2"/>
          </w:tcPr>
          <w:p w14:paraId="06CD5176" w14:textId="77777777" w:rsidR="00C232F9" w:rsidRPr="004468B5" w:rsidRDefault="00C232F9" w:rsidP="004468B5">
            <w:pPr>
              <w:spacing w:after="0"/>
              <w:jc w:val="center"/>
              <w:rPr>
                <w:rFonts w:ascii="Calibri" w:hAnsi="Calibri" w:cs="Calibri"/>
                <w:sz w:val="20"/>
                <w:szCs w:val="20"/>
              </w:rPr>
            </w:pPr>
            <w:r w:rsidRPr="0070631C">
              <w:rPr>
                <w:rFonts w:ascii="Calibri" w:hAnsi="Calibri" w:cs="Calibri"/>
                <w:sz w:val="20"/>
                <w:szCs w:val="22"/>
              </w:rPr>
              <w:t>&lt;=1.</w:t>
            </w:r>
            <w:r>
              <w:rPr>
                <w:rFonts w:ascii="Calibri" w:hAnsi="Calibri" w:cs="Calibri"/>
                <w:sz w:val="20"/>
                <w:szCs w:val="22"/>
              </w:rPr>
              <w:t>7</w:t>
            </w:r>
            <w:r w:rsidRPr="0070631C">
              <w:rPr>
                <w:rFonts w:ascii="Calibri" w:hAnsi="Calibri" w:cs="Calibri"/>
                <w:sz w:val="20"/>
                <w:szCs w:val="22"/>
              </w:rPr>
              <w:t>%</w:t>
            </w:r>
          </w:p>
        </w:tc>
        <w:tc>
          <w:tcPr>
            <w:tcW w:w="850" w:type="dxa"/>
            <w:gridSpan w:val="2"/>
            <w:shd w:val="clear" w:color="auto" w:fill="auto"/>
            <w:noWrap/>
            <w:vAlign w:val="bottom"/>
            <w:hideMark/>
          </w:tcPr>
          <w:p w14:paraId="0DBAC634" w14:textId="77777777" w:rsidR="00C232F9" w:rsidRPr="00C232F9" w:rsidRDefault="00C232F9" w:rsidP="004468B5">
            <w:pPr>
              <w:spacing w:after="0"/>
              <w:jc w:val="center"/>
              <w:rPr>
                <w:rFonts w:ascii="Calibri" w:eastAsia="Times New Roman" w:hAnsi="Calibri" w:cs="Calibri"/>
                <w:sz w:val="20"/>
                <w:szCs w:val="20"/>
              </w:rPr>
            </w:pPr>
            <w:r w:rsidRPr="00C232F9">
              <w:rPr>
                <w:rFonts w:ascii="Calibri" w:hAnsi="Calibri" w:cs="Calibri"/>
                <w:sz w:val="20"/>
                <w:szCs w:val="20"/>
              </w:rPr>
              <w:t>0.5%</w:t>
            </w:r>
          </w:p>
        </w:tc>
        <w:tc>
          <w:tcPr>
            <w:tcW w:w="737" w:type="dxa"/>
            <w:gridSpan w:val="3"/>
            <w:shd w:val="clear" w:color="auto" w:fill="auto"/>
            <w:noWrap/>
            <w:vAlign w:val="center"/>
            <w:hideMark/>
          </w:tcPr>
          <w:p w14:paraId="5152846B" w14:textId="77777777" w:rsidR="00C232F9" w:rsidRPr="008228D3" w:rsidRDefault="00C232F9" w:rsidP="00810C69">
            <w:pPr>
              <w:spacing w:after="0"/>
              <w:jc w:val="center"/>
              <w:rPr>
                <w:rFonts w:ascii="Calibri" w:eastAsia="Times New Roman" w:hAnsi="Calibri" w:cs="Calibri"/>
                <w:sz w:val="20"/>
                <w:szCs w:val="20"/>
              </w:rPr>
            </w:pPr>
            <w:r w:rsidRPr="008228D3">
              <w:rPr>
                <w:rFonts w:ascii="Calibri" w:eastAsia="Times New Roman" w:hAnsi="Calibri" w:cs="Calibri"/>
                <w:sz w:val="20"/>
                <w:szCs w:val="20"/>
              </w:rPr>
              <w:t>5</w:t>
            </w:r>
          </w:p>
        </w:tc>
      </w:tr>
      <w:tr w:rsidR="00850552" w:rsidRPr="00D9383A" w14:paraId="401E17E2" w14:textId="77777777" w:rsidTr="00382B11">
        <w:trPr>
          <w:trHeight w:val="20"/>
        </w:trPr>
        <w:tc>
          <w:tcPr>
            <w:tcW w:w="4989" w:type="dxa"/>
            <w:shd w:val="clear" w:color="auto" w:fill="auto"/>
            <w:noWrap/>
            <w:vAlign w:val="bottom"/>
            <w:hideMark/>
          </w:tcPr>
          <w:p w14:paraId="7FF9CF94" w14:textId="77777777" w:rsidR="00850552" w:rsidRPr="008228D3" w:rsidRDefault="00850552" w:rsidP="00810C69">
            <w:pPr>
              <w:spacing w:after="0"/>
              <w:rPr>
                <w:rFonts w:ascii="Calibri" w:eastAsia="Times New Roman" w:hAnsi="Calibri" w:cs="Calibri"/>
                <w:sz w:val="20"/>
                <w:szCs w:val="20"/>
              </w:rPr>
            </w:pPr>
            <w:r w:rsidRPr="008228D3">
              <w:rPr>
                <w:rFonts w:ascii="Calibri" w:eastAsia="Times New Roman" w:hAnsi="Calibri" w:cs="Calibri"/>
                <w:sz w:val="20"/>
                <w:szCs w:val="20"/>
              </w:rPr>
              <w:t xml:space="preserve">Other </w:t>
            </w:r>
          </w:p>
        </w:tc>
        <w:tc>
          <w:tcPr>
            <w:tcW w:w="964" w:type="dxa"/>
          </w:tcPr>
          <w:p w14:paraId="2D9D5A87" w14:textId="77777777" w:rsidR="00850552" w:rsidRPr="004468B5" w:rsidRDefault="00850552" w:rsidP="004468B5">
            <w:pPr>
              <w:spacing w:after="0"/>
              <w:jc w:val="center"/>
              <w:rPr>
                <w:rFonts w:ascii="Calibri" w:eastAsia="Times New Roman" w:hAnsi="Calibri" w:cs="Calibri"/>
                <w:sz w:val="20"/>
                <w:szCs w:val="20"/>
              </w:rPr>
            </w:pPr>
            <w:r w:rsidRPr="009E068C">
              <w:rPr>
                <w:rFonts w:ascii="Calibri" w:hAnsi="Calibri" w:cs="Calibri"/>
                <w:sz w:val="20"/>
                <w:szCs w:val="22"/>
              </w:rPr>
              <w:t>&lt;=0.6%</w:t>
            </w:r>
          </w:p>
        </w:tc>
        <w:tc>
          <w:tcPr>
            <w:tcW w:w="850" w:type="dxa"/>
            <w:shd w:val="clear" w:color="auto" w:fill="auto"/>
            <w:noWrap/>
            <w:hideMark/>
          </w:tcPr>
          <w:p w14:paraId="08A6A6F7" w14:textId="77777777" w:rsidR="00850552" w:rsidRPr="004468B5" w:rsidRDefault="00850552" w:rsidP="004468B5">
            <w:pPr>
              <w:spacing w:after="0"/>
              <w:jc w:val="center"/>
              <w:rPr>
                <w:rFonts w:ascii="Calibri" w:eastAsia="Times New Roman" w:hAnsi="Calibri" w:cs="Calibri"/>
                <w:sz w:val="20"/>
                <w:szCs w:val="20"/>
              </w:rPr>
            </w:pPr>
            <w:r w:rsidRPr="0070631C">
              <w:rPr>
                <w:rFonts w:ascii="Calibri" w:hAnsi="Calibri" w:cs="Calibri"/>
                <w:sz w:val="20"/>
                <w:szCs w:val="22"/>
              </w:rPr>
              <w:t>&lt;=1.6%</w:t>
            </w:r>
          </w:p>
        </w:tc>
        <w:tc>
          <w:tcPr>
            <w:tcW w:w="850" w:type="dxa"/>
            <w:gridSpan w:val="2"/>
          </w:tcPr>
          <w:p w14:paraId="7C6014DD" w14:textId="77777777" w:rsidR="00850552" w:rsidRPr="004468B5" w:rsidRDefault="00850552" w:rsidP="004468B5">
            <w:pPr>
              <w:spacing w:after="0"/>
              <w:jc w:val="center"/>
              <w:rPr>
                <w:rFonts w:ascii="Calibri" w:eastAsia="Times New Roman" w:hAnsi="Calibri" w:cs="Calibri"/>
                <w:sz w:val="20"/>
                <w:szCs w:val="20"/>
              </w:rPr>
            </w:pPr>
            <w:r w:rsidRPr="0070631C">
              <w:rPr>
                <w:rFonts w:ascii="Calibri" w:hAnsi="Calibri" w:cs="Calibri"/>
                <w:sz w:val="20"/>
                <w:szCs w:val="22"/>
              </w:rPr>
              <w:t>&lt;=1.</w:t>
            </w:r>
            <w:r>
              <w:rPr>
                <w:rFonts w:ascii="Calibri" w:hAnsi="Calibri" w:cs="Calibri"/>
                <w:sz w:val="20"/>
                <w:szCs w:val="22"/>
              </w:rPr>
              <w:t>7</w:t>
            </w:r>
            <w:r w:rsidRPr="0070631C">
              <w:rPr>
                <w:rFonts w:ascii="Calibri" w:hAnsi="Calibri" w:cs="Calibri"/>
                <w:sz w:val="20"/>
                <w:szCs w:val="22"/>
              </w:rPr>
              <w:t>%</w:t>
            </w:r>
          </w:p>
        </w:tc>
        <w:tc>
          <w:tcPr>
            <w:tcW w:w="850" w:type="dxa"/>
            <w:gridSpan w:val="2"/>
            <w:shd w:val="clear" w:color="auto" w:fill="auto"/>
            <w:noWrap/>
            <w:hideMark/>
          </w:tcPr>
          <w:p w14:paraId="0D0D58E6" w14:textId="77777777" w:rsidR="00850552" w:rsidRPr="004468B5" w:rsidRDefault="00850552" w:rsidP="004468B5">
            <w:pPr>
              <w:spacing w:after="0"/>
              <w:jc w:val="center"/>
              <w:rPr>
                <w:rFonts w:ascii="Calibri" w:eastAsia="Times New Roman" w:hAnsi="Calibri" w:cs="Calibri"/>
                <w:sz w:val="20"/>
                <w:szCs w:val="20"/>
              </w:rPr>
            </w:pPr>
            <w:r w:rsidRPr="007810E3">
              <w:rPr>
                <w:rFonts w:ascii="Calibri" w:hAnsi="Calibri" w:cs="Calibri"/>
                <w:sz w:val="20"/>
                <w:szCs w:val="22"/>
              </w:rPr>
              <w:t>&lt;=0.4%</w:t>
            </w:r>
          </w:p>
        </w:tc>
        <w:tc>
          <w:tcPr>
            <w:tcW w:w="737" w:type="dxa"/>
            <w:gridSpan w:val="3"/>
            <w:shd w:val="clear" w:color="auto" w:fill="auto"/>
            <w:noWrap/>
            <w:vAlign w:val="center"/>
          </w:tcPr>
          <w:p w14:paraId="541837B6" w14:textId="77777777" w:rsidR="00850552" w:rsidRPr="008228D3" w:rsidRDefault="00850552" w:rsidP="00810C69">
            <w:pPr>
              <w:spacing w:after="0"/>
              <w:jc w:val="center"/>
              <w:rPr>
                <w:rFonts w:ascii="Calibri" w:eastAsia="Times New Roman" w:hAnsi="Calibri" w:cs="Calibri"/>
                <w:sz w:val="20"/>
                <w:szCs w:val="20"/>
              </w:rPr>
            </w:pPr>
          </w:p>
        </w:tc>
      </w:tr>
      <w:tr w:rsidR="004468B5" w:rsidRPr="004468B5" w14:paraId="18B74CA9" w14:textId="77777777" w:rsidTr="00382B11">
        <w:trPr>
          <w:trHeight w:val="20"/>
        </w:trPr>
        <w:tc>
          <w:tcPr>
            <w:tcW w:w="4989" w:type="dxa"/>
            <w:shd w:val="clear" w:color="auto" w:fill="auto"/>
            <w:noWrap/>
            <w:vAlign w:val="bottom"/>
            <w:hideMark/>
          </w:tcPr>
          <w:p w14:paraId="5D871FFA" w14:textId="77777777" w:rsidR="004468B5" w:rsidRPr="004468B5" w:rsidRDefault="004468B5" w:rsidP="00810C69">
            <w:pPr>
              <w:spacing w:after="0"/>
              <w:rPr>
                <w:rFonts w:ascii="Calibri" w:eastAsia="Times New Roman" w:hAnsi="Calibri" w:cs="Calibri"/>
                <w:sz w:val="20"/>
                <w:szCs w:val="20"/>
              </w:rPr>
            </w:pPr>
            <w:r w:rsidRPr="004468B5">
              <w:rPr>
                <w:rFonts w:ascii="Calibri" w:eastAsia="Times New Roman" w:hAnsi="Calibri" w:cs="Calibri"/>
                <w:sz w:val="20"/>
                <w:szCs w:val="20"/>
              </w:rPr>
              <w:t>Total</w:t>
            </w:r>
          </w:p>
        </w:tc>
        <w:tc>
          <w:tcPr>
            <w:tcW w:w="964" w:type="dxa"/>
            <w:vAlign w:val="center"/>
          </w:tcPr>
          <w:p w14:paraId="23E2A2B9" w14:textId="77777777" w:rsidR="004468B5" w:rsidRPr="004468B5" w:rsidRDefault="004468B5" w:rsidP="004468B5">
            <w:pPr>
              <w:spacing w:after="0"/>
              <w:jc w:val="center"/>
              <w:rPr>
                <w:rFonts w:ascii="Calibri" w:eastAsia="Times New Roman" w:hAnsi="Calibri" w:cs="Calibri"/>
                <w:sz w:val="20"/>
                <w:szCs w:val="20"/>
              </w:rPr>
            </w:pPr>
            <w:r w:rsidRPr="004468B5">
              <w:rPr>
                <w:rFonts w:ascii="Calibri" w:hAnsi="Calibri" w:cs="Calibri"/>
                <w:bCs/>
                <w:color w:val="000000"/>
                <w:sz w:val="20"/>
                <w:szCs w:val="22"/>
              </w:rPr>
              <w:t>100%</w:t>
            </w:r>
          </w:p>
        </w:tc>
        <w:tc>
          <w:tcPr>
            <w:tcW w:w="850" w:type="dxa"/>
            <w:shd w:val="clear" w:color="auto" w:fill="auto"/>
            <w:noWrap/>
            <w:vAlign w:val="center"/>
            <w:hideMark/>
          </w:tcPr>
          <w:p w14:paraId="48895212" w14:textId="77777777" w:rsidR="004468B5" w:rsidRPr="004468B5" w:rsidRDefault="004468B5" w:rsidP="004468B5">
            <w:pPr>
              <w:spacing w:after="0"/>
              <w:jc w:val="center"/>
              <w:rPr>
                <w:rFonts w:ascii="Calibri" w:eastAsia="Times New Roman" w:hAnsi="Calibri" w:cs="Calibri"/>
                <w:sz w:val="20"/>
                <w:szCs w:val="20"/>
              </w:rPr>
            </w:pPr>
            <w:r w:rsidRPr="004468B5">
              <w:rPr>
                <w:rFonts w:ascii="Calibri" w:hAnsi="Calibri" w:cs="Calibri"/>
                <w:bCs/>
                <w:color w:val="000000"/>
                <w:sz w:val="20"/>
                <w:szCs w:val="22"/>
              </w:rPr>
              <w:t>100%</w:t>
            </w:r>
          </w:p>
        </w:tc>
        <w:tc>
          <w:tcPr>
            <w:tcW w:w="850" w:type="dxa"/>
            <w:gridSpan w:val="2"/>
            <w:vAlign w:val="center"/>
          </w:tcPr>
          <w:p w14:paraId="571E6596" w14:textId="77777777" w:rsidR="004468B5" w:rsidRPr="004468B5" w:rsidRDefault="004468B5" w:rsidP="004468B5">
            <w:pPr>
              <w:spacing w:after="0"/>
              <w:jc w:val="center"/>
              <w:rPr>
                <w:rFonts w:ascii="Calibri" w:eastAsia="Times New Roman" w:hAnsi="Calibri" w:cs="Calibri"/>
                <w:sz w:val="20"/>
                <w:szCs w:val="20"/>
              </w:rPr>
            </w:pPr>
            <w:r w:rsidRPr="004468B5">
              <w:rPr>
                <w:rFonts w:ascii="Calibri" w:hAnsi="Calibri" w:cs="Calibri"/>
                <w:bCs/>
                <w:color w:val="000000"/>
                <w:sz w:val="20"/>
                <w:szCs w:val="22"/>
              </w:rPr>
              <w:t>100%</w:t>
            </w:r>
          </w:p>
        </w:tc>
        <w:tc>
          <w:tcPr>
            <w:tcW w:w="850" w:type="dxa"/>
            <w:gridSpan w:val="2"/>
            <w:shd w:val="clear" w:color="auto" w:fill="auto"/>
            <w:noWrap/>
            <w:vAlign w:val="center"/>
            <w:hideMark/>
          </w:tcPr>
          <w:p w14:paraId="442C1EA8" w14:textId="77777777" w:rsidR="004468B5" w:rsidRPr="004468B5" w:rsidRDefault="004468B5" w:rsidP="004468B5">
            <w:pPr>
              <w:spacing w:after="0"/>
              <w:jc w:val="center"/>
              <w:rPr>
                <w:rFonts w:ascii="Calibri" w:eastAsia="Times New Roman" w:hAnsi="Calibri" w:cs="Calibri"/>
                <w:sz w:val="20"/>
                <w:szCs w:val="20"/>
              </w:rPr>
            </w:pPr>
            <w:r w:rsidRPr="004468B5">
              <w:rPr>
                <w:rFonts w:ascii="Calibri" w:hAnsi="Calibri" w:cs="Calibri"/>
                <w:bCs/>
                <w:color w:val="000000"/>
                <w:sz w:val="20"/>
                <w:szCs w:val="22"/>
              </w:rPr>
              <w:t>100%</w:t>
            </w:r>
          </w:p>
        </w:tc>
        <w:tc>
          <w:tcPr>
            <w:tcW w:w="737" w:type="dxa"/>
            <w:gridSpan w:val="3"/>
            <w:shd w:val="clear" w:color="auto" w:fill="auto"/>
            <w:noWrap/>
            <w:vAlign w:val="center"/>
          </w:tcPr>
          <w:p w14:paraId="6BA0F3D6" w14:textId="77777777" w:rsidR="004468B5" w:rsidRPr="004468B5" w:rsidRDefault="004468B5" w:rsidP="00810C69">
            <w:pPr>
              <w:spacing w:after="0"/>
              <w:jc w:val="center"/>
              <w:rPr>
                <w:rFonts w:ascii="Calibri" w:eastAsia="Times New Roman" w:hAnsi="Calibri" w:cs="Calibri"/>
                <w:sz w:val="20"/>
                <w:szCs w:val="20"/>
              </w:rPr>
            </w:pPr>
          </w:p>
        </w:tc>
      </w:tr>
    </w:tbl>
    <w:p w14:paraId="4B04A2DF" w14:textId="77777777" w:rsidR="004468B5" w:rsidRDefault="004468B5" w:rsidP="001D72A5">
      <w:pPr>
        <w:pStyle w:val="Notes"/>
      </w:pPr>
      <w:r>
        <w:t xml:space="preserve">Note: GF = grandfathering. </w:t>
      </w:r>
      <w:r>
        <w:br/>
        <w:t>(sd) = the patient initiated this medicine group and the prior one on the same day.</w:t>
      </w:r>
      <w:r>
        <w:br/>
        <w:t xml:space="preserve">Patient counts </w:t>
      </w:r>
      <w:r w:rsidR="00C232F9">
        <w:t xml:space="preserve">and percentages </w:t>
      </w:r>
      <w:r>
        <w:t xml:space="preserve">may be slightly perturbed </w:t>
      </w:r>
      <w:r w:rsidRPr="005C070C">
        <w:t>to protect confidentiality</w:t>
      </w:r>
      <w:r>
        <w:t>.</w:t>
      </w:r>
    </w:p>
    <w:p w14:paraId="0BE916B0" w14:textId="77777777" w:rsidR="0043545A" w:rsidRDefault="00587173" w:rsidP="00382B11">
      <w:pPr>
        <w:rPr>
          <w:rFonts w:ascii="Calibri" w:eastAsia="MS Mincho" w:hAnsi="Calibri" w:cs="Times New Roman"/>
        </w:rPr>
      </w:pPr>
      <w:r>
        <w:rPr>
          <w:rFonts w:ascii="Calibri" w:eastAsia="MS Mincho" w:hAnsi="Calibri" w:cs="Times New Roman"/>
        </w:rPr>
        <w:t>Almost half of Int-1 risk patients had no</w:t>
      </w:r>
      <w:r w:rsidR="005012E1">
        <w:rPr>
          <w:rFonts w:ascii="Calibri" w:eastAsia="MS Mincho" w:hAnsi="Calibri" w:cs="Times New Roman"/>
        </w:rPr>
        <w:t>t had</w:t>
      </w:r>
      <w:r>
        <w:rPr>
          <w:rFonts w:ascii="Calibri" w:eastAsia="MS Mincho" w:hAnsi="Calibri" w:cs="Times New Roman"/>
        </w:rPr>
        <w:t xml:space="preserve"> PBS hydroxyurea in the two years prior to commencing ruxolitinib</w:t>
      </w:r>
      <w:r w:rsidR="00C232F9">
        <w:rPr>
          <w:rFonts w:ascii="Calibri" w:eastAsia="MS Mincho" w:hAnsi="Calibri" w:cs="Times New Roman"/>
        </w:rPr>
        <w:t xml:space="preserve">. </w:t>
      </w:r>
      <w:r w:rsidR="005012E1">
        <w:rPr>
          <w:rFonts w:ascii="Calibri" w:eastAsia="MS Mincho" w:hAnsi="Calibri" w:cs="Times New Roman"/>
        </w:rPr>
        <w:t xml:space="preserve">More than one third of int-2, high risk </w:t>
      </w:r>
      <w:r w:rsidR="00C41DC0">
        <w:rPr>
          <w:rFonts w:ascii="Calibri" w:eastAsia="MS Mincho" w:hAnsi="Calibri" w:cs="Times New Roman"/>
        </w:rPr>
        <w:t xml:space="preserve">and </w:t>
      </w:r>
      <w:r w:rsidR="005012E1">
        <w:rPr>
          <w:rFonts w:ascii="Calibri" w:eastAsia="MS Mincho" w:hAnsi="Calibri" w:cs="Times New Roman"/>
        </w:rPr>
        <w:t>grandfathered patients had hydroxyurea in the previous two years likely reflecting disease severity and the available therapies</w:t>
      </w:r>
      <w:r w:rsidR="0043545A">
        <w:rPr>
          <w:rFonts w:ascii="Calibri" w:eastAsia="MS Mincho" w:hAnsi="Calibri" w:cs="Times New Roman"/>
        </w:rPr>
        <w:t>.</w:t>
      </w:r>
    </w:p>
    <w:p w14:paraId="081810F8" w14:textId="77777777" w:rsidR="007D6197" w:rsidRDefault="007D6197" w:rsidP="007D6197">
      <w:pPr>
        <w:pStyle w:val="Heading1"/>
      </w:pPr>
      <w:r>
        <w:t>DUSC consideration</w:t>
      </w:r>
    </w:p>
    <w:p w14:paraId="1E4FA1F5" w14:textId="77777777" w:rsidR="00EE08D8" w:rsidRPr="00EE08D8" w:rsidRDefault="00EE08D8" w:rsidP="00EE08D8">
      <w:r w:rsidRPr="00EE08D8">
        <w:t>DUSC noted that:</w:t>
      </w:r>
    </w:p>
    <w:p w14:paraId="7004FFC1" w14:textId="77777777" w:rsidR="00EE08D8" w:rsidRPr="00EE08D8" w:rsidRDefault="00EE08D8" w:rsidP="00EE08D8">
      <w:pPr>
        <w:pStyle w:val="ListParagraph"/>
        <w:numPr>
          <w:ilvl w:val="0"/>
          <w:numId w:val="30"/>
        </w:numPr>
        <w:spacing w:after="0"/>
        <w:rPr>
          <w:bCs/>
        </w:rPr>
      </w:pPr>
      <w:r w:rsidRPr="00EE08D8">
        <w:rPr>
          <w:bCs/>
        </w:rPr>
        <w:t xml:space="preserve">Myelofibrosis is a heterogeneous condition that is an end point for a range of other conditions. This made it difficult to predict the number of patients accurately. </w:t>
      </w:r>
    </w:p>
    <w:p w14:paraId="0AD48175" w14:textId="77777777" w:rsidR="00EE08D8" w:rsidRPr="00EE08D8" w:rsidRDefault="00EE08D8" w:rsidP="00EE08D8">
      <w:pPr>
        <w:pStyle w:val="ListParagraph"/>
        <w:numPr>
          <w:ilvl w:val="0"/>
          <w:numId w:val="30"/>
        </w:numPr>
        <w:spacing w:after="0"/>
        <w:rPr>
          <w:bCs/>
        </w:rPr>
      </w:pPr>
      <w:r w:rsidRPr="00EE08D8">
        <w:rPr>
          <w:bCs/>
        </w:rPr>
        <w:t>The Sponsor claimed in their Pre-Sub Committee Response (PSCR) that the greater than predicted number of patients may have been due to “</w:t>
      </w:r>
      <w:r w:rsidRPr="00EE08D8">
        <w:t xml:space="preserve">a decrease in use of bone marrow biopsies prior to the listing of ruxolitinib that may have skewed data to provide an underestimate on incident cases as there may have been a lower number recorded due to </w:t>
      </w:r>
      <w:r w:rsidRPr="00EE08D8">
        <w:lastRenderedPageBreak/>
        <w:t>the absence of a confirmatory diagnosis.”</w:t>
      </w:r>
      <w:r>
        <w:br/>
      </w:r>
    </w:p>
    <w:p w14:paraId="1577202D" w14:textId="77777777" w:rsidR="007D6197" w:rsidRPr="00EE08D8" w:rsidRDefault="00EE08D8" w:rsidP="00EE08D8">
      <w:r w:rsidRPr="00EE08D8">
        <w:rPr>
          <w:rFonts w:eastAsia="MS Mincho"/>
        </w:rPr>
        <w:t>Almost half (i.e. 45.5%) of Int-1 risk patients had not had PBS hydroxyurea in the two years prior to commencing ruxolitinib. DUSC considered that this was lower than expected in this group of patients that were required by the restriction to be “resistant, refractory or intolerant to available therapy”. DUSC noted that a risk-sharing arrangement was in place which may manage any additional cost from this practice.</w:t>
      </w:r>
      <w:r w:rsidRPr="00EE08D8">
        <w:rPr>
          <w:bCs/>
        </w:rPr>
        <w:t xml:space="preserve"> DUSC advised that the PBAC may wish to consider whether or not this lower rate of prior treatment with hydroxyurea is consistent with the current treatment algorithm. As part of this consideration, DUSC noted that the advice within the PSCR about the variety of drugs that myelofibrosis patients may be treated with may be relevant.</w:t>
      </w:r>
    </w:p>
    <w:p w14:paraId="161A1A71" w14:textId="77777777" w:rsidR="007D6197" w:rsidRDefault="007D6197" w:rsidP="007D6197">
      <w:pPr>
        <w:pStyle w:val="Heading1"/>
      </w:pPr>
      <w:r>
        <w:t>DUSC actions</w:t>
      </w:r>
    </w:p>
    <w:p w14:paraId="02752E75" w14:textId="77777777" w:rsidR="007D6197" w:rsidRPr="00C11DDB" w:rsidRDefault="007D6197" w:rsidP="007D6197">
      <w:pPr>
        <w:rPr>
          <w:highlight w:val="black"/>
        </w:rPr>
      </w:pPr>
      <w:r>
        <w:t>The report, Sponsor responses and DUSC minutes were referred to the PBAC.</w:t>
      </w:r>
    </w:p>
    <w:p w14:paraId="6483E3F7" w14:textId="77777777" w:rsidR="007D6197" w:rsidRDefault="007D6197" w:rsidP="007D6197">
      <w:pPr>
        <w:pStyle w:val="Heading1"/>
      </w:pPr>
      <w:r w:rsidRPr="0092516A">
        <w:t>Context for analysis</w:t>
      </w:r>
    </w:p>
    <w:p w14:paraId="32CD740B" w14:textId="77777777" w:rsidR="007D6197" w:rsidRDefault="007D6197" w:rsidP="007D6197">
      <w:r>
        <w:t>The DUSC is a Sub Committee of the Pharmaceutical Benefits Advisory Committee (PBAC). The DUSC assesses estimates on projected usage and financial cost of medicines.</w:t>
      </w:r>
    </w:p>
    <w:p w14:paraId="0EE99766" w14:textId="77777777" w:rsidR="007D6197" w:rsidRDefault="007D6197" w:rsidP="007D6197">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3261EFE2" w14:textId="77777777" w:rsidR="007D6197" w:rsidRDefault="007D6197" w:rsidP="007D6197">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14:paraId="723C840B" w14:textId="77777777" w:rsidR="007D6197" w:rsidRDefault="007D6197" w:rsidP="007D6197">
      <w:r>
        <w:t>The utilisation analysis report was provided to the pharmaceutical sponsors of each drug and comments on the report were provided to DUSC prior to its consideration of the analysis.</w:t>
      </w:r>
    </w:p>
    <w:p w14:paraId="16A29D20" w14:textId="77777777" w:rsidR="007D6197" w:rsidRDefault="007D6197" w:rsidP="007D6197">
      <w:pPr>
        <w:pStyle w:val="Heading1"/>
      </w:pPr>
      <w:r>
        <w:t>Sponsor</w:t>
      </w:r>
      <w:r w:rsidRPr="0092516A">
        <w:t>s</w:t>
      </w:r>
      <w:r>
        <w:t>’</w:t>
      </w:r>
      <w:r w:rsidRPr="0092516A">
        <w:t xml:space="preserve"> comments</w:t>
      </w:r>
    </w:p>
    <w:p w14:paraId="7772834D" w14:textId="6C0F0E0A" w:rsidR="00022662" w:rsidRPr="00022662" w:rsidRDefault="00022662" w:rsidP="00022662">
      <w:r>
        <w:t>N</w:t>
      </w:r>
      <w:r w:rsidR="008B3E32">
        <w:t>ovartis</w:t>
      </w:r>
      <w:r>
        <w:t xml:space="preserve"> Pharmaceuticals Australia Pty Limited (Jakavi®):</w:t>
      </w:r>
      <w:r w:rsidR="00F831B0">
        <w:t xml:space="preserve"> </w:t>
      </w:r>
      <w:r w:rsidR="00F831B0">
        <w:t>The sponsor has no comment.</w:t>
      </w:r>
    </w:p>
    <w:p w14:paraId="29082270" w14:textId="77777777" w:rsidR="007D6197" w:rsidRDefault="007D6197" w:rsidP="007D6197">
      <w:pPr>
        <w:pStyle w:val="Heading1"/>
      </w:pPr>
      <w:r w:rsidRPr="00A4020E">
        <w:t>Disclaimer</w:t>
      </w:r>
    </w:p>
    <w:p w14:paraId="381DE6F3" w14:textId="77777777" w:rsidR="007D6197" w:rsidRDefault="007D6197" w:rsidP="007D6197">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14:paraId="6E31BDF5" w14:textId="77777777" w:rsidR="007D6197" w:rsidRDefault="007D6197" w:rsidP="007D6197">
      <w:r>
        <w:t>The Department of Health (DoH)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14:paraId="05515D5D" w14:textId="77777777" w:rsidR="007D6197" w:rsidRDefault="007D6197" w:rsidP="007D6197">
      <w:r>
        <w:t xml:space="preserve">To the extent provided by law, DoH makes no warranties or representations as to accuracy or completeness of information contained in this report. </w:t>
      </w:r>
    </w:p>
    <w:p w14:paraId="1D7767EB" w14:textId="77777777" w:rsidR="007D6197" w:rsidRDefault="007D6197" w:rsidP="007D6197">
      <w:r>
        <w:t>To the fullest extent permitted by law, neither the DoH nor any DoH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14:paraId="08DA5F84" w14:textId="77777777" w:rsidR="007D6197" w:rsidRDefault="007D6197" w:rsidP="007D6197">
      <w:pPr>
        <w:spacing w:before="60" w:after="0"/>
      </w:pPr>
    </w:p>
    <w:p w14:paraId="3C8F06D2" w14:textId="77777777" w:rsidR="007D6197" w:rsidRDefault="007D6197" w:rsidP="00FA5C45">
      <w:pPr>
        <w:rPr>
          <w:rFonts w:ascii="Calibri" w:eastAsia="MS Mincho" w:hAnsi="Calibri" w:cs="Times New Roman"/>
        </w:rPr>
      </w:pPr>
    </w:p>
    <w:sectPr w:rsidR="007D6197" w:rsidSect="00DD188C">
      <w:footerReference w:type="even" r:id="rId28"/>
      <w:footerReference w:type="default" r:id="rId29"/>
      <w:footerReference w:type="first" r:id="rId30"/>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64EDF" w14:textId="77777777" w:rsidR="00B02BB1" w:rsidRDefault="00B02BB1" w:rsidP="00A35800">
      <w:r>
        <w:separator/>
      </w:r>
    </w:p>
  </w:endnote>
  <w:endnote w:type="continuationSeparator" w:id="0">
    <w:p w14:paraId="3A3A9526" w14:textId="77777777" w:rsidR="00B02BB1" w:rsidRDefault="00B02BB1"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Sabon">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75C46" w14:textId="77777777" w:rsidR="00B02BB1" w:rsidRDefault="00B02BB1"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61B926A" w14:textId="77777777" w:rsidR="00B02BB1" w:rsidRDefault="00B02BB1"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187408"/>
      <w:docPartObj>
        <w:docPartGallery w:val="Page Numbers (Bottom of Page)"/>
        <w:docPartUnique/>
      </w:docPartObj>
    </w:sdtPr>
    <w:sdtContent>
      <w:sdt>
        <w:sdtPr>
          <w:id w:val="1591584420"/>
          <w:docPartObj>
            <w:docPartGallery w:val="Page Numbers (Top of Page)"/>
            <w:docPartUnique/>
          </w:docPartObj>
        </w:sdtPr>
        <w:sdtContent>
          <w:p w14:paraId="2EF01E57" w14:textId="4911B69F" w:rsidR="00B02BB1" w:rsidRDefault="00B02BB1" w:rsidP="000E72C6">
            <w:pPr>
              <w:pStyle w:val="Footer"/>
              <w:jc w:val="center"/>
              <w:rPr>
                <w:i/>
                <w:sz w:val="20"/>
              </w:rPr>
            </w:pPr>
            <w:r w:rsidRPr="00E35485">
              <w:rPr>
                <w:i/>
                <w:sz w:val="20"/>
              </w:rPr>
              <w:t>Public Release Document</w:t>
            </w:r>
            <w:r>
              <w:rPr>
                <w:i/>
                <w:sz w:val="20"/>
              </w:rPr>
              <w:t>, September 2018 DUSC Meeting</w:t>
            </w:r>
          </w:p>
          <w:p w14:paraId="4CC8AFBE" w14:textId="3E397351" w:rsidR="00B02BB1" w:rsidRDefault="00B02BB1"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2A64D4">
              <w:rPr>
                <w:bCs/>
                <w:i/>
                <w:noProof/>
                <w:sz w:val="20"/>
              </w:rPr>
              <w:t>24</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2A64D4">
              <w:rPr>
                <w:bCs/>
                <w:i/>
                <w:noProof/>
                <w:sz w:val="20"/>
              </w:rPr>
              <w:t>24</w:t>
            </w:r>
            <w:r w:rsidRPr="00DD188C">
              <w:rPr>
                <w:bCs/>
                <w:i/>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D1334" w14:textId="77777777" w:rsidR="00B02BB1" w:rsidRDefault="00B02BB1" w:rsidP="007A5733">
    <w:pPr>
      <w:pStyle w:val="Footer"/>
      <w:jc w:val="center"/>
      <w:rPr>
        <w:rStyle w:val="PageNumber"/>
      </w:rPr>
    </w:pPr>
    <w:r>
      <w:rPr>
        <w:rStyle w:val="PageNumber"/>
      </w:rPr>
      <w:t>Committee-in-Confidence</w:t>
    </w:r>
  </w:p>
  <w:p w14:paraId="43A686A2" w14:textId="77777777" w:rsidR="00B02BB1" w:rsidRDefault="00B02BB1" w:rsidP="007A573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72B8B" w14:textId="77777777" w:rsidR="00B02BB1" w:rsidRDefault="00B02BB1" w:rsidP="00A35800">
      <w:r>
        <w:separator/>
      </w:r>
    </w:p>
  </w:footnote>
  <w:footnote w:type="continuationSeparator" w:id="0">
    <w:p w14:paraId="3095C07B" w14:textId="77777777" w:rsidR="00B02BB1" w:rsidRDefault="00B02BB1" w:rsidP="00A35800">
      <w:r>
        <w:continuationSeparator/>
      </w:r>
    </w:p>
  </w:footnote>
  <w:footnote w:id="1">
    <w:p w14:paraId="5473C077" w14:textId="77777777" w:rsidR="00B02BB1" w:rsidRPr="009C6169" w:rsidRDefault="00B02BB1" w:rsidP="00431FB2">
      <w:pPr>
        <w:pStyle w:val="FootnoteText"/>
        <w:rPr>
          <w:szCs w:val="18"/>
        </w:rPr>
      </w:pPr>
      <w:r>
        <w:rPr>
          <w:rStyle w:val="FootnoteReference"/>
        </w:rPr>
        <w:footnoteRef/>
      </w:r>
      <w:r>
        <w:t xml:space="preserve"> J</w:t>
      </w:r>
      <w:r w:rsidRPr="007C40A2">
        <w:rPr>
          <w:szCs w:val="18"/>
        </w:rPr>
        <w:t>akavi® (Ruxolitinib phosphate), Consumer Medicine Information, September 2017. Accessed on: 28 June 2018 at</w:t>
      </w:r>
      <w:r>
        <w:rPr>
          <w:szCs w:val="18"/>
        </w:rPr>
        <w:t>: </w:t>
      </w:r>
      <w:hyperlink r:id="rId1" w:history="1">
        <w:r w:rsidRPr="00ED66CF">
          <w:rPr>
            <w:rStyle w:val="Hyperlink"/>
            <w:szCs w:val="18"/>
          </w:rPr>
          <w:t>https://www.ebs.tga.gov.au/ebs/</w:t>
        </w:r>
      </w:hyperlink>
    </w:p>
  </w:footnote>
  <w:footnote w:id="2">
    <w:p w14:paraId="77AB6A45" w14:textId="77777777" w:rsidR="00B02BB1" w:rsidRPr="009C6169" w:rsidRDefault="00B02BB1" w:rsidP="00431FB2">
      <w:pPr>
        <w:pStyle w:val="FootnoteText"/>
        <w:rPr>
          <w:szCs w:val="18"/>
        </w:rPr>
      </w:pPr>
      <w:r w:rsidRPr="009C6169">
        <w:rPr>
          <w:rStyle w:val="FootnoteReference"/>
          <w:szCs w:val="18"/>
        </w:rPr>
        <w:footnoteRef/>
      </w:r>
      <w:r>
        <w:rPr>
          <w:szCs w:val="18"/>
        </w:rPr>
        <w:t xml:space="preserve"> Leukaemia Foundation. </w:t>
      </w:r>
      <w:r w:rsidRPr="009C6169">
        <w:rPr>
          <w:szCs w:val="18"/>
        </w:rPr>
        <w:t>Accessed on: 28 June 2018 at</w:t>
      </w:r>
      <w:r>
        <w:rPr>
          <w:szCs w:val="18"/>
        </w:rPr>
        <w:t>:</w:t>
      </w:r>
      <w:r w:rsidRPr="009C6169">
        <w:rPr>
          <w:szCs w:val="18"/>
        </w:rPr>
        <w:t xml:space="preserve"> </w:t>
      </w:r>
      <w:hyperlink r:id="rId2" w:history="1">
        <w:r w:rsidRPr="00ED66CF">
          <w:rPr>
            <w:rStyle w:val="Hyperlink"/>
            <w:szCs w:val="18"/>
          </w:rPr>
          <w:t>https://www.leukaemia.org.au/</w:t>
        </w:r>
      </w:hyperlink>
    </w:p>
  </w:footnote>
  <w:footnote w:id="3">
    <w:p w14:paraId="0618DF7E" w14:textId="77777777" w:rsidR="00B02BB1" w:rsidRPr="00EE3C8B" w:rsidRDefault="00B02BB1" w:rsidP="00431FB2">
      <w:pPr>
        <w:spacing w:after="0"/>
        <w:rPr>
          <w:rFonts w:cstheme="minorHAnsi"/>
          <w:color w:val="000000"/>
          <w:szCs w:val="18"/>
          <w:shd w:val="clear" w:color="auto" w:fill="FFFFFF"/>
        </w:rPr>
      </w:pPr>
      <w:r w:rsidRPr="00EE3C8B">
        <w:rPr>
          <w:rStyle w:val="FootnoteReference"/>
          <w:sz w:val="18"/>
          <w:szCs w:val="18"/>
        </w:rPr>
        <w:footnoteRef/>
      </w:r>
      <w:r w:rsidRPr="00EE3C8B">
        <w:rPr>
          <w:sz w:val="18"/>
          <w:szCs w:val="18"/>
        </w:rPr>
        <w:t xml:space="preserve"> </w:t>
      </w:r>
      <w:r>
        <w:rPr>
          <w:rFonts w:cstheme="minorHAnsi"/>
          <w:sz w:val="18"/>
          <w:szCs w:val="18"/>
        </w:rPr>
        <w:t>Tefferi</w:t>
      </w:r>
      <w:r w:rsidRPr="00EE3C8B">
        <w:rPr>
          <w:rFonts w:cstheme="minorHAnsi"/>
          <w:sz w:val="18"/>
          <w:szCs w:val="18"/>
        </w:rPr>
        <w:t xml:space="preserve"> A. Primary myelofibrosis: 2017 update on diagnosis, risk-stratification, and management. American Journal of Hema</w:t>
      </w:r>
      <w:r w:rsidRPr="007C40A2">
        <w:rPr>
          <w:rFonts w:cstheme="minorHAnsi"/>
          <w:sz w:val="18"/>
          <w:szCs w:val="18"/>
        </w:rPr>
        <w:t>tology</w:t>
      </w:r>
      <w:r>
        <w:rPr>
          <w:rFonts w:cstheme="minorHAnsi"/>
          <w:sz w:val="18"/>
          <w:szCs w:val="18"/>
        </w:rPr>
        <w:t xml:space="preserve"> 2016;</w:t>
      </w:r>
      <w:r w:rsidRPr="007C40A2">
        <w:rPr>
          <w:rFonts w:cstheme="minorHAnsi"/>
          <w:sz w:val="18"/>
          <w:szCs w:val="18"/>
        </w:rPr>
        <w:t xml:space="preserve"> 91</w:t>
      </w:r>
      <w:r>
        <w:rPr>
          <w:rFonts w:cstheme="minorHAnsi"/>
          <w:sz w:val="18"/>
          <w:szCs w:val="18"/>
        </w:rPr>
        <w:t>(</w:t>
      </w:r>
      <w:r w:rsidRPr="007C40A2">
        <w:rPr>
          <w:rFonts w:cstheme="minorHAnsi"/>
          <w:sz w:val="18"/>
          <w:szCs w:val="18"/>
        </w:rPr>
        <w:t>12</w:t>
      </w:r>
      <w:r>
        <w:rPr>
          <w:rFonts w:cstheme="minorHAnsi"/>
          <w:sz w:val="18"/>
          <w:szCs w:val="18"/>
        </w:rPr>
        <w:t>):</w:t>
      </w:r>
      <w:r w:rsidRPr="004C1587">
        <w:rPr>
          <w:rFonts w:ascii="Arial" w:hAnsi="Arial" w:cs="Arial"/>
          <w:color w:val="1C1D1E"/>
          <w:shd w:val="clear" w:color="auto" w:fill="FFFFFF"/>
        </w:rPr>
        <w:t xml:space="preserve"> </w:t>
      </w:r>
      <w:r w:rsidRPr="004C1587">
        <w:rPr>
          <w:rFonts w:cstheme="minorHAnsi"/>
          <w:sz w:val="18"/>
          <w:szCs w:val="18"/>
        </w:rPr>
        <w:t>1262–1271</w:t>
      </w:r>
      <w:r w:rsidRPr="007C40A2">
        <w:rPr>
          <w:rFonts w:cstheme="minorHAnsi"/>
          <w:sz w:val="18"/>
          <w:szCs w:val="18"/>
        </w:rPr>
        <w:t xml:space="preserve">. DOI: </w:t>
      </w:r>
      <w:hyperlink r:id="rId3" w:history="1">
        <w:r w:rsidRPr="00530131">
          <w:rPr>
            <w:rStyle w:val="Hyperlink"/>
            <w:sz w:val="18"/>
            <w:szCs w:val="20"/>
          </w:rPr>
          <w:t>https://doi.org/10.1002/ajh.24592</w:t>
        </w:r>
      </w:hyperlink>
    </w:p>
  </w:footnote>
  <w:footnote w:id="4">
    <w:p w14:paraId="03429328" w14:textId="77777777" w:rsidR="00B02BB1" w:rsidRPr="00EE3C8B" w:rsidRDefault="00B02BB1" w:rsidP="00431FB2">
      <w:pPr>
        <w:autoSpaceDE w:val="0"/>
        <w:autoSpaceDN w:val="0"/>
        <w:adjustRightInd w:val="0"/>
        <w:spacing w:after="0"/>
        <w:rPr>
          <w:rFonts w:ascii="Calibri" w:hAnsi="Calibri" w:cs="Calibri"/>
          <w:szCs w:val="18"/>
        </w:rPr>
      </w:pPr>
      <w:r w:rsidRPr="00EE3C8B">
        <w:rPr>
          <w:rStyle w:val="FootnoteReference"/>
          <w:rFonts w:ascii="Calibri" w:hAnsi="Calibri" w:cs="Calibri"/>
          <w:sz w:val="18"/>
          <w:szCs w:val="18"/>
        </w:rPr>
        <w:footnoteRef/>
      </w:r>
      <w:r>
        <w:rPr>
          <w:rFonts w:ascii="Calibri" w:hAnsi="Calibri" w:cs="Calibri"/>
          <w:sz w:val="18"/>
          <w:szCs w:val="18"/>
        </w:rPr>
        <w:t xml:space="preserve"> Passamonti F</w:t>
      </w:r>
      <w:r w:rsidRPr="004C1587">
        <w:rPr>
          <w:rFonts w:ascii="Calibri" w:hAnsi="Calibri" w:cs="Calibri"/>
          <w:sz w:val="18"/>
          <w:szCs w:val="18"/>
        </w:rPr>
        <w:t>,  Cervantes</w:t>
      </w:r>
      <w:r>
        <w:rPr>
          <w:rFonts w:ascii="Calibri" w:hAnsi="Calibri" w:cs="Calibri"/>
          <w:sz w:val="18"/>
          <w:szCs w:val="18"/>
        </w:rPr>
        <w:t xml:space="preserve"> F</w:t>
      </w:r>
      <w:r w:rsidRPr="004C1587">
        <w:rPr>
          <w:rFonts w:ascii="Calibri" w:hAnsi="Calibri" w:cs="Calibri"/>
          <w:sz w:val="18"/>
          <w:szCs w:val="18"/>
        </w:rPr>
        <w:t>,  Vannucchi</w:t>
      </w:r>
      <w:r>
        <w:rPr>
          <w:rFonts w:ascii="Calibri" w:hAnsi="Calibri" w:cs="Calibri"/>
          <w:sz w:val="18"/>
          <w:szCs w:val="18"/>
        </w:rPr>
        <w:t xml:space="preserve"> AM</w:t>
      </w:r>
      <w:r w:rsidRPr="004C1587">
        <w:rPr>
          <w:rFonts w:ascii="Calibri" w:hAnsi="Calibri" w:cs="Calibri"/>
          <w:sz w:val="18"/>
          <w:szCs w:val="18"/>
        </w:rPr>
        <w:t>,  Morra</w:t>
      </w:r>
      <w:r>
        <w:rPr>
          <w:rFonts w:ascii="Calibri" w:hAnsi="Calibri" w:cs="Calibri"/>
          <w:sz w:val="18"/>
          <w:szCs w:val="18"/>
        </w:rPr>
        <w:t xml:space="preserve"> E</w:t>
      </w:r>
      <w:r w:rsidRPr="004C1587">
        <w:rPr>
          <w:rFonts w:ascii="Calibri" w:hAnsi="Calibri" w:cs="Calibri"/>
          <w:sz w:val="18"/>
          <w:szCs w:val="18"/>
        </w:rPr>
        <w:t>, Rumi</w:t>
      </w:r>
      <w:r>
        <w:rPr>
          <w:rFonts w:ascii="Calibri" w:hAnsi="Calibri" w:cs="Calibri"/>
          <w:sz w:val="18"/>
          <w:szCs w:val="18"/>
        </w:rPr>
        <w:t xml:space="preserve"> E</w:t>
      </w:r>
      <w:r w:rsidRPr="004C1587">
        <w:rPr>
          <w:rFonts w:ascii="Calibri" w:hAnsi="Calibri" w:cs="Calibri"/>
          <w:sz w:val="18"/>
          <w:szCs w:val="18"/>
        </w:rPr>
        <w:t>,  Pereira</w:t>
      </w:r>
      <w:r>
        <w:rPr>
          <w:rFonts w:ascii="Calibri" w:hAnsi="Calibri" w:cs="Calibri"/>
          <w:sz w:val="18"/>
          <w:szCs w:val="18"/>
        </w:rPr>
        <w:t xml:space="preserve"> A</w:t>
      </w:r>
      <w:r w:rsidRPr="004C1587">
        <w:rPr>
          <w:rFonts w:ascii="Calibri" w:hAnsi="Calibri" w:cs="Calibri"/>
          <w:sz w:val="18"/>
          <w:szCs w:val="18"/>
        </w:rPr>
        <w:t>,</w:t>
      </w:r>
      <w:r>
        <w:rPr>
          <w:rFonts w:ascii="Calibri" w:hAnsi="Calibri" w:cs="Calibri"/>
          <w:sz w:val="18"/>
          <w:szCs w:val="18"/>
        </w:rPr>
        <w:t xml:space="preserve"> </w:t>
      </w:r>
      <w:r w:rsidRPr="00EE3C8B">
        <w:rPr>
          <w:rFonts w:ascii="Calibri" w:hAnsi="Calibri" w:cs="Calibri"/>
          <w:sz w:val="18"/>
          <w:szCs w:val="18"/>
        </w:rPr>
        <w:t>et al. A</w:t>
      </w:r>
      <w:r>
        <w:rPr>
          <w:rFonts w:ascii="Calibri" w:hAnsi="Calibri" w:cs="Calibri"/>
          <w:sz w:val="18"/>
          <w:szCs w:val="18"/>
        </w:rPr>
        <w:t xml:space="preserve"> </w:t>
      </w:r>
      <w:r w:rsidRPr="00EE3C8B">
        <w:rPr>
          <w:rFonts w:ascii="Calibri" w:hAnsi="Calibri" w:cs="Calibri"/>
          <w:sz w:val="18"/>
          <w:szCs w:val="18"/>
        </w:rPr>
        <w:t>dynamic prognostic model to predict survival in primary myelofibrosis: a study</w:t>
      </w:r>
      <w:r>
        <w:rPr>
          <w:rFonts w:ascii="Calibri" w:hAnsi="Calibri" w:cs="Calibri"/>
          <w:sz w:val="18"/>
          <w:szCs w:val="18"/>
        </w:rPr>
        <w:t xml:space="preserve"> </w:t>
      </w:r>
      <w:r w:rsidRPr="00EE3C8B">
        <w:rPr>
          <w:rFonts w:ascii="Calibri" w:hAnsi="Calibri" w:cs="Calibri"/>
          <w:sz w:val="18"/>
          <w:szCs w:val="18"/>
        </w:rPr>
        <w:t>by the IWG-MRT (International</w:t>
      </w:r>
      <w:r>
        <w:rPr>
          <w:rFonts w:ascii="Calibri" w:hAnsi="Calibri" w:cs="Calibri"/>
          <w:sz w:val="18"/>
          <w:szCs w:val="18"/>
        </w:rPr>
        <w:t xml:space="preserve"> </w:t>
      </w:r>
      <w:r w:rsidRPr="00EE3C8B">
        <w:rPr>
          <w:rFonts w:ascii="Calibri" w:hAnsi="Calibri" w:cs="Calibri"/>
          <w:sz w:val="18"/>
          <w:szCs w:val="18"/>
        </w:rPr>
        <w:t>Working Group fo</w:t>
      </w:r>
      <w:r w:rsidRPr="009C6169">
        <w:rPr>
          <w:rFonts w:ascii="Calibri" w:hAnsi="Calibri" w:cs="Calibri"/>
          <w:sz w:val="18"/>
          <w:szCs w:val="18"/>
        </w:rPr>
        <w:t>r Myeloproliferative</w:t>
      </w:r>
      <w:r>
        <w:rPr>
          <w:rFonts w:ascii="Calibri" w:hAnsi="Calibri" w:cs="Calibri"/>
          <w:sz w:val="18"/>
          <w:szCs w:val="18"/>
        </w:rPr>
        <w:t xml:space="preserve"> </w:t>
      </w:r>
      <w:r w:rsidRPr="00EE3C8B">
        <w:rPr>
          <w:rFonts w:ascii="Calibri" w:hAnsi="Calibri" w:cs="Calibri"/>
          <w:sz w:val="18"/>
          <w:szCs w:val="18"/>
        </w:rPr>
        <w:t>Neoplasms Research and Treatment)</w:t>
      </w:r>
      <w:r>
        <w:rPr>
          <w:rFonts w:ascii="Calibri" w:hAnsi="Calibri" w:cs="Calibri"/>
          <w:sz w:val="18"/>
          <w:szCs w:val="18"/>
        </w:rPr>
        <w:t xml:space="preserve">. </w:t>
      </w:r>
      <w:r w:rsidRPr="004C1587">
        <w:rPr>
          <w:rFonts w:ascii="Calibri" w:hAnsi="Calibri" w:cs="Calibri"/>
          <w:sz w:val="18"/>
          <w:szCs w:val="18"/>
        </w:rPr>
        <w:t>Blood 2010</w:t>
      </w:r>
      <w:r>
        <w:rPr>
          <w:rFonts w:ascii="Calibri" w:hAnsi="Calibri" w:cs="Calibri"/>
          <w:sz w:val="18"/>
          <w:szCs w:val="18"/>
        </w:rPr>
        <w:t>;</w:t>
      </w:r>
      <w:r w:rsidRPr="004C1587">
        <w:rPr>
          <w:rFonts w:ascii="Calibri" w:hAnsi="Calibri" w:cs="Calibri"/>
          <w:sz w:val="18"/>
          <w:szCs w:val="18"/>
        </w:rPr>
        <w:t> 115:</w:t>
      </w:r>
      <w:r>
        <w:rPr>
          <w:rFonts w:ascii="Calibri" w:hAnsi="Calibri" w:cs="Calibri"/>
          <w:sz w:val="18"/>
          <w:szCs w:val="18"/>
        </w:rPr>
        <w:t xml:space="preserve"> 1703-1708.</w:t>
      </w:r>
      <w:r w:rsidRPr="004C1587">
        <w:rPr>
          <w:rFonts w:ascii="Calibri" w:hAnsi="Calibri" w:cs="Calibri"/>
          <w:sz w:val="18"/>
          <w:szCs w:val="18"/>
        </w:rPr>
        <w:t> </w:t>
      </w:r>
      <w:r>
        <w:rPr>
          <w:rFonts w:ascii="Calibri" w:hAnsi="Calibri" w:cs="Calibri"/>
          <w:sz w:val="18"/>
          <w:szCs w:val="18"/>
        </w:rPr>
        <w:t>DOI</w:t>
      </w:r>
      <w:r w:rsidRPr="004C1587">
        <w:rPr>
          <w:rFonts w:ascii="Calibri" w:hAnsi="Calibri" w:cs="Calibri"/>
          <w:sz w:val="18"/>
          <w:szCs w:val="18"/>
        </w:rPr>
        <w:t xml:space="preserve">: </w:t>
      </w:r>
      <w:hyperlink r:id="rId4" w:history="1">
        <w:r w:rsidRPr="00951D46">
          <w:rPr>
            <w:rStyle w:val="Hyperlink"/>
            <w:rFonts w:ascii="Calibri" w:hAnsi="Calibri" w:cs="Calibri"/>
            <w:sz w:val="18"/>
            <w:szCs w:val="18"/>
          </w:rPr>
          <w:t>https://doi.org/10.1182/blood-2009-09-245837</w:t>
        </w:r>
      </w:hyperlink>
      <w:r>
        <w:rPr>
          <w:rFonts w:ascii="Calibri" w:hAnsi="Calibri" w:cs="Calibri"/>
          <w:sz w:val="18"/>
          <w:szCs w:val="18"/>
        </w:rPr>
        <w:t xml:space="preserve"> </w:t>
      </w:r>
    </w:p>
  </w:footnote>
  <w:footnote w:id="5">
    <w:p w14:paraId="2C1429B8" w14:textId="77777777" w:rsidR="00B02BB1" w:rsidRDefault="00B02BB1">
      <w:pPr>
        <w:pStyle w:val="FootnoteText"/>
      </w:pPr>
      <w:r>
        <w:rPr>
          <w:rStyle w:val="FootnoteReference"/>
        </w:rPr>
        <w:footnoteRef/>
      </w:r>
      <w:r>
        <w:t xml:space="preserve"> National Comprehensive Cancer Network (NCCN) Guidelines Version 2.2018 Myelofibrosis</w:t>
      </w:r>
    </w:p>
  </w:footnote>
  <w:footnote w:id="6">
    <w:p w14:paraId="1C913690" w14:textId="77777777" w:rsidR="00B02BB1" w:rsidRDefault="00B02BB1" w:rsidP="00431FB2">
      <w:pPr>
        <w:pStyle w:val="FootnoteText"/>
      </w:pPr>
      <w:r>
        <w:rPr>
          <w:rStyle w:val="FootnoteReference"/>
        </w:rPr>
        <w:footnoteRef/>
      </w:r>
      <w:r>
        <w:t xml:space="preserve"> Jakavi® (Ruxolitinib phosphate), Australian Approved Product Information, North Ryde NSW: Novartis Pharmaceuticals Australia Pty Limited. Approved 3 July 2013, updated 29 September 2017. Accessed on: 28 June 2018 at: </w:t>
      </w:r>
      <w:hyperlink r:id="rId5" w:history="1">
        <w:r w:rsidRPr="00ED66CF">
          <w:rPr>
            <w:rStyle w:val="Hyperlink"/>
          </w:rPr>
          <w:t>https://www.ebs.tga.gov.au/ebs/</w:t>
        </w:r>
      </w:hyperlink>
    </w:p>
    <w:p w14:paraId="09E6FE12" w14:textId="77777777" w:rsidR="00B02BB1" w:rsidRDefault="00B02BB1" w:rsidP="00431FB2">
      <w:pPr>
        <w:pStyle w:val="FootnoteText"/>
      </w:pPr>
      <w:r>
        <w:t xml:space="preserve">   </w:t>
      </w:r>
    </w:p>
  </w:footnote>
  <w:footnote w:id="7">
    <w:p w14:paraId="7DAD9E26" w14:textId="77777777" w:rsidR="00B02BB1" w:rsidRDefault="00B02BB1" w:rsidP="00FB3DB8">
      <w:pPr>
        <w:pStyle w:val="FootnoteText"/>
      </w:pPr>
      <w:r>
        <w:rPr>
          <w:rStyle w:val="FootnoteReference"/>
        </w:rPr>
        <w:footnoteRef/>
      </w:r>
      <w:r>
        <w:t xml:space="preserve"> </w:t>
      </w:r>
      <w:r w:rsidRPr="00006FC9">
        <w:t>Mehta J, Wang H, Iqbal SU,</w:t>
      </w:r>
      <w:r>
        <w:t xml:space="preserve"> Mesa R</w:t>
      </w:r>
      <w:r w:rsidRPr="00006FC9">
        <w:t>l. Epidemiology of myeloproliferative neoplasms in the United States. Leuk Lymphoma 2013; 55(3): 595–600.</w:t>
      </w:r>
    </w:p>
  </w:footnote>
  <w:footnote w:id="8">
    <w:p w14:paraId="08991F0E" w14:textId="77777777" w:rsidR="00B02BB1" w:rsidRDefault="00B02BB1" w:rsidP="00FB3DB8">
      <w:pPr>
        <w:pStyle w:val="FootnoteText"/>
      </w:pPr>
      <w:r>
        <w:rPr>
          <w:rStyle w:val="FootnoteReference"/>
        </w:rPr>
        <w:footnoteRef/>
      </w:r>
      <w:r>
        <w:t xml:space="preserve"> Cervantes F, Dupriez B, Pereira A, Passamonti F, Reilly JT, Morra E, et al. New prognostic scoring system for primary myelofibrosis based on a study of the International Working Group for Myelofibrosis Research and Treatment. Blood 2009; 113(13):2895-901.</w:t>
      </w:r>
    </w:p>
  </w:footnote>
  <w:footnote w:id="9">
    <w:p w14:paraId="75490A50" w14:textId="77777777" w:rsidR="00B02BB1" w:rsidRPr="000A4136" w:rsidRDefault="00B02BB1" w:rsidP="000A4136">
      <w:pPr>
        <w:rPr>
          <w:rFonts w:ascii="Calibri" w:eastAsia="MS Mincho" w:hAnsi="Calibri" w:cs="Times New Roman"/>
          <w:sz w:val="18"/>
          <w:szCs w:val="18"/>
        </w:rPr>
      </w:pPr>
      <w:r w:rsidRPr="000A4136">
        <w:rPr>
          <w:rStyle w:val="FootnoteReference"/>
          <w:sz w:val="18"/>
          <w:szCs w:val="18"/>
        </w:rPr>
        <w:footnoteRef/>
      </w:r>
      <w:r w:rsidRPr="000A4136">
        <w:rPr>
          <w:sz w:val="18"/>
          <w:szCs w:val="18"/>
        </w:rPr>
        <w:t xml:space="preserve"> </w:t>
      </w:r>
      <w:r w:rsidRPr="000A4136">
        <w:rPr>
          <w:rFonts w:ascii="Calibri" w:eastAsia="MS Mincho" w:hAnsi="Calibri" w:cs="Times New Roman"/>
          <w:sz w:val="18"/>
          <w:szCs w:val="18"/>
        </w:rPr>
        <w:t xml:space="preserve">The date of processing of a PBS prescription may differ from the date of dispensing. Consequently there may be differences in data reported by date of dispensing or processing (such as that available publicly available from </w:t>
      </w:r>
      <w:hyperlink r:id="rId6" w:anchor="a2" w:history="1">
        <w:r w:rsidRPr="000A4136">
          <w:rPr>
            <w:rStyle w:val="Hyperlink"/>
            <w:rFonts w:ascii="Calibri" w:eastAsia="MS Mincho" w:hAnsi="Calibri" w:cs="Times New Roman"/>
            <w:sz w:val="18"/>
            <w:szCs w:val="18"/>
          </w:rPr>
          <w:t>DHS Medicare website</w:t>
        </w:r>
      </w:hyperlink>
      <w:r w:rsidRPr="000A4136">
        <w:rPr>
          <w:rFonts w:ascii="Calibri" w:eastAsia="MS Mincho" w:hAnsi="Calibri" w:cs="Times New Roman"/>
          <w:sz w:val="18"/>
          <w:szCs w:val="18"/>
        </w:rPr>
        <w:t xml:space="preserve">). </w:t>
      </w:r>
    </w:p>
    <w:p w14:paraId="0E1DA20A" w14:textId="77777777" w:rsidR="00B02BB1" w:rsidRDefault="00B02BB1">
      <w:pPr>
        <w:pStyle w:val="FootnoteText"/>
      </w:pPr>
    </w:p>
  </w:footnote>
  <w:footnote w:id="10">
    <w:p w14:paraId="21DE2098" w14:textId="77777777" w:rsidR="00B02BB1" w:rsidRDefault="00B02BB1">
      <w:pPr>
        <w:pStyle w:val="FootnoteText"/>
      </w:pPr>
      <w:r>
        <w:rPr>
          <w:rStyle w:val="FootnoteReference"/>
        </w:rPr>
        <w:footnoteRef/>
      </w:r>
      <w:r>
        <w:t xml:space="preserve"> </w:t>
      </w:r>
      <w:hyperlink r:id="rId7" w:history="1">
        <w:r w:rsidRPr="00950672">
          <w:rPr>
            <w:rStyle w:val="Hyperlink"/>
          </w:rPr>
          <w:t>March 2015 PBAC Public Summary Document – ruxolitinib (Jakavi®)</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90744"/>
    <w:multiLevelType w:val="hybridMultilevel"/>
    <w:tmpl w:val="906C17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DFE6F44"/>
    <w:multiLevelType w:val="hybridMultilevel"/>
    <w:tmpl w:val="0BA4D9C4"/>
    <w:lvl w:ilvl="0" w:tplc="988E103C">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2C71AE"/>
    <w:multiLevelType w:val="hybridMultilevel"/>
    <w:tmpl w:val="F39EBF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F78673A"/>
    <w:multiLevelType w:val="hybridMultilevel"/>
    <w:tmpl w:val="CC72C42E"/>
    <w:lvl w:ilvl="0" w:tplc="4C2CABF6">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1F7C1A9B"/>
    <w:multiLevelType w:val="hybridMultilevel"/>
    <w:tmpl w:val="5BA67F02"/>
    <w:lvl w:ilvl="0" w:tplc="7D9AE93C">
      <w:start w:val="1"/>
      <w:numFmt w:val="upp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41F6C4F"/>
    <w:multiLevelType w:val="hybridMultilevel"/>
    <w:tmpl w:val="F258ADF6"/>
    <w:lvl w:ilvl="0" w:tplc="59F68E48">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6" w15:restartNumberingAfterBreak="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F8349F"/>
    <w:multiLevelType w:val="hybridMultilevel"/>
    <w:tmpl w:val="D09C7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11752E"/>
    <w:multiLevelType w:val="hybridMultilevel"/>
    <w:tmpl w:val="64F0E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A07644E"/>
    <w:multiLevelType w:val="hybridMultilevel"/>
    <w:tmpl w:val="AA8665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D6B6F58"/>
    <w:multiLevelType w:val="hybridMultilevel"/>
    <w:tmpl w:val="BB7046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FDF1F9B"/>
    <w:multiLevelType w:val="hybridMultilevel"/>
    <w:tmpl w:val="603C38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5BE5330"/>
    <w:multiLevelType w:val="hybridMultilevel"/>
    <w:tmpl w:val="2AF0AF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B9970C0"/>
    <w:multiLevelType w:val="hybridMultilevel"/>
    <w:tmpl w:val="AFB07CA4"/>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4" w15:restartNumberingAfterBreak="0">
    <w:nsid w:val="527D50F7"/>
    <w:multiLevelType w:val="hybridMultilevel"/>
    <w:tmpl w:val="DA2093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3860508"/>
    <w:multiLevelType w:val="hybridMultilevel"/>
    <w:tmpl w:val="85E643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C0B578F"/>
    <w:multiLevelType w:val="hybridMultilevel"/>
    <w:tmpl w:val="C192BA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CD46C0B"/>
    <w:multiLevelType w:val="hybridMultilevel"/>
    <w:tmpl w:val="4A261130"/>
    <w:lvl w:ilvl="0" w:tplc="4F9693D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3324E49"/>
    <w:multiLevelType w:val="hybridMultilevel"/>
    <w:tmpl w:val="D794EE72"/>
    <w:lvl w:ilvl="0" w:tplc="A99C682C">
      <w:start w:val="1"/>
      <w:numFmt w:val="lowerLetter"/>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20" w15:restartNumberingAfterBreak="0">
    <w:nsid w:val="68C64C22"/>
    <w:multiLevelType w:val="hybridMultilevel"/>
    <w:tmpl w:val="755CD320"/>
    <w:lvl w:ilvl="0" w:tplc="C62E8F00">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21" w15:restartNumberingAfterBreak="0">
    <w:nsid w:val="6BCC44EF"/>
    <w:multiLevelType w:val="hybridMultilevel"/>
    <w:tmpl w:val="D9A29920"/>
    <w:lvl w:ilvl="0" w:tplc="4E9E73D2">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CBB1185"/>
    <w:multiLevelType w:val="hybridMultilevel"/>
    <w:tmpl w:val="B1DE3D14"/>
    <w:lvl w:ilvl="0" w:tplc="4C2CABF6">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3" w15:restartNumberingAfterBreak="0">
    <w:nsid w:val="71982FB6"/>
    <w:multiLevelType w:val="hybridMultilevel"/>
    <w:tmpl w:val="4238D5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433299B"/>
    <w:multiLevelType w:val="hybridMultilevel"/>
    <w:tmpl w:val="14542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84D033C"/>
    <w:multiLevelType w:val="multilevel"/>
    <w:tmpl w:val="E1C605B4"/>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99F2259"/>
    <w:multiLevelType w:val="hybridMultilevel"/>
    <w:tmpl w:val="7E7E051C"/>
    <w:lvl w:ilvl="0" w:tplc="0C090001">
      <w:start w:val="1"/>
      <w:numFmt w:val="bullet"/>
      <w:lvlText w:val=""/>
      <w:lvlJc w:val="left"/>
      <w:pPr>
        <w:ind w:left="3600" w:hanging="360"/>
      </w:pPr>
      <w:rPr>
        <w:rFonts w:ascii="Symbol" w:hAnsi="Symbol" w:hint="default"/>
      </w:rPr>
    </w:lvl>
    <w:lvl w:ilvl="1" w:tplc="0C090003">
      <w:start w:val="1"/>
      <w:numFmt w:val="bullet"/>
      <w:lvlText w:val="o"/>
      <w:lvlJc w:val="left"/>
      <w:pPr>
        <w:ind w:left="4320" w:hanging="360"/>
      </w:pPr>
      <w:rPr>
        <w:rFonts w:ascii="Courier New" w:hAnsi="Courier New" w:cs="Courier New" w:hint="default"/>
      </w:rPr>
    </w:lvl>
    <w:lvl w:ilvl="2" w:tplc="0C090005">
      <w:start w:val="1"/>
      <w:numFmt w:val="bullet"/>
      <w:lvlText w:val=""/>
      <w:lvlJc w:val="left"/>
      <w:pPr>
        <w:ind w:left="5040" w:hanging="360"/>
      </w:pPr>
      <w:rPr>
        <w:rFonts w:ascii="Wingdings" w:hAnsi="Wingdings" w:hint="default"/>
      </w:rPr>
    </w:lvl>
    <w:lvl w:ilvl="3" w:tplc="0C09000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8" w15:restartNumberingAfterBreak="0">
    <w:nsid w:val="7C2F7621"/>
    <w:multiLevelType w:val="hybridMultilevel"/>
    <w:tmpl w:val="BF62AAFC"/>
    <w:lvl w:ilvl="0" w:tplc="A7F62B4E">
      <w:start w:val="1"/>
      <w:numFmt w:val="bullet"/>
      <w:lvlText w:val=""/>
      <w:lvlJc w:val="left"/>
      <w:pPr>
        <w:ind w:left="3600" w:hanging="2466"/>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D2D7B04"/>
    <w:multiLevelType w:val="hybridMultilevel"/>
    <w:tmpl w:val="4C5CBB1E"/>
    <w:lvl w:ilvl="0" w:tplc="7DCC5E38">
      <w:start w:val="1"/>
      <w:numFmt w:val="bullet"/>
      <w:lvlText w:val=""/>
      <w:lvlJc w:val="left"/>
      <w:pPr>
        <w:ind w:left="360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4"/>
  </w:num>
  <w:num w:numId="2">
    <w:abstractNumId w:val="18"/>
  </w:num>
  <w:num w:numId="3">
    <w:abstractNumId w:val="6"/>
  </w:num>
  <w:num w:numId="4">
    <w:abstractNumId w:val="27"/>
  </w:num>
  <w:num w:numId="5">
    <w:abstractNumId w:val="12"/>
  </w:num>
  <w:num w:numId="6">
    <w:abstractNumId w:val="13"/>
  </w:num>
  <w:num w:numId="7">
    <w:abstractNumId w:val="14"/>
  </w:num>
  <w:num w:numId="8">
    <w:abstractNumId w:val="29"/>
  </w:num>
  <w:num w:numId="9">
    <w:abstractNumId w:val="28"/>
  </w:num>
  <w:num w:numId="10">
    <w:abstractNumId w:val="8"/>
  </w:num>
  <w:num w:numId="11">
    <w:abstractNumId w:val="25"/>
  </w:num>
  <w:num w:numId="12">
    <w:abstractNumId w:val="5"/>
  </w:num>
  <w:num w:numId="13">
    <w:abstractNumId w:val="19"/>
  </w:num>
  <w:num w:numId="14">
    <w:abstractNumId w:val="20"/>
  </w:num>
  <w:num w:numId="15">
    <w:abstractNumId w:val="22"/>
  </w:num>
  <w:num w:numId="16">
    <w:abstractNumId w:val="3"/>
  </w:num>
  <w:num w:numId="17">
    <w:abstractNumId w:val="2"/>
  </w:num>
  <w:num w:numId="18">
    <w:abstractNumId w:val="9"/>
  </w:num>
  <w:num w:numId="19">
    <w:abstractNumId w:val="26"/>
  </w:num>
  <w:num w:numId="20">
    <w:abstractNumId w:val="4"/>
  </w:num>
  <w:num w:numId="21">
    <w:abstractNumId w:val="21"/>
  </w:num>
  <w:num w:numId="22">
    <w:abstractNumId w:val="17"/>
  </w:num>
  <w:num w:numId="23">
    <w:abstractNumId w:val="15"/>
  </w:num>
  <w:num w:numId="24">
    <w:abstractNumId w:val="0"/>
  </w:num>
  <w:num w:numId="25">
    <w:abstractNumId w:val="1"/>
  </w:num>
  <w:num w:numId="26">
    <w:abstractNumId w:val="10"/>
  </w:num>
  <w:num w:numId="27">
    <w:abstractNumId w:val="16"/>
  </w:num>
  <w:num w:numId="28">
    <w:abstractNumId w:val="11"/>
  </w:num>
  <w:num w:numId="29">
    <w:abstractNumId w:val="7"/>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041"/>
    <w:rsid w:val="00000A2A"/>
    <w:rsid w:val="0000150F"/>
    <w:rsid w:val="00006FC9"/>
    <w:rsid w:val="00007E85"/>
    <w:rsid w:val="0001224A"/>
    <w:rsid w:val="00013465"/>
    <w:rsid w:val="000134F0"/>
    <w:rsid w:val="00013711"/>
    <w:rsid w:val="00015850"/>
    <w:rsid w:val="00022662"/>
    <w:rsid w:val="000226B3"/>
    <w:rsid w:val="00024549"/>
    <w:rsid w:val="00025C65"/>
    <w:rsid w:val="00046B8F"/>
    <w:rsid w:val="00053AFE"/>
    <w:rsid w:val="000544B6"/>
    <w:rsid w:val="000555A6"/>
    <w:rsid w:val="00057745"/>
    <w:rsid w:val="00057AB5"/>
    <w:rsid w:val="000604AF"/>
    <w:rsid w:val="00064E87"/>
    <w:rsid w:val="00065107"/>
    <w:rsid w:val="000678D8"/>
    <w:rsid w:val="00071DAB"/>
    <w:rsid w:val="00072217"/>
    <w:rsid w:val="00080DB2"/>
    <w:rsid w:val="0008258D"/>
    <w:rsid w:val="00086C11"/>
    <w:rsid w:val="00094DCF"/>
    <w:rsid w:val="00095FF8"/>
    <w:rsid w:val="00096A58"/>
    <w:rsid w:val="00097FE4"/>
    <w:rsid w:val="000A3752"/>
    <w:rsid w:val="000A4136"/>
    <w:rsid w:val="000A6AF4"/>
    <w:rsid w:val="000A6CFD"/>
    <w:rsid w:val="000B08B8"/>
    <w:rsid w:val="000B0982"/>
    <w:rsid w:val="000B1F01"/>
    <w:rsid w:val="000B2586"/>
    <w:rsid w:val="000B796C"/>
    <w:rsid w:val="000C2EB7"/>
    <w:rsid w:val="000C46BB"/>
    <w:rsid w:val="000C4D9D"/>
    <w:rsid w:val="000C7C4B"/>
    <w:rsid w:val="000C7D8B"/>
    <w:rsid w:val="000D0F5E"/>
    <w:rsid w:val="000D262C"/>
    <w:rsid w:val="000D38C3"/>
    <w:rsid w:val="000D7B80"/>
    <w:rsid w:val="000E1C9D"/>
    <w:rsid w:val="000E485D"/>
    <w:rsid w:val="000E6390"/>
    <w:rsid w:val="000E72C6"/>
    <w:rsid w:val="000E7BD8"/>
    <w:rsid w:val="000F1893"/>
    <w:rsid w:val="000F2F51"/>
    <w:rsid w:val="000F4457"/>
    <w:rsid w:val="00113CF8"/>
    <w:rsid w:val="00113D74"/>
    <w:rsid w:val="00113E80"/>
    <w:rsid w:val="00116FE2"/>
    <w:rsid w:val="00117C5C"/>
    <w:rsid w:val="001220FB"/>
    <w:rsid w:val="001223D1"/>
    <w:rsid w:val="00124192"/>
    <w:rsid w:val="001310AE"/>
    <w:rsid w:val="00141AFF"/>
    <w:rsid w:val="001420B3"/>
    <w:rsid w:val="00143788"/>
    <w:rsid w:val="001460C4"/>
    <w:rsid w:val="00153940"/>
    <w:rsid w:val="001547DD"/>
    <w:rsid w:val="00154C88"/>
    <w:rsid w:val="0015580B"/>
    <w:rsid w:val="0015658B"/>
    <w:rsid w:val="0015691C"/>
    <w:rsid w:val="001621F7"/>
    <w:rsid w:val="001624D7"/>
    <w:rsid w:val="0016525A"/>
    <w:rsid w:val="00175166"/>
    <w:rsid w:val="00177B86"/>
    <w:rsid w:val="00182585"/>
    <w:rsid w:val="00191182"/>
    <w:rsid w:val="0019664D"/>
    <w:rsid w:val="00197C1A"/>
    <w:rsid w:val="001A1AA3"/>
    <w:rsid w:val="001A1C25"/>
    <w:rsid w:val="001A6103"/>
    <w:rsid w:val="001A6B3F"/>
    <w:rsid w:val="001A7FFB"/>
    <w:rsid w:val="001B5D37"/>
    <w:rsid w:val="001B6426"/>
    <w:rsid w:val="001C2940"/>
    <w:rsid w:val="001C2DE4"/>
    <w:rsid w:val="001C4016"/>
    <w:rsid w:val="001C548D"/>
    <w:rsid w:val="001C572D"/>
    <w:rsid w:val="001C6A5D"/>
    <w:rsid w:val="001C70CD"/>
    <w:rsid w:val="001D4FD0"/>
    <w:rsid w:val="001D70E4"/>
    <w:rsid w:val="001D72A5"/>
    <w:rsid w:val="001E0D6C"/>
    <w:rsid w:val="001E31A6"/>
    <w:rsid w:val="001E3A3D"/>
    <w:rsid w:val="001E42C7"/>
    <w:rsid w:val="001E4CAB"/>
    <w:rsid w:val="001E6C91"/>
    <w:rsid w:val="001F0A4E"/>
    <w:rsid w:val="001F2302"/>
    <w:rsid w:val="001F2D15"/>
    <w:rsid w:val="001F2F3E"/>
    <w:rsid w:val="001F4906"/>
    <w:rsid w:val="001F7C4A"/>
    <w:rsid w:val="00202E51"/>
    <w:rsid w:val="0020578A"/>
    <w:rsid w:val="00207631"/>
    <w:rsid w:val="002107F6"/>
    <w:rsid w:val="00214013"/>
    <w:rsid w:val="00217641"/>
    <w:rsid w:val="0022063D"/>
    <w:rsid w:val="00220FC1"/>
    <w:rsid w:val="00221AEA"/>
    <w:rsid w:val="0022220B"/>
    <w:rsid w:val="00222E9A"/>
    <w:rsid w:val="00223507"/>
    <w:rsid w:val="00224557"/>
    <w:rsid w:val="002313D8"/>
    <w:rsid w:val="0023179D"/>
    <w:rsid w:val="0023529D"/>
    <w:rsid w:val="00235B42"/>
    <w:rsid w:val="0024048D"/>
    <w:rsid w:val="0025389D"/>
    <w:rsid w:val="00254E02"/>
    <w:rsid w:val="0026265F"/>
    <w:rsid w:val="00262D9A"/>
    <w:rsid w:val="00262E0E"/>
    <w:rsid w:val="00270576"/>
    <w:rsid w:val="00275742"/>
    <w:rsid w:val="002852EE"/>
    <w:rsid w:val="00286C3A"/>
    <w:rsid w:val="002930F5"/>
    <w:rsid w:val="00297D71"/>
    <w:rsid w:val="002A06B7"/>
    <w:rsid w:val="002A32C5"/>
    <w:rsid w:val="002A64D4"/>
    <w:rsid w:val="002B4462"/>
    <w:rsid w:val="002B4BA9"/>
    <w:rsid w:val="002C1B58"/>
    <w:rsid w:val="002C657B"/>
    <w:rsid w:val="002C6E0C"/>
    <w:rsid w:val="002C74A7"/>
    <w:rsid w:val="002D144A"/>
    <w:rsid w:val="002D4B65"/>
    <w:rsid w:val="002D6C2A"/>
    <w:rsid w:val="002E02F4"/>
    <w:rsid w:val="002E19A3"/>
    <w:rsid w:val="002E212B"/>
    <w:rsid w:val="002E3337"/>
    <w:rsid w:val="002E34BE"/>
    <w:rsid w:val="002E6D03"/>
    <w:rsid w:val="002E7916"/>
    <w:rsid w:val="002F3811"/>
    <w:rsid w:val="002F4766"/>
    <w:rsid w:val="002F49A8"/>
    <w:rsid w:val="002F4CC4"/>
    <w:rsid w:val="002F5E66"/>
    <w:rsid w:val="002F61CA"/>
    <w:rsid w:val="002F7A35"/>
    <w:rsid w:val="0030010D"/>
    <w:rsid w:val="003022BE"/>
    <w:rsid w:val="0031207F"/>
    <w:rsid w:val="00314675"/>
    <w:rsid w:val="003146BD"/>
    <w:rsid w:val="003164B9"/>
    <w:rsid w:val="00323853"/>
    <w:rsid w:val="00323C8C"/>
    <w:rsid w:val="003309A7"/>
    <w:rsid w:val="0033504C"/>
    <w:rsid w:val="00336816"/>
    <w:rsid w:val="00336D26"/>
    <w:rsid w:val="00336EDC"/>
    <w:rsid w:val="003370D0"/>
    <w:rsid w:val="00337355"/>
    <w:rsid w:val="003402E4"/>
    <w:rsid w:val="00340F95"/>
    <w:rsid w:val="003421D4"/>
    <w:rsid w:val="00343D0B"/>
    <w:rsid w:val="00344BDC"/>
    <w:rsid w:val="00350F07"/>
    <w:rsid w:val="00351733"/>
    <w:rsid w:val="00351788"/>
    <w:rsid w:val="00351B54"/>
    <w:rsid w:val="003531ED"/>
    <w:rsid w:val="003536BF"/>
    <w:rsid w:val="0035551E"/>
    <w:rsid w:val="003572F1"/>
    <w:rsid w:val="00357719"/>
    <w:rsid w:val="00360B9A"/>
    <w:rsid w:val="0036586E"/>
    <w:rsid w:val="00367807"/>
    <w:rsid w:val="00377E60"/>
    <w:rsid w:val="00381B1E"/>
    <w:rsid w:val="00382B11"/>
    <w:rsid w:val="00382FE6"/>
    <w:rsid w:val="0039017F"/>
    <w:rsid w:val="003924E3"/>
    <w:rsid w:val="00394AEE"/>
    <w:rsid w:val="00394D8C"/>
    <w:rsid w:val="00395C86"/>
    <w:rsid w:val="003B0BFB"/>
    <w:rsid w:val="003B183E"/>
    <w:rsid w:val="003C209F"/>
    <w:rsid w:val="003C2D98"/>
    <w:rsid w:val="003D1DB6"/>
    <w:rsid w:val="003D22C6"/>
    <w:rsid w:val="003D2D8D"/>
    <w:rsid w:val="003D3A96"/>
    <w:rsid w:val="003D3B9C"/>
    <w:rsid w:val="003E522D"/>
    <w:rsid w:val="0040094C"/>
    <w:rsid w:val="00404F03"/>
    <w:rsid w:val="00412051"/>
    <w:rsid w:val="004128AE"/>
    <w:rsid w:val="00414DCC"/>
    <w:rsid w:val="00423B94"/>
    <w:rsid w:val="004265F1"/>
    <w:rsid w:val="004313D0"/>
    <w:rsid w:val="00431FB2"/>
    <w:rsid w:val="00432A9A"/>
    <w:rsid w:val="004343EE"/>
    <w:rsid w:val="00434E74"/>
    <w:rsid w:val="0043545A"/>
    <w:rsid w:val="00435D01"/>
    <w:rsid w:val="00441336"/>
    <w:rsid w:val="004468B5"/>
    <w:rsid w:val="00450BC3"/>
    <w:rsid w:val="00460EA9"/>
    <w:rsid w:val="00463731"/>
    <w:rsid w:val="004638F9"/>
    <w:rsid w:val="0046400A"/>
    <w:rsid w:val="004642AB"/>
    <w:rsid w:val="00464849"/>
    <w:rsid w:val="00467B25"/>
    <w:rsid w:val="00471B73"/>
    <w:rsid w:val="004759FA"/>
    <w:rsid w:val="00481108"/>
    <w:rsid w:val="00485013"/>
    <w:rsid w:val="0049042B"/>
    <w:rsid w:val="00493611"/>
    <w:rsid w:val="00495473"/>
    <w:rsid w:val="00495EE0"/>
    <w:rsid w:val="00496E34"/>
    <w:rsid w:val="004A0E51"/>
    <w:rsid w:val="004A458E"/>
    <w:rsid w:val="004A5371"/>
    <w:rsid w:val="004B23E7"/>
    <w:rsid w:val="004B306F"/>
    <w:rsid w:val="004C08E8"/>
    <w:rsid w:val="004C1587"/>
    <w:rsid w:val="004C1B5D"/>
    <w:rsid w:val="004C3186"/>
    <w:rsid w:val="004C3356"/>
    <w:rsid w:val="004C4622"/>
    <w:rsid w:val="004C5042"/>
    <w:rsid w:val="004E37FE"/>
    <w:rsid w:val="004E4422"/>
    <w:rsid w:val="004E4B24"/>
    <w:rsid w:val="004F491E"/>
    <w:rsid w:val="004F5F6E"/>
    <w:rsid w:val="004F67A2"/>
    <w:rsid w:val="00500DDB"/>
    <w:rsid w:val="005012E1"/>
    <w:rsid w:val="00503998"/>
    <w:rsid w:val="00504EEA"/>
    <w:rsid w:val="0050623B"/>
    <w:rsid w:val="005159F7"/>
    <w:rsid w:val="00515C43"/>
    <w:rsid w:val="0051654D"/>
    <w:rsid w:val="00517657"/>
    <w:rsid w:val="005202B0"/>
    <w:rsid w:val="005216D3"/>
    <w:rsid w:val="00523181"/>
    <w:rsid w:val="00524D13"/>
    <w:rsid w:val="00530131"/>
    <w:rsid w:val="005323E8"/>
    <w:rsid w:val="005339F6"/>
    <w:rsid w:val="00543B27"/>
    <w:rsid w:val="00552B34"/>
    <w:rsid w:val="00554D1B"/>
    <w:rsid w:val="00565233"/>
    <w:rsid w:val="00567BC6"/>
    <w:rsid w:val="00571F37"/>
    <w:rsid w:val="00576B18"/>
    <w:rsid w:val="0058633E"/>
    <w:rsid w:val="00587173"/>
    <w:rsid w:val="00587724"/>
    <w:rsid w:val="00591512"/>
    <w:rsid w:val="00596318"/>
    <w:rsid w:val="00596A6E"/>
    <w:rsid w:val="005A1049"/>
    <w:rsid w:val="005A3AFF"/>
    <w:rsid w:val="005A3F4B"/>
    <w:rsid w:val="005A5BA7"/>
    <w:rsid w:val="005A5C9B"/>
    <w:rsid w:val="005A69FC"/>
    <w:rsid w:val="005A7CBD"/>
    <w:rsid w:val="005B1FBD"/>
    <w:rsid w:val="005B2D91"/>
    <w:rsid w:val="005B48B4"/>
    <w:rsid w:val="005B51CA"/>
    <w:rsid w:val="005B69C3"/>
    <w:rsid w:val="005B76C7"/>
    <w:rsid w:val="005C6661"/>
    <w:rsid w:val="005C6E3B"/>
    <w:rsid w:val="005D2B18"/>
    <w:rsid w:val="005D474B"/>
    <w:rsid w:val="005D5C48"/>
    <w:rsid w:val="005D5E6D"/>
    <w:rsid w:val="005E085C"/>
    <w:rsid w:val="005E147D"/>
    <w:rsid w:val="005E22C2"/>
    <w:rsid w:val="005E2972"/>
    <w:rsid w:val="005E57BB"/>
    <w:rsid w:val="005E6EC8"/>
    <w:rsid w:val="005F0017"/>
    <w:rsid w:val="005F6A24"/>
    <w:rsid w:val="005F718D"/>
    <w:rsid w:val="006014F1"/>
    <w:rsid w:val="0061357B"/>
    <w:rsid w:val="00614A7D"/>
    <w:rsid w:val="00616606"/>
    <w:rsid w:val="006261AA"/>
    <w:rsid w:val="0063631C"/>
    <w:rsid w:val="0063757B"/>
    <w:rsid w:val="006377CE"/>
    <w:rsid w:val="00641615"/>
    <w:rsid w:val="0065133B"/>
    <w:rsid w:val="006537D9"/>
    <w:rsid w:val="00664070"/>
    <w:rsid w:val="00664A48"/>
    <w:rsid w:val="0066537F"/>
    <w:rsid w:val="00665DEF"/>
    <w:rsid w:val="00675BB1"/>
    <w:rsid w:val="006775F1"/>
    <w:rsid w:val="006779B7"/>
    <w:rsid w:val="00680FBE"/>
    <w:rsid w:val="006826FC"/>
    <w:rsid w:val="00683B79"/>
    <w:rsid w:val="00684165"/>
    <w:rsid w:val="00692AA7"/>
    <w:rsid w:val="00697F93"/>
    <w:rsid w:val="00697FEC"/>
    <w:rsid w:val="006A122B"/>
    <w:rsid w:val="006A175F"/>
    <w:rsid w:val="006A44F5"/>
    <w:rsid w:val="006A56C3"/>
    <w:rsid w:val="006B06F1"/>
    <w:rsid w:val="006B31EB"/>
    <w:rsid w:val="006B4537"/>
    <w:rsid w:val="006B526B"/>
    <w:rsid w:val="006B5F85"/>
    <w:rsid w:val="006B6929"/>
    <w:rsid w:val="006B709B"/>
    <w:rsid w:val="006C54AF"/>
    <w:rsid w:val="006C5A8B"/>
    <w:rsid w:val="006D3B0B"/>
    <w:rsid w:val="006D5054"/>
    <w:rsid w:val="006E0181"/>
    <w:rsid w:val="006E4E5D"/>
    <w:rsid w:val="006E73C3"/>
    <w:rsid w:val="006F374F"/>
    <w:rsid w:val="006F74B0"/>
    <w:rsid w:val="00700C0E"/>
    <w:rsid w:val="00701FEE"/>
    <w:rsid w:val="00705DAD"/>
    <w:rsid w:val="00713012"/>
    <w:rsid w:val="0071517F"/>
    <w:rsid w:val="00716440"/>
    <w:rsid w:val="00721A24"/>
    <w:rsid w:val="007247B9"/>
    <w:rsid w:val="00726725"/>
    <w:rsid w:val="00727D85"/>
    <w:rsid w:val="007346C7"/>
    <w:rsid w:val="00736041"/>
    <w:rsid w:val="00740768"/>
    <w:rsid w:val="007408C7"/>
    <w:rsid w:val="00742EB9"/>
    <w:rsid w:val="007456A2"/>
    <w:rsid w:val="00746302"/>
    <w:rsid w:val="007465DA"/>
    <w:rsid w:val="0074716E"/>
    <w:rsid w:val="007507B1"/>
    <w:rsid w:val="00752C7F"/>
    <w:rsid w:val="00755A56"/>
    <w:rsid w:val="00763DE6"/>
    <w:rsid w:val="00763EC0"/>
    <w:rsid w:val="007732E2"/>
    <w:rsid w:val="00776598"/>
    <w:rsid w:val="00777D30"/>
    <w:rsid w:val="00780E16"/>
    <w:rsid w:val="007906FA"/>
    <w:rsid w:val="00791F8C"/>
    <w:rsid w:val="00792948"/>
    <w:rsid w:val="00795344"/>
    <w:rsid w:val="00795B9F"/>
    <w:rsid w:val="00796E84"/>
    <w:rsid w:val="007A180D"/>
    <w:rsid w:val="007A2499"/>
    <w:rsid w:val="007A25A9"/>
    <w:rsid w:val="007A3ADE"/>
    <w:rsid w:val="007A4783"/>
    <w:rsid w:val="007A5733"/>
    <w:rsid w:val="007A5774"/>
    <w:rsid w:val="007A69D9"/>
    <w:rsid w:val="007A721E"/>
    <w:rsid w:val="007B2DE7"/>
    <w:rsid w:val="007B7F4B"/>
    <w:rsid w:val="007C1EEE"/>
    <w:rsid w:val="007C2157"/>
    <w:rsid w:val="007C2B0D"/>
    <w:rsid w:val="007C34ED"/>
    <w:rsid w:val="007D2B65"/>
    <w:rsid w:val="007D6197"/>
    <w:rsid w:val="007D7661"/>
    <w:rsid w:val="007E2E04"/>
    <w:rsid w:val="007E4617"/>
    <w:rsid w:val="007E7AD6"/>
    <w:rsid w:val="007F221A"/>
    <w:rsid w:val="007F2AD8"/>
    <w:rsid w:val="0080165B"/>
    <w:rsid w:val="00801E74"/>
    <w:rsid w:val="0080485E"/>
    <w:rsid w:val="00810C69"/>
    <w:rsid w:val="008142B4"/>
    <w:rsid w:val="00816DE2"/>
    <w:rsid w:val="00817E3C"/>
    <w:rsid w:val="00822258"/>
    <w:rsid w:val="0082255C"/>
    <w:rsid w:val="008228D3"/>
    <w:rsid w:val="00825A56"/>
    <w:rsid w:val="00832324"/>
    <w:rsid w:val="00833EAE"/>
    <w:rsid w:val="00834A9C"/>
    <w:rsid w:val="00835337"/>
    <w:rsid w:val="008370D4"/>
    <w:rsid w:val="00837751"/>
    <w:rsid w:val="00841B52"/>
    <w:rsid w:val="00844E8E"/>
    <w:rsid w:val="00846DCD"/>
    <w:rsid w:val="008472C6"/>
    <w:rsid w:val="00850552"/>
    <w:rsid w:val="00851D85"/>
    <w:rsid w:val="00856C0B"/>
    <w:rsid w:val="00860CCB"/>
    <w:rsid w:val="00862200"/>
    <w:rsid w:val="008740A3"/>
    <w:rsid w:val="00876096"/>
    <w:rsid w:val="00876CA1"/>
    <w:rsid w:val="00891EED"/>
    <w:rsid w:val="00892799"/>
    <w:rsid w:val="0089297B"/>
    <w:rsid w:val="008975FA"/>
    <w:rsid w:val="008A24D3"/>
    <w:rsid w:val="008A55FF"/>
    <w:rsid w:val="008A7510"/>
    <w:rsid w:val="008B1A2A"/>
    <w:rsid w:val="008B3E32"/>
    <w:rsid w:val="008B5F79"/>
    <w:rsid w:val="008B7C06"/>
    <w:rsid w:val="008C3101"/>
    <w:rsid w:val="008C36CA"/>
    <w:rsid w:val="008C4C2D"/>
    <w:rsid w:val="008E3EE5"/>
    <w:rsid w:val="008E3F8C"/>
    <w:rsid w:val="008F7A71"/>
    <w:rsid w:val="00902FD0"/>
    <w:rsid w:val="009053D3"/>
    <w:rsid w:val="0090588B"/>
    <w:rsid w:val="0090691F"/>
    <w:rsid w:val="00917AE7"/>
    <w:rsid w:val="00920BB4"/>
    <w:rsid w:val="009217A6"/>
    <w:rsid w:val="00921909"/>
    <w:rsid w:val="00927FD4"/>
    <w:rsid w:val="0093111F"/>
    <w:rsid w:val="00931491"/>
    <w:rsid w:val="00931D6F"/>
    <w:rsid w:val="00932E89"/>
    <w:rsid w:val="00934C09"/>
    <w:rsid w:val="00935689"/>
    <w:rsid w:val="009375AB"/>
    <w:rsid w:val="00944FB7"/>
    <w:rsid w:val="00946E4A"/>
    <w:rsid w:val="00950672"/>
    <w:rsid w:val="0095303B"/>
    <w:rsid w:val="009663B6"/>
    <w:rsid w:val="009736AA"/>
    <w:rsid w:val="00974A47"/>
    <w:rsid w:val="00976F4E"/>
    <w:rsid w:val="009772AE"/>
    <w:rsid w:val="00980286"/>
    <w:rsid w:val="009831AA"/>
    <w:rsid w:val="00986410"/>
    <w:rsid w:val="00987FBD"/>
    <w:rsid w:val="00990DCF"/>
    <w:rsid w:val="009943AA"/>
    <w:rsid w:val="009945EA"/>
    <w:rsid w:val="00994B5C"/>
    <w:rsid w:val="009979C9"/>
    <w:rsid w:val="009A1179"/>
    <w:rsid w:val="009A4CD6"/>
    <w:rsid w:val="009A537C"/>
    <w:rsid w:val="009B4838"/>
    <w:rsid w:val="009C0886"/>
    <w:rsid w:val="009C19EE"/>
    <w:rsid w:val="009C28D0"/>
    <w:rsid w:val="009C35F2"/>
    <w:rsid w:val="009C7782"/>
    <w:rsid w:val="009D1ED5"/>
    <w:rsid w:val="009D3079"/>
    <w:rsid w:val="009D4C13"/>
    <w:rsid w:val="009D6D37"/>
    <w:rsid w:val="009E21A7"/>
    <w:rsid w:val="00A033BE"/>
    <w:rsid w:val="00A05EBD"/>
    <w:rsid w:val="00A103ED"/>
    <w:rsid w:val="00A138CF"/>
    <w:rsid w:val="00A13C60"/>
    <w:rsid w:val="00A15134"/>
    <w:rsid w:val="00A16C86"/>
    <w:rsid w:val="00A222D7"/>
    <w:rsid w:val="00A341A3"/>
    <w:rsid w:val="00A35800"/>
    <w:rsid w:val="00A35912"/>
    <w:rsid w:val="00A425B9"/>
    <w:rsid w:val="00A44A1F"/>
    <w:rsid w:val="00A45FF9"/>
    <w:rsid w:val="00A52918"/>
    <w:rsid w:val="00A52A10"/>
    <w:rsid w:val="00A53640"/>
    <w:rsid w:val="00A547B3"/>
    <w:rsid w:val="00A70E82"/>
    <w:rsid w:val="00A84CAD"/>
    <w:rsid w:val="00A861CB"/>
    <w:rsid w:val="00A90E50"/>
    <w:rsid w:val="00A930D5"/>
    <w:rsid w:val="00A95FA5"/>
    <w:rsid w:val="00A96D92"/>
    <w:rsid w:val="00AA3CB5"/>
    <w:rsid w:val="00AB0929"/>
    <w:rsid w:val="00AB199C"/>
    <w:rsid w:val="00AB3733"/>
    <w:rsid w:val="00AB470B"/>
    <w:rsid w:val="00AB588C"/>
    <w:rsid w:val="00AB5A8D"/>
    <w:rsid w:val="00AB7897"/>
    <w:rsid w:val="00AC5054"/>
    <w:rsid w:val="00AD4E61"/>
    <w:rsid w:val="00AD52F2"/>
    <w:rsid w:val="00AD55C1"/>
    <w:rsid w:val="00AD6B6F"/>
    <w:rsid w:val="00AE0E51"/>
    <w:rsid w:val="00AE118F"/>
    <w:rsid w:val="00AE1F25"/>
    <w:rsid w:val="00AE4BAC"/>
    <w:rsid w:val="00B02A75"/>
    <w:rsid w:val="00B02BB1"/>
    <w:rsid w:val="00B034FC"/>
    <w:rsid w:val="00B05310"/>
    <w:rsid w:val="00B0693E"/>
    <w:rsid w:val="00B07837"/>
    <w:rsid w:val="00B10A0B"/>
    <w:rsid w:val="00B14E7C"/>
    <w:rsid w:val="00B24B15"/>
    <w:rsid w:val="00B25402"/>
    <w:rsid w:val="00B30D83"/>
    <w:rsid w:val="00B30D85"/>
    <w:rsid w:val="00B3440B"/>
    <w:rsid w:val="00B35A4A"/>
    <w:rsid w:val="00B36D2D"/>
    <w:rsid w:val="00B43DAB"/>
    <w:rsid w:val="00B453CF"/>
    <w:rsid w:val="00B57200"/>
    <w:rsid w:val="00B608B7"/>
    <w:rsid w:val="00B60D13"/>
    <w:rsid w:val="00B63FD7"/>
    <w:rsid w:val="00B65EF3"/>
    <w:rsid w:val="00B67AB7"/>
    <w:rsid w:val="00B71796"/>
    <w:rsid w:val="00B718B1"/>
    <w:rsid w:val="00B80172"/>
    <w:rsid w:val="00B81034"/>
    <w:rsid w:val="00B816D9"/>
    <w:rsid w:val="00B83C90"/>
    <w:rsid w:val="00B840D8"/>
    <w:rsid w:val="00B84F47"/>
    <w:rsid w:val="00B86DA9"/>
    <w:rsid w:val="00B9120F"/>
    <w:rsid w:val="00B9216C"/>
    <w:rsid w:val="00B924A4"/>
    <w:rsid w:val="00B97A8D"/>
    <w:rsid w:val="00BA771A"/>
    <w:rsid w:val="00BB0D1A"/>
    <w:rsid w:val="00BB1D3B"/>
    <w:rsid w:val="00BB5512"/>
    <w:rsid w:val="00BB70C0"/>
    <w:rsid w:val="00BC35ED"/>
    <w:rsid w:val="00BC6379"/>
    <w:rsid w:val="00BD733E"/>
    <w:rsid w:val="00BE205A"/>
    <w:rsid w:val="00BE3802"/>
    <w:rsid w:val="00BE6CFD"/>
    <w:rsid w:val="00BF145F"/>
    <w:rsid w:val="00BF238E"/>
    <w:rsid w:val="00BF2F4A"/>
    <w:rsid w:val="00BF544D"/>
    <w:rsid w:val="00BF7651"/>
    <w:rsid w:val="00C0076F"/>
    <w:rsid w:val="00C0301C"/>
    <w:rsid w:val="00C050B6"/>
    <w:rsid w:val="00C07B35"/>
    <w:rsid w:val="00C10194"/>
    <w:rsid w:val="00C10F12"/>
    <w:rsid w:val="00C11DDB"/>
    <w:rsid w:val="00C14D66"/>
    <w:rsid w:val="00C169D4"/>
    <w:rsid w:val="00C201C8"/>
    <w:rsid w:val="00C232F9"/>
    <w:rsid w:val="00C245EA"/>
    <w:rsid w:val="00C256F6"/>
    <w:rsid w:val="00C3097E"/>
    <w:rsid w:val="00C30B8F"/>
    <w:rsid w:val="00C30F77"/>
    <w:rsid w:val="00C35ECC"/>
    <w:rsid w:val="00C361A8"/>
    <w:rsid w:val="00C40DFC"/>
    <w:rsid w:val="00C41246"/>
    <w:rsid w:val="00C41DC0"/>
    <w:rsid w:val="00C45E5F"/>
    <w:rsid w:val="00C46291"/>
    <w:rsid w:val="00C47E40"/>
    <w:rsid w:val="00C52A90"/>
    <w:rsid w:val="00C557C3"/>
    <w:rsid w:val="00C63412"/>
    <w:rsid w:val="00C638EE"/>
    <w:rsid w:val="00C714D0"/>
    <w:rsid w:val="00C75236"/>
    <w:rsid w:val="00C757F3"/>
    <w:rsid w:val="00C90EF4"/>
    <w:rsid w:val="00C90FA2"/>
    <w:rsid w:val="00C93A4A"/>
    <w:rsid w:val="00C95D4A"/>
    <w:rsid w:val="00CA015A"/>
    <w:rsid w:val="00CC0108"/>
    <w:rsid w:val="00CC1AA3"/>
    <w:rsid w:val="00CD4486"/>
    <w:rsid w:val="00CD6574"/>
    <w:rsid w:val="00CE1E24"/>
    <w:rsid w:val="00CE388F"/>
    <w:rsid w:val="00CE5165"/>
    <w:rsid w:val="00CF50D2"/>
    <w:rsid w:val="00CF5E22"/>
    <w:rsid w:val="00D069C2"/>
    <w:rsid w:val="00D06A44"/>
    <w:rsid w:val="00D0714E"/>
    <w:rsid w:val="00D10FB1"/>
    <w:rsid w:val="00D151EB"/>
    <w:rsid w:val="00D20EC7"/>
    <w:rsid w:val="00D2447D"/>
    <w:rsid w:val="00D27474"/>
    <w:rsid w:val="00D300E0"/>
    <w:rsid w:val="00D35CA2"/>
    <w:rsid w:val="00D36AE3"/>
    <w:rsid w:val="00D374CD"/>
    <w:rsid w:val="00D4248C"/>
    <w:rsid w:val="00D53EF5"/>
    <w:rsid w:val="00D54AD3"/>
    <w:rsid w:val="00D64583"/>
    <w:rsid w:val="00D650CE"/>
    <w:rsid w:val="00D67064"/>
    <w:rsid w:val="00D71719"/>
    <w:rsid w:val="00D740CB"/>
    <w:rsid w:val="00D7624A"/>
    <w:rsid w:val="00D76569"/>
    <w:rsid w:val="00D776DA"/>
    <w:rsid w:val="00D846E0"/>
    <w:rsid w:val="00D87151"/>
    <w:rsid w:val="00D8758B"/>
    <w:rsid w:val="00D91311"/>
    <w:rsid w:val="00D91332"/>
    <w:rsid w:val="00D9383A"/>
    <w:rsid w:val="00D942B3"/>
    <w:rsid w:val="00D94863"/>
    <w:rsid w:val="00D95C6D"/>
    <w:rsid w:val="00D96437"/>
    <w:rsid w:val="00DA366F"/>
    <w:rsid w:val="00DA7D09"/>
    <w:rsid w:val="00DB000E"/>
    <w:rsid w:val="00DB025A"/>
    <w:rsid w:val="00DB5128"/>
    <w:rsid w:val="00DC2630"/>
    <w:rsid w:val="00DC2EF1"/>
    <w:rsid w:val="00DC49E9"/>
    <w:rsid w:val="00DC55E4"/>
    <w:rsid w:val="00DC5EB9"/>
    <w:rsid w:val="00DC681C"/>
    <w:rsid w:val="00DC7D71"/>
    <w:rsid w:val="00DD188C"/>
    <w:rsid w:val="00DD18B5"/>
    <w:rsid w:val="00DD29A3"/>
    <w:rsid w:val="00DD3EA8"/>
    <w:rsid w:val="00DD48EE"/>
    <w:rsid w:val="00DD7A00"/>
    <w:rsid w:val="00DE0B96"/>
    <w:rsid w:val="00DE10B9"/>
    <w:rsid w:val="00DE7D1F"/>
    <w:rsid w:val="00DF0871"/>
    <w:rsid w:val="00DF0B13"/>
    <w:rsid w:val="00DF2EB8"/>
    <w:rsid w:val="00DF48A0"/>
    <w:rsid w:val="00DF4A94"/>
    <w:rsid w:val="00DF6003"/>
    <w:rsid w:val="00E00095"/>
    <w:rsid w:val="00E00270"/>
    <w:rsid w:val="00E06085"/>
    <w:rsid w:val="00E0666E"/>
    <w:rsid w:val="00E066C3"/>
    <w:rsid w:val="00E10D8C"/>
    <w:rsid w:val="00E1353A"/>
    <w:rsid w:val="00E1564B"/>
    <w:rsid w:val="00E208A0"/>
    <w:rsid w:val="00E22ED9"/>
    <w:rsid w:val="00E25B49"/>
    <w:rsid w:val="00E3504A"/>
    <w:rsid w:val="00E35485"/>
    <w:rsid w:val="00E371EA"/>
    <w:rsid w:val="00E37C88"/>
    <w:rsid w:val="00E4241B"/>
    <w:rsid w:val="00E428B4"/>
    <w:rsid w:val="00E46894"/>
    <w:rsid w:val="00E47417"/>
    <w:rsid w:val="00E47A28"/>
    <w:rsid w:val="00E51599"/>
    <w:rsid w:val="00E5652E"/>
    <w:rsid w:val="00E622AE"/>
    <w:rsid w:val="00E64429"/>
    <w:rsid w:val="00E6709B"/>
    <w:rsid w:val="00E676DA"/>
    <w:rsid w:val="00E677DD"/>
    <w:rsid w:val="00E7594B"/>
    <w:rsid w:val="00E90AFE"/>
    <w:rsid w:val="00EA14A2"/>
    <w:rsid w:val="00EA243D"/>
    <w:rsid w:val="00EA3C04"/>
    <w:rsid w:val="00EB4688"/>
    <w:rsid w:val="00EB6209"/>
    <w:rsid w:val="00EB6C07"/>
    <w:rsid w:val="00EB729A"/>
    <w:rsid w:val="00EC028D"/>
    <w:rsid w:val="00ED633B"/>
    <w:rsid w:val="00EE08D8"/>
    <w:rsid w:val="00EE2BBB"/>
    <w:rsid w:val="00EE478C"/>
    <w:rsid w:val="00EF2DA1"/>
    <w:rsid w:val="00F021B3"/>
    <w:rsid w:val="00F03F96"/>
    <w:rsid w:val="00F0613B"/>
    <w:rsid w:val="00F1132C"/>
    <w:rsid w:val="00F1307B"/>
    <w:rsid w:val="00F15DD5"/>
    <w:rsid w:val="00F162CC"/>
    <w:rsid w:val="00F17D4B"/>
    <w:rsid w:val="00F219BF"/>
    <w:rsid w:val="00F23139"/>
    <w:rsid w:val="00F26F2E"/>
    <w:rsid w:val="00F304B4"/>
    <w:rsid w:val="00F3241B"/>
    <w:rsid w:val="00F324E9"/>
    <w:rsid w:val="00F35EB8"/>
    <w:rsid w:val="00F35F6C"/>
    <w:rsid w:val="00F3753F"/>
    <w:rsid w:val="00F44D78"/>
    <w:rsid w:val="00F450B7"/>
    <w:rsid w:val="00F453A1"/>
    <w:rsid w:val="00F47DB6"/>
    <w:rsid w:val="00F53E2D"/>
    <w:rsid w:val="00F54167"/>
    <w:rsid w:val="00F568DC"/>
    <w:rsid w:val="00F56DA5"/>
    <w:rsid w:val="00F571CD"/>
    <w:rsid w:val="00F64BF9"/>
    <w:rsid w:val="00F66CD5"/>
    <w:rsid w:val="00F67A9A"/>
    <w:rsid w:val="00F70F4E"/>
    <w:rsid w:val="00F73113"/>
    <w:rsid w:val="00F7591A"/>
    <w:rsid w:val="00F75FC4"/>
    <w:rsid w:val="00F77F7A"/>
    <w:rsid w:val="00F80516"/>
    <w:rsid w:val="00F8244C"/>
    <w:rsid w:val="00F831B0"/>
    <w:rsid w:val="00F85981"/>
    <w:rsid w:val="00F87263"/>
    <w:rsid w:val="00F91881"/>
    <w:rsid w:val="00F93725"/>
    <w:rsid w:val="00F942D7"/>
    <w:rsid w:val="00F94C77"/>
    <w:rsid w:val="00F97745"/>
    <w:rsid w:val="00FA3361"/>
    <w:rsid w:val="00FA3B78"/>
    <w:rsid w:val="00FA4890"/>
    <w:rsid w:val="00FA4DFA"/>
    <w:rsid w:val="00FA5C45"/>
    <w:rsid w:val="00FB3DB8"/>
    <w:rsid w:val="00FB77FA"/>
    <w:rsid w:val="00FC1BC0"/>
    <w:rsid w:val="00FC3C70"/>
    <w:rsid w:val="00FC4A73"/>
    <w:rsid w:val="00FC559C"/>
    <w:rsid w:val="00FC5F81"/>
    <w:rsid w:val="00FC60F3"/>
    <w:rsid w:val="00FC799C"/>
    <w:rsid w:val="00FC7F0D"/>
    <w:rsid w:val="00FD1574"/>
    <w:rsid w:val="00FD2189"/>
    <w:rsid w:val="00FD78D8"/>
    <w:rsid w:val="00FE0EBC"/>
    <w:rsid w:val="00FE258A"/>
    <w:rsid w:val="00FE4394"/>
    <w:rsid w:val="00FE645A"/>
    <w:rsid w:val="00FF0329"/>
    <w:rsid w:val="00FF544F"/>
    <w:rsid w:val="00FF61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324D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aliases w:val="Summary box"/>
    <w:basedOn w:val="TableNormal"/>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unhideWhenUsed/>
    <w:rsid w:val="008142B4"/>
    <w:pPr>
      <w:spacing w:after="0"/>
    </w:pPr>
    <w:rPr>
      <w:sz w:val="18"/>
      <w:szCs w:val="20"/>
    </w:rPr>
  </w:style>
  <w:style w:type="character" w:customStyle="1" w:styleId="FootnoteTextChar">
    <w:name w:val="Footnote Text Char"/>
    <w:basedOn w:val="DefaultParagraphFont"/>
    <w:link w:val="FootnoteText"/>
    <w:uiPriority w:val="99"/>
    <w:rsid w:val="008142B4"/>
    <w:rPr>
      <w:sz w:val="18"/>
      <w:szCs w:val="20"/>
    </w:rPr>
  </w:style>
  <w:style w:type="character" w:styleId="FootnoteReference">
    <w:name w:val="footnote reference"/>
    <w:basedOn w:val="DefaultParagraphFont"/>
    <w:uiPriority w:val="99"/>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Normal"/>
    <w:link w:val="FiguretitleChar"/>
    <w:qFormat/>
    <w:rsid w:val="004C3356"/>
    <w:pPr>
      <w:spacing w:before="60" w:after="60"/>
      <w:outlineLvl w:val="1"/>
    </w:pPr>
    <w:rPr>
      <w:rFonts w:ascii="Calibri" w:eastAsia="MS Mincho" w:hAnsi="Calibri" w:cs="Times New Roman"/>
      <w:b/>
    </w:rPr>
  </w:style>
  <w:style w:type="character" w:customStyle="1" w:styleId="FiguretitleChar">
    <w:name w:val="Figure title Char"/>
    <w:basedOn w:val="TabletitleChar"/>
    <w:link w:val="Figuretitle"/>
    <w:rsid w:val="004C3356"/>
    <w:rPr>
      <w:rFonts w:ascii="Calibri" w:eastAsia="MS Mincho" w:hAnsi="Calibri" w:cs="Times New Roman"/>
      <w:b/>
      <w:sz w:val="24"/>
      <w:szCs w:val="24"/>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link w:val="ListParagraphChar"/>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paragraph" w:styleId="EndnoteText">
    <w:name w:val="endnote text"/>
    <w:basedOn w:val="Normal"/>
    <w:link w:val="EndnoteTextChar"/>
    <w:uiPriority w:val="99"/>
    <w:semiHidden/>
    <w:unhideWhenUsed/>
    <w:rsid w:val="00EA3C04"/>
    <w:pPr>
      <w:spacing w:after="0"/>
    </w:pPr>
    <w:rPr>
      <w:sz w:val="20"/>
      <w:szCs w:val="20"/>
    </w:rPr>
  </w:style>
  <w:style w:type="character" w:customStyle="1" w:styleId="EndnoteTextChar">
    <w:name w:val="Endnote Text Char"/>
    <w:basedOn w:val="DefaultParagraphFont"/>
    <w:link w:val="EndnoteText"/>
    <w:uiPriority w:val="99"/>
    <w:semiHidden/>
    <w:rsid w:val="00EA3C04"/>
    <w:rPr>
      <w:sz w:val="20"/>
      <w:szCs w:val="20"/>
    </w:rPr>
  </w:style>
  <w:style w:type="character" w:styleId="EndnoteReference">
    <w:name w:val="endnote reference"/>
    <w:basedOn w:val="DefaultParagraphFont"/>
    <w:uiPriority w:val="99"/>
    <w:semiHidden/>
    <w:unhideWhenUsed/>
    <w:rsid w:val="00EA3C04"/>
    <w:rPr>
      <w:vertAlign w:val="superscript"/>
    </w:rPr>
  </w:style>
  <w:style w:type="character" w:styleId="FollowedHyperlink">
    <w:name w:val="FollowedHyperlink"/>
    <w:basedOn w:val="DefaultParagraphFont"/>
    <w:uiPriority w:val="99"/>
    <w:semiHidden/>
    <w:unhideWhenUsed/>
    <w:rsid w:val="00025C65"/>
    <w:rPr>
      <w:color w:val="800080" w:themeColor="followedHyperlink"/>
      <w:u w:val="single"/>
    </w:rPr>
  </w:style>
  <w:style w:type="paragraph" w:styleId="Caption">
    <w:name w:val="caption"/>
    <w:aliases w:val="PBAC Caption Tables + Figures,IB Caption,Medical Caption,Medical Caption Char,Caption Char1 Char Char,Caption Char Char Char Char,Caption Char1 Char,Caption Char Char Char Char Char,Caption Char Char,Caption Char Char Char Char1,Tabellen-Tite"/>
    <w:basedOn w:val="Normal"/>
    <w:next w:val="Normal"/>
    <w:uiPriority w:val="35"/>
    <w:qFormat/>
    <w:rsid w:val="00F35EB8"/>
    <w:pPr>
      <w:spacing w:after="120"/>
      <w:jc w:val="both"/>
    </w:pPr>
    <w:rPr>
      <w:rFonts w:ascii="Sabon" w:eastAsiaTheme="majorEastAsia" w:hAnsi="Sabon" w:cstheme="majorBidi"/>
      <w:b/>
      <w:bCs/>
      <w:sz w:val="20"/>
      <w:szCs w:val="18"/>
      <w:lang w:eastAsia="en-US" w:bidi="en-US"/>
    </w:rPr>
  </w:style>
  <w:style w:type="paragraph" w:customStyle="1" w:styleId="TableLeft">
    <w:name w:val="Table Left"/>
    <w:basedOn w:val="TableCentred"/>
    <w:link w:val="TableLeftChar"/>
    <w:uiPriority w:val="5"/>
    <w:qFormat/>
    <w:rsid w:val="00F35EB8"/>
    <w:pPr>
      <w:spacing w:line="240" w:lineRule="auto"/>
      <w:jc w:val="left"/>
    </w:pPr>
  </w:style>
  <w:style w:type="paragraph" w:customStyle="1" w:styleId="TableCentred">
    <w:name w:val="Table Centred"/>
    <w:basedOn w:val="Normal"/>
    <w:uiPriority w:val="5"/>
    <w:qFormat/>
    <w:rsid w:val="00F35EB8"/>
    <w:pPr>
      <w:spacing w:after="0" w:line="360" w:lineRule="auto"/>
      <w:jc w:val="center"/>
    </w:pPr>
    <w:rPr>
      <w:rFonts w:ascii="Arial Narrow" w:eastAsiaTheme="majorEastAsia" w:hAnsi="Arial Narrow" w:cstheme="majorBidi"/>
      <w:sz w:val="20"/>
      <w:szCs w:val="22"/>
      <w:lang w:eastAsia="en-US" w:bidi="en-US"/>
    </w:rPr>
  </w:style>
  <w:style w:type="character" w:customStyle="1" w:styleId="TableLeftChar">
    <w:name w:val="Table Left Char"/>
    <w:basedOn w:val="DefaultParagraphFont"/>
    <w:link w:val="TableLeft"/>
    <w:uiPriority w:val="5"/>
    <w:locked/>
    <w:rsid w:val="00F35EB8"/>
    <w:rPr>
      <w:rFonts w:ascii="Arial Narrow" w:eastAsiaTheme="majorEastAsia" w:hAnsi="Arial Narrow" w:cstheme="majorBidi"/>
      <w:sz w:val="20"/>
      <w:lang w:eastAsia="en-US" w:bidi="en-US"/>
    </w:rPr>
  </w:style>
  <w:style w:type="character" w:customStyle="1" w:styleId="TableBold">
    <w:name w:val="Table Bold"/>
    <w:basedOn w:val="DefaultParagraphFont"/>
    <w:uiPriority w:val="4"/>
    <w:qFormat/>
    <w:rsid w:val="00F35EB8"/>
    <w:rPr>
      <w:rFonts w:ascii="Arial Narrow" w:hAnsi="Arial Narrow"/>
      <w:b/>
      <w:sz w:val="20"/>
      <w:lang w:val="en-AU"/>
    </w:rPr>
  </w:style>
  <w:style w:type="paragraph" w:customStyle="1" w:styleId="PBACheading1">
    <w:name w:val="PBAC heading 1"/>
    <w:qFormat/>
    <w:rsid w:val="00917AE7"/>
    <w:pPr>
      <w:numPr>
        <w:numId w:val="19"/>
      </w:numPr>
      <w:spacing w:after="0" w:line="240" w:lineRule="auto"/>
    </w:pPr>
    <w:rPr>
      <w:rFonts w:ascii="Arial" w:eastAsia="Times New Roman" w:hAnsi="Arial" w:cs="Arial"/>
      <w:snapToGrid w:val="0"/>
      <w:lang w:eastAsia="en-US"/>
    </w:rPr>
  </w:style>
  <w:style w:type="character" w:customStyle="1" w:styleId="ListParagraphChar">
    <w:name w:val="List Paragraph Char"/>
    <w:link w:val="ListParagraph"/>
    <w:uiPriority w:val="34"/>
    <w:locked/>
    <w:rsid w:val="00431FB2"/>
    <w:rPr>
      <w:sz w:val="24"/>
      <w:szCs w:val="24"/>
    </w:rPr>
  </w:style>
  <w:style w:type="paragraph" w:customStyle="1" w:styleId="TableBullets">
    <w:name w:val="Table Bullets"/>
    <w:basedOn w:val="Normal"/>
    <w:uiPriority w:val="5"/>
    <w:qFormat/>
    <w:rsid w:val="00015850"/>
    <w:pPr>
      <w:numPr>
        <w:numId w:val="25"/>
      </w:numPr>
      <w:spacing w:after="0"/>
    </w:pPr>
    <w:rPr>
      <w:rFonts w:ascii="Arial Narrow" w:eastAsiaTheme="majorEastAsia" w:hAnsi="Arial Narrow" w:cstheme="majorBidi"/>
      <w:sz w:val="20"/>
      <w:szCs w:val="22"/>
      <w:lang w:eastAsia="en-US" w:bidi="en-US"/>
    </w:rPr>
  </w:style>
  <w:style w:type="paragraph" w:styleId="Revision">
    <w:name w:val="Revision"/>
    <w:hidden/>
    <w:uiPriority w:val="99"/>
    <w:semiHidden/>
    <w:rsid w:val="00500DDB"/>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61676">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664359017">
      <w:bodyDiv w:val="1"/>
      <w:marLeft w:val="0"/>
      <w:marRight w:val="0"/>
      <w:marTop w:val="0"/>
      <w:marBottom w:val="0"/>
      <w:divBdr>
        <w:top w:val="none" w:sz="0" w:space="0" w:color="auto"/>
        <w:left w:val="none" w:sz="0" w:space="0" w:color="auto"/>
        <w:bottom w:val="none" w:sz="0" w:space="0" w:color="auto"/>
        <w:right w:val="none" w:sz="0" w:space="0" w:color="auto"/>
      </w:divBdr>
    </w:div>
    <w:div w:id="851181943">
      <w:bodyDiv w:val="1"/>
      <w:marLeft w:val="0"/>
      <w:marRight w:val="0"/>
      <w:marTop w:val="0"/>
      <w:marBottom w:val="0"/>
      <w:divBdr>
        <w:top w:val="none" w:sz="0" w:space="0" w:color="auto"/>
        <w:left w:val="none" w:sz="0" w:space="0" w:color="auto"/>
        <w:bottom w:val="none" w:sz="0" w:space="0" w:color="auto"/>
        <w:right w:val="none" w:sz="0" w:space="0" w:color="auto"/>
      </w:divBdr>
      <w:divsChild>
        <w:div w:id="208147072">
          <w:marLeft w:val="0"/>
          <w:marRight w:val="0"/>
          <w:marTop w:val="0"/>
          <w:marBottom w:val="0"/>
          <w:divBdr>
            <w:top w:val="none" w:sz="0" w:space="0" w:color="auto"/>
            <w:left w:val="none" w:sz="0" w:space="0" w:color="auto"/>
            <w:bottom w:val="none" w:sz="0" w:space="0" w:color="auto"/>
            <w:right w:val="none" w:sz="0" w:space="0" w:color="auto"/>
          </w:divBdr>
          <w:divsChild>
            <w:div w:id="716273556">
              <w:marLeft w:val="0"/>
              <w:marRight w:val="0"/>
              <w:marTop w:val="0"/>
              <w:marBottom w:val="0"/>
              <w:divBdr>
                <w:top w:val="none" w:sz="0" w:space="0" w:color="auto"/>
                <w:left w:val="none" w:sz="0" w:space="0" w:color="auto"/>
                <w:bottom w:val="none" w:sz="0" w:space="0" w:color="auto"/>
                <w:right w:val="none" w:sz="0" w:space="0" w:color="auto"/>
              </w:divBdr>
              <w:divsChild>
                <w:div w:id="555625720">
                  <w:marLeft w:val="0"/>
                  <w:marRight w:val="0"/>
                  <w:marTop w:val="0"/>
                  <w:marBottom w:val="0"/>
                  <w:divBdr>
                    <w:top w:val="none" w:sz="0" w:space="0" w:color="auto"/>
                    <w:left w:val="none" w:sz="0" w:space="0" w:color="auto"/>
                    <w:bottom w:val="none" w:sz="0" w:space="0" w:color="auto"/>
                    <w:right w:val="none" w:sz="0" w:space="0" w:color="auto"/>
                  </w:divBdr>
                  <w:divsChild>
                    <w:div w:id="73524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618525">
      <w:bodyDiv w:val="1"/>
      <w:marLeft w:val="0"/>
      <w:marRight w:val="0"/>
      <w:marTop w:val="0"/>
      <w:marBottom w:val="0"/>
      <w:divBdr>
        <w:top w:val="none" w:sz="0" w:space="0" w:color="auto"/>
        <w:left w:val="none" w:sz="0" w:space="0" w:color="auto"/>
        <w:bottom w:val="none" w:sz="0" w:space="0" w:color="auto"/>
        <w:right w:val="none" w:sz="0" w:space="0" w:color="auto"/>
      </w:divBdr>
    </w:div>
    <w:div w:id="961838569">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491169887">
      <w:bodyDiv w:val="1"/>
      <w:marLeft w:val="0"/>
      <w:marRight w:val="0"/>
      <w:marTop w:val="0"/>
      <w:marBottom w:val="0"/>
      <w:divBdr>
        <w:top w:val="none" w:sz="0" w:space="0" w:color="auto"/>
        <w:left w:val="none" w:sz="0" w:space="0" w:color="auto"/>
        <w:bottom w:val="none" w:sz="0" w:space="0" w:color="auto"/>
        <w:right w:val="none" w:sz="0" w:space="0" w:color="auto"/>
      </w:divBdr>
    </w:div>
    <w:div w:id="1543248476">
      <w:bodyDiv w:val="1"/>
      <w:marLeft w:val="0"/>
      <w:marRight w:val="0"/>
      <w:marTop w:val="0"/>
      <w:marBottom w:val="0"/>
      <w:divBdr>
        <w:top w:val="none" w:sz="0" w:space="0" w:color="auto"/>
        <w:left w:val="none" w:sz="0" w:space="0" w:color="auto"/>
        <w:bottom w:val="none" w:sz="0" w:space="0" w:color="auto"/>
        <w:right w:val="none" w:sz="0" w:space="0" w:color="auto"/>
      </w:divBdr>
    </w:div>
    <w:div w:id="1759907707">
      <w:bodyDiv w:val="1"/>
      <w:marLeft w:val="0"/>
      <w:marRight w:val="0"/>
      <w:marTop w:val="0"/>
      <w:marBottom w:val="0"/>
      <w:divBdr>
        <w:top w:val="none" w:sz="0" w:space="0" w:color="auto"/>
        <w:left w:val="none" w:sz="0" w:space="0" w:color="auto"/>
        <w:bottom w:val="none" w:sz="0" w:space="0" w:color="auto"/>
        <w:right w:val="none" w:sz="0" w:space="0" w:color="auto"/>
      </w:divBdr>
    </w:div>
    <w:div w:id="1905990141">
      <w:bodyDiv w:val="1"/>
      <w:marLeft w:val="0"/>
      <w:marRight w:val="0"/>
      <w:marTop w:val="0"/>
      <w:marBottom w:val="0"/>
      <w:divBdr>
        <w:top w:val="none" w:sz="0" w:space="0" w:color="auto"/>
        <w:left w:val="none" w:sz="0" w:space="0" w:color="auto"/>
        <w:bottom w:val="none" w:sz="0" w:space="0" w:color="auto"/>
        <w:right w:val="none" w:sz="0" w:space="0" w:color="auto"/>
      </w:divBdr>
    </w:div>
    <w:div w:id="212175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bs.tga.gov.au/ebs/picmi/picmirepository.nsf/pdf?OpenAgent&amp;id=CP-2013-PI-01918-1&amp;d=2018062816114622483" TargetMode="External"/><Relationship Id="rId13" Type="http://schemas.openxmlformats.org/officeDocument/2006/relationships/hyperlink" Target="file:///\\central.health\DFSGroupData\Sites\CO1\CO\PBD\PEB\EVAL\DUSC\DUSC%20Documents\Predicted%20vs%20actual%20usage\pbs.gov.au" TargetMode="External"/><Relationship Id="rId18" Type="http://schemas.openxmlformats.org/officeDocument/2006/relationships/hyperlink" Target="http://www.pbs.gov.au/industry/listing/elements/pbac-meetings/psd/2015-03/Files/ruxolitinib-psd-march-2015.pdf" TargetMode="External"/><Relationship Id="rId26"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hyperlink" Target="http://www.pbs.gov.au/pbs/home" TargetMode="External"/><Relationship Id="rId17" Type="http://schemas.openxmlformats.org/officeDocument/2006/relationships/hyperlink" Target="http://www.pbs.gov.au/industry/listing/elements/pbac-meetings/pbac-stakeholder-meetings/ruxolitinib-stakeholder-meeting-outcome-statement-sep-2014.pdf" TargetMode="External"/><Relationship Id="rId25"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hyperlink" Target="http://www.pbs.gov.au/info/industry/listing/elements/pbac-meetings/psd/2014-07/ruxolitinib-psd-07-2014" TargetMode="External"/><Relationship Id="rId20" Type="http://schemas.openxmlformats.org/officeDocument/2006/relationships/chart" Target="charts/chart2.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ga.gov.au/consumers/information-medicines-cmi.htm" TargetMode="External"/><Relationship Id="rId24" Type="http://schemas.openxmlformats.org/officeDocument/2006/relationships/image" Target="media/image2.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bs.gov.au/industry/listing/elements/pbac-meetings/psd/2015-03/Files/ruxolitinib-psd-march-2015.pdf" TargetMode="External"/><Relationship Id="rId23" Type="http://schemas.openxmlformats.org/officeDocument/2006/relationships/image" Target="media/image1.png"/><Relationship Id="rId28" Type="http://schemas.openxmlformats.org/officeDocument/2006/relationships/footer" Target="footer1.xml"/><Relationship Id="rId10" Type="http://schemas.openxmlformats.org/officeDocument/2006/relationships/hyperlink" Target="http://tga.gov.au/hp/information-medicines-pi.htm" TargetMode="External"/><Relationship Id="rId19" Type="http://schemas.openxmlformats.org/officeDocument/2006/relationships/chart" Target="charts/chart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bs.tga.gov.au/ebs/picmi/picmirepository.nsf/pdf?OpenAgent&amp;id=CP-2013-PI-01918-1" TargetMode="External"/><Relationship Id="rId14" Type="http://schemas.openxmlformats.org/officeDocument/2006/relationships/hyperlink" Target="file:///\\central.health\DFSGroupData\Sites\CO1\CO\PBD\PEB\EVAL\DUSC\DUSC%20Documents\Predicted%20vs%20actual%20usage\pbs.gov.au" TargetMode="External"/><Relationship Id="rId22" Type="http://schemas.openxmlformats.org/officeDocument/2006/relationships/chart" Target="charts/chart4.xml"/><Relationship Id="rId27" Type="http://schemas.openxmlformats.org/officeDocument/2006/relationships/chart" Target="charts/chart7.xm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1002/ajh.24592" TargetMode="External"/><Relationship Id="rId7" Type="http://schemas.openxmlformats.org/officeDocument/2006/relationships/hyperlink" Target="http://www.pbs.gov.au/info/industry/listing/elements/pbac-meetings/psd/2015-03/ruxolitinib-jakavi-psd-03-2015" TargetMode="External"/><Relationship Id="rId2" Type="http://schemas.openxmlformats.org/officeDocument/2006/relationships/hyperlink" Target="https://www.leukaemia.org.au/disease-information/myeloproliferative-disorders/types-of-mpn/primary-myelofibrosis/" TargetMode="External"/><Relationship Id="rId1" Type="http://schemas.openxmlformats.org/officeDocument/2006/relationships/hyperlink" Target="https://www.ebs.tga.gov.au/ebs/picmi/picmirepository.nsf/pdf?OpenAgent&amp;id=CP-2013-CMI-01925-1&amp;d=2018062816114622483" TargetMode="External"/><Relationship Id="rId6" Type="http://schemas.openxmlformats.org/officeDocument/2006/relationships/hyperlink" Target="https://www.humanservices.gov.au/corporate/statistical-information-and-data/medicare-statistics" TargetMode="External"/><Relationship Id="rId5" Type="http://schemas.openxmlformats.org/officeDocument/2006/relationships/hyperlink" Target="https://www.ebs.tga.gov.au/ebs/picmi/picmirepository.nsf/pdf?OpenAgent&amp;id=CP-2013-PI-01918-1" TargetMode="External"/><Relationship Id="rId4" Type="http://schemas.openxmlformats.org/officeDocument/2006/relationships/hyperlink" Target="https://doi.org/10.1182/blood-2009-09-245837"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8\D1088%20-%20ruxolitinib%20PvA%20%20Sep%202018\D1088_PATCNTBY_DRUG_N_SUPP_Q,%20id=age,sex%20&amp;%20indication,%20v4%20renum%20fig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8\D1088%20-%20ruxolitinib%20PvA%20%20Sep%202018\D1088%20-%20SCRPT_SUM%20+%20indication,%20v2%20updated%20auth%20metho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8\D1088%20-%20ruxolitinib%20PvA%20%20Sep%202018\D1088%20-%20SCRPT_SUM%20+%20indication,%20v2%20updated%20auth%20method.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8\D1088%20-%20ruxolitinib%20PvA%20%20Sep%202018\D1088%20-%20SCRPT_SUM%20+%20indication,%20v3%20renum%20fig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8\D1088%20-%20ruxolitinib%20PvA%20%20Sep%202018\d1088%20-%2010mg%20dose%20range%20FREQ,%20v2%20by%20indication.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8\D1088%20-%20ruxolitinib%20PvA%20%20Sep%202018\D1088_PATCNTBY_DRUG_N_SUPP_Q,%20id=age,sex%20&amp;%20indication,%20v3%20pyramid%20chart.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8\D1088%20-%20ruxolitinib%20PvA%20%20Sep%202018\D1088_PATCNTBY_DRUG_N_SUPP_Q,%20id=age,sex%20&amp;%20indication,%20v4%20renum%20fig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 (7)'!$H$5</c:f>
              <c:strCache>
                <c:ptCount val="1"/>
                <c:pt idx="0">
                  <c:v>Initiators, Grandfathering</c:v>
                </c:pt>
              </c:strCache>
            </c:strRef>
          </c:tx>
          <c:cat>
            <c:strRef>
              <c:f>'Sheet1 (7)'!$G$6:$G$14</c:f>
              <c:strCache>
                <c:ptCount val="9"/>
                <c:pt idx="0">
                  <c:v>2016Q1</c:v>
                </c:pt>
                <c:pt idx="1">
                  <c:v>2016Q2</c:v>
                </c:pt>
                <c:pt idx="2">
                  <c:v>2016Q3</c:v>
                </c:pt>
                <c:pt idx="3">
                  <c:v>2016Q4</c:v>
                </c:pt>
                <c:pt idx="4">
                  <c:v>2017Q1</c:v>
                </c:pt>
                <c:pt idx="5">
                  <c:v>2017Q2</c:v>
                </c:pt>
                <c:pt idx="6">
                  <c:v>2017Q3</c:v>
                </c:pt>
                <c:pt idx="7">
                  <c:v>2017Q4</c:v>
                </c:pt>
                <c:pt idx="8">
                  <c:v>2018Q1</c:v>
                </c:pt>
              </c:strCache>
            </c:strRef>
          </c:cat>
          <c:val>
            <c:numRef>
              <c:f>'Sheet1 (7)'!$H$6:$H$14</c:f>
              <c:numCache>
                <c:formatCode>General</c:formatCode>
                <c:ptCount val="9"/>
                <c:pt idx="0">
                  <c:v>278</c:v>
                </c:pt>
                <c:pt idx="1">
                  <c:v>35</c:v>
                </c:pt>
                <c:pt idx="2">
                  <c:v>5</c:v>
                </c:pt>
                <c:pt idx="3">
                  <c:v>#N/A</c:v>
                </c:pt>
                <c:pt idx="4">
                  <c:v>#N/A</c:v>
                </c:pt>
                <c:pt idx="5">
                  <c:v>#N/A</c:v>
                </c:pt>
                <c:pt idx="6">
                  <c:v>#N/A</c:v>
                </c:pt>
                <c:pt idx="7">
                  <c:v>#N/A</c:v>
                </c:pt>
                <c:pt idx="8">
                  <c:v>#N/A</c:v>
                </c:pt>
              </c:numCache>
            </c:numRef>
          </c:val>
          <c:smooth val="0"/>
          <c:extLst>
            <c:ext xmlns:c16="http://schemas.microsoft.com/office/drawing/2014/chart" uri="{C3380CC4-5D6E-409C-BE32-E72D297353CC}">
              <c16:uniqueId val="{00000000-FF13-4D92-ABAA-AF26F59A6B2F}"/>
            </c:ext>
          </c:extLst>
        </c:ser>
        <c:ser>
          <c:idx val="1"/>
          <c:order val="1"/>
          <c:tx>
            <c:strRef>
              <c:f>'Sheet1 (7)'!$I$5</c:f>
              <c:strCache>
                <c:ptCount val="1"/>
                <c:pt idx="0">
                  <c:v>Initiators, Int-1</c:v>
                </c:pt>
              </c:strCache>
            </c:strRef>
          </c:tx>
          <c:cat>
            <c:strRef>
              <c:f>'Sheet1 (7)'!$G$6:$G$14</c:f>
              <c:strCache>
                <c:ptCount val="9"/>
                <c:pt idx="0">
                  <c:v>2016Q1</c:v>
                </c:pt>
                <c:pt idx="1">
                  <c:v>2016Q2</c:v>
                </c:pt>
                <c:pt idx="2">
                  <c:v>2016Q3</c:v>
                </c:pt>
                <c:pt idx="3">
                  <c:v>2016Q4</c:v>
                </c:pt>
                <c:pt idx="4">
                  <c:v>2017Q1</c:v>
                </c:pt>
                <c:pt idx="5">
                  <c:v>2017Q2</c:v>
                </c:pt>
                <c:pt idx="6">
                  <c:v>2017Q3</c:v>
                </c:pt>
                <c:pt idx="7">
                  <c:v>2017Q4</c:v>
                </c:pt>
                <c:pt idx="8">
                  <c:v>2018Q1</c:v>
                </c:pt>
              </c:strCache>
            </c:strRef>
          </c:cat>
          <c:val>
            <c:numRef>
              <c:f>'Sheet1 (7)'!$I$6:$I$14</c:f>
              <c:numCache>
                <c:formatCode>General</c:formatCode>
                <c:ptCount val="9"/>
                <c:pt idx="0">
                  <c:v>22</c:v>
                </c:pt>
                <c:pt idx="1">
                  <c:v>30</c:v>
                </c:pt>
                <c:pt idx="2">
                  <c:v>40</c:v>
                </c:pt>
                <c:pt idx="3">
                  <c:v>28</c:v>
                </c:pt>
                <c:pt idx="4">
                  <c:v>21</c:v>
                </c:pt>
                <c:pt idx="5">
                  <c:v>31</c:v>
                </c:pt>
                <c:pt idx="6">
                  <c:v>36</c:v>
                </c:pt>
                <c:pt idx="7">
                  <c:v>42</c:v>
                </c:pt>
                <c:pt idx="8">
                  <c:v>29</c:v>
                </c:pt>
              </c:numCache>
            </c:numRef>
          </c:val>
          <c:smooth val="0"/>
          <c:extLst>
            <c:ext xmlns:c16="http://schemas.microsoft.com/office/drawing/2014/chart" uri="{C3380CC4-5D6E-409C-BE32-E72D297353CC}">
              <c16:uniqueId val="{00000001-FF13-4D92-ABAA-AF26F59A6B2F}"/>
            </c:ext>
          </c:extLst>
        </c:ser>
        <c:ser>
          <c:idx val="2"/>
          <c:order val="2"/>
          <c:tx>
            <c:strRef>
              <c:f>'Sheet1 (7)'!$J$5</c:f>
              <c:strCache>
                <c:ptCount val="1"/>
                <c:pt idx="0">
                  <c:v>Initiators, Int-2 &amp; High Risk</c:v>
                </c:pt>
              </c:strCache>
            </c:strRef>
          </c:tx>
          <c:cat>
            <c:strRef>
              <c:f>'Sheet1 (7)'!$G$6:$G$14</c:f>
              <c:strCache>
                <c:ptCount val="9"/>
                <c:pt idx="0">
                  <c:v>2016Q1</c:v>
                </c:pt>
                <c:pt idx="1">
                  <c:v>2016Q2</c:v>
                </c:pt>
                <c:pt idx="2">
                  <c:v>2016Q3</c:v>
                </c:pt>
                <c:pt idx="3">
                  <c:v>2016Q4</c:v>
                </c:pt>
                <c:pt idx="4">
                  <c:v>2017Q1</c:v>
                </c:pt>
                <c:pt idx="5">
                  <c:v>2017Q2</c:v>
                </c:pt>
                <c:pt idx="6">
                  <c:v>2017Q3</c:v>
                </c:pt>
                <c:pt idx="7">
                  <c:v>2017Q4</c:v>
                </c:pt>
                <c:pt idx="8">
                  <c:v>2018Q1</c:v>
                </c:pt>
              </c:strCache>
            </c:strRef>
          </c:cat>
          <c:val>
            <c:numRef>
              <c:f>'Sheet1 (7)'!$J$6:$J$14</c:f>
              <c:numCache>
                <c:formatCode>General</c:formatCode>
                <c:ptCount val="9"/>
                <c:pt idx="0">
                  <c:v>143</c:v>
                </c:pt>
                <c:pt idx="1">
                  <c:v>120</c:v>
                </c:pt>
                <c:pt idx="2">
                  <c:v>69</c:v>
                </c:pt>
                <c:pt idx="3">
                  <c:v>62</c:v>
                </c:pt>
                <c:pt idx="4">
                  <c:v>71</c:v>
                </c:pt>
                <c:pt idx="5">
                  <c:v>74</c:v>
                </c:pt>
                <c:pt idx="6">
                  <c:v>64</c:v>
                </c:pt>
                <c:pt idx="7">
                  <c:v>64</c:v>
                </c:pt>
                <c:pt idx="8">
                  <c:v>64</c:v>
                </c:pt>
              </c:numCache>
            </c:numRef>
          </c:val>
          <c:smooth val="0"/>
          <c:extLst>
            <c:ext xmlns:c16="http://schemas.microsoft.com/office/drawing/2014/chart" uri="{C3380CC4-5D6E-409C-BE32-E72D297353CC}">
              <c16:uniqueId val="{00000002-FF13-4D92-ABAA-AF26F59A6B2F}"/>
            </c:ext>
          </c:extLst>
        </c:ser>
        <c:ser>
          <c:idx val="3"/>
          <c:order val="3"/>
          <c:tx>
            <c:strRef>
              <c:f>'Sheet1 (7)'!$K$5</c:f>
              <c:strCache>
                <c:ptCount val="1"/>
                <c:pt idx="0">
                  <c:v>Initiators, Total</c:v>
                </c:pt>
              </c:strCache>
            </c:strRef>
          </c:tx>
          <c:cat>
            <c:strRef>
              <c:f>'Sheet1 (7)'!$G$6:$G$14</c:f>
              <c:strCache>
                <c:ptCount val="9"/>
                <c:pt idx="0">
                  <c:v>2016Q1</c:v>
                </c:pt>
                <c:pt idx="1">
                  <c:v>2016Q2</c:v>
                </c:pt>
                <c:pt idx="2">
                  <c:v>2016Q3</c:v>
                </c:pt>
                <c:pt idx="3">
                  <c:v>2016Q4</c:v>
                </c:pt>
                <c:pt idx="4">
                  <c:v>2017Q1</c:v>
                </c:pt>
                <c:pt idx="5">
                  <c:v>2017Q2</c:v>
                </c:pt>
                <c:pt idx="6">
                  <c:v>2017Q3</c:v>
                </c:pt>
                <c:pt idx="7">
                  <c:v>2017Q4</c:v>
                </c:pt>
                <c:pt idx="8">
                  <c:v>2018Q1</c:v>
                </c:pt>
              </c:strCache>
            </c:strRef>
          </c:cat>
          <c:val>
            <c:numRef>
              <c:f>'Sheet1 (7)'!$K$6:$K$14</c:f>
              <c:numCache>
                <c:formatCode>General</c:formatCode>
                <c:ptCount val="9"/>
                <c:pt idx="0">
                  <c:v>443</c:v>
                </c:pt>
                <c:pt idx="1">
                  <c:v>185</c:v>
                </c:pt>
                <c:pt idx="2">
                  <c:v>111</c:v>
                </c:pt>
                <c:pt idx="3">
                  <c:v>90</c:v>
                </c:pt>
                <c:pt idx="4">
                  <c:v>92</c:v>
                </c:pt>
                <c:pt idx="5">
                  <c:v>105</c:v>
                </c:pt>
                <c:pt idx="6">
                  <c:v>100</c:v>
                </c:pt>
                <c:pt idx="7">
                  <c:v>106</c:v>
                </c:pt>
                <c:pt idx="8">
                  <c:v>93</c:v>
                </c:pt>
              </c:numCache>
            </c:numRef>
          </c:val>
          <c:smooth val="0"/>
          <c:extLst>
            <c:ext xmlns:c16="http://schemas.microsoft.com/office/drawing/2014/chart" uri="{C3380CC4-5D6E-409C-BE32-E72D297353CC}">
              <c16:uniqueId val="{00000003-FF13-4D92-ABAA-AF26F59A6B2F}"/>
            </c:ext>
          </c:extLst>
        </c:ser>
        <c:ser>
          <c:idx val="4"/>
          <c:order val="4"/>
          <c:tx>
            <c:strRef>
              <c:f>'Sheet1 (7)'!$L$5</c:f>
              <c:strCache>
                <c:ptCount val="1"/>
                <c:pt idx="0">
                  <c:v>Prevalent, Total</c:v>
                </c:pt>
              </c:strCache>
            </c:strRef>
          </c:tx>
          <c:cat>
            <c:strRef>
              <c:f>'Sheet1 (7)'!$G$6:$G$14</c:f>
              <c:strCache>
                <c:ptCount val="9"/>
                <c:pt idx="0">
                  <c:v>2016Q1</c:v>
                </c:pt>
                <c:pt idx="1">
                  <c:v>2016Q2</c:v>
                </c:pt>
                <c:pt idx="2">
                  <c:v>2016Q3</c:v>
                </c:pt>
                <c:pt idx="3">
                  <c:v>2016Q4</c:v>
                </c:pt>
                <c:pt idx="4">
                  <c:v>2017Q1</c:v>
                </c:pt>
                <c:pt idx="5">
                  <c:v>2017Q2</c:v>
                </c:pt>
                <c:pt idx="6">
                  <c:v>2017Q3</c:v>
                </c:pt>
                <c:pt idx="7">
                  <c:v>2017Q4</c:v>
                </c:pt>
                <c:pt idx="8">
                  <c:v>2018Q1</c:v>
                </c:pt>
              </c:strCache>
            </c:strRef>
          </c:cat>
          <c:val>
            <c:numRef>
              <c:f>'Sheet1 (7)'!$L$6:$L$14</c:f>
              <c:numCache>
                <c:formatCode>General</c:formatCode>
                <c:ptCount val="9"/>
                <c:pt idx="0">
                  <c:v>443</c:v>
                </c:pt>
                <c:pt idx="1">
                  <c:v>613</c:v>
                </c:pt>
                <c:pt idx="2">
                  <c:v>679</c:v>
                </c:pt>
                <c:pt idx="3">
                  <c:v>717</c:v>
                </c:pt>
                <c:pt idx="4">
                  <c:v>739</c:v>
                </c:pt>
                <c:pt idx="5">
                  <c:v>792</c:v>
                </c:pt>
                <c:pt idx="6">
                  <c:v>839</c:v>
                </c:pt>
                <c:pt idx="7">
                  <c:v>898</c:v>
                </c:pt>
                <c:pt idx="8">
                  <c:v>923</c:v>
                </c:pt>
              </c:numCache>
            </c:numRef>
          </c:val>
          <c:smooth val="0"/>
          <c:extLst>
            <c:ext xmlns:c16="http://schemas.microsoft.com/office/drawing/2014/chart" uri="{C3380CC4-5D6E-409C-BE32-E72D297353CC}">
              <c16:uniqueId val="{00000004-FF13-4D92-ABAA-AF26F59A6B2F}"/>
            </c:ext>
          </c:extLst>
        </c:ser>
        <c:dLbls>
          <c:showLegendKey val="0"/>
          <c:showVal val="0"/>
          <c:showCatName val="0"/>
          <c:showSerName val="0"/>
          <c:showPercent val="0"/>
          <c:showBubbleSize val="0"/>
        </c:dLbls>
        <c:marker val="1"/>
        <c:smooth val="0"/>
        <c:axId val="191668224"/>
        <c:axId val="191670144"/>
      </c:lineChart>
      <c:catAx>
        <c:axId val="191668224"/>
        <c:scaling>
          <c:orientation val="minMax"/>
        </c:scaling>
        <c:delete val="0"/>
        <c:axPos val="b"/>
        <c:title>
          <c:tx>
            <c:rich>
              <a:bodyPr/>
              <a:lstStyle/>
              <a:p>
                <a:pPr>
                  <a:defRPr b="0"/>
                </a:pPr>
                <a:r>
                  <a:rPr lang="en-US" b="0"/>
                  <a:t>Quarter of Supply</a:t>
                </a:r>
              </a:p>
            </c:rich>
          </c:tx>
          <c:layout/>
          <c:overlay val="0"/>
        </c:title>
        <c:numFmt formatCode="General" sourceLinked="0"/>
        <c:majorTickMark val="none"/>
        <c:minorTickMark val="none"/>
        <c:tickLblPos val="nextTo"/>
        <c:crossAx val="191670144"/>
        <c:crosses val="autoZero"/>
        <c:auto val="1"/>
        <c:lblAlgn val="ctr"/>
        <c:lblOffset val="100"/>
        <c:noMultiLvlLbl val="0"/>
      </c:catAx>
      <c:valAx>
        <c:axId val="191670144"/>
        <c:scaling>
          <c:orientation val="minMax"/>
          <c:max val="950"/>
          <c:min val="0"/>
        </c:scaling>
        <c:delete val="0"/>
        <c:axPos val="l"/>
        <c:majorGridlines/>
        <c:title>
          <c:tx>
            <c:rich>
              <a:bodyPr/>
              <a:lstStyle/>
              <a:p>
                <a:pPr>
                  <a:defRPr b="0"/>
                </a:pPr>
                <a:r>
                  <a:rPr lang="en-US" b="0"/>
                  <a:t>Patients</a:t>
                </a:r>
              </a:p>
            </c:rich>
          </c:tx>
          <c:layout/>
          <c:overlay val="0"/>
        </c:title>
        <c:numFmt formatCode="General" sourceLinked="1"/>
        <c:majorTickMark val="none"/>
        <c:minorTickMark val="none"/>
        <c:tickLblPos val="nextTo"/>
        <c:crossAx val="191668224"/>
        <c:crosses val="autoZero"/>
        <c:crossBetween val="between"/>
      </c:valAx>
    </c:plotArea>
    <c:legend>
      <c:legendPos val="b"/>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[D1088 - SCRPT_SUM + indication, v3 renum figs.xlsx]Sheet1 (5)!PivotTable1</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pivotFmt>
      <c:pivotFmt>
        <c:idx val="19"/>
      </c:pivotFmt>
      <c:pivotFmt>
        <c:idx val="20"/>
      </c:pivotFmt>
      <c:pivotFmt>
        <c:idx val="21"/>
      </c:pivotFmt>
    </c:pivotFmts>
    <c:plotArea>
      <c:layout>
        <c:manualLayout>
          <c:layoutTarget val="inner"/>
          <c:xMode val="edge"/>
          <c:yMode val="edge"/>
          <c:x val="0.1146153230790329"/>
          <c:y val="2.3241990857620593E-2"/>
          <c:w val="0.86762792308659309"/>
          <c:h val="0.84237851534246344"/>
        </c:manualLayout>
      </c:layout>
      <c:lineChart>
        <c:grouping val="standard"/>
        <c:varyColors val="0"/>
        <c:ser>
          <c:idx val="0"/>
          <c:order val="0"/>
          <c:tx>
            <c:strRef>
              <c:f>'Sheet1 (5)'!$B$3</c:f>
              <c:strCache>
                <c:ptCount val="1"/>
                <c:pt idx="0">
                  <c:v>Total</c:v>
                </c:pt>
              </c:strCache>
            </c:strRef>
          </c:tx>
          <c:cat>
            <c:strRef>
              <c:f>'Sheet1 (5)'!$A$4:$A$13</c:f>
              <c:strCache>
                <c:ptCount val="9"/>
                <c:pt idx="0">
                  <c:v>2016Q1</c:v>
                </c:pt>
                <c:pt idx="1">
                  <c:v>2016Q2</c:v>
                </c:pt>
                <c:pt idx="2">
                  <c:v>2016Q3</c:v>
                </c:pt>
                <c:pt idx="3">
                  <c:v>2016Q4</c:v>
                </c:pt>
                <c:pt idx="4">
                  <c:v>2017Q1</c:v>
                </c:pt>
                <c:pt idx="5">
                  <c:v>2017Q2</c:v>
                </c:pt>
                <c:pt idx="6">
                  <c:v>2017Q3</c:v>
                </c:pt>
                <c:pt idx="7">
                  <c:v>2017Q4</c:v>
                </c:pt>
                <c:pt idx="8">
                  <c:v>2018Q1</c:v>
                </c:pt>
              </c:strCache>
            </c:strRef>
          </c:cat>
          <c:val>
            <c:numRef>
              <c:f>'Sheet1 (5)'!$B$4:$B$13</c:f>
              <c:numCache>
                <c:formatCode>General</c:formatCode>
                <c:ptCount val="9"/>
                <c:pt idx="0">
                  <c:v>762</c:v>
                </c:pt>
                <c:pt idx="1">
                  <c:v>1803</c:v>
                </c:pt>
                <c:pt idx="2">
                  <c:v>1908</c:v>
                </c:pt>
                <c:pt idx="3">
                  <c:v>2073</c:v>
                </c:pt>
                <c:pt idx="4">
                  <c:v>2049</c:v>
                </c:pt>
                <c:pt idx="5">
                  <c:v>2296</c:v>
                </c:pt>
                <c:pt idx="6">
                  <c:v>2440</c:v>
                </c:pt>
                <c:pt idx="7">
                  <c:v>2637</c:v>
                </c:pt>
                <c:pt idx="8">
                  <c:v>2643</c:v>
                </c:pt>
              </c:numCache>
            </c:numRef>
          </c:val>
          <c:smooth val="0"/>
          <c:extLst>
            <c:ext xmlns:c16="http://schemas.microsoft.com/office/drawing/2014/chart" uri="{C3380CC4-5D6E-409C-BE32-E72D297353CC}">
              <c16:uniqueId val="{00000000-E219-475F-B5AF-0E7E1C4CA774}"/>
            </c:ext>
          </c:extLst>
        </c:ser>
        <c:dLbls>
          <c:showLegendKey val="0"/>
          <c:showVal val="0"/>
          <c:showCatName val="0"/>
          <c:showSerName val="0"/>
          <c:showPercent val="0"/>
          <c:showBubbleSize val="0"/>
        </c:dLbls>
        <c:marker val="1"/>
        <c:smooth val="0"/>
        <c:axId val="191681664"/>
        <c:axId val="191683584"/>
      </c:lineChart>
      <c:catAx>
        <c:axId val="191681664"/>
        <c:scaling>
          <c:orientation val="minMax"/>
        </c:scaling>
        <c:delete val="0"/>
        <c:axPos val="b"/>
        <c:title>
          <c:tx>
            <c:rich>
              <a:bodyPr/>
              <a:lstStyle/>
              <a:p>
                <a:pPr>
                  <a:defRPr b="0"/>
                </a:pPr>
                <a:r>
                  <a:rPr lang="en-US" b="0"/>
                  <a:t>Quarter of Supply</a:t>
                </a:r>
              </a:p>
            </c:rich>
          </c:tx>
          <c:layout/>
          <c:overlay val="0"/>
        </c:title>
        <c:numFmt formatCode="General" sourceLinked="0"/>
        <c:majorTickMark val="none"/>
        <c:minorTickMark val="none"/>
        <c:tickLblPos val="nextTo"/>
        <c:crossAx val="191683584"/>
        <c:crosses val="autoZero"/>
        <c:auto val="1"/>
        <c:lblAlgn val="ctr"/>
        <c:lblOffset val="100"/>
        <c:noMultiLvlLbl val="0"/>
      </c:catAx>
      <c:valAx>
        <c:axId val="191683584"/>
        <c:scaling>
          <c:orientation val="minMax"/>
        </c:scaling>
        <c:delete val="0"/>
        <c:axPos val="l"/>
        <c:majorGridlines/>
        <c:title>
          <c:tx>
            <c:rich>
              <a:bodyPr/>
              <a:lstStyle/>
              <a:p>
                <a:pPr>
                  <a:defRPr b="0"/>
                </a:pPr>
                <a:r>
                  <a:rPr lang="en-US" b="0"/>
                  <a:t>Prescriptions</a:t>
                </a:r>
              </a:p>
            </c:rich>
          </c:tx>
          <c:layout/>
          <c:overlay val="0"/>
        </c:title>
        <c:numFmt formatCode="#,##0" sourceLinked="0"/>
        <c:majorTickMark val="none"/>
        <c:minorTickMark val="none"/>
        <c:tickLblPos val="nextTo"/>
        <c:crossAx val="191681664"/>
        <c:crosses val="autoZero"/>
        <c:crossBetween val="between"/>
      </c:valAx>
    </c:plotArea>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[D1088 - SCRPT_SUM + indication, v2 updated auth method.xlsx]Sheet1 (4)!PivotTable1</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pivotFmt>
      <c:pivotFmt>
        <c:idx val="19"/>
      </c:pivotFmt>
      <c:pivotFmt>
        <c:idx val="20"/>
      </c:pivotFmt>
      <c:pivotFmt>
        <c:idx val="21"/>
      </c:pivotFmt>
      <c:pivotFmt>
        <c:idx val="22"/>
      </c:pivotFmt>
      <c:pivotFmt>
        <c:idx val="23"/>
      </c:pivotFmt>
      <c:pivotFmt>
        <c:idx val="24"/>
      </c:pivotFmt>
      <c:pivotFmt>
        <c:idx val="25"/>
      </c:pivotFmt>
      <c:pivotFmt>
        <c:idx val="26"/>
      </c:pivotFmt>
      <c:pivotFmt>
        <c:idx val="27"/>
      </c:pivotFmt>
      <c:pivotFmt>
        <c:idx val="28"/>
      </c:pivotFmt>
      <c:pivotFmt>
        <c:idx val="29"/>
      </c:pivotFmt>
      <c:pivotFmt>
        <c:idx val="30"/>
      </c:pivotFmt>
      <c:pivotFmt>
        <c:idx val="31"/>
      </c:pivotFmt>
      <c:pivotFmt>
        <c:idx val="32"/>
      </c:pivotFmt>
      <c:pivotFmt>
        <c:idx val="33"/>
      </c:pivotFmt>
      <c:pivotFmt>
        <c:idx val="34"/>
      </c:pivotFmt>
      <c:pivotFmt>
        <c:idx val="35"/>
      </c:pivotFmt>
    </c:pivotFmts>
    <c:plotArea>
      <c:layout/>
      <c:lineChart>
        <c:grouping val="standard"/>
        <c:varyColors val="0"/>
        <c:ser>
          <c:idx val="0"/>
          <c:order val="0"/>
          <c:tx>
            <c:strRef>
              <c:f>'Sheet1 (4)'!$B$3:$B$4</c:f>
              <c:strCache>
                <c:ptCount val="1"/>
                <c:pt idx="0">
                  <c:v>Tablet 5 mg</c:v>
                </c:pt>
              </c:strCache>
            </c:strRef>
          </c:tx>
          <c:cat>
            <c:strRef>
              <c:f>'Sheet1 (4)'!$A$5:$A$14</c:f>
              <c:strCache>
                <c:ptCount val="9"/>
                <c:pt idx="0">
                  <c:v>2016Q1</c:v>
                </c:pt>
                <c:pt idx="1">
                  <c:v>2016Q2</c:v>
                </c:pt>
                <c:pt idx="2">
                  <c:v>2016Q3</c:v>
                </c:pt>
                <c:pt idx="3">
                  <c:v>2016Q4</c:v>
                </c:pt>
                <c:pt idx="4">
                  <c:v>2017Q1</c:v>
                </c:pt>
                <c:pt idx="5">
                  <c:v>2017Q2</c:v>
                </c:pt>
                <c:pt idx="6">
                  <c:v>2017Q3</c:v>
                </c:pt>
                <c:pt idx="7">
                  <c:v>2017Q4</c:v>
                </c:pt>
                <c:pt idx="8">
                  <c:v>2018Q1</c:v>
                </c:pt>
              </c:strCache>
            </c:strRef>
          </c:cat>
          <c:val>
            <c:numRef>
              <c:f>'Sheet1 (4)'!$B$5:$B$14</c:f>
              <c:numCache>
                <c:formatCode>General</c:formatCode>
                <c:ptCount val="9"/>
                <c:pt idx="0">
                  <c:v>292</c:v>
                </c:pt>
                <c:pt idx="1">
                  <c:v>725</c:v>
                </c:pt>
                <c:pt idx="2">
                  <c:v>733</c:v>
                </c:pt>
                <c:pt idx="3">
                  <c:v>780</c:v>
                </c:pt>
                <c:pt idx="4">
                  <c:v>635</c:v>
                </c:pt>
                <c:pt idx="5">
                  <c:v>587</c:v>
                </c:pt>
                <c:pt idx="6">
                  <c:v>598</c:v>
                </c:pt>
                <c:pt idx="7">
                  <c:v>560</c:v>
                </c:pt>
                <c:pt idx="8">
                  <c:v>502</c:v>
                </c:pt>
              </c:numCache>
            </c:numRef>
          </c:val>
          <c:smooth val="0"/>
          <c:extLst>
            <c:ext xmlns:c16="http://schemas.microsoft.com/office/drawing/2014/chart" uri="{C3380CC4-5D6E-409C-BE32-E72D297353CC}">
              <c16:uniqueId val="{00000000-BDF5-43AD-8FA0-97E9B455DB9F}"/>
            </c:ext>
          </c:extLst>
        </c:ser>
        <c:ser>
          <c:idx val="1"/>
          <c:order val="1"/>
          <c:tx>
            <c:strRef>
              <c:f>'Sheet1 (4)'!$C$3:$C$4</c:f>
              <c:strCache>
                <c:ptCount val="1"/>
                <c:pt idx="0">
                  <c:v>Tablet 10 mg</c:v>
                </c:pt>
              </c:strCache>
            </c:strRef>
          </c:tx>
          <c:cat>
            <c:strRef>
              <c:f>'Sheet1 (4)'!$A$5:$A$14</c:f>
              <c:strCache>
                <c:ptCount val="9"/>
                <c:pt idx="0">
                  <c:v>2016Q1</c:v>
                </c:pt>
                <c:pt idx="1">
                  <c:v>2016Q2</c:v>
                </c:pt>
                <c:pt idx="2">
                  <c:v>2016Q3</c:v>
                </c:pt>
                <c:pt idx="3">
                  <c:v>2016Q4</c:v>
                </c:pt>
                <c:pt idx="4">
                  <c:v>2017Q1</c:v>
                </c:pt>
                <c:pt idx="5">
                  <c:v>2017Q2</c:v>
                </c:pt>
                <c:pt idx="6">
                  <c:v>2017Q3</c:v>
                </c:pt>
                <c:pt idx="7">
                  <c:v>2017Q4</c:v>
                </c:pt>
                <c:pt idx="8">
                  <c:v>2018Q1</c:v>
                </c:pt>
              </c:strCache>
            </c:strRef>
          </c:cat>
          <c:val>
            <c:numRef>
              <c:f>'Sheet1 (4)'!$C$5:$C$14</c:f>
              <c:numCache>
                <c:formatCode>General</c:formatCode>
                <c:ptCount val="9"/>
                <c:pt idx="3">
                  <c:v>45</c:v>
                </c:pt>
                <c:pt idx="4">
                  <c:v>221</c:v>
                </c:pt>
                <c:pt idx="5">
                  <c:v>356</c:v>
                </c:pt>
                <c:pt idx="6">
                  <c:v>419</c:v>
                </c:pt>
                <c:pt idx="7">
                  <c:v>503</c:v>
                </c:pt>
                <c:pt idx="8">
                  <c:v>534</c:v>
                </c:pt>
              </c:numCache>
            </c:numRef>
          </c:val>
          <c:smooth val="0"/>
          <c:extLst>
            <c:ext xmlns:c16="http://schemas.microsoft.com/office/drawing/2014/chart" uri="{C3380CC4-5D6E-409C-BE32-E72D297353CC}">
              <c16:uniqueId val="{00000001-BDF5-43AD-8FA0-97E9B455DB9F}"/>
            </c:ext>
          </c:extLst>
        </c:ser>
        <c:ser>
          <c:idx val="2"/>
          <c:order val="2"/>
          <c:tx>
            <c:strRef>
              <c:f>'Sheet1 (4)'!$D$3:$D$4</c:f>
              <c:strCache>
                <c:ptCount val="1"/>
                <c:pt idx="0">
                  <c:v>Tablet 15 mg</c:v>
                </c:pt>
              </c:strCache>
            </c:strRef>
          </c:tx>
          <c:cat>
            <c:strRef>
              <c:f>'Sheet1 (4)'!$A$5:$A$14</c:f>
              <c:strCache>
                <c:ptCount val="9"/>
                <c:pt idx="0">
                  <c:v>2016Q1</c:v>
                </c:pt>
                <c:pt idx="1">
                  <c:v>2016Q2</c:v>
                </c:pt>
                <c:pt idx="2">
                  <c:v>2016Q3</c:v>
                </c:pt>
                <c:pt idx="3">
                  <c:v>2016Q4</c:v>
                </c:pt>
                <c:pt idx="4">
                  <c:v>2017Q1</c:v>
                </c:pt>
                <c:pt idx="5">
                  <c:v>2017Q2</c:v>
                </c:pt>
                <c:pt idx="6">
                  <c:v>2017Q3</c:v>
                </c:pt>
                <c:pt idx="7">
                  <c:v>2017Q4</c:v>
                </c:pt>
                <c:pt idx="8">
                  <c:v>2018Q1</c:v>
                </c:pt>
              </c:strCache>
            </c:strRef>
          </c:cat>
          <c:val>
            <c:numRef>
              <c:f>'Sheet1 (4)'!$D$5:$D$14</c:f>
              <c:numCache>
                <c:formatCode>General</c:formatCode>
                <c:ptCount val="9"/>
                <c:pt idx="0">
                  <c:v>170</c:v>
                </c:pt>
                <c:pt idx="1">
                  <c:v>362</c:v>
                </c:pt>
                <c:pt idx="2">
                  <c:v>412</c:v>
                </c:pt>
                <c:pt idx="3">
                  <c:v>441</c:v>
                </c:pt>
                <c:pt idx="4">
                  <c:v>422</c:v>
                </c:pt>
                <c:pt idx="5">
                  <c:v>488</c:v>
                </c:pt>
                <c:pt idx="6">
                  <c:v>549</c:v>
                </c:pt>
                <c:pt idx="7">
                  <c:v>586</c:v>
                </c:pt>
                <c:pt idx="8">
                  <c:v>600</c:v>
                </c:pt>
              </c:numCache>
            </c:numRef>
          </c:val>
          <c:smooth val="0"/>
          <c:extLst>
            <c:ext xmlns:c16="http://schemas.microsoft.com/office/drawing/2014/chart" uri="{C3380CC4-5D6E-409C-BE32-E72D297353CC}">
              <c16:uniqueId val="{00000002-BDF5-43AD-8FA0-97E9B455DB9F}"/>
            </c:ext>
          </c:extLst>
        </c:ser>
        <c:ser>
          <c:idx val="3"/>
          <c:order val="3"/>
          <c:tx>
            <c:strRef>
              <c:f>'Sheet1 (4)'!$E$3:$E$4</c:f>
              <c:strCache>
                <c:ptCount val="1"/>
                <c:pt idx="0">
                  <c:v>Tablet 20 mg</c:v>
                </c:pt>
              </c:strCache>
            </c:strRef>
          </c:tx>
          <c:cat>
            <c:strRef>
              <c:f>'Sheet1 (4)'!$A$5:$A$14</c:f>
              <c:strCache>
                <c:ptCount val="9"/>
                <c:pt idx="0">
                  <c:v>2016Q1</c:v>
                </c:pt>
                <c:pt idx="1">
                  <c:v>2016Q2</c:v>
                </c:pt>
                <c:pt idx="2">
                  <c:v>2016Q3</c:v>
                </c:pt>
                <c:pt idx="3">
                  <c:v>2016Q4</c:v>
                </c:pt>
                <c:pt idx="4">
                  <c:v>2017Q1</c:v>
                </c:pt>
                <c:pt idx="5">
                  <c:v>2017Q2</c:v>
                </c:pt>
                <c:pt idx="6">
                  <c:v>2017Q3</c:v>
                </c:pt>
                <c:pt idx="7">
                  <c:v>2017Q4</c:v>
                </c:pt>
                <c:pt idx="8">
                  <c:v>2018Q1</c:v>
                </c:pt>
              </c:strCache>
            </c:strRef>
          </c:cat>
          <c:val>
            <c:numRef>
              <c:f>'Sheet1 (4)'!$E$5:$E$14</c:f>
              <c:numCache>
                <c:formatCode>General</c:formatCode>
                <c:ptCount val="9"/>
                <c:pt idx="0">
                  <c:v>300</c:v>
                </c:pt>
                <c:pt idx="1">
                  <c:v>716</c:v>
                </c:pt>
                <c:pt idx="2">
                  <c:v>763</c:v>
                </c:pt>
                <c:pt idx="3">
                  <c:v>807</c:v>
                </c:pt>
                <c:pt idx="4">
                  <c:v>771</c:v>
                </c:pt>
                <c:pt idx="5">
                  <c:v>865</c:v>
                </c:pt>
                <c:pt idx="6">
                  <c:v>874</c:v>
                </c:pt>
                <c:pt idx="7">
                  <c:v>988</c:v>
                </c:pt>
                <c:pt idx="8">
                  <c:v>1007</c:v>
                </c:pt>
              </c:numCache>
            </c:numRef>
          </c:val>
          <c:smooth val="0"/>
          <c:extLst>
            <c:ext xmlns:c16="http://schemas.microsoft.com/office/drawing/2014/chart" uri="{C3380CC4-5D6E-409C-BE32-E72D297353CC}">
              <c16:uniqueId val="{00000003-BDF5-43AD-8FA0-97E9B455DB9F}"/>
            </c:ext>
          </c:extLst>
        </c:ser>
        <c:dLbls>
          <c:showLegendKey val="0"/>
          <c:showVal val="0"/>
          <c:showCatName val="0"/>
          <c:showSerName val="0"/>
          <c:showPercent val="0"/>
          <c:showBubbleSize val="0"/>
        </c:dLbls>
        <c:marker val="1"/>
        <c:smooth val="0"/>
        <c:axId val="178293760"/>
        <c:axId val="178312320"/>
      </c:lineChart>
      <c:catAx>
        <c:axId val="178293760"/>
        <c:scaling>
          <c:orientation val="minMax"/>
        </c:scaling>
        <c:delete val="0"/>
        <c:axPos val="b"/>
        <c:title>
          <c:tx>
            <c:rich>
              <a:bodyPr/>
              <a:lstStyle/>
              <a:p>
                <a:pPr>
                  <a:defRPr b="0"/>
                </a:pPr>
                <a:r>
                  <a:rPr lang="en-US" b="0"/>
                  <a:t>Quarter of Supply</a:t>
                </a:r>
              </a:p>
            </c:rich>
          </c:tx>
          <c:layout/>
          <c:overlay val="0"/>
        </c:title>
        <c:numFmt formatCode="General" sourceLinked="0"/>
        <c:majorTickMark val="none"/>
        <c:minorTickMark val="none"/>
        <c:tickLblPos val="nextTo"/>
        <c:crossAx val="178312320"/>
        <c:crosses val="autoZero"/>
        <c:auto val="1"/>
        <c:lblAlgn val="ctr"/>
        <c:lblOffset val="100"/>
        <c:noMultiLvlLbl val="0"/>
      </c:catAx>
      <c:valAx>
        <c:axId val="178312320"/>
        <c:scaling>
          <c:orientation val="minMax"/>
          <c:max val="1100"/>
          <c:min val="0"/>
        </c:scaling>
        <c:delete val="0"/>
        <c:axPos val="l"/>
        <c:majorGridlines/>
        <c:title>
          <c:tx>
            <c:rich>
              <a:bodyPr/>
              <a:lstStyle/>
              <a:p>
                <a:pPr>
                  <a:defRPr b="0"/>
                </a:pPr>
                <a:r>
                  <a:rPr lang="en-US" b="0"/>
                  <a:t>Prescriptions</a:t>
                </a:r>
              </a:p>
            </c:rich>
          </c:tx>
          <c:layout/>
          <c:overlay val="0"/>
        </c:title>
        <c:numFmt formatCode="#,##0" sourceLinked="0"/>
        <c:majorTickMark val="none"/>
        <c:minorTickMark val="none"/>
        <c:tickLblPos val="nextTo"/>
        <c:crossAx val="178293760"/>
        <c:crosses val="autoZero"/>
        <c:crossBetween val="between"/>
      </c:valAx>
    </c:plotArea>
    <c:legend>
      <c:legendPos val="b"/>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 (3)'!$J$4</c:f>
              <c:strCache>
                <c:ptCount val="1"/>
                <c:pt idx="0">
                  <c:v>Int-2 &amp; High risk</c:v>
                </c:pt>
              </c:strCache>
            </c:strRef>
          </c:tx>
          <c:cat>
            <c:strRef>
              <c:f>'Sheet1 (3)'!$I$5:$I$13</c:f>
              <c:strCache>
                <c:ptCount val="9"/>
                <c:pt idx="0">
                  <c:v>2016Q1</c:v>
                </c:pt>
                <c:pt idx="1">
                  <c:v>2016Q2</c:v>
                </c:pt>
                <c:pt idx="2">
                  <c:v>2016Q3</c:v>
                </c:pt>
                <c:pt idx="3">
                  <c:v>2016Q4</c:v>
                </c:pt>
                <c:pt idx="4">
                  <c:v>2017Q1</c:v>
                </c:pt>
                <c:pt idx="5">
                  <c:v>2017Q2</c:v>
                </c:pt>
                <c:pt idx="6">
                  <c:v>2017Q3</c:v>
                </c:pt>
                <c:pt idx="7">
                  <c:v>2017Q4</c:v>
                </c:pt>
                <c:pt idx="8">
                  <c:v>2018Q1</c:v>
                </c:pt>
              </c:strCache>
            </c:strRef>
          </c:cat>
          <c:val>
            <c:numRef>
              <c:f>'Sheet1 (3)'!$J$5:$J$13</c:f>
              <c:numCache>
                <c:formatCode>General</c:formatCode>
                <c:ptCount val="9"/>
                <c:pt idx="0">
                  <c:v>250</c:v>
                </c:pt>
                <c:pt idx="1">
                  <c:v>886</c:v>
                </c:pt>
                <c:pt idx="2">
                  <c:v>1279</c:v>
                </c:pt>
                <c:pt idx="3">
                  <c:v>1568</c:v>
                </c:pt>
                <c:pt idx="4">
                  <c:v>1659</c:v>
                </c:pt>
                <c:pt idx="5">
                  <c:v>1819</c:v>
                </c:pt>
                <c:pt idx="6">
                  <c:v>1913</c:v>
                </c:pt>
                <c:pt idx="7">
                  <c:v>2008</c:v>
                </c:pt>
                <c:pt idx="8">
                  <c:v>2012</c:v>
                </c:pt>
              </c:numCache>
            </c:numRef>
          </c:val>
          <c:smooth val="0"/>
          <c:extLst>
            <c:ext xmlns:c16="http://schemas.microsoft.com/office/drawing/2014/chart" uri="{C3380CC4-5D6E-409C-BE32-E72D297353CC}">
              <c16:uniqueId val="{00000000-337E-4FDC-BB59-C560DADCE80E}"/>
            </c:ext>
          </c:extLst>
        </c:ser>
        <c:ser>
          <c:idx val="1"/>
          <c:order val="1"/>
          <c:tx>
            <c:strRef>
              <c:f>'Sheet1 (3)'!$K$4</c:f>
              <c:strCache>
                <c:ptCount val="1"/>
                <c:pt idx="0">
                  <c:v>Int-1</c:v>
                </c:pt>
              </c:strCache>
            </c:strRef>
          </c:tx>
          <c:cat>
            <c:strRef>
              <c:f>'Sheet1 (3)'!$I$5:$I$13</c:f>
              <c:strCache>
                <c:ptCount val="9"/>
                <c:pt idx="0">
                  <c:v>2016Q1</c:v>
                </c:pt>
                <c:pt idx="1">
                  <c:v>2016Q2</c:v>
                </c:pt>
                <c:pt idx="2">
                  <c:v>2016Q3</c:v>
                </c:pt>
                <c:pt idx="3">
                  <c:v>2016Q4</c:v>
                </c:pt>
                <c:pt idx="4">
                  <c:v>2017Q1</c:v>
                </c:pt>
                <c:pt idx="5">
                  <c:v>2017Q2</c:v>
                </c:pt>
                <c:pt idx="6">
                  <c:v>2017Q3</c:v>
                </c:pt>
                <c:pt idx="7">
                  <c:v>2017Q4</c:v>
                </c:pt>
                <c:pt idx="8">
                  <c:v>2018Q1</c:v>
                </c:pt>
              </c:strCache>
            </c:strRef>
          </c:cat>
          <c:val>
            <c:numRef>
              <c:f>'Sheet1 (3)'!$K$5:$K$13</c:f>
              <c:numCache>
                <c:formatCode>General</c:formatCode>
                <c:ptCount val="9"/>
                <c:pt idx="0">
                  <c:v>29</c:v>
                </c:pt>
                <c:pt idx="1">
                  <c:v>98</c:v>
                </c:pt>
                <c:pt idx="2">
                  <c:v>169</c:v>
                </c:pt>
                <c:pt idx="3">
                  <c:v>232</c:v>
                </c:pt>
                <c:pt idx="4">
                  <c:v>347</c:v>
                </c:pt>
                <c:pt idx="5">
                  <c:v>475</c:v>
                </c:pt>
                <c:pt idx="6">
                  <c:v>527</c:v>
                </c:pt>
                <c:pt idx="7">
                  <c:v>626</c:v>
                </c:pt>
                <c:pt idx="8">
                  <c:v>631</c:v>
                </c:pt>
              </c:numCache>
            </c:numRef>
          </c:val>
          <c:smooth val="0"/>
          <c:extLst>
            <c:ext xmlns:c16="http://schemas.microsoft.com/office/drawing/2014/chart" uri="{C3380CC4-5D6E-409C-BE32-E72D297353CC}">
              <c16:uniqueId val="{00000001-337E-4FDC-BB59-C560DADCE80E}"/>
            </c:ext>
          </c:extLst>
        </c:ser>
        <c:ser>
          <c:idx val="2"/>
          <c:order val="2"/>
          <c:tx>
            <c:strRef>
              <c:f>'Sheet1 (3)'!$L$4</c:f>
              <c:strCache>
                <c:ptCount val="1"/>
                <c:pt idx="0">
                  <c:v>Grandfathering</c:v>
                </c:pt>
              </c:strCache>
            </c:strRef>
          </c:tx>
          <c:cat>
            <c:strRef>
              <c:f>'Sheet1 (3)'!$I$5:$I$13</c:f>
              <c:strCache>
                <c:ptCount val="9"/>
                <c:pt idx="0">
                  <c:v>2016Q1</c:v>
                </c:pt>
                <c:pt idx="1">
                  <c:v>2016Q2</c:v>
                </c:pt>
                <c:pt idx="2">
                  <c:v>2016Q3</c:v>
                </c:pt>
                <c:pt idx="3">
                  <c:v>2016Q4</c:v>
                </c:pt>
                <c:pt idx="4">
                  <c:v>2017Q1</c:v>
                </c:pt>
                <c:pt idx="5">
                  <c:v>2017Q2</c:v>
                </c:pt>
                <c:pt idx="6">
                  <c:v>2017Q3</c:v>
                </c:pt>
                <c:pt idx="7">
                  <c:v>2017Q4</c:v>
                </c:pt>
                <c:pt idx="8">
                  <c:v>2018Q1</c:v>
                </c:pt>
              </c:strCache>
            </c:strRef>
          </c:cat>
          <c:val>
            <c:numRef>
              <c:f>'Sheet1 (3)'!$L$5:$L$13</c:f>
              <c:numCache>
                <c:formatCode>General</c:formatCode>
                <c:ptCount val="9"/>
                <c:pt idx="0">
                  <c:v>483</c:v>
                </c:pt>
                <c:pt idx="1">
                  <c:v>819</c:v>
                </c:pt>
                <c:pt idx="2">
                  <c:v>460</c:v>
                </c:pt>
                <c:pt idx="3">
                  <c:v>273</c:v>
                </c:pt>
                <c:pt idx="4">
                  <c:v>43</c:v>
                </c:pt>
                <c:pt idx="5">
                  <c:v>5</c:v>
                </c:pt>
                <c:pt idx="6">
                  <c:v>#N/A</c:v>
                </c:pt>
                <c:pt idx="7">
                  <c:v>5</c:v>
                </c:pt>
                <c:pt idx="8">
                  <c:v>#N/A</c:v>
                </c:pt>
              </c:numCache>
            </c:numRef>
          </c:val>
          <c:smooth val="0"/>
          <c:extLst>
            <c:ext xmlns:c16="http://schemas.microsoft.com/office/drawing/2014/chart" uri="{C3380CC4-5D6E-409C-BE32-E72D297353CC}">
              <c16:uniqueId val="{00000002-337E-4FDC-BB59-C560DADCE80E}"/>
            </c:ext>
          </c:extLst>
        </c:ser>
        <c:dLbls>
          <c:showLegendKey val="0"/>
          <c:showVal val="0"/>
          <c:showCatName val="0"/>
          <c:showSerName val="0"/>
          <c:showPercent val="0"/>
          <c:showBubbleSize val="0"/>
        </c:dLbls>
        <c:marker val="1"/>
        <c:smooth val="0"/>
        <c:axId val="178356608"/>
        <c:axId val="178358528"/>
      </c:lineChart>
      <c:catAx>
        <c:axId val="178356608"/>
        <c:scaling>
          <c:orientation val="minMax"/>
        </c:scaling>
        <c:delete val="0"/>
        <c:axPos val="b"/>
        <c:title>
          <c:tx>
            <c:rich>
              <a:bodyPr/>
              <a:lstStyle/>
              <a:p>
                <a:pPr>
                  <a:defRPr b="0"/>
                </a:pPr>
                <a:r>
                  <a:rPr lang="en-US" b="0"/>
                  <a:t>Quarter of Supply</a:t>
                </a:r>
              </a:p>
            </c:rich>
          </c:tx>
          <c:layout/>
          <c:overlay val="0"/>
        </c:title>
        <c:numFmt formatCode="General" sourceLinked="0"/>
        <c:majorTickMark val="none"/>
        <c:minorTickMark val="none"/>
        <c:tickLblPos val="nextTo"/>
        <c:crossAx val="178358528"/>
        <c:crosses val="autoZero"/>
        <c:auto val="1"/>
        <c:lblAlgn val="ctr"/>
        <c:lblOffset val="100"/>
        <c:noMultiLvlLbl val="0"/>
      </c:catAx>
      <c:valAx>
        <c:axId val="178358528"/>
        <c:scaling>
          <c:orientation val="minMax"/>
          <c:max val="2100"/>
          <c:min val="0"/>
        </c:scaling>
        <c:delete val="0"/>
        <c:axPos val="l"/>
        <c:majorGridlines/>
        <c:title>
          <c:tx>
            <c:rich>
              <a:bodyPr/>
              <a:lstStyle/>
              <a:p>
                <a:pPr>
                  <a:defRPr b="0"/>
                </a:pPr>
                <a:r>
                  <a:rPr lang="en-US" b="0"/>
                  <a:t>Prescriptions</a:t>
                </a:r>
              </a:p>
            </c:rich>
          </c:tx>
          <c:layout/>
          <c:overlay val="0"/>
        </c:title>
        <c:numFmt formatCode="#,##0" sourceLinked="0"/>
        <c:majorTickMark val="none"/>
        <c:minorTickMark val="none"/>
        <c:tickLblPos val="nextTo"/>
        <c:crossAx val="178356608"/>
        <c:crosses val="autoZero"/>
        <c:crossBetween val="between"/>
      </c:valAx>
    </c:plotArea>
    <c:legend>
      <c:legendPos val="b"/>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[d1088 - 10mg dose range FREQ, v2 by indication.xlsx]Table 8!PivotTable5</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s>
    <c:plotArea>
      <c:layout/>
      <c:barChart>
        <c:barDir val="col"/>
        <c:grouping val="clustered"/>
        <c:varyColors val="0"/>
        <c:ser>
          <c:idx val="0"/>
          <c:order val="0"/>
          <c:tx>
            <c:strRef>
              <c:f>'Table 8'!$B$1:$B$2</c:f>
              <c:strCache>
                <c:ptCount val="1"/>
                <c:pt idx="0">
                  <c:v>Int-2 &amp; High risk</c:v>
                </c:pt>
              </c:strCache>
            </c:strRef>
          </c:tx>
          <c:invertIfNegative val="0"/>
          <c:cat>
            <c:strRef>
              <c:f>'Table 8'!$A$3:$A$9</c:f>
              <c:strCache>
                <c:ptCount val="6"/>
                <c:pt idx="0">
                  <c:v>5 to 14 mg</c:v>
                </c:pt>
                <c:pt idx="1">
                  <c:v>15 to 24 mg</c:v>
                </c:pt>
                <c:pt idx="2">
                  <c:v>25 to 34 mg</c:v>
                </c:pt>
                <c:pt idx="3">
                  <c:v>35 to 44 mg</c:v>
                </c:pt>
                <c:pt idx="4">
                  <c:v>45 to 54 mg</c:v>
                </c:pt>
                <c:pt idx="5">
                  <c:v>&gt;= 55 mg</c:v>
                </c:pt>
              </c:strCache>
            </c:strRef>
          </c:cat>
          <c:val>
            <c:numRef>
              <c:f>'Table 8'!$B$3:$B$9</c:f>
              <c:numCache>
                <c:formatCode>0%</c:formatCode>
                <c:ptCount val="6"/>
                <c:pt idx="0">
                  <c:v>0.17569546120058566</c:v>
                </c:pt>
                <c:pt idx="1">
                  <c:v>0.2752562225475842</c:v>
                </c:pt>
                <c:pt idx="2">
                  <c:v>0.28696925329428991</c:v>
                </c:pt>
                <c:pt idx="3">
                  <c:v>0.23865300146412885</c:v>
                </c:pt>
                <c:pt idx="4">
                  <c:v>1.3177159590043924E-2</c:v>
                </c:pt>
                <c:pt idx="5">
                  <c:v>1.0248901903367497E-2</c:v>
                </c:pt>
              </c:numCache>
            </c:numRef>
          </c:val>
          <c:extLst>
            <c:ext xmlns:c16="http://schemas.microsoft.com/office/drawing/2014/chart" uri="{C3380CC4-5D6E-409C-BE32-E72D297353CC}">
              <c16:uniqueId val="{00000000-63FD-4752-BEA1-58FFDDCDA714}"/>
            </c:ext>
          </c:extLst>
        </c:ser>
        <c:ser>
          <c:idx val="1"/>
          <c:order val="1"/>
          <c:tx>
            <c:strRef>
              <c:f>'Table 8'!$C$1:$C$2</c:f>
              <c:strCache>
                <c:ptCount val="1"/>
                <c:pt idx="0">
                  <c:v>Int-1</c:v>
                </c:pt>
              </c:strCache>
            </c:strRef>
          </c:tx>
          <c:invertIfNegative val="0"/>
          <c:cat>
            <c:strRef>
              <c:f>'Table 8'!$A$3:$A$9</c:f>
              <c:strCache>
                <c:ptCount val="6"/>
                <c:pt idx="0">
                  <c:v>5 to 14 mg</c:v>
                </c:pt>
                <c:pt idx="1">
                  <c:v>15 to 24 mg</c:v>
                </c:pt>
                <c:pt idx="2">
                  <c:v>25 to 34 mg</c:v>
                </c:pt>
                <c:pt idx="3">
                  <c:v>35 to 44 mg</c:v>
                </c:pt>
                <c:pt idx="4">
                  <c:v>45 to 54 mg</c:v>
                </c:pt>
                <c:pt idx="5">
                  <c:v>&gt;= 55 mg</c:v>
                </c:pt>
              </c:strCache>
            </c:strRef>
          </c:cat>
          <c:val>
            <c:numRef>
              <c:f>'Table 8'!$C$3:$C$9</c:f>
              <c:numCache>
                <c:formatCode>0%</c:formatCode>
                <c:ptCount val="6"/>
                <c:pt idx="0">
                  <c:v>0.11764705882352941</c:v>
                </c:pt>
                <c:pt idx="1">
                  <c:v>0.22352941176470589</c:v>
                </c:pt>
                <c:pt idx="2">
                  <c:v>0.32156862745098042</c:v>
                </c:pt>
                <c:pt idx="3">
                  <c:v>0.29019607843137257</c:v>
                </c:pt>
                <c:pt idx="4">
                  <c:v>4.7058823529411764E-2</c:v>
                </c:pt>
                <c:pt idx="5">
                  <c:v>0</c:v>
                </c:pt>
              </c:numCache>
            </c:numRef>
          </c:val>
          <c:extLst>
            <c:ext xmlns:c16="http://schemas.microsoft.com/office/drawing/2014/chart" uri="{C3380CC4-5D6E-409C-BE32-E72D297353CC}">
              <c16:uniqueId val="{00000001-63FD-4752-BEA1-58FFDDCDA714}"/>
            </c:ext>
          </c:extLst>
        </c:ser>
        <c:ser>
          <c:idx val="2"/>
          <c:order val="2"/>
          <c:tx>
            <c:strRef>
              <c:f>'Table 8'!$D$1:$D$2</c:f>
              <c:strCache>
                <c:ptCount val="1"/>
                <c:pt idx="0">
                  <c:v>Grandfathering</c:v>
                </c:pt>
              </c:strCache>
            </c:strRef>
          </c:tx>
          <c:invertIfNegative val="0"/>
          <c:cat>
            <c:strRef>
              <c:f>'Table 8'!$A$3:$A$9</c:f>
              <c:strCache>
                <c:ptCount val="6"/>
                <c:pt idx="0">
                  <c:v>5 to 14 mg</c:v>
                </c:pt>
                <c:pt idx="1">
                  <c:v>15 to 24 mg</c:v>
                </c:pt>
                <c:pt idx="2">
                  <c:v>25 to 34 mg</c:v>
                </c:pt>
                <c:pt idx="3">
                  <c:v>35 to 44 mg</c:v>
                </c:pt>
                <c:pt idx="4">
                  <c:v>45 to 54 mg</c:v>
                </c:pt>
                <c:pt idx="5">
                  <c:v>&gt;= 55 mg</c:v>
                </c:pt>
              </c:strCache>
            </c:strRef>
          </c:cat>
          <c:val>
            <c:numRef>
              <c:f>'Table 8'!$D$3:$D$9</c:f>
              <c:numCache>
                <c:formatCode>0%</c:formatCode>
                <c:ptCount val="6"/>
                <c:pt idx="0">
                  <c:v>0.13650793650793649</c:v>
                </c:pt>
                <c:pt idx="1">
                  <c:v>0.28253968253968254</c:v>
                </c:pt>
                <c:pt idx="2">
                  <c:v>0.26984126984126983</c:v>
                </c:pt>
                <c:pt idx="3">
                  <c:v>0.25079365079365079</c:v>
                </c:pt>
                <c:pt idx="4">
                  <c:v>4.4444444444444446E-2</c:v>
                </c:pt>
                <c:pt idx="5">
                  <c:v>1.5873015873015872E-2</c:v>
                </c:pt>
              </c:numCache>
            </c:numRef>
          </c:val>
          <c:extLst>
            <c:ext xmlns:c16="http://schemas.microsoft.com/office/drawing/2014/chart" uri="{C3380CC4-5D6E-409C-BE32-E72D297353CC}">
              <c16:uniqueId val="{00000002-63FD-4752-BEA1-58FFDDCDA714}"/>
            </c:ext>
          </c:extLst>
        </c:ser>
        <c:ser>
          <c:idx val="3"/>
          <c:order val="3"/>
          <c:tx>
            <c:strRef>
              <c:f>'Table 8'!$E$1:$E$2</c:f>
              <c:strCache>
                <c:ptCount val="1"/>
                <c:pt idx="0">
                  <c:v>Total</c:v>
                </c:pt>
              </c:strCache>
            </c:strRef>
          </c:tx>
          <c:invertIfNegative val="0"/>
          <c:cat>
            <c:strRef>
              <c:f>'Table 8'!$A$3:$A$9</c:f>
              <c:strCache>
                <c:ptCount val="6"/>
                <c:pt idx="0">
                  <c:v>5 to 14 mg</c:v>
                </c:pt>
                <c:pt idx="1">
                  <c:v>15 to 24 mg</c:v>
                </c:pt>
                <c:pt idx="2">
                  <c:v>25 to 34 mg</c:v>
                </c:pt>
                <c:pt idx="3">
                  <c:v>35 to 44 mg</c:v>
                </c:pt>
                <c:pt idx="4">
                  <c:v>45 to 54 mg</c:v>
                </c:pt>
                <c:pt idx="5">
                  <c:v>&gt;= 55 mg</c:v>
                </c:pt>
              </c:strCache>
            </c:strRef>
          </c:cat>
          <c:val>
            <c:numRef>
              <c:f>'Table 8'!$E$3:$E$9</c:f>
              <c:numCache>
                <c:formatCode>0%</c:formatCode>
                <c:ptCount val="6"/>
                <c:pt idx="0">
                  <c:v>0.15335968379446641</c:v>
                </c:pt>
                <c:pt idx="1">
                  <c:v>0.26561264822134389</c:v>
                </c:pt>
                <c:pt idx="2">
                  <c:v>0.29169960474308299</c:v>
                </c:pt>
                <c:pt idx="3">
                  <c:v>0.25217391304347825</c:v>
                </c:pt>
                <c:pt idx="4">
                  <c:v>2.766798418972332E-2</c:v>
                </c:pt>
                <c:pt idx="5">
                  <c:v>9.4861660079051391E-3</c:v>
                </c:pt>
              </c:numCache>
            </c:numRef>
          </c:val>
          <c:extLst>
            <c:ext xmlns:c16="http://schemas.microsoft.com/office/drawing/2014/chart" uri="{C3380CC4-5D6E-409C-BE32-E72D297353CC}">
              <c16:uniqueId val="{00000003-63FD-4752-BEA1-58FFDDCDA714}"/>
            </c:ext>
          </c:extLst>
        </c:ser>
        <c:dLbls>
          <c:showLegendKey val="0"/>
          <c:showVal val="0"/>
          <c:showCatName val="0"/>
          <c:showSerName val="0"/>
          <c:showPercent val="0"/>
          <c:showBubbleSize val="0"/>
        </c:dLbls>
        <c:gapWidth val="150"/>
        <c:axId val="191738624"/>
        <c:axId val="191740544"/>
      </c:barChart>
      <c:catAx>
        <c:axId val="191738624"/>
        <c:scaling>
          <c:orientation val="minMax"/>
        </c:scaling>
        <c:delete val="0"/>
        <c:axPos val="b"/>
        <c:title>
          <c:tx>
            <c:rich>
              <a:bodyPr/>
              <a:lstStyle/>
              <a:p>
                <a:pPr>
                  <a:defRPr b="0"/>
                </a:pPr>
                <a:r>
                  <a:rPr lang="en-US" b="0"/>
                  <a:t>Daily dose (mg)</a:t>
                </a:r>
              </a:p>
            </c:rich>
          </c:tx>
          <c:layout/>
          <c:overlay val="0"/>
        </c:title>
        <c:numFmt formatCode="General" sourceLinked="0"/>
        <c:majorTickMark val="none"/>
        <c:minorTickMark val="none"/>
        <c:tickLblPos val="nextTo"/>
        <c:crossAx val="191740544"/>
        <c:crosses val="autoZero"/>
        <c:auto val="1"/>
        <c:lblAlgn val="ctr"/>
        <c:lblOffset val="100"/>
        <c:noMultiLvlLbl val="0"/>
      </c:catAx>
      <c:valAx>
        <c:axId val="191740544"/>
        <c:scaling>
          <c:orientation val="minMax"/>
        </c:scaling>
        <c:delete val="0"/>
        <c:axPos val="l"/>
        <c:majorGridlines/>
        <c:title>
          <c:tx>
            <c:rich>
              <a:bodyPr rot="-5400000" vert="horz"/>
              <a:lstStyle/>
              <a:p>
                <a:pPr>
                  <a:defRPr b="0"/>
                </a:pPr>
                <a:r>
                  <a:rPr lang="en-US" b="0"/>
                  <a:t>% Patients</a:t>
                </a:r>
              </a:p>
            </c:rich>
          </c:tx>
          <c:layout/>
          <c:overlay val="0"/>
        </c:title>
        <c:numFmt formatCode="0%" sourceLinked="0"/>
        <c:majorTickMark val="none"/>
        <c:minorTickMark val="none"/>
        <c:tickLblPos val="nextTo"/>
        <c:crossAx val="191738624"/>
        <c:crosses val="autoZero"/>
        <c:crossBetween val="between"/>
      </c:valAx>
    </c:plotArea>
    <c:legend>
      <c:legendPos val="r"/>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546685432323641"/>
          <c:y val="2.8293513709146959E-2"/>
          <c:w val="0.79687400687501475"/>
          <c:h val="0.74979820919897444"/>
        </c:manualLayout>
      </c:layout>
      <c:barChart>
        <c:barDir val="bar"/>
        <c:grouping val="clustered"/>
        <c:varyColors val="0"/>
        <c:ser>
          <c:idx val="0"/>
          <c:order val="0"/>
          <c:tx>
            <c:strRef>
              <c:f>Sheet1!$H$6</c:f>
              <c:strCache>
                <c:ptCount val="1"/>
                <c:pt idx="0">
                  <c:v>Male</c:v>
                </c:pt>
              </c:strCache>
            </c:strRef>
          </c:tx>
          <c:spPr>
            <a:solidFill>
              <a:schemeClr val="tx2"/>
            </a:solidFill>
          </c:spPr>
          <c:invertIfNegative val="0"/>
          <c:cat>
            <c:strRef>
              <c:f>Sheet1!$G$7:$G$16</c:f>
              <c:strCache>
                <c:ptCount val="10"/>
                <c:pt idx="0">
                  <c:v>&lt; 45 yrs</c:v>
                </c:pt>
                <c:pt idx="1">
                  <c:v>45-49 yrs</c:v>
                </c:pt>
                <c:pt idx="2">
                  <c:v>50-54 yrs</c:v>
                </c:pt>
                <c:pt idx="3">
                  <c:v>55-59 yrs</c:v>
                </c:pt>
                <c:pt idx="4">
                  <c:v>60-64 yrs</c:v>
                </c:pt>
                <c:pt idx="5">
                  <c:v>65-69 yrs</c:v>
                </c:pt>
                <c:pt idx="6">
                  <c:v>70-74 yrs</c:v>
                </c:pt>
                <c:pt idx="7">
                  <c:v>75-79 yrs</c:v>
                </c:pt>
                <c:pt idx="8">
                  <c:v>80-84 yrs</c:v>
                </c:pt>
                <c:pt idx="9">
                  <c:v>&gt;= 85 yrs</c:v>
                </c:pt>
              </c:strCache>
            </c:strRef>
          </c:cat>
          <c:val>
            <c:numRef>
              <c:f>Sheet1!$H$7:$H$16</c:f>
              <c:numCache>
                <c:formatCode>General</c:formatCode>
                <c:ptCount val="10"/>
                <c:pt idx="0">
                  <c:v>10</c:v>
                </c:pt>
                <c:pt idx="1">
                  <c:v>9</c:v>
                </c:pt>
                <c:pt idx="2">
                  <c:v>27</c:v>
                </c:pt>
                <c:pt idx="3">
                  <c:v>51</c:v>
                </c:pt>
                <c:pt idx="4">
                  <c:v>66</c:v>
                </c:pt>
                <c:pt idx="5">
                  <c:v>115</c:v>
                </c:pt>
                <c:pt idx="6">
                  <c:v>139</c:v>
                </c:pt>
                <c:pt idx="7">
                  <c:v>101</c:v>
                </c:pt>
                <c:pt idx="8">
                  <c:v>65</c:v>
                </c:pt>
                <c:pt idx="9">
                  <c:v>34</c:v>
                </c:pt>
              </c:numCache>
            </c:numRef>
          </c:val>
          <c:extLst>
            <c:ext xmlns:c16="http://schemas.microsoft.com/office/drawing/2014/chart" uri="{C3380CC4-5D6E-409C-BE32-E72D297353CC}">
              <c16:uniqueId val="{00000000-E30F-4ACB-A92D-9EA782A57132}"/>
            </c:ext>
          </c:extLst>
        </c:ser>
        <c:ser>
          <c:idx val="1"/>
          <c:order val="1"/>
          <c:tx>
            <c:strRef>
              <c:f>Sheet1!$I$6</c:f>
              <c:strCache>
                <c:ptCount val="1"/>
                <c:pt idx="0">
                  <c:v>Female</c:v>
                </c:pt>
              </c:strCache>
            </c:strRef>
          </c:tx>
          <c:spPr>
            <a:solidFill>
              <a:srgbClr val="C00000"/>
            </a:solidFill>
          </c:spPr>
          <c:invertIfNegative val="0"/>
          <c:cat>
            <c:strRef>
              <c:f>Sheet1!$G$7:$G$16</c:f>
              <c:strCache>
                <c:ptCount val="10"/>
                <c:pt idx="0">
                  <c:v>&lt; 45 yrs</c:v>
                </c:pt>
                <c:pt idx="1">
                  <c:v>45-49 yrs</c:v>
                </c:pt>
                <c:pt idx="2">
                  <c:v>50-54 yrs</c:v>
                </c:pt>
                <c:pt idx="3">
                  <c:v>55-59 yrs</c:v>
                </c:pt>
                <c:pt idx="4">
                  <c:v>60-64 yrs</c:v>
                </c:pt>
                <c:pt idx="5">
                  <c:v>65-69 yrs</c:v>
                </c:pt>
                <c:pt idx="6">
                  <c:v>70-74 yrs</c:v>
                </c:pt>
                <c:pt idx="7">
                  <c:v>75-79 yrs</c:v>
                </c:pt>
                <c:pt idx="8">
                  <c:v>80-84 yrs</c:v>
                </c:pt>
                <c:pt idx="9">
                  <c:v>&gt;= 85 yrs</c:v>
                </c:pt>
              </c:strCache>
            </c:strRef>
          </c:cat>
          <c:val>
            <c:numRef>
              <c:f>Sheet1!$I$7:$I$16</c:f>
              <c:numCache>
                <c:formatCode>0.00;[Red]0.00</c:formatCode>
                <c:ptCount val="10"/>
                <c:pt idx="0">
                  <c:v>-12</c:v>
                </c:pt>
                <c:pt idx="1">
                  <c:v>-11</c:v>
                </c:pt>
                <c:pt idx="2">
                  <c:v>-11</c:v>
                </c:pt>
                <c:pt idx="3">
                  <c:v>-33</c:v>
                </c:pt>
                <c:pt idx="4">
                  <c:v>-42</c:v>
                </c:pt>
                <c:pt idx="5">
                  <c:v>-74</c:v>
                </c:pt>
                <c:pt idx="6">
                  <c:v>-79</c:v>
                </c:pt>
                <c:pt idx="7">
                  <c:v>-79</c:v>
                </c:pt>
                <c:pt idx="8">
                  <c:v>-70</c:v>
                </c:pt>
                <c:pt idx="9">
                  <c:v>-24</c:v>
                </c:pt>
              </c:numCache>
            </c:numRef>
          </c:val>
          <c:extLst>
            <c:ext xmlns:c16="http://schemas.microsoft.com/office/drawing/2014/chart" uri="{C3380CC4-5D6E-409C-BE32-E72D297353CC}">
              <c16:uniqueId val="{00000001-E30F-4ACB-A92D-9EA782A57132}"/>
            </c:ext>
          </c:extLst>
        </c:ser>
        <c:dLbls>
          <c:showLegendKey val="0"/>
          <c:showVal val="0"/>
          <c:showCatName val="0"/>
          <c:showSerName val="0"/>
          <c:showPercent val="0"/>
          <c:showBubbleSize val="0"/>
        </c:dLbls>
        <c:gapWidth val="10"/>
        <c:overlap val="100"/>
        <c:axId val="174928256"/>
        <c:axId val="174930176"/>
      </c:barChart>
      <c:catAx>
        <c:axId val="174928256"/>
        <c:scaling>
          <c:orientation val="minMax"/>
        </c:scaling>
        <c:delete val="0"/>
        <c:axPos val="l"/>
        <c:title>
          <c:tx>
            <c:rich>
              <a:bodyPr rot="-5400000" vert="horz"/>
              <a:lstStyle/>
              <a:p>
                <a:pPr>
                  <a:defRPr b="0"/>
                </a:pPr>
                <a:r>
                  <a:rPr lang="en-US" b="0"/>
                  <a:t>Patient Age Range</a:t>
                </a:r>
              </a:p>
            </c:rich>
          </c:tx>
          <c:layout>
            <c:manualLayout>
              <c:xMode val="edge"/>
              <c:yMode val="edge"/>
              <c:x val="8.1650017575568799E-3"/>
              <c:y val="0.28466773591100153"/>
            </c:manualLayout>
          </c:layout>
          <c:overlay val="0"/>
        </c:title>
        <c:numFmt formatCode="General" sourceLinked="0"/>
        <c:majorTickMark val="out"/>
        <c:minorTickMark val="none"/>
        <c:tickLblPos val="low"/>
        <c:crossAx val="174930176"/>
        <c:crosses val="autoZero"/>
        <c:auto val="1"/>
        <c:lblAlgn val="ctr"/>
        <c:lblOffset val="100"/>
        <c:noMultiLvlLbl val="0"/>
      </c:catAx>
      <c:valAx>
        <c:axId val="174930176"/>
        <c:scaling>
          <c:orientation val="minMax"/>
          <c:max val="150"/>
          <c:min val="-150"/>
        </c:scaling>
        <c:delete val="0"/>
        <c:axPos val="b"/>
        <c:majorGridlines/>
        <c:title>
          <c:tx>
            <c:rich>
              <a:bodyPr/>
              <a:lstStyle/>
              <a:p>
                <a:pPr>
                  <a:defRPr b="0"/>
                </a:pPr>
                <a:r>
                  <a:rPr lang="en-US" b="0"/>
                  <a:t>Patients</a:t>
                </a:r>
              </a:p>
            </c:rich>
          </c:tx>
          <c:layout/>
          <c:overlay val="0"/>
        </c:title>
        <c:numFmt formatCode="#,##0;#,##0" sourceLinked="0"/>
        <c:majorTickMark val="out"/>
        <c:minorTickMark val="none"/>
        <c:tickLblPos val="low"/>
        <c:crossAx val="174928256"/>
        <c:crosses val="autoZero"/>
        <c:crossBetween val="between"/>
      </c:valAx>
    </c:plotArea>
    <c:legend>
      <c:legendPos val="b"/>
      <c:layout>
        <c:manualLayout>
          <c:xMode val="edge"/>
          <c:yMode val="edge"/>
          <c:x val="0.46137975062708436"/>
          <c:y val="0.91271360218728637"/>
          <c:w val="0.19319360200133232"/>
          <c:h val="6.1686339870773307E-2"/>
        </c:manualLayout>
      </c:layout>
      <c:overlay val="1"/>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[D1088_PATCNTBY_DRUG_N_SUPP_Q, id=age,sex &amp; indication, v4 renum figs.xlsx]Sheet1 (4)!PivotTable1</c:name>
    <c:fmtId val="-1"/>
  </c:pivotSource>
  <c:chart>
    <c:autoTitleDeleted val="1"/>
    <c:pivotFmts>
      <c:pivotFmt>
        <c:idx val="0"/>
      </c:pivotFmt>
      <c:pivotFmt>
        <c:idx val="1"/>
      </c:pivotFmt>
      <c:pivotFmt>
        <c:idx val="2"/>
        <c:marker>
          <c:symbol val="none"/>
        </c:marker>
        <c:dLbl>
          <c:idx val="0"/>
          <c:delete val="1"/>
          <c:extLst>
            <c:ext xmlns:c15="http://schemas.microsoft.com/office/drawing/2012/chart" uri="{CE6537A1-D6FC-4f65-9D91-7224C49458BB}"/>
          </c:extLst>
        </c:dLbl>
      </c:pivotFmt>
      <c:pivotFmt>
        <c:idx val="3"/>
        <c:marker>
          <c:symbol val="none"/>
        </c:marker>
        <c:dLbl>
          <c:idx val="0"/>
          <c:delete val="1"/>
          <c:extLst>
            <c:ext xmlns:c15="http://schemas.microsoft.com/office/drawing/2012/chart" uri="{CE6537A1-D6FC-4f65-9D91-7224C49458BB}"/>
          </c:extLst>
        </c:dLbl>
      </c:pivotFmt>
      <c:pivotFmt>
        <c:idx val="4"/>
        <c:marker>
          <c:symbol val="none"/>
        </c:marker>
        <c:dLbl>
          <c:idx val="0"/>
          <c:delete val="1"/>
          <c:extLst>
            <c:ext xmlns:c15="http://schemas.microsoft.com/office/drawing/2012/chart" uri="{CE6537A1-D6FC-4f65-9D91-7224C49458BB}"/>
          </c:extLst>
        </c:dLbl>
      </c:pivotFmt>
      <c:pivotFmt>
        <c:idx val="5"/>
        <c:marker>
          <c:symbol val="none"/>
        </c:marker>
        <c:dLbl>
          <c:idx val="0"/>
          <c:delete val="1"/>
          <c:extLst>
            <c:ext xmlns:c15="http://schemas.microsoft.com/office/drawing/2012/chart" uri="{CE6537A1-D6FC-4f65-9D91-7224C49458BB}"/>
          </c:extLst>
        </c:dLbl>
      </c:pivotFmt>
      <c:pivotFmt>
        <c:idx val="6"/>
        <c:marker>
          <c:symbol val="none"/>
        </c:marker>
        <c:dLbl>
          <c:idx val="0"/>
          <c:delete val="1"/>
          <c:extLst>
            <c:ext xmlns:c15="http://schemas.microsoft.com/office/drawing/2012/chart" uri="{CE6537A1-D6FC-4f65-9D91-7224C49458BB}"/>
          </c:extLst>
        </c:dLbl>
      </c:pivotFmt>
      <c:pivotFmt>
        <c:idx val="7"/>
        <c:marker>
          <c:symbol val="none"/>
        </c:marker>
        <c:dLbl>
          <c:idx val="0"/>
          <c:delete val="1"/>
          <c:extLst>
            <c:ext xmlns:c15="http://schemas.microsoft.com/office/drawing/2012/chart" uri="{CE6537A1-D6FC-4f65-9D91-7224C49458BB}"/>
          </c:extLst>
        </c:dLbl>
      </c:pivotFmt>
      <c:pivotFmt>
        <c:idx val="8"/>
        <c:marker>
          <c:symbol val="none"/>
        </c:marker>
        <c:dLbl>
          <c:idx val="0"/>
          <c:delete val="1"/>
          <c:extLst>
            <c:ext xmlns:c15="http://schemas.microsoft.com/office/drawing/2012/chart" uri="{CE6537A1-D6FC-4f65-9D91-7224C49458BB}"/>
          </c:extLst>
        </c:dLbl>
      </c:pivotFmt>
      <c:pivotFmt>
        <c:idx val="9"/>
        <c:marker>
          <c:symbol val="none"/>
        </c:marker>
        <c:dLbl>
          <c:idx val="0"/>
          <c:delete val="1"/>
          <c:extLst>
            <c:ext xmlns:c15="http://schemas.microsoft.com/office/drawing/2012/chart" uri="{CE6537A1-D6FC-4f65-9D91-7224C49458BB}"/>
          </c:extLst>
        </c:dLbl>
      </c:pivotFmt>
      <c:pivotFmt>
        <c:idx val="10"/>
        <c:marker>
          <c:symbol val="none"/>
        </c:marker>
        <c:dLbl>
          <c:idx val="0"/>
          <c:delete val="1"/>
          <c:extLst>
            <c:ext xmlns:c15="http://schemas.microsoft.com/office/drawing/2012/chart" uri="{CE6537A1-D6FC-4f65-9D91-7224C49458BB}"/>
          </c:extLst>
        </c:dLbl>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s>
    <c:plotArea>
      <c:layout/>
      <c:lineChart>
        <c:grouping val="standard"/>
        <c:varyColors val="0"/>
        <c:ser>
          <c:idx val="0"/>
          <c:order val="0"/>
          <c:tx>
            <c:strRef>
              <c:f>'Sheet1 (4)'!$B$4:$B$5</c:f>
              <c:strCache>
                <c:ptCount val="1"/>
                <c:pt idx="0">
                  <c:v>Int-2 &amp; High risk</c:v>
                </c:pt>
              </c:strCache>
            </c:strRef>
          </c:tx>
          <c:cat>
            <c:strRef>
              <c:f>'Sheet1 (4)'!$A$6:$A$16</c:f>
              <c:strCache>
                <c:ptCount val="10"/>
                <c:pt idx="0">
                  <c:v>&lt; 45 yrs</c:v>
                </c:pt>
                <c:pt idx="1">
                  <c:v>45-49 yrs</c:v>
                </c:pt>
                <c:pt idx="2">
                  <c:v>50-54 yrs</c:v>
                </c:pt>
                <c:pt idx="3">
                  <c:v>55-59 yrs</c:v>
                </c:pt>
                <c:pt idx="4">
                  <c:v>60-64 yrs</c:v>
                </c:pt>
                <c:pt idx="5">
                  <c:v>65-69 yrs</c:v>
                </c:pt>
                <c:pt idx="6">
                  <c:v>70-74 yrs</c:v>
                </c:pt>
                <c:pt idx="7">
                  <c:v>75-79 yrs</c:v>
                </c:pt>
                <c:pt idx="8">
                  <c:v>80-84 yrs</c:v>
                </c:pt>
                <c:pt idx="9">
                  <c:v>&gt;= 85 yrs</c:v>
                </c:pt>
              </c:strCache>
            </c:strRef>
          </c:cat>
          <c:val>
            <c:numRef>
              <c:f>'Sheet1 (4)'!$B$6:$B$16</c:f>
              <c:numCache>
                <c:formatCode>General</c:formatCode>
                <c:ptCount val="10"/>
                <c:pt idx="0">
                  <c:v>7</c:v>
                </c:pt>
                <c:pt idx="1">
                  <c:v>10</c:v>
                </c:pt>
                <c:pt idx="2">
                  <c:v>19</c:v>
                </c:pt>
                <c:pt idx="3">
                  <c:v>45</c:v>
                </c:pt>
                <c:pt idx="4">
                  <c:v>67</c:v>
                </c:pt>
                <c:pt idx="5">
                  <c:v>142</c:v>
                </c:pt>
                <c:pt idx="6">
                  <c:v>165</c:v>
                </c:pt>
                <c:pt idx="7">
                  <c:v>139</c:v>
                </c:pt>
                <c:pt idx="8">
                  <c:v>108</c:v>
                </c:pt>
                <c:pt idx="9">
                  <c:v>45</c:v>
                </c:pt>
              </c:numCache>
            </c:numRef>
          </c:val>
          <c:smooth val="0"/>
          <c:extLst>
            <c:ext xmlns:c16="http://schemas.microsoft.com/office/drawing/2014/chart" uri="{C3380CC4-5D6E-409C-BE32-E72D297353CC}">
              <c16:uniqueId val="{00000000-4AAF-45BA-A615-E6C051C9D4C2}"/>
            </c:ext>
          </c:extLst>
        </c:ser>
        <c:ser>
          <c:idx val="1"/>
          <c:order val="1"/>
          <c:tx>
            <c:strRef>
              <c:f>'Sheet1 (4)'!$C$4:$C$5</c:f>
              <c:strCache>
                <c:ptCount val="1"/>
                <c:pt idx="0">
                  <c:v>Int-1</c:v>
                </c:pt>
              </c:strCache>
            </c:strRef>
          </c:tx>
          <c:cat>
            <c:strRef>
              <c:f>'Sheet1 (4)'!$A$6:$A$16</c:f>
              <c:strCache>
                <c:ptCount val="10"/>
                <c:pt idx="0">
                  <c:v>&lt; 45 yrs</c:v>
                </c:pt>
                <c:pt idx="1">
                  <c:v>45-49 yrs</c:v>
                </c:pt>
                <c:pt idx="2">
                  <c:v>50-54 yrs</c:v>
                </c:pt>
                <c:pt idx="3">
                  <c:v>55-59 yrs</c:v>
                </c:pt>
                <c:pt idx="4">
                  <c:v>60-64 yrs</c:v>
                </c:pt>
                <c:pt idx="5">
                  <c:v>65-69 yrs</c:v>
                </c:pt>
                <c:pt idx="6">
                  <c:v>70-74 yrs</c:v>
                </c:pt>
                <c:pt idx="7">
                  <c:v>75-79 yrs</c:v>
                </c:pt>
                <c:pt idx="8">
                  <c:v>80-84 yrs</c:v>
                </c:pt>
                <c:pt idx="9">
                  <c:v>&gt;= 85 yrs</c:v>
                </c:pt>
              </c:strCache>
            </c:strRef>
          </c:cat>
          <c:val>
            <c:numRef>
              <c:f>'Sheet1 (4)'!$C$6:$C$16</c:f>
              <c:numCache>
                <c:formatCode>General</c:formatCode>
                <c:ptCount val="10"/>
                <c:pt idx="0">
                  <c:v>14</c:v>
                </c:pt>
                <c:pt idx="1">
                  <c:v>8</c:v>
                </c:pt>
                <c:pt idx="2">
                  <c:v>18</c:v>
                </c:pt>
                <c:pt idx="3">
                  <c:v>39</c:v>
                </c:pt>
                <c:pt idx="4">
                  <c:v>40</c:v>
                </c:pt>
                <c:pt idx="5">
                  <c:v>45</c:v>
                </c:pt>
                <c:pt idx="6">
                  <c:v>50</c:v>
                </c:pt>
                <c:pt idx="7">
                  <c:v>39</c:v>
                </c:pt>
                <c:pt idx="8">
                  <c:v>27</c:v>
                </c:pt>
                <c:pt idx="9">
                  <c:v>12</c:v>
                </c:pt>
              </c:numCache>
            </c:numRef>
          </c:val>
          <c:smooth val="0"/>
          <c:extLst>
            <c:ext xmlns:c16="http://schemas.microsoft.com/office/drawing/2014/chart" uri="{C3380CC4-5D6E-409C-BE32-E72D297353CC}">
              <c16:uniqueId val="{00000001-4AAF-45BA-A615-E6C051C9D4C2}"/>
            </c:ext>
          </c:extLst>
        </c:ser>
        <c:ser>
          <c:idx val="2"/>
          <c:order val="2"/>
          <c:tx>
            <c:strRef>
              <c:f>'Sheet1 (4)'!$D$4:$D$5</c:f>
              <c:strCache>
                <c:ptCount val="1"/>
                <c:pt idx="0">
                  <c:v>Grandfathering</c:v>
                </c:pt>
              </c:strCache>
            </c:strRef>
          </c:tx>
          <c:cat>
            <c:strRef>
              <c:f>'Sheet1 (4)'!$A$6:$A$16</c:f>
              <c:strCache>
                <c:ptCount val="10"/>
                <c:pt idx="0">
                  <c:v>&lt; 45 yrs</c:v>
                </c:pt>
                <c:pt idx="1">
                  <c:v>45-49 yrs</c:v>
                </c:pt>
                <c:pt idx="2">
                  <c:v>50-54 yrs</c:v>
                </c:pt>
                <c:pt idx="3">
                  <c:v>55-59 yrs</c:v>
                </c:pt>
                <c:pt idx="4">
                  <c:v>60-64 yrs</c:v>
                </c:pt>
                <c:pt idx="5">
                  <c:v>65-69 yrs</c:v>
                </c:pt>
                <c:pt idx="6">
                  <c:v>70-74 yrs</c:v>
                </c:pt>
                <c:pt idx="7">
                  <c:v>75-79 yrs</c:v>
                </c:pt>
                <c:pt idx="8">
                  <c:v>80-84 yrs</c:v>
                </c:pt>
                <c:pt idx="9">
                  <c:v>&gt;= 85 yrs</c:v>
                </c:pt>
              </c:strCache>
            </c:strRef>
          </c:cat>
          <c:val>
            <c:numRef>
              <c:f>'Sheet1 (4)'!$D$6:$D$16</c:f>
              <c:numCache>
                <c:formatCode>General</c:formatCode>
                <c:ptCount val="10"/>
                <c:pt idx="0">
                  <c:v>5</c:v>
                </c:pt>
                <c:pt idx="1">
                  <c:v>7</c:v>
                </c:pt>
                <c:pt idx="2">
                  <c:v>6</c:v>
                </c:pt>
                <c:pt idx="3">
                  <c:v>16</c:v>
                </c:pt>
                <c:pt idx="4">
                  <c:v>33</c:v>
                </c:pt>
                <c:pt idx="5">
                  <c:v>69</c:v>
                </c:pt>
                <c:pt idx="6">
                  <c:v>60</c:v>
                </c:pt>
                <c:pt idx="7">
                  <c:v>77</c:v>
                </c:pt>
                <c:pt idx="8">
                  <c:v>30</c:v>
                </c:pt>
                <c:pt idx="9">
                  <c:v>12</c:v>
                </c:pt>
              </c:numCache>
            </c:numRef>
          </c:val>
          <c:smooth val="0"/>
          <c:extLst>
            <c:ext xmlns:c16="http://schemas.microsoft.com/office/drawing/2014/chart" uri="{C3380CC4-5D6E-409C-BE32-E72D297353CC}">
              <c16:uniqueId val="{00000002-4AAF-45BA-A615-E6C051C9D4C2}"/>
            </c:ext>
          </c:extLst>
        </c:ser>
        <c:dLbls>
          <c:showLegendKey val="0"/>
          <c:showVal val="0"/>
          <c:showCatName val="0"/>
          <c:showSerName val="0"/>
          <c:showPercent val="0"/>
          <c:showBubbleSize val="0"/>
        </c:dLbls>
        <c:marker val="1"/>
        <c:smooth val="0"/>
        <c:axId val="191759104"/>
        <c:axId val="191760640"/>
      </c:lineChart>
      <c:catAx>
        <c:axId val="191759104"/>
        <c:scaling>
          <c:orientation val="minMax"/>
        </c:scaling>
        <c:delete val="0"/>
        <c:axPos val="b"/>
        <c:numFmt formatCode="General" sourceLinked="0"/>
        <c:majorTickMark val="none"/>
        <c:minorTickMark val="none"/>
        <c:tickLblPos val="nextTo"/>
        <c:crossAx val="191760640"/>
        <c:crosses val="autoZero"/>
        <c:auto val="1"/>
        <c:lblAlgn val="ctr"/>
        <c:lblOffset val="100"/>
        <c:noMultiLvlLbl val="0"/>
      </c:catAx>
      <c:valAx>
        <c:axId val="191760640"/>
        <c:scaling>
          <c:orientation val="minMax"/>
        </c:scaling>
        <c:delete val="0"/>
        <c:axPos val="l"/>
        <c:majorGridlines/>
        <c:title>
          <c:tx>
            <c:rich>
              <a:bodyPr/>
              <a:lstStyle/>
              <a:p>
                <a:pPr>
                  <a:defRPr/>
                </a:pPr>
                <a:r>
                  <a:rPr lang="en-US"/>
                  <a:t>Patients</a:t>
                </a:r>
              </a:p>
            </c:rich>
          </c:tx>
          <c:layout/>
          <c:overlay val="0"/>
        </c:title>
        <c:numFmt formatCode="General" sourceLinked="1"/>
        <c:majorTickMark val="none"/>
        <c:minorTickMark val="none"/>
        <c:tickLblPos val="nextTo"/>
        <c:crossAx val="191759104"/>
        <c:crosses val="autoZero"/>
        <c:crossBetween val="between"/>
      </c:valAx>
    </c:plotArea>
    <c:legend>
      <c:legendPos val="b"/>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7855D-57F5-4545-B01C-79AC485B6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5951</Words>
  <Characters>33921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2019-02-26T04:47:00Z</dcterms:created>
  <dcterms:modified xsi:type="dcterms:W3CDTF">2019-02-26T04:48:00Z</dcterms:modified>
</cp:coreProperties>
</file>