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E5AC6" w14:textId="77777777" w:rsidR="00832324" w:rsidRDefault="00E140F2" w:rsidP="00F73113">
      <w:pPr>
        <w:pStyle w:val="Title"/>
      </w:pPr>
      <w:r>
        <w:t>Febuxostat: 24 month predicted versus actual analysis</w:t>
      </w:r>
    </w:p>
    <w:p w14:paraId="782D494C" w14:textId="77777777" w:rsidR="00736041" w:rsidRDefault="009053D3" w:rsidP="00F73113">
      <w:pPr>
        <w:pStyle w:val="Title2"/>
      </w:pPr>
      <w:r>
        <w:t>D</w:t>
      </w:r>
      <w:r w:rsidR="00832324" w:rsidRPr="0063631C">
        <w:t xml:space="preserve">rug utilisation sub-committee </w:t>
      </w:r>
      <w:r w:rsidR="00832324">
        <w:t>(DUSC)</w:t>
      </w:r>
    </w:p>
    <w:p w14:paraId="7C61F3F9" w14:textId="77777777" w:rsidR="009053D3" w:rsidRPr="00F73113" w:rsidRDefault="001578A2" w:rsidP="00F73113">
      <w:pPr>
        <w:pStyle w:val="Meetingdate"/>
      </w:pPr>
      <w:r w:rsidRPr="000C1E59">
        <w:t>September</w:t>
      </w:r>
      <w:r w:rsidR="00D151EB" w:rsidRPr="000C1E59">
        <w:t xml:space="preserve"> 20</w:t>
      </w:r>
      <w:r w:rsidR="00E932E1" w:rsidRPr="001578A2">
        <w:t>18</w:t>
      </w:r>
    </w:p>
    <w:p w14:paraId="54D991F7" w14:textId="77777777" w:rsidR="005C6661" w:rsidRPr="00CF5E22" w:rsidRDefault="005C6661" w:rsidP="00CF5E22">
      <w:pPr>
        <w:pStyle w:val="Heading2"/>
      </w:pPr>
      <w:r w:rsidRPr="00CF5E22">
        <w:t>Abstract</w:t>
      </w:r>
    </w:p>
    <w:p w14:paraId="39C189F9" w14:textId="77777777" w:rsidR="005C6661" w:rsidRPr="00CF5E22" w:rsidRDefault="005C6661" w:rsidP="00CF5E22">
      <w:pPr>
        <w:pStyle w:val="Heading3"/>
      </w:pPr>
      <w:r w:rsidRPr="00CF5E22">
        <w:t>Purpose</w:t>
      </w:r>
    </w:p>
    <w:p w14:paraId="50D6D5BF" w14:textId="77777777" w:rsidR="00B31721" w:rsidRDefault="00B31721" w:rsidP="00B31721">
      <w:r w:rsidRPr="000C4811">
        <w:t xml:space="preserve">To compare the predicted and actual utilisation of febuxostat during the first 24 months of PBS listing (1 </w:t>
      </w:r>
      <w:r w:rsidRPr="000C4811">
        <w:rPr>
          <w:rFonts w:ascii="Calibri" w:eastAsia="Times New Roman" w:hAnsi="Calibri" w:cs="Times New Roman"/>
        </w:rPr>
        <w:t>September 2015</w:t>
      </w:r>
      <w:r>
        <w:rPr>
          <w:rFonts w:ascii="Calibri" w:eastAsia="Times New Roman" w:hAnsi="Calibri" w:cs="Times New Roman"/>
        </w:rPr>
        <w:t xml:space="preserve"> to 1 August 2017</w:t>
      </w:r>
      <w:r w:rsidRPr="000C4811">
        <w:rPr>
          <w:rFonts w:ascii="Calibri" w:eastAsia="Times New Roman" w:hAnsi="Calibri" w:cs="Times New Roman"/>
        </w:rPr>
        <w:t>).</w:t>
      </w:r>
      <w:r w:rsidRPr="000C4811">
        <w:t xml:space="preserve"> </w:t>
      </w:r>
    </w:p>
    <w:p w14:paraId="5CD2D461" w14:textId="77777777"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1F2A7ED5" w14:textId="77777777" w:rsidR="00B31721" w:rsidRPr="00F65B34" w:rsidRDefault="00B31721" w:rsidP="00B31721">
      <w:r>
        <w:t>Febuxostat was listed on the PBS on 1 September 2015.</w:t>
      </w:r>
    </w:p>
    <w:p w14:paraId="3C5072F1" w14:textId="77777777" w:rsidR="005C6661" w:rsidRDefault="005C6661" w:rsidP="00CF5E22">
      <w:pPr>
        <w:pStyle w:val="Heading3"/>
      </w:pPr>
      <w:r>
        <w:t>Data Source / methodology</w:t>
      </w:r>
    </w:p>
    <w:p w14:paraId="75565EEA" w14:textId="77777777" w:rsidR="00B31721" w:rsidRDefault="00B31721" w:rsidP="00B31721">
      <w:pPr>
        <w:pStyle w:val="NoSpacing"/>
      </w:pPr>
      <w:r w:rsidRPr="004C11DF">
        <w:t xml:space="preserve">Data for febuxostat was extracted from the Department of Human Services (DHS) prescription database from the date of listing on the PBS Schedule </w:t>
      </w:r>
      <w:r w:rsidR="006D071D" w:rsidRPr="004C11DF">
        <w:t>on 1 September</w:t>
      </w:r>
      <w:r w:rsidR="000729FC">
        <w:t xml:space="preserve"> </w:t>
      </w:r>
      <w:r w:rsidR="006D071D" w:rsidRPr="004C11DF">
        <w:t>2015</w:t>
      </w:r>
      <w:r w:rsidR="005D25C2" w:rsidRPr="004C11DF">
        <w:t xml:space="preserve"> to </w:t>
      </w:r>
      <w:r w:rsidR="004C11DF" w:rsidRPr="004C11DF">
        <w:t xml:space="preserve">December </w:t>
      </w:r>
      <w:r w:rsidR="005D25C2" w:rsidRPr="004C11DF">
        <w:t xml:space="preserve">2017 </w:t>
      </w:r>
      <w:r w:rsidR="006D071D" w:rsidRPr="004C11DF">
        <w:t>(</w:t>
      </w:r>
      <w:r w:rsidR="005D25C2" w:rsidRPr="004C11DF">
        <w:t>inclusive</w:t>
      </w:r>
      <w:r w:rsidR="006D071D" w:rsidRPr="004C11DF">
        <w:t>)</w:t>
      </w:r>
      <w:r w:rsidRPr="004C11DF">
        <w:t>.</w:t>
      </w:r>
    </w:p>
    <w:p w14:paraId="0D842F45" w14:textId="77777777" w:rsidR="005C6661" w:rsidRPr="005A114F" w:rsidRDefault="005C6661" w:rsidP="005A114F">
      <w:pPr>
        <w:pStyle w:val="Heading3"/>
      </w:pPr>
      <w:r>
        <w:t>Key Findings</w:t>
      </w:r>
    </w:p>
    <w:p w14:paraId="23163213" w14:textId="77777777" w:rsidR="005A114F" w:rsidRDefault="00EF5D3E" w:rsidP="005A114F">
      <w:pPr>
        <w:pStyle w:val="NoSpacing"/>
        <w:numPr>
          <w:ilvl w:val="0"/>
          <w:numId w:val="1"/>
        </w:numPr>
      </w:pPr>
      <w:r>
        <w:t xml:space="preserve">The total number of patients supplied febuxostat was </w:t>
      </w:r>
      <w:r w:rsidR="005A114F" w:rsidRPr="005A114F">
        <w:t xml:space="preserve">2,421 </w:t>
      </w:r>
      <w:r>
        <w:t xml:space="preserve">in the first year </w:t>
      </w:r>
      <w:r w:rsidR="005A114F" w:rsidRPr="005A114F">
        <w:t xml:space="preserve">and 4,881 in the second year of PBS listing. </w:t>
      </w:r>
      <w:r w:rsidR="005A114F">
        <w:t>The</w:t>
      </w:r>
      <w:r>
        <w:t>re were fewer</w:t>
      </w:r>
      <w:r w:rsidR="005A114F">
        <w:t xml:space="preserve"> patients than predicted in both years.</w:t>
      </w:r>
    </w:p>
    <w:p w14:paraId="258BCBBC" w14:textId="77777777" w:rsidR="0099209C" w:rsidRDefault="005A114F" w:rsidP="0099209C">
      <w:pPr>
        <w:pStyle w:val="NoSpacing"/>
        <w:numPr>
          <w:ilvl w:val="0"/>
          <w:numId w:val="1"/>
        </w:numPr>
      </w:pPr>
      <w:r>
        <w:t xml:space="preserve">The number of prescriptions supplied and Government expenditure were also lower than expected. </w:t>
      </w:r>
    </w:p>
    <w:p w14:paraId="7F13B40C" w14:textId="77777777" w:rsidR="00BB0D1A" w:rsidRPr="0099209C" w:rsidRDefault="00BB0D1A" w:rsidP="00033B30">
      <w:pPr>
        <w:pStyle w:val="NoSpacing"/>
      </w:pPr>
      <w:r>
        <w:br w:type="page"/>
      </w:r>
    </w:p>
    <w:p w14:paraId="31EF3EE0" w14:textId="77777777" w:rsidR="00E677DD" w:rsidRPr="00CF5E22" w:rsidRDefault="00E677DD" w:rsidP="00CF5E22">
      <w:pPr>
        <w:pStyle w:val="Heading1"/>
      </w:pPr>
      <w:r w:rsidRPr="00CF5E22">
        <w:lastRenderedPageBreak/>
        <w:t xml:space="preserve">Purpose of </w:t>
      </w:r>
      <w:r w:rsidR="00D151EB" w:rsidRPr="00CF5E22">
        <w:t>analysis</w:t>
      </w:r>
    </w:p>
    <w:p w14:paraId="424BDD6F" w14:textId="77777777" w:rsidR="00990DCF" w:rsidRDefault="00E140F2" w:rsidP="00FB2687">
      <w:r w:rsidRPr="000C4811">
        <w:t xml:space="preserve">To compare the predicted and actual utilisation of febuxostat during the first 24 months of PBS listing (1 </w:t>
      </w:r>
      <w:r w:rsidR="000C4811" w:rsidRPr="000C4811">
        <w:rPr>
          <w:rFonts w:ascii="Calibri" w:eastAsia="Times New Roman" w:hAnsi="Calibri" w:cs="Times New Roman"/>
        </w:rPr>
        <w:t>September 2015</w:t>
      </w:r>
      <w:r w:rsidR="00FB2687">
        <w:rPr>
          <w:rFonts w:ascii="Calibri" w:eastAsia="Times New Roman" w:hAnsi="Calibri" w:cs="Times New Roman"/>
        </w:rPr>
        <w:t xml:space="preserve"> to 1 August 2017</w:t>
      </w:r>
      <w:r w:rsidR="006D071D">
        <w:rPr>
          <w:rFonts w:ascii="Calibri" w:eastAsia="Times New Roman" w:hAnsi="Calibri" w:cs="Times New Roman"/>
        </w:rPr>
        <w:t>)</w:t>
      </w:r>
      <w:r w:rsidR="00432358" w:rsidRPr="004134EB">
        <w:rPr>
          <w:color w:val="000000" w:themeColor="text1"/>
        </w:rPr>
        <w:t>.</w:t>
      </w:r>
    </w:p>
    <w:p w14:paraId="737ABECB" w14:textId="77777777" w:rsidR="006537D9" w:rsidRPr="005E22C2" w:rsidRDefault="00736041" w:rsidP="00CF5E22">
      <w:pPr>
        <w:pStyle w:val="Heading1"/>
      </w:pPr>
      <w:r w:rsidRPr="005E22C2">
        <w:t>Background</w:t>
      </w:r>
    </w:p>
    <w:p w14:paraId="46F658EC" w14:textId="77777777" w:rsidR="00EE2BBB" w:rsidRPr="007247B9" w:rsidRDefault="00EE2BBB" w:rsidP="00EE2BBB">
      <w:pPr>
        <w:pStyle w:val="Heading2"/>
      </w:pPr>
      <w:r w:rsidRPr="007247B9">
        <w:t>Clinical situation</w:t>
      </w:r>
    </w:p>
    <w:p w14:paraId="73BE3437" w14:textId="77777777" w:rsidR="00CA7E32" w:rsidRDefault="00782BBD" w:rsidP="00EE2BBB">
      <w:r>
        <w:t>Gout is a form of inflammatory arthritis affecting 1.7% of Australians</w:t>
      </w:r>
      <w:r w:rsidR="00EF5D3E">
        <w:t>.</w:t>
      </w:r>
      <w:r w:rsidR="00CA7E32">
        <w:rPr>
          <w:rStyle w:val="EndnoteReference"/>
        </w:rPr>
        <w:endnoteReference w:id="1"/>
      </w:r>
      <w:r w:rsidR="00CA7E32">
        <w:t xml:space="preserve"> It is caused by the deposition of urate crystals in the body, in particular the joints, soft tissues and kidneys.</w:t>
      </w:r>
      <w:r w:rsidR="00CA7E32" w:rsidRPr="0017072B">
        <w:rPr>
          <w:vertAlign w:val="superscript"/>
        </w:rPr>
        <w:t>1,</w:t>
      </w:r>
      <w:r w:rsidR="00CA7E32" w:rsidRPr="0017072B">
        <w:rPr>
          <w:rStyle w:val="EndnoteReference"/>
        </w:rPr>
        <w:endnoteReference w:id="2"/>
      </w:r>
      <w:r w:rsidR="00CA7E32">
        <w:t xml:space="preserve"> Gout is characterised by a sudden onset of joint pain and swelling which may be an initial or recurrent acute attack, chronic gouty arthritis or an acute attack in patients with underlying chronic gouty arthritis.</w:t>
      </w:r>
      <w:r w:rsidR="00CA7E32">
        <w:rPr>
          <w:vertAlign w:val="superscript"/>
        </w:rPr>
        <w:t>2</w:t>
      </w:r>
    </w:p>
    <w:p w14:paraId="62E6240E" w14:textId="77777777" w:rsidR="00CA7E32" w:rsidRDefault="00CA7E32" w:rsidP="00EE2BBB">
      <w:r>
        <w:t>The risk of gout increases with high levels of uric acid in the bloodstream and low clearance of uric acid from the body. However, gout may also occur in patients with normal uric acid concentration.</w:t>
      </w:r>
      <w:r>
        <w:rPr>
          <w:vertAlign w:val="superscript"/>
        </w:rPr>
        <w:t>1,2</w:t>
      </w:r>
    </w:p>
    <w:p w14:paraId="32021384" w14:textId="77777777" w:rsidR="00CA7E32" w:rsidRPr="000F59E3" w:rsidRDefault="00CA7E32" w:rsidP="009B025E">
      <w:pPr>
        <w:rPr>
          <w:vertAlign w:val="superscript"/>
        </w:rPr>
      </w:pPr>
      <w:r>
        <w:t>The management of acute attacks involves treatment with non-steroidal anti-inflammatory drugs (NSAIDs), colchicine or corticosteroids.</w:t>
      </w:r>
      <w:r>
        <w:rPr>
          <w:vertAlign w:val="superscript"/>
        </w:rPr>
        <w:t>1,2</w:t>
      </w:r>
    </w:p>
    <w:p w14:paraId="14B36E0C" w14:textId="77777777" w:rsidR="00CA7E32" w:rsidRDefault="00CA7E32" w:rsidP="003E5A7A">
      <w:r>
        <w:t>After the management of an acute attack, urate-lowering therapy (ULT) is recommended to manage serum uric acid concentration and prevent the formation of urate crystals.</w:t>
      </w:r>
      <w:r>
        <w:rPr>
          <w:vertAlign w:val="superscript"/>
        </w:rPr>
        <w:t>1,2</w:t>
      </w:r>
      <w:r>
        <w:t xml:space="preserve"> Allopurinol is recommended in Australian guidelines as a first line ULT. In patients hypersensitive or intolerant to allopurinol, febuxostat or probenecid should be considered.</w:t>
      </w:r>
      <w:r>
        <w:rPr>
          <w:vertAlign w:val="superscript"/>
        </w:rPr>
        <w:t>2</w:t>
      </w:r>
      <w:r>
        <w:t xml:space="preserve"> In patients with a poor response to allopurinol, only probenecid is recommended.</w:t>
      </w:r>
      <w:r>
        <w:rPr>
          <w:vertAlign w:val="superscript"/>
        </w:rPr>
        <w:t>2</w:t>
      </w:r>
      <w:r>
        <w:t xml:space="preserve"> </w:t>
      </w:r>
    </w:p>
    <w:p w14:paraId="42917396" w14:textId="77777777" w:rsidR="00CA7E32" w:rsidRDefault="00CA7E32" w:rsidP="00EE2BBB">
      <w:r>
        <w:t>Prophylaxis with colchicine or NSAIDs is recommended when starting ULT in patients at a high risk of gout flare.</w:t>
      </w:r>
      <w:r>
        <w:rPr>
          <w:vertAlign w:val="superscript"/>
        </w:rPr>
        <w:t>1,2</w:t>
      </w:r>
      <w:r>
        <w:t xml:space="preserve"> </w:t>
      </w:r>
    </w:p>
    <w:p w14:paraId="610C284B" w14:textId="77777777" w:rsidR="00CA7E32" w:rsidRDefault="00CA7E32" w:rsidP="00F122BA">
      <w:r>
        <w:t>Despite the availability of treatments to manage gout, patient outcomes are often unsatisfactory due to poor adherence.</w:t>
      </w:r>
      <w:r>
        <w:rPr>
          <w:rStyle w:val="EndnoteReference"/>
        </w:rPr>
        <w:endnoteReference w:id="3"/>
      </w:r>
      <w:r>
        <w:t xml:space="preserve"> Reported adherence rates to ULT vary widely worldwide and have been found to be as low as 9.6%.</w:t>
      </w:r>
      <w:r w:rsidRPr="007A09CA">
        <w:rPr>
          <w:rStyle w:val="EndnoteReference"/>
        </w:rPr>
        <w:endnoteReference w:id="4"/>
      </w:r>
      <w:r w:rsidRPr="007A09CA">
        <w:rPr>
          <w:vertAlign w:val="superscript"/>
        </w:rPr>
        <w:t>,</w:t>
      </w:r>
      <w:r w:rsidRPr="007A09CA">
        <w:rPr>
          <w:rStyle w:val="EndnoteReference"/>
        </w:rPr>
        <w:endnoteReference w:id="5"/>
      </w:r>
      <w:r w:rsidRPr="007A09CA">
        <w:rPr>
          <w:vertAlign w:val="superscript"/>
        </w:rPr>
        <w:t>,</w:t>
      </w:r>
      <w:r w:rsidRPr="007A09CA">
        <w:rPr>
          <w:rStyle w:val="EndnoteReference"/>
        </w:rPr>
        <w:endnoteReference w:id="6"/>
      </w:r>
      <w:r w:rsidRPr="007A09CA">
        <w:rPr>
          <w:vertAlign w:val="superscript"/>
        </w:rPr>
        <w:t>,</w:t>
      </w:r>
      <w:r w:rsidRPr="007A09CA">
        <w:rPr>
          <w:rStyle w:val="EndnoteReference"/>
        </w:rPr>
        <w:endnoteReference w:id="7"/>
      </w:r>
    </w:p>
    <w:p w14:paraId="2A72A72E" w14:textId="77777777" w:rsidR="00CA7E32" w:rsidRPr="00246574" w:rsidRDefault="00CA7E32" w:rsidP="00CF5E22">
      <w:pPr>
        <w:pStyle w:val="Heading2"/>
      </w:pPr>
      <w:r w:rsidRPr="00246574">
        <w:t>Pharmacology</w:t>
      </w:r>
    </w:p>
    <w:p w14:paraId="0B8452B3" w14:textId="77777777" w:rsidR="00CA7E32" w:rsidRPr="007247B9" w:rsidRDefault="00CA7E32" w:rsidP="00AE4BAC">
      <w:r>
        <w:t>Febuxostat is a xanthine oxidase inhibitor that reduces the formation of uric acid in the blood and prevents acute flare-ups caused by the accumulation of uric acid.</w:t>
      </w:r>
      <w:r>
        <w:rPr>
          <w:rStyle w:val="EndnoteReference"/>
        </w:rPr>
        <w:endnoteReference w:id="8"/>
      </w:r>
      <w:r>
        <w:t xml:space="preserve"> </w:t>
      </w:r>
    </w:p>
    <w:p w14:paraId="6E655F56" w14:textId="77777777" w:rsidR="00CA7E32" w:rsidRPr="005E22C2" w:rsidRDefault="00CA7E32" w:rsidP="00CF5E22">
      <w:pPr>
        <w:pStyle w:val="Heading2"/>
      </w:pPr>
      <w:r w:rsidRPr="00A52918">
        <w:t xml:space="preserve">Therapeutic Goods Administration </w:t>
      </w:r>
      <w:r>
        <w:t>(</w:t>
      </w:r>
      <w:r w:rsidRPr="005E22C2">
        <w:t>TGA</w:t>
      </w:r>
      <w:r>
        <w:t>)</w:t>
      </w:r>
      <w:r w:rsidRPr="005E22C2">
        <w:t xml:space="preserve"> approved </w:t>
      </w:r>
      <w:r>
        <w:t>i</w:t>
      </w:r>
      <w:r w:rsidRPr="005E22C2">
        <w:t>ndications</w:t>
      </w:r>
    </w:p>
    <w:p w14:paraId="42075CEE" w14:textId="77777777" w:rsidR="00CA7E32" w:rsidRDefault="00CA7E32" w:rsidP="00246574">
      <w:r>
        <w:t>Febuxostat is indicated for the treatment of chronic symptomatic hyperuricaemia in conditions where urate deposition has already occurred (gouty arthritis and/or tophus formation) in adults with gout.</w:t>
      </w:r>
      <w:r>
        <w:rPr>
          <w:vertAlign w:val="superscript"/>
        </w:rPr>
        <w:t>3</w:t>
      </w:r>
      <w:r>
        <w:t xml:space="preserve"> </w:t>
      </w:r>
    </w:p>
    <w:p w14:paraId="2F84E583" w14:textId="77777777" w:rsidR="00CA7E32" w:rsidRDefault="00CA7E32">
      <w:pPr>
        <w:spacing w:line="276" w:lineRule="auto"/>
        <w:rPr>
          <w:b/>
          <w:sz w:val="28"/>
        </w:rPr>
      </w:pPr>
      <w:r>
        <w:br w:type="page"/>
      </w:r>
    </w:p>
    <w:p w14:paraId="18659E45" w14:textId="77777777" w:rsidR="00CA7E32" w:rsidRDefault="00CA7E32" w:rsidP="00CF5E22">
      <w:pPr>
        <w:pStyle w:val="Heading2"/>
      </w:pPr>
      <w:r>
        <w:lastRenderedPageBreak/>
        <w:t>Dosage and administration</w:t>
      </w:r>
    </w:p>
    <w:p w14:paraId="0D758214" w14:textId="77777777" w:rsidR="00CA7E32" w:rsidRPr="00B93BA0" w:rsidRDefault="00CA7E32" w:rsidP="00A35800">
      <w:r w:rsidRPr="00B93BA0">
        <w:t xml:space="preserve">The recommended </w:t>
      </w:r>
      <w:r>
        <w:t xml:space="preserve">starting </w:t>
      </w:r>
      <w:r w:rsidRPr="00B93BA0">
        <w:t>dose of</w:t>
      </w:r>
      <w:r>
        <w:t xml:space="preserve"> febuxo</w:t>
      </w:r>
      <w:r w:rsidRPr="00B93BA0">
        <w:t xml:space="preserve">stat </w:t>
      </w:r>
      <w:r>
        <w:t>is 40 mg once daily (</w:t>
      </w:r>
      <w:r w:rsidRPr="00D80095">
        <w:t>achieved by halving one 80</w:t>
      </w:r>
      <w:r>
        <w:t> </w:t>
      </w:r>
      <w:r w:rsidRPr="00D80095">
        <w:t>mg tablet</w:t>
      </w:r>
      <w:r>
        <w:t xml:space="preserve">). The maintenance dose </w:t>
      </w:r>
      <w:r w:rsidRPr="00B93BA0">
        <w:t>ranges from 40</w:t>
      </w:r>
      <w:r>
        <w:t> </w:t>
      </w:r>
      <w:r w:rsidRPr="00B93BA0">
        <w:t>mg to 80</w:t>
      </w:r>
      <w:r>
        <w:t> </w:t>
      </w:r>
      <w:r w:rsidRPr="00B93BA0">
        <w:t>mg once daily</w:t>
      </w:r>
      <w:r>
        <w:t xml:space="preserve"> in accordance with serum uric acid level results with a target of less than 357 μmol/L.</w:t>
      </w:r>
      <w:r>
        <w:rPr>
          <w:vertAlign w:val="superscript"/>
        </w:rPr>
        <w:t>2</w:t>
      </w:r>
    </w:p>
    <w:p w14:paraId="700BF7E7" w14:textId="77777777" w:rsidR="00CA7E32" w:rsidRPr="002F61CA" w:rsidRDefault="00CA7E32" w:rsidP="00F17D4B">
      <w:r w:rsidRPr="002F61CA">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1632536E" w14:textId="77777777" w:rsidR="00CA7E32" w:rsidRPr="007247B9" w:rsidDel="00EE2BBB" w:rsidRDefault="00CA7E32" w:rsidP="00CF5E22">
      <w:pPr>
        <w:pStyle w:val="Heading2"/>
      </w:pPr>
      <w:r w:rsidRPr="007247B9" w:rsidDel="00EE2BBB">
        <w:t>PBS listing details</w:t>
      </w:r>
      <w:r w:rsidDel="00EE2BBB">
        <w:t xml:space="preserve"> (as at</w:t>
      </w:r>
      <w:r>
        <w:t xml:space="preserve"> July 2018</w:t>
      </w:r>
      <w:r w:rsidDel="00EE2BBB">
        <w:t>)</w:t>
      </w:r>
    </w:p>
    <w:p w14:paraId="23B755D7" w14:textId="77777777" w:rsidR="00CA7E32" w:rsidRPr="001420B3" w:rsidDel="00EE2BBB" w:rsidRDefault="00CA7E32" w:rsidP="00CF5E22">
      <w:pPr>
        <w:pStyle w:val="Tabletitle"/>
      </w:pPr>
      <w:r w:rsidRPr="001420B3" w:rsidDel="00EE2BBB">
        <w:t xml:space="preserve">Table </w:t>
      </w:r>
      <w:r>
        <w:t>1: PBS listing of febuxostat</w:t>
      </w:r>
      <w:r w:rsidDel="00EE2BBB">
        <w:t xml:space="preserve"> </w:t>
      </w:r>
    </w:p>
    <w:tbl>
      <w:tblPr>
        <w:tblStyle w:val="TableGrid"/>
        <w:tblW w:w="9064" w:type="dxa"/>
        <w:tblLayout w:type="fixed"/>
        <w:tblLook w:val="04A0" w:firstRow="1" w:lastRow="0" w:firstColumn="1" w:lastColumn="0" w:noHBand="0" w:noVBand="1"/>
      </w:tblPr>
      <w:tblGrid>
        <w:gridCol w:w="969"/>
        <w:gridCol w:w="2541"/>
        <w:gridCol w:w="1560"/>
        <w:gridCol w:w="850"/>
        <w:gridCol w:w="1040"/>
        <w:gridCol w:w="2104"/>
      </w:tblGrid>
      <w:tr w:rsidR="00CA7E32" w:rsidRPr="00A35800" w:rsidDel="00EE2BBB" w14:paraId="2B296D49" w14:textId="77777777" w:rsidTr="006B1B12">
        <w:trPr>
          <w:trHeight w:val="694"/>
          <w:tblHeader/>
        </w:trPr>
        <w:tc>
          <w:tcPr>
            <w:tcW w:w="969" w:type="dxa"/>
            <w:shd w:val="clear" w:color="auto" w:fill="BFBFBF" w:themeFill="background1" w:themeFillShade="BF"/>
          </w:tcPr>
          <w:p w14:paraId="4B64D965" w14:textId="77777777" w:rsidR="00CA7E32" w:rsidRPr="00A35800" w:rsidDel="00EE2BBB" w:rsidRDefault="00CA7E32" w:rsidP="00A35800">
            <w:pPr>
              <w:pStyle w:val="Tableheading"/>
              <w:rPr>
                <w:sz w:val="20"/>
                <w:szCs w:val="20"/>
              </w:rPr>
            </w:pPr>
            <w:r w:rsidRPr="00A35800" w:rsidDel="00EE2BBB">
              <w:rPr>
                <w:sz w:val="20"/>
                <w:szCs w:val="20"/>
              </w:rPr>
              <w:t>Item</w:t>
            </w:r>
          </w:p>
        </w:tc>
        <w:tc>
          <w:tcPr>
            <w:tcW w:w="2541" w:type="dxa"/>
            <w:shd w:val="clear" w:color="auto" w:fill="BFBFBF" w:themeFill="background1" w:themeFillShade="BF"/>
          </w:tcPr>
          <w:p w14:paraId="76F4CBAF" w14:textId="77777777" w:rsidR="00CA7E32" w:rsidRPr="00A35800" w:rsidDel="00EE2BBB" w:rsidRDefault="00CA7E32" w:rsidP="00A35800">
            <w:pPr>
              <w:pStyle w:val="Tableheading"/>
              <w:rPr>
                <w:sz w:val="20"/>
                <w:szCs w:val="20"/>
              </w:rPr>
            </w:pPr>
            <w:r w:rsidRPr="00A35800" w:rsidDel="00EE2BBB">
              <w:rPr>
                <w:sz w:val="20"/>
                <w:szCs w:val="20"/>
              </w:rPr>
              <w:t>Name, form &amp; strength, pack size</w:t>
            </w:r>
          </w:p>
        </w:tc>
        <w:tc>
          <w:tcPr>
            <w:tcW w:w="1560" w:type="dxa"/>
            <w:shd w:val="clear" w:color="auto" w:fill="BFBFBF" w:themeFill="background1" w:themeFillShade="BF"/>
          </w:tcPr>
          <w:p w14:paraId="2836EA2B" w14:textId="77777777" w:rsidR="00CA7E32" w:rsidRPr="00A35800" w:rsidDel="00EE2BBB" w:rsidRDefault="00CA7E32" w:rsidP="00A35800">
            <w:pPr>
              <w:pStyle w:val="Tableheading"/>
              <w:rPr>
                <w:sz w:val="20"/>
                <w:szCs w:val="20"/>
              </w:rPr>
            </w:pPr>
            <w:r w:rsidRPr="00A35800" w:rsidDel="00EE2BBB">
              <w:rPr>
                <w:sz w:val="20"/>
                <w:szCs w:val="20"/>
              </w:rPr>
              <w:t xml:space="preserve">Max. quant. </w:t>
            </w:r>
          </w:p>
        </w:tc>
        <w:tc>
          <w:tcPr>
            <w:tcW w:w="850" w:type="dxa"/>
            <w:shd w:val="clear" w:color="auto" w:fill="BFBFBF" w:themeFill="background1" w:themeFillShade="BF"/>
          </w:tcPr>
          <w:p w14:paraId="5DC2352F" w14:textId="77777777" w:rsidR="00CA7E32" w:rsidRPr="00A35800" w:rsidDel="00EE2BBB" w:rsidRDefault="00CA7E32" w:rsidP="00A35800">
            <w:pPr>
              <w:pStyle w:val="Tableheading"/>
              <w:rPr>
                <w:sz w:val="20"/>
                <w:szCs w:val="20"/>
              </w:rPr>
            </w:pPr>
            <w:r w:rsidRPr="00A35800" w:rsidDel="00EE2BBB">
              <w:rPr>
                <w:sz w:val="20"/>
                <w:szCs w:val="20"/>
              </w:rPr>
              <w:t xml:space="preserve">Rpts </w:t>
            </w:r>
          </w:p>
        </w:tc>
        <w:tc>
          <w:tcPr>
            <w:tcW w:w="1040" w:type="dxa"/>
            <w:shd w:val="clear" w:color="auto" w:fill="BFBFBF" w:themeFill="background1" w:themeFillShade="BF"/>
          </w:tcPr>
          <w:p w14:paraId="7E7F2370" w14:textId="77777777" w:rsidR="00CA7E32" w:rsidRPr="00A35800" w:rsidDel="00EE2BBB" w:rsidRDefault="00CA7E32" w:rsidP="00A35800">
            <w:pPr>
              <w:pStyle w:val="Tableheading"/>
              <w:rPr>
                <w:sz w:val="20"/>
                <w:szCs w:val="20"/>
              </w:rPr>
            </w:pPr>
            <w:r w:rsidRPr="00A35800" w:rsidDel="00EE2BBB">
              <w:rPr>
                <w:sz w:val="20"/>
                <w:szCs w:val="20"/>
              </w:rPr>
              <w:t>DPMQ</w:t>
            </w:r>
          </w:p>
        </w:tc>
        <w:tc>
          <w:tcPr>
            <w:tcW w:w="2104" w:type="dxa"/>
            <w:shd w:val="clear" w:color="auto" w:fill="BFBFBF" w:themeFill="background1" w:themeFillShade="BF"/>
          </w:tcPr>
          <w:p w14:paraId="6E7F77F2" w14:textId="77777777" w:rsidR="00CA7E32" w:rsidRPr="00A35800" w:rsidDel="00EE2BBB" w:rsidRDefault="00CA7E32" w:rsidP="00A35800">
            <w:pPr>
              <w:pStyle w:val="Tableheading"/>
              <w:rPr>
                <w:sz w:val="20"/>
                <w:szCs w:val="20"/>
              </w:rPr>
            </w:pPr>
            <w:r w:rsidRPr="00A35800" w:rsidDel="00EE2BBB">
              <w:rPr>
                <w:sz w:val="20"/>
                <w:szCs w:val="20"/>
              </w:rPr>
              <w:t>Brand name and manufacturer</w:t>
            </w:r>
          </w:p>
        </w:tc>
      </w:tr>
      <w:tr w:rsidR="00CA7E32" w:rsidRPr="00A35800" w:rsidDel="00EE2BBB" w14:paraId="4213D953" w14:textId="77777777" w:rsidTr="006B1B12">
        <w:trPr>
          <w:trHeight w:val="552"/>
          <w:tblHeader/>
        </w:trPr>
        <w:tc>
          <w:tcPr>
            <w:tcW w:w="969" w:type="dxa"/>
            <w:shd w:val="clear" w:color="auto" w:fill="auto"/>
          </w:tcPr>
          <w:p w14:paraId="6F52526C" w14:textId="77777777" w:rsidR="00CA7E32" w:rsidRPr="00A35800" w:rsidDel="00EE2BBB" w:rsidRDefault="00CA7E32" w:rsidP="00A35800">
            <w:pPr>
              <w:pStyle w:val="Tablewriting"/>
            </w:pPr>
            <w:r>
              <w:t>10445R</w:t>
            </w:r>
          </w:p>
        </w:tc>
        <w:tc>
          <w:tcPr>
            <w:tcW w:w="2541" w:type="dxa"/>
            <w:shd w:val="clear" w:color="auto" w:fill="auto"/>
          </w:tcPr>
          <w:p w14:paraId="4430EF52" w14:textId="77777777" w:rsidR="00CA7E32" w:rsidRPr="00A35800" w:rsidDel="00EE2BBB" w:rsidRDefault="00CA7E32" w:rsidP="00E02344">
            <w:pPr>
              <w:pStyle w:val="Tablewriting"/>
            </w:pPr>
            <w:r>
              <w:t>Febuxostat 80mg tablet, 28</w:t>
            </w:r>
          </w:p>
        </w:tc>
        <w:tc>
          <w:tcPr>
            <w:tcW w:w="1560" w:type="dxa"/>
            <w:shd w:val="clear" w:color="auto" w:fill="auto"/>
          </w:tcPr>
          <w:p w14:paraId="245A00D2" w14:textId="77777777" w:rsidR="00CA7E32" w:rsidRPr="00A35800" w:rsidDel="00EE2BBB" w:rsidRDefault="00CA7E32" w:rsidP="00A35800">
            <w:pPr>
              <w:pStyle w:val="Tablewriting"/>
            </w:pPr>
            <w:r>
              <w:t>1</w:t>
            </w:r>
          </w:p>
        </w:tc>
        <w:tc>
          <w:tcPr>
            <w:tcW w:w="850" w:type="dxa"/>
            <w:shd w:val="clear" w:color="auto" w:fill="auto"/>
          </w:tcPr>
          <w:p w14:paraId="2BDE3E93" w14:textId="77777777" w:rsidR="00CA7E32" w:rsidRPr="00A35800" w:rsidDel="00EE2BBB" w:rsidRDefault="00CA7E32" w:rsidP="00A35800">
            <w:pPr>
              <w:pStyle w:val="Tablewriting"/>
            </w:pPr>
            <w:r>
              <w:t>5</w:t>
            </w:r>
          </w:p>
        </w:tc>
        <w:tc>
          <w:tcPr>
            <w:tcW w:w="1040" w:type="dxa"/>
            <w:shd w:val="clear" w:color="auto" w:fill="auto"/>
          </w:tcPr>
          <w:p w14:paraId="08134F6B" w14:textId="77777777" w:rsidR="00CA7E32" w:rsidRPr="00A35800" w:rsidDel="00EE2BBB" w:rsidRDefault="00CA7E32" w:rsidP="00A35800">
            <w:pPr>
              <w:pStyle w:val="Tablewriting"/>
            </w:pPr>
            <w:r>
              <w:t>$51.18</w:t>
            </w:r>
          </w:p>
        </w:tc>
        <w:tc>
          <w:tcPr>
            <w:tcW w:w="2104" w:type="dxa"/>
            <w:shd w:val="clear" w:color="auto" w:fill="auto"/>
          </w:tcPr>
          <w:p w14:paraId="67DA7052" w14:textId="77777777" w:rsidR="00CA7E32" w:rsidRPr="00A35800" w:rsidDel="00EE2BBB" w:rsidRDefault="00CA7E32" w:rsidP="00A35800">
            <w:pPr>
              <w:pStyle w:val="Tablewriting"/>
            </w:pPr>
            <w:r>
              <w:t>Adenuric</w:t>
            </w:r>
          </w:p>
        </w:tc>
      </w:tr>
    </w:tbl>
    <w:p w14:paraId="0E850F56" w14:textId="77777777" w:rsidR="00CA7E32" w:rsidRPr="00A35800" w:rsidDel="00EE2BBB" w:rsidRDefault="00CA7E32" w:rsidP="00BB1D3B">
      <w:pPr>
        <w:pStyle w:val="Notes"/>
      </w:pPr>
      <w:r w:rsidRPr="00A35800" w:rsidDel="00EE2BBB">
        <w:t xml:space="preserve">Source: </w:t>
      </w:r>
      <w:r w:rsidDel="00EE2BBB">
        <w:t xml:space="preserve">the </w:t>
      </w:r>
      <w:hyperlink r:id="rId10" w:history="1">
        <w:r w:rsidRPr="001624D7" w:rsidDel="00EE2BBB">
          <w:rPr>
            <w:rStyle w:val="Hyperlink"/>
          </w:rPr>
          <w:t>PBS website</w:t>
        </w:r>
      </w:hyperlink>
    </w:p>
    <w:p w14:paraId="21AA02FA" w14:textId="77777777" w:rsidR="00CA7E32" w:rsidRDefault="00CA7E32" w:rsidP="00CF5E22">
      <w:pPr>
        <w:pStyle w:val="Heading3"/>
      </w:pPr>
      <w:r w:rsidDel="00EE2BBB">
        <w:t>Restriction</w:t>
      </w:r>
    </w:p>
    <w:p w14:paraId="1240F528" w14:textId="77777777" w:rsidR="00CA7E32" w:rsidRDefault="00CA7E32" w:rsidP="00E02344">
      <w:r w:rsidRPr="006F6CE9">
        <w:rPr>
          <w:b/>
        </w:rPr>
        <w:t>Authority Required</w:t>
      </w:r>
      <w:r>
        <w:t xml:space="preserve"> </w:t>
      </w:r>
    </w:p>
    <w:p w14:paraId="6109CC2E" w14:textId="77777777" w:rsidR="00CA7E32" w:rsidRDefault="00CA7E32" w:rsidP="00E02344">
      <w:r>
        <w:t>Chronic gout</w:t>
      </w:r>
    </w:p>
    <w:p w14:paraId="4FEAF9F2" w14:textId="77777777" w:rsidR="00CA7E32" w:rsidRDefault="00CA7E32" w:rsidP="00E02344">
      <w:r>
        <w:t xml:space="preserve">Clinical criteria: </w:t>
      </w:r>
    </w:p>
    <w:p w14:paraId="04838EB6" w14:textId="77777777" w:rsidR="00CA7E32" w:rsidRDefault="00CA7E32" w:rsidP="00E02344">
      <w:pPr>
        <w:pStyle w:val="ListParagraph"/>
        <w:numPr>
          <w:ilvl w:val="0"/>
          <w:numId w:val="1"/>
        </w:numPr>
      </w:pPr>
      <w:r>
        <w:t>The condition must be either chronic gouty arthritis or chronic tophaceous gout, AND</w:t>
      </w:r>
    </w:p>
    <w:p w14:paraId="46068EC5" w14:textId="77777777" w:rsidR="00CA7E32" w:rsidRDefault="00CA7E32" w:rsidP="00E02344">
      <w:pPr>
        <w:pStyle w:val="ListParagraph"/>
        <w:numPr>
          <w:ilvl w:val="0"/>
          <w:numId w:val="1"/>
        </w:numPr>
      </w:pPr>
      <w:r>
        <w:t>Patient must have a medical contraindication to allopurinol; OR</w:t>
      </w:r>
    </w:p>
    <w:p w14:paraId="049FED51" w14:textId="77777777" w:rsidR="00CA7E32" w:rsidRDefault="00CA7E32" w:rsidP="00E02344">
      <w:pPr>
        <w:pStyle w:val="ListParagraph"/>
        <w:numPr>
          <w:ilvl w:val="0"/>
          <w:numId w:val="1"/>
        </w:numPr>
      </w:pPr>
      <w:r>
        <w:t>Patient must have a documented history of allopurinol hypersensitivity syndrome; OR</w:t>
      </w:r>
    </w:p>
    <w:p w14:paraId="065FF66D" w14:textId="77777777" w:rsidR="00CA7E32" w:rsidRDefault="00CA7E32" w:rsidP="00E02344">
      <w:pPr>
        <w:pStyle w:val="ListParagraph"/>
        <w:numPr>
          <w:ilvl w:val="0"/>
          <w:numId w:val="1"/>
        </w:numPr>
      </w:pPr>
      <w:r>
        <w:t>Patient must have an intolerance to allopurinol necessitating permanent treatment discontinuation</w:t>
      </w:r>
    </w:p>
    <w:p w14:paraId="2A7D5757" w14:textId="77777777" w:rsidR="00E869AC" w:rsidRDefault="00E869AC" w:rsidP="006B1B12">
      <w:r>
        <w:t>The listing includes a note that there is a shared care model f</w:t>
      </w:r>
      <w:r w:rsidRPr="00E869AC">
        <w:t>or prescribing by nurse practitioners where care of a patient is shared between a nurse practitioner and medical practitioner in a formalised arrangement with an agreed management plan.</w:t>
      </w:r>
    </w:p>
    <w:p w14:paraId="258C70BC" w14:textId="77777777" w:rsidR="00E869AC" w:rsidRDefault="00CA7E32" w:rsidP="006B1B12">
      <w:pPr>
        <w:rPr>
          <w:rStyle w:val="Hyperlink"/>
        </w:rPr>
      </w:pPr>
      <w:r w:rsidRPr="006775F1" w:rsidDel="00EE2BBB">
        <w:t xml:space="preserve">For </w:t>
      </w:r>
      <w:r w:rsidDel="00EE2BBB">
        <w:t xml:space="preserve">details of the current PBS listing refer to the </w:t>
      </w:r>
      <w:hyperlink r:id="rId11" w:history="1">
        <w:r w:rsidRPr="00645D51" w:rsidDel="00EE2BBB">
          <w:rPr>
            <w:rStyle w:val="Hyperlink"/>
          </w:rPr>
          <w:t>PBS website</w:t>
        </w:r>
      </w:hyperlink>
      <w:r w:rsidR="00E869AC">
        <w:t>.</w:t>
      </w:r>
    </w:p>
    <w:p w14:paraId="17CDA4C1" w14:textId="77777777" w:rsidR="00CA7E32" w:rsidRDefault="00CA7E32" w:rsidP="00CF5E22">
      <w:pPr>
        <w:pStyle w:val="Heading3"/>
      </w:pPr>
      <w:r>
        <w:t>Date of listing on PBS</w:t>
      </w:r>
    </w:p>
    <w:p w14:paraId="47364C64" w14:textId="77777777" w:rsidR="00CA7E32" w:rsidRPr="00AB199C" w:rsidDel="00EE2BBB" w:rsidRDefault="00CA7E32" w:rsidP="00E140F2">
      <w:r>
        <w:t>1 September 2015</w:t>
      </w:r>
    </w:p>
    <w:p w14:paraId="091D6EB9" w14:textId="77777777" w:rsidR="00CA7E32" w:rsidRPr="005E22C2" w:rsidRDefault="00CA7E32" w:rsidP="00CF5E22">
      <w:pPr>
        <w:pStyle w:val="Heading2"/>
      </w:pPr>
      <w:r>
        <w:t>Relevant aspects of</w:t>
      </w:r>
      <w:r w:rsidRPr="005E22C2">
        <w:t xml:space="preserve"> consideration</w:t>
      </w:r>
      <w:r>
        <w:t xml:space="preserve"> by the Pharmaceutical Benefits Advisory Committee (PBAC)</w:t>
      </w:r>
    </w:p>
    <w:p w14:paraId="492D733E" w14:textId="77777777" w:rsidR="00CA7E32" w:rsidRDefault="00CA7E32" w:rsidP="00D94863">
      <w:r>
        <w:t xml:space="preserve">Febuxostat was first considered at the March 2014 meeting, where it was not recommended for PBS listing due to insufficient evidence of superiority compared to allopurinol in the requested first line setting. The PBAC recognised that there was a clinical </w:t>
      </w:r>
      <w:r>
        <w:lastRenderedPageBreak/>
        <w:t>need for a second line alternative agent to treat chronic gout for patients who are intolerant to allopurinol.</w:t>
      </w:r>
      <w:r w:rsidRPr="007C013C">
        <w:t xml:space="preserve"> </w:t>
      </w:r>
      <w:r>
        <w:t xml:space="preserve">For further details, refer to </w:t>
      </w:r>
      <w:r w:rsidRPr="00F65F0D">
        <w:t xml:space="preserve">the </w:t>
      </w:r>
      <w:hyperlink r:id="rId12" w:history="1">
        <w:r w:rsidRPr="007C013C">
          <w:rPr>
            <w:rStyle w:val="Hyperlink"/>
          </w:rPr>
          <w:t>Public Summary Document</w:t>
        </w:r>
      </w:hyperlink>
      <w:r w:rsidRPr="00F65F0D">
        <w:t xml:space="preserve"> from the </w:t>
      </w:r>
      <w:r>
        <w:t>March 2014 PBAC meeting.</w:t>
      </w:r>
    </w:p>
    <w:p w14:paraId="6FAAE8AA" w14:textId="77777777" w:rsidR="00CA7E32" w:rsidRDefault="00CA7E32" w:rsidP="00D94863">
      <w:r>
        <w:t xml:space="preserve">The sponsor’s resubmission sought a second line listing for febuxostat. At the March 2015 meeting, </w:t>
      </w:r>
      <w:r w:rsidR="00E933CD">
        <w:t xml:space="preserve">the PBAC recommended the listing of febuxostat for patients with chronic gout who are contraindicated to, or intolerant of, allopurinol. The recommendation was made </w:t>
      </w:r>
      <w:r>
        <w:t xml:space="preserve">on the basis of </w:t>
      </w:r>
      <w:r w:rsidR="00E933CD">
        <w:t xml:space="preserve">a clinical need for an alternative to probenecid in this population, and on the basis that febuxostat is likely to represent a </w:t>
      </w:r>
      <w:r>
        <w:t>cost-effective</w:t>
      </w:r>
      <w:r w:rsidR="00E933CD">
        <w:t xml:space="preserve"> treatment</w:t>
      </w:r>
      <w:r>
        <w:t xml:space="preserve"> compared to probenecid</w:t>
      </w:r>
      <w:r w:rsidR="00E933CD">
        <w:t xml:space="preserve"> as a targeted, second-line treatment</w:t>
      </w:r>
      <w:r w:rsidRPr="00DC14B4">
        <w:t>.</w:t>
      </w:r>
      <w:r w:rsidR="00E933CD" w:rsidRPr="00DC14B4">
        <w:rPr>
          <w:rFonts w:ascii="Arial" w:hAnsi="Arial" w:cs="Arial"/>
        </w:rPr>
        <w:t xml:space="preserve"> </w:t>
      </w:r>
      <w:r w:rsidR="00E933CD" w:rsidRPr="00DC14B4">
        <w:t>To reduce the risk of unexpected Commonwealth expenditure on febuxostat if used beyond the recommended listing, the PBAC recommended that a risk share agreement be implemented whereby financial expenditure beyond an agreed level would be rebated to the Commonwealth.</w:t>
      </w:r>
      <w:r>
        <w:t xml:space="preserve"> The PBAC did not recommend the listing for the allopurinol insufficient patient population due to inadequate clinical evidence to establish efficacy and safety. To address concerns about the use of febuxostat in the first line setting, the PBAC recommended an Authority Required listing and not an Authority Required (Streamlined) listing as requested by the sponsor. </w:t>
      </w:r>
      <w:r w:rsidRPr="00CA5C6F">
        <w:rPr>
          <w:color w:val="000000" w:themeColor="text1"/>
        </w:rPr>
        <w:t>The PBAC recommended</w:t>
      </w:r>
      <w:r>
        <w:rPr>
          <w:color w:val="000000" w:themeColor="text1"/>
        </w:rPr>
        <w:t xml:space="preserve"> that DUSC </w:t>
      </w:r>
      <w:r w:rsidRPr="00CA5C6F">
        <w:rPr>
          <w:color w:val="000000" w:themeColor="text1"/>
        </w:rPr>
        <w:t xml:space="preserve">review febuxostat usage </w:t>
      </w:r>
      <w:r>
        <w:rPr>
          <w:color w:val="000000" w:themeColor="text1"/>
        </w:rPr>
        <w:t>two years</w:t>
      </w:r>
      <w:r w:rsidRPr="00CA5C6F">
        <w:rPr>
          <w:color w:val="000000" w:themeColor="text1"/>
        </w:rPr>
        <w:t xml:space="preserve"> after listing.</w:t>
      </w:r>
      <w:r w:rsidRPr="007C013C">
        <w:t xml:space="preserve"> </w:t>
      </w:r>
      <w:r>
        <w:t xml:space="preserve">For further details, refer to </w:t>
      </w:r>
      <w:r w:rsidRPr="00F65F0D">
        <w:t xml:space="preserve">the </w:t>
      </w:r>
      <w:hyperlink r:id="rId13" w:history="1">
        <w:r w:rsidRPr="007C013C">
          <w:rPr>
            <w:rStyle w:val="Hyperlink"/>
          </w:rPr>
          <w:t>Public Summary Document</w:t>
        </w:r>
      </w:hyperlink>
      <w:r w:rsidRPr="00F65F0D">
        <w:t xml:space="preserve"> from the </w:t>
      </w:r>
      <w:r>
        <w:t>March 2015 PBAC meeting</w:t>
      </w:r>
      <w:r w:rsidR="003D1479">
        <w:t>.</w:t>
      </w:r>
    </w:p>
    <w:p w14:paraId="0AACA51E" w14:textId="77777777" w:rsidR="00CA7E32" w:rsidRPr="00331AD0" w:rsidRDefault="00CA7E32" w:rsidP="00D94863">
      <w:r>
        <w:t xml:space="preserve">In July 2017, the sponsor submitted a request to amend the listing of febuxostat to Authority Required (Streamlined), claiming the number of prescriptions </w:t>
      </w:r>
      <w:r w:rsidR="005E594D">
        <w:t>was</w:t>
      </w:r>
      <w:r>
        <w:t xml:space="preserve"> lower than anticipated due to the Authority Required restriction being a prescribing barrier.</w:t>
      </w:r>
      <w:r w:rsidR="005E594D">
        <w:rPr>
          <w:color w:val="000000" w:themeColor="text1"/>
        </w:rPr>
        <w:t xml:space="preserve"> While the utilisation was</w:t>
      </w:r>
      <w:r w:rsidR="005E594D" w:rsidRPr="00CA5C6F">
        <w:rPr>
          <w:color w:val="000000" w:themeColor="text1"/>
        </w:rPr>
        <w:t xml:space="preserve"> lower than anticipated, the PBAC was of the view that the current utilisation data could also suggest that the restriction is effectively targeting treatment to the right patient group. </w:t>
      </w:r>
      <w:r>
        <w:t xml:space="preserve">In addition, </w:t>
      </w:r>
      <w:r>
        <w:rPr>
          <w:color w:val="000000" w:themeColor="text1"/>
        </w:rPr>
        <w:t>t</w:t>
      </w:r>
      <w:r w:rsidRPr="006A7C88">
        <w:rPr>
          <w:color w:val="000000" w:themeColor="text1"/>
        </w:rPr>
        <w:t>h</w:t>
      </w:r>
      <w:r>
        <w:rPr>
          <w:color w:val="000000" w:themeColor="text1"/>
        </w:rPr>
        <w:t>e</w:t>
      </w:r>
      <w:r w:rsidRPr="00DF3F36">
        <w:rPr>
          <w:color w:val="000000" w:themeColor="text1"/>
        </w:rPr>
        <w:t xml:space="preserve"> </w:t>
      </w:r>
      <w:r>
        <w:rPr>
          <w:color w:val="000000" w:themeColor="text1"/>
        </w:rPr>
        <w:t>use of febuxostat in allopurinol insufficient patients w</w:t>
      </w:r>
      <w:r w:rsidRPr="00DF3F36">
        <w:rPr>
          <w:color w:val="000000" w:themeColor="text1"/>
        </w:rPr>
        <w:t>as not addressed in the submission.</w:t>
      </w:r>
      <w:r>
        <w:rPr>
          <w:color w:val="000000" w:themeColor="text1"/>
        </w:rPr>
        <w:t xml:space="preserve"> T</w:t>
      </w:r>
      <w:r w:rsidRPr="00CA5C6F">
        <w:rPr>
          <w:color w:val="000000" w:themeColor="text1"/>
        </w:rPr>
        <w:t>he</w:t>
      </w:r>
      <w:r>
        <w:rPr>
          <w:color w:val="000000" w:themeColor="text1"/>
        </w:rPr>
        <w:t>refore,</w:t>
      </w:r>
      <w:r w:rsidRPr="00CA5C6F">
        <w:rPr>
          <w:color w:val="000000" w:themeColor="text1"/>
        </w:rPr>
        <w:t xml:space="preserve"> </w:t>
      </w:r>
      <w:r>
        <w:rPr>
          <w:color w:val="000000" w:themeColor="text1"/>
        </w:rPr>
        <w:t xml:space="preserve">the </w:t>
      </w:r>
      <w:r w:rsidRPr="00CA5C6F">
        <w:rPr>
          <w:color w:val="000000" w:themeColor="text1"/>
        </w:rPr>
        <w:t xml:space="preserve">PBAC considered the previous concerns remained and that the Authority Required restriction remained appropriate to </w:t>
      </w:r>
      <w:r>
        <w:rPr>
          <w:color w:val="000000" w:themeColor="text1"/>
        </w:rPr>
        <w:t>reduce</w:t>
      </w:r>
      <w:r w:rsidRPr="00CA5C6F">
        <w:rPr>
          <w:color w:val="000000" w:themeColor="text1"/>
        </w:rPr>
        <w:t xml:space="preserve"> the risk of prescribing outside of the current PBS restriction. </w:t>
      </w:r>
      <w:r>
        <w:rPr>
          <w:color w:val="000000" w:themeColor="text1"/>
        </w:rPr>
        <w:t xml:space="preserve">The PBAC </w:t>
      </w:r>
      <w:r w:rsidRPr="00CA5C6F">
        <w:rPr>
          <w:color w:val="000000" w:themeColor="text1"/>
        </w:rPr>
        <w:t>recommended that the utilisation and restriction level of febuxostat should be revisited after a DUSC review in twelve months’ time.</w:t>
      </w:r>
      <w:r>
        <w:rPr>
          <w:color w:val="000000" w:themeColor="text1"/>
        </w:rPr>
        <w:t xml:space="preserve"> </w:t>
      </w:r>
      <w:r>
        <w:t xml:space="preserve">For further details, refer to </w:t>
      </w:r>
      <w:r w:rsidRPr="00F65F0D">
        <w:t xml:space="preserve">the </w:t>
      </w:r>
      <w:hyperlink r:id="rId14" w:history="1">
        <w:r w:rsidRPr="00D126FE">
          <w:rPr>
            <w:rStyle w:val="Hyperlink"/>
          </w:rPr>
          <w:t>Public Summary Document</w:t>
        </w:r>
      </w:hyperlink>
      <w:r w:rsidRPr="00F65F0D">
        <w:t xml:space="preserve"> from the </w:t>
      </w:r>
      <w:r>
        <w:t>July 2017 PBAC meeting.</w:t>
      </w:r>
    </w:p>
    <w:p w14:paraId="2994D954" w14:textId="77777777" w:rsidR="00CA7E32" w:rsidRPr="005E22C2" w:rsidRDefault="00CA7E32" w:rsidP="00CF5E22">
      <w:pPr>
        <w:pStyle w:val="Heading1"/>
      </w:pPr>
      <w:r w:rsidRPr="005E22C2">
        <w:t>Methods</w:t>
      </w:r>
    </w:p>
    <w:p w14:paraId="4E622DFA" w14:textId="77777777" w:rsidR="00CA7E32" w:rsidRDefault="00CA7E32" w:rsidP="00F7527B">
      <w:r w:rsidRPr="002A0397">
        <w:t xml:space="preserve">PBS and RPBS prescription data for PBS-listed </w:t>
      </w:r>
      <w:r>
        <w:t>allopurinol,</w:t>
      </w:r>
      <w:r w:rsidR="005976C4">
        <w:t xml:space="preserve"> </w:t>
      </w:r>
      <w:r>
        <w:t>probenecid and febuxostat</w:t>
      </w:r>
      <w:r w:rsidRPr="002A0397">
        <w:t xml:space="preserve"> were extracted from the Department of Human Services (DHS) prescription database for the period April 2012 to </w:t>
      </w:r>
      <w:r w:rsidR="008C607B">
        <w:t>June 2018</w:t>
      </w:r>
      <w:r w:rsidRPr="002A0397">
        <w:t xml:space="preserve"> inclusive, based on the date that the prescription was supplied. Data for this period includes all R/PBS supplies regardless of whether a subsidy was paid; i.e. both over c</w:t>
      </w:r>
      <w:r>
        <w:t>o-payment and under co-payment.</w:t>
      </w:r>
    </w:p>
    <w:p w14:paraId="278AB995" w14:textId="77777777" w:rsidR="00CA7E32" w:rsidRPr="002A0397" w:rsidRDefault="00CA7E32" w:rsidP="00F7527B">
      <w:pPr>
        <w:rPr>
          <w:rFonts w:eastAsia="Calibri" w:cs="Times New Roman"/>
        </w:rPr>
      </w:pPr>
      <w:r w:rsidRPr="002A0397">
        <w:t>The R/PBS prescription data were used to determine the number of prescripti</w:t>
      </w:r>
      <w:r>
        <w:t>ons supplied and R/PBS expenditure</w:t>
      </w:r>
      <w:r w:rsidRPr="002A0397">
        <w:t xml:space="preserve">. These prescription data were also used to count the number of patients, both incident (new to pharmacological treatment) and prevalent (number treated) in each time period. </w:t>
      </w:r>
      <w:r w:rsidRPr="002A0397">
        <w:rPr>
          <w:rFonts w:eastAsia="Calibri" w:cs="Times New Roman"/>
        </w:rPr>
        <w:t xml:space="preserve">The number of prevalent patients was determined by counting the number of people supplied at least one </w:t>
      </w:r>
      <w:r>
        <w:rPr>
          <w:rFonts w:eastAsia="Calibri" w:cs="Times New Roman"/>
        </w:rPr>
        <w:t>R/</w:t>
      </w:r>
      <w:r w:rsidRPr="002A0397">
        <w:rPr>
          <w:rFonts w:eastAsia="Calibri" w:cs="Times New Roman"/>
        </w:rPr>
        <w:t xml:space="preserve">PBS prescription using </w:t>
      </w:r>
      <w:r w:rsidRPr="002A0397">
        <w:rPr>
          <w:rFonts w:eastAsia="Calibri" w:cs="Times New Roman"/>
        </w:rPr>
        <w:lastRenderedPageBreak/>
        <w:t>person</w:t>
      </w:r>
      <w:r w:rsidRPr="002A0397">
        <w:rPr>
          <w:rFonts w:eastAsia="Calibri" w:cs="Times New Roman"/>
        </w:rPr>
        <w:noBreakHyphen/>
        <w:t xml:space="preserve">specific numbers (non-identifying) in the data for the specified time periods. Patient initiation date was defined as the date of supply of the first PBS or RPBS prescription of </w:t>
      </w:r>
      <w:r>
        <w:rPr>
          <w:rFonts w:eastAsia="Calibri" w:cs="Times New Roman"/>
        </w:rPr>
        <w:t>febuxostat</w:t>
      </w:r>
      <w:r w:rsidRPr="002A0397">
        <w:rPr>
          <w:rFonts w:eastAsia="Calibri" w:cs="Times New Roman"/>
        </w:rPr>
        <w:t>.</w:t>
      </w:r>
      <w:r w:rsidR="008C607B">
        <w:rPr>
          <w:rFonts w:eastAsia="Calibri" w:cs="Times New Roman"/>
        </w:rPr>
        <w:t xml:space="preserve"> These prescription data were also used to determine the prescriber type for febuxostat prescriptions. </w:t>
      </w:r>
    </w:p>
    <w:p w14:paraId="0FFE5E8D" w14:textId="77777777" w:rsidR="00CA7E32" w:rsidRDefault="00CA7E32" w:rsidP="00F7527B">
      <w:pPr>
        <w:rPr>
          <w:rFonts w:eastAsia="Calibri" w:cs="Times New Roman"/>
        </w:rPr>
      </w:pPr>
      <w:r w:rsidRPr="002A0397">
        <w:rPr>
          <w:rFonts w:eastAsia="Calibri" w:cs="Times New Roman"/>
        </w:rPr>
        <w:t xml:space="preserve">An analysis of scripts per patient in the 12 </w:t>
      </w:r>
      <w:r>
        <w:rPr>
          <w:rFonts w:eastAsia="Calibri" w:cs="Times New Roman"/>
        </w:rPr>
        <w:t xml:space="preserve">months after initiation of febuxostat on the PBS </w:t>
      </w:r>
      <w:r w:rsidRPr="002A0397">
        <w:rPr>
          <w:rFonts w:eastAsia="Calibri" w:cs="Times New Roman"/>
        </w:rPr>
        <w:t>was also performed. This analysis was limited to patients that initiated from September 2015 to the end of August 2016, as this cohort of patients had at least 12 months of follow-up data after initiation.</w:t>
      </w:r>
    </w:p>
    <w:p w14:paraId="2C7DFD66" w14:textId="77777777" w:rsidR="00CA7E32" w:rsidRPr="009400EE" w:rsidRDefault="00CA7E32" w:rsidP="00F7527B">
      <w:pPr>
        <w:rPr>
          <w:rFonts w:eastAsia="Calibri" w:cs="Times New Roman"/>
        </w:rPr>
      </w:pPr>
      <w:r>
        <w:rPr>
          <w:rFonts w:eastAsia="Calibri" w:cs="Times New Roman"/>
        </w:rPr>
        <w:t xml:space="preserve">A drug sequence analysis was undertaken for all previous ULT supplied in all patients initiating on febuxostat. Unique patient counts were derived for each sequence of treatment. The lookback period was to April 2012. Data prior to this are incomplete for general beneficiary patients as prescriptions for allopurinol priced under the general patient copayment were not captured. </w:t>
      </w:r>
    </w:p>
    <w:p w14:paraId="786EF20A" w14:textId="77777777" w:rsidR="008C607B" w:rsidRDefault="008C607B" w:rsidP="008C607B">
      <w:pPr>
        <w:rPr>
          <w:rFonts w:eastAsia="Calibri" w:cs="Times New Roman"/>
        </w:rPr>
      </w:pPr>
      <w:r>
        <w:rPr>
          <w:rFonts w:eastAsia="Calibri" w:cs="Times New Roman"/>
        </w:rPr>
        <w:t>A</w:t>
      </w:r>
      <w:r w:rsidRPr="0099607D">
        <w:rPr>
          <w:rFonts w:eastAsia="Calibri" w:cs="Times New Roman"/>
        </w:rPr>
        <w:t xml:space="preserve"> Kaplan Meier (aka Product-Limit) method was used to determine the length of treatment for patients on febuxostat. One </w:t>
      </w:r>
      <w:r>
        <w:rPr>
          <w:rFonts w:eastAsia="Calibri" w:cs="Times New Roman"/>
        </w:rPr>
        <w:t xml:space="preserve">analysis </w:t>
      </w:r>
      <w:r w:rsidRPr="0099607D">
        <w:rPr>
          <w:rFonts w:eastAsia="Calibri" w:cs="Times New Roman"/>
        </w:rPr>
        <w:t>excluded any breaks in treatment and the other did not. A break in treatment was defined as a gap of more than three times the median time to resupply between supplies, which were an estimated break in treatment of at least two times the median time to resupply. A patient was deemed to be continuing treatment (classified as censored in the Product-Limit method) at</w:t>
      </w:r>
      <w:r>
        <w:rPr>
          <w:rFonts w:eastAsia="Calibri" w:cs="Times New Roman"/>
        </w:rPr>
        <w:t xml:space="preserve"> the end of the data period </w:t>
      </w:r>
      <w:r w:rsidRPr="0099607D">
        <w:rPr>
          <w:rFonts w:eastAsia="Calibri" w:cs="Times New Roman"/>
        </w:rPr>
        <w:t xml:space="preserve">if their last prescription </w:t>
      </w:r>
      <w:r>
        <w:rPr>
          <w:rFonts w:eastAsia="Calibri" w:cs="Times New Roman"/>
        </w:rPr>
        <w:t>was</w:t>
      </w:r>
      <w:r w:rsidRPr="0099607D">
        <w:rPr>
          <w:rFonts w:eastAsia="Calibri" w:cs="Times New Roman"/>
        </w:rPr>
        <w:t xml:space="preserve"> within three times the median time to resupply at this end date. Otherwise</w:t>
      </w:r>
      <w:r>
        <w:rPr>
          <w:rFonts w:eastAsia="Calibri" w:cs="Times New Roman"/>
        </w:rPr>
        <w:t>,</w:t>
      </w:r>
      <w:r w:rsidRPr="0099607D">
        <w:rPr>
          <w:rFonts w:eastAsia="Calibri" w:cs="Times New Roman"/>
        </w:rPr>
        <w:t xml:space="preserve"> the patient was deemed to have ceased treatment with the treatment coverage end date being the supply date of their last prescription plus a median time to resupply.</w:t>
      </w:r>
    </w:p>
    <w:p w14:paraId="53486E7B" w14:textId="77777777" w:rsidR="00CA7E32" w:rsidRPr="00F515F3" w:rsidRDefault="00CA7E32" w:rsidP="00F7527B">
      <w:pPr>
        <w:rPr>
          <w:rFonts w:eastAsia="Calibri" w:cs="Times New Roman"/>
        </w:rPr>
      </w:pPr>
      <w:r w:rsidRPr="002A0397">
        <w:t xml:space="preserve">As this analysis uses date of supply prescription data, there may be small differences compared with publicly available Department of Human Services (DHS) Medicare date of processing data. The publicly available DHS Medicare data only includes subsidised R/PBS prescriptions with prescriptions under the patient co-payment not included.  </w:t>
      </w:r>
    </w:p>
    <w:p w14:paraId="1CC34079" w14:textId="77777777" w:rsidR="00CA7E32" w:rsidRDefault="00CA7E32">
      <w:pPr>
        <w:spacing w:line="276" w:lineRule="auto"/>
        <w:rPr>
          <w:rFonts w:eastAsiaTheme="majorEastAsia" w:cstheme="majorBidi"/>
          <w:b/>
          <w:bCs/>
          <w:sz w:val="32"/>
          <w:szCs w:val="32"/>
        </w:rPr>
      </w:pPr>
      <w:r>
        <w:br w:type="page"/>
      </w:r>
    </w:p>
    <w:p w14:paraId="098D28FE" w14:textId="77777777" w:rsidR="00CA7E32" w:rsidRPr="005E22C2" w:rsidRDefault="00CA7E32" w:rsidP="00CF5E22">
      <w:pPr>
        <w:pStyle w:val="Heading1"/>
      </w:pPr>
      <w:r w:rsidRPr="005E22C2">
        <w:lastRenderedPageBreak/>
        <w:t>Results</w:t>
      </w:r>
    </w:p>
    <w:p w14:paraId="076A533F" w14:textId="77777777" w:rsidR="00CA7E32" w:rsidRPr="005E22C2" w:rsidRDefault="00CA7E32" w:rsidP="00CF5E22">
      <w:pPr>
        <w:pStyle w:val="Heading2"/>
      </w:pPr>
      <w:r w:rsidRPr="005E22C2">
        <w:t xml:space="preserve">Analysis of </w:t>
      </w:r>
      <w:r>
        <w:t>d</w:t>
      </w:r>
      <w:r w:rsidRPr="005E22C2">
        <w:t xml:space="preserve">rug </w:t>
      </w:r>
      <w:r>
        <w:t>u</w:t>
      </w:r>
      <w:r w:rsidRPr="005E22C2">
        <w:t>tilisation</w:t>
      </w:r>
    </w:p>
    <w:p w14:paraId="1508497E" w14:textId="77777777" w:rsidR="00CA7E32" w:rsidRPr="005E22C2" w:rsidRDefault="00CA7E32" w:rsidP="00CF5E22">
      <w:pPr>
        <w:pStyle w:val="Heading3"/>
      </w:pPr>
      <w:r w:rsidRPr="005E22C2">
        <w:t>Overall utilisation</w:t>
      </w:r>
    </w:p>
    <w:p w14:paraId="79F823B0" w14:textId="77777777" w:rsidR="00CA7E32" w:rsidRDefault="00CA7E32" w:rsidP="00A35800">
      <w:r>
        <w:t xml:space="preserve">The number of R/PBS prescriptions for febuxostat supplied per quarter since PBS listing is shown in Figure 1. </w:t>
      </w:r>
    </w:p>
    <w:p w14:paraId="3F7E0AA1" w14:textId="77777777" w:rsidR="00CA7E32" w:rsidRDefault="00CA7E32" w:rsidP="00A35800">
      <w:r>
        <w:rPr>
          <w:noProof/>
        </w:rPr>
        <w:drawing>
          <wp:inline distT="0" distB="0" distL="0" distR="0" wp14:anchorId="79593C83" wp14:editId="6F737788">
            <wp:extent cx="5687695" cy="3365827"/>
            <wp:effectExtent l="0" t="0" r="27305" b="254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6A8758" w14:textId="77777777" w:rsidR="00CA7E32" w:rsidRDefault="00CA7E32" w:rsidP="00AB5753">
      <w:pPr>
        <w:pStyle w:val="Figuretitle"/>
        <w:spacing w:after="0"/>
      </w:pPr>
      <w:r w:rsidRPr="00B5609A">
        <w:t xml:space="preserve">Figure 1: Number of R/PBS </w:t>
      </w:r>
      <w:r w:rsidR="00B1485B">
        <w:t>f</w:t>
      </w:r>
      <w:r w:rsidRPr="00B5609A">
        <w:t>ebuxostat prescriptions supplied per quarter</w:t>
      </w:r>
    </w:p>
    <w:p w14:paraId="4ED73866" w14:textId="77777777" w:rsidR="00CA7E32" w:rsidRDefault="00CA7E32" w:rsidP="00AB5753">
      <w:pPr>
        <w:pStyle w:val="Figurecaption"/>
        <w:spacing w:after="0"/>
      </w:pPr>
      <w:r>
        <w:t>Source: DHS Prescr</w:t>
      </w:r>
      <w:r w:rsidR="005976C4">
        <w:t>iptions database, extracted August</w:t>
      </w:r>
      <w:r>
        <w:t xml:space="preserve"> 2018</w:t>
      </w:r>
    </w:p>
    <w:p w14:paraId="319B7D71" w14:textId="77777777" w:rsidR="00CA7E32" w:rsidRDefault="00CA7E32" w:rsidP="00FE645A">
      <w:pPr>
        <w:pStyle w:val="Figurecaption"/>
      </w:pPr>
    </w:p>
    <w:p w14:paraId="35283078" w14:textId="77777777" w:rsidR="00CA7E32" w:rsidRPr="00B5609A" w:rsidRDefault="00CA7E32" w:rsidP="00B5609A">
      <w:r>
        <w:t>Figure 1 shows a continual increase in R/PBS febuxostat prescriptions supplied. The uptake of febuxostat has remained at a steady rate since listing in September 2015.</w:t>
      </w:r>
    </w:p>
    <w:p w14:paraId="61D82BF5" w14:textId="77777777" w:rsidR="00CA7E32" w:rsidRDefault="00CA7E32">
      <w:pPr>
        <w:spacing w:line="276" w:lineRule="auto"/>
        <w:rPr>
          <w:b/>
          <w:i/>
          <w:szCs w:val="28"/>
        </w:rPr>
      </w:pPr>
      <w:r>
        <w:br w:type="page"/>
      </w:r>
    </w:p>
    <w:p w14:paraId="3D1B30F8" w14:textId="77777777" w:rsidR="00CA7E32" w:rsidRPr="005E22C2" w:rsidRDefault="00CA7E32" w:rsidP="00CF5E22">
      <w:pPr>
        <w:pStyle w:val="Heading3"/>
      </w:pPr>
      <w:r>
        <w:lastRenderedPageBreak/>
        <w:t>Patients initiating and prevalent to febuxostat therapy</w:t>
      </w:r>
    </w:p>
    <w:p w14:paraId="57326133" w14:textId="77777777" w:rsidR="00CA7E32" w:rsidRDefault="00CA7E32" w:rsidP="00A35800">
      <w:r>
        <w:t>Figure 2 shows the number of patients supplied febuxostat per quarter since R/PBS listing broken down into initiating and prevalent patients.</w:t>
      </w:r>
    </w:p>
    <w:p w14:paraId="42C7C9D4" w14:textId="77777777" w:rsidR="00CA7E32" w:rsidRDefault="00CA7E32" w:rsidP="00A35800">
      <w:r>
        <w:rPr>
          <w:noProof/>
        </w:rPr>
        <w:drawing>
          <wp:inline distT="0" distB="0" distL="0" distR="0" wp14:anchorId="3BBD85AE" wp14:editId="70BE45FD">
            <wp:extent cx="5624623" cy="3349256"/>
            <wp:effectExtent l="0" t="0" r="14605" b="228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969DDD" w14:textId="77777777" w:rsidR="00CA7E32" w:rsidRDefault="00CA7E32" w:rsidP="004E509F">
      <w:pPr>
        <w:pStyle w:val="Figuretitle"/>
      </w:pPr>
      <w:r w:rsidRPr="00B5609A">
        <w:t>F</w:t>
      </w:r>
      <w:r>
        <w:t>igure 2</w:t>
      </w:r>
      <w:r w:rsidRPr="00B5609A">
        <w:t xml:space="preserve">: Number of </w:t>
      </w:r>
      <w:r>
        <w:t xml:space="preserve">initiating and prevalent patients to </w:t>
      </w:r>
      <w:r w:rsidRPr="00B5609A">
        <w:t xml:space="preserve">R/PBS </w:t>
      </w:r>
      <w:r w:rsidR="00B1485B">
        <w:t>f</w:t>
      </w:r>
      <w:r w:rsidRPr="00B5609A">
        <w:t>ebuxostat per quarter</w:t>
      </w:r>
    </w:p>
    <w:p w14:paraId="7E32E493" w14:textId="77777777" w:rsidR="00CA7E32" w:rsidRDefault="00CA7E32" w:rsidP="00AB5753">
      <w:pPr>
        <w:pStyle w:val="Figurecaption"/>
        <w:spacing w:after="200"/>
      </w:pPr>
      <w:r>
        <w:t>Source: DHS Prescriptions database, extracted July 2018</w:t>
      </w:r>
    </w:p>
    <w:p w14:paraId="0177CB93" w14:textId="77777777" w:rsidR="00CA7E32" w:rsidRDefault="00CA7E32" w:rsidP="00AB5753">
      <w:r>
        <w:t xml:space="preserve">The number of patients initiating febuxostat increased in </w:t>
      </w:r>
      <w:r w:rsidR="008C607B">
        <w:t xml:space="preserve">each quarter of </w:t>
      </w:r>
      <w:r>
        <w:t>the first year of listing and plateaued in the second year of listing. The number of prevalent patients has retained a steady rate of growth since listing, likely due to the expectation that patients with chronic gout are to be managed lifelong on ULT.</w:t>
      </w:r>
    </w:p>
    <w:p w14:paraId="6BC976BB" w14:textId="77777777" w:rsidR="00CA7E32" w:rsidRPr="005E22C2" w:rsidRDefault="00CA7E32" w:rsidP="00CF5E22">
      <w:pPr>
        <w:pStyle w:val="Heading3"/>
      </w:pPr>
      <w:r w:rsidRPr="005E22C2">
        <w:t>Changes in the use of other drugs</w:t>
      </w:r>
    </w:p>
    <w:p w14:paraId="2ADCC3D8" w14:textId="77777777" w:rsidR="00CA7E32" w:rsidRDefault="00CA7E32" w:rsidP="00A35800">
      <w:r>
        <w:t xml:space="preserve">The number of patients supplied allopurinol, febuxostat and probenecid is depicted in Figure 3. Figure 3a presents the same data for probenecid and febuxostat, zoomed in and presented as a stacked area, to show the extent to which patients supplied probenecid reduced with the listing of febuxostat. </w:t>
      </w:r>
      <w:r w:rsidRPr="002A0397">
        <w:t xml:space="preserve">As </w:t>
      </w:r>
      <w:r>
        <w:t xml:space="preserve">probenecid and allopurinol have general PBS-listing </w:t>
      </w:r>
      <w:r w:rsidRPr="0024467B">
        <w:t xml:space="preserve">statuses, the proportion of use for chronic gout cannot be differentiated from other indications such as allopurinol for tumour lysis syndrome and probenecid </w:t>
      </w:r>
      <w:r w:rsidR="00C7188E">
        <w:t>for the prolongation of penicillin serum levels</w:t>
      </w:r>
      <w:r w:rsidRPr="0024467B">
        <w:t>. However, it is exp</w:t>
      </w:r>
      <w:r w:rsidR="00BF4BF6">
        <w:t xml:space="preserve">ected that the majority of use </w:t>
      </w:r>
      <w:r w:rsidRPr="0024467B">
        <w:t>would be for chronic gout.</w:t>
      </w:r>
    </w:p>
    <w:p w14:paraId="725207AA" w14:textId="77777777" w:rsidR="00CA7E32" w:rsidRDefault="00CA7E32" w:rsidP="004E509F">
      <w:pPr>
        <w:pStyle w:val="Figuretitle"/>
      </w:pPr>
      <w:r>
        <w:rPr>
          <w:noProof/>
          <w:lang w:val="en-AU"/>
        </w:rPr>
        <w:lastRenderedPageBreak/>
        <w:drawing>
          <wp:inline distT="0" distB="0" distL="0" distR="0" wp14:anchorId="4E8FFCAF" wp14:editId="04DDB67F">
            <wp:extent cx="5572125" cy="39719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FFCE890" w14:textId="77777777" w:rsidR="00CA7E32" w:rsidRDefault="00CA7E32" w:rsidP="004E509F">
      <w:pPr>
        <w:pStyle w:val="Figuretitle"/>
      </w:pPr>
      <w:r w:rsidRPr="00B5609A">
        <w:t>F</w:t>
      </w:r>
      <w:r>
        <w:t>igure 3</w:t>
      </w:r>
      <w:r w:rsidRPr="00B5609A">
        <w:t>: Number of</w:t>
      </w:r>
      <w:r>
        <w:t xml:space="preserve"> prevalent patients by ULT medicine</w:t>
      </w:r>
    </w:p>
    <w:p w14:paraId="3472B40E" w14:textId="77777777" w:rsidR="00CA7E32" w:rsidRDefault="00CA7E32" w:rsidP="005B2C09">
      <w:pPr>
        <w:pStyle w:val="Figurecaption"/>
      </w:pPr>
      <w:r>
        <w:t>Source: DHS Prescriptions database, extracted July 2018</w:t>
      </w:r>
    </w:p>
    <w:p w14:paraId="2F724B76" w14:textId="77777777" w:rsidR="00CA7E32" w:rsidRDefault="00CA7E32" w:rsidP="00A35800"/>
    <w:p w14:paraId="4EC5C78E" w14:textId="77777777" w:rsidR="00CA7E32" w:rsidRDefault="00CA7E32" w:rsidP="004E509F">
      <w:pPr>
        <w:pStyle w:val="Figuretitle"/>
      </w:pPr>
      <w:r>
        <w:rPr>
          <w:noProof/>
          <w:lang w:val="en-AU"/>
        </w:rPr>
        <w:drawing>
          <wp:inline distT="0" distB="0" distL="0" distR="0" wp14:anchorId="48AECF59" wp14:editId="75555F6C">
            <wp:extent cx="5686425" cy="3028950"/>
            <wp:effectExtent l="0" t="0" r="9525"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857CB0" w14:textId="77777777" w:rsidR="00CA7E32" w:rsidRDefault="00CA7E32" w:rsidP="004E509F">
      <w:pPr>
        <w:pStyle w:val="Figuretitle"/>
      </w:pPr>
      <w:r w:rsidRPr="00B5609A">
        <w:t>F</w:t>
      </w:r>
      <w:r>
        <w:t>igure 3a</w:t>
      </w:r>
      <w:r w:rsidRPr="00B5609A">
        <w:t>: Number of</w:t>
      </w:r>
      <w:r>
        <w:t xml:space="preserve"> prevalent patients: probenecid and febuxostat</w:t>
      </w:r>
    </w:p>
    <w:p w14:paraId="600D2734" w14:textId="77777777" w:rsidR="00CA7E32" w:rsidRDefault="00CA7E32" w:rsidP="005B2C09">
      <w:pPr>
        <w:pStyle w:val="Figurecaption"/>
      </w:pPr>
      <w:r>
        <w:t>Source: DHS Prescriptions database, extracted July 2018</w:t>
      </w:r>
    </w:p>
    <w:p w14:paraId="73A5E9BA" w14:textId="77777777" w:rsidR="00CA7E32" w:rsidRDefault="00CA7E32" w:rsidP="00E92529"/>
    <w:p w14:paraId="3F047DBB" w14:textId="77777777" w:rsidR="00CA7E32" w:rsidRDefault="00AB637B" w:rsidP="00E92529">
      <w:r>
        <w:lastRenderedPageBreak/>
        <w:t xml:space="preserve">The </w:t>
      </w:r>
      <w:r w:rsidR="00ED438C">
        <w:t>number of patients supplied</w:t>
      </w:r>
      <w:r>
        <w:t xml:space="preserve"> allopurinol did not seem to be affected by the listing of febuxostat (Figure 3)</w:t>
      </w:r>
      <w:r w:rsidR="00A44D3A">
        <w:t>.</w:t>
      </w:r>
      <w:r>
        <w:t xml:space="preserve"> </w:t>
      </w:r>
      <w:r w:rsidR="00CA7E32">
        <w:t xml:space="preserve">Since </w:t>
      </w:r>
      <w:r>
        <w:t xml:space="preserve">the </w:t>
      </w:r>
      <w:r w:rsidR="00CA7E32">
        <w:t>listing</w:t>
      </w:r>
      <w:r>
        <w:t xml:space="preserve"> of febuxostat</w:t>
      </w:r>
      <w:r w:rsidR="00CA7E32">
        <w:t xml:space="preserve">, </w:t>
      </w:r>
      <w:r w:rsidR="00ED438C">
        <w:t xml:space="preserve">the number of patients supplied </w:t>
      </w:r>
      <w:r>
        <w:t>probenecid, which was previously stable, decreased;</w:t>
      </w:r>
      <w:r w:rsidR="00CA7E32">
        <w:t xml:space="preserve"> though not to the same </w:t>
      </w:r>
      <w:r>
        <w:t>extent as the uptake of f</w:t>
      </w:r>
      <w:r w:rsidR="00CA7E32">
        <w:t>ebuxostat</w:t>
      </w:r>
      <w:r w:rsidR="00E13ECE">
        <w:t xml:space="preserve"> (Figure 3a).</w:t>
      </w:r>
    </w:p>
    <w:p w14:paraId="2A583DD6" w14:textId="77777777" w:rsidR="00CA7E32" w:rsidRDefault="00A44D3A" w:rsidP="00093B27">
      <w:pPr>
        <w:pStyle w:val="Heading3"/>
      </w:pPr>
      <w:r>
        <w:t>Prior urate-lowering therapy</w:t>
      </w:r>
    </w:p>
    <w:p w14:paraId="1648F87C" w14:textId="77777777" w:rsidR="00CA7E32" w:rsidRDefault="00CA7E32" w:rsidP="00093B27">
      <w:r>
        <w:t>Figure 4 depicts patients initiating febuxostat per quarter by the proportion supplied previous ULT (since April 2012).</w:t>
      </w:r>
    </w:p>
    <w:p w14:paraId="08717A4D" w14:textId="77777777" w:rsidR="00CA7E32" w:rsidRDefault="00CA7E32" w:rsidP="00093B27">
      <w:r>
        <w:rPr>
          <w:noProof/>
        </w:rPr>
        <w:drawing>
          <wp:inline distT="0" distB="0" distL="0" distR="0" wp14:anchorId="673AA71F" wp14:editId="502A37E3">
            <wp:extent cx="5686425" cy="3905250"/>
            <wp:effectExtent l="0" t="0" r="9525"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46D99DE" w14:textId="77777777" w:rsidR="00CA7E32" w:rsidRDefault="00CA7E32" w:rsidP="00093B27">
      <w:pPr>
        <w:pStyle w:val="Figuretitle"/>
      </w:pPr>
      <w:r>
        <w:t>Figure 4: Proportion of patients supplied previous ULT prescriptions prior to initiation of febuxostat</w:t>
      </w:r>
    </w:p>
    <w:p w14:paraId="7BB48E78" w14:textId="77777777" w:rsidR="00CA7E32" w:rsidRDefault="00CA7E32" w:rsidP="00093B27">
      <w:pPr>
        <w:pStyle w:val="Figurecaption"/>
        <w:spacing w:after="200"/>
      </w:pPr>
      <w:r>
        <w:t xml:space="preserve">Source: </w:t>
      </w:r>
      <w:r w:rsidRPr="00F04554">
        <w:rPr>
          <w:rStyle w:val="FigurecaptionChar"/>
        </w:rPr>
        <w:t>DHS pre</w:t>
      </w:r>
      <w:r>
        <w:rPr>
          <w:rStyle w:val="FigurecaptionChar"/>
        </w:rPr>
        <w:t>scriptions database, extracted July</w:t>
      </w:r>
      <w:r w:rsidRPr="00F04554">
        <w:rPr>
          <w:rStyle w:val="FigurecaptionChar"/>
        </w:rPr>
        <w:t xml:space="preserve"> 2018</w:t>
      </w:r>
    </w:p>
    <w:p w14:paraId="58CA93F8" w14:textId="77777777" w:rsidR="00CA7E32" w:rsidRDefault="00CA7E32" w:rsidP="00093B27">
      <w:r>
        <w:t>The majority of patients initiating febuxostat had previous supplies of allopurinol</w:t>
      </w:r>
      <w:r w:rsidR="00597AD0">
        <w:t xml:space="preserve"> (67% on average)</w:t>
      </w:r>
      <w:r>
        <w:t>.</w:t>
      </w:r>
      <w:r w:rsidRPr="007E0232">
        <w:t xml:space="preserve"> </w:t>
      </w:r>
      <w:r w:rsidR="00101128">
        <w:t xml:space="preserve">As the PBS listing of febuxostat is limited to allopurinol intolerant </w:t>
      </w:r>
      <w:r w:rsidR="007A1ADE">
        <w:t xml:space="preserve">and contraindicated </w:t>
      </w:r>
      <w:r w:rsidR="00101128">
        <w:t xml:space="preserve">patients, the submission only anticipated a reduction in probenecid prescriptions from substitution. </w:t>
      </w:r>
      <w:r w:rsidRPr="007E0232">
        <w:t>The proportion of febuxostat initiators who had previous supplies of probenecid reduced over time</w:t>
      </w:r>
      <w:r w:rsidR="00597AD0">
        <w:t xml:space="preserve"> (26% in the first quarter of listing to 4% in quarter 2 2018</w:t>
      </w:r>
      <w:r w:rsidR="00BF326B">
        <w:t>; 9% average over the period</w:t>
      </w:r>
      <w:r w:rsidR="00597AD0">
        <w:t>)</w:t>
      </w:r>
      <w:r>
        <w:t>.</w:t>
      </w:r>
      <w:r w:rsidRPr="007E0232">
        <w:t xml:space="preserve"> </w:t>
      </w:r>
      <w:r w:rsidR="0024015B">
        <w:t xml:space="preserve">On average, </w:t>
      </w:r>
      <w:r w:rsidRPr="007E0232">
        <w:t>1 in 4 patients initiating febuxostat had not been supplied R/PBS subsidised allopurinol or probenecid in the analysis period (since April 2012)</w:t>
      </w:r>
      <w:r w:rsidR="009A7901">
        <w:t xml:space="preserve"> and </w:t>
      </w:r>
      <w:r w:rsidR="00BA7634">
        <w:t xml:space="preserve">this proportion </w:t>
      </w:r>
      <w:r w:rsidR="009A7901">
        <w:t>was stable over the period</w:t>
      </w:r>
      <w:r w:rsidRPr="007E0232">
        <w:t>.</w:t>
      </w:r>
      <w:r>
        <w:t xml:space="preserve"> </w:t>
      </w:r>
    </w:p>
    <w:p w14:paraId="6E9B6D07" w14:textId="77777777" w:rsidR="008B5D1D" w:rsidRDefault="008B5D1D" w:rsidP="0065560A">
      <w:pPr>
        <w:pStyle w:val="Heading3"/>
      </w:pPr>
    </w:p>
    <w:p w14:paraId="5BB2A0E0" w14:textId="77777777" w:rsidR="00CA7E32" w:rsidRDefault="00CA7E32" w:rsidP="0065560A">
      <w:pPr>
        <w:pStyle w:val="Heading3"/>
      </w:pPr>
      <w:r>
        <w:lastRenderedPageBreak/>
        <w:t>Prescriptions per Patient</w:t>
      </w:r>
    </w:p>
    <w:p w14:paraId="6ED28A9D" w14:textId="77777777" w:rsidR="00CA7E32" w:rsidRDefault="00CA7E32" w:rsidP="00A35800">
      <w:r>
        <w:t xml:space="preserve">The number of prescriptions per patient in the 12 months after initiation was calculated (Figure 5) for febuxostat patients that initiated from September 2015 to the end of August 2016 (n=2,421); to allow for 12 months of follow-up for each patient. </w:t>
      </w:r>
    </w:p>
    <w:p w14:paraId="1E1C8FB0" w14:textId="77777777" w:rsidR="00CA7E32" w:rsidRDefault="00CA7E32" w:rsidP="00A35800">
      <w:r>
        <w:rPr>
          <w:noProof/>
        </w:rPr>
        <w:drawing>
          <wp:inline distT="0" distB="0" distL="0" distR="0" wp14:anchorId="7EAEE151" wp14:editId="1606E92C">
            <wp:extent cx="5184250" cy="3093058"/>
            <wp:effectExtent l="0" t="0" r="1651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8C12715" w14:textId="77777777" w:rsidR="00CA7E32" w:rsidRDefault="00CA7E32" w:rsidP="000C33FD">
      <w:pPr>
        <w:pStyle w:val="Figuretitle"/>
      </w:pPr>
      <w:r>
        <w:t>Figure 5: Distribution of the number of febuxostat prescriptions per patient 12 months post-initiation</w:t>
      </w:r>
    </w:p>
    <w:p w14:paraId="350529CB" w14:textId="77777777" w:rsidR="00CA7E32" w:rsidRDefault="00CA7E32" w:rsidP="00F915F8">
      <w:pPr>
        <w:pStyle w:val="Figurecaption"/>
        <w:spacing w:after="200"/>
      </w:pPr>
      <w:r>
        <w:t xml:space="preserve">Source: </w:t>
      </w:r>
      <w:r w:rsidRPr="00F04554">
        <w:rPr>
          <w:rStyle w:val="FigurecaptionChar"/>
        </w:rPr>
        <w:t>DHS pre</w:t>
      </w:r>
      <w:r>
        <w:rPr>
          <w:rStyle w:val="FigurecaptionChar"/>
        </w:rPr>
        <w:t>scriptions database, extracted July</w:t>
      </w:r>
      <w:r w:rsidRPr="00F04554">
        <w:rPr>
          <w:rStyle w:val="FigurecaptionChar"/>
        </w:rPr>
        <w:t xml:space="preserve"> 2018</w:t>
      </w:r>
    </w:p>
    <w:p w14:paraId="2221306F" w14:textId="6A50CEF3" w:rsidR="00CA7E32" w:rsidRDefault="00CA7E32" w:rsidP="00F915F8">
      <w:r>
        <w:t>Out of the 2,421 patients, 17% received no further supplies of febuxostat in the 12 month period. A further 42.5% of patients had between two to seven supplies in the 12 month period. On average, patients received seven supplies per year in the first year of therapy; slightly fewer than predicted in the submission (</w:t>
      </w:r>
      <w:r w:rsidR="0015605A" w:rsidRPr="0015605A">
        <w:rPr>
          <w:rFonts w:cstheme="minorHAnsi"/>
          <w:highlight w:val="black"/>
        </w:rPr>
        <w:t>‘’’’’’’</w:t>
      </w:r>
      <w:r>
        <w:t>). It is not possible from PBS data alone to determine the extent to which the lower number of prescriptions per patient is due to lower average dose than expect</w:t>
      </w:r>
      <w:r w:rsidR="007D6A02">
        <w:t>ed</w:t>
      </w:r>
      <w:r>
        <w:t xml:space="preserve"> (70</w:t>
      </w:r>
      <w:r w:rsidR="00101128">
        <w:t> </w:t>
      </w:r>
      <w:r>
        <w:t>mg/day) or poorer compliance (75%).</w:t>
      </w:r>
    </w:p>
    <w:p w14:paraId="6E4BC413" w14:textId="77777777" w:rsidR="004C5DA3" w:rsidRDefault="004C5DA3" w:rsidP="000B1D6B">
      <w:r w:rsidRPr="004C5DA3">
        <w:rPr>
          <w:b/>
          <w:i/>
          <w:szCs w:val="28"/>
        </w:rPr>
        <w:t>Prescriber type</w:t>
      </w:r>
      <w:r>
        <w:t xml:space="preserve"> </w:t>
      </w:r>
    </w:p>
    <w:p w14:paraId="6BADFE1E" w14:textId="77777777" w:rsidR="00CA7E32" w:rsidRDefault="00ED27FD" w:rsidP="000B1D6B">
      <w:pPr>
        <w:rPr>
          <w:b/>
          <w:i/>
          <w:szCs w:val="28"/>
        </w:rPr>
      </w:pPr>
      <w:r>
        <w:t>The majority (78%) of supplied febuxostat prescriptions since PBS listing were prescribed by general practitioners. The febuxostat listing includes a shared care model f</w:t>
      </w:r>
      <w:r w:rsidRPr="00E869AC">
        <w:t>or pre</w:t>
      </w:r>
      <w:r>
        <w:t xml:space="preserve">scribing by nurse practitioners. However, since the time of febuxostat listing, there have been just 49 prescriptions supplied that were prescribed by a nurse practitioner. This 0.1% of the total number of prescriptions supplied (n=64,247). </w:t>
      </w:r>
      <w:r w:rsidR="00CA7E32">
        <w:br w:type="page"/>
      </w:r>
    </w:p>
    <w:p w14:paraId="0CFAB06D" w14:textId="77777777" w:rsidR="00CA7E32" w:rsidRDefault="00CA7E32" w:rsidP="00575CCC">
      <w:pPr>
        <w:pStyle w:val="Heading3"/>
      </w:pPr>
      <w:r>
        <w:lastRenderedPageBreak/>
        <w:t>Length of Time</w:t>
      </w:r>
    </w:p>
    <w:p w14:paraId="084EEBE4" w14:textId="77777777" w:rsidR="00CA7E32" w:rsidRDefault="00CA7E32" w:rsidP="00575CCC">
      <w:r>
        <w:t xml:space="preserve">Figure 6 depicts the Kaplan Meier estimates of length of treatment of febuxostat with and without breaks in treatment. </w:t>
      </w:r>
    </w:p>
    <w:p w14:paraId="56BC3656" w14:textId="77777777" w:rsidR="00CA7E32" w:rsidRDefault="00CA7E32" w:rsidP="00575CCC">
      <w:r>
        <w:rPr>
          <w:rFonts w:ascii="Arial" w:hAnsi="Arial" w:cs="Arial"/>
          <w:noProof/>
          <w:color w:val="000000"/>
          <w:sz w:val="20"/>
          <w:szCs w:val="20"/>
        </w:rPr>
        <w:drawing>
          <wp:inline distT="0" distB="0" distL="0" distR="0" wp14:anchorId="222C037E" wp14:editId="0D8ECFB2">
            <wp:extent cx="5687695" cy="4268439"/>
            <wp:effectExtent l="0" t="0" r="8255" b="0"/>
            <wp:docPr id="6" name="Picture 6" desc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87695" cy="4268439"/>
                    </a:xfrm>
                    <a:prstGeom prst="rect">
                      <a:avLst/>
                    </a:prstGeom>
                    <a:noFill/>
                    <a:ln>
                      <a:noFill/>
                    </a:ln>
                  </pic:spPr>
                </pic:pic>
              </a:graphicData>
            </a:graphic>
          </wp:inline>
        </w:drawing>
      </w:r>
    </w:p>
    <w:p w14:paraId="0D7D570A" w14:textId="77777777" w:rsidR="00CA7E32" w:rsidRDefault="00CA7E32" w:rsidP="00575CCC">
      <w:pPr>
        <w:pStyle w:val="Figuretitle"/>
      </w:pPr>
      <w:r>
        <w:t>Figure 6: Length of treatment (days) with febuxostat</w:t>
      </w:r>
    </w:p>
    <w:p w14:paraId="1C80CD49" w14:textId="77777777" w:rsidR="00CA7E32" w:rsidRDefault="00CA7E32" w:rsidP="00575CCC">
      <w:pPr>
        <w:pStyle w:val="Figurecaption"/>
        <w:spacing w:after="200"/>
      </w:pPr>
      <w:r>
        <w:t>Source: DHS Prescriptions database, extracted July 2018</w:t>
      </w:r>
    </w:p>
    <w:p w14:paraId="14503B45" w14:textId="77777777" w:rsidR="00CA7E32" w:rsidRDefault="00CA7E32" w:rsidP="00575CCC">
      <w:r>
        <w:t xml:space="preserve">Approximately 15% of patients had no further prescriptions for febuxostat after the initial supply. Around 60% of patients remained on therapy after one year of therapy and around 50% of patients remained on therapy after two years. </w:t>
      </w:r>
    </w:p>
    <w:p w14:paraId="64FE800F" w14:textId="77777777" w:rsidR="00CA7E32" w:rsidRDefault="00CA7E32" w:rsidP="00575CCC">
      <w:r>
        <w:t xml:space="preserve">The length of treatment is similar whether accounting for breaks or excluding breaks in therapy. </w:t>
      </w:r>
    </w:p>
    <w:p w14:paraId="1283AFEB" w14:textId="77777777" w:rsidR="00CA7E32" w:rsidRDefault="00CA7E32">
      <w:pPr>
        <w:spacing w:line="276" w:lineRule="auto"/>
        <w:rPr>
          <w:b/>
          <w:sz w:val="28"/>
        </w:rPr>
      </w:pPr>
      <w:r>
        <w:br w:type="page"/>
      </w:r>
    </w:p>
    <w:p w14:paraId="6100967F" w14:textId="77777777" w:rsidR="00CA7E32" w:rsidRPr="005E22C2" w:rsidRDefault="00CA7E32" w:rsidP="00F73113">
      <w:pPr>
        <w:pStyle w:val="Heading2"/>
      </w:pPr>
      <w:r>
        <w:lastRenderedPageBreak/>
        <w:t xml:space="preserve">Analysis </w:t>
      </w:r>
      <w:r w:rsidRPr="005E22C2">
        <w:t xml:space="preserve">of </w:t>
      </w:r>
      <w:r>
        <w:t>a</w:t>
      </w:r>
      <w:r w:rsidRPr="005E22C2">
        <w:t xml:space="preserve">ctual versus </w:t>
      </w:r>
      <w:r>
        <w:t>p</w:t>
      </w:r>
      <w:r w:rsidRPr="005E22C2">
        <w:t xml:space="preserve">redicted </w:t>
      </w:r>
      <w:r>
        <w:t>u</w:t>
      </w:r>
      <w:r w:rsidRPr="005E22C2">
        <w:t>tilisation</w:t>
      </w:r>
    </w:p>
    <w:p w14:paraId="6E9A74F4" w14:textId="3677B53E" w:rsidR="00CA7E32" w:rsidRDefault="00CA7E32" w:rsidP="009C19EE">
      <w:r w:rsidRPr="00B81B7C">
        <w:t>A</w:t>
      </w:r>
      <w:r>
        <w:t xml:space="preserve"> comparison of the estimated versus actual use of febuxostat for the first two years s</w:t>
      </w:r>
      <w:r w:rsidR="0015605A">
        <w:t>ince listing is shown in Table 2</w:t>
      </w:r>
      <w:r>
        <w:t xml:space="preserve">. </w:t>
      </w:r>
    </w:p>
    <w:p w14:paraId="3685A748" w14:textId="3CBF8AAF" w:rsidR="00CA7E32" w:rsidRDefault="0015605A" w:rsidP="00B81B7C">
      <w:pPr>
        <w:pStyle w:val="Tableheading"/>
        <w:jc w:val="left"/>
      </w:pPr>
      <w:r>
        <w:t>Table 2</w:t>
      </w:r>
      <w:r w:rsidR="00CA7E32">
        <w:t>: Analysis of actual versus predicted utilisation</w:t>
      </w:r>
    </w:p>
    <w:tbl>
      <w:tblPr>
        <w:tblStyle w:val="TableGrid"/>
        <w:tblW w:w="0" w:type="auto"/>
        <w:jc w:val="center"/>
        <w:tblLook w:val="04A0" w:firstRow="1" w:lastRow="0" w:firstColumn="1" w:lastColumn="0" w:noHBand="0" w:noVBand="1"/>
        <w:tblCaption w:val="Table 7. Lisdexamfetamine: actual versus predicted utilisation "/>
        <w:tblDescription w:val="Predicted values are redacted. Shows the actual number of treated patients, prescriptions, average prescriptions per patient and expenditure for years 1 and 2 of listing. "/>
      </w:tblPr>
      <w:tblGrid>
        <w:gridCol w:w="2245"/>
        <w:gridCol w:w="2232"/>
        <w:gridCol w:w="2235"/>
        <w:gridCol w:w="2235"/>
      </w:tblGrid>
      <w:tr w:rsidR="00CA7E32" w:rsidRPr="005B45D3" w14:paraId="0D2035AA" w14:textId="77777777" w:rsidTr="00B60322">
        <w:trPr>
          <w:trHeight w:val="137"/>
          <w:tblHeader/>
          <w:jc w:val="center"/>
        </w:trPr>
        <w:tc>
          <w:tcPr>
            <w:tcW w:w="4586" w:type="dxa"/>
            <w:gridSpan w:val="2"/>
            <w:shd w:val="clear" w:color="auto" w:fill="BFBFBF" w:themeFill="background1" w:themeFillShade="BF"/>
          </w:tcPr>
          <w:p w14:paraId="406F4BB3" w14:textId="77777777" w:rsidR="00CA7E32" w:rsidRPr="0088083D" w:rsidRDefault="00CA7E32" w:rsidP="00B60322">
            <w:pPr>
              <w:pStyle w:val="Figurecaption"/>
              <w:rPr>
                <w:color w:val="D9D9D9" w:themeColor="background1" w:themeShade="D9"/>
              </w:rPr>
            </w:pPr>
            <w:r>
              <w:rPr>
                <w:color w:val="BFBFBF" w:themeColor="background1" w:themeShade="BF"/>
              </w:rPr>
              <w:t>a</w:t>
            </w:r>
          </w:p>
        </w:tc>
        <w:tc>
          <w:tcPr>
            <w:tcW w:w="2293" w:type="dxa"/>
            <w:shd w:val="clear" w:color="auto" w:fill="BFBFBF" w:themeFill="background1" w:themeFillShade="BF"/>
          </w:tcPr>
          <w:p w14:paraId="08B7E401" w14:textId="77777777" w:rsidR="00CA7E32" w:rsidRPr="005B45D3" w:rsidRDefault="00CA7E32" w:rsidP="00B60322">
            <w:pPr>
              <w:pStyle w:val="Figurecaption"/>
              <w:jc w:val="center"/>
              <w:rPr>
                <w:b/>
              </w:rPr>
            </w:pPr>
            <w:r w:rsidRPr="005B45D3">
              <w:rPr>
                <w:b/>
              </w:rPr>
              <w:t>Year 1</w:t>
            </w:r>
          </w:p>
        </w:tc>
        <w:tc>
          <w:tcPr>
            <w:tcW w:w="2294" w:type="dxa"/>
            <w:shd w:val="clear" w:color="auto" w:fill="BFBFBF" w:themeFill="background1" w:themeFillShade="BF"/>
          </w:tcPr>
          <w:p w14:paraId="11B2A2E7" w14:textId="77777777" w:rsidR="00CA7E32" w:rsidRPr="005B45D3" w:rsidRDefault="00CA7E32" w:rsidP="00B60322">
            <w:pPr>
              <w:pStyle w:val="Figurecaption"/>
              <w:jc w:val="center"/>
              <w:rPr>
                <w:b/>
              </w:rPr>
            </w:pPr>
            <w:r w:rsidRPr="005B45D3">
              <w:rPr>
                <w:b/>
              </w:rPr>
              <w:t>Year 2</w:t>
            </w:r>
          </w:p>
        </w:tc>
      </w:tr>
      <w:tr w:rsidR="00CA7E32" w:rsidRPr="005B45D3" w14:paraId="06621BB2" w14:textId="77777777" w:rsidTr="00B60322">
        <w:trPr>
          <w:jc w:val="center"/>
        </w:trPr>
        <w:tc>
          <w:tcPr>
            <w:tcW w:w="2293" w:type="dxa"/>
            <w:vMerge w:val="restart"/>
          </w:tcPr>
          <w:p w14:paraId="27B761A6" w14:textId="77777777" w:rsidR="00CA7E32" w:rsidRPr="005B45D3" w:rsidRDefault="00CA7E32" w:rsidP="00B60322">
            <w:pPr>
              <w:pStyle w:val="Figurecaption"/>
              <w:rPr>
                <w:b/>
              </w:rPr>
            </w:pPr>
            <w:r w:rsidRPr="005B45D3">
              <w:rPr>
                <w:b/>
              </w:rPr>
              <w:t>Patients</w:t>
            </w:r>
          </w:p>
        </w:tc>
        <w:tc>
          <w:tcPr>
            <w:tcW w:w="2293" w:type="dxa"/>
          </w:tcPr>
          <w:p w14:paraId="4129DB32" w14:textId="77777777" w:rsidR="00CA7E32" w:rsidRPr="0015605A" w:rsidRDefault="00CA7E32" w:rsidP="00B60322">
            <w:pPr>
              <w:pStyle w:val="Figurecaption"/>
            </w:pPr>
            <w:r w:rsidRPr="0015605A">
              <w:t>Predicted</w:t>
            </w:r>
          </w:p>
        </w:tc>
        <w:tc>
          <w:tcPr>
            <w:tcW w:w="2293" w:type="dxa"/>
            <w:vAlign w:val="bottom"/>
          </w:tcPr>
          <w:p w14:paraId="7DCAE859" w14:textId="5B1EB696" w:rsidR="00CA7E32" w:rsidRPr="0015605A" w:rsidRDefault="0015605A" w:rsidP="00B60322">
            <w:pPr>
              <w:pStyle w:val="Figurecaption"/>
              <w:jc w:val="right"/>
            </w:pPr>
            <w:r w:rsidRPr="002010AF">
              <w:rPr>
                <w:highlight w:val="black"/>
              </w:rPr>
              <w:t>‘’’’’’’’’’’</w:t>
            </w:r>
          </w:p>
        </w:tc>
        <w:tc>
          <w:tcPr>
            <w:tcW w:w="2294" w:type="dxa"/>
            <w:vAlign w:val="bottom"/>
          </w:tcPr>
          <w:p w14:paraId="6C40A0B4" w14:textId="65F16655" w:rsidR="00CA7E32" w:rsidRPr="0015605A" w:rsidRDefault="0015605A" w:rsidP="00B60322">
            <w:pPr>
              <w:pStyle w:val="Figurecaption"/>
              <w:jc w:val="right"/>
            </w:pPr>
            <w:r w:rsidRPr="002010AF">
              <w:rPr>
                <w:highlight w:val="black"/>
              </w:rPr>
              <w:t>‘’’’’’’’’’’</w:t>
            </w:r>
          </w:p>
        </w:tc>
      </w:tr>
      <w:tr w:rsidR="00CA7E32" w:rsidRPr="005B45D3" w14:paraId="1CA64342" w14:textId="77777777" w:rsidTr="00B60322">
        <w:trPr>
          <w:jc w:val="center"/>
        </w:trPr>
        <w:tc>
          <w:tcPr>
            <w:tcW w:w="2293" w:type="dxa"/>
            <w:vMerge/>
          </w:tcPr>
          <w:p w14:paraId="7CCD2A57" w14:textId="77777777" w:rsidR="00CA7E32" w:rsidRPr="005B45D3" w:rsidRDefault="00CA7E32" w:rsidP="00B60322">
            <w:pPr>
              <w:pStyle w:val="Figurecaption"/>
              <w:rPr>
                <w:b/>
              </w:rPr>
            </w:pPr>
          </w:p>
        </w:tc>
        <w:tc>
          <w:tcPr>
            <w:tcW w:w="2293" w:type="dxa"/>
          </w:tcPr>
          <w:p w14:paraId="65DE5206" w14:textId="77777777" w:rsidR="00CA7E32" w:rsidRPr="0015605A" w:rsidRDefault="00CA7E32" w:rsidP="00B60322">
            <w:pPr>
              <w:pStyle w:val="Figurecaption"/>
            </w:pPr>
            <w:r w:rsidRPr="0015605A">
              <w:t>Actual</w:t>
            </w:r>
          </w:p>
        </w:tc>
        <w:tc>
          <w:tcPr>
            <w:tcW w:w="2293" w:type="dxa"/>
            <w:vAlign w:val="bottom"/>
          </w:tcPr>
          <w:p w14:paraId="1CFDAB4A" w14:textId="77777777" w:rsidR="00CA7E32" w:rsidRPr="0015605A" w:rsidRDefault="00CA7E32" w:rsidP="00B60322">
            <w:pPr>
              <w:pStyle w:val="Figurecaption"/>
              <w:jc w:val="right"/>
            </w:pPr>
            <w:r w:rsidRPr="0015605A">
              <w:t xml:space="preserve">2,421 </w:t>
            </w:r>
          </w:p>
        </w:tc>
        <w:tc>
          <w:tcPr>
            <w:tcW w:w="2294" w:type="dxa"/>
            <w:vAlign w:val="bottom"/>
          </w:tcPr>
          <w:p w14:paraId="4AA0FA11" w14:textId="77777777" w:rsidR="00CA7E32" w:rsidRPr="0015605A" w:rsidRDefault="00CA7E32" w:rsidP="00B60322">
            <w:pPr>
              <w:pStyle w:val="Figurecaption"/>
              <w:jc w:val="right"/>
            </w:pPr>
            <w:r w:rsidRPr="0015605A">
              <w:t>4,881</w:t>
            </w:r>
          </w:p>
        </w:tc>
      </w:tr>
      <w:tr w:rsidR="00CA7E32" w:rsidRPr="005B45D3" w14:paraId="7703F4AC" w14:textId="77777777" w:rsidTr="00B60322">
        <w:trPr>
          <w:jc w:val="center"/>
        </w:trPr>
        <w:tc>
          <w:tcPr>
            <w:tcW w:w="2293" w:type="dxa"/>
            <w:vMerge/>
          </w:tcPr>
          <w:p w14:paraId="316EEFBA" w14:textId="77777777" w:rsidR="00CA7E32" w:rsidRPr="005B45D3" w:rsidRDefault="00CA7E32" w:rsidP="00B60322">
            <w:pPr>
              <w:pStyle w:val="Figurecaption"/>
              <w:rPr>
                <w:b/>
              </w:rPr>
            </w:pPr>
          </w:p>
        </w:tc>
        <w:tc>
          <w:tcPr>
            <w:tcW w:w="2293" w:type="dxa"/>
          </w:tcPr>
          <w:p w14:paraId="07EF879E" w14:textId="77777777" w:rsidR="00CA7E32" w:rsidRPr="0015605A" w:rsidRDefault="00CA7E32" w:rsidP="00B60322">
            <w:pPr>
              <w:pStyle w:val="Figurecaption"/>
            </w:pPr>
            <w:r w:rsidRPr="0015605A">
              <w:t>% Difference</w:t>
            </w:r>
          </w:p>
        </w:tc>
        <w:tc>
          <w:tcPr>
            <w:tcW w:w="2293" w:type="dxa"/>
            <w:vAlign w:val="bottom"/>
          </w:tcPr>
          <w:p w14:paraId="0B327219" w14:textId="782768DE" w:rsidR="00CA7E32" w:rsidRPr="0015605A" w:rsidRDefault="0015605A" w:rsidP="00B60322">
            <w:pPr>
              <w:pStyle w:val="Figurecaption"/>
              <w:jc w:val="right"/>
            </w:pPr>
            <w:r w:rsidRPr="002010AF">
              <w:rPr>
                <w:highlight w:val="black"/>
              </w:rPr>
              <w:t>‘’’’’’’’</w:t>
            </w:r>
          </w:p>
        </w:tc>
        <w:tc>
          <w:tcPr>
            <w:tcW w:w="2294" w:type="dxa"/>
            <w:vAlign w:val="bottom"/>
          </w:tcPr>
          <w:p w14:paraId="294FD751" w14:textId="471C255F" w:rsidR="00CA7E32" w:rsidRPr="0015605A" w:rsidRDefault="0015605A" w:rsidP="00B60322">
            <w:pPr>
              <w:pStyle w:val="Figurecaption"/>
              <w:jc w:val="right"/>
            </w:pPr>
            <w:r w:rsidRPr="002010AF">
              <w:rPr>
                <w:highlight w:val="black"/>
              </w:rPr>
              <w:t>‘’’’’’’’</w:t>
            </w:r>
          </w:p>
        </w:tc>
      </w:tr>
      <w:tr w:rsidR="00CA7E32" w:rsidRPr="005B45D3" w14:paraId="6C04F1A4" w14:textId="77777777" w:rsidTr="0015605A">
        <w:trPr>
          <w:jc w:val="center"/>
        </w:trPr>
        <w:tc>
          <w:tcPr>
            <w:tcW w:w="2293" w:type="dxa"/>
            <w:vMerge w:val="restart"/>
          </w:tcPr>
          <w:p w14:paraId="6DCE57CD" w14:textId="77777777" w:rsidR="00CA7E32" w:rsidRPr="005B45D3" w:rsidRDefault="00CA7E32" w:rsidP="00B60322">
            <w:pPr>
              <w:pStyle w:val="Figurecaption"/>
              <w:rPr>
                <w:b/>
              </w:rPr>
            </w:pPr>
            <w:r w:rsidRPr="005B45D3">
              <w:rPr>
                <w:b/>
              </w:rPr>
              <w:t>Prescriptions</w:t>
            </w:r>
          </w:p>
        </w:tc>
        <w:tc>
          <w:tcPr>
            <w:tcW w:w="2293" w:type="dxa"/>
          </w:tcPr>
          <w:p w14:paraId="200B5447" w14:textId="77777777" w:rsidR="00CA7E32" w:rsidRPr="0015605A" w:rsidRDefault="00CA7E32" w:rsidP="00B60322">
            <w:pPr>
              <w:pStyle w:val="Figurecaption"/>
            </w:pPr>
            <w:r w:rsidRPr="0015605A">
              <w:t>Predicted</w:t>
            </w:r>
          </w:p>
        </w:tc>
        <w:tc>
          <w:tcPr>
            <w:tcW w:w="2293" w:type="dxa"/>
            <w:vAlign w:val="center"/>
          </w:tcPr>
          <w:p w14:paraId="6DACE48F" w14:textId="7F805728" w:rsidR="00CA7E32" w:rsidRPr="0015605A" w:rsidRDefault="0015605A" w:rsidP="0015605A">
            <w:pPr>
              <w:pStyle w:val="Figurecaption"/>
              <w:jc w:val="right"/>
            </w:pPr>
            <w:r w:rsidRPr="002010AF">
              <w:rPr>
                <w:highlight w:val="black"/>
              </w:rPr>
              <w:t>‘’’’’’’’’’’’’</w:t>
            </w:r>
          </w:p>
        </w:tc>
        <w:tc>
          <w:tcPr>
            <w:tcW w:w="2294" w:type="dxa"/>
            <w:vAlign w:val="center"/>
          </w:tcPr>
          <w:p w14:paraId="1CC927B4" w14:textId="08B905B6" w:rsidR="00CA7E32" w:rsidRPr="0015605A" w:rsidRDefault="0015605A" w:rsidP="0015605A">
            <w:pPr>
              <w:pStyle w:val="Figurecaption"/>
              <w:jc w:val="right"/>
            </w:pPr>
            <w:r w:rsidRPr="002010AF">
              <w:rPr>
                <w:highlight w:val="black"/>
              </w:rPr>
              <w:t>‘’’’’’’’’’’’’</w:t>
            </w:r>
          </w:p>
        </w:tc>
      </w:tr>
      <w:tr w:rsidR="00CA7E32" w:rsidRPr="005B45D3" w14:paraId="53455DD3" w14:textId="77777777" w:rsidTr="00B60322">
        <w:trPr>
          <w:jc w:val="center"/>
        </w:trPr>
        <w:tc>
          <w:tcPr>
            <w:tcW w:w="2293" w:type="dxa"/>
            <w:vMerge/>
          </w:tcPr>
          <w:p w14:paraId="14B704D6" w14:textId="77777777" w:rsidR="00CA7E32" w:rsidRPr="005B45D3" w:rsidRDefault="00CA7E32" w:rsidP="00B60322">
            <w:pPr>
              <w:pStyle w:val="Figurecaption"/>
              <w:rPr>
                <w:b/>
              </w:rPr>
            </w:pPr>
          </w:p>
        </w:tc>
        <w:tc>
          <w:tcPr>
            <w:tcW w:w="2293" w:type="dxa"/>
          </w:tcPr>
          <w:p w14:paraId="4C413AB7" w14:textId="77777777" w:rsidR="00CA7E32" w:rsidRPr="0015605A" w:rsidRDefault="00CA7E32" w:rsidP="00B60322">
            <w:pPr>
              <w:pStyle w:val="Figurecaption"/>
            </w:pPr>
            <w:r w:rsidRPr="0015605A">
              <w:t>Actual</w:t>
            </w:r>
          </w:p>
        </w:tc>
        <w:tc>
          <w:tcPr>
            <w:tcW w:w="2293" w:type="dxa"/>
            <w:vAlign w:val="center"/>
          </w:tcPr>
          <w:p w14:paraId="7D76686D" w14:textId="77777777" w:rsidR="00CA7E32" w:rsidRPr="0015605A" w:rsidRDefault="00CA7E32" w:rsidP="00B60322">
            <w:pPr>
              <w:pStyle w:val="Figurecaption"/>
              <w:jc w:val="right"/>
            </w:pPr>
            <w:r w:rsidRPr="0015605A">
              <w:t>9,352</w:t>
            </w:r>
          </w:p>
        </w:tc>
        <w:tc>
          <w:tcPr>
            <w:tcW w:w="2294" w:type="dxa"/>
            <w:vAlign w:val="center"/>
          </w:tcPr>
          <w:p w14:paraId="429117A8" w14:textId="77777777" w:rsidR="00CA7E32" w:rsidRPr="0015605A" w:rsidRDefault="00CA7E32" w:rsidP="00B60322">
            <w:pPr>
              <w:pStyle w:val="Figurecaption"/>
              <w:jc w:val="right"/>
            </w:pPr>
            <w:r w:rsidRPr="0015605A">
              <w:t>24,755</w:t>
            </w:r>
          </w:p>
        </w:tc>
      </w:tr>
      <w:tr w:rsidR="00CA7E32" w:rsidRPr="005B45D3" w14:paraId="47773782" w14:textId="77777777" w:rsidTr="002010AF">
        <w:trPr>
          <w:jc w:val="center"/>
        </w:trPr>
        <w:tc>
          <w:tcPr>
            <w:tcW w:w="2293" w:type="dxa"/>
            <w:vMerge/>
          </w:tcPr>
          <w:p w14:paraId="272D40AB" w14:textId="77777777" w:rsidR="00CA7E32" w:rsidRPr="005B45D3" w:rsidRDefault="00CA7E32" w:rsidP="00B60322">
            <w:pPr>
              <w:pStyle w:val="Figurecaption"/>
              <w:rPr>
                <w:b/>
              </w:rPr>
            </w:pPr>
          </w:p>
        </w:tc>
        <w:tc>
          <w:tcPr>
            <w:tcW w:w="2293" w:type="dxa"/>
          </w:tcPr>
          <w:p w14:paraId="0E16B1DF" w14:textId="77777777" w:rsidR="00CA7E32" w:rsidRPr="0015605A" w:rsidRDefault="00CA7E32" w:rsidP="00B60322">
            <w:pPr>
              <w:pStyle w:val="Figurecaption"/>
            </w:pPr>
            <w:r w:rsidRPr="0015605A">
              <w:t>% Difference</w:t>
            </w:r>
          </w:p>
        </w:tc>
        <w:tc>
          <w:tcPr>
            <w:tcW w:w="2293" w:type="dxa"/>
            <w:vAlign w:val="center"/>
          </w:tcPr>
          <w:p w14:paraId="17B27202" w14:textId="62F2F11F" w:rsidR="00CA7E32" w:rsidRPr="0015605A" w:rsidRDefault="002010AF" w:rsidP="002010AF">
            <w:pPr>
              <w:pStyle w:val="Figurecaption"/>
              <w:jc w:val="right"/>
            </w:pPr>
            <w:r w:rsidRPr="002010AF">
              <w:rPr>
                <w:highlight w:val="black"/>
              </w:rPr>
              <w:t>‘’’’’’’’</w:t>
            </w:r>
          </w:p>
        </w:tc>
        <w:tc>
          <w:tcPr>
            <w:tcW w:w="2294" w:type="dxa"/>
            <w:vAlign w:val="center"/>
          </w:tcPr>
          <w:p w14:paraId="33CC80D5" w14:textId="0FACCAF2" w:rsidR="00CA7E32" w:rsidRPr="0015605A" w:rsidRDefault="002010AF" w:rsidP="002010AF">
            <w:pPr>
              <w:pStyle w:val="Figurecaption"/>
              <w:jc w:val="right"/>
            </w:pPr>
            <w:r w:rsidRPr="002010AF">
              <w:rPr>
                <w:highlight w:val="black"/>
              </w:rPr>
              <w:t>‘’’’’’’’</w:t>
            </w:r>
          </w:p>
        </w:tc>
      </w:tr>
      <w:tr w:rsidR="005C4C8C" w:rsidRPr="00DC14B4" w14:paraId="209255F9" w14:textId="77777777" w:rsidTr="002010AF">
        <w:trPr>
          <w:jc w:val="center"/>
        </w:trPr>
        <w:tc>
          <w:tcPr>
            <w:tcW w:w="2293" w:type="dxa"/>
            <w:vMerge w:val="restart"/>
          </w:tcPr>
          <w:p w14:paraId="43993EAF" w14:textId="77777777" w:rsidR="005C4C8C" w:rsidRPr="00DC14B4" w:rsidRDefault="005C4C8C" w:rsidP="007A1ADE">
            <w:pPr>
              <w:pStyle w:val="Figurecaption"/>
              <w:rPr>
                <w:b/>
              </w:rPr>
            </w:pPr>
            <w:r w:rsidRPr="00DC14B4">
              <w:rPr>
                <w:b/>
              </w:rPr>
              <w:t>Substituted probenecid prescriptions</w:t>
            </w:r>
          </w:p>
        </w:tc>
        <w:tc>
          <w:tcPr>
            <w:tcW w:w="2293" w:type="dxa"/>
          </w:tcPr>
          <w:p w14:paraId="69068BD9" w14:textId="77777777" w:rsidR="005C4C8C" w:rsidRPr="0015605A" w:rsidRDefault="005C4C8C" w:rsidP="00BC13C8">
            <w:pPr>
              <w:pStyle w:val="Figurecaption"/>
            </w:pPr>
            <w:r w:rsidRPr="0015605A">
              <w:t>Predicted</w:t>
            </w:r>
          </w:p>
        </w:tc>
        <w:tc>
          <w:tcPr>
            <w:tcW w:w="2293" w:type="dxa"/>
            <w:vAlign w:val="center"/>
          </w:tcPr>
          <w:p w14:paraId="3B300097" w14:textId="0831AC99" w:rsidR="005C4C8C" w:rsidRPr="0015605A" w:rsidRDefault="002010AF" w:rsidP="002010AF">
            <w:pPr>
              <w:pStyle w:val="Figurecaption"/>
              <w:jc w:val="right"/>
            </w:pPr>
            <w:r w:rsidRPr="002010AF">
              <w:rPr>
                <w:highlight w:val="black"/>
              </w:rPr>
              <w:t>‘’’’’’</w:t>
            </w:r>
          </w:p>
        </w:tc>
        <w:tc>
          <w:tcPr>
            <w:tcW w:w="2294" w:type="dxa"/>
            <w:vAlign w:val="center"/>
          </w:tcPr>
          <w:p w14:paraId="3B9364E4" w14:textId="7D596EDF" w:rsidR="005C4C8C" w:rsidRPr="0015605A" w:rsidRDefault="002010AF" w:rsidP="00B60322">
            <w:pPr>
              <w:pStyle w:val="Figurecaption"/>
              <w:jc w:val="right"/>
            </w:pPr>
            <w:r w:rsidRPr="002010AF">
              <w:rPr>
                <w:highlight w:val="black"/>
              </w:rPr>
              <w:t>‘’’’’’’’’</w:t>
            </w:r>
          </w:p>
        </w:tc>
      </w:tr>
      <w:tr w:rsidR="005C4C8C" w:rsidRPr="00DC14B4" w14:paraId="7ECE36C1" w14:textId="77777777" w:rsidTr="00B60322">
        <w:trPr>
          <w:jc w:val="center"/>
        </w:trPr>
        <w:tc>
          <w:tcPr>
            <w:tcW w:w="2293" w:type="dxa"/>
            <w:vMerge/>
          </w:tcPr>
          <w:p w14:paraId="28F8EE73" w14:textId="77777777" w:rsidR="005C4C8C" w:rsidRPr="00DC14B4" w:rsidRDefault="005C4C8C" w:rsidP="00B81B7C">
            <w:pPr>
              <w:pStyle w:val="Figurecaption"/>
              <w:rPr>
                <w:b/>
              </w:rPr>
            </w:pPr>
          </w:p>
        </w:tc>
        <w:tc>
          <w:tcPr>
            <w:tcW w:w="2293" w:type="dxa"/>
          </w:tcPr>
          <w:p w14:paraId="70E08612" w14:textId="77777777" w:rsidR="005C4C8C" w:rsidRPr="0015605A" w:rsidRDefault="005C4C8C" w:rsidP="006D6290">
            <w:pPr>
              <w:pStyle w:val="Figurecaption"/>
            </w:pPr>
            <w:r w:rsidRPr="0015605A">
              <w:t>Actual</w:t>
            </w:r>
            <w:r w:rsidR="006D6290" w:rsidRPr="0015605A">
              <w:rPr>
                <w:vertAlign w:val="superscript"/>
              </w:rPr>
              <w:t>#</w:t>
            </w:r>
          </w:p>
        </w:tc>
        <w:tc>
          <w:tcPr>
            <w:tcW w:w="2293" w:type="dxa"/>
            <w:vAlign w:val="center"/>
          </w:tcPr>
          <w:p w14:paraId="708447A3" w14:textId="77777777" w:rsidR="005C4C8C" w:rsidRPr="0015605A" w:rsidRDefault="005C4C8C" w:rsidP="00B60322">
            <w:pPr>
              <w:pStyle w:val="Figurecaption"/>
              <w:jc w:val="right"/>
            </w:pPr>
            <w:r w:rsidRPr="0015605A">
              <w:t>651</w:t>
            </w:r>
          </w:p>
        </w:tc>
        <w:tc>
          <w:tcPr>
            <w:tcW w:w="2294" w:type="dxa"/>
            <w:vAlign w:val="center"/>
          </w:tcPr>
          <w:p w14:paraId="1DBD3606" w14:textId="77777777" w:rsidR="005C4C8C" w:rsidRPr="0015605A" w:rsidRDefault="005C4C8C" w:rsidP="00B60322">
            <w:pPr>
              <w:pStyle w:val="Figurecaption"/>
              <w:jc w:val="right"/>
            </w:pPr>
            <w:r w:rsidRPr="0015605A">
              <w:t>1,421</w:t>
            </w:r>
          </w:p>
        </w:tc>
      </w:tr>
      <w:tr w:rsidR="005C4C8C" w:rsidRPr="00DC14B4" w14:paraId="51225910" w14:textId="77777777" w:rsidTr="00B60322">
        <w:trPr>
          <w:jc w:val="center"/>
        </w:trPr>
        <w:tc>
          <w:tcPr>
            <w:tcW w:w="2293" w:type="dxa"/>
            <w:vMerge/>
          </w:tcPr>
          <w:p w14:paraId="48177B41" w14:textId="77777777" w:rsidR="005C4C8C" w:rsidRPr="00DC14B4" w:rsidRDefault="005C4C8C" w:rsidP="00B81B7C">
            <w:pPr>
              <w:pStyle w:val="Figurecaption"/>
              <w:rPr>
                <w:b/>
              </w:rPr>
            </w:pPr>
          </w:p>
        </w:tc>
        <w:tc>
          <w:tcPr>
            <w:tcW w:w="2293" w:type="dxa"/>
          </w:tcPr>
          <w:p w14:paraId="47E0513E" w14:textId="77777777" w:rsidR="005C4C8C" w:rsidRPr="0015605A" w:rsidRDefault="005C4C8C" w:rsidP="00BC13C8">
            <w:pPr>
              <w:pStyle w:val="Figurecaption"/>
            </w:pPr>
            <w:r w:rsidRPr="0015605A">
              <w:t>% Difference</w:t>
            </w:r>
          </w:p>
        </w:tc>
        <w:tc>
          <w:tcPr>
            <w:tcW w:w="2293" w:type="dxa"/>
            <w:vAlign w:val="center"/>
          </w:tcPr>
          <w:p w14:paraId="03998F32" w14:textId="10418B2B" w:rsidR="005C4C8C" w:rsidRPr="0015605A" w:rsidRDefault="002010AF" w:rsidP="00B60322">
            <w:pPr>
              <w:pStyle w:val="Figurecaption"/>
              <w:jc w:val="right"/>
            </w:pPr>
            <w:r w:rsidRPr="002010AF">
              <w:rPr>
                <w:highlight w:val="black"/>
              </w:rPr>
              <w:t>‘’’’’’’’</w:t>
            </w:r>
          </w:p>
        </w:tc>
        <w:tc>
          <w:tcPr>
            <w:tcW w:w="2294" w:type="dxa"/>
            <w:vAlign w:val="center"/>
          </w:tcPr>
          <w:p w14:paraId="35171235" w14:textId="6C540428" w:rsidR="005C4C8C" w:rsidRPr="0015605A" w:rsidRDefault="002010AF" w:rsidP="00B60322">
            <w:pPr>
              <w:pStyle w:val="Figurecaption"/>
              <w:jc w:val="right"/>
            </w:pPr>
            <w:r w:rsidRPr="002010AF">
              <w:rPr>
                <w:highlight w:val="black"/>
              </w:rPr>
              <w:t>‘’’’’’’’’</w:t>
            </w:r>
          </w:p>
        </w:tc>
      </w:tr>
      <w:tr w:rsidR="005C4C8C" w:rsidRPr="00DC14B4" w14:paraId="1C1E3644" w14:textId="77777777" w:rsidTr="00B60322">
        <w:trPr>
          <w:jc w:val="center"/>
        </w:trPr>
        <w:tc>
          <w:tcPr>
            <w:tcW w:w="2293" w:type="dxa"/>
            <w:vMerge w:val="restart"/>
          </w:tcPr>
          <w:p w14:paraId="2DBFA48A" w14:textId="77777777" w:rsidR="005C4C8C" w:rsidRPr="00DC14B4" w:rsidRDefault="005C4C8C" w:rsidP="00B81B7C">
            <w:pPr>
              <w:pStyle w:val="Figurecaption"/>
              <w:rPr>
                <w:b/>
              </w:rPr>
            </w:pPr>
            <w:r w:rsidRPr="00DC14B4">
              <w:rPr>
                <w:b/>
              </w:rPr>
              <w:t>Expenditure*</w:t>
            </w:r>
          </w:p>
        </w:tc>
        <w:tc>
          <w:tcPr>
            <w:tcW w:w="2293" w:type="dxa"/>
          </w:tcPr>
          <w:p w14:paraId="2C1800ED" w14:textId="77777777" w:rsidR="005C4C8C" w:rsidRPr="0015605A" w:rsidRDefault="005C4C8C" w:rsidP="00B60322">
            <w:pPr>
              <w:pStyle w:val="Figurecaption"/>
            </w:pPr>
            <w:r w:rsidRPr="0015605A">
              <w:t>Predicted</w:t>
            </w:r>
          </w:p>
        </w:tc>
        <w:tc>
          <w:tcPr>
            <w:tcW w:w="2293" w:type="dxa"/>
            <w:vAlign w:val="center"/>
          </w:tcPr>
          <w:p w14:paraId="2FE83FD1" w14:textId="54987274" w:rsidR="005C4C8C" w:rsidRPr="0015605A" w:rsidRDefault="002010AF" w:rsidP="00B60322">
            <w:pPr>
              <w:pStyle w:val="Figurecaption"/>
              <w:jc w:val="right"/>
            </w:pPr>
            <w:r w:rsidRPr="002010AF">
              <w:rPr>
                <w:highlight w:val="black"/>
              </w:rPr>
              <w:t>‘’’’’’’’’’’’’’’’’’</w:t>
            </w:r>
          </w:p>
        </w:tc>
        <w:tc>
          <w:tcPr>
            <w:tcW w:w="2294" w:type="dxa"/>
            <w:vAlign w:val="center"/>
          </w:tcPr>
          <w:p w14:paraId="7BE505D8" w14:textId="30F268FB" w:rsidR="005C4C8C" w:rsidRPr="0015605A" w:rsidRDefault="002010AF" w:rsidP="00B60322">
            <w:pPr>
              <w:pStyle w:val="Figurecaption"/>
              <w:jc w:val="right"/>
            </w:pPr>
            <w:r w:rsidRPr="002010AF">
              <w:rPr>
                <w:highlight w:val="black"/>
              </w:rPr>
              <w:t>‘’’’’’’’’’’’’’’’’’</w:t>
            </w:r>
          </w:p>
        </w:tc>
      </w:tr>
      <w:tr w:rsidR="005C4C8C" w:rsidRPr="00DC14B4" w14:paraId="0D003E61" w14:textId="77777777" w:rsidTr="00B60322">
        <w:trPr>
          <w:jc w:val="center"/>
        </w:trPr>
        <w:tc>
          <w:tcPr>
            <w:tcW w:w="2293" w:type="dxa"/>
            <w:vMerge/>
          </w:tcPr>
          <w:p w14:paraId="4E149FDA" w14:textId="77777777" w:rsidR="005C4C8C" w:rsidRPr="00DC14B4" w:rsidRDefault="005C4C8C" w:rsidP="00B60322">
            <w:pPr>
              <w:pStyle w:val="Figurecaption"/>
              <w:rPr>
                <w:b/>
              </w:rPr>
            </w:pPr>
          </w:p>
        </w:tc>
        <w:tc>
          <w:tcPr>
            <w:tcW w:w="2293" w:type="dxa"/>
          </w:tcPr>
          <w:p w14:paraId="08453D2C" w14:textId="77777777" w:rsidR="005C4C8C" w:rsidRPr="0015605A" w:rsidRDefault="005C4C8C" w:rsidP="00B60322">
            <w:pPr>
              <w:pStyle w:val="Figurecaption"/>
            </w:pPr>
            <w:r w:rsidRPr="0015605A">
              <w:t>Actual</w:t>
            </w:r>
          </w:p>
        </w:tc>
        <w:tc>
          <w:tcPr>
            <w:tcW w:w="2293" w:type="dxa"/>
            <w:vAlign w:val="center"/>
          </w:tcPr>
          <w:p w14:paraId="634885B1" w14:textId="77777777" w:rsidR="005C4C8C" w:rsidRPr="0015605A" w:rsidRDefault="005C4C8C" w:rsidP="004857F7">
            <w:pPr>
              <w:pStyle w:val="Figurecaption"/>
              <w:jc w:val="right"/>
            </w:pPr>
            <w:r w:rsidRPr="0015605A">
              <w:t xml:space="preserve"> $326,875 </w:t>
            </w:r>
          </w:p>
        </w:tc>
        <w:tc>
          <w:tcPr>
            <w:tcW w:w="2294" w:type="dxa"/>
            <w:vAlign w:val="center"/>
          </w:tcPr>
          <w:p w14:paraId="703DC6CB" w14:textId="77777777" w:rsidR="005C4C8C" w:rsidRPr="0015605A" w:rsidRDefault="005C4C8C" w:rsidP="004857F7">
            <w:pPr>
              <w:pStyle w:val="Figurecaption"/>
              <w:jc w:val="right"/>
            </w:pPr>
            <w:r w:rsidRPr="0015605A">
              <w:t xml:space="preserve">$868,149 </w:t>
            </w:r>
          </w:p>
        </w:tc>
      </w:tr>
      <w:tr w:rsidR="005C4C8C" w:rsidRPr="00DC14B4" w14:paraId="728858C4" w14:textId="77777777" w:rsidTr="002010AF">
        <w:trPr>
          <w:jc w:val="center"/>
        </w:trPr>
        <w:tc>
          <w:tcPr>
            <w:tcW w:w="2293" w:type="dxa"/>
            <w:vMerge/>
          </w:tcPr>
          <w:p w14:paraId="5D65C09D" w14:textId="77777777" w:rsidR="005C4C8C" w:rsidRPr="00DC14B4" w:rsidRDefault="005C4C8C" w:rsidP="00B60322">
            <w:pPr>
              <w:pStyle w:val="Figurecaption"/>
              <w:rPr>
                <w:b/>
              </w:rPr>
            </w:pPr>
          </w:p>
        </w:tc>
        <w:tc>
          <w:tcPr>
            <w:tcW w:w="2293" w:type="dxa"/>
          </w:tcPr>
          <w:p w14:paraId="239B3BC7" w14:textId="77777777" w:rsidR="005C4C8C" w:rsidRPr="0015605A" w:rsidRDefault="005C4C8C" w:rsidP="00B60322">
            <w:pPr>
              <w:pStyle w:val="Figurecaption"/>
            </w:pPr>
            <w:r w:rsidRPr="0015605A">
              <w:t>% Difference</w:t>
            </w:r>
          </w:p>
        </w:tc>
        <w:tc>
          <w:tcPr>
            <w:tcW w:w="2293" w:type="dxa"/>
            <w:vAlign w:val="center"/>
          </w:tcPr>
          <w:p w14:paraId="1550F49F" w14:textId="6BA3D248" w:rsidR="005C4C8C" w:rsidRPr="0015605A" w:rsidRDefault="002010AF" w:rsidP="00B60322">
            <w:pPr>
              <w:pStyle w:val="Figurecaption"/>
              <w:jc w:val="right"/>
            </w:pPr>
            <w:r w:rsidRPr="002010AF">
              <w:rPr>
                <w:highlight w:val="black"/>
              </w:rPr>
              <w:t>‘’’’’’’’</w:t>
            </w:r>
          </w:p>
        </w:tc>
        <w:tc>
          <w:tcPr>
            <w:tcW w:w="2294" w:type="dxa"/>
            <w:vAlign w:val="center"/>
          </w:tcPr>
          <w:p w14:paraId="5DC53B7F" w14:textId="042A220F" w:rsidR="005C4C8C" w:rsidRPr="0015605A" w:rsidRDefault="002010AF" w:rsidP="002010AF">
            <w:pPr>
              <w:pStyle w:val="Figurecaption"/>
              <w:jc w:val="right"/>
            </w:pPr>
            <w:r w:rsidRPr="002010AF">
              <w:rPr>
                <w:highlight w:val="black"/>
              </w:rPr>
              <w:t>‘’’’’’’’</w:t>
            </w:r>
          </w:p>
        </w:tc>
      </w:tr>
    </w:tbl>
    <w:p w14:paraId="73C24B0A" w14:textId="6F246AD9" w:rsidR="005C4C8C" w:rsidRDefault="00CA7E32" w:rsidP="005C4C8C">
      <w:pPr>
        <w:pStyle w:val="Notes"/>
        <w:spacing w:after="0"/>
      </w:pPr>
      <w:r w:rsidRPr="00DC14B4">
        <w:t xml:space="preserve">Source: </w:t>
      </w:r>
      <w:r w:rsidR="002010AF" w:rsidRPr="002010AF">
        <w:rPr>
          <w:rFonts w:cstheme="minorHAnsi"/>
          <w:highlight w:val="black"/>
        </w:rPr>
        <w:t>‘’’’’’’’’’’’’’’’’’’’’’’’’’’’’’’’’’’’’’’’’’’’’’’’’’’’’’’’’’’’’’’’’’’’’</w:t>
      </w:r>
      <w:r w:rsidRPr="00DC14B4">
        <w:t>, DHS prescriptions database (actual), extracted July 2018.</w:t>
      </w:r>
      <w:r w:rsidRPr="00DC14B4">
        <w:br/>
      </w:r>
      <w:r w:rsidR="005C4C8C" w:rsidRPr="00DC14B4">
        <w:rPr>
          <w:vertAlign w:val="superscript"/>
        </w:rPr>
        <w:t>#</w:t>
      </w:r>
      <w:r w:rsidR="005C4C8C" w:rsidRPr="00DC14B4">
        <w:t>Calculated as difference from previous year (September-August)</w:t>
      </w:r>
    </w:p>
    <w:p w14:paraId="7FC5B7F0" w14:textId="77777777" w:rsidR="00A27F98" w:rsidRDefault="00A27F98" w:rsidP="002915B5">
      <w:pPr>
        <w:rPr>
          <w:rFonts w:cs="Baskerville"/>
          <w:sz w:val="20"/>
          <w:szCs w:val="20"/>
        </w:rPr>
      </w:pPr>
    </w:p>
    <w:p w14:paraId="5F2E7563" w14:textId="77777777" w:rsidR="00CA7E32" w:rsidRDefault="00CA7E32" w:rsidP="002915B5">
      <w:r>
        <w:t xml:space="preserve">In both the first and second years of listing, the total number of patients that were supplied febuxostat was considerably less than the numbers predicted. This translated to a lower number of prescriptions and expenditure than expected.  </w:t>
      </w:r>
    </w:p>
    <w:p w14:paraId="145A32E8" w14:textId="77777777" w:rsidR="00CA7E32" w:rsidRDefault="00CA7E32" w:rsidP="00F73113">
      <w:pPr>
        <w:pStyle w:val="Heading1"/>
      </w:pPr>
      <w:r>
        <w:t>D</w:t>
      </w:r>
      <w:r w:rsidRPr="005E22C2">
        <w:t>iscussion</w:t>
      </w:r>
    </w:p>
    <w:p w14:paraId="635F9CE3" w14:textId="2765F162" w:rsidR="00CA7E32" w:rsidRDefault="00CA7E32" w:rsidP="00F1132C">
      <w:r>
        <w:t xml:space="preserve">The utilisation of febuxostat </w:t>
      </w:r>
      <w:r w:rsidR="002A5BA7">
        <w:t>continued to grow from the time of listing;</w:t>
      </w:r>
      <w:r>
        <w:t xml:space="preserve"> as demonstrated by the increase in the total volume of prescriptions (Figure 1) and patients (Figure 2). However, the extent of uptake has not been as expected. In the first two years of listing, substantially fewer patients were supplied febuxostat than predicted (Table </w:t>
      </w:r>
      <w:r w:rsidR="0015605A">
        <w:t>2</w:t>
      </w:r>
      <w:r>
        <w:t xml:space="preserve">). The % difference in volume of prescriptions being lower than the % difference in the volume of patients may be due to fewer average prescriptions supplied per patient (actual of 7 compared to predicted </w:t>
      </w:r>
      <w:r w:rsidR="0015605A" w:rsidRPr="0015605A">
        <w:rPr>
          <w:rFonts w:cstheme="minorHAnsi"/>
          <w:highlight w:val="black"/>
        </w:rPr>
        <w:t>‘’’’’’’</w:t>
      </w:r>
      <w:r>
        <w:t xml:space="preserve">, Figure </w:t>
      </w:r>
      <w:r w:rsidR="00527127">
        <w:t>5</w:t>
      </w:r>
      <w:r>
        <w:t>).</w:t>
      </w:r>
    </w:p>
    <w:p w14:paraId="6612898D" w14:textId="60FFAE12" w:rsidR="00CA7E32" w:rsidRDefault="001464F4" w:rsidP="00F1132C">
      <w:r>
        <w:t>The submission considered that</w:t>
      </w:r>
      <w:r w:rsidRPr="001464F4">
        <w:t xml:space="preserve"> patients supplied R/PBS febuxostat would include the probenecid-treated chronic gout population and the ULT-untreated chronic gout population</w:t>
      </w:r>
      <w:r>
        <w:t xml:space="preserve">. </w:t>
      </w:r>
      <w:r w:rsidR="00BF326B">
        <w:t xml:space="preserve">The analysis of previous ULT supplied showed that 9% of patients over the period had previously been supplied probenecid since April 2012 (Figure 4). The reduction in probenecid prescriptions with the listing of febuxostat (Table </w:t>
      </w:r>
      <w:r w:rsidR="0015605A">
        <w:t>2</w:t>
      </w:r>
      <w:r w:rsidR="00BF326B">
        <w:t>) was less than</w:t>
      </w:r>
      <w:r w:rsidR="00690A12">
        <w:t xml:space="preserve"> the</w:t>
      </w:r>
      <w:r w:rsidR="00BF326B">
        <w:t xml:space="preserve"> predicted</w:t>
      </w:r>
      <w:r w:rsidR="00690A12">
        <w:t xml:space="preserve"> substitution</w:t>
      </w:r>
      <w:r w:rsidR="00BF326B">
        <w:t xml:space="preserve"> in Year 1 but almost exactly as predicted in Year 2. </w:t>
      </w:r>
      <w:r>
        <w:t xml:space="preserve">This implies that, </w:t>
      </w:r>
      <w:r>
        <w:lastRenderedPageBreak/>
        <w:t xml:space="preserve">although substitution for probenecid accounted for a small proportion of febuxostat use, it was close to predicted over the period. Therefore, although a quarter of patients supplied febuxostat had no previous ULT (since 2012), the lower than expected utilisation of febuxostat is largely due to less than expected uptake from the untreated population. The predicted uptake in the untreated population might have been optimistic if these patients weren’t engaged with the health care system. </w:t>
      </w:r>
      <w:r w:rsidR="003836FD">
        <w:t xml:space="preserve">Other possible </w:t>
      </w:r>
      <w:r w:rsidR="00CA7E32">
        <w:t xml:space="preserve">explanations for lower than predicted use of febuxostat </w:t>
      </w:r>
      <w:r w:rsidR="003836FD">
        <w:t xml:space="preserve">in this population </w:t>
      </w:r>
      <w:r w:rsidR="00CA7E32">
        <w:t>include overestimation of:</w:t>
      </w:r>
    </w:p>
    <w:p w14:paraId="7033E54C" w14:textId="5BC138F8" w:rsidR="00CA7E32" w:rsidRDefault="00CA7E32" w:rsidP="00DF4B5C">
      <w:pPr>
        <w:pStyle w:val="ListParagraph"/>
        <w:numPr>
          <w:ilvl w:val="0"/>
          <w:numId w:val="13"/>
        </w:numPr>
      </w:pPr>
      <w:r>
        <w:t>The number of eligible patients</w:t>
      </w:r>
      <w:r w:rsidR="008D299D">
        <w:t>. The submission calculated the ULT population by applying a proportion of use in chronic gout (</w:t>
      </w:r>
      <w:r w:rsidR="002010AF" w:rsidRPr="002010AF">
        <w:rPr>
          <w:rFonts w:cstheme="minorHAnsi"/>
          <w:highlight w:val="black"/>
        </w:rPr>
        <w:t>‘’’’’’’</w:t>
      </w:r>
      <w:r w:rsidR="008D299D">
        <w:t>), average dose per day and compliance (</w:t>
      </w:r>
      <w:r w:rsidR="002010AF" w:rsidRPr="002010AF">
        <w:rPr>
          <w:rFonts w:cstheme="minorHAnsi"/>
          <w:highlight w:val="black"/>
        </w:rPr>
        <w:t>‘’’’’’’</w:t>
      </w:r>
      <w:r w:rsidR="008D299D">
        <w:t>) to the PBS prescriptions for allopurinol and probenecid</w:t>
      </w:r>
      <w:r w:rsidR="00E76E07">
        <w:t>.</w:t>
      </w:r>
      <w:r w:rsidR="008D299D">
        <w:t xml:space="preserve"> The submission’s method provides a starting poin</w:t>
      </w:r>
      <w:r w:rsidR="0015605A">
        <w:t>t for this population of over 20</w:t>
      </w:r>
      <w:r w:rsidR="008D299D">
        <w:t>0,000 patients in the index year (2012-2013 financial year), while PBS data shows</w:t>
      </w:r>
      <w:r w:rsidR="00E76E07">
        <w:t xml:space="preserve"> the market </w:t>
      </w:r>
      <w:r w:rsidR="00B5262A">
        <w:t>at quarter 2 2013</w:t>
      </w:r>
      <w:r w:rsidR="00E76E07">
        <w:t xml:space="preserve"> was </w:t>
      </w:r>
      <w:r w:rsidR="0015605A">
        <w:t xml:space="preserve">over 200,000 </w:t>
      </w:r>
      <w:r w:rsidR="00E76E07">
        <w:t>patients</w:t>
      </w:r>
      <w:r w:rsidR="008D299D">
        <w:t xml:space="preserve"> (Figure</w:t>
      </w:r>
      <w:r w:rsidR="00E76E07">
        <w:t xml:space="preserve"> 3</w:t>
      </w:r>
      <w:r w:rsidR="008D299D">
        <w:t>)</w:t>
      </w:r>
      <w:r w:rsidR="006A4AB8">
        <w:t>.</w:t>
      </w:r>
    </w:p>
    <w:p w14:paraId="11F09736" w14:textId="77777777" w:rsidR="00CA7E32" w:rsidRDefault="00CA7E32" w:rsidP="009F7A0C">
      <w:pPr>
        <w:pStyle w:val="ListParagraph"/>
        <w:numPr>
          <w:ilvl w:val="0"/>
          <w:numId w:val="13"/>
        </w:numPr>
      </w:pPr>
      <w:r>
        <w:t>The uptake rate. Febuxostat has been associated with an increase in risk of cardiovascular mortality.</w:t>
      </w:r>
      <w:r>
        <w:rPr>
          <w:rStyle w:val="EndnoteReference"/>
        </w:rPr>
        <w:endnoteReference w:id="9"/>
      </w:r>
      <w:r>
        <w:t xml:space="preserve"> As patients with gout tend to have multiple co-morbidities (including cardiovascular diseases)</w:t>
      </w:r>
      <w:r>
        <w:rPr>
          <w:vertAlign w:val="superscript"/>
        </w:rPr>
        <w:t>2</w:t>
      </w:r>
      <w:r>
        <w:t>, the use of febuxostat in this patient population may be limited in practice.</w:t>
      </w:r>
    </w:p>
    <w:p w14:paraId="4BF7231B" w14:textId="5E6CCFFF" w:rsidR="00213E2B" w:rsidRDefault="00CA7E32" w:rsidP="00CA7E32">
      <w:r>
        <w:t>The length of treatment analysis (Figure 6) shows that less than 60% of patients remain on febuxostat after one year, consistent with the high rate of discontinuation (32%) in the febuxostat FOCUS study</w:t>
      </w:r>
      <w:r>
        <w:rPr>
          <w:rStyle w:val="EndnoteReference"/>
        </w:rPr>
        <w:endnoteReference w:id="10"/>
      </w:r>
      <w:r>
        <w:t xml:space="preserve"> </w:t>
      </w:r>
      <w:r w:rsidR="004C11DF">
        <w:t>presented by the sponsor.</w:t>
      </w:r>
    </w:p>
    <w:p w14:paraId="6997108E" w14:textId="77777777" w:rsidR="00B47464" w:rsidRDefault="00B47464" w:rsidP="00B47464">
      <w:pPr>
        <w:pStyle w:val="Heading1"/>
      </w:pPr>
      <w:r>
        <w:t>DUSC consideration</w:t>
      </w:r>
    </w:p>
    <w:p w14:paraId="6363140A" w14:textId="0BC4FDFB" w:rsidR="00B47464" w:rsidRPr="00213E2B" w:rsidRDefault="00B47464" w:rsidP="00B47464">
      <w:r w:rsidRPr="00213E2B">
        <w:t xml:space="preserve">Febuxostat use, in terms of prescriptions and patients, continued to increase over the period. However, uptake has been lower than expected. In the first two years of listing, substantially fewer patients were supplied febuxostat than predicted. The percentage difference in volume of prescriptions being lower than the percentage difference in the volume of patients may be due to fewer average prescriptions supplied per patient (actual of 7 compared to predicted </w:t>
      </w:r>
      <w:bookmarkStart w:id="0" w:name="_GoBack"/>
      <w:bookmarkEnd w:id="0"/>
      <w:r w:rsidR="002010AF" w:rsidRPr="0015605A">
        <w:rPr>
          <w:rFonts w:cstheme="minorHAnsi"/>
          <w:highlight w:val="black"/>
        </w:rPr>
        <w:t>‘’’’’’’</w:t>
      </w:r>
      <w:r w:rsidR="002010AF">
        <w:t>)</w:t>
      </w:r>
      <w:r w:rsidRPr="00213E2B">
        <w:t xml:space="preserve">. DUSC noted that a reason for there being fewer prescriptions per person cannot be determined from available data, but noted this may be due to lower doses or a lower rate of adherence than expected. </w:t>
      </w:r>
    </w:p>
    <w:p w14:paraId="6B04B885" w14:textId="77777777" w:rsidR="00F024E2" w:rsidRPr="00213E2B" w:rsidRDefault="00FD1234" w:rsidP="00F024E2">
      <w:r w:rsidRPr="00213E2B">
        <w:t>Although uptake from probenecid-treated patients was low, it was similar to predicted. Contrastingly, uptake in the untreated population was much lower than expected. DUSC noted that the lower than expected uptake from the untreated population was the main contributor to febuxostat use being lower than anticipated. DUSC considered that the eligible population may have been overestimated. DUSC considered that the uptake of febuxostat may also be tempered by concerns regarding cardiovascular safety. While the publication concerning cardiovascular safety</w:t>
      </w:r>
      <w:r w:rsidRPr="00213E2B">
        <w:rPr>
          <w:rStyle w:val="FootnoteReference"/>
        </w:rPr>
        <w:footnoteReference w:id="1"/>
      </w:r>
      <w:r w:rsidRPr="00213E2B">
        <w:t xml:space="preserve"> is recent (March 2018), concerns have been foreshadowed by the FDA for some time.</w:t>
      </w:r>
    </w:p>
    <w:p w14:paraId="2F27ADF2" w14:textId="77777777" w:rsidR="00FD1234" w:rsidRPr="00213E2B" w:rsidRDefault="00FD1234" w:rsidP="00FD1234">
      <w:r w:rsidRPr="00213E2B">
        <w:lastRenderedPageBreak/>
        <w:t>DUSC recalled that the PBAC considered an application from the sponsor in July 2017</w:t>
      </w:r>
      <w:r w:rsidRPr="00213E2B">
        <w:rPr>
          <w:rStyle w:val="FootnoteReference"/>
        </w:rPr>
        <w:footnoteReference w:id="2"/>
      </w:r>
      <w:r w:rsidRPr="00213E2B">
        <w:t xml:space="preserve"> which requested the authority level be changed from Authority Required (telephone) to Authority Required (STREAMLINED). The PBAC rejected the request as the restriction appeared to be appropriately targeting therapy, and there remained a risk of prescribing outside of the current PBS restriction, particularly in allopurinol insufficient patients, for whom there was a paucity of evidence of efficacy and safety. Considering the PBAC outcome, the utilisation data and the safety signals, DUSC considered it would be appropriate for the restriction to remain as Authority Required. </w:t>
      </w:r>
    </w:p>
    <w:p w14:paraId="2048D87C" w14:textId="77777777" w:rsidR="00F024E2" w:rsidRPr="00F024E2" w:rsidRDefault="00F024E2" w:rsidP="00F024E2">
      <w:pPr>
        <w:keepNext/>
        <w:keepLines/>
        <w:spacing w:before="480" w:after="240"/>
        <w:outlineLvl w:val="0"/>
        <w:rPr>
          <w:rFonts w:eastAsiaTheme="majorEastAsia" w:cstheme="majorBidi"/>
          <w:b/>
          <w:bCs/>
          <w:sz w:val="32"/>
          <w:szCs w:val="32"/>
        </w:rPr>
      </w:pPr>
      <w:r w:rsidRPr="00F024E2">
        <w:rPr>
          <w:rFonts w:eastAsiaTheme="majorEastAsia" w:cstheme="majorBidi"/>
          <w:b/>
          <w:bCs/>
          <w:sz w:val="32"/>
          <w:szCs w:val="32"/>
        </w:rPr>
        <w:t>DUSC actions</w:t>
      </w:r>
    </w:p>
    <w:p w14:paraId="25A5D009" w14:textId="73866273" w:rsidR="00F024E2" w:rsidRPr="00371D91" w:rsidRDefault="00371D91" w:rsidP="00371D91">
      <w:pPr>
        <w:pStyle w:val="ListParagraph"/>
        <w:numPr>
          <w:ilvl w:val="0"/>
          <w:numId w:val="16"/>
        </w:numPr>
      </w:pPr>
      <w:r w:rsidRPr="00371D91">
        <w:t>DUSC requested that the r</w:t>
      </w:r>
      <w:r w:rsidR="00A95A03">
        <w:t>e</w:t>
      </w:r>
      <w:r w:rsidRPr="00371D91">
        <w:t xml:space="preserve">port be provided to the PBAC </w:t>
      </w:r>
    </w:p>
    <w:p w14:paraId="652AAB94" w14:textId="77777777" w:rsidR="00F024E2" w:rsidRPr="00F024E2" w:rsidRDefault="00F024E2" w:rsidP="00F024E2">
      <w:pPr>
        <w:keepNext/>
        <w:keepLines/>
        <w:spacing w:before="480" w:after="240"/>
        <w:outlineLvl w:val="0"/>
        <w:rPr>
          <w:rFonts w:eastAsiaTheme="majorEastAsia" w:cstheme="majorBidi"/>
          <w:b/>
          <w:bCs/>
          <w:sz w:val="32"/>
          <w:szCs w:val="32"/>
        </w:rPr>
      </w:pPr>
      <w:r w:rsidRPr="00F024E2">
        <w:rPr>
          <w:rFonts w:eastAsiaTheme="majorEastAsia" w:cstheme="majorBidi"/>
          <w:b/>
          <w:bCs/>
          <w:sz w:val="32"/>
          <w:szCs w:val="32"/>
        </w:rPr>
        <w:t>Context for analysis</w:t>
      </w:r>
    </w:p>
    <w:p w14:paraId="31054374" w14:textId="77777777" w:rsidR="00F024E2" w:rsidRPr="00F024E2" w:rsidRDefault="00F024E2" w:rsidP="00F024E2">
      <w:r w:rsidRPr="00F024E2">
        <w:t>The DUSC is a Sub Committee of the Pharmaceutical Benefits Advisory Committee (PBAC). The DUSC assesses estimates on projected usage and financial cost of medicines.</w:t>
      </w:r>
    </w:p>
    <w:p w14:paraId="31F98831" w14:textId="77777777" w:rsidR="00F024E2" w:rsidRPr="00F024E2" w:rsidRDefault="00F024E2" w:rsidP="00F024E2">
      <w:r w:rsidRPr="00F024E2">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4CEA8B7A" w14:textId="77777777" w:rsidR="00F024E2" w:rsidRPr="00F024E2" w:rsidRDefault="00F024E2" w:rsidP="00F024E2">
      <w:r w:rsidRPr="00F024E2">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5CF5B2B1" w14:textId="77777777" w:rsidR="00F024E2" w:rsidRPr="00F024E2" w:rsidRDefault="00F024E2" w:rsidP="00F024E2">
      <w:r w:rsidRPr="00F024E2">
        <w:t>The utilisation analysis report was provided to the pharmaceutical sponsors of each drug and comments on the report were provided to DUSC prior to its consideration of the analysis.</w:t>
      </w:r>
    </w:p>
    <w:p w14:paraId="58D5154E" w14:textId="77777777" w:rsidR="00F024E2" w:rsidRPr="00F024E2" w:rsidRDefault="00F024E2" w:rsidP="00F024E2">
      <w:pPr>
        <w:keepNext/>
        <w:keepLines/>
        <w:spacing w:before="480" w:after="240"/>
        <w:outlineLvl w:val="0"/>
        <w:rPr>
          <w:rFonts w:eastAsiaTheme="majorEastAsia" w:cstheme="majorBidi"/>
          <w:b/>
          <w:bCs/>
          <w:sz w:val="32"/>
          <w:szCs w:val="32"/>
        </w:rPr>
      </w:pPr>
      <w:r w:rsidRPr="00F024E2">
        <w:rPr>
          <w:rFonts w:eastAsiaTheme="majorEastAsia" w:cstheme="majorBidi"/>
          <w:b/>
          <w:bCs/>
          <w:sz w:val="32"/>
          <w:szCs w:val="32"/>
        </w:rPr>
        <w:t>Sponsors’ comments</w:t>
      </w:r>
    </w:p>
    <w:p w14:paraId="019F257C" w14:textId="4258E91B" w:rsidR="00527127" w:rsidRPr="00073F18" w:rsidRDefault="00CF30FD" w:rsidP="00073F18">
      <w:r>
        <w:t xml:space="preserve">A.Menarini Australia: The Sponsor has no comment </w:t>
      </w:r>
      <w:r w:rsidR="00527127">
        <w:rPr>
          <w:rFonts w:eastAsiaTheme="majorEastAsia" w:cstheme="majorBidi"/>
          <w:b/>
          <w:bCs/>
          <w:sz w:val="32"/>
          <w:szCs w:val="32"/>
        </w:rPr>
        <w:br w:type="page"/>
      </w:r>
    </w:p>
    <w:p w14:paraId="516DB8D9" w14:textId="77777777" w:rsidR="00CA7E32" w:rsidRPr="00CA7E32" w:rsidRDefault="00CA7E32" w:rsidP="00CA7E32">
      <w:pPr>
        <w:rPr>
          <w:rFonts w:eastAsiaTheme="majorEastAsia" w:cstheme="majorBidi"/>
          <w:b/>
          <w:bCs/>
          <w:sz w:val="32"/>
          <w:szCs w:val="32"/>
        </w:rPr>
      </w:pPr>
      <w:r w:rsidRPr="00CA7E32">
        <w:rPr>
          <w:rFonts w:eastAsiaTheme="majorEastAsia" w:cstheme="majorBidi"/>
          <w:b/>
          <w:bCs/>
          <w:sz w:val="32"/>
          <w:szCs w:val="32"/>
        </w:rPr>
        <w:lastRenderedPageBreak/>
        <w:t>References</w:t>
      </w:r>
    </w:p>
    <w:sectPr w:rsidR="00CA7E32" w:rsidRPr="00CA7E32" w:rsidSect="00DD188C">
      <w:headerReference w:type="even" r:id="rId22"/>
      <w:headerReference w:type="default" r:id="rId23"/>
      <w:footerReference w:type="even" r:id="rId24"/>
      <w:footerReference w:type="default" r:id="rId25"/>
      <w:headerReference w:type="first" r:id="rId26"/>
      <w:footerReference w:type="first" r:id="rId27"/>
      <w:endnotePr>
        <w:numFmt w:val="decimal"/>
      </w:endnotePr>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CF035" w14:textId="77777777" w:rsidR="007D505C" w:rsidRDefault="007D505C" w:rsidP="00A35800">
      <w:r>
        <w:separator/>
      </w:r>
    </w:p>
  </w:endnote>
  <w:endnote w:type="continuationSeparator" w:id="0">
    <w:p w14:paraId="4422DFCD" w14:textId="77777777" w:rsidR="007D505C" w:rsidRDefault="007D505C" w:rsidP="00A35800">
      <w:r>
        <w:continuationSeparator/>
      </w:r>
    </w:p>
  </w:endnote>
  <w:endnote w:id="1">
    <w:p w14:paraId="6A9381DC" w14:textId="77777777" w:rsidR="00CA7E32" w:rsidRPr="002F20DF" w:rsidRDefault="00CA7E32">
      <w:pPr>
        <w:pStyle w:val="EndnoteText"/>
      </w:pPr>
      <w:r w:rsidRPr="0017072B">
        <w:rPr>
          <w:rStyle w:val="EndnoteReference"/>
        </w:rPr>
        <w:endnoteRef/>
      </w:r>
      <w:r w:rsidRPr="0017072B">
        <w:t xml:space="preserve">Finch A, Kubler P. The management of gout. </w:t>
      </w:r>
      <w:r w:rsidRPr="0017072B">
        <w:rPr>
          <w:shd w:val="clear" w:color="auto" w:fill="FFFFFF"/>
        </w:rPr>
        <w:t>Aust Prescr 2016;39:119-22. DOI: 10.18773/austprescr.2016.047</w:t>
      </w:r>
    </w:p>
  </w:endnote>
  <w:endnote w:id="2">
    <w:p w14:paraId="37E9C8FD" w14:textId="77777777" w:rsidR="00CA7E32" w:rsidRPr="00C74C09" w:rsidRDefault="00CA7E32">
      <w:pPr>
        <w:pStyle w:val="EndnoteText"/>
      </w:pPr>
      <w:r w:rsidRPr="00C74C09">
        <w:rPr>
          <w:rStyle w:val="EndnoteReference"/>
        </w:rPr>
        <w:endnoteRef/>
      </w:r>
      <w:r w:rsidR="00FC711B">
        <w:rPr>
          <w:shd w:val="clear" w:color="auto" w:fill="FFFFFF"/>
        </w:rPr>
        <w:t xml:space="preserve"> </w:t>
      </w:r>
      <w:r w:rsidRPr="00C74C09">
        <w:rPr>
          <w:shd w:val="clear" w:color="auto" w:fill="FFFFFF"/>
        </w:rPr>
        <w:t>Gout [revised 2017 Mar]. In: eTG complete [Internet]. Melbourne: Therapeutic Guidelines Limited; 2017 Nov.</w:t>
      </w:r>
    </w:p>
  </w:endnote>
  <w:endnote w:id="3">
    <w:p w14:paraId="1ED05340" w14:textId="77777777" w:rsidR="00CA7E32" w:rsidRPr="00C74C09" w:rsidRDefault="00CA7E32" w:rsidP="00C74C09">
      <w:pPr>
        <w:shd w:val="clear" w:color="auto" w:fill="FFFFFF"/>
        <w:spacing w:after="0"/>
        <w:rPr>
          <w:rFonts w:eastAsia="Times New Roman" w:cstheme="minorHAnsi"/>
          <w:sz w:val="20"/>
          <w:szCs w:val="20"/>
        </w:rPr>
      </w:pPr>
      <w:r w:rsidRPr="00C74C09">
        <w:rPr>
          <w:rStyle w:val="EndnoteReference"/>
          <w:rFonts w:cstheme="minorHAnsi"/>
          <w:sz w:val="20"/>
          <w:szCs w:val="20"/>
        </w:rPr>
        <w:endnoteRef/>
      </w:r>
      <w:r w:rsidRPr="00C74C09">
        <w:rPr>
          <w:rFonts w:cstheme="minorHAnsi"/>
          <w:sz w:val="20"/>
          <w:szCs w:val="20"/>
        </w:rPr>
        <w:t xml:space="preserve"> </w:t>
      </w:r>
      <w:r w:rsidRPr="00C74C09">
        <w:rPr>
          <w:rFonts w:eastAsia="Times New Roman" w:cstheme="minorHAnsi"/>
          <w:sz w:val="20"/>
          <w:szCs w:val="20"/>
        </w:rPr>
        <w:t>Yin R, Li L, Zhang G</w:t>
      </w:r>
      <w:r w:rsidRPr="00C74C09">
        <w:rPr>
          <w:rFonts w:eastAsia="Times New Roman" w:cstheme="minorHAnsi"/>
          <w:i/>
          <w:iCs/>
          <w:sz w:val="20"/>
          <w:szCs w:val="20"/>
        </w:rPr>
        <w:t>,</w:t>
      </w:r>
      <w:r w:rsidRPr="00C74C09">
        <w:rPr>
          <w:rFonts w:eastAsia="Times New Roman" w:cstheme="minorHAnsi"/>
          <w:iCs/>
          <w:sz w:val="20"/>
          <w:szCs w:val="20"/>
        </w:rPr>
        <w:t xml:space="preserve"> Cui Y, Zhang L, Zhang Q, et al</w:t>
      </w:r>
      <w:r w:rsidRPr="00C74C09">
        <w:rPr>
          <w:rFonts w:eastAsia="Times New Roman" w:cstheme="minorHAnsi"/>
          <w:sz w:val="20"/>
          <w:szCs w:val="20"/>
        </w:rPr>
        <w:t xml:space="preserve">. Rate of adherence to urate-lowering therapy among patients with gout: a systematic review and meta-analysis. </w:t>
      </w:r>
      <w:r w:rsidRPr="00370CAB">
        <w:rPr>
          <w:rFonts w:eastAsia="Times New Roman" w:cstheme="minorHAnsi"/>
          <w:iCs/>
          <w:sz w:val="20"/>
          <w:szCs w:val="20"/>
        </w:rPr>
        <w:t>BMJ Open</w:t>
      </w:r>
      <w:r w:rsidRPr="00C74C09">
        <w:rPr>
          <w:rFonts w:eastAsia="Times New Roman" w:cstheme="minorHAnsi"/>
          <w:i/>
          <w:iCs/>
          <w:sz w:val="20"/>
          <w:szCs w:val="20"/>
        </w:rPr>
        <w:t> </w:t>
      </w:r>
      <w:r w:rsidRPr="00C74C09">
        <w:rPr>
          <w:rFonts w:eastAsia="Times New Roman" w:cstheme="minorHAnsi"/>
          <w:sz w:val="20"/>
          <w:szCs w:val="20"/>
        </w:rPr>
        <w:t>2018;</w:t>
      </w:r>
      <w:r w:rsidR="00E869AC" w:rsidRPr="00370CAB">
        <w:rPr>
          <w:rFonts w:eastAsia="Times New Roman" w:cstheme="minorHAnsi"/>
          <w:bCs/>
          <w:sz w:val="20"/>
          <w:szCs w:val="20"/>
        </w:rPr>
        <w:t>8:</w:t>
      </w:r>
      <w:r w:rsidRPr="00801324">
        <w:rPr>
          <w:rFonts w:eastAsia="Times New Roman" w:cstheme="minorHAnsi"/>
          <w:sz w:val="20"/>
          <w:szCs w:val="20"/>
        </w:rPr>
        <w:t>017542.</w:t>
      </w:r>
      <w:r w:rsidRPr="00C74C09">
        <w:rPr>
          <w:rFonts w:eastAsia="Times New Roman" w:cstheme="minorHAnsi"/>
          <w:sz w:val="20"/>
          <w:szCs w:val="20"/>
        </w:rPr>
        <w:t> doi: 10.1136/bmjopen-2017-017542</w:t>
      </w:r>
      <w:r w:rsidR="00370CAB">
        <w:rPr>
          <w:rFonts w:eastAsia="Times New Roman" w:cstheme="minorHAnsi"/>
          <w:sz w:val="20"/>
          <w:szCs w:val="20"/>
        </w:rPr>
        <w:t>.</w:t>
      </w:r>
    </w:p>
  </w:endnote>
  <w:endnote w:id="4">
    <w:p w14:paraId="391680B6" w14:textId="77777777" w:rsidR="00CA7E32" w:rsidRDefault="00CA7E32" w:rsidP="00C74C09">
      <w:pPr>
        <w:pStyle w:val="EndnoteText"/>
      </w:pPr>
      <w:r>
        <w:rPr>
          <w:rStyle w:val="EndnoteReference"/>
        </w:rPr>
        <w:endnoteRef/>
      </w:r>
      <w:r w:rsidRPr="00C74C09">
        <w:rPr>
          <w:rFonts w:cstheme="minorHAnsi"/>
        </w:rPr>
        <w:t xml:space="preserve"> Zandman-Goddard G, Amital H, Shamrayevsky N, Raz R, Shalev V, Chodick G. Rates of adherence and persistence with allopurinol therapy among gout patients in Israel. </w:t>
      </w:r>
      <w:hyperlink r:id="rId1" w:tooltip="Rheumatology (Oxford, England)." w:history="1">
        <w:r w:rsidRPr="00E869AC">
          <w:rPr>
            <w:rStyle w:val="Hyperlink"/>
            <w:rFonts w:cstheme="minorHAnsi"/>
            <w:color w:val="auto"/>
            <w:u w:val="none"/>
            <w:shd w:val="clear" w:color="auto" w:fill="FFFFFF"/>
          </w:rPr>
          <w:t>Rheumatology (Oxford).</w:t>
        </w:r>
      </w:hyperlink>
      <w:r w:rsidRPr="00E869AC">
        <w:rPr>
          <w:rFonts w:cstheme="minorHAnsi"/>
          <w:shd w:val="clear" w:color="auto" w:fill="FFFFFF"/>
        </w:rPr>
        <w:t> </w:t>
      </w:r>
      <w:r w:rsidRPr="00C74C09">
        <w:rPr>
          <w:rFonts w:cstheme="minorHAnsi"/>
          <w:shd w:val="clear" w:color="auto" w:fill="FFFFFF"/>
        </w:rPr>
        <w:t>2013 Jun;52(6):1126-31.</w:t>
      </w:r>
      <w:r w:rsidRPr="00C74C09">
        <w:rPr>
          <w:rFonts w:cstheme="minorHAnsi"/>
        </w:rPr>
        <w:t xml:space="preserve"> </w:t>
      </w:r>
    </w:p>
  </w:endnote>
  <w:endnote w:id="5">
    <w:p w14:paraId="2F54A461" w14:textId="77777777" w:rsidR="00CA7E32" w:rsidRDefault="00CA7E32" w:rsidP="007A09CA">
      <w:pPr>
        <w:pStyle w:val="EndnoteText"/>
      </w:pPr>
      <w:r>
        <w:rPr>
          <w:rStyle w:val="EndnoteReference"/>
        </w:rPr>
        <w:endnoteRef/>
      </w:r>
      <w:r w:rsidRPr="00C74C09">
        <w:rPr>
          <w:rFonts w:eastAsia="Times New Roman" w:cstheme="minorHAnsi"/>
        </w:rPr>
        <w:t>Yin R,</w:t>
      </w:r>
      <w:r>
        <w:rPr>
          <w:rFonts w:eastAsia="Times New Roman" w:cstheme="minorHAnsi"/>
        </w:rPr>
        <w:t xml:space="preserve"> Cao H, Fu T,</w:t>
      </w:r>
      <w:r w:rsidRPr="00C74C09">
        <w:rPr>
          <w:rFonts w:eastAsia="Times New Roman" w:cstheme="minorHAnsi"/>
        </w:rPr>
        <w:t> </w:t>
      </w:r>
      <w:r>
        <w:rPr>
          <w:rFonts w:eastAsia="Times New Roman" w:cstheme="minorHAnsi"/>
          <w:iCs/>
        </w:rPr>
        <w:t>Zhang </w:t>
      </w:r>
      <w:r w:rsidRPr="00C74C09">
        <w:rPr>
          <w:rFonts w:eastAsia="Times New Roman" w:cstheme="minorHAnsi"/>
          <w:iCs/>
        </w:rPr>
        <w:t>Q</w:t>
      </w:r>
      <w:r>
        <w:rPr>
          <w:rFonts w:eastAsia="Times New Roman" w:cstheme="minorHAnsi"/>
          <w:iCs/>
        </w:rPr>
        <w:t>,</w:t>
      </w:r>
      <w:r w:rsidRPr="00C74C09">
        <w:rPr>
          <w:rFonts w:eastAsia="Times New Roman" w:cstheme="minorHAnsi"/>
          <w:iCs/>
        </w:rPr>
        <w:t xml:space="preserve"> Zhang</w:t>
      </w:r>
      <w:r>
        <w:rPr>
          <w:rFonts w:eastAsia="Times New Roman" w:cstheme="minorHAnsi"/>
          <w:iCs/>
        </w:rPr>
        <w:t> L,</w:t>
      </w:r>
      <w:r w:rsidRPr="00C74C09">
        <w:rPr>
          <w:rFonts w:eastAsia="Times New Roman" w:cstheme="minorHAnsi"/>
        </w:rPr>
        <w:t> Li L,</w:t>
      </w:r>
      <w:r>
        <w:rPr>
          <w:rFonts w:eastAsia="Times New Roman" w:cstheme="minorHAnsi"/>
        </w:rPr>
        <w:t xml:space="preserve"> Gu Z. </w:t>
      </w:r>
      <w:r w:rsidRPr="007A09CA">
        <w:rPr>
          <w:rFonts w:eastAsia="Times New Roman" w:cstheme="minorHAnsi"/>
          <w:iCs/>
        </w:rPr>
        <w:t>The rate of adherence to urate</w:t>
      </w:r>
      <w:r>
        <w:rPr>
          <w:rFonts w:eastAsia="Times New Roman" w:cstheme="minorHAnsi"/>
          <w:iCs/>
        </w:rPr>
        <w:t>-</w:t>
      </w:r>
      <w:r w:rsidRPr="007A09CA">
        <w:rPr>
          <w:rFonts w:eastAsia="Times New Roman" w:cstheme="minorHAnsi"/>
          <w:iCs/>
        </w:rPr>
        <w:t>lowering therapy and associated factors in Chinese gout patients: a cross</w:t>
      </w:r>
      <w:r>
        <w:rPr>
          <w:rFonts w:eastAsia="Times New Roman" w:cstheme="minorHAnsi"/>
          <w:iCs/>
        </w:rPr>
        <w:t>-</w:t>
      </w:r>
      <w:r w:rsidRPr="007A09CA">
        <w:rPr>
          <w:rFonts w:eastAsia="Times New Roman" w:cstheme="minorHAnsi"/>
          <w:iCs/>
        </w:rPr>
        <w:t>sectional study</w:t>
      </w:r>
      <w:r>
        <w:rPr>
          <w:rFonts w:eastAsia="Times New Roman" w:cstheme="minorHAnsi"/>
          <w:iCs/>
        </w:rPr>
        <w:t xml:space="preserve">. Rheumatol Int </w:t>
      </w:r>
      <w:r w:rsidRPr="00AC766B">
        <w:rPr>
          <w:rFonts w:eastAsia="Times New Roman" w:cstheme="minorHAnsi"/>
          <w:iCs/>
        </w:rPr>
        <w:t>2017</w:t>
      </w:r>
      <w:r>
        <w:rPr>
          <w:rFonts w:eastAsia="Times New Roman" w:cstheme="minorHAnsi"/>
          <w:iCs/>
        </w:rPr>
        <w:t>;</w:t>
      </w:r>
      <w:r w:rsidRPr="00AC766B">
        <w:rPr>
          <w:rFonts w:eastAsia="Times New Roman" w:cstheme="minorHAnsi"/>
          <w:iCs/>
        </w:rPr>
        <w:t>37:1187–1194</w:t>
      </w:r>
      <w:r>
        <w:rPr>
          <w:rFonts w:eastAsia="Times New Roman" w:cstheme="minorHAnsi"/>
          <w:iCs/>
        </w:rPr>
        <w:t>. DOI </w:t>
      </w:r>
      <w:r w:rsidRPr="00AC766B">
        <w:rPr>
          <w:rFonts w:eastAsia="Times New Roman" w:cstheme="minorHAnsi"/>
          <w:iCs/>
        </w:rPr>
        <w:t>10.1007/s00296-017-3746-x</w:t>
      </w:r>
      <w:r w:rsidR="00370CAB">
        <w:rPr>
          <w:rFonts w:eastAsia="Times New Roman" w:cstheme="minorHAnsi"/>
          <w:iCs/>
        </w:rPr>
        <w:t>.</w:t>
      </w:r>
    </w:p>
  </w:endnote>
  <w:endnote w:id="6">
    <w:p w14:paraId="5D32E40B" w14:textId="77777777" w:rsidR="00CA7E32" w:rsidRDefault="00CA7E32" w:rsidP="00AC766B">
      <w:pPr>
        <w:pStyle w:val="EndnoteText"/>
      </w:pPr>
      <w:r>
        <w:rPr>
          <w:rStyle w:val="EndnoteReference"/>
        </w:rPr>
        <w:endnoteRef/>
      </w:r>
      <w:r>
        <w:t xml:space="preserve"> </w:t>
      </w:r>
      <w:r w:rsidRPr="00AC766B">
        <w:rPr>
          <w:rFonts w:cstheme="minorHAnsi"/>
          <w:shd w:val="clear" w:color="auto" w:fill="FFFFFF"/>
        </w:rPr>
        <w:t>McGowan</w:t>
      </w:r>
      <w:r>
        <w:rPr>
          <w:rFonts w:cstheme="minorHAnsi"/>
          <w:shd w:val="clear" w:color="auto" w:fill="FFFFFF"/>
        </w:rPr>
        <w:t xml:space="preserve"> B, Bennett K, Silke C, Whelan B. </w:t>
      </w:r>
      <w:r w:rsidRPr="00AC766B">
        <w:rPr>
          <w:rFonts w:cstheme="minorHAnsi"/>
          <w:shd w:val="clear" w:color="auto" w:fill="FFFFFF"/>
        </w:rPr>
        <w:t>Adherence and persistence to urate-lowering therapies</w:t>
      </w:r>
      <w:r w:rsidR="00E869AC">
        <w:rPr>
          <w:rFonts w:cstheme="minorHAnsi"/>
          <w:shd w:val="clear" w:color="auto" w:fill="FFFFFF"/>
        </w:rPr>
        <w:t xml:space="preserve"> </w:t>
      </w:r>
      <w:r w:rsidRPr="00AC766B">
        <w:rPr>
          <w:rFonts w:cstheme="minorHAnsi"/>
          <w:shd w:val="clear" w:color="auto" w:fill="FFFFFF"/>
        </w:rPr>
        <w:t>in the Irish setting</w:t>
      </w:r>
      <w:r>
        <w:rPr>
          <w:rFonts w:cstheme="minorHAnsi"/>
          <w:shd w:val="clear" w:color="auto" w:fill="FFFFFF"/>
        </w:rPr>
        <w:t xml:space="preserve">. Clin Rheumatol </w:t>
      </w:r>
      <w:r w:rsidRPr="00541EE0">
        <w:rPr>
          <w:rFonts w:cstheme="minorHAnsi"/>
          <w:shd w:val="clear" w:color="auto" w:fill="FFFFFF"/>
        </w:rPr>
        <w:t>2016</w:t>
      </w:r>
      <w:r>
        <w:rPr>
          <w:rFonts w:cstheme="minorHAnsi"/>
          <w:shd w:val="clear" w:color="auto" w:fill="FFFFFF"/>
        </w:rPr>
        <w:t>;</w:t>
      </w:r>
      <w:r w:rsidRPr="00541EE0">
        <w:rPr>
          <w:rFonts w:cstheme="minorHAnsi"/>
          <w:shd w:val="clear" w:color="auto" w:fill="FFFFFF"/>
        </w:rPr>
        <w:t>35:715–721</w:t>
      </w:r>
      <w:r>
        <w:rPr>
          <w:rFonts w:cstheme="minorHAnsi"/>
          <w:shd w:val="clear" w:color="auto" w:fill="FFFFFF"/>
        </w:rPr>
        <w:t>.</w:t>
      </w:r>
      <w:r w:rsidRPr="00541EE0">
        <w:t xml:space="preserve"> </w:t>
      </w:r>
      <w:r w:rsidRPr="00541EE0">
        <w:rPr>
          <w:rFonts w:cstheme="minorHAnsi"/>
          <w:shd w:val="clear" w:color="auto" w:fill="FFFFFF"/>
        </w:rPr>
        <w:t>DOI 10.1007/s10067-014-2823-8</w:t>
      </w:r>
      <w:r w:rsidR="00370CAB">
        <w:rPr>
          <w:rFonts w:cstheme="minorHAnsi"/>
          <w:shd w:val="clear" w:color="auto" w:fill="FFFFFF"/>
        </w:rPr>
        <w:t>.</w:t>
      </w:r>
    </w:p>
  </w:endnote>
  <w:endnote w:id="7">
    <w:p w14:paraId="04636CCA" w14:textId="77777777" w:rsidR="00CA7E32" w:rsidRDefault="00CA7E32" w:rsidP="00541EE0">
      <w:pPr>
        <w:pStyle w:val="EndnoteText"/>
      </w:pPr>
      <w:r>
        <w:rPr>
          <w:rStyle w:val="EndnoteReference"/>
        </w:rPr>
        <w:endnoteRef/>
      </w:r>
      <w:r>
        <w:t xml:space="preserve"> </w:t>
      </w:r>
      <w:r w:rsidRPr="00AC766B">
        <w:rPr>
          <w:rFonts w:cstheme="minorHAnsi"/>
          <w:shd w:val="clear" w:color="auto" w:fill="FFFFFF"/>
        </w:rPr>
        <w:t>Aung</w:t>
      </w:r>
      <w:r>
        <w:rPr>
          <w:rFonts w:cstheme="minorHAnsi"/>
          <w:shd w:val="clear" w:color="auto" w:fill="FFFFFF"/>
        </w:rPr>
        <w:t xml:space="preserve"> T, Myung G, FitzGerald JD. </w:t>
      </w:r>
      <w:r w:rsidRPr="00541EE0">
        <w:rPr>
          <w:rFonts w:cstheme="minorHAnsi"/>
          <w:shd w:val="clear" w:color="auto" w:fill="FFFFFF"/>
        </w:rPr>
        <w:t>Treatment approaches and adherence to urate-lowering therapy for patients with gout</w:t>
      </w:r>
      <w:r>
        <w:rPr>
          <w:rFonts w:cstheme="minorHAnsi"/>
          <w:shd w:val="clear" w:color="auto" w:fill="FFFFFF"/>
        </w:rPr>
        <w:t>.</w:t>
      </w:r>
      <w:r w:rsidRPr="00541EE0">
        <w:rPr>
          <w:rFonts w:cstheme="minorHAnsi"/>
          <w:shd w:val="clear" w:color="auto" w:fill="FFFFFF"/>
        </w:rPr>
        <w:t xml:space="preserve"> Patient Preference and Adherence 2017</w:t>
      </w:r>
      <w:r>
        <w:rPr>
          <w:rFonts w:cstheme="minorHAnsi"/>
          <w:shd w:val="clear" w:color="auto" w:fill="FFFFFF"/>
        </w:rPr>
        <w:t>;</w:t>
      </w:r>
      <w:r w:rsidRPr="00541EE0">
        <w:rPr>
          <w:rFonts w:cstheme="minorHAnsi"/>
          <w:shd w:val="clear" w:color="auto" w:fill="FFFFFF"/>
        </w:rPr>
        <w:t>11</w:t>
      </w:r>
      <w:r w:rsidR="00370CAB">
        <w:rPr>
          <w:rFonts w:cstheme="minorHAnsi"/>
          <w:shd w:val="clear" w:color="auto" w:fill="FFFFFF"/>
        </w:rPr>
        <w:t>:</w:t>
      </w:r>
      <w:r w:rsidRPr="00541EE0">
        <w:rPr>
          <w:rFonts w:cstheme="minorHAnsi"/>
          <w:shd w:val="clear" w:color="auto" w:fill="FFFFFF"/>
        </w:rPr>
        <w:t xml:space="preserve"> 795–800</w:t>
      </w:r>
      <w:r>
        <w:rPr>
          <w:rFonts w:cstheme="minorHAnsi"/>
          <w:shd w:val="clear" w:color="auto" w:fill="FFFFFF"/>
        </w:rPr>
        <w:t xml:space="preserve">. </w:t>
      </w:r>
      <w:r w:rsidRPr="00541EE0">
        <w:rPr>
          <w:rFonts w:cstheme="minorHAnsi"/>
          <w:bCs/>
          <w:shd w:val="clear" w:color="auto" w:fill="FFFFFF"/>
        </w:rPr>
        <w:t>DOI</w:t>
      </w:r>
      <w:r w:rsidRPr="00541EE0">
        <w:rPr>
          <w:rFonts w:cstheme="minorHAnsi"/>
          <w:shd w:val="clear" w:color="auto" w:fill="FFFFFF"/>
        </w:rPr>
        <w:t xml:space="preserve"> 10.2147/PPA.S97927</w:t>
      </w:r>
      <w:r w:rsidR="006A2D1F">
        <w:rPr>
          <w:rFonts w:cstheme="minorHAnsi"/>
          <w:shd w:val="clear" w:color="auto" w:fill="FFFFFF"/>
        </w:rPr>
        <w:t>.</w:t>
      </w:r>
    </w:p>
  </w:endnote>
  <w:endnote w:id="8">
    <w:p w14:paraId="75513F58" w14:textId="77777777" w:rsidR="00CA7E32" w:rsidRDefault="00CA7E32">
      <w:pPr>
        <w:pStyle w:val="EndnoteText"/>
      </w:pPr>
      <w:r w:rsidRPr="002F20DF">
        <w:rPr>
          <w:rStyle w:val="EndnoteReference"/>
        </w:rPr>
        <w:endnoteRef/>
      </w:r>
      <w:r w:rsidRPr="002F20DF">
        <w:t xml:space="preserve"> Adenuric (Feboxustat) Australian Consumer Medicine Information. Chatswood: Menarini Australia.</w:t>
      </w:r>
      <w:r w:rsidR="006A2D1F">
        <w:t xml:space="preserve"> December 2014. Available from: </w:t>
      </w:r>
      <w:hyperlink r:id="rId2" w:history="1">
        <w:r w:rsidRPr="00BF18DB">
          <w:rPr>
            <w:rStyle w:val="Hyperlink"/>
          </w:rPr>
          <w:t>https://www.ebs.tga.gov.au/</w:t>
        </w:r>
      </w:hyperlink>
      <w:r>
        <w:t>. Accessed  05</w:t>
      </w:r>
      <w:r w:rsidRPr="002F20DF">
        <w:t xml:space="preserve"> March 2018.</w:t>
      </w:r>
    </w:p>
  </w:endnote>
  <w:endnote w:id="9">
    <w:p w14:paraId="48F81B7D" w14:textId="77777777" w:rsidR="00CA7E32" w:rsidRPr="008E2A99" w:rsidRDefault="00CA7E32" w:rsidP="004C11DF">
      <w:pPr>
        <w:spacing w:after="0"/>
        <w:rPr>
          <w:sz w:val="20"/>
          <w:szCs w:val="20"/>
        </w:rPr>
      </w:pPr>
      <w:r w:rsidRPr="008E2A99">
        <w:rPr>
          <w:rStyle w:val="EndnoteReference"/>
          <w:sz w:val="20"/>
          <w:szCs w:val="20"/>
        </w:rPr>
        <w:endnoteRef/>
      </w:r>
      <w:r w:rsidRPr="008E2A99">
        <w:rPr>
          <w:sz w:val="20"/>
          <w:szCs w:val="20"/>
        </w:rPr>
        <w:t xml:space="preserve"> White WB, Saag KG, Becker MA, Borer JS, Gorelick PB, Whelton A, et al. Cardiovascular Safety of Febuxostat or allopurinol in patients with gout. </w:t>
      </w:r>
      <w:hyperlink r:id="rId3" w:tooltip="The New England journal of medicine." w:history="1">
        <w:r w:rsidRPr="008E2A99">
          <w:rPr>
            <w:sz w:val="20"/>
            <w:szCs w:val="20"/>
          </w:rPr>
          <w:t>N Engl J Med.</w:t>
        </w:r>
      </w:hyperlink>
      <w:r w:rsidRPr="008E2A99">
        <w:rPr>
          <w:sz w:val="20"/>
          <w:szCs w:val="20"/>
        </w:rPr>
        <w:t> 2018</w:t>
      </w:r>
      <w:r w:rsidR="00E869AC">
        <w:rPr>
          <w:sz w:val="20"/>
          <w:szCs w:val="20"/>
        </w:rPr>
        <w:t xml:space="preserve"> Mar 29;378(13):1200-1210. doi: </w:t>
      </w:r>
      <w:r w:rsidRPr="008E2A99">
        <w:rPr>
          <w:sz w:val="20"/>
          <w:szCs w:val="20"/>
        </w:rPr>
        <w:t>10.1056/NEJMoa1710895. Epub 2018 Mar 12.</w:t>
      </w:r>
    </w:p>
  </w:endnote>
  <w:endnote w:id="10">
    <w:p w14:paraId="71436273" w14:textId="77777777" w:rsidR="00CA7E32" w:rsidRDefault="00CA7E32" w:rsidP="004C11DF">
      <w:pPr>
        <w:spacing w:after="0"/>
        <w:rPr>
          <w:rFonts w:cstheme="minorHAnsi"/>
          <w:color w:val="000000"/>
          <w:sz w:val="20"/>
          <w:szCs w:val="20"/>
          <w:shd w:val="clear" w:color="auto" w:fill="FFFFFF"/>
        </w:rPr>
      </w:pPr>
      <w:r w:rsidRPr="008E2A99">
        <w:rPr>
          <w:rStyle w:val="EndnoteReference"/>
          <w:rFonts w:cstheme="minorHAnsi"/>
          <w:sz w:val="20"/>
          <w:szCs w:val="20"/>
        </w:rPr>
        <w:endnoteRef/>
      </w:r>
      <w:r w:rsidRPr="008E2A99">
        <w:rPr>
          <w:rFonts w:cstheme="minorHAnsi"/>
          <w:sz w:val="20"/>
          <w:szCs w:val="20"/>
        </w:rPr>
        <w:t xml:space="preserve"> Schumacher HR Jr, Becker MA, Lloyd E, MacDonald PA, Lademacher C. Febuxostat in the treatment of gout: 5-yr findings of the FOCUS efficacy and safety study. </w:t>
      </w:r>
      <w:hyperlink r:id="rId4" w:tooltip="Rheumatology (Oxford, England)." w:history="1">
        <w:r w:rsidRPr="00567BD3">
          <w:rPr>
            <w:rStyle w:val="Hyperlink"/>
            <w:rFonts w:cstheme="minorHAnsi"/>
            <w:color w:val="auto"/>
            <w:sz w:val="20"/>
            <w:szCs w:val="20"/>
            <w:u w:val="none"/>
            <w:shd w:val="clear" w:color="auto" w:fill="FFFFFF"/>
          </w:rPr>
          <w:t>Rheumatology (Oxford).</w:t>
        </w:r>
      </w:hyperlink>
      <w:r w:rsidRPr="00567BD3">
        <w:rPr>
          <w:rFonts w:cstheme="minorHAnsi"/>
          <w:sz w:val="20"/>
          <w:szCs w:val="20"/>
          <w:shd w:val="clear" w:color="auto" w:fill="FFFFFF"/>
        </w:rPr>
        <w:t xml:space="preserve"> 2009 </w:t>
      </w:r>
      <w:r w:rsidR="00E869AC">
        <w:rPr>
          <w:rFonts w:cstheme="minorHAnsi"/>
          <w:color w:val="000000"/>
          <w:sz w:val="20"/>
          <w:szCs w:val="20"/>
          <w:shd w:val="clear" w:color="auto" w:fill="FFFFFF"/>
        </w:rPr>
        <w:t>Feb;48(2):188-94. doi: </w:t>
      </w:r>
      <w:r w:rsidRPr="008E2A99">
        <w:rPr>
          <w:rFonts w:cstheme="minorHAnsi"/>
          <w:color w:val="000000"/>
          <w:sz w:val="20"/>
          <w:szCs w:val="20"/>
          <w:shd w:val="clear" w:color="auto" w:fill="FFFFFF"/>
        </w:rPr>
        <w:t>10.1093/rheumatology/ken457.</w:t>
      </w:r>
    </w:p>
    <w:p w14:paraId="4124C007" w14:textId="77777777" w:rsidR="00073F18" w:rsidRDefault="00073F18" w:rsidP="004C11DF">
      <w:pPr>
        <w:spacing w:after="0"/>
        <w:rPr>
          <w:rFonts w:cstheme="minorHAnsi"/>
          <w:color w:val="000000"/>
          <w:sz w:val="20"/>
          <w:szCs w:val="20"/>
          <w:shd w:val="clear" w:color="auto" w:fill="FFFFFF"/>
        </w:rPr>
      </w:pPr>
    </w:p>
    <w:p w14:paraId="39E795E6" w14:textId="77777777" w:rsidR="00073F18" w:rsidRPr="00F024E2" w:rsidRDefault="00073F18" w:rsidP="00073F18">
      <w:pPr>
        <w:keepNext/>
        <w:keepLines/>
        <w:spacing w:before="480" w:after="240"/>
        <w:outlineLvl w:val="0"/>
        <w:rPr>
          <w:rFonts w:eastAsiaTheme="majorEastAsia" w:cstheme="majorBidi"/>
          <w:b/>
          <w:bCs/>
          <w:sz w:val="32"/>
          <w:szCs w:val="32"/>
        </w:rPr>
      </w:pPr>
      <w:r w:rsidRPr="00F024E2">
        <w:rPr>
          <w:rFonts w:eastAsiaTheme="majorEastAsia" w:cstheme="majorBidi"/>
          <w:b/>
          <w:bCs/>
          <w:sz w:val="32"/>
          <w:szCs w:val="32"/>
        </w:rPr>
        <w:t>Disclaimer</w:t>
      </w:r>
    </w:p>
    <w:p w14:paraId="046E6BBB" w14:textId="77777777" w:rsidR="00073F18" w:rsidRPr="00F024E2" w:rsidRDefault="00073F18" w:rsidP="00073F18">
      <w:r w:rsidRPr="00F024E2">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1B2789E0" w14:textId="77777777" w:rsidR="00073F18" w:rsidRPr="00F024E2" w:rsidRDefault="00073F18" w:rsidP="00073F18">
      <w:r w:rsidRPr="00F024E2">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56E11EE8" w14:textId="77777777" w:rsidR="00073F18" w:rsidRPr="00F024E2" w:rsidRDefault="00073F18" w:rsidP="00073F18">
      <w:r w:rsidRPr="00F024E2">
        <w:t xml:space="preserve">To the extent provided by law, DoH makes no warranties or representations as to accuracy or completeness of information contained in this report. </w:t>
      </w:r>
    </w:p>
    <w:p w14:paraId="156B7D88" w14:textId="77777777" w:rsidR="00073F18" w:rsidRPr="00F024E2" w:rsidRDefault="00073F18" w:rsidP="00073F18">
      <w:r w:rsidRPr="00F024E2">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57BB7650" w14:textId="77777777" w:rsidR="00073F18" w:rsidRPr="004C11DF" w:rsidRDefault="00073F18" w:rsidP="004C11DF">
      <w:pPr>
        <w:spacing w:after="0"/>
        <w:rPr>
          <w:rFonts w:cstheme="minorHAns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2287" w:usb1="00000060" w:usb2="00000008" w:usb3="00000000" w:csb0="00000093"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80EC3" w14:textId="77777777" w:rsidR="00214013" w:rsidRDefault="0021401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C5B29A8"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FD55412" w14:textId="77777777" w:rsidR="00B47464" w:rsidRDefault="00B47464" w:rsidP="000E72C6">
            <w:pPr>
              <w:pStyle w:val="Footer"/>
              <w:jc w:val="center"/>
              <w:rPr>
                <w:i/>
                <w:sz w:val="20"/>
              </w:rPr>
            </w:pPr>
            <w:r>
              <w:rPr>
                <w:i/>
                <w:sz w:val="20"/>
              </w:rPr>
              <w:t>Public Release Document, September 2018 DUSC Meeting</w:t>
            </w:r>
          </w:p>
          <w:p w14:paraId="760709C8" w14:textId="1A0A45EA"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2010AF">
              <w:rPr>
                <w:bCs/>
                <w:i/>
                <w:noProof/>
                <w:sz w:val="20"/>
              </w:rPr>
              <w:t>15</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2010AF">
              <w:rPr>
                <w:bCs/>
                <w:i/>
                <w:noProof/>
                <w:sz w:val="20"/>
              </w:rPr>
              <w:t>16</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29FCE" w14:textId="77777777" w:rsidR="007A5733" w:rsidRDefault="007A5733" w:rsidP="007A5733">
    <w:pPr>
      <w:pStyle w:val="Footer"/>
      <w:jc w:val="center"/>
      <w:rPr>
        <w:rStyle w:val="PageNumber"/>
      </w:rPr>
    </w:pPr>
    <w:r>
      <w:rPr>
        <w:rStyle w:val="PageNumber"/>
      </w:rPr>
      <w:t>Committee-in-Confidence</w:t>
    </w:r>
  </w:p>
  <w:p w14:paraId="12D98365"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E5220" w14:textId="77777777" w:rsidR="007D505C" w:rsidRDefault="007D505C" w:rsidP="00A35800">
      <w:r>
        <w:separator/>
      </w:r>
    </w:p>
  </w:footnote>
  <w:footnote w:type="continuationSeparator" w:id="0">
    <w:p w14:paraId="1D02D798" w14:textId="77777777" w:rsidR="007D505C" w:rsidRDefault="007D505C" w:rsidP="00A35800">
      <w:r>
        <w:continuationSeparator/>
      </w:r>
    </w:p>
  </w:footnote>
  <w:footnote w:id="1">
    <w:p w14:paraId="58E3E6A5" w14:textId="77777777" w:rsidR="00FD1234" w:rsidRDefault="00FD1234" w:rsidP="00FD1234">
      <w:pPr>
        <w:pStyle w:val="FootnoteText"/>
      </w:pPr>
      <w:r>
        <w:rPr>
          <w:rStyle w:val="FootnoteReference"/>
        </w:rPr>
        <w:footnoteRef/>
      </w:r>
      <w:r>
        <w:t xml:space="preserve"> White WB, Saag KG, Becker MA, Borer JS, Gorelick PB, Whelton A, et al. </w:t>
      </w:r>
      <w:r w:rsidRPr="00476BA0">
        <w:t>Cardiovascular Safety of Febuxostat or Allopurinol in Patients with Gout</w:t>
      </w:r>
      <w:r>
        <w:t xml:space="preserve">. </w:t>
      </w:r>
      <w:r w:rsidRPr="00476BA0">
        <w:t>N Engl J Med 2018; 378:</w:t>
      </w:r>
      <w:r>
        <w:t xml:space="preserve"> </w:t>
      </w:r>
      <w:r w:rsidRPr="00476BA0">
        <w:t>1200-1210</w:t>
      </w:r>
      <w:r>
        <w:t xml:space="preserve">. </w:t>
      </w:r>
      <w:r w:rsidRPr="00476BA0">
        <w:t>DOI: 10.1056/NEJMoa1710895</w:t>
      </w:r>
    </w:p>
  </w:footnote>
  <w:footnote w:id="2">
    <w:p w14:paraId="3A142959" w14:textId="77777777" w:rsidR="00FD1234" w:rsidRDefault="00FD1234" w:rsidP="00FD1234">
      <w:pPr>
        <w:pStyle w:val="FootnoteText"/>
      </w:pPr>
      <w:r>
        <w:rPr>
          <w:rStyle w:val="FootnoteReference"/>
        </w:rPr>
        <w:footnoteRef/>
      </w:r>
      <w:r>
        <w:t xml:space="preserve"> </w:t>
      </w:r>
      <w:hyperlink r:id="rId1" w:history="1">
        <w:r w:rsidRPr="00D13072">
          <w:rPr>
            <w:rStyle w:val="Hyperlink"/>
          </w:rPr>
          <w:t>July 2017 PBAC public summary document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FCE30" w14:textId="77777777" w:rsidR="00856891" w:rsidRDefault="00856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0A470" w14:textId="77777777" w:rsidR="00856891" w:rsidRDefault="008568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F8DF3" w14:textId="77777777" w:rsidR="00856891" w:rsidRDefault="00856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819D6"/>
    <w:multiLevelType w:val="multilevel"/>
    <w:tmpl w:val="A63E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863BC"/>
    <w:multiLevelType w:val="multilevel"/>
    <w:tmpl w:val="E224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090433"/>
    <w:multiLevelType w:val="hybridMultilevel"/>
    <w:tmpl w:val="AE66EB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004146"/>
    <w:multiLevelType w:val="hybridMultilevel"/>
    <w:tmpl w:val="D3BEC0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7C50A30"/>
    <w:multiLevelType w:val="hybridMultilevel"/>
    <w:tmpl w:val="89F4C8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8C6794A"/>
    <w:multiLevelType w:val="hybridMultilevel"/>
    <w:tmpl w:val="9E140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3B72E8C"/>
    <w:multiLevelType w:val="hybridMultilevel"/>
    <w:tmpl w:val="FB544826"/>
    <w:lvl w:ilvl="0" w:tplc="3CB8D3AC">
      <w:start w:val="3"/>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3D4028"/>
    <w:multiLevelType w:val="hybridMultilevel"/>
    <w:tmpl w:val="CACA4E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B415A62"/>
    <w:multiLevelType w:val="hybridMultilevel"/>
    <w:tmpl w:val="44084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B34216"/>
    <w:multiLevelType w:val="hybridMultilevel"/>
    <w:tmpl w:val="004C9A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2880EB7"/>
    <w:multiLevelType w:val="hybridMultilevel"/>
    <w:tmpl w:val="EB1ACC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84D033C"/>
    <w:multiLevelType w:val="multilevel"/>
    <w:tmpl w:val="27AAEEF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BA65D7"/>
    <w:multiLevelType w:val="hybridMultilevel"/>
    <w:tmpl w:val="2996E8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7"/>
  </w:num>
  <w:num w:numId="3">
    <w:abstractNumId w:val="2"/>
  </w:num>
  <w:num w:numId="4">
    <w:abstractNumId w:val="1"/>
  </w:num>
  <w:num w:numId="5">
    <w:abstractNumId w:val="0"/>
  </w:num>
  <w:num w:numId="6">
    <w:abstractNumId w:val="3"/>
  </w:num>
  <w:num w:numId="7">
    <w:abstractNumId w:val="14"/>
  </w:num>
  <w:num w:numId="8">
    <w:abstractNumId w:val="9"/>
  </w:num>
  <w:num w:numId="9">
    <w:abstractNumId w:val="11"/>
  </w:num>
  <w:num w:numId="10">
    <w:abstractNumId w:val="6"/>
  </w:num>
  <w:num w:numId="11">
    <w:abstractNumId w:val="5"/>
  </w:num>
  <w:num w:numId="12">
    <w:abstractNumId w:val="8"/>
  </w:num>
  <w:num w:numId="13">
    <w:abstractNumId w:val="4"/>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SpellingErrors/>
  <w:hideGrammaticalErrors/>
  <w:defaultTabStop w:val="720"/>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1"/>
    <w:rsid w:val="00000038"/>
    <w:rsid w:val="00000DBE"/>
    <w:rsid w:val="00001A1E"/>
    <w:rsid w:val="00007E85"/>
    <w:rsid w:val="00013465"/>
    <w:rsid w:val="00015328"/>
    <w:rsid w:val="000226B3"/>
    <w:rsid w:val="00024549"/>
    <w:rsid w:val="00033B30"/>
    <w:rsid w:val="0003570F"/>
    <w:rsid w:val="00036165"/>
    <w:rsid w:val="00037BE4"/>
    <w:rsid w:val="00043AA8"/>
    <w:rsid w:val="0004478D"/>
    <w:rsid w:val="0005100F"/>
    <w:rsid w:val="000544B6"/>
    <w:rsid w:val="000549DD"/>
    <w:rsid w:val="000604AF"/>
    <w:rsid w:val="00060678"/>
    <w:rsid w:val="00061A89"/>
    <w:rsid w:val="00066B58"/>
    <w:rsid w:val="00066B9F"/>
    <w:rsid w:val="00070224"/>
    <w:rsid w:val="000729FC"/>
    <w:rsid w:val="00073F18"/>
    <w:rsid w:val="00081838"/>
    <w:rsid w:val="0008423C"/>
    <w:rsid w:val="000855E7"/>
    <w:rsid w:val="00086C11"/>
    <w:rsid w:val="000921A4"/>
    <w:rsid w:val="00092D33"/>
    <w:rsid w:val="00093B27"/>
    <w:rsid w:val="00094DCF"/>
    <w:rsid w:val="000A0123"/>
    <w:rsid w:val="000A6CFD"/>
    <w:rsid w:val="000B0982"/>
    <w:rsid w:val="000B1D6B"/>
    <w:rsid w:val="000B796C"/>
    <w:rsid w:val="000C1E59"/>
    <w:rsid w:val="000C2DC2"/>
    <w:rsid w:val="000C33FD"/>
    <w:rsid w:val="000C46BB"/>
    <w:rsid w:val="000C4811"/>
    <w:rsid w:val="000C4D9D"/>
    <w:rsid w:val="000C6204"/>
    <w:rsid w:val="000C7800"/>
    <w:rsid w:val="000C7861"/>
    <w:rsid w:val="000C7C4B"/>
    <w:rsid w:val="000C7D8B"/>
    <w:rsid w:val="000D3557"/>
    <w:rsid w:val="000E0D1A"/>
    <w:rsid w:val="000E45FE"/>
    <w:rsid w:val="000E485D"/>
    <w:rsid w:val="000E72C6"/>
    <w:rsid w:val="000F1893"/>
    <w:rsid w:val="000F2F51"/>
    <w:rsid w:val="000F59E3"/>
    <w:rsid w:val="00101128"/>
    <w:rsid w:val="00101BE7"/>
    <w:rsid w:val="00104B52"/>
    <w:rsid w:val="00113CF8"/>
    <w:rsid w:val="00113D74"/>
    <w:rsid w:val="00117C5C"/>
    <w:rsid w:val="00120383"/>
    <w:rsid w:val="00121FC7"/>
    <w:rsid w:val="00125E8B"/>
    <w:rsid w:val="001310AE"/>
    <w:rsid w:val="00132259"/>
    <w:rsid w:val="0013279B"/>
    <w:rsid w:val="00132858"/>
    <w:rsid w:val="00133E44"/>
    <w:rsid w:val="001420B3"/>
    <w:rsid w:val="001460C4"/>
    <w:rsid w:val="001464F4"/>
    <w:rsid w:val="001473D1"/>
    <w:rsid w:val="0015605A"/>
    <w:rsid w:val="0015691C"/>
    <w:rsid w:val="001578A2"/>
    <w:rsid w:val="00160C34"/>
    <w:rsid w:val="001621F7"/>
    <w:rsid w:val="001624D7"/>
    <w:rsid w:val="001634DB"/>
    <w:rsid w:val="001656FF"/>
    <w:rsid w:val="001672A6"/>
    <w:rsid w:val="00167AD2"/>
    <w:rsid w:val="0017072B"/>
    <w:rsid w:val="00172853"/>
    <w:rsid w:val="00177B86"/>
    <w:rsid w:val="00182585"/>
    <w:rsid w:val="001840A0"/>
    <w:rsid w:val="00186912"/>
    <w:rsid w:val="00191182"/>
    <w:rsid w:val="0019148A"/>
    <w:rsid w:val="0019421D"/>
    <w:rsid w:val="0019594F"/>
    <w:rsid w:val="0019664D"/>
    <w:rsid w:val="001A21B2"/>
    <w:rsid w:val="001A6103"/>
    <w:rsid w:val="001B05C3"/>
    <w:rsid w:val="001B15D5"/>
    <w:rsid w:val="001B3F53"/>
    <w:rsid w:val="001B5D37"/>
    <w:rsid w:val="001C1BFC"/>
    <w:rsid w:val="001C1EDF"/>
    <w:rsid w:val="001C2940"/>
    <w:rsid w:val="001C4016"/>
    <w:rsid w:val="001C548D"/>
    <w:rsid w:val="001C6A5D"/>
    <w:rsid w:val="001D3542"/>
    <w:rsid w:val="001E013B"/>
    <w:rsid w:val="001E31A6"/>
    <w:rsid w:val="001E42C7"/>
    <w:rsid w:val="001E4CAB"/>
    <w:rsid w:val="001F0A4E"/>
    <w:rsid w:val="001F2B7C"/>
    <w:rsid w:val="001F2F3E"/>
    <w:rsid w:val="001F4906"/>
    <w:rsid w:val="001F5F29"/>
    <w:rsid w:val="001F7C4A"/>
    <w:rsid w:val="002010AF"/>
    <w:rsid w:val="002026CC"/>
    <w:rsid w:val="0020578A"/>
    <w:rsid w:val="00205B37"/>
    <w:rsid w:val="00207631"/>
    <w:rsid w:val="00210248"/>
    <w:rsid w:val="00210B57"/>
    <w:rsid w:val="00211D32"/>
    <w:rsid w:val="00213E2B"/>
    <w:rsid w:val="00214013"/>
    <w:rsid w:val="00214C31"/>
    <w:rsid w:val="00216C15"/>
    <w:rsid w:val="00220FC1"/>
    <w:rsid w:val="00222E9A"/>
    <w:rsid w:val="00223CA4"/>
    <w:rsid w:val="00225938"/>
    <w:rsid w:val="0022679A"/>
    <w:rsid w:val="002304DF"/>
    <w:rsid w:val="0023179D"/>
    <w:rsid w:val="00233036"/>
    <w:rsid w:val="002344C3"/>
    <w:rsid w:val="0024000F"/>
    <w:rsid w:val="0024015B"/>
    <w:rsid w:val="0024467B"/>
    <w:rsid w:val="00246574"/>
    <w:rsid w:val="002521B0"/>
    <w:rsid w:val="0025389D"/>
    <w:rsid w:val="00253D15"/>
    <w:rsid w:val="00254E02"/>
    <w:rsid w:val="00256A3A"/>
    <w:rsid w:val="00260195"/>
    <w:rsid w:val="00261FF8"/>
    <w:rsid w:val="0026224A"/>
    <w:rsid w:val="0026265F"/>
    <w:rsid w:val="002643AA"/>
    <w:rsid w:val="00272BD8"/>
    <w:rsid w:val="002772E1"/>
    <w:rsid w:val="00282D50"/>
    <w:rsid w:val="00284A5B"/>
    <w:rsid w:val="00286C3A"/>
    <w:rsid w:val="002915B5"/>
    <w:rsid w:val="00291B03"/>
    <w:rsid w:val="002930F5"/>
    <w:rsid w:val="002947A6"/>
    <w:rsid w:val="002A06B7"/>
    <w:rsid w:val="002A2929"/>
    <w:rsid w:val="002A5BA7"/>
    <w:rsid w:val="002A6897"/>
    <w:rsid w:val="002C6E0C"/>
    <w:rsid w:val="002C7E4F"/>
    <w:rsid w:val="002D144A"/>
    <w:rsid w:val="002D181C"/>
    <w:rsid w:val="002D5629"/>
    <w:rsid w:val="002D711B"/>
    <w:rsid w:val="002D7F49"/>
    <w:rsid w:val="002E19A3"/>
    <w:rsid w:val="002E212B"/>
    <w:rsid w:val="002E3337"/>
    <w:rsid w:val="002E5744"/>
    <w:rsid w:val="002E6D03"/>
    <w:rsid w:val="002F0B2A"/>
    <w:rsid w:val="002F20DF"/>
    <w:rsid w:val="002F49A8"/>
    <w:rsid w:val="002F5D18"/>
    <w:rsid w:val="002F5E66"/>
    <w:rsid w:val="002F61CA"/>
    <w:rsid w:val="0030010D"/>
    <w:rsid w:val="003016BC"/>
    <w:rsid w:val="00303FA9"/>
    <w:rsid w:val="00315179"/>
    <w:rsid w:val="00331AD0"/>
    <w:rsid w:val="0033217D"/>
    <w:rsid w:val="00334A93"/>
    <w:rsid w:val="0033504C"/>
    <w:rsid w:val="003361C4"/>
    <w:rsid w:val="00336816"/>
    <w:rsid w:val="00336978"/>
    <w:rsid w:val="003370D0"/>
    <w:rsid w:val="00337355"/>
    <w:rsid w:val="003402E4"/>
    <w:rsid w:val="003403ED"/>
    <w:rsid w:val="00340F95"/>
    <w:rsid w:val="0034225A"/>
    <w:rsid w:val="00342BDC"/>
    <w:rsid w:val="00352A05"/>
    <w:rsid w:val="003531ED"/>
    <w:rsid w:val="00354CEA"/>
    <w:rsid w:val="00360B9A"/>
    <w:rsid w:val="0036252B"/>
    <w:rsid w:val="00367C8F"/>
    <w:rsid w:val="0037049A"/>
    <w:rsid w:val="00370CAB"/>
    <w:rsid w:val="00371D91"/>
    <w:rsid w:val="00373704"/>
    <w:rsid w:val="003834E1"/>
    <w:rsid w:val="003836FD"/>
    <w:rsid w:val="0038450F"/>
    <w:rsid w:val="00384D7F"/>
    <w:rsid w:val="0039017F"/>
    <w:rsid w:val="00391CE7"/>
    <w:rsid w:val="00394AEE"/>
    <w:rsid w:val="0039649B"/>
    <w:rsid w:val="003A15ED"/>
    <w:rsid w:val="003A5946"/>
    <w:rsid w:val="003B098C"/>
    <w:rsid w:val="003B6D74"/>
    <w:rsid w:val="003C03AE"/>
    <w:rsid w:val="003C07A0"/>
    <w:rsid w:val="003C0B6D"/>
    <w:rsid w:val="003C2D98"/>
    <w:rsid w:val="003C3FBD"/>
    <w:rsid w:val="003C5753"/>
    <w:rsid w:val="003C60B2"/>
    <w:rsid w:val="003D1479"/>
    <w:rsid w:val="003D3A96"/>
    <w:rsid w:val="003D3B9C"/>
    <w:rsid w:val="003D6DF9"/>
    <w:rsid w:val="003E1792"/>
    <w:rsid w:val="003E453A"/>
    <w:rsid w:val="003E5A7A"/>
    <w:rsid w:val="003F1F38"/>
    <w:rsid w:val="003F2AE9"/>
    <w:rsid w:val="00402B8D"/>
    <w:rsid w:val="00404F03"/>
    <w:rsid w:val="00412051"/>
    <w:rsid w:val="004134EB"/>
    <w:rsid w:val="00413E89"/>
    <w:rsid w:val="00422C74"/>
    <w:rsid w:val="00423B94"/>
    <w:rsid w:val="004263B5"/>
    <w:rsid w:val="00426F03"/>
    <w:rsid w:val="004309CB"/>
    <w:rsid w:val="00431BAA"/>
    <w:rsid w:val="00432358"/>
    <w:rsid w:val="00435921"/>
    <w:rsid w:val="004369EE"/>
    <w:rsid w:val="00443120"/>
    <w:rsid w:val="00443DAB"/>
    <w:rsid w:val="00446DF2"/>
    <w:rsid w:val="004509F1"/>
    <w:rsid w:val="0045398F"/>
    <w:rsid w:val="004576C0"/>
    <w:rsid w:val="00463731"/>
    <w:rsid w:val="0046400A"/>
    <w:rsid w:val="00464583"/>
    <w:rsid w:val="00467B25"/>
    <w:rsid w:val="00473B76"/>
    <w:rsid w:val="00477E81"/>
    <w:rsid w:val="00481108"/>
    <w:rsid w:val="004830B6"/>
    <w:rsid w:val="004857F7"/>
    <w:rsid w:val="00485A8A"/>
    <w:rsid w:val="00486AAA"/>
    <w:rsid w:val="00486D38"/>
    <w:rsid w:val="0049042B"/>
    <w:rsid w:val="004916FB"/>
    <w:rsid w:val="004937AD"/>
    <w:rsid w:val="00495473"/>
    <w:rsid w:val="00495EC4"/>
    <w:rsid w:val="004A075C"/>
    <w:rsid w:val="004A3FFD"/>
    <w:rsid w:val="004A458E"/>
    <w:rsid w:val="004B23E7"/>
    <w:rsid w:val="004B306F"/>
    <w:rsid w:val="004B4B2C"/>
    <w:rsid w:val="004B6699"/>
    <w:rsid w:val="004C0442"/>
    <w:rsid w:val="004C11DF"/>
    <w:rsid w:val="004C136D"/>
    <w:rsid w:val="004C22EF"/>
    <w:rsid w:val="004C25AB"/>
    <w:rsid w:val="004C28EF"/>
    <w:rsid w:val="004C3186"/>
    <w:rsid w:val="004C5042"/>
    <w:rsid w:val="004C5DA3"/>
    <w:rsid w:val="004D1CE3"/>
    <w:rsid w:val="004D46DE"/>
    <w:rsid w:val="004E03BE"/>
    <w:rsid w:val="004E4422"/>
    <w:rsid w:val="004E509F"/>
    <w:rsid w:val="004E65F4"/>
    <w:rsid w:val="004F1192"/>
    <w:rsid w:val="004F6BF4"/>
    <w:rsid w:val="004F6F91"/>
    <w:rsid w:val="00503998"/>
    <w:rsid w:val="0050623B"/>
    <w:rsid w:val="00513870"/>
    <w:rsid w:val="00523181"/>
    <w:rsid w:val="00524D13"/>
    <w:rsid w:val="00527127"/>
    <w:rsid w:val="005339F6"/>
    <w:rsid w:val="00536AE1"/>
    <w:rsid w:val="00541EE0"/>
    <w:rsid w:val="00543F71"/>
    <w:rsid w:val="00550E60"/>
    <w:rsid w:val="005571C4"/>
    <w:rsid w:val="00557E1F"/>
    <w:rsid w:val="00567BD3"/>
    <w:rsid w:val="00572A21"/>
    <w:rsid w:val="0057383F"/>
    <w:rsid w:val="005757DF"/>
    <w:rsid w:val="00575CCC"/>
    <w:rsid w:val="00576B18"/>
    <w:rsid w:val="005865E8"/>
    <w:rsid w:val="00587724"/>
    <w:rsid w:val="0058793F"/>
    <w:rsid w:val="00591512"/>
    <w:rsid w:val="00591889"/>
    <w:rsid w:val="005964CE"/>
    <w:rsid w:val="005976C4"/>
    <w:rsid w:val="00597AD0"/>
    <w:rsid w:val="005A114F"/>
    <w:rsid w:val="005A2AFF"/>
    <w:rsid w:val="005B2C09"/>
    <w:rsid w:val="005B2D91"/>
    <w:rsid w:val="005B48B4"/>
    <w:rsid w:val="005C26A3"/>
    <w:rsid w:val="005C3A43"/>
    <w:rsid w:val="005C3FD0"/>
    <w:rsid w:val="005C4C8C"/>
    <w:rsid w:val="005C543B"/>
    <w:rsid w:val="005C6661"/>
    <w:rsid w:val="005C6E3B"/>
    <w:rsid w:val="005D0FE7"/>
    <w:rsid w:val="005D13D5"/>
    <w:rsid w:val="005D25C2"/>
    <w:rsid w:val="005D474B"/>
    <w:rsid w:val="005E085C"/>
    <w:rsid w:val="005E147D"/>
    <w:rsid w:val="005E22C2"/>
    <w:rsid w:val="005E57BB"/>
    <w:rsid w:val="005E594D"/>
    <w:rsid w:val="005E64C6"/>
    <w:rsid w:val="005E784B"/>
    <w:rsid w:val="005F0017"/>
    <w:rsid w:val="005F16ED"/>
    <w:rsid w:val="005F2B29"/>
    <w:rsid w:val="005F5527"/>
    <w:rsid w:val="006014F1"/>
    <w:rsid w:val="006063EE"/>
    <w:rsid w:val="00606894"/>
    <w:rsid w:val="0060705B"/>
    <w:rsid w:val="00610C55"/>
    <w:rsid w:val="0061357B"/>
    <w:rsid w:val="00613590"/>
    <w:rsid w:val="00614A7D"/>
    <w:rsid w:val="0062593A"/>
    <w:rsid w:val="00627D43"/>
    <w:rsid w:val="0063631C"/>
    <w:rsid w:val="0063757B"/>
    <w:rsid w:val="006377CE"/>
    <w:rsid w:val="0063782A"/>
    <w:rsid w:val="0064075A"/>
    <w:rsid w:val="006413DB"/>
    <w:rsid w:val="00646A9B"/>
    <w:rsid w:val="00646BC1"/>
    <w:rsid w:val="006537D9"/>
    <w:rsid w:val="00653E18"/>
    <w:rsid w:val="0065560A"/>
    <w:rsid w:val="00656D8E"/>
    <w:rsid w:val="006627CF"/>
    <w:rsid w:val="00664A48"/>
    <w:rsid w:val="00665DEF"/>
    <w:rsid w:val="00670205"/>
    <w:rsid w:val="00672D53"/>
    <w:rsid w:val="00675BB1"/>
    <w:rsid w:val="006775F1"/>
    <w:rsid w:val="00677D9E"/>
    <w:rsid w:val="00685F8F"/>
    <w:rsid w:val="00690A12"/>
    <w:rsid w:val="006923E1"/>
    <w:rsid w:val="00692AA7"/>
    <w:rsid w:val="0069348F"/>
    <w:rsid w:val="00695A4D"/>
    <w:rsid w:val="00697FEC"/>
    <w:rsid w:val="006A175F"/>
    <w:rsid w:val="006A21D0"/>
    <w:rsid w:val="006A2D1F"/>
    <w:rsid w:val="006A44F5"/>
    <w:rsid w:val="006A4AB8"/>
    <w:rsid w:val="006B1B12"/>
    <w:rsid w:val="006B4537"/>
    <w:rsid w:val="006B5F85"/>
    <w:rsid w:val="006B6929"/>
    <w:rsid w:val="006B709B"/>
    <w:rsid w:val="006C54AF"/>
    <w:rsid w:val="006D071D"/>
    <w:rsid w:val="006D0843"/>
    <w:rsid w:val="006D6290"/>
    <w:rsid w:val="006E0181"/>
    <w:rsid w:val="006E31A3"/>
    <w:rsid w:val="006F29EF"/>
    <w:rsid w:val="006F6CE9"/>
    <w:rsid w:val="00700C0E"/>
    <w:rsid w:val="00702A10"/>
    <w:rsid w:val="00702B3F"/>
    <w:rsid w:val="00705DAD"/>
    <w:rsid w:val="007130BB"/>
    <w:rsid w:val="00715323"/>
    <w:rsid w:val="007247B9"/>
    <w:rsid w:val="00727D85"/>
    <w:rsid w:val="007328DB"/>
    <w:rsid w:val="00732DA8"/>
    <w:rsid w:val="00734045"/>
    <w:rsid w:val="007346C7"/>
    <w:rsid w:val="00736041"/>
    <w:rsid w:val="007408C7"/>
    <w:rsid w:val="007465DA"/>
    <w:rsid w:val="00751DE8"/>
    <w:rsid w:val="00752C7F"/>
    <w:rsid w:val="00752D3A"/>
    <w:rsid w:val="007553A7"/>
    <w:rsid w:val="00776598"/>
    <w:rsid w:val="00781AF5"/>
    <w:rsid w:val="00782BBD"/>
    <w:rsid w:val="00785312"/>
    <w:rsid w:val="00792948"/>
    <w:rsid w:val="00796E84"/>
    <w:rsid w:val="007A09CA"/>
    <w:rsid w:val="007A14AD"/>
    <w:rsid w:val="007A1ADE"/>
    <w:rsid w:val="007A3ADE"/>
    <w:rsid w:val="007A5733"/>
    <w:rsid w:val="007A5774"/>
    <w:rsid w:val="007A7BCE"/>
    <w:rsid w:val="007B6F88"/>
    <w:rsid w:val="007C013C"/>
    <w:rsid w:val="007C61EF"/>
    <w:rsid w:val="007D1507"/>
    <w:rsid w:val="007D1762"/>
    <w:rsid w:val="007D505C"/>
    <w:rsid w:val="007D6A02"/>
    <w:rsid w:val="007E0232"/>
    <w:rsid w:val="007E462F"/>
    <w:rsid w:val="007E4B80"/>
    <w:rsid w:val="007E665B"/>
    <w:rsid w:val="007E788C"/>
    <w:rsid w:val="007F530E"/>
    <w:rsid w:val="007F7114"/>
    <w:rsid w:val="00801324"/>
    <w:rsid w:val="00801E74"/>
    <w:rsid w:val="00802668"/>
    <w:rsid w:val="008031F2"/>
    <w:rsid w:val="0080355C"/>
    <w:rsid w:val="0080485E"/>
    <w:rsid w:val="00804884"/>
    <w:rsid w:val="0081014C"/>
    <w:rsid w:val="0081177B"/>
    <w:rsid w:val="008142B4"/>
    <w:rsid w:val="0082148D"/>
    <w:rsid w:val="00822317"/>
    <w:rsid w:val="00832324"/>
    <w:rsid w:val="00835337"/>
    <w:rsid w:val="00842D2E"/>
    <w:rsid w:val="00846DCD"/>
    <w:rsid w:val="008500E0"/>
    <w:rsid w:val="00851D85"/>
    <w:rsid w:val="00856891"/>
    <w:rsid w:val="00856EF6"/>
    <w:rsid w:val="008578DC"/>
    <w:rsid w:val="00857D9A"/>
    <w:rsid w:val="00860CCB"/>
    <w:rsid w:val="00863B65"/>
    <w:rsid w:val="0086418B"/>
    <w:rsid w:val="008661AE"/>
    <w:rsid w:val="008723EC"/>
    <w:rsid w:val="0087371E"/>
    <w:rsid w:val="00873FA5"/>
    <w:rsid w:val="008740A3"/>
    <w:rsid w:val="00885AD2"/>
    <w:rsid w:val="00887FC4"/>
    <w:rsid w:val="0089297B"/>
    <w:rsid w:val="0089334E"/>
    <w:rsid w:val="008A25B2"/>
    <w:rsid w:val="008B415E"/>
    <w:rsid w:val="008B5D1D"/>
    <w:rsid w:val="008B7F36"/>
    <w:rsid w:val="008C05DD"/>
    <w:rsid w:val="008C102A"/>
    <w:rsid w:val="008C36CA"/>
    <w:rsid w:val="008C43C5"/>
    <w:rsid w:val="008C607B"/>
    <w:rsid w:val="008D2357"/>
    <w:rsid w:val="008D299D"/>
    <w:rsid w:val="008D30BD"/>
    <w:rsid w:val="008D74AC"/>
    <w:rsid w:val="008E0315"/>
    <w:rsid w:val="008E2A99"/>
    <w:rsid w:val="008E3F8C"/>
    <w:rsid w:val="008F096A"/>
    <w:rsid w:val="008F1142"/>
    <w:rsid w:val="009003B9"/>
    <w:rsid w:val="00902FD0"/>
    <w:rsid w:val="00904781"/>
    <w:rsid w:val="009053D3"/>
    <w:rsid w:val="0090691F"/>
    <w:rsid w:val="00914518"/>
    <w:rsid w:val="00915E3A"/>
    <w:rsid w:val="009305E7"/>
    <w:rsid w:val="00930E35"/>
    <w:rsid w:val="0093111F"/>
    <w:rsid w:val="0093385B"/>
    <w:rsid w:val="00934421"/>
    <w:rsid w:val="00934FF0"/>
    <w:rsid w:val="00935689"/>
    <w:rsid w:val="009400EE"/>
    <w:rsid w:val="009458BD"/>
    <w:rsid w:val="00945B59"/>
    <w:rsid w:val="00946DBA"/>
    <w:rsid w:val="0095303B"/>
    <w:rsid w:val="0095746A"/>
    <w:rsid w:val="0096448B"/>
    <w:rsid w:val="009663B6"/>
    <w:rsid w:val="00972AEE"/>
    <w:rsid w:val="00974A47"/>
    <w:rsid w:val="0097545D"/>
    <w:rsid w:val="0097656C"/>
    <w:rsid w:val="00980286"/>
    <w:rsid w:val="0098037E"/>
    <w:rsid w:val="00990DCF"/>
    <w:rsid w:val="0099209C"/>
    <w:rsid w:val="0099607D"/>
    <w:rsid w:val="009A3FE5"/>
    <w:rsid w:val="009A4CD6"/>
    <w:rsid w:val="009A537C"/>
    <w:rsid w:val="009A7901"/>
    <w:rsid w:val="009A7BCB"/>
    <w:rsid w:val="009B025E"/>
    <w:rsid w:val="009B2EBC"/>
    <w:rsid w:val="009C0886"/>
    <w:rsid w:val="009C19EE"/>
    <w:rsid w:val="009C28D0"/>
    <w:rsid w:val="009C35F2"/>
    <w:rsid w:val="009C5305"/>
    <w:rsid w:val="009C6A35"/>
    <w:rsid w:val="009C7782"/>
    <w:rsid w:val="009D1ED5"/>
    <w:rsid w:val="009D4C13"/>
    <w:rsid w:val="009D4E3F"/>
    <w:rsid w:val="009E0974"/>
    <w:rsid w:val="009E14AF"/>
    <w:rsid w:val="009E21A7"/>
    <w:rsid w:val="009E2E8C"/>
    <w:rsid w:val="009E7C13"/>
    <w:rsid w:val="009E7F6C"/>
    <w:rsid w:val="009F42CB"/>
    <w:rsid w:val="009F7A0C"/>
    <w:rsid w:val="00A06CEB"/>
    <w:rsid w:val="00A103ED"/>
    <w:rsid w:val="00A13C60"/>
    <w:rsid w:val="00A15134"/>
    <w:rsid w:val="00A1739F"/>
    <w:rsid w:val="00A24835"/>
    <w:rsid w:val="00A27EE2"/>
    <w:rsid w:val="00A27F98"/>
    <w:rsid w:val="00A33EED"/>
    <w:rsid w:val="00A341A3"/>
    <w:rsid w:val="00A35800"/>
    <w:rsid w:val="00A43FCC"/>
    <w:rsid w:val="00A44D3A"/>
    <w:rsid w:val="00A52918"/>
    <w:rsid w:val="00A52F76"/>
    <w:rsid w:val="00A547B3"/>
    <w:rsid w:val="00A54E30"/>
    <w:rsid w:val="00A56755"/>
    <w:rsid w:val="00A6267D"/>
    <w:rsid w:val="00A65338"/>
    <w:rsid w:val="00A65B47"/>
    <w:rsid w:val="00A66C71"/>
    <w:rsid w:val="00A70E82"/>
    <w:rsid w:val="00A73E16"/>
    <w:rsid w:val="00A76CF3"/>
    <w:rsid w:val="00A77E97"/>
    <w:rsid w:val="00A80F05"/>
    <w:rsid w:val="00A81C67"/>
    <w:rsid w:val="00A8285D"/>
    <w:rsid w:val="00A83418"/>
    <w:rsid w:val="00A84CAD"/>
    <w:rsid w:val="00A90E50"/>
    <w:rsid w:val="00A95A03"/>
    <w:rsid w:val="00A95FA5"/>
    <w:rsid w:val="00A96501"/>
    <w:rsid w:val="00A96D92"/>
    <w:rsid w:val="00AA4251"/>
    <w:rsid w:val="00AA57E9"/>
    <w:rsid w:val="00AA7459"/>
    <w:rsid w:val="00AB199C"/>
    <w:rsid w:val="00AB3733"/>
    <w:rsid w:val="00AB5753"/>
    <w:rsid w:val="00AB588C"/>
    <w:rsid w:val="00AB637B"/>
    <w:rsid w:val="00AB7897"/>
    <w:rsid w:val="00AC17BF"/>
    <w:rsid w:val="00AC2794"/>
    <w:rsid w:val="00AC5054"/>
    <w:rsid w:val="00AC766B"/>
    <w:rsid w:val="00AD0A19"/>
    <w:rsid w:val="00AD1B49"/>
    <w:rsid w:val="00AD29E1"/>
    <w:rsid w:val="00AE255B"/>
    <w:rsid w:val="00AE4BAC"/>
    <w:rsid w:val="00AF3F65"/>
    <w:rsid w:val="00AF624E"/>
    <w:rsid w:val="00AF6573"/>
    <w:rsid w:val="00AF677F"/>
    <w:rsid w:val="00AF734F"/>
    <w:rsid w:val="00B01632"/>
    <w:rsid w:val="00B034FC"/>
    <w:rsid w:val="00B05310"/>
    <w:rsid w:val="00B07352"/>
    <w:rsid w:val="00B10A0B"/>
    <w:rsid w:val="00B1369E"/>
    <w:rsid w:val="00B13C20"/>
    <w:rsid w:val="00B13D12"/>
    <w:rsid w:val="00B1485B"/>
    <w:rsid w:val="00B14F0C"/>
    <w:rsid w:val="00B25B8A"/>
    <w:rsid w:val="00B30D85"/>
    <w:rsid w:val="00B31721"/>
    <w:rsid w:val="00B35A4A"/>
    <w:rsid w:val="00B4373B"/>
    <w:rsid w:val="00B453CF"/>
    <w:rsid w:val="00B45498"/>
    <w:rsid w:val="00B47464"/>
    <w:rsid w:val="00B5048F"/>
    <w:rsid w:val="00B509C5"/>
    <w:rsid w:val="00B5262A"/>
    <w:rsid w:val="00B5609A"/>
    <w:rsid w:val="00B63C5D"/>
    <w:rsid w:val="00B63FD7"/>
    <w:rsid w:val="00B65000"/>
    <w:rsid w:val="00B67890"/>
    <w:rsid w:val="00B77CE9"/>
    <w:rsid w:val="00B816D9"/>
    <w:rsid w:val="00B81B7C"/>
    <w:rsid w:val="00B8241B"/>
    <w:rsid w:val="00B9120F"/>
    <w:rsid w:val="00B9216C"/>
    <w:rsid w:val="00B924A4"/>
    <w:rsid w:val="00B92D7C"/>
    <w:rsid w:val="00B93BA0"/>
    <w:rsid w:val="00BA1D29"/>
    <w:rsid w:val="00BA7634"/>
    <w:rsid w:val="00BB0D1A"/>
    <w:rsid w:val="00BB1D3B"/>
    <w:rsid w:val="00BB5399"/>
    <w:rsid w:val="00BC35ED"/>
    <w:rsid w:val="00BC435A"/>
    <w:rsid w:val="00BC56B3"/>
    <w:rsid w:val="00BC63C4"/>
    <w:rsid w:val="00BD1E54"/>
    <w:rsid w:val="00BE1733"/>
    <w:rsid w:val="00BE205A"/>
    <w:rsid w:val="00BE3802"/>
    <w:rsid w:val="00BE381D"/>
    <w:rsid w:val="00BE4433"/>
    <w:rsid w:val="00BE6E29"/>
    <w:rsid w:val="00BF238E"/>
    <w:rsid w:val="00BF2F4A"/>
    <w:rsid w:val="00BF3160"/>
    <w:rsid w:val="00BF326B"/>
    <w:rsid w:val="00BF4BF6"/>
    <w:rsid w:val="00BF544D"/>
    <w:rsid w:val="00C0076F"/>
    <w:rsid w:val="00C00871"/>
    <w:rsid w:val="00C0301C"/>
    <w:rsid w:val="00C030E0"/>
    <w:rsid w:val="00C050B6"/>
    <w:rsid w:val="00C07035"/>
    <w:rsid w:val="00C10F12"/>
    <w:rsid w:val="00C12FC1"/>
    <w:rsid w:val="00C14A95"/>
    <w:rsid w:val="00C16517"/>
    <w:rsid w:val="00C20441"/>
    <w:rsid w:val="00C245EA"/>
    <w:rsid w:val="00C256F6"/>
    <w:rsid w:val="00C260D0"/>
    <w:rsid w:val="00C26C77"/>
    <w:rsid w:val="00C3097E"/>
    <w:rsid w:val="00C35ECC"/>
    <w:rsid w:val="00C361A8"/>
    <w:rsid w:val="00C41149"/>
    <w:rsid w:val="00C41246"/>
    <w:rsid w:val="00C41DB9"/>
    <w:rsid w:val="00C45E5F"/>
    <w:rsid w:val="00C46291"/>
    <w:rsid w:val="00C63412"/>
    <w:rsid w:val="00C63600"/>
    <w:rsid w:val="00C64736"/>
    <w:rsid w:val="00C64C4E"/>
    <w:rsid w:val="00C714D0"/>
    <w:rsid w:val="00C7188E"/>
    <w:rsid w:val="00C74C09"/>
    <w:rsid w:val="00C75971"/>
    <w:rsid w:val="00C769A9"/>
    <w:rsid w:val="00C807C7"/>
    <w:rsid w:val="00C8287B"/>
    <w:rsid w:val="00C84711"/>
    <w:rsid w:val="00C852F4"/>
    <w:rsid w:val="00C90EF4"/>
    <w:rsid w:val="00CA015A"/>
    <w:rsid w:val="00CA5260"/>
    <w:rsid w:val="00CA7E32"/>
    <w:rsid w:val="00CB4FF2"/>
    <w:rsid w:val="00CB6B12"/>
    <w:rsid w:val="00CC1AA3"/>
    <w:rsid w:val="00CC7AE9"/>
    <w:rsid w:val="00CD4486"/>
    <w:rsid w:val="00CD542F"/>
    <w:rsid w:val="00CD5991"/>
    <w:rsid w:val="00CD6FEB"/>
    <w:rsid w:val="00CF30FD"/>
    <w:rsid w:val="00CF4361"/>
    <w:rsid w:val="00CF5E22"/>
    <w:rsid w:val="00D0171B"/>
    <w:rsid w:val="00D019C0"/>
    <w:rsid w:val="00D048BD"/>
    <w:rsid w:val="00D06A44"/>
    <w:rsid w:val="00D06F24"/>
    <w:rsid w:val="00D12368"/>
    <w:rsid w:val="00D126FE"/>
    <w:rsid w:val="00D151EB"/>
    <w:rsid w:val="00D16E21"/>
    <w:rsid w:val="00D22C0B"/>
    <w:rsid w:val="00D2791E"/>
    <w:rsid w:val="00D300E0"/>
    <w:rsid w:val="00D30E0F"/>
    <w:rsid w:val="00D31EC5"/>
    <w:rsid w:val="00D34F03"/>
    <w:rsid w:val="00D374CD"/>
    <w:rsid w:val="00D45FEB"/>
    <w:rsid w:val="00D513FC"/>
    <w:rsid w:val="00D51F04"/>
    <w:rsid w:val="00D52DD0"/>
    <w:rsid w:val="00D53427"/>
    <w:rsid w:val="00D5497E"/>
    <w:rsid w:val="00D6145C"/>
    <w:rsid w:val="00D650CE"/>
    <w:rsid w:val="00D71719"/>
    <w:rsid w:val="00D76025"/>
    <w:rsid w:val="00D76BAF"/>
    <w:rsid w:val="00D776DA"/>
    <w:rsid w:val="00D80095"/>
    <w:rsid w:val="00D83B89"/>
    <w:rsid w:val="00D86454"/>
    <w:rsid w:val="00D8758B"/>
    <w:rsid w:val="00D92893"/>
    <w:rsid w:val="00D9292E"/>
    <w:rsid w:val="00D942B3"/>
    <w:rsid w:val="00D94863"/>
    <w:rsid w:val="00DA4D9D"/>
    <w:rsid w:val="00DA7D09"/>
    <w:rsid w:val="00DC14B4"/>
    <w:rsid w:val="00DC2630"/>
    <w:rsid w:val="00DC279F"/>
    <w:rsid w:val="00DC3DEB"/>
    <w:rsid w:val="00DC49E9"/>
    <w:rsid w:val="00DC55E4"/>
    <w:rsid w:val="00DC5829"/>
    <w:rsid w:val="00DC7D71"/>
    <w:rsid w:val="00DD0F92"/>
    <w:rsid w:val="00DD188C"/>
    <w:rsid w:val="00DD29A3"/>
    <w:rsid w:val="00DD45EA"/>
    <w:rsid w:val="00DD48EE"/>
    <w:rsid w:val="00DD5DCB"/>
    <w:rsid w:val="00DE0B96"/>
    <w:rsid w:val="00DE10B9"/>
    <w:rsid w:val="00DF0B13"/>
    <w:rsid w:val="00DF2EB8"/>
    <w:rsid w:val="00DF4A94"/>
    <w:rsid w:val="00DF4B5C"/>
    <w:rsid w:val="00DF6003"/>
    <w:rsid w:val="00E00095"/>
    <w:rsid w:val="00E02344"/>
    <w:rsid w:val="00E0501D"/>
    <w:rsid w:val="00E066C3"/>
    <w:rsid w:val="00E10D8C"/>
    <w:rsid w:val="00E1353A"/>
    <w:rsid w:val="00E13ECE"/>
    <w:rsid w:val="00E140F2"/>
    <w:rsid w:val="00E1564B"/>
    <w:rsid w:val="00E205D0"/>
    <w:rsid w:val="00E208A0"/>
    <w:rsid w:val="00E22BE7"/>
    <w:rsid w:val="00E236D1"/>
    <w:rsid w:val="00E25B49"/>
    <w:rsid w:val="00E33739"/>
    <w:rsid w:val="00E371EA"/>
    <w:rsid w:val="00E416B3"/>
    <w:rsid w:val="00E4223B"/>
    <w:rsid w:val="00E42CD1"/>
    <w:rsid w:val="00E43CA0"/>
    <w:rsid w:val="00E44F87"/>
    <w:rsid w:val="00E502CC"/>
    <w:rsid w:val="00E6215E"/>
    <w:rsid w:val="00E627D7"/>
    <w:rsid w:val="00E64429"/>
    <w:rsid w:val="00E66B62"/>
    <w:rsid w:val="00E677DD"/>
    <w:rsid w:val="00E67B4A"/>
    <w:rsid w:val="00E704E7"/>
    <w:rsid w:val="00E72792"/>
    <w:rsid w:val="00E73462"/>
    <w:rsid w:val="00E74663"/>
    <w:rsid w:val="00E7594B"/>
    <w:rsid w:val="00E76E07"/>
    <w:rsid w:val="00E8610E"/>
    <w:rsid w:val="00E869AC"/>
    <w:rsid w:val="00E91D53"/>
    <w:rsid w:val="00E92529"/>
    <w:rsid w:val="00E92BA9"/>
    <w:rsid w:val="00E932E1"/>
    <w:rsid w:val="00E933CD"/>
    <w:rsid w:val="00E949C8"/>
    <w:rsid w:val="00E94EC8"/>
    <w:rsid w:val="00EB0634"/>
    <w:rsid w:val="00EB4688"/>
    <w:rsid w:val="00EB5E1E"/>
    <w:rsid w:val="00EB6A4F"/>
    <w:rsid w:val="00EB6C07"/>
    <w:rsid w:val="00EB72F8"/>
    <w:rsid w:val="00EC028D"/>
    <w:rsid w:val="00EC1C38"/>
    <w:rsid w:val="00EC5A8C"/>
    <w:rsid w:val="00ED27FD"/>
    <w:rsid w:val="00ED438C"/>
    <w:rsid w:val="00ED633B"/>
    <w:rsid w:val="00ED6F02"/>
    <w:rsid w:val="00EE0B87"/>
    <w:rsid w:val="00EE2BBB"/>
    <w:rsid w:val="00EE3E05"/>
    <w:rsid w:val="00EE478C"/>
    <w:rsid w:val="00EF5D3E"/>
    <w:rsid w:val="00F014D1"/>
    <w:rsid w:val="00F024E2"/>
    <w:rsid w:val="00F1132C"/>
    <w:rsid w:val="00F122BA"/>
    <w:rsid w:val="00F128F8"/>
    <w:rsid w:val="00F14098"/>
    <w:rsid w:val="00F15DD5"/>
    <w:rsid w:val="00F17D4B"/>
    <w:rsid w:val="00F23139"/>
    <w:rsid w:val="00F27AA0"/>
    <w:rsid w:val="00F30068"/>
    <w:rsid w:val="00F31CAB"/>
    <w:rsid w:val="00F420B4"/>
    <w:rsid w:val="00F42340"/>
    <w:rsid w:val="00F515F3"/>
    <w:rsid w:val="00F51B65"/>
    <w:rsid w:val="00F557A9"/>
    <w:rsid w:val="00F56008"/>
    <w:rsid w:val="00F576E2"/>
    <w:rsid w:val="00F57A6E"/>
    <w:rsid w:val="00F602E3"/>
    <w:rsid w:val="00F61B2F"/>
    <w:rsid w:val="00F66CD5"/>
    <w:rsid w:val="00F67A9A"/>
    <w:rsid w:val="00F70F4E"/>
    <w:rsid w:val="00F73113"/>
    <w:rsid w:val="00F7527B"/>
    <w:rsid w:val="00F75FC4"/>
    <w:rsid w:val="00F7759F"/>
    <w:rsid w:val="00F8530C"/>
    <w:rsid w:val="00F85981"/>
    <w:rsid w:val="00F87263"/>
    <w:rsid w:val="00F915F8"/>
    <w:rsid w:val="00F93725"/>
    <w:rsid w:val="00F96DA2"/>
    <w:rsid w:val="00F97F36"/>
    <w:rsid w:val="00FA4890"/>
    <w:rsid w:val="00FA62C9"/>
    <w:rsid w:val="00FA7D0F"/>
    <w:rsid w:val="00FB2687"/>
    <w:rsid w:val="00FB6EAC"/>
    <w:rsid w:val="00FB77FA"/>
    <w:rsid w:val="00FC1926"/>
    <w:rsid w:val="00FC3266"/>
    <w:rsid w:val="00FC3C70"/>
    <w:rsid w:val="00FC4A73"/>
    <w:rsid w:val="00FC559C"/>
    <w:rsid w:val="00FC711B"/>
    <w:rsid w:val="00FC7F0D"/>
    <w:rsid w:val="00FD1234"/>
    <w:rsid w:val="00FD350F"/>
    <w:rsid w:val="00FD4847"/>
    <w:rsid w:val="00FD5246"/>
    <w:rsid w:val="00FD7243"/>
    <w:rsid w:val="00FE645A"/>
    <w:rsid w:val="00FF119A"/>
    <w:rsid w:val="00FF14EB"/>
    <w:rsid w:val="00FF5119"/>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6D7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nhideWhenUsed/>
    <w:rsid w:val="008142B4"/>
    <w:pPr>
      <w:spacing w:after="0"/>
    </w:pPr>
    <w:rPr>
      <w:sz w:val="18"/>
      <w:szCs w:val="20"/>
    </w:rPr>
  </w:style>
  <w:style w:type="character" w:customStyle="1" w:styleId="FootnoteTextChar">
    <w:name w:val="Footnote Text Char"/>
    <w:basedOn w:val="DefaultParagraphFont"/>
    <w:link w:val="FootnoteText"/>
    <w:rsid w:val="008142B4"/>
    <w:rPr>
      <w:sz w:val="18"/>
      <w:szCs w:val="20"/>
    </w:rPr>
  </w:style>
  <w:style w:type="character" w:styleId="FootnoteReference">
    <w:name w:val="footnote reference"/>
    <w:basedOn w:val="DefaultParagraphFont"/>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Points"/>
    <w:basedOn w:val="Normal"/>
    <w:link w:val="ListParagraphChar"/>
    <w:uiPriority w:val="72"/>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NormalWeb">
    <w:name w:val="Normal (Web)"/>
    <w:basedOn w:val="Normal"/>
    <w:uiPriority w:val="99"/>
    <w:unhideWhenUsed/>
    <w:rsid w:val="00E02344"/>
    <w:pPr>
      <w:spacing w:before="100" w:beforeAutospacing="1" w:after="100" w:afterAutospacing="1"/>
    </w:pPr>
    <w:rPr>
      <w:rFonts w:ascii="Times New Roman" w:eastAsia="Times New Roman" w:hAnsi="Times New Roman" w:cs="Times New Roman"/>
    </w:rPr>
  </w:style>
  <w:style w:type="character" w:customStyle="1" w:styleId="highwire-citation-authors">
    <w:name w:val="highwire-citation-authors"/>
    <w:basedOn w:val="DefaultParagraphFont"/>
    <w:rsid w:val="00695A4D"/>
  </w:style>
  <w:style w:type="character" w:customStyle="1" w:styleId="highwire-citation-author">
    <w:name w:val="highwire-citation-author"/>
    <w:basedOn w:val="DefaultParagraphFont"/>
    <w:rsid w:val="00695A4D"/>
  </w:style>
  <w:style w:type="character" w:customStyle="1" w:styleId="nlm-surname">
    <w:name w:val="nlm-surname"/>
    <w:basedOn w:val="DefaultParagraphFont"/>
    <w:rsid w:val="00695A4D"/>
  </w:style>
  <w:style w:type="character" w:customStyle="1" w:styleId="citation-et">
    <w:name w:val="citation-et"/>
    <w:basedOn w:val="DefaultParagraphFont"/>
    <w:rsid w:val="00695A4D"/>
  </w:style>
  <w:style w:type="character" w:customStyle="1" w:styleId="highwire-cite-metadata-journal">
    <w:name w:val="highwire-cite-metadata-journal"/>
    <w:basedOn w:val="DefaultParagraphFont"/>
    <w:rsid w:val="00695A4D"/>
  </w:style>
  <w:style w:type="character" w:customStyle="1" w:styleId="highwire-cite-metadata-year">
    <w:name w:val="highwire-cite-metadata-year"/>
    <w:basedOn w:val="DefaultParagraphFont"/>
    <w:rsid w:val="00695A4D"/>
  </w:style>
  <w:style w:type="character" w:customStyle="1" w:styleId="highwire-cite-metadata-volume">
    <w:name w:val="highwire-cite-metadata-volume"/>
    <w:basedOn w:val="DefaultParagraphFont"/>
    <w:rsid w:val="00695A4D"/>
  </w:style>
  <w:style w:type="character" w:customStyle="1" w:styleId="highwire-cite-metadata-elocation-id">
    <w:name w:val="highwire-cite-metadata-elocation-id"/>
    <w:basedOn w:val="DefaultParagraphFont"/>
    <w:rsid w:val="00695A4D"/>
  </w:style>
  <w:style w:type="character" w:customStyle="1" w:styleId="highwire-cite-metadata-doi">
    <w:name w:val="highwire-cite-metadata-doi"/>
    <w:basedOn w:val="DefaultParagraphFont"/>
    <w:rsid w:val="00695A4D"/>
  </w:style>
  <w:style w:type="character" w:customStyle="1" w:styleId="label">
    <w:name w:val="label"/>
    <w:basedOn w:val="DefaultParagraphFont"/>
    <w:rsid w:val="00695A4D"/>
  </w:style>
  <w:style w:type="character" w:styleId="FollowedHyperlink">
    <w:name w:val="FollowedHyperlink"/>
    <w:basedOn w:val="DefaultParagraphFont"/>
    <w:uiPriority w:val="99"/>
    <w:semiHidden/>
    <w:unhideWhenUsed/>
    <w:rsid w:val="0081014C"/>
    <w:rPr>
      <w:color w:val="800080" w:themeColor="followedHyperlink"/>
      <w:u w:val="single"/>
    </w:rPr>
  </w:style>
  <w:style w:type="character" w:customStyle="1" w:styleId="ListParagraphChar">
    <w:name w:val="List Paragraph Char"/>
    <w:aliases w:val="BulletPoints Char"/>
    <w:basedOn w:val="DefaultParagraphFont"/>
    <w:link w:val="ListParagraph"/>
    <w:uiPriority w:val="72"/>
    <w:rsid w:val="000549DD"/>
    <w:rPr>
      <w:sz w:val="24"/>
      <w:szCs w:val="24"/>
    </w:rPr>
  </w:style>
  <w:style w:type="paragraph" w:styleId="EndnoteText">
    <w:name w:val="endnote text"/>
    <w:basedOn w:val="Normal"/>
    <w:link w:val="EndnoteTextChar"/>
    <w:uiPriority w:val="99"/>
    <w:semiHidden/>
    <w:unhideWhenUsed/>
    <w:rsid w:val="00CA7E32"/>
    <w:pPr>
      <w:spacing w:after="0"/>
    </w:pPr>
    <w:rPr>
      <w:sz w:val="20"/>
      <w:szCs w:val="20"/>
    </w:rPr>
  </w:style>
  <w:style w:type="character" w:customStyle="1" w:styleId="EndnoteTextChar">
    <w:name w:val="Endnote Text Char"/>
    <w:basedOn w:val="DefaultParagraphFont"/>
    <w:link w:val="EndnoteText"/>
    <w:uiPriority w:val="99"/>
    <w:semiHidden/>
    <w:rsid w:val="00CA7E32"/>
    <w:rPr>
      <w:sz w:val="20"/>
      <w:szCs w:val="20"/>
    </w:rPr>
  </w:style>
  <w:style w:type="character" w:styleId="EndnoteReference">
    <w:name w:val="endnote reference"/>
    <w:basedOn w:val="DefaultParagraphFont"/>
    <w:uiPriority w:val="99"/>
    <w:semiHidden/>
    <w:unhideWhenUsed/>
    <w:rsid w:val="00CA7E32"/>
    <w:rPr>
      <w:vertAlign w:val="superscript"/>
    </w:rPr>
  </w:style>
  <w:style w:type="paragraph" w:customStyle="1" w:styleId="PBACheading1">
    <w:name w:val="PBAC heading 1"/>
    <w:uiPriority w:val="99"/>
    <w:qFormat/>
    <w:rsid w:val="003D1479"/>
    <w:pPr>
      <w:spacing w:after="0" w:line="240" w:lineRule="auto"/>
      <w:ind w:left="720" w:hanging="720"/>
    </w:pPr>
    <w:rPr>
      <w:rFonts w:ascii="Arial" w:eastAsia="Times New Roman" w:hAnsi="Arial" w:cs="Arial"/>
      <w:snapToGrid w:val="0"/>
      <w:lang w:eastAsia="en-US"/>
    </w:rPr>
  </w:style>
  <w:style w:type="paragraph" w:styleId="Revision">
    <w:name w:val="Revision"/>
    <w:hidden/>
    <w:uiPriority w:val="99"/>
    <w:semiHidden/>
    <w:rsid w:val="00690A12"/>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19416">
      <w:bodyDiv w:val="1"/>
      <w:marLeft w:val="0"/>
      <w:marRight w:val="0"/>
      <w:marTop w:val="0"/>
      <w:marBottom w:val="0"/>
      <w:divBdr>
        <w:top w:val="none" w:sz="0" w:space="0" w:color="auto"/>
        <w:left w:val="none" w:sz="0" w:space="0" w:color="auto"/>
        <w:bottom w:val="none" w:sz="0" w:space="0" w:color="auto"/>
        <w:right w:val="none" w:sz="0" w:space="0" w:color="auto"/>
      </w:divBdr>
      <w:divsChild>
        <w:div w:id="150367338">
          <w:marLeft w:val="0"/>
          <w:marRight w:val="0"/>
          <w:marTop w:val="0"/>
          <w:marBottom w:val="0"/>
          <w:divBdr>
            <w:top w:val="none" w:sz="0" w:space="0" w:color="auto"/>
            <w:left w:val="none" w:sz="0" w:space="0" w:color="auto"/>
            <w:bottom w:val="none" w:sz="0" w:space="0" w:color="auto"/>
            <w:right w:val="none" w:sz="0" w:space="0" w:color="auto"/>
          </w:divBdr>
        </w:div>
        <w:div w:id="1484009797">
          <w:marLeft w:val="0"/>
          <w:marRight w:val="0"/>
          <w:marTop w:val="0"/>
          <w:marBottom w:val="0"/>
          <w:divBdr>
            <w:top w:val="none" w:sz="0" w:space="0" w:color="auto"/>
            <w:left w:val="none" w:sz="0" w:space="0" w:color="auto"/>
            <w:bottom w:val="none" w:sz="0" w:space="0" w:color="auto"/>
            <w:right w:val="none" w:sz="0" w:space="0" w:color="auto"/>
          </w:divBdr>
        </w:div>
        <w:div w:id="1067385599">
          <w:marLeft w:val="0"/>
          <w:marRight w:val="0"/>
          <w:marTop w:val="0"/>
          <w:marBottom w:val="0"/>
          <w:divBdr>
            <w:top w:val="none" w:sz="0" w:space="0" w:color="auto"/>
            <w:left w:val="none" w:sz="0" w:space="0" w:color="auto"/>
            <w:bottom w:val="none" w:sz="0" w:space="0" w:color="auto"/>
            <w:right w:val="none" w:sz="0" w:space="0" w:color="auto"/>
          </w:divBdr>
        </w:div>
      </w:divsChild>
    </w:div>
    <w:div w:id="361563857">
      <w:bodyDiv w:val="1"/>
      <w:marLeft w:val="0"/>
      <w:marRight w:val="0"/>
      <w:marTop w:val="0"/>
      <w:marBottom w:val="0"/>
      <w:divBdr>
        <w:top w:val="none" w:sz="0" w:space="0" w:color="auto"/>
        <w:left w:val="none" w:sz="0" w:space="0" w:color="auto"/>
        <w:bottom w:val="none" w:sz="0" w:space="0" w:color="auto"/>
        <w:right w:val="none" w:sz="0" w:space="0" w:color="auto"/>
      </w:divBdr>
    </w:div>
    <w:div w:id="368456315">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1015612007">
      <w:bodyDiv w:val="1"/>
      <w:marLeft w:val="0"/>
      <w:marRight w:val="0"/>
      <w:marTop w:val="0"/>
      <w:marBottom w:val="0"/>
      <w:divBdr>
        <w:top w:val="none" w:sz="0" w:space="0" w:color="auto"/>
        <w:left w:val="none" w:sz="0" w:space="0" w:color="auto"/>
        <w:bottom w:val="none" w:sz="0" w:space="0" w:color="auto"/>
        <w:right w:val="none" w:sz="0" w:space="0" w:color="auto"/>
      </w:divBdr>
      <w:divsChild>
        <w:div w:id="624312951">
          <w:marLeft w:val="0"/>
          <w:marRight w:val="0"/>
          <w:marTop w:val="0"/>
          <w:marBottom w:val="0"/>
          <w:divBdr>
            <w:top w:val="none" w:sz="0" w:space="0" w:color="auto"/>
            <w:left w:val="none" w:sz="0" w:space="0" w:color="auto"/>
            <w:bottom w:val="none" w:sz="0" w:space="0" w:color="auto"/>
            <w:right w:val="none" w:sz="0" w:space="0" w:color="auto"/>
          </w:divBdr>
        </w:div>
        <w:div w:id="2042003024">
          <w:marLeft w:val="0"/>
          <w:marRight w:val="0"/>
          <w:marTop w:val="0"/>
          <w:marBottom w:val="0"/>
          <w:divBdr>
            <w:top w:val="none" w:sz="0" w:space="0" w:color="auto"/>
            <w:left w:val="none" w:sz="0" w:space="0" w:color="auto"/>
            <w:bottom w:val="none" w:sz="0" w:space="0" w:color="auto"/>
            <w:right w:val="none" w:sz="0" w:space="0" w:color="auto"/>
          </w:divBdr>
        </w:div>
        <w:div w:id="1659530032">
          <w:marLeft w:val="0"/>
          <w:marRight w:val="0"/>
          <w:marTop w:val="0"/>
          <w:marBottom w:val="0"/>
          <w:divBdr>
            <w:top w:val="none" w:sz="0" w:space="0" w:color="auto"/>
            <w:left w:val="none" w:sz="0" w:space="0" w:color="auto"/>
            <w:bottom w:val="none" w:sz="0" w:space="0" w:color="auto"/>
            <w:right w:val="none" w:sz="0" w:space="0" w:color="auto"/>
          </w:divBdr>
        </w:div>
      </w:divsChild>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206874596">
      <w:bodyDiv w:val="1"/>
      <w:marLeft w:val="0"/>
      <w:marRight w:val="0"/>
      <w:marTop w:val="0"/>
      <w:marBottom w:val="0"/>
      <w:divBdr>
        <w:top w:val="none" w:sz="0" w:space="0" w:color="auto"/>
        <w:left w:val="none" w:sz="0" w:space="0" w:color="auto"/>
        <w:bottom w:val="none" w:sz="0" w:space="0" w:color="auto"/>
        <w:right w:val="none" w:sz="0" w:space="0" w:color="auto"/>
      </w:divBdr>
    </w:div>
    <w:div w:id="1726366657">
      <w:bodyDiv w:val="1"/>
      <w:marLeft w:val="0"/>
      <w:marRight w:val="0"/>
      <w:marTop w:val="0"/>
      <w:marBottom w:val="0"/>
      <w:divBdr>
        <w:top w:val="none" w:sz="0" w:space="0" w:color="auto"/>
        <w:left w:val="none" w:sz="0" w:space="0" w:color="auto"/>
        <w:bottom w:val="none" w:sz="0" w:space="0" w:color="auto"/>
        <w:right w:val="none" w:sz="0" w:space="0" w:color="auto"/>
      </w:divBdr>
      <w:divsChild>
        <w:div w:id="2065059524">
          <w:marLeft w:val="0"/>
          <w:marRight w:val="0"/>
          <w:marTop w:val="0"/>
          <w:marBottom w:val="0"/>
          <w:divBdr>
            <w:top w:val="none" w:sz="0" w:space="0" w:color="auto"/>
            <w:left w:val="none" w:sz="0" w:space="0" w:color="auto"/>
            <w:bottom w:val="none" w:sz="0" w:space="0" w:color="auto"/>
            <w:right w:val="none" w:sz="0" w:space="0" w:color="auto"/>
          </w:divBdr>
          <w:divsChild>
            <w:div w:id="1650741233">
              <w:marLeft w:val="0"/>
              <w:marRight w:val="0"/>
              <w:marTop w:val="0"/>
              <w:marBottom w:val="0"/>
              <w:divBdr>
                <w:top w:val="none" w:sz="0" w:space="0" w:color="auto"/>
                <w:left w:val="none" w:sz="0" w:space="0" w:color="auto"/>
                <w:bottom w:val="none" w:sz="0" w:space="0" w:color="auto"/>
                <w:right w:val="none" w:sz="0" w:space="0" w:color="auto"/>
              </w:divBdr>
              <w:divsChild>
                <w:div w:id="20788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hyperlink" Target="http://www.pbs.gov.au/pbs/industry/listing/elements/pbac-meetings/psd/2015-03/febuxostat-adenuric-psd-03-2015" TargetMode="External"/><Relationship Id="rId18" Type="http://schemas.openxmlformats.org/officeDocument/2006/relationships/chart" Target="charts/chart4.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pbs.gov.au/pbs/industry/listing/elements/pbac-meetings/psd/2014-03/febuxostat-psd-03-2014" TargetMode="External"/><Relationship Id="rId17" Type="http://schemas.openxmlformats.org/officeDocument/2006/relationships/chart" Target="charts/chart3.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entral.health\DFSGroupData\Sites\CO1\CO\PBD\PEB\EVAL\DUSC\DUSC%20Documents\Predicted%20vs%20actual%20usage\pbs.gov.a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pbs.gov.au/pbs/home"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hyperlink" Target="http://www.pbs.gov.au/pbs/industry/listing/elements/pbac-meetings/psd/2017-07/febuxostat-psd-july-2017" TargetMode="External"/><Relationship Id="rId22" Type="http://schemas.openxmlformats.org/officeDocument/2006/relationships/header" Target="header1.xml"/><Relationship Id="rId27"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s://www.ncbi.nlm.nih.gov/pubmed/29527974" TargetMode="External"/><Relationship Id="rId2" Type="http://schemas.openxmlformats.org/officeDocument/2006/relationships/hyperlink" Target="https://www.ebs.tga.gov.au/" TargetMode="External"/><Relationship Id="rId1" Type="http://schemas.openxmlformats.org/officeDocument/2006/relationships/hyperlink" Target="https://www.ncbi.nlm.nih.gov/pubmed/23392592" TargetMode="External"/><Relationship Id="rId4" Type="http://schemas.openxmlformats.org/officeDocument/2006/relationships/hyperlink" Target="https://www.ncbi.nlm.nih.gov/pubmed/1914157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fo/industry/listing/elements/pbac-meetings/psd/2017-07/febuxostat-psd-july-2017"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87%20-%20Febuxostat%20PVA%20Sep%202018\D1087-%20Febuxostat%20PvA%20Analysis%20v2%20-%20update%20to%20DOS=June%20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87%20-%20Febuxostat%20PVA%20Sep%202018\D1087-%20Febuxostat%20PvA%20Analysis%20v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87%20-%20Febuxostat%20PVA%20Sep%202018\Raw%20Extracts\D1087-%20PATCNTBY_DRUG_N_SUPP_QT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87%20-%20Febuxostat%20PVA%20Sep%202018\Raw%20Extracts\D1087-%20PATCNTBY_DRUG_N_SUPP_QT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87%20-%20Febuxostat%20PVA%20Sep%202018\D1087-%20Febuxostat%20PvA%20Analysis%20v2%20-%20update%20to%20DOS=June%20201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87%20-%20Febuxostat%20PVA%20Sep%202018\D1087-%20Febuxostat%20PvA%20Analysis%20v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[D1087- Febuxostat PvA Analysis v2 - update to DOS=June 2018.xlsx]Fig 1. Scripts per Qtr!PivotTable1</c:name>
    <c:fmtId val="-1"/>
  </c:pivotSource>
  <c:chart>
    <c:autoTitleDeleted val="1"/>
    <c:pivotFmts>
      <c:pivotFmt>
        <c:idx val="0"/>
      </c:pivotFmt>
      <c:pivotFmt>
        <c:idx val="1"/>
      </c:pivotFmt>
      <c:pivotFmt>
        <c:idx val="2"/>
      </c:pivotFmt>
    </c:pivotFmts>
    <c:plotArea>
      <c:layout/>
      <c:lineChart>
        <c:grouping val="standard"/>
        <c:varyColors val="0"/>
        <c:ser>
          <c:idx val="0"/>
          <c:order val="0"/>
          <c:tx>
            <c:strRef>
              <c:f>'Fig 1. Scripts per Qtr'!$B$3:$B$4</c:f>
              <c:strCache>
                <c:ptCount val="1"/>
                <c:pt idx="0">
                  <c:v>FEBUXOSTAT</c:v>
                </c:pt>
              </c:strCache>
            </c:strRef>
          </c:tx>
          <c:cat>
            <c:strRef>
              <c:f>'Fig 1. Scripts per Qtr'!$A$5:$A$17</c:f>
              <c:strCache>
                <c:ptCount val="12"/>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strCache>
            </c:strRef>
          </c:cat>
          <c:val>
            <c:numRef>
              <c:f>'Fig 1. Scripts per Qtr'!$B$5:$B$17</c:f>
              <c:numCache>
                <c:formatCode>_-* #,##0_-;\-* #,##0_-;_-* "-"??_-;_-@_-</c:formatCode>
                <c:ptCount val="12"/>
                <c:pt idx="0">
                  <c:v>163</c:v>
                </c:pt>
                <c:pt idx="1">
                  <c:v>1303</c:v>
                </c:pt>
                <c:pt idx="2">
                  <c:v>2011</c:v>
                </c:pt>
                <c:pt idx="3">
                  <c:v>3199</c:v>
                </c:pt>
                <c:pt idx="4">
                  <c:v>4173</c:v>
                </c:pt>
                <c:pt idx="5">
                  <c:v>5438</c:v>
                </c:pt>
                <c:pt idx="6">
                  <c:v>5732</c:v>
                </c:pt>
                <c:pt idx="7">
                  <c:v>6968</c:v>
                </c:pt>
                <c:pt idx="8">
                  <c:v>7782</c:v>
                </c:pt>
                <c:pt idx="9">
                  <c:v>9136</c:v>
                </c:pt>
                <c:pt idx="10">
                  <c:v>8844</c:v>
                </c:pt>
                <c:pt idx="11">
                  <c:v>9895</c:v>
                </c:pt>
              </c:numCache>
            </c:numRef>
          </c:val>
          <c:smooth val="0"/>
          <c:extLst>
            <c:ext xmlns:c16="http://schemas.microsoft.com/office/drawing/2014/chart" uri="{C3380CC4-5D6E-409C-BE32-E72D297353CC}">
              <c16:uniqueId val="{00000000-CC17-494B-B9D2-4AF3A5EB35FD}"/>
            </c:ext>
          </c:extLst>
        </c:ser>
        <c:dLbls>
          <c:showLegendKey val="0"/>
          <c:showVal val="0"/>
          <c:showCatName val="0"/>
          <c:showSerName val="0"/>
          <c:showPercent val="0"/>
          <c:showBubbleSize val="0"/>
        </c:dLbls>
        <c:marker val="1"/>
        <c:smooth val="0"/>
        <c:axId val="243768784"/>
        <c:axId val="243765648"/>
      </c:lineChart>
      <c:catAx>
        <c:axId val="243768784"/>
        <c:scaling>
          <c:orientation val="minMax"/>
        </c:scaling>
        <c:delete val="0"/>
        <c:axPos val="b"/>
        <c:title>
          <c:tx>
            <c:rich>
              <a:bodyPr/>
              <a:lstStyle/>
              <a:p>
                <a:pPr>
                  <a:defRPr/>
                </a:pPr>
                <a:r>
                  <a:rPr lang="en-AU"/>
                  <a:t>Quarter of supply</a:t>
                </a:r>
              </a:p>
            </c:rich>
          </c:tx>
          <c:layout/>
          <c:overlay val="0"/>
        </c:title>
        <c:numFmt formatCode="General" sourceLinked="0"/>
        <c:majorTickMark val="out"/>
        <c:minorTickMark val="none"/>
        <c:tickLblPos val="nextTo"/>
        <c:crossAx val="243765648"/>
        <c:crosses val="autoZero"/>
        <c:auto val="1"/>
        <c:lblAlgn val="ctr"/>
        <c:lblOffset val="100"/>
        <c:noMultiLvlLbl val="0"/>
      </c:catAx>
      <c:valAx>
        <c:axId val="243765648"/>
        <c:scaling>
          <c:orientation val="minMax"/>
        </c:scaling>
        <c:delete val="0"/>
        <c:axPos val="l"/>
        <c:majorGridlines/>
        <c:title>
          <c:tx>
            <c:rich>
              <a:bodyPr rot="-5400000" vert="horz"/>
              <a:lstStyle/>
              <a:p>
                <a:pPr>
                  <a:defRPr/>
                </a:pPr>
                <a:r>
                  <a:rPr lang="en-AU"/>
                  <a:t>Prescriptions</a:t>
                </a:r>
              </a:p>
            </c:rich>
          </c:tx>
          <c:layout/>
          <c:overlay val="0"/>
        </c:title>
        <c:numFmt formatCode="_-* #,##0_-;\-* #,##0_-;_-* &quot;-&quot;??_-;_-@_-" sourceLinked="1"/>
        <c:majorTickMark val="out"/>
        <c:minorTickMark val="none"/>
        <c:tickLblPos val="nextTo"/>
        <c:crossAx val="243768784"/>
        <c:crosses val="autoZero"/>
        <c:crossBetween val="between"/>
      </c:valAx>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pivotFmt>
      <c:pivotFmt>
        <c:idx val="1"/>
      </c:pivotFmt>
      <c:pivotFmt>
        <c:idx val="2"/>
      </c:pivotFmt>
      <c:pivotFmt>
        <c:idx val="3"/>
      </c:pivotFmt>
      <c:pivotFmt>
        <c:idx val="4"/>
      </c:pivotFmt>
      <c:pivotFmt>
        <c:idx val="5"/>
      </c:pivotFmt>
    </c:pivotFmts>
    <c:plotArea>
      <c:layout/>
      <c:lineChart>
        <c:grouping val="standard"/>
        <c:varyColors val="0"/>
        <c:ser>
          <c:idx val="0"/>
          <c:order val="0"/>
          <c:tx>
            <c:v>Initiating Patients</c:v>
          </c:tx>
          <c:cat>
            <c:strLit>
              <c:ptCount val="10"/>
              <c:pt idx="0">
                <c:v>2015Q3</c:v>
              </c:pt>
              <c:pt idx="1">
                <c:v>2015Q4</c:v>
              </c:pt>
              <c:pt idx="2">
                <c:v>2016Q1</c:v>
              </c:pt>
              <c:pt idx="3">
                <c:v>2016Q2</c:v>
              </c:pt>
              <c:pt idx="4">
                <c:v>2016Q3</c:v>
              </c:pt>
              <c:pt idx="5">
                <c:v>2016Q4</c:v>
              </c:pt>
              <c:pt idx="6">
                <c:v>2017Q1</c:v>
              </c:pt>
              <c:pt idx="7">
                <c:v>2017Q2</c:v>
              </c:pt>
              <c:pt idx="8">
                <c:v>2017Q3</c:v>
              </c:pt>
              <c:pt idx="9">
                <c:v>2017Q4</c:v>
              </c:pt>
            </c:strLit>
          </c:cat>
          <c:val>
            <c:numLit>
              <c:formatCode>General</c:formatCode>
              <c:ptCount val="10"/>
              <c:pt idx="0">
                <c:v>154</c:v>
              </c:pt>
              <c:pt idx="1">
                <c:v>534</c:v>
              </c:pt>
              <c:pt idx="2">
                <c:v>555</c:v>
              </c:pt>
              <c:pt idx="3">
                <c:v>721</c:v>
              </c:pt>
              <c:pt idx="4">
                <c:v>702</c:v>
              </c:pt>
              <c:pt idx="5">
                <c:v>812</c:v>
              </c:pt>
              <c:pt idx="6">
                <c:v>781</c:v>
              </c:pt>
              <c:pt idx="7">
                <c:v>791</c:v>
              </c:pt>
              <c:pt idx="8">
                <c:v>765</c:v>
              </c:pt>
              <c:pt idx="9">
                <c:v>831</c:v>
              </c:pt>
            </c:numLit>
          </c:val>
          <c:smooth val="0"/>
          <c:extLst>
            <c:ext xmlns:c16="http://schemas.microsoft.com/office/drawing/2014/chart" uri="{C3380CC4-5D6E-409C-BE32-E72D297353CC}">
              <c16:uniqueId val="{00000000-6FBF-410F-BAA3-8A5F178970C8}"/>
            </c:ext>
          </c:extLst>
        </c:ser>
        <c:ser>
          <c:idx val="1"/>
          <c:order val="1"/>
          <c:tx>
            <c:v>Prevalent Patients</c:v>
          </c:tx>
          <c:cat>
            <c:strLit>
              <c:ptCount val="10"/>
              <c:pt idx="0">
                <c:v>2015Q3</c:v>
              </c:pt>
              <c:pt idx="1">
                <c:v>2015Q4</c:v>
              </c:pt>
              <c:pt idx="2">
                <c:v>2016Q1</c:v>
              </c:pt>
              <c:pt idx="3">
                <c:v>2016Q2</c:v>
              </c:pt>
              <c:pt idx="4">
                <c:v>2016Q3</c:v>
              </c:pt>
              <c:pt idx="5">
                <c:v>2016Q4</c:v>
              </c:pt>
              <c:pt idx="6">
                <c:v>2017Q1</c:v>
              </c:pt>
              <c:pt idx="7">
                <c:v>2017Q2</c:v>
              </c:pt>
              <c:pt idx="8">
                <c:v>2017Q3</c:v>
              </c:pt>
              <c:pt idx="9">
                <c:v>2017Q4</c:v>
              </c:pt>
            </c:strLit>
          </c:cat>
          <c:val>
            <c:numLit>
              <c:formatCode>General</c:formatCode>
              <c:ptCount val="10"/>
              <c:pt idx="0">
                <c:v>154</c:v>
              </c:pt>
              <c:pt idx="1">
                <c:v>659</c:v>
              </c:pt>
              <c:pt idx="2">
                <c:v>1076</c:v>
              </c:pt>
              <c:pt idx="3">
                <c:v>1597</c:v>
              </c:pt>
              <c:pt idx="4">
                <c:v>2012</c:v>
              </c:pt>
              <c:pt idx="5">
                <c:v>2525</c:v>
              </c:pt>
              <c:pt idx="6">
                <c:v>2837</c:v>
              </c:pt>
              <c:pt idx="7">
                <c:v>3283</c:v>
              </c:pt>
              <c:pt idx="8">
                <c:v>3655</c:v>
              </c:pt>
              <c:pt idx="9">
                <c:v>4038</c:v>
              </c:pt>
            </c:numLit>
          </c:val>
          <c:smooth val="0"/>
          <c:extLst>
            <c:ext xmlns:c16="http://schemas.microsoft.com/office/drawing/2014/chart" uri="{C3380CC4-5D6E-409C-BE32-E72D297353CC}">
              <c16:uniqueId val="{00000001-6FBF-410F-BAA3-8A5F178970C8}"/>
            </c:ext>
          </c:extLst>
        </c:ser>
        <c:dLbls>
          <c:showLegendKey val="0"/>
          <c:showVal val="0"/>
          <c:showCatName val="0"/>
          <c:showSerName val="0"/>
          <c:showPercent val="0"/>
          <c:showBubbleSize val="0"/>
        </c:dLbls>
        <c:marker val="1"/>
        <c:smooth val="0"/>
        <c:axId val="544423544"/>
        <c:axId val="544426288"/>
      </c:lineChart>
      <c:catAx>
        <c:axId val="544423544"/>
        <c:scaling>
          <c:orientation val="minMax"/>
        </c:scaling>
        <c:delete val="0"/>
        <c:axPos val="b"/>
        <c:title>
          <c:tx>
            <c:rich>
              <a:bodyPr/>
              <a:lstStyle/>
              <a:p>
                <a:pPr>
                  <a:defRPr/>
                </a:pPr>
                <a:r>
                  <a:rPr lang="en-AU"/>
                  <a:t>Quarter of supply</a:t>
                </a:r>
              </a:p>
            </c:rich>
          </c:tx>
          <c:layout/>
          <c:overlay val="0"/>
        </c:title>
        <c:numFmt formatCode="General" sourceLinked="0"/>
        <c:majorTickMark val="out"/>
        <c:minorTickMark val="none"/>
        <c:tickLblPos val="nextTo"/>
        <c:crossAx val="544426288"/>
        <c:crosses val="autoZero"/>
        <c:auto val="1"/>
        <c:lblAlgn val="ctr"/>
        <c:lblOffset val="100"/>
        <c:noMultiLvlLbl val="0"/>
      </c:catAx>
      <c:valAx>
        <c:axId val="544426288"/>
        <c:scaling>
          <c:orientation val="minMax"/>
        </c:scaling>
        <c:delete val="0"/>
        <c:axPos val="l"/>
        <c:majorGridlines/>
        <c:title>
          <c:tx>
            <c:rich>
              <a:bodyPr rot="-5400000" vert="horz"/>
              <a:lstStyle/>
              <a:p>
                <a:pPr>
                  <a:defRPr/>
                </a:pPr>
                <a:r>
                  <a:rPr lang="en-US"/>
                  <a:t>Patients</a:t>
                </a:r>
              </a:p>
            </c:rich>
          </c:tx>
          <c:layout/>
          <c:overlay val="0"/>
        </c:title>
        <c:numFmt formatCode="#,##0" sourceLinked="0"/>
        <c:majorTickMark val="out"/>
        <c:minorTickMark val="none"/>
        <c:tickLblPos val="nextTo"/>
        <c:crossAx val="544423544"/>
        <c:crosses val="autoZero"/>
        <c:crossBetween val="between"/>
      </c:valAx>
    </c:plotArea>
    <c:legend>
      <c:legendPos val="r"/>
      <c:layout/>
      <c:overlay val="0"/>
    </c:legend>
    <c:plotVisOnly val="1"/>
    <c:dispBlanksAs val="gap"/>
    <c:showDLblsOverMax val="0"/>
  </c:chart>
  <c:externalData r:id="rId1">
    <c:autoUpdate val="0"/>
  </c:externalData>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[D1087- PATCNTBY_DRUG_N_SUPP_QTR.xlsx]Sheet1!PivotTable1</c:name>
    <c:fmtId val="-1"/>
  </c:pivotSource>
  <c:chart>
    <c:autoTitleDeleted val="0"/>
    <c:pivotFmts>
      <c:pivotFmt>
        <c:idx val="0"/>
        <c:marker>
          <c:symbol val="none"/>
        </c:marker>
      </c:pivotFmt>
      <c:pivotFmt>
        <c:idx val="1"/>
        <c:marker>
          <c:symbol val="none"/>
        </c:marker>
      </c:pivotFmt>
      <c:pivotFmt>
        <c:idx val="2"/>
        <c:marker>
          <c:symbol val="none"/>
        </c:marker>
      </c:pivotFmt>
      <c:pivotFmt>
        <c:idx val="3"/>
      </c:pivotFmt>
      <c:pivotFmt>
        <c:idx val="4"/>
      </c:pivotFmt>
      <c:pivotFmt>
        <c:idx val="5"/>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s>
    <c:plotArea>
      <c:layout/>
      <c:lineChart>
        <c:grouping val="standard"/>
        <c:varyColors val="0"/>
        <c:ser>
          <c:idx val="0"/>
          <c:order val="0"/>
          <c:tx>
            <c:strRef>
              <c:f>Sheet1!$B$3:$B$4</c:f>
              <c:strCache>
                <c:ptCount val="1"/>
                <c:pt idx="0">
                  <c:v>ALLOPURINOL</c:v>
                </c:pt>
              </c:strCache>
            </c:strRef>
          </c:tx>
          <c:marker>
            <c:symbol val="none"/>
          </c:marker>
          <c:cat>
            <c:strRef>
              <c:f>Sheet1!$A$5:$A$28</c:f>
              <c:strCache>
                <c:ptCount val="23"/>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strCache>
            </c:strRef>
          </c:cat>
          <c:val>
            <c:numRef>
              <c:f>Sheet1!$B$5:$B$28</c:f>
              <c:numCache>
                <c:formatCode>General</c:formatCode>
                <c:ptCount val="23"/>
                <c:pt idx="0">
                  <c:v>196376</c:v>
                </c:pt>
                <c:pt idx="1">
                  <c:v>213055</c:v>
                </c:pt>
                <c:pt idx="2">
                  <c:v>229999</c:v>
                </c:pt>
                <c:pt idx="3">
                  <c:v>197003</c:v>
                </c:pt>
                <c:pt idx="4">
                  <c:v>212376</c:v>
                </c:pt>
                <c:pt idx="5">
                  <c:v>219901</c:v>
                </c:pt>
                <c:pt idx="6">
                  <c:v>234637</c:v>
                </c:pt>
                <c:pt idx="7">
                  <c:v>200419</c:v>
                </c:pt>
                <c:pt idx="8">
                  <c:v>215875</c:v>
                </c:pt>
                <c:pt idx="9">
                  <c:v>221782</c:v>
                </c:pt>
                <c:pt idx="10">
                  <c:v>237654</c:v>
                </c:pt>
                <c:pt idx="11">
                  <c:v>203934</c:v>
                </c:pt>
                <c:pt idx="12">
                  <c:v>218388</c:v>
                </c:pt>
                <c:pt idx="13">
                  <c:v>226536</c:v>
                </c:pt>
                <c:pt idx="14">
                  <c:v>243876</c:v>
                </c:pt>
                <c:pt idx="15">
                  <c:v>208947</c:v>
                </c:pt>
                <c:pt idx="16">
                  <c:v>223858</c:v>
                </c:pt>
                <c:pt idx="17">
                  <c:v>231877</c:v>
                </c:pt>
                <c:pt idx="18">
                  <c:v>245383</c:v>
                </c:pt>
                <c:pt idx="19">
                  <c:v>220446</c:v>
                </c:pt>
                <c:pt idx="20">
                  <c:v>230993</c:v>
                </c:pt>
                <c:pt idx="21">
                  <c:v>236306</c:v>
                </c:pt>
                <c:pt idx="22">
                  <c:v>249548</c:v>
                </c:pt>
              </c:numCache>
            </c:numRef>
          </c:val>
          <c:smooth val="0"/>
          <c:extLst>
            <c:ext xmlns:c16="http://schemas.microsoft.com/office/drawing/2014/chart" uri="{C3380CC4-5D6E-409C-BE32-E72D297353CC}">
              <c16:uniqueId val="{00000000-EC0A-49AD-9D39-D2EDFF871109}"/>
            </c:ext>
          </c:extLst>
        </c:ser>
        <c:ser>
          <c:idx val="1"/>
          <c:order val="1"/>
          <c:tx>
            <c:strRef>
              <c:f>Sheet1!$C$3:$C$4</c:f>
              <c:strCache>
                <c:ptCount val="1"/>
                <c:pt idx="0">
                  <c:v>FEBUXOSTAT</c:v>
                </c:pt>
              </c:strCache>
            </c:strRef>
          </c:tx>
          <c:marker>
            <c:symbol val="none"/>
          </c:marker>
          <c:cat>
            <c:strRef>
              <c:f>Sheet1!$A$5:$A$28</c:f>
              <c:strCache>
                <c:ptCount val="23"/>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strCache>
            </c:strRef>
          </c:cat>
          <c:val>
            <c:numRef>
              <c:f>Sheet1!$C$5:$C$28</c:f>
              <c:numCache>
                <c:formatCode>General</c:formatCode>
                <c:ptCount val="23"/>
                <c:pt idx="13">
                  <c:v>154</c:v>
                </c:pt>
                <c:pt idx="14">
                  <c:v>659</c:v>
                </c:pt>
                <c:pt idx="15">
                  <c:v>1076</c:v>
                </c:pt>
                <c:pt idx="16">
                  <c:v>1597</c:v>
                </c:pt>
                <c:pt idx="17">
                  <c:v>2012</c:v>
                </c:pt>
                <c:pt idx="18">
                  <c:v>2525</c:v>
                </c:pt>
                <c:pt idx="19">
                  <c:v>2837</c:v>
                </c:pt>
                <c:pt idx="20">
                  <c:v>3283</c:v>
                </c:pt>
                <c:pt idx="21">
                  <c:v>3655</c:v>
                </c:pt>
                <c:pt idx="22">
                  <c:v>4038</c:v>
                </c:pt>
              </c:numCache>
            </c:numRef>
          </c:val>
          <c:smooth val="0"/>
          <c:extLst>
            <c:ext xmlns:c16="http://schemas.microsoft.com/office/drawing/2014/chart" uri="{C3380CC4-5D6E-409C-BE32-E72D297353CC}">
              <c16:uniqueId val="{00000001-EC0A-49AD-9D39-D2EDFF871109}"/>
            </c:ext>
          </c:extLst>
        </c:ser>
        <c:ser>
          <c:idx val="2"/>
          <c:order val="2"/>
          <c:tx>
            <c:strRef>
              <c:f>Sheet1!$D$3:$D$4</c:f>
              <c:strCache>
                <c:ptCount val="1"/>
                <c:pt idx="0">
                  <c:v>PROBENECID</c:v>
                </c:pt>
              </c:strCache>
            </c:strRef>
          </c:tx>
          <c:marker>
            <c:symbol val="none"/>
          </c:marker>
          <c:cat>
            <c:strRef>
              <c:f>Sheet1!$A$5:$A$28</c:f>
              <c:strCache>
                <c:ptCount val="23"/>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strCache>
            </c:strRef>
          </c:cat>
          <c:val>
            <c:numRef>
              <c:f>Sheet1!$D$5:$D$28</c:f>
              <c:numCache>
                <c:formatCode>General</c:formatCode>
                <c:ptCount val="23"/>
                <c:pt idx="0">
                  <c:v>3147</c:v>
                </c:pt>
                <c:pt idx="1">
                  <c:v>3273</c:v>
                </c:pt>
                <c:pt idx="2">
                  <c:v>3504</c:v>
                </c:pt>
                <c:pt idx="3">
                  <c:v>3064</c:v>
                </c:pt>
                <c:pt idx="4">
                  <c:v>3209</c:v>
                </c:pt>
                <c:pt idx="5">
                  <c:v>3270</c:v>
                </c:pt>
                <c:pt idx="6">
                  <c:v>3382</c:v>
                </c:pt>
                <c:pt idx="7">
                  <c:v>2976</c:v>
                </c:pt>
                <c:pt idx="8">
                  <c:v>3196</c:v>
                </c:pt>
                <c:pt idx="9">
                  <c:v>3186</c:v>
                </c:pt>
                <c:pt idx="10">
                  <c:v>3423</c:v>
                </c:pt>
                <c:pt idx="11">
                  <c:v>3065</c:v>
                </c:pt>
                <c:pt idx="12">
                  <c:v>3182</c:v>
                </c:pt>
                <c:pt idx="13">
                  <c:v>3260</c:v>
                </c:pt>
                <c:pt idx="14">
                  <c:v>3379</c:v>
                </c:pt>
                <c:pt idx="15">
                  <c:v>2957</c:v>
                </c:pt>
                <c:pt idx="16">
                  <c:v>2946</c:v>
                </c:pt>
                <c:pt idx="17">
                  <c:v>3003</c:v>
                </c:pt>
                <c:pt idx="18">
                  <c:v>3099</c:v>
                </c:pt>
                <c:pt idx="19">
                  <c:v>2787</c:v>
                </c:pt>
                <c:pt idx="20">
                  <c:v>2702</c:v>
                </c:pt>
                <c:pt idx="21">
                  <c:v>2749</c:v>
                </c:pt>
                <c:pt idx="22">
                  <c:v>2870</c:v>
                </c:pt>
              </c:numCache>
            </c:numRef>
          </c:val>
          <c:smooth val="0"/>
          <c:extLst>
            <c:ext xmlns:c16="http://schemas.microsoft.com/office/drawing/2014/chart" uri="{C3380CC4-5D6E-409C-BE32-E72D297353CC}">
              <c16:uniqueId val="{00000002-EC0A-49AD-9D39-D2EDFF871109}"/>
            </c:ext>
          </c:extLst>
        </c:ser>
        <c:dLbls>
          <c:showLegendKey val="0"/>
          <c:showVal val="0"/>
          <c:showCatName val="0"/>
          <c:showSerName val="0"/>
          <c:showPercent val="0"/>
          <c:showBubbleSize val="0"/>
        </c:dLbls>
        <c:smooth val="0"/>
        <c:axId val="544424328"/>
        <c:axId val="544424720"/>
      </c:lineChart>
      <c:catAx>
        <c:axId val="544424328"/>
        <c:scaling>
          <c:orientation val="minMax"/>
        </c:scaling>
        <c:delete val="0"/>
        <c:axPos val="b"/>
        <c:title>
          <c:tx>
            <c:rich>
              <a:bodyPr/>
              <a:lstStyle/>
              <a:p>
                <a:pPr>
                  <a:defRPr/>
                </a:pPr>
                <a:r>
                  <a:rPr lang="en-AU"/>
                  <a:t>Quarter</a:t>
                </a:r>
                <a:r>
                  <a:rPr lang="en-AU" baseline="0"/>
                  <a:t> of supply</a:t>
                </a:r>
                <a:endParaRPr lang="en-AU"/>
              </a:p>
            </c:rich>
          </c:tx>
          <c:layout/>
          <c:overlay val="0"/>
        </c:title>
        <c:numFmt formatCode="General" sourceLinked="0"/>
        <c:majorTickMark val="out"/>
        <c:minorTickMark val="none"/>
        <c:tickLblPos val="nextTo"/>
        <c:crossAx val="544424720"/>
        <c:crosses val="autoZero"/>
        <c:auto val="1"/>
        <c:lblAlgn val="ctr"/>
        <c:lblOffset val="100"/>
        <c:noMultiLvlLbl val="0"/>
      </c:catAx>
      <c:valAx>
        <c:axId val="544424720"/>
        <c:scaling>
          <c:orientation val="minMax"/>
        </c:scaling>
        <c:delete val="0"/>
        <c:axPos val="l"/>
        <c:majorGridlines/>
        <c:title>
          <c:tx>
            <c:rich>
              <a:bodyPr rot="-5400000" vert="horz"/>
              <a:lstStyle/>
              <a:p>
                <a:pPr>
                  <a:defRPr/>
                </a:pPr>
                <a:r>
                  <a:rPr lang="en-AU"/>
                  <a:t>Prevalent patients</a:t>
                </a:r>
              </a:p>
            </c:rich>
          </c:tx>
          <c:layout/>
          <c:overlay val="0"/>
        </c:title>
        <c:numFmt formatCode="General" sourceLinked="1"/>
        <c:majorTickMark val="out"/>
        <c:minorTickMark val="none"/>
        <c:tickLblPos val="nextTo"/>
        <c:crossAx val="544424328"/>
        <c:crosses val="autoZero"/>
        <c:crossBetween val="between"/>
      </c:valAx>
    </c:plotArea>
    <c:legend>
      <c:legendPos val="r"/>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[D1087- PATCNTBY_DRUG_N_SUPP_QTR.xlsx]Sheet2!PivotTable2</c:name>
    <c:fmtId val="-1"/>
  </c:pivotSource>
  <c:chart>
    <c:autoTitleDeleted val="0"/>
    <c:pivotFmts>
      <c:pivotFmt>
        <c:idx val="0"/>
        <c:marker>
          <c:symbol val="none"/>
        </c:marker>
      </c:pivotFmt>
      <c:pivotFmt>
        <c:idx val="1"/>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s>
    <c:plotArea>
      <c:layout/>
      <c:areaChart>
        <c:grouping val="stacked"/>
        <c:varyColors val="0"/>
        <c:ser>
          <c:idx val="0"/>
          <c:order val="0"/>
          <c:tx>
            <c:strRef>
              <c:f>Sheet2!$B$3:$B$4</c:f>
              <c:strCache>
                <c:ptCount val="1"/>
                <c:pt idx="0">
                  <c:v>PROBENECID</c:v>
                </c:pt>
              </c:strCache>
            </c:strRef>
          </c:tx>
          <c:spPr>
            <a:solidFill>
              <a:schemeClr val="accent3"/>
            </a:solidFill>
          </c:spPr>
          <c:cat>
            <c:strRef>
              <c:f>Sheet2!$A$5:$A$28</c:f>
              <c:strCache>
                <c:ptCount val="23"/>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strCache>
            </c:strRef>
          </c:cat>
          <c:val>
            <c:numRef>
              <c:f>Sheet2!$B$5:$B$28</c:f>
              <c:numCache>
                <c:formatCode>General</c:formatCode>
                <c:ptCount val="23"/>
                <c:pt idx="0">
                  <c:v>3147</c:v>
                </c:pt>
                <c:pt idx="1">
                  <c:v>3273</c:v>
                </c:pt>
                <c:pt idx="2">
                  <c:v>3504</c:v>
                </c:pt>
                <c:pt idx="3">
                  <c:v>3064</c:v>
                </c:pt>
                <c:pt idx="4">
                  <c:v>3209</c:v>
                </c:pt>
                <c:pt idx="5">
                  <c:v>3270</c:v>
                </c:pt>
                <c:pt idx="6">
                  <c:v>3382</c:v>
                </c:pt>
                <c:pt idx="7">
                  <c:v>2976</c:v>
                </c:pt>
                <c:pt idx="8">
                  <c:v>3196</c:v>
                </c:pt>
                <c:pt idx="9">
                  <c:v>3186</c:v>
                </c:pt>
                <c:pt idx="10">
                  <c:v>3423</c:v>
                </c:pt>
                <c:pt idx="11">
                  <c:v>3065</c:v>
                </c:pt>
                <c:pt idx="12">
                  <c:v>3182</c:v>
                </c:pt>
                <c:pt idx="13">
                  <c:v>3260</c:v>
                </c:pt>
                <c:pt idx="14">
                  <c:v>3379</c:v>
                </c:pt>
                <c:pt idx="15">
                  <c:v>2957</c:v>
                </c:pt>
                <c:pt idx="16">
                  <c:v>2946</c:v>
                </c:pt>
                <c:pt idx="17">
                  <c:v>3003</c:v>
                </c:pt>
                <c:pt idx="18">
                  <c:v>3099</c:v>
                </c:pt>
                <c:pt idx="19">
                  <c:v>2787</c:v>
                </c:pt>
                <c:pt idx="20">
                  <c:v>2702</c:v>
                </c:pt>
                <c:pt idx="21">
                  <c:v>2749</c:v>
                </c:pt>
                <c:pt idx="22">
                  <c:v>2870</c:v>
                </c:pt>
              </c:numCache>
            </c:numRef>
          </c:val>
          <c:extLst>
            <c:ext xmlns:c16="http://schemas.microsoft.com/office/drawing/2014/chart" uri="{C3380CC4-5D6E-409C-BE32-E72D297353CC}">
              <c16:uniqueId val="{00000000-1177-49FE-B8AF-E5B1098C2F8E}"/>
            </c:ext>
          </c:extLst>
        </c:ser>
        <c:ser>
          <c:idx val="1"/>
          <c:order val="1"/>
          <c:tx>
            <c:strRef>
              <c:f>Sheet2!$C$3:$C$4</c:f>
              <c:strCache>
                <c:ptCount val="1"/>
                <c:pt idx="0">
                  <c:v>FEBUXOSTAT</c:v>
                </c:pt>
              </c:strCache>
            </c:strRef>
          </c:tx>
          <c:spPr>
            <a:solidFill>
              <a:schemeClr val="accent2"/>
            </a:solidFill>
          </c:spPr>
          <c:cat>
            <c:strRef>
              <c:f>Sheet2!$A$5:$A$28</c:f>
              <c:strCache>
                <c:ptCount val="23"/>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strCache>
            </c:strRef>
          </c:cat>
          <c:val>
            <c:numRef>
              <c:f>Sheet2!$C$5:$C$28</c:f>
              <c:numCache>
                <c:formatCode>General</c:formatCode>
                <c:ptCount val="23"/>
                <c:pt idx="13">
                  <c:v>154</c:v>
                </c:pt>
                <c:pt idx="14">
                  <c:v>659</c:v>
                </c:pt>
                <c:pt idx="15">
                  <c:v>1076</c:v>
                </c:pt>
                <c:pt idx="16">
                  <c:v>1597</c:v>
                </c:pt>
                <c:pt idx="17">
                  <c:v>2012</c:v>
                </c:pt>
                <c:pt idx="18">
                  <c:v>2525</c:v>
                </c:pt>
                <c:pt idx="19">
                  <c:v>2837</c:v>
                </c:pt>
                <c:pt idx="20">
                  <c:v>3283</c:v>
                </c:pt>
                <c:pt idx="21">
                  <c:v>3655</c:v>
                </c:pt>
                <c:pt idx="22">
                  <c:v>4038</c:v>
                </c:pt>
              </c:numCache>
            </c:numRef>
          </c:val>
          <c:extLst>
            <c:ext xmlns:c16="http://schemas.microsoft.com/office/drawing/2014/chart" uri="{C3380CC4-5D6E-409C-BE32-E72D297353CC}">
              <c16:uniqueId val="{00000001-1177-49FE-B8AF-E5B1098C2F8E}"/>
            </c:ext>
          </c:extLst>
        </c:ser>
        <c:dLbls>
          <c:showLegendKey val="0"/>
          <c:showVal val="0"/>
          <c:showCatName val="0"/>
          <c:showSerName val="0"/>
          <c:showPercent val="0"/>
          <c:showBubbleSize val="0"/>
        </c:dLbls>
        <c:axId val="547215848"/>
        <c:axId val="547216240"/>
      </c:areaChart>
      <c:catAx>
        <c:axId val="547215848"/>
        <c:scaling>
          <c:orientation val="minMax"/>
        </c:scaling>
        <c:delete val="0"/>
        <c:axPos val="b"/>
        <c:title>
          <c:tx>
            <c:rich>
              <a:bodyPr/>
              <a:lstStyle/>
              <a:p>
                <a:pPr>
                  <a:defRPr/>
                </a:pPr>
                <a:r>
                  <a:rPr lang="en-AU"/>
                  <a:t>Quarter of supply</a:t>
                </a:r>
              </a:p>
            </c:rich>
          </c:tx>
          <c:layout/>
          <c:overlay val="0"/>
        </c:title>
        <c:numFmt formatCode="General" sourceLinked="0"/>
        <c:majorTickMark val="out"/>
        <c:minorTickMark val="none"/>
        <c:tickLblPos val="nextTo"/>
        <c:crossAx val="547216240"/>
        <c:crosses val="autoZero"/>
        <c:auto val="1"/>
        <c:lblAlgn val="ctr"/>
        <c:lblOffset val="100"/>
        <c:noMultiLvlLbl val="0"/>
      </c:catAx>
      <c:valAx>
        <c:axId val="547216240"/>
        <c:scaling>
          <c:orientation val="minMax"/>
        </c:scaling>
        <c:delete val="0"/>
        <c:axPos val="l"/>
        <c:majorGridlines/>
        <c:title>
          <c:tx>
            <c:rich>
              <a:bodyPr rot="-5400000" vert="horz"/>
              <a:lstStyle/>
              <a:p>
                <a:pPr>
                  <a:defRPr/>
                </a:pPr>
                <a:r>
                  <a:rPr lang="en-AU"/>
                  <a:t>Prevalent patients</a:t>
                </a:r>
              </a:p>
            </c:rich>
          </c:tx>
          <c:layout/>
          <c:overlay val="0"/>
        </c:title>
        <c:numFmt formatCode="General" sourceLinked="1"/>
        <c:majorTickMark val="out"/>
        <c:minorTickMark val="none"/>
        <c:tickLblPos val="nextTo"/>
        <c:crossAx val="547215848"/>
        <c:crosses val="autoZero"/>
        <c:crossBetween val="midCat"/>
      </c:valAx>
    </c:plotArea>
    <c:legend>
      <c:legendPos val="r"/>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[D1087- Febuxostat PvA Analysis v2 - update to DOS=June 2018.xlsx]Fig 8.Pre-InitSequence by qtr!PivotTable3</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s>
    <c:plotArea>
      <c:layout>
        <c:manualLayout>
          <c:layoutTarget val="inner"/>
          <c:xMode val="edge"/>
          <c:yMode val="edge"/>
          <c:x val="0.11642059817899647"/>
          <c:y val="3.8185775558542988E-2"/>
          <c:w val="0.84692245127650501"/>
          <c:h val="0.73893707189040392"/>
        </c:manualLayout>
      </c:layout>
      <c:barChart>
        <c:barDir val="col"/>
        <c:grouping val="percentStacked"/>
        <c:varyColors val="0"/>
        <c:ser>
          <c:idx val="0"/>
          <c:order val="0"/>
          <c:tx>
            <c:strRef>
              <c:f>'Fig 8.Pre-InitSequence by qtr'!$B$41:$B$42</c:f>
              <c:strCache>
                <c:ptCount val="1"/>
                <c:pt idx="0">
                  <c:v>Allopurinol</c:v>
                </c:pt>
              </c:strCache>
            </c:strRef>
          </c:tx>
          <c:invertIfNegative val="0"/>
          <c:cat>
            <c:strRef>
              <c:f>'Fig 8.Pre-InitSequence by qtr'!$A$43:$A$55</c:f>
              <c:strCache>
                <c:ptCount val="12"/>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strCache>
            </c:strRef>
          </c:cat>
          <c:val>
            <c:numRef>
              <c:f>'Fig 8.Pre-InitSequence by qtr'!$B$43:$B$55</c:f>
              <c:numCache>
                <c:formatCode>General</c:formatCode>
                <c:ptCount val="12"/>
                <c:pt idx="0">
                  <c:v>68</c:v>
                </c:pt>
                <c:pt idx="1">
                  <c:v>263</c:v>
                </c:pt>
                <c:pt idx="2">
                  <c:v>324</c:v>
                </c:pt>
                <c:pt idx="3">
                  <c:v>493</c:v>
                </c:pt>
                <c:pt idx="4">
                  <c:v>481</c:v>
                </c:pt>
                <c:pt idx="5">
                  <c:v>548</c:v>
                </c:pt>
                <c:pt idx="6">
                  <c:v>523</c:v>
                </c:pt>
                <c:pt idx="7">
                  <c:v>569</c:v>
                </c:pt>
                <c:pt idx="8">
                  <c:v>524</c:v>
                </c:pt>
                <c:pt idx="9">
                  <c:v>575</c:v>
                </c:pt>
                <c:pt idx="10">
                  <c:v>507</c:v>
                </c:pt>
                <c:pt idx="11">
                  <c:v>505</c:v>
                </c:pt>
              </c:numCache>
            </c:numRef>
          </c:val>
          <c:extLst>
            <c:ext xmlns:c16="http://schemas.microsoft.com/office/drawing/2014/chart" uri="{C3380CC4-5D6E-409C-BE32-E72D297353CC}">
              <c16:uniqueId val="{00000000-0B4E-4509-9EDE-A7B756C34495}"/>
            </c:ext>
          </c:extLst>
        </c:ser>
        <c:ser>
          <c:idx val="1"/>
          <c:order val="1"/>
          <c:tx>
            <c:strRef>
              <c:f>'Fig 8.Pre-InitSequence by qtr'!$C$41:$C$42</c:f>
              <c:strCache>
                <c:ptCount val="1"/>
                <c:pt idx="0">
                  <c:v>None</c:v>
                </c:pt>
              </c:strCache>
            </c:strRef>
          </c:tx>
          <c:invertIfNegative val="0"/>
          <c:cat>
            <c:strRef>
              <c:f>'Fig 8.Pre-InitSequence by qtr'!$A$43:$A$55</c:f>
              <c:strCache>
                <c:ptCount val="12"/>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strCache>
            </c:strRef>
          </c:cat>
          <c:val>
            <c:numRef>
              <c:f>'Fig 8.Pre-InitSequence by qtr'!$C$43:$C$55</c:f>
              <c:numCache>
                <c:formatCode>General</c:formatCode>
                <c:ptCount val="12"/>
                <c:pt idx="0">
                  <c:v>46</c:v>
                </c:pt>
                <c:pt idx="1">
                  <c:v>152</c:v>
                </c:pt>
                <c:pt idx="2">
                  <c:v>153</c:v>
                </c:pt>
                <c:pt idx="3">
                  <c:v>161</c:v>
                </c:pt>
                <c:pt idx="4">
                  <c:v>171</c:v>
                </c:pt>
                <c:pt idx="5">
                  <c:v>202</c:v>
                </c:pt>
                <c:pt idx="6">
                  <c:v>213</c:v>
                </c:pt>
                <c:pt idx="7">
                  <c:v>170</c:v>
                </c:pt>
                <c:pt idx="8">
                  <c:v>200</c:v>
                </c:pt>
                <c:pt idx="9">
                  <c:v>200</c:v>
                </c:pt>
                <c:pt idx="10">
                  <c:v>166</c:v>
                </c:pt>
                <c:pt idx="11">
                  <c:v>157</c:v>
                </c:pt>
              </c:numCache>
            </c:numRef>
          </c:val>
          <c:extLst>
            <c:ext xmlns:c16="http://schemas.microsoft.com/office/drawing/2014/chart" uri="{C3380CC4-5D6E-409C-BE32-E72D297353CC}">
              <c16:uniqueId val="{00000001-0B4E-4509-9EDE-A7B756C34495}"/>
            </c:ext>
          </c:extLst>
        </c:ser>
        <c:ser>
          <c:idx val="2"/>
          <c:order val="2"/>
          <c:tx>
            <c:strRef>
              <c:f>'Fig 8.Pre-InitSequence by qtr'!$D$41:$D$42</c:f>
              <c:strCache>
                <c:ptCount val="1"/>
                <c:pt idx="0">
                  <c:v>Allopurinol + Probenecid</c:v>
                </c:pt>
              </c:strCache>
            </c:strRef>
          </c:tx>
          <c:invertIfNegative val="0"/>
          <c:cat>
            <c:strRef>
              <c:f>'Fig 8.Pre-InitSequence by qtr'!$A$43:$A$55</c:f>
              <c:strCache>
                <c:ptCount val="12"/>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strCache>
            </c:strRef>
          </c:cat>
          <c:val>
            <c:numRef>
              <c:f>'Fig 8.Pre-InitSequence by qtr'!$D$43:$D$55</c:f>
              <c:numCache>
                <c:formatCode>General</c:formatCode>
                <c:ptCount val="12"/>
                <c:pt idx="0">
                  <c:v>21</c:v>
                </c:pt>
                <c:pt idx="1">
                  <c:v>59</c:v>
                </c:pt>
                <c:pt idx="2">
                  <c:v>43</c:v>
                </c:pt>
                <c:pt idx="3">
                  <c:v>38</c:v>
                </c:pt>
                <c:pt idx="4">
                  <c:v>30</c:v>
                </c:pt>
                <c:pt idx="5">
                  <c:v>40</c:v>
                </c:pt>
                <c:pt idx="6">
                  <c:v>27</c:v>
                </c:pt>
                <c:pt idx="7">
                  <c:v>36</c:v>
                </c:pt>
                <c:pt idx="8">
                  <c:v>23</c:v>
                </c:pt>
                <c:pt idx="9">
                  <c:v>42</c:v>
                </c:pt>
                <c:pt idx="10">
                  <c:v>28</c:v>
                </c:pt>
                <c:pt idx="11">
                  <c:v>17</c:v>
                </c:pt>
              </c:numCache>
            </c:numRef>
          </c:val>
          <c:extLst>
            <c:ext xmlns:c16="http://schemas.microsoft.com/office/drawing/2014/chart" uri="{C3380CC4-5D6E-409C-BE32-E72D297353CC}">
              <c16:uniqueId val="{00000002-0B4E-4509-9EDE-A7B756C34495}"/>
            </c:ext>
          </c:extLst>
        </c:ser>
        <c:ser>
          <c:idx val="3"/>
          <c:order val="3"/>
          <c:tx>
            <c:strRef>
              <c:f>'Fig 8.Pre-InitSequence by qtr'!$E$41:$E$42</c:f>
              <c:strCache>
                <c:ptCount val="1"/>
                <c:pt idx="0">
                  <c:v>Probenecid</c:v>
                </c:pt>
              </c:strCache>
            </c:strRef>
          </c:tx>
          <c:invertIfNegative val="0"/>
          <c:cat>
            <c:strRef>
              <c:f>'Fig 8.Pre-InitSequence by qtr'!$A$43:$A$55</c:f>
              <c:strCache>
                <c:ptCount val="12"/>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strCache>
            </c:strRef>
          </c:cat>
          <c:val>
            <c:numRef>
              <c:f>'Fig 8.Pre-InitSequence by qtr'!$E$43:$E$55</c:f>
              <c:numCache>
                <c:formatCode>General</c:formatCode>
                <c:ptCount val="12"/>
                <c:pt idx="0">
                  <c:v>19</c:v>
                </c:pt>
                <c:pt idx="1">
                  <c:v>60</c:v>
                </c:pt>
                <c:pt idx="2">
                  <c:v>35</c:v>
                </c:pt>
                <c:pt idx="3">
                  <c:v>29</c:v>
                </c:pt>
                <c:pt idx="4">
                  <c:v>20</c:v>
                </c:pt>
                <c:pt idx="5">
                  <c:v>22</c:v>
                </c:pt>
                <c:pt idx="6">
                  <c:v>18</c:v>
                </c:pt>
                <c:pt idx="7">
                  <c:v>16</c:v>
                </c:pt>
                <c:pt idx="8">
                  <c:v>18</c:v>
                </c:pt>
                <c:pt idx="9">
                  <c:v>14</c:v>
                </c:pt>
                <c:pt idx="10">
                  <c:v>21</c:v>
                </c:pt>
                <c:pt idx="11">
                  <c:v>12</c:v>
                </c:pt>
              </c:numCache>
            </c:numRef>
          </c:val>
          <c:extLst>
            <c:ext xmlns:c16="http://schemas.microsoft.com/office/drawing/2014/chart" uri="{C3380CC4-5D6E-409C-BE32-E72D297353CC}">
              <c16:uniqueId val="{00000003-0B4E-4509-9EDE-A7B756C34495}"/>
            </c:ext>
          </c:extLst>
        </c:ser>
        <c:dLbls>
          <c:showLegendKey val="0"/>
          <c:showVal val="0"/>
          <c:showCatName val="0"/>
          <c:showSerName val="0"/>
          <c:showPercent val="0"/>
          <c:showBubbleSize val="0"/>
        </c:dLbls>
        <c:gapWidth val="150"/>
        <c:overlap val="100"/>
        <c:axId val="476510896"/>
        <c:axId val="243765256"/>
      </c:barChart>
      <c:catAx>
        <c:axId val="476510896"/>
        <c:scaling>
          <c:orientation val="minMax"/>
        </c:scaling>
        <c:delete val="0"/>
        <c:axPos val="b"/>
        <c:title>
          <c:tx>
            <c:rich>
              <a:bodyPr/>
              <a:lstStyle/>
              <a:p>
                <a:pPr>
                  <a:defRPr/>
                </a:pPr>
                <a:r>
                  <a:rPr lang="en-AU"/>
                  <a:t>Quarter</a:t>
                </a:r>
                <a:r>
                  <a:rPr lang="en-AU" baseline="0"/>
                  <a:t> of supply</a:t>
                </a:r>
                <a:endParaRPr lang="en-AU"/>
              </a:p>
            </c:rich>
          </c:tx>
          <c:layout/>
          <c:overlay val="0"/>
        </c:title>
        <c:numFmt formatCode="General" sourceLinked="0"/>
        <c:majorTickMark val="out"/>
        <c:minorTickMark val="none"/>
        <c:tickLblPos val="nextTo"/>
        <c:crossAx val="243765256"/>
        <c:crosses val="autoZero"/>
        <c:auto val="1"/>
        <c:lblAlgn val="ctr"/>
        <c:lblOffset val="100"/>
        <c:noMultiLvlLbl val="0"/>
      </c:catAx>
      <c:valAx>
        <c:axId val="243765256"/>
        <c:scaling>
          <c:orientation val="minMax"/>
        </c:scaling>
        <c:delete val="0"/>
        <c:axPos val="l"/>
        <c:majorGridlines/>
        <c:title>
          <c:tx>
            <c:rich>
              <a:bodyPr rot="-5400000" vert="horz"/>
              <a:lstStyle/>
              <a:p>
                <a:pPr>
                  <a:defRPr/>
                </a:pPr>
                <a:r>
                  <a:rPr lang="en-AU"/>
                  <a:t>Proportion of patients</a:t>
                </a:r>
              </a:p>
            </c:rich>
          </c:tx>
          <c:layout/>
          <c:overlay val="0"/>
        </c:title>
        <c:numFmt formatCode="0%" sourceLinked="1"/>
        <c:majorTickMark val="out"/>
        <c:minorTickMark val="none"/>
        <c:tickLblPos val="nextTo"/>
        <c:crossAx val="476510896"/>
        <c:crosses val="autoZero"/>
        <c:crossBetween val="between"/>
      </c:valAx>
    </c:plotArea>
    <c:legend>
      <c:legendPos val="r"/>
      <c:layout>
        <c:manualLayout>
          <c:xMode val="edge"/>
          <c:yMode val="edge"/>
          <c:x val="2.3081461550974468E-2"/>
          <c:y val="0.95058990798979026"/>
          <c:w val="0.97446751276219978"/>
          <c:h val="4.9249668533701323E-2"/>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'Fig 7. Scripts Per patient'!$E$6:$E$21</c:f>
              <c:strCach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&gt;16</c:v>
                </c:pt>
              </c:strCache>
            </c:strRef>
          </c:cat>
          <c:val>
            <c:numRef>
              <c:f>'Fig 7. Scripts Per patient'!$F$6:$F$21</c:f>
              <c:numCache>
                <c:formatCode>General</c:formatCode>
                <c:ptCount val="16"/>
                <c:pt idx="0">
                  <c:v>411</c:v>
                </c:pt>
                <c:pt idx="1">
                  <c:v>187</c:v>
                </c:pt>
                <c:pt idx="2">
                  <c:v>147</c:v>
                </c:pt>
                <c:pt idx="3">
                  <c:v>120</c:v>
                </c:pt>
                <c:pt idx="4">
                  <c:v>124</c:v>
                </c:pt>
                <c:pt idx="5">
                  <c:v>185</c:v>
                </c:pt>
                <c:pt idx="6">
                  <c:v>267</c:v>
                </c:pt>
                <c:pt idx="7">
                  <c:v>154</c:v>
                </c:pt>
                <c:pt idx="8">
                  <c:v>109</c:v>
                </c:pt>
                <c:pt idx="9">
                  <c:v>80</c:v>
                </c:pt>
                <c:pt idx="10">
                  <c:v>122</c:v>
                </c:pt>
                <c:pt idx="11">
                  <c:v>193</c:v>
                </c:pt>
                <c:pt idx="12">
                  <c:v>176</c:v>
                </c:pt>
                <c:pt idx="13">
                  <c:v>101</c:v>
                </c:pt>
                <c:pt idx="14">
                  <c:v>20</c:v>
                </c:pt>
                <c:pt idx="15">
                  <c:v>25</c:v>
                </c:pt>
              </c:numCache>
            </c:numRef>
          </c:val>
          <c:extLst>
            <c:ext xmlns:c16="http://schemas.microsoft.com/office/drawing/2014/chart" uri="{C3380CC4-5D6E-409C-BE32-E72D297353CC}">
              <c16:uniqueId val="{00000000-52B3-4F4D-921A-DEB4B2087191}"/>
            </c:ext>
          </c:extLst>
        </c:ser>
        <c:dLbls>
          <c:showLegendKey val="0"/>
          <c:showVal val="0"/>
          <c:showCatName val="0"/>
          <c:showSerName val="0"/>
          <c:showPercent val="0"/>
          <c:showBubbleSize val="0"/>
        </c:dLbls>
        <c:gapWidth val="150"/>
        <c:axId val="555728184"/>
        <c:axId val="555729360"/>
      </c:barChart>
      <c:catAx>
        <c:axId val="555728184"/>
        <c:scaling>
          <c:orientation val="minMax"/>
        </c:scaling>
        <c:delete val="0"/>
        <c:axPos val="b"/>
        <c:title>
          <c:tx>
            <c:rich>
              <a:bodyPr/>
              <a:lstStyle/>
              <a:p>
                <a:pPr>
                  <a:defRPr/>
                </a:pPr>
                <a:r>
                  <a:rPr lang="en-AU"/>
                  <a:t>Prescriptions supplied in 12 months</a:t>
                </a:r>
              </a:p>
            </c:rich>
          </c:tx>
          <c:layout/>
          <c:overlay val="0"/>
        </c:title>
        <c:numFmt formatCode="General" sourceLinked="0"/>
        <c:majorTickMark val="out"/>
        <c:minorTickMark val="none"/>
        <c:tickLblPos val="nextTo"/>
        <c:crossAx val="555729360"/>
        <c:crosses val="autoZero"/>
        <c:auto val="1"/>
        <c:lblAlgn val="ctr"/>
        <c:lblOffset val="100"/>
        <c:noMultiLvlLbl val="0"/>
      </c:catAx>
      <c:valAx>
        <c:axId val="555729360"/>
        <c:scaling>
          <c:orientation val="minMax"/>
        </c:scaling>
        <c:delete val="0"/>
        <c:axPos val="l"/>
        <c:majorGridlines/>
        <c:title>
          <c:tx>
            <c:rich>
              <a:bodyPr rot="-5400000" vert="horz"/>
              <a:lstStyle/>
              <a:p>
                <a:pPr>
                  <a:defRPr/>
                </a:pPr>
                <a:r>
                  <a:rPr lang="en-US"/>
                  <a:t>Patients</a:t>
                </a:r>
              </a:p>
            </c:rich>
          </c:tx>
          <c:layout/>
          <c:overlay val="0"/>
        </c:title>
        <c:numFmt formatCode="General" sourceLinked="1"/>
        <c:majorTickMark val="out"/>
        <c:minorTickMark val="none"/>
        <c:tickLblPos val="nextTo"/>
        <c:crossAx val="55572818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D74B3-604F-4D46-A5B2-1B8E4A1A1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3468</Words>
  <Characters>19770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2019-03-06T07:03:00Z</dcterms:created>
  <dcterms:modified xsi:type="dcterms:W3CDTF">2019-03-06T07:03:00Z</dcterms:modified>
  <cp:contentStatus/>
</cp:coreProperties>
</file>