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Pr="008D46C3" w:rsidRDefault="005308A9" w:rsidP="00F847D3">
      <w:pPr>
        <w:pStyle w:val="Title"/>
        <w:spacing w:after="0"/>
      </w:pPr>
      <w:r w:rsidRPr="008D46C3">
        <w:t xml:space="preserve">Medicines for </w:t>
      </w:r>
      <w:r w:rsidR="007E0B2A" w:rsidRPr="008D46C3">
        <w:t xml:space="preserve">the treatment of </w:t>
      </w:r>
      <w:r w:rsidRPr="008D46C3">
        <w:t>melanoma</w:t>
      </w:r>
      <w:r w:rsidR="009C1DB8" w:rsidRPr="008D46C3">
        <w:t xml:space="preserve"> </w:t>
      </w:r>
    </w:p>
    <w:p w:rsidR="00736041" w:rsidRDefault="009053D3" w:rsidP="00F847D3">
      <w:pPr>
        <w:pStyle w:val="Title2"/>
        <w:spacing w:before="240"/>
      </w:pPr>
      <w:r>
        <w:t>D</w:t>
      </w:r>
      <w:r w:rsidR="00832324" w:rsidRPr="0063631C">
        <w:t xml:space="preserve">rug utilisation sub-committee </w:t>
      </w:r>
      <w:r w:rsidR="00832324">
        <w:t>(DUSC)</w:t>
      </w:r>
    </w:p>
    <w:p w:rsidR="009053D3" w:rsidRPr="00F73113" w:rsidRDefault="00D47E8C" w:rsidP="00F73113">
      <w:pPr>
        <w:pStyle w:val="Meetingdate"/>
      </w:pPr>
      <w:r>
        <w:t>May</w:t>
      </w:r>
      <w:r w:rsidR="002358C9">
        <w:t xml:space="preserve"> 2018</w:t>
      </w:r>
    </w:p>
    <w:p w:rsidR="005C6661" w:rsidRPr="00CF5E22" w:rsidRDefault="005C6661" w:rsidP="00CF5E22">
      <w:pPr>
        <w:pStyle w:val="Heading2"/>
      </w:pPr>
      <w:r w:rsidRPr="00CF5E22">
        <w:t>Abstract</w:t>
      </w:r>
    </w:p>
    <w:p w:rsidR="005C6661" w:rsidRDefault="005C6661" w:rsidP="00CF5E22">
      <w:pPr>
        <w:pStyle w:val="Heading3"/>
      </w:pPr>
      <w:r w:rsidRPr="00CF5E22">
        <w:t>Purpose</w:t>
      </w:r>
    </w:p>
    <w:p w:rsidR="00167CF3" w:rsidRPr="00167CF3" w:rsidRDefault="00D8518A" w:rsidP="00167CF3">
      <w:r>
        <w:t>To</w:t>
      </w:r>
      <w:r w:rsidR="00167CF3">
        <w:t xml:space="preserve"> review </w:t>
      </w:r>
      <w:r>
        <w:t xml:space="preserve">the utilisation </w:t>
      </w:r>
      <w:r w:rsidR="00167CF3">
        <w:t xml:space="preserve">of </w:t>
      </w:r>
      <w:r w:rsidR="00286A82">
        <w:t xml:space="preserve">molecularly targeted drugs and immunotherapies listed on the PBS for </w:t>
      </w:r>
      <w:r w:rsidR="00167CF3">
        <w:t xml:space="preserve">the treatment of </w:t>
      </w:r>
      <w:r w:rsidR="00167CF3">
        <w:rPr>
          <w:color w:val="000000"/>
        </w:rPr>
        <w:t>unresectable stage III or metastatic (stage IV) melanoma</w:t>
      </w:r>
      <w:r w:rsidR="00167CF3">
        <w:t xml:space="preserve">. </w:t>
      </w:r>
    </w:p>
    <w:p w:rsidR="002D144A" w:rsidRDefault="00D15E0B" w:rsidP="00CF5E22">
      <w:pPr>
        <w:pStyle w:val="Heading3"/>
      </w:pPr>
      <w:r>
        <w:t>Date of listings and key listing amendments</w:t>
      </w:r>
      <w:r w:rsidR="002D144A">
        <w:t xml:space="preserve"> on the P</w:t>
      </w:r>
      <w:r w:rsidR="00A95FA5">
        <w:t xml:space="preserve">harmaceutical </w:t>
      </w:r>
      <w:r w:rsidR="002D144A">
        <w:t>B</w:t>
      </w:r>
      <w:r w:rsidR="00A95FA5">
        <w:t xml:space="preserve">enefits </w:t>
      </w:r>
      <w:r w:rsidR="002D144A">
        <w:t>S</w:t>
      </w:r>
      <w:r w:rsidR="00A95FA5">
        <w:t>cheme (PBS)</w:t>
      </w:r>
    </w:p>
    <w:tbl>
      <w:tblPr>
        <w:tblStyle w:val="TableGrid"/>
        <w:tblW w:w="0" w:type="auto"/>
        <w:tblLook w:val="04A0" w:firstRow="1" w:lastRow="0" w:firstColumn="1" w:lastColumn="0" w:noHBand="0" w:noVBand="1"/>
        <w:tblCaption w:val="Date of listing"/>
        <w:tblDescription w:val="Summary of dates when melanoma medicines were first listed on the PBS"/>
      </w:tblPr>
      <w:tblGrid>
        <w:gridCol w:w="1526"/>
        <w:gridCol w:w="1843"/>
        <w:gridCol w:w="5670"/>
      </w:tblGrid>
      <w:tr w:rsidR="000A58CC" w:rsidTr="00FF78B9">
        <w:trPr>
          <w:tblHeader/>
        </w:trPr>
        <w:tc>
          <w:tcPr>
            <w:tcW w:w="1526" w:type="dxa"/>
            <w:shd w:val="clear" w:color="auto" w:fill="F2F2F2" w:themeFill="background1" w:themeFillShade="F2"/>
          </w:tcPr>
          <w:p w:rsidR="000A58CC" w:rsidRPr="00D8500E" w:rsidRDefault="000A58CC" w:rsidP="00D3286A">
            <w:pPr>
              <w:rPr>
                <w:b/>
                <w:sz w:val="20"/>
                <w:szCs w:val="20"/>
              </w:rPr>
            </w:pPr>
            <w:r w:rsidRPr="00D8500E">
              <w:rPr>
                <w:b/>
                <w:sz w:val="20"/>
                <w:szCs w:val="20"/>
              </w:rPr>
              <w:t>Drug name</w:t>
            </w:r>
          </w:p>
        </w:tc>
        <w:tc>
          <w:tcPr>
            <w:tcW w:w="1843" w:type="dxa"/>
            <w:shd w:val="clear" w:color="auto" w:fill="F2F2F2" w:themeFill="background1" w:themeFillShade="F2"/>
          </w:tcPr>
          <w:p w:rsidR="000A58CC" w:rsidRPr="00D8500E" w:rsidRDefault="000A58CC" w:rsidP="00D3286A">
            <w:pPr>
              <w:rPr>
                <w:b/>
                <w:sz w:val="20"/>
                <w:szCs w:val="20"/>
              </w:rPr>
            </w:pPr>
            <w:r w:rsidRPr="00D8500E">
              <w:rPr>
                <w:b/>
                <w:sz w:val="20"/>
                <w:szCs w:val="20"/>
              </w:rPr>
              <w:t>Listing date</w:t>
            </w:r>
          </w:p>
        </w:tc>
        <w:tc>
          <w:tcPr>
            <w:tcW w:w="5670" w:type="dxa"/>
            <w:shd w:val="clear" w:color="auto" w:fill="F2F2F2" w:themeFill="background1" w:themeFillShade="F2"/>
          </w:tcPr>
          <w:p w:rsidR="000A58CC" w:rsidRPr="00D8500E" w:rsidRDefault="000A58CC" w:rsidP="00D3286A">
            <w:pPr>
              <w:rPr>
                <w:b/>
                <w:sz w:val="20"/>
                <w:szCs w:val="20"/>
              </w:rPr>
            </w:pPr>
            <w:r>
              <w:rPr>
                <w:b/>
                <w:sz w:val="20"/>
                <w:szCs w:val="20"/>
              </w:rPr>
              <w:t>Details</w:t>
            </w:r>
          </w:p>
        </w:tc>
      </w:tr>
      <w:tr w:rsidR="000A58CC" w:rsidTr="00D3286A">
        <w:tc>
          <w:tcPr>
            <w:tcW w:w="1526" w:type="dxa"/>
          </w:tcPr>
          <w:p w:rsidR="000A58CC" w:rsidRPr="0077079D" w:rsidRDefault="000A58CC" w:rsidP="00D3286A">
            <w:pPr>
              <w:rPr>
                <w:sz w:val="20"/>
                <w:szCs w:val="20"/>
              </w:rPr>
            </w:pPr>
            <w:r w:rsidRPr="0077079D">
              <w:rPr>
                <w:sz w:val="20"/>
                <w:szCs w:val="20"/>
              </w:rPr>
              <w:t>Ipilimumab</w:t>
            </w:r>
          </w:p>
        </w:tc>
        <w:tc>
          <w:tcPr>
            <w:tcW w:w="1843" w:type="dxa"/>
          </w:tcPr>
          <w:p w:rsidR="000A58CC" w:rsidRPr="0077079D" w:rsidRDefault="000A58CC" w:rsidP="00D3286A">
            <w:pPr>
              <w:rPr>
                <w:sz w:val="20"/>
                <w:szCs w:val="20"/>
              </w:rPr>
            </w:pPr>
            <w:r w:rsidRPr="0077079D">
              <w:rPr>
                <w:sz w:val="20"/>
                <w:szCs w:val="20"/>
              </w:rPr>
              <w:t>1 August 2013</w:t>
            </w:r>
          </w:p>
        </w:tc>
        <w:tc>
          <w:tcPr>
            <w:tcW w:w="5670" w:type="dxa"/>
          </w:tcPr>
          <w:p w:rsidR="000A58CC" w:rsidRPr="0077079D" w:rsidRDefault="000A58CC" w:rsidP="00C01AFB">
            <w:pPr>
              <w:rPr>
                <w:sz w:val="20"/>
                <w:szCs w:val="20"/>
              </w:rPr>
            </w:pPr>
            <w:r>
              <w:rPr>
                <w:sz w:val="20"/>
                <w:szCs w:val="20"/>
              </w:rPr>
              <w:t xml:space="preserve">First listing for ipilimumab </w:t>
            </w:r>
            <w:r w:rsidRPr="0077079D">
              <w:rPr>
                <w:sz w:val="20"/>
                <w:szCs w:val="20"/>
              </w:rPr>
              <w:t xml:space="preserve">as monotherapy. </w:t>
            </w:r>
          </w:p>
        </w:tc>
      </w:tr>
      <w:tr w:rsidR="000A58CC" w:rsidTr="00D3286A">
        <w:tc>
          <w:tcPr>
            <w:tcW w:w="1526" w:type="dxa"/>
          </w:tcPr>
          <w:p w:rsidR="000A58CC" w:rsidRPr="0077079D" w:rsidRDefault="000A58CC" w:rsidP="00D3286A">
            <w:pPr>
              <w:rPr>
                <w:sz w:val="20"/>
                <w:szCs w:val="20"/>
              </w:rPr>
            </w:pPr>
            <w:r w:rsidRPr="0077079D">
              <w:rPr>
                <w:sz w:val="20"/>
                <w:szCs w:val="20"/>
              </w:rPr>
              <w:t>Dabrafenib</w:t>
            </w:r>
          </w:p>
        </w:tc>
        <w:tc>
          <w:tcPr>
            <w:tcW w:w="1843" w:type="dxa"/>
          </w:tcPr>
          <w:p w:rsidR="000A58CC" w:rsidRPr="0077079D" w:rsidRDefault="000A58CC" w:rsidP="00D3286A">
            <w:pPr>
              <w:rPr>
                <w:sz w:val="20"/>
                <w:szCs w:val="20"/>
              </w:rPr>
            </w:pPr>
            <w:r w:rsidRPr="0077079D">
              <w:rPr>
                <w:sz w:val="20"/>
                <w:szCs w:val="20"/>
              </w:rPr>
              <w:t>1 December 2013</w:t>
            </w:r>
          </w:p>
        </w:tc>
        <w:tc>
          <w:tcPr>
            <w:tcW w:w="5670" w:type="dxa"/>
          </w:tcPr>
          <w:p w:rsidR="000A58CC" w:rsidRPr="0077079D" w:rsidRDefault="000A58CC" w:rsidP="00D3286A">
            <w:pPr>
              <w:rPr>
                <w:sz w:val="20"/>
                <w:szCs w:val="20"/>
              </w:rPr>
            </w:pPr>
            <w:r>
              <w:rPr>
                <w:sz w:val="20"/>
                <w:szCs w:val="20"/>
              </w:rPr>
              <w:t>First listing for dabrafenib in patients who are</w:t>
            </w:r>
            <w:r w:rsidRPr="0077079D">
              <w:rPr>
                <w:sz w:val="20"/>
                <w:szCs w:val="20"/>
              </w:rPr>
              <w:t xml:space="preserve"> BRAF V</w:t>
            </w:r>
            <w:r>
              <w:rPr>
                <w:sz w:val="20"/>
                <w:szCs w:val="20"/>
              </w:rPr>
              <w:t>600 mutation positive</w:t>
            </w:r>
            <w:r w:rsidRPr="0077079D">
              <w:rPr>
                <w:sz w:val="20"/>
                <w:szCs w:val="20"/>
              </w:rPr>
              <w:t xml:space="preserve">. </w:t>
            </w:r>
            <w:r>
              <w:rPr>
                <w:sz w:val="20"/>
                <w:szCs w:val="20"/>
              </w:rPr>
              <w:t>For use in previously untreated patients and those developing intolerance to another BRAF inhibitor.</w:t>
            </w:r>
          </w:p>
        </w:tc>
      </w:tr>
      <w:tr w:rsidR="000A58CC" w:rsidTr="00D3286A">
        <w:tc>
          <w:tcPr>
            <w:tcW w:w="1526" w:type="dxa"/>
          </w:tcPr>
          <w:p w:rsidR="000A58CC" w:rsidRPr="0077079D" w:rsidRDefault="000A58CC" w:rsidP="00D3286A">
            <w:pPr>
              <w:rPr>
                <w:sz w:val="20"/>
                <w:szCs w:val="20"/>
              </w:rPr>
            </w:pPr>
            <w:r w:rsidRPr="0077079D">
              <w:rPr>
                <w:sz w:val="20"/>
                <w:szCs w:val="20"/>
              </w:rPr>
              <w:t>Trametinib</w:t>
            </w:r>
          </w:p>
        </w:tc>
        <w:tc>
          <w:tcPr>
            <w:tcW w:w="1843" w:type="dxa"/>
          </w:tcPr>
          <w:p w:rsidR="000A58CC" w:rsidRPr="0077079D" w:rsidRDefault="000A58CC" w:rsidP="00D3286A">
            <w:pPr>
              <w:rPr>
                <w:sz w:val="20"/>
                <w:szCs w:val="20"/>
              </w:rPr>
            </w:pPr>
            <w:r w:rsidRPr="0077079D">
              <w:rPr>
                <w:sz w:val="20"/>
                <w:szCs w:val="20"/>
              </w:rPr>
              <w:t>1 August 2015</w:t>
            </w:r>
          </w:p>
        </w:tc>
        <w:tc>
          <w:tcPr>
            <w:tcW w:w="5670" w:type="dxa"/>
          </w:tcPr>
          <w:p w:rsidR="000A58CC" w:rsidRPr="0077079D" w:rsidRDefault="000A58CC" w:rsidP="00D3286A">
            <w:pPr>
              <w:rPr>
                <w:sz w:val="20"/>
                <w:szCs w:val="20"/>
              </w:rPr>
            </w:pPr>
            <w:r>
              <w:rPr>
                <w:sz w:val="20"/>
                <w:szCs w:val="20"/>
              </w:rPr>
              <w:t xml:space="preserve">First listing for trametinib </w:t>
            </w:r>
            <w:r w:rsidRPr="00A23E18">
              <w:rPr>
                <w:sz w:val="20"/>
                <w:szCs w:val="20"/>
              </w:rPr>
              <w:t>for use</w:t>
            </w:r>
            <w:r>
              <w:rPr>
                <w:sz w:val="20"/>
                <w:szCs w:val="20"/>
              </w:rPr>
              <w:t xml:space="preserve"> in combination with dabrafenib</w:t>
            </w:r>
            <w:r w:rsidRPr="00A23E18">
              <w:rPr>
                <w:sz w:val="20"/>
                <w:szCs w:val="20"/>
              </w:rPr>
              <w:t xml:space="preserve"> for </w:t>
            </w:r>
            <w:r>
              <w:rPr>
                <w:sz w:val="20"/>
                <w:szCs w:val="20"/>
              </w:rPr>
              <w:t xml:space="preserve">patients who are </w:t>
            </w:r>
            <w:r w:rsidRPr="00A23E18">
              <w:rPr>
                <w:sz w:val="20"/>
                <w:szCs w:val="20"/>
              </w:rPr>
              <w:t>BRAF V600 mutation positive.</w:t>
            </w:r>
            <w:r>
              <w:rPr>
                <w:sz w:val="20"/>
                <w:szCs w:val="20"/>
              </w:rPr>
              <w:t xml:space="preserve"> </w:t>
            </w:r>
          </w:p>
        </w:tc>
      </w:tr>
      <w:tr w:rsidR="000A58CC" w:rsidTr="00D3286A">
        <w:tc>
          <w:tcPr>
            <w:tcW w:w="1526" w:type="dxa"/>
          </w:tcPr>
          <w:p w:rsidR="000A58CC" w:rsidRPr="0077079D" w:rsidRDefault="000A58CC" w:rsidP="00D3286A">
            <w:pPr>
              <w:rPr>
                <w:sz w:val="20"/>
                <w:szCs w:val="20"/>
              </w:rPr>
            </w:pPr>
            <w:r w:rsidRPr="0077079D">
              <w:rPr>
                <w:sz w:val="20"/>
                <w:szCs w:val="20"/>
              </w:rPr>
              <w:t>Pembrolizumab</w:t>
            </w:r>
          </w:p>
        </w:tc>
        <w:tc>
          <w:tcPr>
            <w:tcW w:w="1843" w:type="dxa"/>
          </w:tcPr>
          <w:p w:rsidR="000A58CC" w:rsidRPr="0077079D" w:rsidRDefault="000A58CC" w:rsidP="00D3286A">
            <w:pPr>
              <w:rPr>
                <w:sz w:val="20"/>
                <w:szCs w:val="20"/>
              </w:rPr>
            </w:pPr>
            <w:r w:rsidRPr="0077079D">
              <w:rPr>
                <w:sz w:val="20"/>
                <w:szCs w:val="20"/>
              </w:rPr>
              <w:t>1 September 2015</w:t>
            </w:r>
          </w:p>
        </w:tc>
        <w:tc>
          <w:tcPr>
            <w:tcW w:w="5670" w:type="dxa"/>
          </w:tcPr>
          <w:p w:rsidR="000A58CC" w:rsidRPr="0077079D" w:rsidRDefault="000A58CC" w:rsidP="00D3286A">
            <w:pPr>
              <w:rPr>
                <w:sz w:val="20"/>
                <w:szCs w:val="20"/>
              </w:rPr>
            </w:pPr>
            <w:r w:rsidRPr="00665723">
              <w:rPr>
                <w:sz w:val="20"/>
                <w:szCs w:val="20"/>
              </w:rPr>
              <w:t>Fir</w:t>
            </w:r>
            <w:r>
              <w:rPr>
                <w:sz w:val="20"/>
                <w:szCs w:val="20"/>
              </w:rPr>
              <w:t>st listing</w:t>
            </w:r>
            <w:r w:rsidRPr="00665723">
              <w:rPr>
                <w:sz w:val="20"/>
                <w:szCs w:val="20"/>
              </w:rPr>
              <w:t xml:space="preserve"> for </w:t>
            </w:r>
            <w:r>
              <w:rPr>
                <w:sz w:val="20"/>
                <w:szCs w:val="20"/>
              </w:rPr>
              <w:t xml:space="preserve">pembrolizumab for </w:t>
            </w:r>
            <w:r w:rsidRPr="00665723">
              <w:rPr>
                <w:sz w:val="20"/>
                <w:szCs w:val="20"/>
              </w:rPr>
              <w:t xml:space="preserve">use as </w:t>
            </w:r>
            <w:r>
              <w:rPr>
                <w:sz w:val="20"/>
                <w:szCs w:val="20"/>
              </w:rPr>
              <w:t>a sole PBS-subsidised therapy.</w:t>
            </w:r>
          </w:p>
        </w:tc>
      </w:tr>
      <w:tr w:rsidR="000A58CC" w:rsidTr="00D3286A">
        <w:tc>
          <w:tcPr>
            <w:tcW w:w="1526" w:type="dxa"/>
          </w:tcPr>
          <w:p w:rsidR="000A58CC" w:rsidRPr="0077079D" w:rsidRDefault="000A58CC" w:rsidP="00D3286A">
            <w:pPr>
              <w:rPr>
                <w:sz w:val="20"/>
                <w:szCs w:val="20"/>
              </w:rPr>
            </w:pPr>
            <w:r>
              <w:rPr>
                <w:sz w:val="20"/>
                <w:szCs w:val="20"/>
              </w:rPr>
              <w:t>Dabrafenib and trametinib</w:t>
            </w:r>
          </w:p>
        </w:tc>
        <w:tc>
          <w:tcPr>
            <w:tcW w:w="1843" w:type="dxa"/>
          </w:tcPr>
          <w:p w:rsidR="000A58CC" w:rsidRPr="0077079D" w:rsidRDefault="000A58CC" w:rsidP="00D3286A">
            <w:pPr>
              <w:rPr>
                <w:sz w:val="20"/>
                <w:szCs w:val="20"/>
              </w:rPr>
            </w:pPr>
            <w:r>
              <w:rPr>
                <w:sz w:val="20"/>
                <w:szCs w:val="20"/>
              </w:rPr>
              <w:t>1 April 2016</w:t>
            </w:r>
          </w:p>
        </w:tc>
        <w:tc>
          <w:tcPr>
            <w:tcW w:w="5670" w:type="dxa"/>
          </w:tcPr>
          <w:p w:rsidR="000A58CC" w:rsidRPr="0077079D" w:rsidRDefault="000A58CC" w:rsidP="00D3286A">
            <w:pPr>
              <w:rPr>
                <w:sz w:val="20"/>
                <w:szCs w:val="20"/>
              </w:rPr>
            </w:pPr>
            <w:r w:rsidRPr="00CC7238">
              <w:rPr>
                <w:sz w:val="20"/>
                <w:szCs w:val="20"/>
              </w:rPr>
              <w:t>The restriction levels of dabrafenib and trametinib were changed from Authority Required (telephone) to STREAMLINED Authority.</w:t>
            </w:r>
          </w:p>
        </w:tc>
      </w:tr>
      <w:tr w:rsidR="000A58CC" w:rsidTr="00D3286A">
        <w:tc>
          <w:tcPr>
            <w:tcW w:w="1526" w:type="dxa"/>
          </w:tcPr>
          <w:p w:rsidR="000A58CC" w:rsidRDefault="000A58CC" w:rsidP="00D3286A">
            <w:pPr>
              <w:rPr>
                <w:sz w:val="20"/>
                <w:szCs w:val="20"/>
              </w:rPr>
            </w:pPr>
            <w:r>
              <w:rPr>
                <w:sz w:val="20"/>
                <w:szCs w:val="20"/>
              </w:rPr>
              <w:t>Nivolumab</w:t>
            </w:r>
          </w:p>
        </w:tc>
        <w:tc>
          <w:tcPr>
            <w:tcW w:w="1843" w:type="dxa"/>
          </w:tcPr>
          <w:p w:rsidR="000A58CC" w:rsidRPr="0077079D" w:rsidRDefault="000A58CC" w:rsidP="00D3286A">
            <w:pPr>
              <w:rPr>
                <w:sz w:val="20"/>
                <w:szCs w:val="20"/>
              </w:rPr>
            </w:pPr>
            <w:r>
              <w:rPr>
                <w:sz w:val="20"/>
                <w:szCs w:val="20"/>
              </w:rPr>
              <w:t>1 May 2016</w:t>
            </w:r>
          </w:p>
        </w:tc>
        <w:tc>
          <w:tcPr>
            <w:tcW w:w="5670" w:type="dxa"/>
          </w:tcPr>
          <w:p w:rsidR="000A58CC" w:rsidRPr="00517C4A" w:rsidRDefault="000A58CC" w:rsidP="00D3286A">
            <w:pPr>
              <w:rPr>
                <w:sz w:val="20"/>
                <w:szCs w:val="20"/>
              </w:rPr>
            </w:pPr>
            <w:r w:rsidRPr="00922C34">
              <w:rPr>
                <w:sz w:val="20"/>
                <w:szCs w:val="20"/>
              </w:rPr>
              <w:t xml:space="preserve">First listing of nivolumab </w:t>
            </w:r>
            <w:r>
              <w:rPr>
                <w:sz w:val="20"/>
                <w:szCs w:val="20"/>
              </w:rPr>
              <w:t xml:space="preserve">for use </w:t>
            </w:r>
            <w:r w:rsidRPr="00922C34">
              <w:rPr>
                <w:sz w:val="20"/>
                <w:szCs w:val="20"/>
              </w:rPr>
              <w:t xml:space="preserve">as </w:t>
            </w:r>
            <w:r>
              <w:rPr>
                <w:sz w:val="20"/>
                <w:szCs w:val="20"/>
              </w:rPr>
              <w:t>a sole PBS-subsidised therapy</w:t>
            </w:r>
            <w:r w:rsidRPr="00922C34">
              <w:rPr>
                <w:sz w:val="20"/>
                <w:szCs w:val="20"/>
              </w:rPr>
              <w:t>.</w:t>
            </w:r>
            <w:r>
              <w:rPr>
                <w:sz w:val="20"/>
                <w:szCs w:val="20"/>
              </w:rPr>
              <w:t xml:space="preserve"> </w:t>
            </w:r>
          </w:p>
        </w:tc>
      </w:tr>
      <w:tr w:rsidR="000A58CC" w:rsidTr="00D3286A">
        <w:tc>
          <w:tcPr>
            <w:tcW w:w="1526" w:type="dxa"/>
          </w:tcPr>
          <w:p w:rsidR="000A58CC" w:rsidRDefault="000A58CC" w:rsidP="00D3286A">
            <w:pPr>
              <w:rPr>
                <w:sz w:val="20"/>
                <w:szCs w:val="20"/>
              </w:rPr>
            </w:pPr>
            <w:r>
              <w:rPr>
                <w:sz w:val="20"/>
                <w:szCs w:val="20"/>
              </w:rPr>
              <w:t>Ipilimumab</w:t>
            </w:r>
          </w:p>
        </w:tc>
        <w:tc>
          <w:tcPr>
            <w:tcW w:w="1843" w:type="dxa"/>
          </w:tcPr>
          <w:p w:rsidR="000A58CC" w:rsidRDefault="000A58CC" w:rsidP="00D3286A">
            <w:pPr>
              <w:rPr>
                <w:sz w:val="20"/>
                <w:szCs w:val="20"/>
              </w:rPr>
            </w:pPr>
            <w:r>
              <w:rPr>
                <w:sz w:val="20"/>
                <w:szCs w:val="20"/>
              </w:rPr>
              <w:t>1 December 2016</w:t>
            </w:r>
          </w:p>
        </w:tc>
        <w:tc>
          <w:tcPr>
            <w:tcW w:w="5670" w:type="dxa"/>
          </w:tcPr>
          <w:p w:rsidR="000A58CC" w:rsidRDefault="000A58CC" w:rsidP="00D3286A">
            <w:pPr>
              <w:rPr>
                <w:sz w:val="20"/>
                <w:szCs w:val="20"/>
              </w:rPr>
            </w:pPr>
            <w:r>
              <w:rPr>
                <w:sz w:val="20"/>
                <w:szCs w:val="20"/>
              </w:rPr>
              <w:t xml:space="preserve">The clinical criteria were amended from “The treatment must be as monotherapy” to </w:t>
            </w:r>
            <w:r w:rsidRPr="003144D8">
              <w:rPr>
                <w:sz w:val="20"/>
                <w:szCs w:val="20"/>
              </w:rPr>
              <w:t>read “The treatment must be the sole PBS-subsidised therapy for this condition</w:t>
            </w:r>
            <w:r>
              <w:rPr>
                <w:sz w:val="20"/>
                <w:szCs w:val="20"/>
              </w:rPr>
              <w:t xml:space="preserve">”. </w:t>
            </w:r>
          </w:p>
        </w:tc>
      </w:tr>
      <w:tr w:rsidR="000A58CC" w:rsidTr="00D3286A">
        <w:tc>
          <w:tcPr>
            <w:tcW w:w="1526" w:type="dxa"/>
          </w:tcPr>
          <w:p w:rsidR="000A58CC" w:rsidRDefault="000A58CC" w:rsidP="00D3286A">
            <w:pPr>
              <w:rPr>
                <w:sz w:val="20"/>
                <w:szCs w:val="20"/>
              </w:rPr>
            </w:pPr>
            <w:r>
              <w:rPr>
                <w:sz w:val="20"/>
                <w:szCs w:val="20"/>
              </w:rPr>
              <w:t>Vemurafenib</w:t>
            </w:r>
          </w:p>
        </w:tc>
        <w:tc>
          <w:tcPr>
            <w:tcW w:w="1843" w:type="dxa"/>
          </w:tcPr>
          <w:p w:rsidR="000A58CC" w:rsidRPr="0077079D" w:rsidRDefault="000A58CC" w:rsidP="00D3286A">
            <w:pPr>
              <w:rPr>
                <w:sz w:val="20"/>
                <w:szCs w:val="20"/>
              </w:rPr>
            </w:pPr>
            <w:r>
              <w:rPr>
                <w:sz w:val="20"/>
                <w:szCs w:val="20"/>
              </w:rPr>
              <w:t>1 April 2017</w:t>
            </w:r>
          </w:p>
        </w:tc>
        <w:tc>
          <w:tcPr>
            <w:tcW w:w="5670" w:type="dxa"/>
          </w:tcPr>
          <w:p w:rsidR="000A58CC" w:rsidRPr="00517C4A" w:rsidRDefault="000A58CC" w:rsidP="00D3286A">
            <w:pPr>
              <w:rPr>
                <w:sz w:val="20"/>
                <w:szCs w:val="20"/>
              </w:rPr>
            </w:pPr>
            <w:r>
              <w:rPr>
                <w:sz w:val="20"/>
                <w:szCs w:val="20"/>
              </w:rPr>
              <w:t>First listing of vemurafenib in patients who are</w:t>
            </w:r>
            <w:r w:rsidRPr="0077079D">
              <w:rPr>
                <w:sz w:val="20"/>
                <w:szCs w:val="20"/>
              </w:rPr>
              <w:t xml:space="preserve"> BRAF V</w:t>
            </w:r>
            <w:r>
              <w:rPr>
                <w:sz w:val="20"/>
                <w:szCs w:val="20"/>
              </w:rPr>
              <w:t>600 mutation positive. For use as monotherapy or in combination with cobimetinib.</w:t>
            </w:r>
          </w:p>
        </w:tc>
      </w:tr>
      <w:tr w:rsidR="000A58CC" w:rsidTr="00D3286A">
        <w:tc>
          <w:tcPr>
            <w:tcW w:w="1526" w:type="dxa"/>
          </w:tcPr>
          <w:p w:rsidR="000A58CC" w:rsidRDefault="000A58CC" w:rsidP="00D3286A">
            <w:pPr>
              <w:rPr>
                <w:sz w:val="20"/>
                <w:szCs w:val="20"/>
              </w:rPr>
            </w:pPr>
            <w:r>
              <w:rPr>
                <w:sz w:val="20"/>
                <w:szCs w:val="20"/>
              </w:rPr>
              <w:t>Cobimetinib</w:t>
            </w:r>
          </w:p>
        </w:tc>
        <w:tc>
          <w:tcPr>
            <w:tcW w:w="1843" w:type="dxa"/>
          </w:tcPr>
          <w:p w:rsidR="000A58CC" w:rsidRDefault="000A58CC" w:rsidP="00D3286A">
            <w:pPr>
              <w:rPr>
                <w:sz w:val="20"/>
                <w:szCs w:val="20"/>
              </w:rPr>
            </w:pPr>
            <w:r>
              <w:rPr>
                <w:sz w:val="20"/>
                <w:szCs w:val="20"/>
              </w:rPr>
              <w:t>1 April 2017</w:t>
            </w:r>
          </w:p>
        </w:tc>
        <w:tc>
          <w:tcPr>
            <w:tcW w:w="5670" w:type="dxa"/>
          </w:tcPr>
          <w:p w:rsidR="000A58CC" w:rsidRDefault="000A58CC" w:rsidP="00D3286A">
            <w:pPr>
              <w:rPr>
                <w:sz w:val="20"/>
                <w:szCs w:val="20"/>
              </w:rPr>
            </w:pPr>
            <w:r>
              <w:rPr>
                <w:sz w:val="20"/>
                <w:szCs w:val="20"/>
              </w:rPr>
              <w:t xml:space="preserve">First listing of cobimetinib for use in combination with vemurafenib. </w:t>
            </w:r>
          </w:p>
        </w:tc>
      </w:tr>
      <w:tr w:rsidR="000A58CC" w:rsidTr="00D3286A">
        <w:tc>
          <w:tcPr>
            <w:tcW w:w="1526" w:type="dxa"/>
          </w:tcPr>
          <w:p w:rsidR="000A58CC" w:rsidRPr="0077079D" w:rsidRDefault="000A58CC" w:rsidP="00D3286A">
            <w:pPr>
              <w:rPr>
                <w:sz w:val="20"/>
                <w:szCs w:val="20"/>
              </w:rPr>
            </w:pPr>
            <w:r w:rsidRPr="0077079D">
              <w:rPr>
                <w:sz w:val="20"/>
                <w:szCs w:val="20"/>
              </w:rPr>
              <w:t>Pembrolizumab</w:t>
            </w:r>
          </w:p>
        </w:tc>
        <w:tc>
          <w:tcPr>
            <w:tcW w:w="1843" w:type="dxa"/>
          </w:tcPr>
          <w:p w:rsidR="000A58CC" w:rsidRPr="0077079D" w:rsidRDefault="000A58CC" w:rsidP="00D3286A">
            <w:pPr>
              <w:rPr>
                <w:sz w:val="20"/>
                <w:szCs w:val="20"/>
              </w:rPr>
            </w:pPr>
            <w:r>
              <w:rPr>
                <w:sz w:val="20"/>
                <w:szCs w:val="20"/>
              </w:rPr>
              <w:t>1 July 2017</w:t>
            </w:r>
          </w:p>
        </w:tc>
        <w:tc>
          <w:tcPr>
            <w:tcW w:w="5670" w:type="dxa"/>
          </w:tcPr>
          <w:p w:rsidR="000A58CC" w:rsidRPr="0077079D" w:rsidRDefault="000A58CC" w:rsidP="00D3286A">
            <w:pPr>
              <w:rPr>
                <w:sz w:val="20"/>
                <w:szCs w:val="20"/>
              </w:rPr>
            </w:pPr>
            <w:r w:rsidRPr="000A3CF7">
              <w:rPr>
                <w:sz w:val="20"/>
                <w:szCs w:val="20"/>
              </w:rPr>
              <w:t xml:space="preserve">Listing of </w:t>
            </w:r>
            <w:r>
              <w:rPr>
                <w:sz w:val="20"/>
                <w:szCs w:val="20"/>
              </w:rPr>
              <w:t xml:space="preserve">an additional strength, </w:t>
            </w:r>
            <w:r w:rsidRPr="000A3CF7">
              <w:rPr>
                <w:sz w:val="20"/>
                <w:szCs w:val="20"/>
              </w:rPr>
              <w:t>100 mg concentrated injection</w:t>
            </w:r>
            <w:r>
              <w:rPr>
                <w:sz w:val="20"/>
                <w:szCs w:val="20"/>
              </w:rPr>
              <w:t>,</w:t>
            </w:r>
            <w:r w:rsidRPr="000A3CF7">
              <w:rPr>
                <w:sz w:val="20"/>
                <w:szCs w:val="20"/>
              </w:rPr>
              <w:t xml:space="preserve"> </w:t>
            </w:r>
            <w:r>
              <w:rPr>
                <w:sz w:val="20"/>
                <w:szCs w:val="20"/>
              </w:rPr>
              <w:t>under the same conditions</w:t>
            </w:r>
            <w:r w:rsidRPr="000A3CF7">
              <w:rPr>
                <w:sz w:val="20"/>
                <w:szCs w:val="20"/>
              </w:rPr>
              <w:t xml:space="preserve"> as the 50 mg listing.</w:t>
            </w:r>
          </w:p>
        </w:tc>
      </w:tr>
    </w:tbl>
    <w:p w:rsidR="005C6661" w:rsidRDefault="00A44F18" w:rsidP="00CF5E22">
      <w:pPr>
        <w:pStyle w:val="Heading3"/>
      </w:pPr>
      <w:r>
        <w:t>Data Source</w:t>
      </w:r>
    </w:p>
    <w:p w:rsidR="00AC6385" w:rsidRDefault="00AC6385" w:rsidP="00AC6385">
      <w:r>
        <w:t xml:space="preserve">Data to assess </w:t>
      </w:r>
      <w:r w:rsidR="00832043">
        <w:t xml:space="preserve">the </w:t>
      </w:r>
      <w:r>
        <w:t xml:space="preserve">utilisation </w:t>
      </w:r>
      <w:r w:rsidR="00832043">
        <w:t xml:space="preserve">of medicines listed on the Pharmaceutical Benefits Scheme (PBS) </w:t>
      </w:r>
      <w:r>
        <w:t>was obtained from the Department of Human Services (</w:t>
      </w:r>
      <w:r w:rsidRPr="00CB12A0">
        <w:t>DHS</w:t>
      </w:r>
      <w:r>
        <w:t>)</w:t>
      </w:r>
      <w:r w:rsidRPr="00CB12A0">
        <w:t xml:space="preserve"> </w:t>
      </w:r>
      <w:r>
        <w:t xml:space="preserve">PBS </w:t>
      </w:r>
      <w:r w:rsidRPr="00CB12A0">
        <w:t xml:space="preserve">prescription </w:t>
      </w:r>
      <w:r>
        <w:t xml:space="preserve">claims </w:t>
      </w:r>
      <w:r w:rsidRPr="00CB12A0">
        <w:t>data</w:t>
      </w:r>
      <w:r>
        <w:t xml:space="preserve">base. </w:t>
      </w:r>
      <w:r w:rsidR="00832043">
        <w:t>Data on the utilisation of Medicare Benefits Schedule (MBS) services for mutation testing of the B</w:t>
      </w:r>
      <w:r w:rsidR="00422E26">
        <w:t>RAF</w:t>
      </w:r>
      <w:r w:rsidR="00832043">
        <w:t xml:space="preserve"> gene were extracted from the DHS Medicare Item Statistics Report.</w:t>
      </w:r>
    </w:p>
    <w:p w:rsidR="00031F20" w:rsidRDefault="00031F20" w:rsidP="00AC6385"/>
    <w:p w:rsidR="005C6661" w:rsidRDefault="005C6661" w:rsidP="00CF5E22">
      <w:pPr>
        <w:pStyle w:val="Heading3"/>
      </w:pPr>
      <w:r>
        <w:lastRenderedPageBreak/>
        <w:t>Key Findings</w:t>
      </w:r>
    </w:p>
    <w:p w:rsidR="0099189E" w:rsidRDefault="0099189E" w:rsidP="00B41692">
      <w:pPr>
        <w:pStyle w:val="ListParagraph"/>
        <w:numPr>
          <w:ilvl w:val="0"/>
          <w:numId w:val="13"/>
        </w:numPr>
        <w:spacing w:before="120" w:after="120"/>
        <w:ind w:left="357" w:hanging="357"/>
        <w:contextualSpacing w:val="0"/>
      </w:pPr>
      <w:r>
        <w:t>There was substantial growth in the overall utilisation of medicines to treat Stage III unresectable and Stage IV metastatic melanoma since the listing of pembrolizumab from 1 September 2015. In 2017, a total of 3,792 patients received a supply of a PBS subsidised medicine.</w:t>
      </w:r>
    </w:p>
    <w:p w:rsidR="0099189E" w:rsidRDefault="00031F20" w:rsidP="00B41692">
      <w:pPr>
        <w:pStyle w:val="ListParagraph"/>
        <w:numPr>
          <w:ilvl w:val="0"/>
          <w:numId w:val="13"/>
        </w:numPr>
        <w:spacing w:before="120" w:after="120"/>
        <w:ind w:left="357" w:hanging="357"/>
        <w:contextualSpacing w:val="0"/>
      </w:pPr>
      <w:r>
        <w:t>For patients initiating therapy between 1 January and 30 June in 2016, t</w:t>
      </w:r>
      <w:r w:rsidR="0099189E">
        <w:t>he time on PBS therapy with pembrolizumab and BRAF targeted medicines was similar to the progression-free survival times observed in clinical trials. The duration of treatment with ipilimumab</w:t>
      </w:r>
      <w:r w:rsidR="00C01AFB">
        <w:t>, for both induction and re-induction,</w:t>
      </w:r>
      <w:r w:rsidR="0099189E">
        <w:t xml:space="preserve"> was less than anticipated.</w:t>
      </w:r>
    </w:p>
    <w:p w:rsidR="002A2172" w:rsidRDefault="00031F20" w:rsidP="00B41692">
      <w:pPr>
        <w:pStyle w:val="ListParagraph"/>
        <w:numPr>
          <w:ilvl w:val="0"/>
          <w:numId w:val="13"/>
        </w:numPr>
        <w:spacing w:before="120" w:after="120"/>
        <w:ind w:left="357" w:hanging="357"/>
        <w:contextualSpacing w:val="0"/>
      </w:pPr>
      <w:r>
        <w:t xml:space="preserve">Pembrolizumab was the most commonly dispensed medicine in patients first initiating on PBS therapy in 2016 or 2017. </w:t>
      </w:r>
      <w:r w:rsidR="006314AE">
        <w:t>A relatively small proportion (less than 10 percent) of patients was</w:t>
      </w:r>
      <w:r>
        <w:t xml:space="preserve"> supplied</w:t>
      </w:r>
      <w:r w:rsidR="002A2172">
        <w:t xml:space="preserve"> further episodes of therapy with a different drug regimen. Ipilimumab was the most commonly supplied drug regimen to patients who were refractory to their first episode of therapy.</w:t>
      </w:r>
    </w:p>
    <w:p w:rsidR="002A2172" w:rsidRDefault="002A2172" w:rsidP="002A2172">
      <w:pPr>
        <w:pStyle w:val="ListParagraph"/>
        <w:spacing w:after="0"/>
        <w:ind w:left="360"/>
      </w:pPr>
    </w:p>
    <w:p w:rsidR="00BB0D1A" w:rsidRDefault="00BB0D1A">
      <w:pPr>
        <w:spacing w:line="276" w:lineRule="auto"/>
        <w:rPr>
          <w:rFonts w:eastAsiaTheme="majorEastAsia" w:cstheme="majorBidi"/>
          <w:b/>
          <w:bCs/>
          <w:sz w:val="32"/>
          <w:szCs w:val="26"/>
        </w:rPr>
      </w:pPr>
      <w:r>
        <w:br w:type="page"/>
      </w:r>
    </w:p>
    <w:p w:rsidR="00E677DD" w:rsidRDefault="00E677DD" w:rsidP="00CF5E22">
      <w:pPr>
        <w:pStyle w:val="Heading1"/>
      </w:pPr>
      <w:r w:rsidRPr="00CF5E22">
        <w:lastRenderedPageBreak/>
        <w:t xml:space="preserve">Purpose of </w:t>
      </w:r>
      <w:r w:rsidR="00D151EB" w:rsidRPr="00CF5E22">
        <w:t>analysis</w:t>
      </w:r>
    </w:p>
    <w:p w:rsidR="00F53018" w:rsidRPr="00167CF3" w:rsidRDefault="00F53018" w:rsidP="00F53018">
      <w:r>
        <w:t xml:space="preserve">To review the utilisation of molecularly targeted drugs and immunotherapies listed on the PBS for the treatment of </w:t>
      </w:r>
      <w:r>
        <w:rPr>
          <w:color w:val="000000"/>
        </w:rPr>
        <w:t>unresectable stage III or metastatic (stage IV) melanoma</w:t>
      </w:r>
      <w:r>
        <w:t xml:space="preserve">. </w:t>
      </w:r>
    </w:p>
    <w:p w:rsidR="006537D9" w:rsidRPr="005E22C2" w:rsidRDefault="00736041" w:rsidP="009B77D6">
      <w:pPr>
        <w:pStyle w:val="Heading1"/>
        <w:spacing w:before="240"/>
      </w:pPr>
      <w:r w:rsidRPr="005E22C2">
        <w:t>Background</w:t>
      </w:r>
    </w:p>
    <w:p w:rsidR="00EE2BBB" w:rsidRPr="007247B9" w:rsidRDefault="00EE2BBB" w:rsidP="00EE2BBB">
      <w:pPr>
        <w:pStyle w:val="Heading2"/>
      </w:pPr>
      <w:r w:rsidRPr="007247B9">
        <w:t>Clinical situation</w:t>
      </w:r>
    </w:p>
    <w:p w:rsidR="00824D0F" w:rsidRDefault="00824D0F" w:rsidP="00EE2BBB">
      <w:pPr>
        <w:rPr>
          <w:color w:val="000000"/>
        </w:rPr>
      </w:pPr>
      <w:r>
        <w:rPr>
          <w:color w:val="000000"/>
        </w:rPr>
        <w:t xml:space="preserve">The </w:t>
      </w:r>
      <w:r w:rsidRPr="00824D0F">
        <w:t>American Joint Committee on Cancer</w:t>
      </w:r>
      <w:r>
        <w:t xml:space="preserve"> classification system is generally used in Australia to classify the stage of melanoma</w:t>
      </w:r>
      <w:r w:rsidR="00193169">
        <w:t>.</w:t>
      </w:r>
      <w:r w:rsidR="00193169">
        <w:rPr>
          <w:rStyle w:val="FootnoteReference"/>
        </w:rPr>
        <w:footnoteReference w:id="1"/>
      </w:r>
      <w:r w:rsidR="00193169">
        <w:t xml:space="preserve"> </w:t>
      </w:r>
      <w:r w:rsidR="00616C0D">
        <w:t xml:space="preserve">Earliest stage melanomas are referred to </w:t>
      </w:r>
      <w:r w:rsidR="00776747">
        <w:t>as Stage 0 and then range from S</w:t>
      </w:r>
      <w:r w:rsidR="00616C0D">
        <w:t xml:space="preserve">tages I to IV. The higher the stage, the more the cancer has spread. </w:t>
      </w:r>
      <w:r w:rsidR="00917080">
        <w:t xml:space="preserve">Patients with </w:t>
      </w:r>
      <w:r w:rsidR="009430CA">
        <w:t xml:space="preserve">advanced or metastatic </w:t>
      </w:r>
      <w:r w:rsidR="00F437E8">
        <w:t xml:space="preserve">malignant </w:t>
      </w:r>
      <w:r w:rsidR="009430CA">
        <w:t xml:space="preserve">melanoma (including </w:t>
      </w:r>
      <w:r w:rsidR="00917080">
        <w:t xml:space="preserve">unresectable Stage III or Stage IV </w:t>
      </w:r>
      <w:r w:rsidR="002D266E">
        <w:t>disease</w:t>
      </w:r>
      <w:r w:rsidR="009430CA">
        <w:t>)</w:t>
      </w:r>
      <w:r w:rsidR="002D266E">
        <w:t xml:space="preserve"> are eligible for targeted and immunological therapies available through the PBS. </w:t>
      </w:r>
      <w:r w:rsidR="00744BBE">
        <w:t>Such patients have pathological evidence of metastases (i.e. cancer cells break away from where they were first formed to develop as new cancers in other parts of the body).</w:t>
      </w:r>
      <w:r w:rsidR="00DD138A">
        <w:t xml:space="preserve"> </w:t>
      </w:r>
    </w:p>
    <w:p w:rsidR="00BB2282" w:rsidRDefault="009430CA" w:rsidP="00EE2BBB">
      <w:pPr>
        <w:rPr>
          <w:color w:val="000000"/>
        </w:rPr>
      </w:pPr>
      <w:r>
        <w:rPr>
          <w:color w:val="000000" w:themeColor="text1"/>
        </w:rPr>
        <w:t>Advanced melanoma</w:t>
      </w:r>
      <w:r w:rsidR="000650ED" w:rsidRPr="002F72FF">
        <w:rPr>
          <w:rFonts w:cs="Arial"/>
          <w:color w:val="000000" w:themeColor="text1"/>
          <w:shd w:val="clear" w:color="auto" w:fill="FFFFFF"/>
        </w:rPr>
        <w:t xml:space="preserve"> is an aggressive cancer with a median survival of around </w:t>
      </w:r>
      <w:r w:rsidR="00812614">
        <w:rPr>
          <w:rFonts w:cs="Arial"/>
          <w:color w:val="000000" w:themeColor="text1"/>
          <w:shd w:val="clear" w:color="auto" w:fill="FFFFFF"/>
        </w:rPr>
        <w:t>six</w:t>
      </w:r>
      <w:r w:rsidR="000650ED" w:rsidRPr="002F72FF">
        <w:rPr>
          <w:rFonts w:cs="Arial"/>
          <w:color w:val="000000" w:themeColor="text1"/>
          <w:shd w:val="clear" w:color="auto" w:fill="FFFFFF"/>
        </w:rPr>
        <w:t xml:space="preserve"> to </w:t>
      </w:r>
      <w:r w:rsidR="00812614">
        <w:rPr>
          <w:rFonts w:cs="Arial"/>
          <w:color w:val="000000" w:themeColor="text1"/>
          <w:shd w:val="clear" w:color="auto" w:fill="FFFFFF"/>
        </w:rPr>
        <w:t>nine </w:t>
      </w:r>
      <w:r w:rsidR="000650ED" w:rsidRPr="002F72FF">
        <w:rPr>
          <w:rFonts w:cs="Arial"/>
          <w:color w:val="000000" w:themeColor="text1"/>
          <w:shd w:val="clear" w:color="auto" w:fill="FFFFFF"/>
        </w:rPr>
        <w:t>months</w:t>
      </w:r>
      <w:r w:rsidR="000650ED" w:rsidRPr="000650ED">
        <w:rPr>
          <w:rFonts w:cs="Arial"/>
          <w:color w:val="222222"/>
          <w:shd w:val="clear" w:color="auto" w:fill="FFFFFF"/>
        </w:rPr>
        <w:t>.</w:t>
      </w:r>
      <w:r w:rsidR="00331BCA">
        <w:rPr>
          <w:rStyle w:val="FootnoteReference"/>
          <w:rFonts w:cs="Arial"/>
          <w:color w:val="222222"/>
          <w:shd w:val="clear" w:color="auto" w:fill="FFFFFF"/>
        </w:rPr>
        <w:footnoteReference w:id="2"/>
      </w:r>
      <w:r w:rsidR="000650ED">
        <w:rPr>
          <w:rFonts w:ascii="Arial" w:hAnsi="Arial" w:cs="Arial"/>
          <w:color w:val="222222"/>
          <w:sz w:val="20"/>
          <w:szCs w:val="20"/>
          <w:shd w:val="clear" w:color="auto" w:fill="FFFFFF"/>
        </w:rPr>
        <w:t xml:space="preserve"> </w:t>
      </w:r>
      <w:r w:rsidR="00F37441">
        <w:rPr>
          <w:color w:val="000000"/>
        </w:rPr>
        <w:t xml:space="preserve">In 2015, </w:t>
      </w:r>
      <w:r w:rsidR="003D5F85">
        <w:rPr>
          <w:color w:val="000000"/>
        </w:rPr>
        <w:t>there were 1,520 deaths attributed to melanoma of the skin (</w:t>
      </w:r>
      <w:r w:rsidR="00A44F18">
        <w:rPr>
          <w:color w:val="000000"/>
        </w:rPr>
        <w:t>AIHW</w:t>
      </w:r>
      <w:r w:rsidR="003D5F85">
        <w:rPr>
          <w:color w:val="000000"/>
        </w:rPr>
        <w:t>, 2017</w:t>
      </w:r>
      <w:r w:rsidR="00A44F18">
        <w:rPr>
          <w:color w:val="000000"/>
        </w:rPr>
        <w:t>b</w:t>
      </w:r>
      <w:r w:rsidR="003D5F85">
        <w:rPr>
          <w:color w:val="000000"/>
        </w:rPr>
        <w:t>). T</w:t>
      </w:r>
      <w:r w:rsidR="00F37441">
        <w:rPr>
          <w:color w:val="000000"/>
        </w:rPr>
        <w:t>he age-standardised mortality rate for melanoma of skin in Australia was 5.5 per 100,000 population (</w:t>
      </w:r>
      <w:r w:rsidR="00BE6AA2">
        <w:rPr>
          <w:color w:val="000000"/>
        </w:rPr>
        <w:t>AIHW, 2017b</w:t>
      </w:r>
      <w:r w:rsidR="00F37441">
        <w:rPr>
          <w:color w:val="000000"/>
        </w:rPr>
        <w:t xml:space="preserve">). </w:t>
      </w:r>
      <w:r w:rsidR="00E62C36">
        <w:rPr>
          <w:color w:val="000000"/>
        </w:rPr>
        <w:t xml:space="preserve">Mortality from melanoma was </w:t>
      </w:r>
      <w:r w:rsidR="004C456D">
        <w:rPr>
          <w:color w:val="000000"/>
        </w:rPr>
        <w:t xml:space="preserve">higher in males (8 per 100,000) compared to </w:t>
      </w:r>
      <w:r w:rsidR="00150643">
        <w:rPr>
          <w:color w:val="000000"/>
        </w:rPr>
        <w:t>females (3.5 per 100,000), (AIHW</w:t>
      </w:r>
      <w:r w:rsidR="004C456D">
        <w:rPr>
          <w:color w:val="000000"/>
        </w:rPr>
        <w:t>, 2017</w:t>
      </w:r>
      <w:r w:rsidR="00150643">
        <w:rPr>
          <w:color w:val="000000"/>
        </w:rPr>
        <w:t>b</w:t>
      </w:r>
      <w:r w:rsidR="004C456D">
        <w:rPr>
          <w:color w:val="000000"/>
        </w:rPr>
        <w:t xml:space="preserve">). </w:t>
      </w:r>
    </w:p>
    <w:p w:rsidR="00017EFB" w:rsidRDefault="00EF6B62" w:rsidP="00EE2BBB">
      <w:pPr>
        <w:rPr>
          <w:color w:val="000000"/>
        </w:rPr>
      </w:pPr>
      <w:r>
        <w:rPr>
          <w:color w:val="000000"/>
        </w:rPr>
        <w:t>Guidelines for</w:t>
      </w:r>
      <w:r w:rsidR="00081992">
        <w:rPr>
          <w:color w:val="000000"/>
        </w:rPr>
        <w:t xml:space="preserve"> treatment selection are evolving with the availability of newer therapies that target cancer mutations or improve the immune response </w:t>
      </w:r>
      <w:r w:rsidR="00997A43">
        <w:rPr>
          <w:color w:val="000000"/>
        </w:rPr>
        <w:t>against melanoma cells</w:t>
      </w:r>
      <w:r w:rsidR="00AA5DF9">
        <w:rPr>
          <w:color w:val="000000"/>
        </w:rPr>
        <w:t xml:space="preserve"> (Atkins and Larkin, 2016</w:t>
      </w:r>
      <w:r>
        <w:rPr>
          <w:color w:val="000000"/>
        </w:rPr>
        <w:t>; Garbe et al., 2016</w:t>
      </w:r>
      <w:r w:rsidR="00C239EE">
        <w:rPr>
          <w:color w:val="000000"/>
        </w:rPr>
        <w:t>;</w:t>
      </w:r>
      <w:r w:rsidR="004C0503">
        <w:rPr>
          <w:color w:val="000000"/>
        </w:rPr>
        <w:t xml:space="preserve"> Cancer Council of Australia</w:t>
      </w:r>
      <w:r w:rsidR="00C239EE">
        <w:rPr>
          <w:color w:val="000000"/>
        </w:rPr>
        <w:t>, 2018</w:t>
      </w:r>
      <w:r w:rsidR="00AA5DF9">
        <w:rPr>
          <w:color w:val="000000"/>
        </w:rPr>
        <w:t>)</w:t>
      </w:r>
      <w:r w:rsidR="00997A43">
        <w:rPr>
          <w:color w:val="000000"/>
        </w:rPr>
        <w:t xml:space="preserve">. </w:t>
      </w:r>
      <w:r w:rsidR="00281B76">
        <w:rPr>
          <w:color w:val="000000"/>
        </w:rPr>
        <w:t xml:space="preserve">A revised draft of clinical practice guidelines for the diagnosis and management of melanoma was released by the </w:t>
      </w:r>
      <w:r w:rsidR="001036B0">
        <w:rPr>
          <w:color w:val="000000"/>
        </w:rPr>
        <w:t xml:space="preserve">Cancer Council </w:t>
      </w:r>
      <w:r w:rsidR="00281B76">
        <w:rPr>
          <w:color w:val="000000"/>
        </w:rPr>
        <w:t xml:space="preserve">Australia for public consultation at the time of this report. </w:t>
      </w:r>
      <w:r w:rsidR="00F72B5B">
        <w:rPr>
          <w:color w:val="000000"/>
        </w:rPr>
        <w:t xml:space="preserve">Melanoma is </w:t>
      </w:r>
      <w:r w:rsidR="009A7DCA">
        <w:rPr>
          <w:color w:val="000000"/>
        </w:rPr>
        <w:t>usually</w:t>
      </w:r>
      <w:r w:rsidR="00F72B5B">
        <w:rPr>
          <w:color w:val="000000"/>
        </w:rPr>
        <w:t xml:space="preserve"> diagnosed at an early stage where surgical excision of the cancer is curative in the majority of cases (</w:t>
      </w:r>
      <w:r w:rsidR="001036B0">
        <w:rPr>
          <w:color w:val="000000"/>
        </w:rPr>
        <w:t>Cancer Council Australia, 2018; Sosman</w:t>
      </w:r>
      <w:r w:rsidR="006262D5">
        <w:rPr>
          <w:color w:val="000000"/>
        </w:rPr>
        <w:t xml:space="preserve"> et al.</w:t>
      </w:r>
      <w:r w:rsidR="001036B0">
        <w:rPr>
          <w:color w:val="000000"/>
        </w:rPr>
        <w:t>, 2018</w:t>
      </w:r>
      <w:r w:rsidR="00F72B5B">
        <w:rPr>
          <w:color w:val="000000"/>
        </w:rPr>
        <w:t xml:space="preserve">). In patients at a high risk of developing metastatic disease, adjuvant therapy </w:t>
      </w:r>
      <w:r w:rsidR="00824F67">
        <w:rPr>
          <w:color w:val="000000"/>
        </w:rPr>
        <w:t>after surgery using targeted drugs or i</w:t>
      </w:r>
      <w:r w:rsidR="00F72B5B">
        <w:rPr>
          <w:color w:val="000000"/>
        </w:rPr>
        <w:t xml:space="preserve">mmunotherapy may be beneficial </w:t>
      </w:r>
      <w:r w:rsidR="00824F67">
        <w:rPr>
          <w:color w:val="000000"/>
        </w:rPr>
        <w:t xml:space="preserve">in reducing the risk of cancer returning </w:t>
      </w:r>
      <w:r w:rsidR="00F72B5B">
        <w:rPr>
          <w:color w:val="000000"/>
        </w:rPr>
        <w:t>(</w:t>
      </w:r>
      <w:r w:rsidR="00A95977">
        <w:rPr>
          <w:color w:val="000000"/>
        </w:rPr>
        <w:t>Cancer Council Australia 2018; Sosman</w:t>
      </w:r>
      <w:r w:rsidR="006262D5">
        <w:rPr>
          <w:color w:val="000000"/>
        </w:rPr>
        <w:t xml:space="preserve"> et al.</w:t>
      </w:r>
      <w:r w:rsidR="00A95977">
        <w:rPr>
          <w:color w:val="000000"/>
        </w:rPr>
        <w:t>, 2018</w:t>
      </w:r>
      <w:r w:rsidR="00F72B5B">
        <w:rPr>
          <w:color w:val="000000"/>
        </w:rPr>
        <w:t xml:space="preserve">). </w:t>
      </w:r>
      <w:r w:rsidR="00945DD1">
        <w:rPr>
          <w:color w:val="000000"/>
        </w:rPr>
        <w:t>Targeted drugs and immunoth</w:t>
      </w:r>
      <w:r w:rsidR="00D02EBE">
        <w:rPr>
          <w:color w:val="000000"/>
        </w:rPr>
        <w:t>erapy are</w:t>
      </w:r>
      <w:r w:rsidR="00945DD1">
        <w:rPr>
          <w:color w:val="000000"/>
        </w:rPr>
        <w:t xml:space="preserve"> </w:t>
      </w:r>
      <w:r w:rsidR="00D02EBE">
        <w:rPr>
          <w:color w:val="000000"/>
        </w:rPr>
        <w:t>mostly</w:t>
      </w:r>
      <w:r w:rsidR="00E938D1">
        <w:rPr>
          <w:color w:val="000000"/>
        </w:rPr>
        <w:t xml:space="preserve"> used to treat</w:t>
      </w:r>
      <w:r w:rsidR="00945DD1">
        <w:rPr>
          <w:color w:val="000000"/>
        </w:rPr>
        <w:t xml:space="preserve"> metastatic melanoma.</w:t>
      </w:r>
      <w:r w:rsidR="00D77738">
        <w:rPr>
          <w:color w:val="000000"/>
        </w:rPr>
        <w:t xml:space="preserve"> Treatment is selected based on the mutation status of the tumour</w:t>
      </w:r>
      <w:r w:rsidR="00C378BD">
        <w:rPr>
          <w:color w:val="000000"/>
        </w:rPr>
        <w:t xml:space="preserve"> or the presence of biomarkers</w:t>
      </w:r>
      <w:r w:rsidR="00D77738">
        <w:rPr>
          <w:color w:val="000000"/>
        </w:rPr>
        <w:t xml:space="preserve">. </w:t>
      </w:r>
    </w:p>
    <w:p w:rsidR="0081581A" w:rsidRDefault="00A664E5" w:rsidP="0081581A">
      <w:pPr>
        <w:spacing w:after="0"/>
        <w:rPr>
          <w:color w:val="000000"/>
        </w:rPr>
      </w:pPr>
      <w:r>
        <w:rPr>
          <w:color w:val="000000"/>
        </w:rPr>
        <w:t xml:space="preserve">The most common mutation identified for metastatic melanoma is </w:t>
      </w:r>
      <w:r w:rsidR="004F7541">
        <w:rPr>
          <w:color w:val="000000"/>
        </w:rPr>
        <w:t>BRAF V600</w:t>
      </w:r>
      <w:r w:rsidR="00B1224E">
        <w:rPr>
          <w:color w:val="000000"/>
        </w:rPr>
        <w:t>, occurring in between 40 to 60 percent</w:t>
      </w:r>
      <w:r w:rsidR="00196D1C">
        <w:rPr>
          <w:color w:val="000000"/>
        </w:rPr>
        <w:t xml:space="preserve"> of cases (Hannan et al., 2017)</w:t>
      </w:r>
      <w:r w:rsidR="004F7541">
        <w:rPr>
          <w:color w:val="000000"/>
        </w:rPr>
        <w:t xml:space="preserve">. </w:t>
      </w:r>
      <w:r w:rsidR="005523C4">
        <w:rPr>
          <w:color w:val="000000"/>
        </w:rPr>
        <w:t xml:space="preserve">In its consideration of a </w:t>
      </w:r>
    </w:p>
    <w:p w:rsidR="008D4F2B" w:rsidRPr="008E3A43" w:rsidRDefault="005523C4" w:rsidP="0081581A">
      <w:pPr>
        <w:spacing w:after="0"/>
      </w:pPr>
      <w:r>
        <w:rPr>
          <w:color w:val="000000"/>
        </w:rPr>
        <w:t xml:space="preserve">co-dependent submission for dabrafenib in August 2013, </w:t>
      </w:r>
      <w:r>
        <w:t xml:space="preserve">the Medical Services Advisory Committee (MSAC) </w:t>
      </w:r>
      <w:r w:rsidR="00996B64">
        <w:t>recommended</w:t>
      </w:r>
      <w:r>
        <w:t xml:space="preserve"> that the best estimate for the prevalence of BRAF V600 mutations </w:t>
      </w:r>
      <w:r w:rsidR="00525B84">
        <w:t xml:space="preserve">at the time of the submission </w:t>
      </w:r>
      <w:r>
        <w:t>was 44.5 percent based on Australian data reported by Menzies et al. (2012).</w:t>
      </w:r>
      <w:r w:rsidR="00A021F9">
        <w:rPr>
          <w:rStyle w:val="FootnoteReference"/>
        </w:rPr>
        <w:footnoteReference w:id="3"/>
      </w:r>
      <w:r>
        <w:t xml:space="preserve"> </w:t>
      </w:r>
      <w:r w:rsidR="00DD3DBF">
        <w:rPr>
          <w:color w:val="000000"/>
        </w:rPr>
        <w:t xml:space="preserve">A </w:t>
      </w:r>
      <w:r w:rsidR="00525B84">
        <w:rPr>
          <w:color w:val="000000"/>
        </w:rPr>
        <w:t xml:space="preserve">more recent </w:t>
      </w:r>
      <w:r w:rsidR="00DD3DBF">
        <w:rPr>
          <w:color w:val="000000"/>
        </w:rPr>
        <w:t>retrospec</w:t>
      </w:r>
      <w:r w:rsidR="00AA382E">
        <w:rPr>
          <w:color w:val="000000"/>
        </w:rPr>
        <w:t>tive Australian study reported a</w:t>
      </w:r>
      <w:r w:rsidR="00DD3DBF">
        <w:rPr>
          <w:color w:val="000000"/>
        </w:rPr>
        <w:t xml:space="preserve"> </w:t>
      </w:r>
      <w:r w:rsidR="00DD3DBF">
        <w:rPr>
          <w:color w:val="000000"/>
        </w:rPr>
        <w:lastRenderedPageBreak/>
        <w:t>prevalence of 38 percent for</w:t>
      </w:r>
      <w:r w:rsidR="002052D0">
        <w:rPr>
          <w:color w:val="000000"/>
        </w:rPr>
        <w:t xml:space="preserve"> BRAF V600 (Lyle et al., 2016). </w:t>
      </w:r>
      <w:r w:rsidR="00B67DB1">
        <w:rPr>
          <w:color w:val="000000"/>
        </w:rPr>
        <w:t xml:space="preserve">It is recommended that </w:t>
      </w:r>
      <w:r w:rsidR="00D77738">
        <w:rPr>
          <w:color w:val="000000"/>
        </w:rPr>
        <w:t>BRAF-mutated tumours are</w:t>
      </w:r>
      <w:r w:rsidR="0052098E">
        <w:rPr>
          <w:color w:val="000000"/>
        </w:rPr>
        <w:t xml:space="preserve"> </w:t>
      </w:r>
      <w:r w:rsidR="00D77738">
        <w:rPr>
          <w:color w:val="000000"/>
        </w:rPr>
        <w:t xml:space="preserve">treated with </w:t>
      </w:r>
      <w:r w:rsidR="001D7193">
        <w:rPr>
          <w:color w:val="000000"/>
        </w:rPr>
        <w:t xml:space="preserve">a combination of a BRAF inhibitor and a </w:t>
      </w:r>
      <w:r w:rsidR="00A51EB5" w:rsidRPr="00F57B7F">
        <w:rPr>
          <w:color w:val="000000"/>
        </w:rPr>
        <w:t>mitogen-activated extracellular signal regulated kinase (</w:t>
      </w:r>
      <w:r w:rsidR="001D7193">
        <w:rPr>
          <w:color w:val="000000"/>
        </w:rPr>
        <w:t>MEK</w:t>
      </w:r>
      <w:r w:rsidR="00A51EB5">
        <w:rPr>
          <w:color w:val="000000"/>
        </w:rPr>
        <w:t>)</w:t>
      </w:r>
      <w:r w:rsidR="001D7193">
        <w:rPr>
          <w:color w:val="000000"/>
        </w:rPr>
        <w:t xml:space="preserve"> inhibitor</w:t>
      </w:r>
      <w:r w:rsidR="00633A1E">
        <w:t xml:space="preserve"> (Garbe et al., 2016). </w:t>
      </w:r>
      <w:r w:rsidR="00F168A3">
        <w:t xml:space="preserve">The </w:t>
      </w:r>
      <w:r w:rsidR="00F168A3" w:rsidRPr="00F168A3">
        <w:rPr>
          <w:color w:val="000000"/>
        </w:rPr>
        <w:t>addition of a MEK inhibitor is recommended because the mitogen-activated protein kinase (MAPK) pathway can be reactivated during therapy with BRAF inhibitors which can lead to an acquired resistance to BRAF inhibitors (Chen et al., 2017</w:t>
      </w:r>
      <w:r w:rsidR="003D5336">
        <w:rPr>
          <w:color w:val="000000"/>
        </w:rPr>
        <w:t>; Cheng et al., 2018</w:t>
      </w:r>
      <w:r w:rsidR="00F168A3" w:rsidRPr="00F168A3">
        <w:rPr>
          <w:color w:val="000000"/>
        </w:rPr>
        <w:t xml:space="preserve">). </w:t>
      </w:r>
      <w:r w:rsidR="00DE12A9">
        <w:rPr>
          <w:color w:val="000000"/>
        </w:rPr>
        <w:t xml:space="preserve">For patients without a BRAF V600 mutation, the use of </w:t>
      </w:r>
      <w:r w:rsidR="00DE12A9" w:rsidRPr="000D736B">
        <w:rPr>
          <w:color w:val="000000"/>
        </w:rPr>
        <w:t>targeted therapy with BRAF inhibitors is not indicated (</w:t>
      </w:r>
      <w:r w:rsidR="006E2775">
        <w:rPr>
          <w:color w:val="000000"/>
        </w:rPr>
        <w:t xml:space="preserve">Cheng et al., 2018; </w:t>
      </w:r>
      <w:r w:rsidR="00DE12A9" w:rsidRPr="000D736B">
        <w:rPr>
          <w:color w:val="000000"/>
        </w:rPr>
        <w:t>Sosman</w:t>
      </w:r>
      <w:r w:rsidR="00AD40ED">
        <w:rPr>
          <w:color w:val="000000"/>
        </w:rPr>
        <w:t xml:space="preserve"> et al.</w:t>
      </w:r>
      <w:r w:rsidR="00DE12A9" w:rsidRPr="000D736B">
        <w:rPr>
          <w:color w:val="000000"/>
        </w:rPr>
        <w:t xml:space="preserve">, 2018). </w:t>
      </w:r>
      <w:r w:rsidR="005C2567">
        <w:rPr>
          <w:color w:val="000000"/>
        </w:rPr>
        <w:t xml:space="preserve">Combination therapies with a BRAF and MEK inhibitor available through the PBS for patients who are </w:t>
      </w:r>
      <w:r w:rsidR="005C2567" w:rsidRPr="00E279DC">
        <w:rPr>
          <w:color w:val="000000"/>
        </w:rPr>
        <w:t>positive for a BRAF V600 mutation</w:t>
      </w:r>
      <w:r w:rsidR="005C2567">
        <w:rPr>
          <w:color w:val="000000"/>
        </w:rPr>
        <w:t xml:space="preserve"> include dabrafenib plus trametinib and vemurafinib plus cobimetinib. </w:t>
      </w:r>
    </w:p>
    <w:p w:rsidR="00196D1C" w:rsidRDefault="00E279DC" w:rsidP="00B53305">
      <w:pPr>
        <w:rPr>
          <w:color w:val="000000"/>
        </w:rPr>
      </w:pPr>
      <w:r>
        <w:rPr>
          <w:color w:val="000000"/>
        </w:rPr>
        <w:t xml:space="preserve">The response to </w:t>
      </w:r>
      <w:r w:rsidR="00196D1C">
        <w:rPr>
          <w:color w:val="000000"/>
        </w:rPr>
        <w:t xml:space="preserve">therapy with </w:t>
      </w:r>
      <w:r>
        <w:rPr>
          <w:color w:val="000000"/>
        </w:rPr>
        <w:t xml:space="preserve">BRAF inhibitors is influenced by the </w:t>
      </w:r>
      <w:r w:rsidR="00196D1C">
        <w:rPr>
          <w:color w:val="000000"/>
        </w:rPr>
        <w:t>presence of the</w:t>
      </w:r>
      <w:r w:rsidRPr="00017EFB">
        <w:rPr>
          <w:color w:val="000000"/>
        </w:rPr>
        <w:t xml:space="preserve"> V600E or V600K </w:t>
      </w:r>
      <w:r w:rsidR="00196D1C">
        <w:rPr>
          <w:color w:val="000000"/>
        </w:rPr>
        <w:t xml:space="preserve">variant of a BRAF </w:t>
      </w:r>
      <w:r w:rsidRPr="00017EFB">
        <w:rPr>
          <w:color w:val="000000"/>
        </w:rPr>
        <w:t>mutation</w:t>
      </w:r>
      <w:r w:rsidR="005C08FD">
        <w:rPr>
          <w:color w:val="000000"/>
        </w:rPr>
        <w:t>, with the V600E variant shown to be more sensitive to treatment with BRAF inhibitors (Long et al., 2014; Hannan et al., 2017).</w:t>
      </w:r>
      <w:r>
        <w:rPr>
          <w:color w:val="000000"/>
        </w:rPr>
        <w:t xml:space="preserve"> </w:t>
      </w:r>
      <w:r w:rsidR="00196D1C">
        <w:rPr>
          <w:color w:val="000000"/>
        </w:rPr>
        <w:t xml:space="preserve">The majority of BRAF mutations </w:t>
      </w:r>
      <w:r w:rsidR="00875FA8">
        <w:rPr>
          <w:color w:val="000000"/>
        </w:rPr>
        <w:t xml:space="preserve">(80 to 90 percent of cases) </w:t>
      </w:r>
      <w:r w:rsidR="00196D1C">
        <w:rPr>
          <w:color w:val="000000"/>
        </w:rPr>
        <w:t xml:space="preserve">involve the V600E variant </w:t>
      </w:r>
      <w:r w:rsidR="00875FA8">
        <w:rPr>
          <w:color w:val="000000"/>
        </w:rPr>
        <w:t xml:space="preserve">and the V600K </w:t>
      </w:r>
      <w:r w:rsidR="00332A6C">
        <w:rPr>
          <w:color w:val="000000"/>
        </w:rPr>
        <w:t>variant is present in around 10 percent</w:t>
      </w:r>
      <w:r w:rsidR="00875FA8">
        <w:rPr>
          <w:color w:val="000000"/>
        </w:rPr>
        <w:t xml:space="preserve"> of cases </w:t>
      </w:r>
      <w:r w:rsidR="00196D1C">
        <w:rPr>
          <w:color w:val="000000"/>
        </w:rPr>
        <w:t>(</w:t>
      </w:r>
      <w:r w:rsidR="00C036E2">
        <w:rPr>
          <w:color w:val="000000"/>
        </w:rPr>
        <w:t xml:space="preserve">Rubinstein et al., 2010; </w:t>
      </w:r>
      <w:r w:rsidR="00196D1C">
        <w:rPr>
          <w:color w:val="000000"/>
        </w:rPr>
        <w:t xml:space="preserve">Hannan et al., 2017). </w:t>
      </w:r>
    </w:p>
    <w:p w:rsidR="00E045BD" w:rsidRDefault="001A205F" w:rsidP="00B53305">
      <w:pPr>
        <w:rPr>
          <w:color w:val="000000"/>
        </w:rPr>
      </w:pPr>
      <w:r>
        <w:rPr>
          <w:color w:val="000000"/>
        </w:rPr>
        <w:t>Immunotherapy is used to stimulate a person’s own immune system to detect and destroy melanoma cells. An immune response is activated by proteins on immune cells, referred to as “checkpoints”</w:t>
      </w:r>
      <w:r w:rsidR="0043041D">
        <w:rPr>
          <w:color w:val="000000"/>
        </w:rPr>
        <w:t xml:space="preserve"> (Achkar and Tarhini, 2017)</w:t>
      </w:r>
      <w:r>
        <w:rPr>
          <w:color w:val="000000"/>
        </w:rPr>
        <w:t>.</w:t>
      </w:r>
      <w:r w:rsidR="00390F39">
        <w:rPr>
          <w:color w:val="000000"/>
        </w:rPr>
        <w:t xml:space="preserve"> Melanoma cells can prevent an attack by the immune system by influencing the checkpoints on immune cells. Drugs </w:t>
      </w:r>
      <w:r w:rsidR="00BD5B0B">
        <w:rPr>
          <w:color w:val="000000"/>
        </w:rPr>
        <w:t>are</w:t>
      </w:r>
      <w:r w:rsidR="00390F39">
        <w:rPr>
          <w:color w:val="000000"/>
        </w:rPr>
        <w:t xml:space="preserve"> used to target the checkpoints to restore the response of the immune system against melanoma cells. </w:t>
      </w:r>
      <w:r w:rsidR="007F6B63">
        <w:rPr>
          <w:color w:val="000000"/>
        </w:rPr>
        <w:t>Immunotherapies listed on the PBS include ipilimumab</w:t>
      </w:r>
      <w:r w:rsidR="000A2317">
        <w:rPr>
          <w:color w:val="000000"/>
        </w:rPr>
        <w:t>, nivolumab</w:t>
      </w:r>
      <w:r w:rsidR="007F6B63">
        <w:rPr>
          <w:color w:val="000000"/>
        </w:rPr>
        <w:t xml:space="preserve"> and pembrolizumab. </w:t>
      </w:r>
      <w:r w:rsidR="00302A1A">
        <w:rPr>
          <w:color w:val="000000"/>
        </w:rPr>
        <w:t xml:space="preserve">Pembrolizumab </w:t>
      </w:r>
      <w:r w:rsidR="000A2317">
        <w:rPr>
          <w:color w:val="000000"/>
        </w:rPr>
        <w:t>and nivolumab target</w:t>
      </w:r>
      <w:r w:rsidR="00302A1A">
        <w:rPr>
          <w:color w:val="000000"/>
        </w:rPr>
        <w:t xml:space="preserve"> the PD-1 protein which prevents T cells from </w:t>
      </w:r>
      <w:r w:rsidR="000A2317">
        <w:rPr>
          <w:color w:val="000000"/>
        </w:rPr>
        <w:t>attacking other cells. B</w:t>
      </w:r>
      <w:r w:rsidR="00302A1A">
        <w:rPr>
          <w:color w:val="000000"/>
        </w:rPr>
        <w:t>locking the PD-1 protein enhances the immune response against melanoma by faci</w:t>
      </w:r>
      <w:r w:rsidR="00E045BD">
        <w:rPr>
          <w:color w:val="000000"/>
        </w:rPr>
        <w:t xml:space="preserve">litating the action of T cells. Ipilimumab </w:t>
      </w:r>
      <w:r w:rsidR="000A2317">
        <w:rPr>
          <w:color w:val="000000"/>
        </w:rPr>
        <w:t>blocks</w:t>
      </w:r>
      <w:r w:rsidR="00E045BD">
        <w:rPr>
          <w:color w:val="000000"/>
        </w:rPr>
        <w:t xml:space="preserve"> another checkpoint on T</w:t>
      </w:r>
      <w:r w:rsidR="00812614">
        <w:rPr>
          <w:color w:val="000000"/>
        </w:rPr>
        <w:t> </w:t>
      </w:r>
      <w:r w:rsidR="00E045BD">
        <w:rPr>
          <w:color w:val="000000"/>
        </w:rPr>
        <w:t xml:space="preserve">cells, the </w:t>
      </w:r>
      <w:r w:rsidR="006F4C22" w:rsidRPr="00E91661">
        <w:rPr>
          <w:color w:val="000000"/>
        </w:rPr>
        <w:t xml:space="preserve">cytotoxic T lymphocyte-associated antigen 4 </w:t>
      </w:r>
      <w:r w:rsidR="006F4C22">
        <w:rPr>
          <w:color w:val="000000"/>
        </w:rPr>
        <w:t>(</w:t>
      </w:r>
      <w:r w:rsidR="00E045BD">
        <w:rPr>
          <w:color w:val="000000"/>
        </w:rPr>
        <w:t>CTLA-4</w:t>
      </w:r>
      <w:r w:rsidR="006F4C22">
        <w:rPr>
          <w:color w:val="000000"/>
        </w:rPr>
        <w:t>)</w:t>
      </w:r>
      <w:r w:rsidR="00E045BD">
        <w:rPr>
          <w:color w:val="000000"/>
        </w:rPr>
        <w:t xml:space="preserve"> protein. </w:t>
      </w:r>
    </w:p>
    <w:p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rsidR="001420B3" w:rsidRDefault="000542E4" w:rsidP="00924216">
      <w:pPr>
        <w:spacing w:after="120"/>
      </w:pPr>
      <w:r>
        <w:t xml:space="preserve">The registered indications for the </w:t>
      </w:r>
      <w:r w:rsidR="005E0A8C">
        <w:t>medicines</w:t>
      </w:r>
      <w:r w:rsidR="002C66AB">
        <w:t xml:space="preserve"> are summarised in Table 1</w:t>
      </w:r>
      <w:r>
        <w:t>.</w:t>
      </w:r>
      <w:r w:rsidR="005C7759">
        <w:t xml:space="preserve"> Compared to the registered indications, the PBS restrictions for all listin</w:t>
      </w:r>
      <w:r w:rsidR="004B476F">
        <w:t>gs (except ipilimumab) include</w:t>
      </w:r>
      <w:r w:rsidR="005C7759">
        <w:t xml:space="preserve"> a</w:t>
      </w:r>
      <w:r w:rsidR="004B476F">
        <w:t>n additional</w:t>
      </w:r>
      <w:r w:rsidR="005C7759">
        <w:t xml:space="preserve"> continuing criteria that the patient must have stable or responding disease. </w:t>
      </w:r>
      <w:r w:rsidR="001F4D26">
        <w:t>Other differences between</w:t>
      </w:r>
      <w:r w:rsidR="004B476F">
        <w:t xml:space="preserve"> the registered indication and PBS restriction criteria are noted for each listing in Table 1.</w:t>
      </w:r>
    </w:p>
    <w:p w:rsidR="000542E4" w:rsidRDefault="002C66AB" w:rsidP="002C66AB">
      <w:pPr>
        <w:pStyle w:val="Tabletitle"/>
      </w:pPr>
      <w:r>
        <w:t>Table 1</w:t>
      </w:r>
      <w:r w:rsidR="000542E4" w:rsidRPr="0088155B">
        <w:t xml:space="preserve">: </w:t>
      </w:r>
      <w:r w:rsidR="000542E4">
        <w:t>Summary of registered indications as at March 2018</w:t>
      </w:r>
    </w:p>
    <w:tbl>
      <w:tblPr>
        <w:tblStyle w:val="TableGrid"/>
        <w:tblW w:w="9039" w:type="dxa"/>
        <w:tblLook w:val="04A0" w:firstRow="1" w:lastRow="0" w:firstColumn="1" w:lastColumn="0" w:noHBand="0" w:noVBand="1"/>
        <w:tblCaption w:val="Table 1"/>
        <w:tblDescription w:val="TGA registered indications for melanoma medicines."/>
      </w:tblPr>
      <w:tblGrid>
        <w:gridCol w:w="1526"/>
        <w:gridCol w:w="1701"/>
        <w:gridCol w:w="5812"/>
      </w:tblGrid>
      <w:tr w:rsidR="001C34F2" w:rsidRPr="00A35800" w:rsidTr="00914E74">
        <w:trPr>
          <w:tblHeader/>
        </w:trPr>
        <w:tc>
          <w:tcPr>
            <w:tcW w:w="1526" w:type="dxa"/>
            <w:shd w:val="clear" w:color="auto" w:fill="F2F2F2" w:themeFill="background1" w:themeFillShade="F2"/>
          </w:tcPr>
          <w:p w:rsidR="001C34F2" w:rsidRPr="00A35800" w:rsidRDefault="001C34F2" w:rsidP="00A410BA">
            <w:pPr>
              <w:pStyle w:val="Tableheading"/>
              <w:jc w:val="left"/>
              <w:rPr>
                <w:sz w:val="20"/>
                <w:szCs w:val="20"/>
              </w:rPr>
            </w:pPr>
            <w:r>
              <w:rPr>
                <w:sz w:val="20"/>
                <w:szCs w:val="20"/>
              </w:rPr>
              <w:t>Drug name</w:t>
            </w:r>
          </w:p>
        </w:tc>
        <w:tc>
          <w:tcPr>
            <w:tcW w:w="1701" w:type="dxa"/>
            <w:shd w:val="clear" w:color="auto" w:fill="F2F2F2" w:themeFill="background1" w:themeFillShade="F2"/>
          </w:tcPr>
          <w:p w:rsidR="001C34F2" w:rsidRDefault="001C34F2" w:rsidP="00DD413F">
            <w:pPr>
              <w:pStyle w:val="Tableheading"/>
              <w:jc w:val="left"/>
              <w:rPr>
                <w:sz w:val="20"/>
                <w:szCs w:val="20"/>
              </w:rPr>
            </w:pPr>
            <w:r>
              <w:rPr>
                <w:sz w:val="20"/>
                <w:szCs w:val="20"/>
              </w:rPr>
              <w:t>ARTG start date</w:t>
            </w:r>
          </w:p>
        </w:tc>
        <w:tc>
          <w:tcPr>
            <w:tcW w:w="5812" w:type="dxa"/>
            <w:shd w:val="clear" w:color="auto" w:fill="F2F2F2" w:themeFill="background1" w:themeFillShade="F2"/>
          </w:tcPr>
          <w:p w:rsidR="001C34F2" w:rsidRPr="00A35800" w:rsidRDefault="001C34F2" w:rsidP="00DD413F">
            <w:pPr>
              <w:pStyle w:val="Tableheading"/>
              <w:jc w:val="left"/>
              <w:rPr>
                <w:sz w:val="20"/>
                <w:szCs w:val="20"/>
              </w:rPr>
            </w:pPr>
            <w:r>
              <w:rPr>
                <w:sz w:val="20"/>
                <w:szCs w:val="20"/>
              </w:rPr>
              <w:t>Registered indication(s)</w:t>
            </w:r>
          </w:p>
        </w:tc>
      </w:tr>
      <w:tr w:rsidR="001C34F2" w:rsidRPr="00A35800" w:rsidTr="00914E74">
        <w:tc>
          <w:tcPr>
            <w:tcW w:w="1526" w:type="dxa"/>
          </w:tcPr>
          <w:p w:rsidR="001C34F2" w:rsidRPr="00831ACE" w:rsidRDefault="001C34F2" w:rsidP="001E1D8C">
            <w:pPr>
              <w:rPr>
                <w:rFonts w:cs="Calibri"/>
                <w:color w:val="000000"/>
                <w:sz w:val="20"/>
                <w:szCs w:val="20"/>
              </w:rPr>
            </w:pPr>
            <w:r w:rsidRPr="00831ACE">
              <w:rPr>
                <w:rFonts w:cs="Calibri"/>
                <w:color w:val="000000"/>
                <w:sz w:val="20"/>
                <w:szCs w:val="20"/>
              </w:rPr>
              <w:t>Cobimetinib</w:t>
            </w:r>
          </w:p>
        </w:tc>
        <w:tc>
          <w:tcPr>
            <w:tcW w:w="1701" w:type="dxa"/>
          </w:tcPr>
          <w:p w:rsidR="001C34F2" w:rsidRPr="00831ACE" w:rsidRDefault="001C34F2" w:rsidP="00DD413F">
            <w:pPr>
              <w:autoSpaceDE w:val="0"/>
              <w:autoSpaceDN w:val="0"/>
              <w:adjustRightInd w:val="0"/>
              <w:rPr>
                <w:rFonts w:cs="Calibri"/>
                <w:color w:val="000000"/>
                <w:sz w:val="20"/>
                <w:szCs w:val="20"/>
              </w:rPr>
            </w:pPr>
            <w:r w:rsidRPr="00831ACE">
              <w:rPr>
                <w:rFonts w:cs="Calibri"/>
                <w:color w:val="000000"/>
                <w:sz w:val="20"/>
                <w:szCs w:val="20"/>
              </w:rPr>
              <w:t>5 April 2016</w:t>
            </w:r>
          </w:p>
        </w:tc>
        <w:tc>
          <w:tcPr>
            <w:tcW w:w="5812" w:type="dxa"/>
          </w:tcPr>
          <w:p w:rsidR="001C34F2" w:rsidRPr="00831ACE" w:rsidRDefault="001C34F2" w:rsidP="00DD413F">
            <w:pPr>
              <w:autoSpaceDE w:val="0"/>
              <w:autoSpaceDN w:val="0"/>
              <w:adjustRightInd w:val="0"/>
              <w:rPr>
                <w:rFonts w:cs="Calibri"/>
                <w:color w:val="000000"/>
                <w:sz w:val="20"/>
                <w:szCs w:val="20"/>
              </w:rPr>
            </w:pPr>
            <w:r w:rsidRPr="00831ACE">
              <w:rPr>
                <w:rFonts w:cs="Calibri"/>
                <w:color w:val="000000"/>
                <w:sz w:val="20"/>
                <w:szCs w:val="20"/>
              </w:rPr>
              <w:t>For use in combination with vemurafenib for the treatment of patients with unresectable or metastatic melanoma with BRAF V600 mutation</w:t>
            </w:r>
            <w:r w:rsidR="00073A57">
              <w:rPr>
                <w:rFonts w:cs="Calibri"/>
                <w:color w:val="000000"/>
                <w:sz w:val="20"/>
                <w:szCs w:val="20"/>
              </w:rPr>
              <w:t>.</w:t>
            </w:r>
          </w:p>
        </w:tc>
      </w:tr>
      <w:tr w:rsidR="001C34F2" w:rsidRPr="00A35800" w:rsidTr="00914E74">
        <w:tc>
          <w:tcPr>
            <w:tcW w:w="1526" w:type="dxa"/>
          </w:tcPr>
          <w:p w:rsidR="001C34F2" w:rsidRPr="00566F44" w:rsidRDefault="001C34F2" w:rsidP="001E1D8C">
            <w:pPr>
              <w:rPr>
                <w:sz w:val="20"/>
                <w:szCs w:val="20"/>
              </w:rPr>
            </w:pPr>
            <w:r w:rsidRPr="000643AE">
              <w:rPr>
                <w:sz w:val="20"/>
                <w:szCs w:val="20"/>
              </w:rPr>
              <w:t>Dabrafenib</w:t>
            </w:r>
          </w:p>
        </w:tc>
        <w:tc>
          <w:tcPr>
            <w:tcW w:w="1701" w:type="dxa"/>
          </w:tcPr>
          <w:p w:rsidR="001C34F2" w:rsidRPr="0046319F" w:rsidRDefault="001C34F2" w:rsidP="00DD413F">
            <w:pPr>
              <w:pStyle w:val="Tablewriting"/>
            </w:pPr>
            <w:r w:rsidRPr="0046319F">
              <w:t>27 August 2013</w:t>
            </w:r>
          </w:p>
        </w:tc>
        <w:tc>
          <w:tcPr>
            <w:tcW w:w="5812" w:type="dxa"/>
          </w:tcPr>
          <w:p w:rsidR="001C34F2" w:rsidRDefault="001C34F2" w:rsidP="001C34F2">
            <w:pPr>
              <w:pStyle w:val="Tablewriting"/>
            </w:pPr>
            <w:r>
              <w:t xml:space="preserve">For use as monotherapy or in combination with trametinib for the treatment of patients with BRAFV600 mutation positive unresectable Stage III or metastatic (Stage IV) melanoma. </w:t>
            </w:r>
          </w:p>
          <w:p w:rsidR="00FE5CE1" w:rsidRDefault="00FE5CE1" w:rsidP="001C34F2">
            <w:pPr>
              <w:pStyle w:val="Tablewriting"/>
            </w:pPr>
          </w:p>
          <w:p w:rsidR="00FE5CE1" w:rsidRPr="00CF5ED0" w:rsidRDefault="00FE5CE1" w:rsidP="00FE5CE1">
            <w:pPr>
              <w:pStyle w:val="Tablewriting"/>
              <w:rPr>
                <w:rFonts w:cstheme="minorBidi"/>
                <w:color w:val="auto"/>
              </w:rPr>
            </w:pPr>
            <w:r>
              <w:t xml:space="preserve">The PBS restriction has an additional clinical criterion that a patient must have a </w:t>
            </w:r>
            <w:r w:rsidRPr="00FE5CE1">
              <w:t>WHO performance status of 2 or less.</w:t>
            </w:r>
          </w:p>
        </w:tc>
      </w:tr>
      <w:tr w:rsidR="001C34F2" w:rsidRPr="00A35800" w:rsidTr="00914E74">
        <w:tc>
          <w:tcPr>
            <w:tcW w:w="1526" w:type="dxa"/>
          </w:tcPr>
          <w:p w:rsidR="001C34F2" w:rsidRPr="00566F44" w:rsidRDefault="001C34F2" w:rsidP="001E1D8C">
            <w:pPr>
              <w:rPr>
                <w:sz w:val="20"/>
                <w:szCs w:val="20"/>
              </w:rPr>
            </w:pPr>
            <w:r w:rsidRPr="000643AE">
              <w:rPr>
                <w:sz w:val="20"/>
                <w:szCs w:val="20"/>
              </w:rPr>
              <w:lastRenderedPageBreak/>
              <w:t>Ipilimumab</w:t>
            </w:r>
          </w:p>
        </w:tc>
        <w:tc>
          <w:tcPr>
            <w:tcW w:w="1701" w:type="dxa"/>
          </w:tcPr>
          <w:p w:rsidR="001C34F2" w:rsidRPr="00A35800" w:rsidRDefault="00EB0205" w:rsidP="00DD413F">
            <w:pPr>
              <w:pStyle w:val="Tablewriting"/>
            </w:pPr>
            <w:r>
              <w:t>4 July 2011</w:t>
            </w:r>
          </w:p>
        </w:tc>
        <w:tc>
          <w:tcPr>
            <w:tcW w:w="5812" w:type="dxa"/>
          </w:tcPr>
          <w:p w:rsidR="001C34F2" w:rsidRDefault="00EB0205" w:rsidP="00EB0205">
            <w:pPr>
              <w:pStyle w:val="Tablewriting"/>
            </w:pPr>
            <w:r>
              <w:t>For use as monotherapy for the treatment of patients with unresectable or metastatic melanoma.</w:t>
            </w:r>
          </w:p>
          <w:p w:rsidR="006812BD" w:rsidRDefault="006812BD" w:rsidP="00EB0205">
            <w:pPr>
              <w:pStyle w:val="Tablewriting"/>
            </w:pPr>
          </w:p>
          <w:p w:rsidR="006812BD" w:rsidRPr="00A35800" w:rsidRDefault="0061494E" w:rsidP="00EB0205">
            <w:pPr>
              <w:pStyle w:val="Tablewriting"/>
            </w:pPr>
            <w:r>
              <w:t>The registered indication is broader than the PBS restriction in that patients can only have a maximum of 4 doses for induction treatment and 4 doses for re-induction therapy.</w:t>
            </w:r>
          </w:p>
        </w:tc>
      </w:tr>
      <w:tr w:rsidR="00586881" w:rsidRPr="00A35800" w:rsidTr="00914E74">
        <w:tc>
          <w:tcPr>
            <w:tcW w:w="1526" w:type="dxa"/>
          </w:tcPr>
          <w:p w:rsidR="00586881" w:rsidRPr="000643AE" w:rsidRDefault="00586881" w:rsidP="001E1D8C">
            <w:pPr>
              <w:pStyle w:val="Tablewriting"/>
            </w:pPr>
            <w:r>
              <w:t>Nivolumab</w:t>
            </w:r>
          </w:p>
        </w:tc>
        <w:tc>
          <w:tcPr>
            <w:tcW w:w="1701" w:type="dxa"/>
          </w:tcPr>
          <w:p w:rsidR="00586881" w:rsidRPr="0046319F" w:rsidRDefault="00586881" w:rsidP="00DD413F">
            <w:pPr>
              <w:autoSpaceDE w:val="0"/>
              <w:autoSpaceDN w:val="0"/>
              <w:adjustRightInd w:val="0"/>
              <w:rPr>
                <w:rFonts w:cs="Calibri"/>
                <w:color w:val="000000"/>
                <w:sz w:val="20"/>
                <w:szCs w:val="20"/>
              </w:rPr>
            </w:pPr>
            <w:r>
              <w:rPr>
                <w:rFonts w:cs="Calibri"/>
                <w:color w:val="000000"/>
                <w:sz w:val="20"/>
                <w:szCs w:val="20"/>
              </w:rPr>
              <w:t>11 January 2016</w:t>
            </w:r>
          </w:p>
        </w:tc>
        <w:tc>
          <w:tcPr>
            <w:tcW w:w="5812" w:type="dxa"/>
          </w:tcPr>
          <w:p w:rsidR="0022368B" w:rsidRDefault="0022368B" w:rsidP="00586881">
            <w:pPr>
              <w:autoSpaceDE w:val="0"/>
              <w:autoSpaceDN w:val="0"/>
              <w:adjustRightInd w:val="0"/>
              <w:rPr>
                <w:rFonts w:cs="Arial"/>
                <w:sz w:val="20"/>
                <w:szCs w:val="20"/>
              </w:rPr>
            </w:pPr>
            <w:r>
              <w:rPr>
                <w:rFonts w:cs="Arial"/>
                <w:sz w:val="20"/>
                <w:szCs w:val="20"/>
              </w:rPr>
              <w:t xml:space="preserve">Nivolumab is indicated for the treatment of </w:t>
            </w:r>
            <w:r w:rsidRPr="002975D6">
              <w:rPr>
                <w:rFonts w:cs="Arial"/>
                <w:sz w:val="20"/>
                <w:szCs w:val="20"/>
              </w:rPr>
              <w:t>unresectable (Stage III) or</w:t>
            </w:r>
            <w:r>
              <w:rPr>
                <w:rFonts w:cs="Arial"/>
                <w:sz w:val="20"/>
                <w:szCs w:val="20"/>
              </w:rPr>
              <w:t xml:space="preserve"> metastatic (Stage IV) melanoma as:</w:t>
            </w:r>
          </w:p>
          <w:p w:rsidR="0022368B" w:rsidRPr="0022368B" w:rsidRDefault="0022368B" w:rsidP="0022368B">
            <w:pPr>
              <w:pStyle w:val="ListParagraph"/>
              <w:numPr>
                <w:ilvl w:val="0"/>
                <w:numId w:val="1"/>
              </w:numPr>
              <w:autoSpaceDE w:val="0"/>
              <w:autoSpaceDN w:val="0"/>
              <w:adjustRightInd w:val="0"/>
              <w:rPr>
                <w:rFonts w:cs="Arial"/>
                <w:sz w:val="20"/>
                <w:szCs w:val="20"/>
              </w:rPr>
            </w:pPr>
            <w:r w:rsidRPr="0022368B">
              <w:rPr>
                <w:rFonts w:cs="Arial"/>
                <w:sz w:val="20"/>
                <w:szCs w:val="20"/>
              </w:rPr>
              <w:t>monotherapy; or</w:t>
            </w:r>
          </w:p>
          <w:p w:rsidR="00586881" w:rsidRPr="0022368B" w:rsidRDefault="00586881" w:rsidP="0022368B">
            <w:pPr>
              <w:pStyle w:val="ListParagraph"/>
              <w:numPr>
                <w:ilvl w:val="0"/>
                <w:numId w:val="1"/>
              </w:numPr>
              <w:autoSpaceDE w:val="0"/>
              <w:autoSpaceDN w:val="0"/>
              <w:adjustRightInd w:val="0"/>
              <w:rPr>
                <w:rFonts w:cs="Arial"/>
                <w:sz w:val="20"/>
                <w:szCs w:val="20"/>
              </w:rPr>
            </w:pPr>
            <w:r w:rsidRPr="0022368B">
              <w:rPr>
                <w:rFonts w:cs="Arial"/>
                <w:sz w:val="20"/>
                <w:szCs w:val="20"/>
              </w:rPr>
              <w:t xml:space="preserve">in combination with ipilimumab </w:t>
            </w:r>
            <w:r w:rsidR="0022368B" w:rsidRPr="0022368B">
              <w:rPr>
                <w:rFonts w:cs="Arial"/>
                <w:sz w:val="20"/>
                <w:szCs w:val="20"/>
              </w:rPr>
              <w:t xml:space="preserve">for </w:t>
            </w:r>
            <w:r w:rsidRPr="0022368B">
              <w:rPr>
                <w:rFonts w:cs="Arial"/>
                <w:sz w:val="20"/>
                <w:szCs w:val="20"/>
              </w:rPr>
              <w:t>patients with M1c disease or</w:t>
            </w:r>
            <w:r w:rsidR="00812614">
              <w:rPr>
                <w:rFonts w:cs="Arial"/>
                <w:sz w:val="20"/>
                <w:szCs w:val="20"/>
              </w:rPr>
              <w:t xml:space="preserve"> </w:t>
            </w:r>
            <w:r w:rsidRPr="0022368B">
              <w:rPr>
                <w:rFonts w:cs="Arial"/>
                <w:sz w:val="20"/>
                <w:szCs w:val="20"/>
              </w:rPr>
              <w:t>elevated lactic dehydrogenase (LDH).</w:t>
            </w:r>
          </w:p>
          <w:p w:rsidR="00586881" w:rsidRDefault="00586881" w:rsidP="00586881">
            <w:pPr>
              <w:autoSpaceDE w:val="0"/>
              <w:autoSpaceDN w:val="0"/>
              <w:adjustRightInd w:val="0"/>
              <w:rPr>
                <w:rFonts w:cs="Arial"/>
                <w:sz w:val="20"/>
                <w:szCs w:val="20"/>
              </w:rPr>
            </w:pPr>
          </w:p>
          <w:p w:rsidR="00210ADF" w:rsidRDefault="00210ADF" w:rsidP="00586881">
            <w:pPr>
              <w:autoSpaceDE w:val="0"/>
              <w:autoSpaceDN w:val="0"/>
              <w:adjustRightInd w:val="0"/>
              <w:rPr>
                <w:rFonts w:cs="Arial"/>
                <w:sz w:val="20"/>
                <w:szCs w:val="20"/>
              </w:rPr>
            </w:pPr>
            <w:r>
              <w:rPr>
                <w:rFonts w:cs="Arial"/>
                <w:sz w:val="20"/>
                <w:szCs w:val="20"/>
              </w:rPr>
              <w:t>Compared to the TGA indication, additional requirements fo</w:t>
            </w:r>
            <w:r w:rsidR="000405EF">
              <w:rPr>
                <w:rFonts w:cs="Arial"/>
                <w:sz w:val="20"/>
                <w:szCs w:val="20"/>
              </w:rPr>
              <w:t>r</w:t>
            </w:r>
            <w:r>
              <w:rPr>
                <w:rFonts w:cs="Arial"/>
                <w:sz w:val="20"/>
                <w:szCs w:val="20"/>
              </w:rPr>
              <w:t xml:space="preserve"> the PBS restrictions include:</w:t>
            </w:r>
          </w:p>
          <w:p w:rsidR="00210ADF" w:rsidRPr="00210ADF" w:rsidRDefault="00210ADF" w:rsidP="00210ADF">
            <w:pPr>
              <w:pStyle w:val="ListParagraph"/>
              <w:numPr>
                <w:ilvl w:val="0"/>
                <w:numId w:val="19"/>
              </w:numPr>
              <w:autoSpaceDE w:val="0"/>
              <w:autoSpaceDN w:val="0"/>
              <w:adjustRightInd w:val="0"/>
              <w:rPr>
                <w:rFonts w:cs="Arial"/>
                <w:sz w:val="20"/>
                <w:szCs w:val="20"/>
              </w:rPr>
            </w:pPr>
            <w:r w:rsidRPr="00210ADF">
              <w:rPr>
                <w:rFonts w:cs="Arial"/>
                <w:sz w:val="20"/>
                <w:szCs w:val="20"/>
              </w:rPr>
              <w:t>nivolumab cannot be used in combination with PBS subsidised ipilimumab; and</w:t>
            </w:r>
          </w:p>
          <w:p w:rsidR="00210ADF" w:rsidRPr="00210ADF" w:rsidRDefault="00210ADF" w:rsidP="00210ADF">
            <w:pPr>
              <w:pStyle w:val="ListParagraph"/>
              <w:numPr>
                <w:ilvl w:val="0"/>
                <w:numId w:val="19"/>
              </w:numPr>
              <w:autoSpaceDE w:val="0"/>
              <w:autoSpaceDN w:val="0"/>
              <w:adjustRightInd w:val="0"/>
              <w:rPr>
                <w:rFonts w:cs="Arial"/>
                <w:sz w:val="20"/>
                <w:szCs w:val="20"/>
              </w:rPr>
            </w:pPr>
            <w:r w:rsidRPr="00210ADF">
              <w:rPr>
                <w:rFonts w:cs="Arial"/>
                <w:sz w:val="20"/>
                <w:szCs w:val="20"/>
              </w:rPr>
              <w:t>for patients who are BRAF V600 mutation positive, nivolumab must be used after prior therapy with a BRAF inhibitor unless not tolerated or contraindicated.</w:t>
            </w:r>
          </w:p>
          <w:p w:rsidR="00210ADF" w:rsidRPr="002975D6" w:rsidRDefault="00210ADF" w:rsidP="00586881">
            <w:pPr>
              <w:autoSpaceDE w:val="0"/>
              <w:autoSpaceDN w:val="0"/>
              <w:adjustRightInd w:val="0"/>
              <w:rPr>
                <w:rFonts w:cs="Arial"/>
                <w:sz w:val="20"/>
                <w:szCs w:val="20"/>
              </w:rPr>
            </w:pPr>
          </w:p>
          <w:p w:rsidR="00586881" w:rsidRDefault="00606549" w:rsidP="00DD413F">
            <w:pPr>
              <w:autoSpaceDE w:val="0"/>
              <w:autoSpaceDN w:val="0"/>
              <w:adjustRightInd w:val="0"/>
              <w:rPr>
                <w:sz w:val="20"/>
                <w:szCs w:val="20"/>
              </w:rPr>
            </w:pPr>
            <w:r>
              <w:rPr>
                <w:sz w:val="20"/>
                <w:szCs w:val="20"/>
              </w:rPr>
              <w:t>Nivolumab is also indicated for:</w:t>
            </w:r>
          </w:p>
          <w:p w:rsidR="00D73D29" w:rsidRPr="00D73D29" w:rsidRDefault="00D73D29" w:rsidP="00D73D29">
            <w:pPr>
              <w:pStyle w:val="ListParagraph"/>
              <w:numPr>
                <w:ilvl w:val="0"/>
                <w:numId w:val="12"/>
              </w:numPr>
              <w:autoSpaceDE w:val="0"/>
              <w:autoSpaceDN w:val="0"/>
              <w:adjustRightInd w:val="0"/>
              <w:rPr>
                <w:rFonts w:cs="Arial"/>
                <w:sz w:val="20"/>
                <w:szCs w:val="20"/>
              </w:rPr>
            </w:pPr>
            <w:r w:rsidRPr="00D73D29">
              <w:rPr>
                <w:rFonts w:cs="Arial"/>
                <w:sz w:val="20"/>
                <w:szCs w:val="20"/>
              </w:rPr>
              <w:t>locally advanced or metastatic squamous or non-squamous non-small cell lung cancer (NSCLC)</w:t>
            </w:r>
            <w:r>
              <w:rPr>
                <w:rFonts w:cs="Arial"/>
                <w:sz w:val="20"/>
                <w:szCs w:val="20"/>
              </w:rPr>
              <w:t>;</w:t>
            </w:r>
          </w:p>
          <w:p w:rsidR="00D73D29" w:rsidRPr="00D73D29" w:rsidRDefault="00D73D29" w:rsidP="00D73D29">
            <w:pPr>
              <w:pStyle w:val="ListParagraph"/>
              <w:numPr>
                <w:ilvl w:val="0"/>
                <w:numId w:val="12"/>
              </w:numPr>
              <w:autoSpaceDE w:val="0"/>
              <w:autoSpaceDN w:val="0"/>
              <w:adjustRightInd w:val="0"/>
              <w:rPr>
                <w:rFonts w:cs="Arial"/>
                <w:sz w:val="20"/>
                <w:szCs w:val="20"/>
              </w:rPr>
            </w:pPr>
            <w:r w:rsidRPr="00D73D29">
              <w:rPr>
                <w:rFonts w:cs="Arial"/>
                <w:sz w:val="20"/>
                <w:szCs w:val="20"/>
              </w:rPr>
              <w:t>advanced clear cell renal cell carcinoma</w:t>
            </w:r>
            <w:r>
              <w:rPr>
                <w:rFonts w:cs="Arial"/>
                <w:sz w:val="20"/>
                <w:szCs w:val="20"/>
              </w:rPr>
              <w:t>;</w:t>
            </w:r>
          </w:p>
          <w:p w:rsidR="00D73D29" w:rsidRPr="00D73D29" w:rsidRDefault="00D73D29" w:rsidP="00D73D29">
            <w:pPr>
              <w:pStyle w:val="ListParagraph"/>
              <w:numPr>
                <w:ilvl w:val="0"/>
                <w:numId w:val="12"/>
              </w:numPr>
              <w:autoSpaceDE w:val="0"/>
              <w:autoSpaceDN w:val="0"/>
              <w:adjustRightInd w:val="0"/>
              <w:rPr>
                <w:rFonts w:cs="Arial"/>
                <w:sz w:val="20"/>
                <w:szCs w:val="20"/>
              </w:rPr>
            </w:pPr>
            <w:r w:rsidRPr="00D73D29">
              <w:rPr>
                <w:rFonts w:cs="Arial"/>
                <w:sz w:val="20"/>
                <w:szCs w:val="20"/>
              </w:rPr>
              <w:t>relapsed or refractory classical Hodgkin lymphoma (cHL)</w:t>
            </w:r>
            <w:r>
              <w:rPr>
                <w:rFonts w:cs="Arial"/>
                <w:sz w:val="20"/>
                <w:szCs w:val="20"/>
              </w:rPr>
              <w:t>;</w:t>
            </w:r>
          </w:p>
          <w:p w:rsidR="00D73D29" w:rsidRPr="00D73D29" w:rsidRDefault="00D73D29" w:rsidP="00D73D29">
            <w:pPr>
              <w:pStyle w:val="ListParagraph"/>
              <w:numPr>
                <w:ilvl w:val="0"/>
                <w:numId w:val="12"/>
              </w:numPr>
              <w:autoSpaceDE w:val="0"/>
              <w:autoSpaceDN w:val="0"/>
              <w:adjustRightInd w:val="0"/>
              <w:rPr>
                <w:rFonts w:cs="Arial"/>
                <w:sz w:val="20"/>
                <w:szCs w:val="20"/>
              </w:rPr>
            </w:pPr>
            <w:r w:rsidRPr="00D73D29">
              <w:rPr>
                <w:rFonts w:cs="Arial"/>
                <w:sz w:val="20"/>
                <w:szCs w:val="20"/>
              </w:rPr>
              <w:t>recurrent or metastatic squamous cell cancer of the head and neck</w:t>
            </w:r>
            <w:r>
              <w:rPr>
                <w:rFonts w:cs="Arial"/>
                <w:sz w:val="20"/>
                <w:szCs w:val="20"/>
              </w:rPr>
              <w:t>; and</w:t>
            </w:r>
          </w:p>
          <w:p w:rsidR="00606549" w:rsidRPr="00D73D29" w:rsidRDefault="00D73D29" w:rsidP="00D73D29">
            <w:pPr>
              <w:pStyle w:val="ListParagraph"/>
              <w:numPr>
                <w:ilvl w:val="0"/>
                <w:numId w:val="12"/>
              </w:numPr>
              <w:autoSpaceDE w:val="0"/>
              <w:autoSpaceDN w:val="0"/>
              <w:adjustRightInd w:val="0"/>
              <w:rPr>
                <w:rFonts w:cs="Arial"/>
                <w:sz w:val="20"/>
                <w:szCs w:val="20"/>
              </w:rPr>
            </w:pPr>
            <w:r w:rsidRPr="00D73D29">
              <w:rPr>
                <w:rFonts w:cs="Arial"/>
                <w:sz w:val="20"/>
                <w:szCs w:val="20"/>
              </w:rPr>
              <w:t>locally advanced unresectable or metastatic urothelial carcinoma</w:t>
            </w:r>
          </w:p>
        </w:tc>
      </w:tr>
      <w:tr w:rsidR="001C34F2" w:rsidRPr="00A35800" w:rsidTr="00914E74">
        <w:tc>
          <w:tcPr>
            <w:tcW w:w="1526" w:type="dxa"/>
          </w:tcPr>
          <w:p w:rsidR="001C34F2" w:rsidRPr="00A35800" w:rsidRDefault="001C34F2" w:rsidP="001E1D8C">
            <w:pPr>
              <w:pStyle w:val="Tablewriting"/>
            </w:pPr>
            <w:r w:rsidRPr="000643AE">
              <w:t>Pembrolizumab</w:t>
            </w:r>
            <w:r>
              <w:t xml:space="preserve"> </w:t>
            </w:r>
          </w:p>
        </w:tc>
        <w:tc>
          <w:tcPr>
            <w:tcW w:w="1701" w:type="dxa"/>
          </w:tcPr>
          <w:p w:rsidR="001C34F2" w:rsidRPr="0046319F" w:rsidRDefault="007F46E8" w:rsidP="00DD413F">
            <w:pPr>
              <w:autoSpaceDE w:val="0"/>
              <w:autoSpaceDN w:val="0"/>
              <w:adjustRightInd w:val="0"/>
              <w:rPr>
                <w:rFonts w:cs="Calibri"/>
                <w:color w:val="000000"/>
                <w:sz w:val="20"/>
                <w:szCs w:val="20"/>
              </w:rPr>
            </w:pPr>
            <w:r w:rsidRPr="0046319F">
              <w:rPr>
                <w:rFonts w:cs="Calibri"/>
                <w:color w:val="000000"/>
                <w:sz w:val="20"/>
                <w:szCs w:val="20"/>
              </w:rPr>
              <w:t>8 March 2016</w:t>
            </w:r>
          </w:p>
        </w:tc>
        <w:tc>
          <w:tcPr>
            <w:tcW w:w="5812" w:type="dxa"/>
          </w:tcPr>
          <w:p w:rsidR="001C34F2" w:rsidRDefault="007F46E8" w:rsidP="00DD413F">
            <w:pPr>
              <w:autoSpaceDE w:val="0"/>
              <w:autoSpaceDN w:val="0"/>
              <w:adjustRightInd w:val="0"/>
              <w:rPr>
                <w:rFonts w:cs="Calibri"/>
                <w:color w:val="000000"/>
                <w:sz w:val="20"/>
                <w:szCs w:val="20"/>
              </w:rPr>
            </w:pPr>
            <w:r w:rsidRPr="007F46E8">
              <w:rPr>
                <w:rFonts w:cs="Calibri"/>
                <w:color w:val="000000"/>
                <w:sz w:val="20"/>
                <w:szCs w:val="20"/>
              </w:rPr>
              <w:t>For use as monotherapy for the treatment of unresectable or</w:t>
            </w:r>
            <w:r>
              <w:rPr>
                <w:rFonts w:cs="Calibri"/>
                <w:color w:val="000000"/>
                <w:sz w:val="20"/>
                <w:szCs w:val="20"/>
              </w:rPr>
              <w:t xml:space="preserve"> metastatic melanoma in adults.</w:t>
            </w:r>
          </w:p>
          <w:p w:rsidR="00F16EDC" w:rsidRDefault="00F16EDC" w:rsidP="00DD413F">
            <w:pPr>
              <w:autoSpaceDE w:val="0"/>
              <w:autoSpaceDN w:val="0"/>
              <w:adjustRightInd w:val="0"/>
              <w:rPr>
                <w:rFonts w:cs="Calibri"/>
                <w:color w:val="000000"/>
                <w:sz w:val="20"/>
                <w:szCs w:val="20"/>
              </w:rPr>
            </w:pPr>
          </w:p>
          <w:p w:rsidR="00F16EDC" w:rsidRDefault="00E15179" w:rsidP="00DD413F">
            <w:pPr>
              <w:autoSpaceDE w:val="0"/>
              <w:autoSpaceDN w:val="0"/>
              <w:adjustRightInd w:val="0"/>
              <w:rPr>
                <w:rFonts w:cs="Calibri"/>
                <w:color w:val="000000"/>
                <w:sz w:val="20"/>
                <w:szCs w:val="20"/>
              </w:rPr>
            </w:pPr>
            <w:r>
              <w:rPr>
                <w:rFonts w:cs="Calibri"/>
                <w:color w:val="000000"/>
                <w:sz w:val="20"/>
                <w:szCs w:val="20"/>
              </w:rPr>
              <w:t>Under the PBS restriction, a further criteria to the TGA indication is that patients who are BRAF V600 mutation positive must have prior therapy with a BRAF inhibitor unless not tolerated or contraindicated.</w:t>
            </w:r>
          </w:p>
          <w:p w:rsidR="007F46E8" w:rsidRDefault="007F46E8" w:rsidP="00DD413F">
            <w:pPr>
              <w:autoSpaceDE w:val="0"/>
              <w:autoSpaceDN w:val="0"/>
              <w:adjustRightInd w:val="0"/>
              <w:rPr>
                <w:rFonts w:cs="Calibri"/>
                <w:color w:val="000000"/>
                <w:sz w:val="20"/>
                <w:szCs w:val="20"/>
              </w:rPr>
            </w:pPr>
          </w:p>
          <w:p w:rsidR="007F46E8" w:rsidRDefault="0000365B" w:rsidP="00DD413F">
            <w:pPr>
              <w:autoSpaceDE w:val="0"/>
              <w:autoSpaceDN w:val="0"/>
              <w:adjustRightInd w:val="0"/>
              <w:rPr>
                <w:rFonts w:cs="Calibri"/>
                <w:color w:val="000000"/>
                <w:sz w:val="20"/>
                <w:szCs w:val="20"/>
              </w:rPr>
            </w:pPr>
            <w:r>
              <w:rPr>
                <w:rFonts w:cs="Calibri"/>
                <w:color w:val="000000"/>
                <w:sz w:val="20"/>
                <w:szCs w:val="20"/>
              </w:rPr>
              <w:t>Pembrolizumab is also</w:t>
            </w:r>
            <w:r w:rsidR="007F46E8">
              <w:rPr>
                <w:rFonts w:cs="Calibri"/>
                <w:color w:val="000000"/>
                <w:sz w:val="20"/>
                <w:szCs w:val="20"/>
              </w:rPr>
              <w:t xml:space="preserve"> registered </w:t>
            </w:r>
            <w:r>
              <w:rPr>
                <w:rFonts w:cs="Calibri"/>
                <w:color w:val="000000"/>
                <w:sz w:val="20"/>
                <w:szCs w:val="20"/>
              </w:rPr>
              <w:t xml:space="preserve">for the following </w:t>
            </w:r>
            <w:r w:rsidR="007F46E8">
              <w:rPr>
                <w:rFonts w:cs="Calibri"/>
                <w:color w:val="000000"/>
                <w:sz w:val="20"/>
                <w:szCs w:val="20"/>
              </w:rPr>
              <w:t>indications:</w:t>
            </w:r>
          </w:p>
          <w:p w:rsidR="007F46E8" w:rsidRPr="00CA0339" w:rsidRDefault="0000365B" w:rsidP="00CA0339">
            <w:pPr>
              <w:pStyle w:val="ListParagraph"/>
              <w:numPr>
                <w:ilvl w:val="0"/>
                <w:numId w:val="1"/>
              </w:numPr>
              <w:autoSpaceDE w:val="0"/>
              <w:autoSpaceDN w:val="0"/>
              <w:adjustRightInd w:val="0"/>
              <w:rPr>
                <w:rFonts w:cs="Calibri"/>
                <w:color w:val="000000"/>
                <w:sz w:val="20"/>
                <w:szCs w:val="20"/>
              </w:rPr>
            </w:pPr>
            <w:r w:rsidRPr="00CA0339">
              <w:rPr>
                <w:rFonts w:cs="Calibri"/>
                <w:color w:val="000000"/>
                <w:sz w:val="20"/>
                <w:szCs w:val="20"/>
              </w:rPr>
              <w:t>first-line treatment of patients with metastatic non-small cell lung carcinoma</w:t>
            </w:r>
            <w:r w:rsidR="00CA0339">
              <w:rPr>
                <w:rFonts w:cs="Calibri"/>
                <w:color w:val="000000"/>
                <w:sz w:val="20"/>
                <w:szCs w:val="20"/>
              </w:rPr>
              <w:t>;</w:t>
            </w:r>
          </w:p>
          <w:p w:rsidR="0000365B" w:rsidRPr="00CA0339" w:rsidRDefault="0000365B" w:rsidP="00CA0339">
            <w:pPr>
              <w:pStyle w:val="ListParagraph"/>
              <w:numPr>
                <w:ilvl w:val="0"/>
                <w:numId w:val="1"/>
              </w:numPr>
              <w:autoSpaceDE w:val="0"/>
              <w:autoSpaceDN w:val="0"/>
              <w:adjustRightInd w:val="0"/>
              <w:rPr>
                <w:rFonts w:cs="Calibri"/>
                <w:color w:val="000000"/>
                <w:sz w:val="20"/>
                <w:szCs w:val="20"/>
              </w:rPr>
            </w:pPr>
            <w:r w:rsidRPr="00CA0339">
              <w:rPr>
                <w:rFonts w:cs="Calibri"/>
                <w:color w:val="000000"/>
                <w:sz w:val="20"/>
                <w:szCs w:val="20"/>
              </w:rPr>
              <w:t>recurrent or metastatic head and neck</w:t>
            </w:r>
            <w:r w:rsidR="00CA0339">
              <w:rPr>
                <w:rFonts w:cs="Calibri"/>
                <w:color w:val="000000"/>
                <w:sz w:val="20"/>
                <w:szCs w:val="20"/>
              </w:rPr>
              <w:t>;</w:t>
            </w:r>
          </w:p>
          <w:p w:rsidR="00970CAA" w:rsidRPr="00CA0339" w:rsidRDefault="00970CAA" w:rsidP="00CA0339">
            <w:pPr>
              <w:pStyle w:val="ListParagraph"/>
              <w:numPr>
                <w:ilvl w:val="0"/>
                <w:numId w:val="1"/>
              </w:numPr>
              <w:autoSpaceDE w:val="0"/>
              <w:autoSpaceDN w:val="0"/>
              <w:adjustRightInd w:val="0"/>
              <w:rPr>
                <w:rFonts w:cs="Calibri"/>
                <w:color w:val="000000"/>
                <w:sz w:val="20"/>
                <w:szCs w:val="20"/>
              </w:rPr>
            </w:pPr>
            <w:r w:rsidRPr="00CA0339">
              <w:rPr>
                <w:rFonts w:cs="Calibri"/>
                <w:color w:val="000000"/>
                <w:sz w:val="20"/>
                <w:szCs w:val="20"/>
              </w:rPr>
              <w:t>relapsed or refractory classical Hodgkin Lymphoma</w:t>
            </w:r>
            <w:r w:rsidR="00CA0339">
              <w:rPr>
                <w:rFonts w:cs="Calibri"/>
                <w:color w:val="000000"/>
                <w:sz w:val="20"/>
                <w:szCs w:val="20"/>
              </w:rPr>
              <w:t>; and</w:t>
            </w:r>
          </w:p>
          <w:p w:rsidR="00CA0339" w:rsidRPr="00CA0339" w:rsidRDefault="00CA0339" w:rsidP="00CA0339">
            <w:pPr>
              <w:pStyle w:val="ListParagraph"/>
              <w:numPr>
                <w:ilvl w:val="0"/>
                <w:numId w:val="1"/>
              </w:numPr>
              <w:autoSpaceDE w:val="0"/>
              <w:autoSpaceDN w:val="0"/>
              <w:adjustRightInd w:val="0"/>
              <w:rPr>
                <w:sz w:val="20"/>
                <w:szCs w:val="20"/>
              </w:rPr>
            </w:pPr>
            <w:r w:rsidRPr="00CA0339">
              <w:rPr>
                <w:rFonts w:cs="Calibri"/>
                <w:color w:val="000000"/>
                <w:sz w:val="20"/>
                <w:szCs w:val="20"/>
              </w:rPr>
              <w:t>locally advanced or metastatic urothelial carcinoma</w:t>
            </w:r>
          </w:p>
        </w:tc>
      </w:tr>
      <w:tr w:rsidR="001C34F2" w:rsidRPr="00A35800" w:rsidTr="00914E74">
        <w:tc>
          <w:tcPr>
            <w:tcW w:w="1526" w:type="dxa"/>
          </w:tcPr>
          <w:p w:rsidR="001C34F2" w:rsidRPr="00566F44" w:rsidRDefault="001C34F2" w:rsidP="001E1D8C">
            <w:pPr>
              <w:rPr>
                <w:sz w:val="20"/>
                <w:szCs w:val="20"/>
              </w:rPr>
            </w:pPr>
            <w:r w:rsidRPr="008272E1">
              <w:rPr>
                <w:sz w:val="20"/>
                <w:szCs w:val="20"/>
              </w:rPr>
              <w:t>Trametinib</w:t>
            </w:r>
          </w:p>
        </w:tc>
        <w:tc>
          <w:tcPr>
            <w:tcW w:w="1701" w:type="dxa"/>
          </w:tcPr>
          <w:p w:rsidR="001C34F2" w:rsidRPr="00A35800" w:rsidRDefault="0099168D" w:rsidP="00DD413F">
            <w:pPr>
              <w:pStyle w:val="Tablewriting"/>
            </w:pPr>
            <w:r>
              <w:t>14 February 2014</w:t>
            </w:r>
          </w:p>
        </w:tc>
        <w:tc>
          <w:tcPr>
            <w:tcW w:w="5812" w:type="dxa"/>
          </w:tcPr>
          <w:p w:rsidR="001C34F2" w:rsidRDefault="0099168D" w:rsidP="0099168D">
            <w:pPr>
              <w:pStyle w:val="Tablewriting"/>
            </w:pPr>
            <w:r>
              <w:t>In combination with dabrafenib for the treatment of patients with BRAFV600 mutation positive unresectable Stage III or metastatic (Stage IV) melanoma.</w:t>
            </w:r>
          </w:p>
          <w:p w:rsidR="0099168D" w:rsidRPr="00A35800" w:rsidRDefault="005903B2" w:rsidP="005903B2">
            <w:pPr>
              <w:pStyle w:val="Tablewriting"/>
            </w:pPr>
            <w:r>
              <w:t>As a monotherapy for the treatment of patients with BRAFV600 mutation positive unresectable Stage III or metastatic (Stage IV) melanoma and in whom either there is intolerance to BRAF inhibitors or BRAF inhibitors cannot be used.</w:t>
            </w:r>
          </w:p>
        </w:tc>
      </w:tr>
      <w:tr w:rsidR="001C34F2" w:rsidRPr="00A35800" w:rsidTr="00914E74">
        <w:tc>
          <w:tcPr>
            <w:tcW w:w="1526" w:type="dxa"/>
          </w:tcPr>
          <w:p w:rsidR="001C34F2" w:rsidRPr="00A35800" w:rsidRDefault="001C34F2" w:rsidP="001E1D8C">
            <w:pPr>
              <w:pStyle w:val="Tablewriting"/>
            </w:pPr>
            <w:r>
              <w:lastRenderedPageBreak/>
              <w:t>Vemurafenib</w:t>
            </w:r>
          </w:p>
        </w:tc>
        <w:tc>
          <w:tcPr>
            <w:tcW w:w="1701" w:type="dxa"/>
          </w:tcPr>
          <w:p w:rsidR="001C34F2" w:rsidRPr="00A35800" w:rsidRDefault="00547211" w:rsidP="00DD413F">
            <w:pPr>
              <w:pStyle w:val="Tablewriting"/>
            </w:pPr>
            <w:r>
              <w:t>10 May 2012</w:t>
            </w:r>
          </w:p>
        </w:tc>
        <w:tc>
          <w:tcPr>
            <w:tcW w:w="5812" w:type="dxa"/>
          </w:tcPr>
          <w:p w:rsidR="001C34F2" w:rsidRPr="00A35800" w:rsidRDefault="006253B5" w:rsidP="00DD413F">
            <w:pPr>
              <w:pStyle w:val="Tablewriting"/>
            </w:pPr>
            <w:r>
              <w:t>For the treatment of unresectable stage IIIC or stage IV metastatic melanoma positive for a BRAF V600 mutation.</w:t>
            </w:r>
          </w:p>
        </w:tc>
      </w:tr>
    </w:tbl>
    <w:p w:rsidR="0018206C" w:rsidRPr="0055395D" w:rsidRDefault="0055395D" w:rsidP="00A35800">
      <w:pPr>
        <w:rPr>
          <w:sz w:val="20"/>
          <w:szCs w:val="20"/>
        </w:rPr>
      </w:pPr>
      <w:r w:rsidRPr="0055395D">
        <w:rPr>
          <w:sz w:val="20"/>
          <w:szCs w:val="20"/>
        </w:rPr>
        <w:t xml:space="preserve">Source: </w:t>
      </w:r>
      <w:hyperlink r:id="rId9" w:history="1">
        <w:r w:rsidRPr="0055395D">
          <w:rPr>
            <w:rStyle w:val="Hyperlink"/>
            <w:sz w:val="20"/>
            <w:szCs w:val="20"/>
          </w:rPr>
          <w:t>Australian Register of Therapeutic Goods</w:t>
        </w:r>
      </w:hyperlink>
      <w:r w:rsidRPr="0055395D">
        <w:rPr>
          <w:sz w:val="20"/>
          <w:szCs w:val="20"/>
        </w:rPr>
        <w:t>, accessed in March 2018.</w:t>
      </w:r>
    </w:p>
    <w:p w:rsidR="006B709B" w:rsidRDefault="006B709B" w:rsidP="00CF5E22">
      <w:pPr>
        <w:pStyle w:val="Heading2"/>
      </w:pPr>
      <w:r>
        <w:t>Dosage and administration</w:t>
      </w:r>
    </w:p>
    <w:p w:rsidR="0088155B" w:rsidRPr="0088155B" w:rsidRDefault="0088155B" w:rsidP="0088155B">
      <w:pPr>
        <w:rPr>
          <w:b/>
          <w:highlight w:val="yellow"/>
        </w:rPr>
      </w:pPr>
      <w:r>
        <w:t xml:space="preserve">The recommended doses and methods of administration for the </w:t>
      </w:r>
      <w:r w:rsidR="00D75855">
        <w:t>medicines</w:t>
      </w:r>
      <w:r>
        <w:t xml:space="preserve"> included in the </w:t>
      </w:r>
      <w:r w:rsidR="005C5FDA">
        <w:t>review are summarised in Table 2</w:t>
      </w:r>
      <w:r>
        <w:t>.</w:t>
      </w:r>
    </w:p>
    <w:p w:rsidR="003370D0" w:rsidRPr="0088155B" w:rsidRDefault="005C5FDA" w:rsidP="00CF5E22">
      <w:pPr>
        <w:pStyle w:val="Tabletitle"/>
      </w:pPr>
      <w:r>
        <w:t>Table 2</w:t>
      </w:r>
      <w:r w:rsidR="003370D0" w:rsidRPr="0088155B">
        <w:t xml:space="preserve">: </w:t>
      </w:r>
      <w:r w:rsidR="0088155B" w:rsidRPr="0088155B">
        <w:t xml:space="preserve">Dosage and administration </w:t>
      </w:r>
      <w:r w:rsidR="002A516F">
        <w:t>summary</w:t>
      </w:r>
    </w:p>
    <w:tbl>
      <w:tblPr>
        <w:tblStyle w:val="TableGrid"/>
        <w:tblW w:w="9039" w:type="dxa"/>
        <w:tblLook w:val="04A0" w:firstRow="1" w:lastRow="0" w:firstColumn="1" w:lastColumn="0" w:noHBand="0" w:noVBand="1"/>
        <w:tblCaption w:val="Table 2"/>
        <w:tblDescription w:val="Product information summary for melanoma medicines."/>
      </w:tblPr>
      <w:tblGrid>
        <w:gridCol w:w="2376"/>
        <w:gridCol w:w="6663"/>
      </w:tblGrid>
      <w:tr w:rsidR="004534DC" w:rsidRPr="00A35800" w:rsidTr="00B4755C">
        <w:trPr>
          <w:tblHeader/>
        </w:trPr>
        <w:tc>
          <w:tcPr>
            <w:tcW w:w="2376" w:type="dxa"/>
            <w:shd w:val="clear" w:color="auto" w:fill="F2F2F2" w:themeFill="background1" w:themeFillShade="F2"/>
          </w:tcPr>
          <w:p w:rsidR="004534DC" w:rsidRPr="00A35800" w:rsidRDefault="004534DC" w:rsidP="00566F44">
            <w:pPr>
              <w:pStyle w:val="Tableheading"/>
              <w:jc w:val="left"/>
              <w:rPr>
                <w:sz w:val="20"/>
                <w:szCs w:val="20"/>
              </w:rPr>
            </w:pPr>
            <w:r>
              <w:rPr>
                <w:sz w:val="20"/>
                <w:szCs w:val="20"/>
              </w:rPr>
              <w:t>Drug name, b</w:t>
            </w:r>
            <w:r w:rsidRPr="00A35800">
              <w:rPr>
                <w:sz w:val="20"/>
                <w:szCs w:val="20"/>
              </w:rPr>
              <w:t>rand name and sponsor</w:t>
            </w:r>
          </w:p>
        </w:tc>
        <w:tc>
          <w:tcPr>
            <w:tcW w:w="6663" w:type="dxa"/>
            <w:shd w:val="clear" w:color="auto" w:fill="F2F2F2" w:themeFill="background1" w:themeFillShade="F2"/>
          </w:tcPr>
          <w:p w:rsidR="004534DC" w:rsidRPr="00A35800" w:rsidRDefault="004534DC" w:rsidP="00566F44">
            <w:pPr>
              <w:pStyle w:val="Tableheading"/>
              <w:jc w:val="left"/>
              <w:rPr>
                <w:sz w:val="20"/>
                <w:szCs w:val="20"/>
              </w:rPr>
            </w:pPr>
            <w:r w:rsidRPr="00A35800">
              <w:rPr>
                <w:sz w:val="20"/>
                <w:szCs w:val="20"/>
              </w:rPr>
              <w:t xml:space="preserve">Dose and frequency of administration </w:t>
            </w:r>
          </w:p>
        </w:tc>
      </w:tr>
      <w:tr w:rsidR="00566F44" w:rsidRPr="00A35800" w:rsidTr="00B4755C">
        <w:tc>
          <w:tcPr>
            <w:tcW w:w="2376" w:type="dxa"/>
          </w:tcPr>
          <w:p w:rsidR="00566F44" w:rsidRPr="00566F44" w:rsidRDefault="00566F44" w:rsidP="00566F44">
            <w:pPr>
              <w:rPr>
                <w:sz w:val="20"/>
                <w:szCs w:val="20"/>
              </w:rPr>
            </w:pPr>
            <w:r>
              <w:rPr>
                <w:sz w:val="20"/>
                <w:szCs w:val="20"/>
              </w:rPr>
              <w:t>Cobimetinib</w:t>
            </w:r>
            <w:r w:rsidR="00B14D4C">
              <w:rPr>
                <w:sz w:val="20"/>
                <w:szCs w:val="20"/>
              </w:rPr>
              <w:t xml:space="preserve"> (Cotellic), Roche Products Pty Ltd</w:t>
            </w:r>
          </w:p>
        </w:tc>
        <w:tc>
          <w:tcPr>
            <w:tcW w:w="6663" w:type="dxa"/>
          </w:tcPr>
          <w:p w:rsidR="005406F7" w:rsidRDefault="005406F7" w:rsidP="00150A98">
            <w:pPr>
              <w:autoSpaceDE w:val="0"/>
              <w:autoSpaceDN w:val="0"/>
              <w:adjustRightInd w:val="0"/>
              <w:rPr>
                <w:sz w:val="20"/>
                <w:szCs w:val="20"/>
              </w:rPr>
            </w:pPr>
            <w:r w:rsidRPr="0013628F">
              <w:rPr>
                <w:sz w:val="20"/>
                <w:szCs w:val="20"/>
              </w:rPr>
              <w:t xml:space="preserve">The standard dosage </w:t>
            </w:r>
            <w:r w:rsidR="00150A98">
              <w:rPr>
                <w:sz w:val="20"/>
                <w:szCs w:val="20"/>
              </w:rPr>
              <w:t xml:space="preserve">when used as monotherapy or in combination with vemurafenib </w:t>
            </w:r>
            <w:r w:rsidRPr="0013628F">
              <w:rPr>
                <w:sz w:val="20"/>
                <w:szCs w:val="20"/>
              </w:rPr>
              <w:t xml:space="preserve">is 60 mg (three 20 mg tablets) once daily for 21 days, </w:t>
            </w:r>
            <w:r w:rsidR="00150A98">
              <w:rPr>
                <w:sz w:val="20"/>
                <w:szCs w:val="20"/>
              </w:rPr>
              <w:t>followed by a 7 day break, in a</w:t>
            </w:r>
            <w:r w:rsidR="008324C8">
              <w:rPr>
                <w:sz w:val="20"/>
                <w:szCs w:val="20"/>
              </w:rPr>
              <w:t xml:space="preserve"> </w:t>
            </w:r>
            <w:r w:rsidRPr="0013628F">
              <w:rPr>
                <w:sz w:val="20"/>
                <w:szCs w:val="20"/>
              </w:rPr>
              <w:t>28 day cycle.</w:t>
            </w:r>
          </w:p>
          <w:p w:rsidR="00B14D4C" w:rsidRPr="005406F7" w:rsidRDefault="00B14D4C" w:rsidP="005406F7">
            <w:pPr>
              <w:autoSpaceDE w:val="0"/>
              <w:autoSpaceDN w:val="0"/>
              <w:adjustRightInd w:val="0"/>
              <w:rPr>
                <w:sz w:val="20"/>
                <w:szCs w:val="20"/>
              </w:rPr>
            </w:pPr>
          </w:p>
        </w:tc>
      </w:tr>
      <w:tr w:rsidR="00566F44" w:rsidRPr="00A35800" w:rsidTr="00B4755C">
        <w:tc>
          <w:tcPr>
            <w:tcW w:w="2376" w:type="dxa"/>
          </w:tcPr>
          <w:p w:rsidR="00566F44" w:rsidRPr="00566F44" w:rsidRDefault="00566F44" w:rsidP="00566F44">
            <w:pPr>
              <w:rPr>
                <w:sz w:val="20"/>
                <w:szCs w:val="20"/>
              </w:rPr>
            </w:pPr>
            <w:r w:rsidRPr="000643AE">
              <w:rPr>
                <w:sz w:val="20"/>
                <w:szCs w:val="20"/>
              </w:rPr>
              <w:t>Dabrafenib</w:t>
            </w:r>
            <w:r w:rsidR="00485B29">
              <w:rPr>
                <w:sz w:val="20"/>
                <w:szCs w:val="20"/>
              </w:rPr>
              <w:t xml:space="preserve"> (Tafinlar), Novartis Pharmaceuticals Australia Pty Limited</w:t>
            </w:r>
          </w:p>
        </w:tc>
        <w:tc>
          <w:tcPr>
            <w:tcW w:w="6663" w:type="dxa"/>
          </w:tcPr>
          <w:p w:rsidR="00CF5ED0" w:rsidRPr="00CF5ED0" w:rsidRDefault="009A41EE" w:rsidP="009A41EE">
            <w:pPr>
              <w:pStyle w:val="Tablewriting"/>
              <w:rPr>
                <w:rFonts w:cstheme="minorBidi"/>
                <w:color w:val="auto"/>
              </w:rPr>
            </w:pPr>
            <w:r w:rsidRPr="00142648">
              <w:rPr>
                <w:rFonts w:cstheme="minorBidi"/>
                <w:color w:val="auto"/>
              </w:rPr>
              <w:t>The recommended dose when used as monotherapy or in combination with trametinib is 150 mg (two 75 mg capsules) twice daily. This corresponds to a total daily dose of 300 mg.</w:t>
            </w:r>
            <w:r w:rsidR="00CF5ED0">
              <w:rPr>
                <w:rFonts w:cstheme="minorBidi"/>
                <w:color w:val="auto"/>
              </w:rPr>
              <w:t xml:space="preserve"> </w:t>
            </w:r>
          </w:p>
        </w:tc>
      </w:tr>
      <w:tr w:rsidR="00566F44" w:rsidRPr="00A35800" w:rsidTr="00B4755C">
        <w:tc>
          <w:tcPr>
            <w:tcW w:w="2376" w:type="dxa"/>
          </w:tcPr>
          <w:p w:rsidR="00566F44" w:rsidRPr="00566F44" w:rsidRDefault="00566F44" w:rsidP="00566F44">
            <w:pPr>
              <w:rPr>
                <w:sz w:val="20"/>
                <w:szCs w:val="20"/>
              </w:rPr>
            </w:pPr>
            <w:r w:rsidRPr="000643AE">
              <w:rPr>
                <w:sz w:val="20"/>
                <w:szCs w:val="20"/>
              </w:rPr>
              <w:t>Ipilimumab</w:t>
            </w:r>
            <w:r w:rsidR="007C16F0">
              <w:rPr>
                <w:sz w:val="20"/>
                <w:szCs w:val="20"/>
              </w:rPr>
              <w:t xml:space="preserve"> (Yervoy), Bristol-Myers Squibb Australia Pty Ltd</w:t>
            </w:r>
          </w:p>
        </w:tc>
        <w:tc>
          <w:tcPr>
            <w:tcW w:w="6663" w:type="dxa"/>
          </w:tcPr>
          <w:p w:rsidR="00882986" w:rsidRDefault="00A9494C" w:rsidP="00A9494C">
            <w:pPr>
              <w:pStyle w:val="Tablewriting"/>
              <w:rPr>
                <w:rFonts w:cstheme="minorBidi"/>
                <w:color w:val="auto"/>
              </w:rPr>
            </w:pPr>
            <w:r w:rsidRPr="00B267EA">
              <w:rPr>
                <w:rFonts w:cstheme="minorBidi"/>
                <w:color w:val="auto"/>
              </w:rPr>
              <w:t>The recommended dose of ipilimumab is 3mg/kg administered intravenously over 90 minutes every 3 weeks for a total of 4 doses.</w:t>
            </w:r>
          </w:p>
          <w:p w:rsidR="00A9494C" w:rsidRPr="00B267EA" w:rsidRDefault="00882986" w:rsidP="00A9494C">
            <w:pPr>
              <w:pStyle w:val="Tablewriting"/>
              <w:rPr>
                <w:rFonts w:cstheme="minorBidi"/>
                <w:color w:val="auto"/>
              </w:rPr>
            </w:pPr>
            <w:r>
              <w:t>Re-induction with 4 doses may be considered for patients who develop progressive disease after a prior complete response or partial response or after stable disease lasting longer than 3 months from the first tumour assessment.</w:t>
            </w:r>
            <w:r w:rsidR="00A8227D">
              <w:t xml:space="preserve"> The recommended re-induction regimen is 3 mg/kg administered intravenously over a 90-minute period every 3 weeks for a total of 4 doses as tolerated.</w:t>
            </w:r>
          </w:p>
          <w:p w:rsidR="00566F44" w:rsidRPr="00A35800" w:rsidRDefault="00A9494C" w:rsidP="003A726D">
            <w:pPr>
              <w:pStyle w:val="Tablewriting"/>
            </w:pPr>
            <w:r w:rsidRPr="00B267EA">
              <w:rPr>
                <w:rFonts w:cstheme="minorBidi"/>
                <w:color w:val="auto"/>
              </w:rPr>
              <w:t>Management of immune-related adverse reactions may require withholding of a dose. Dose reduction is not recommended.</w:t>
            </w:r>
            <w:r w:rsidR="00B267EA" w:rsidRPr="00B267EA">
              <w:rPr>
                <w:rFonts w:cstheme="minorBidi"/>
                <w:color w:val="auto"/>
              </w:rPr>
              <w:t xml:space="preserve"> If a dose is withheld, ipilimumab </w:t>
            </w:r>
            <w:r w:rsidR="003A726D">
              <w:rPr>
                <w:rFonts w:cstheme="minorBidi"/>
                <w:color w:val="auto"/>
              </w:rPr>
              <w:t>is generally</w:t>
            </w:r>
            <w:r w:rsidR="00B267EA" w:rsidRPr="00B267EA">
              <w:rPr>
                <w:rFonts w:cstheme="minorBidi"/>
                <w:color w:val="auto"/>
              </w:rPr>
              <w:t xml:space="preserve"> resumed at a dose of 3mg/kg every 3 weeks until administration of all 4 planned doses or 16 weeks from the first administration, whichever occurs earlier.</w:t>
            </w:r>
          </w:p>
        </w:tc>
      </w:tr>
      <w:tr w:rsidR="00FC2802" w:rsidRPr="00A35800" w:rsidTr="00B4755C">
        <w:tc>
          <w:tcPr>
            <w:tcW w:w="2376" w:type="dxa"/>
          </w:tcPr>
          <w:p w:rsidR="00FC2802" w:rsidRPr="000643AE" w:rsidRDefault="00FC2802" w:rsidP="00566F44">
            <w:pPr>
              <w:pStyle w:val="Tablewriting"/>
            </w:pPr>
            <w:r>
              <w:t>Nivolumab (Opdivo), Bristol-Myers Squibb Australia Pty Ltd</w:t>
            </w:r>
          </w:p>
        </w:tc>
        <w:tc>
          <w:tcPr>
            <w:tcW w:w="6663" w:type="dxa"/>
          </w:tcPr>
          <w:p w:rsidR="00FC2802" w:rsidRPr="00471EFC" w:rsidRDefault="00973BD2" w:rsidP="00A35800">
            <w:pPr>
              <w:pStyle w:val="Tablewriting"/>
              <w:rPr>
                <w:rFonts w:cstheme="minorBidi"/>
                <w:color w:val="auto"/>
              </w:rPr>
            </w:pPr>
            <w:r>
              <w:rPr>
                <w:rFonts w:cstheme="minorBidi"/>
                <w:color w:val="auto"/>
              </w:rPr>
              <w:t>The recommended dose of nivolumab</w:t>
            </w:r>
            <w:r w:rsidRPr="00973BD2">
              <w:rPr>
                <w:rFonts w:cstheme="minorBidi"/>
                <w:color w:val="auto"/>
              </w:rPr>
              <w:t xml:space="preserve"> as a monotherapy is 3 mg/kg administered intravenously over 60 minutes every 2 weeks.</w:t>
            </w:r>
          </w:p>
        </w:tc>
      </w:tr>
      <w:tr w:rsidR="00566F44" w:rsidRPr="00A35800" w:rsidTr="00B4755C">
        <w:tc>
          <w:tcPr>
            <w:tcW w:w="2376" w:type="dxa"/>
          </w:tcPr>
          <w:p w:rsidR="00566F44" w:rsidRPr="00A35800" w:rsidRDefault="00566F44" w:rsidP="00566F44">
            <w:pPr>
              <w:pStyle w:val="Tablewriting"/>
            </w:pPr>
            <w:r w:rsidRPr="000643AE">
              <w:t>Pembrolizumab</w:t>
            </w:r>
            <w:r w:rsidR="007B30DD">
              <w:t xml:space="preserve"> (Keytruda), Merck Sharp &amp; Dohme (Australia) Pty Ltd</w:t>
            </w:r>
          </w:p>
        </w:tc>
        <w:tc>
          <w:tcPr>
            <w:tcW w:w="6663" w:type="dxa"/>
          </w:tcPr>
          <w:p w:rsidR="00566F44" w:rsidRPr="00471EFC" w:rsidRDefault="00471EFC" w:rsidP="00A35800">
            <w:pPr>
              <w:pStyle w:val="Tablewriting"/>
              <w:rPr>
                <w:rFonts w:cstheme="minorBidi"/>
                <w:color w:val="auto"/>
              </w:rPr>
            </w:pPr>
            <w:r w:rsidRPr="00471EFC">
              <w:rPr>
                <w:rFonts w:cstheme="minorBidi"/>
                <w:color w:val="auto"/>
              </w:rPr>
              <w:t>Pembrolizumab is administered as an intravenous infusion every 3 weeks.</w:t>
            </w:r>
          </w:p>
          <w:p w:rsidR="00471EFC" w:rsidRPr="00471EFC" w:rsidRDefault="00471EFC" w:rsidP="00471EFC">
            <w:pPr>
              <w:autoSpaceDE w:val="0"/>
              <w:autoSpaceDN w:val="0"/>
              <w:adjustRightInd w:val="0"/>
              <w:rPr>
                <w:sz w:val="20"/>
                <w:szCs w:val="20"/>
              </w:rPr>
            </w:pPr>
            <w:r w:rsidRPr="00471EFC">
              <w:rPr>
                <w:sz w:val="20"/>
                <w:szCs w:val="20"/>
              </w:rPr>
              <w:t xml:space="preserve">The recommended dose </w:t>
            </w:r>
            <w:r w:rsidR="007E5AAB">
              <w:rPr>
                <w:sz w:val="20"/>
                <w:szCs w:val="20"/>
              </w:rPr>
              <w:t xml:space="preserve">for melanoma </w:t>
            </w:r>
            <w:r w:rsidRPr="00471EFC">
              <w:rPr>
                <w:sz w:val="20"/>
                <w:szCs w:val="20"/>
              </w:rPr>
              <w:t>is either 2 mg/kg or a fixed dose of 200 mg</w:t>
            </w:r>
            <w:r>
              <w:rPr>
                <w:sz w:val="20"/>
                <w:szCs w:val="20"/>
              </w:rPr>
              <w:t>.</w:t>
            </w:r>
            <w:r w:rsidRPr="00471EFC">
              <w:rPr>
                <w:sz w:val="20"/>
                <w:szCs w:val="20"/>
              </w:rPr>
              <w:t xml:space="preserve"> </w:t>
            </w:r>
          </w:p>
        </w:tc>
      </w:tr>
      <w:tr w:rsidR="00566F44" w:rsidRPr="00A35800" w:rsidTr="00B4755C">
        <w:tc>
          <w:tcPr>
            <w:tcW w:w="2376" w:type="dxa"/>
          </w:tcPr>
          <w:p w:rsidR="00566F44" w:rsidRPr="00566F44" w:rsidRDefault="00566F44" w:rsidP="00566F44">
            <w:pPr>
              <w:rPr>
                <w:sz w:val="20"/>
                <w:szCs w:val="20"/>
              </w:rPr>
            </w:pPr>
            <w:r w:rsidRPr="008272E1">
              <w:rPr>
                <w:sz w:val="20"/>
                <w:szCs w:val="20"/>
              </w:rPr>
              <w:t>Trametinib</w:t>
            </w:r>
            <w:r w:rsidR="00EF2D40">
              <w:rPr>
                <w:sz w:val="20"/>
                <w:szCs w:val="20"/>
              </w:rPr>
              <w:t xml:space="preserve"> (Mekinist), </w:t>
            </w:r>
            <w:r w:rsidR="002F4A75">
              <w:rPr>
                <w:sz w:val="20"/>
                <w:szCs w:val="20"/>
              </w:rPr>
              <w:t>Novartis Pharmaceuticals Australia Pty Limited</w:t>
            </w:r>
          </w:p>
        </w:tc>
        <w:tc>
          <w:tcPr>
            <w:tcW w:w="6663" w:type="dxa"/>
          </w:tcPr>
          <w:p w:rsidR="00566F44" w:rsidRPr="00A35800" w:rsidRDefault="00D77246" w:rsidP="00D77246">
            <w:pPr>
              <w:pStyle w:val="Tablewriting"/>
            </w:pPr>
            <w:r>
              <w:t>The standard dose of trametinib, used as monotherapy or in combination with dabrafenib, is 2 mg given orally once daily.</w:t>
            </w:r>
          </w:p>
        </w:tc>
      </w:tr>
      <w:tr w:rsidR="00566F44" w:rsidRPr="00A35800" w:rsidTr="00B4755C">
        <w:tc>
          <w:tcPr>
            <w:tcW w:w="2376" w:type="dxa"/>
          </w:tcPr>
          <w:p w:rsidR="00566F44" w:rsidRPr="00A35800" w:rsidRDefault="00566F44" w:rsidP="00A35800">
            <w:pPr>
              <w:pStyle w:val="Tablewriting"/>
            </w:pPr>
            <w:r>
              <w:t>Vemurafenib</w:t>
            </w:r>
            <w:r w:rsidR="006F735E">
              <w:t xml:space="preserve"> (Zelboraf), </w:t>
            </w:r>
            <w:r w:rsidR="006F735E" w:rsidRPr="006F735E">
              <w:t>Roche Products Pty Ltd</w:t>
            </w:r>
          </w:p>
        </w:tc>
        <w:tc>
          <w:tcPr>
            <w:tcW w:w="6663" w:type="dxa"/>
          </w:tcPr>
          <w:p w:rsidR="00566F44" w:rsidRPr="00A35800" w:rsidRDefault="00010387" w:rsidP="00010387">
            <w:pPr>
              <w:pStyle w:val="Tablewriting"/>
            </w:pPr>
            <w:r>
              <w:t>The recommended total daily dose of vemurafenib is 1920 mg. This comprises of 960 mg (four 240 mg tablets) given twice daily.</w:t>
            </w:r>
          </w:p>
        </w:tc>
      </w:tr>
    </w:tbl>
    <w:p w:rsidR="00A35800" w:rsidRPr="00A454B7" w:rsidRDefault="003370D0" w:rsidP="00A35800">
      <w:pPr>
        <w:pStyle w:val="Notes"/>
      </w:pPr>
      <w:r w:rsidRPr="00A454B7">
        <w:t>Source:</w:t>
      </w:r>
      <w:r w:rsidR="00A454B7" w:rsidRPr="00A454B7">
        <w:t xml:space="preserve"> Product Information for the PBS listings as at March 2018.</w:t>
      </w:r>
    </w:p>
    <w:p w:rsidR="00F17D4B" w:rsidRPr="002F61CA" w:rsidRDefault="00F17D4B" w:rsidP="00F17D4B">
      <w:r w:rsidRPr="002F61CA">
        <w:lastRenderedPageBreak/>
        <w:t xml:space="preserve">The current Product Information (PI) and Consumer Medicine Information (CMI) are available from </w:t>
      </w:r>
      <w:hyperlink r:id="rId10" w:history="1">
        <w:r>
          <w:rPr>
            <w:rStyle w:val="Hyperlink"/>
          </w:rPr>
          <w:t>the TGA (Product Information)</w:t>
        </w:r>
      </w:hyperlink>
      <w:r>
        <w:t xml:space="preserve"> and </w:t>
      </w:r>
      <w:hyperlink r:id="rId11" w:history="1">
        <w:r>
          <w:rPr>
            <w:rStyle w:val="Hyperlink"/>
          </w:rPr>
          <w:t>the TGA (Consumer Medicines Information)</w:t>
        </w:r>
      </w:hyperlink>
      <w:r>
        <w:t>.</w:t>
      </w:r>
    </w:p>
    <w:p w:rsidR="00DF0B13" w:rsidRPr="007247B9" w:rsidDel="00EE2BBB" w:rsidRDefault="00DF0B13" w:rsidP="00CF5E22">
      <w:pPr>
        <w:pStyle w:val="Heading2"/>
      </w:pPr>
      <w:r w:rsidRPr="007247B9" w:rsidDel="00EE2BBB">
        <w:t>PBS listing details</w:t>
      </w:r>
    </w:p>
    <w:p w:rsidR="00AF67EF" w:rsidRDefault="00146E3F" w:rsidP="00062B96">
      <w:r>
        <w:t>Table 3</w:t>
      </w:r>
      <w:r w:rsidR="00AF67EF">
        <w:t xml:space="preserve"> presents the history of PBS listings, and amendments to the listings, in chronological order from the first listing of ipilimumab in August 2013 to March 2018.</w:t>
      </w:r>
    </w:p>
    <w:p w:rsidR="000F4C73" w:rsidRPr="003A68BA" w:rsidDel="00EE2BBB" w:rsidRDefault="00146E3F" w:rsidP="000F4C73">
      <w:pPr>
        <w:pStyle w:val="Heading3"/>
        <w:rPr>
          <w:i w:val="0"/>
        </w:rPr>
      </w:pPr>
      <w:r>
        <w:rPr>
          <w:i w:val="0"/>
        </w:rPr>
        <w:t>Table 3</w:t>
      </w:r>
      <w:r w:rsidR="000F4C73" w:rsidRPr="003A68BA">
        <w:rPr>
          <w:i w:val="0"/>
        </w:rPr>
        <w:t>. History of PBS listings and listing amendments</w:t>
      </w:r>
    </w:p>
    <w:tbl>
      <w:tblPr>
        <w:tblStyle w:val="TableGrid"/>
        <w:tblW w:w="0" w:type="auto"/>
        <w:tblLook w:val="04A0" w:firstRow="1" w:lastRow="0" w:firstColumn="1" w:lastColumn="0" w:noHBand="0" w:noVBand="1"/>
        <w:tblCaption w:val="Table 3"/>
        <w:tblDescription w:val="Summary of first listing dates on the PBS for melanoma medicines."/>
      </w:tblPr>
      <w:tblGrid>
        <w:gridCol w:w="1526"/>
        <w:gridCol w:w="1843"/>
        <w:gridCol w:w="5670"/>
      </w:tblGrid>
      <w:tr w:rsidR="00476049" w:rsidTr="00FF78B9">
        <w:trPr>
          <w:tblHeader/>
        </w:trPr>
        <w:tc>
          <w:tcPr>
            <w:tcW w:w="1526" w:type="dxa"/>
            <w:shd w:val="clear" w:color="auto" w:fill="F2F2F2" w:themeFill="background1" w:themeFillShade="F2"/>
          </w:tcPr>
          <w:p w:rsidR="00476049" w:rsidRPr="00D8500E" w:rsidRDefault="00476049" w:rsidP="008446F3">
            <w:pPr>
              <w:rPr>
                <w:b/>
                <w:sz w:val="20"/>
                <w:szCs w:val="20"/>
              </w:rPr>
            </w:pPr>
            <w:r w:rsidRPr="00D8500E">
              <w:rPr>
                <w:b/>
                <w:sz w:val="20"/>
                <w:szCs w:val="20"/>
              </w:rPr>
              <w:t>Drug name</w:t>
            </w:r>
          </w:p>
        </w:tc>
        <w:tc>
          <w:tcPr>
            <w:tcW w:w="1843" w:type="dxa"/>
            <w:shd w:val="clear" w:color="auto" w:fill="F2F2F2" w:themeFill="background1" w:themeFillShade="F2"/>
          </w:tcPr>
          <w:p w:rsidR="00476049" w:rsidRPr="00D8500E" w:rsidRDefault="00476049" w:rsidP="008446F3">
            <w:pPr>
              <w:rPr>
                <w:b/>
                <w:sz w:val="20"/>
                <w:szCs w:val="20"/>
              </w:rPr>
            </w:pPr>
            <w:r w:rsidRPr="00D8500E">
              <w:rPr>
                <w:b/>
                <w:sz w:val="20"/>
                <w:szCs w:val="20"/>
              </w:rPr>
              <w:t>Listing date</w:t>
            </w:r>
          </w:p>
        </w:tc>
        <w:tc>
          <w:tcPr>
            <w:tcW w:w="5670" w:type="dxa"/>
            <w:shd w:val="clear" w:color="auto" w:fill="F2F2F2" w:themeFill="background1" w:themeFillShade="F2"/>
          </w:tcPr>
          <w:p w:rsidR="00476049" w:rsidRPr="00D8500E" w:rsidRDefault="00476049" w:rsidP="008446F3">
            <w:pPr>
              <w:rPr>
                <w:b/>
                <w:sz w:val="20"/>
                <w:szCs w:val="20"/>
              </w:rPr>
            </w:pPr>
            <w:r>
              <w:rPr>
                <w:b/>
                <w:sz w:val="20"/>
                <w:szCs w:val="20"/>
              </w:rPr>
              <w:t>Details</w:t>
            </w:r>
          </w:p>
        </w:tc>
      </w:tr>
      <w:tr w:rsidR="00476049" w:rsidTr="000C6188">
        <w:tc>
          <w:tcPr>
            <w:tcW w:w="1526" w:type="dxa"/>
          </w:tcPr>
          <w:p w:rsidR="00476049" w:rsidRPr="0077079D" w:rsidRDefault="00476049" w:rsidP="008446F3">
            <w:pPr>
              <w:rPr>
                <w:sz w:val="20"/>
                <w:szCs w:val="20"/>
              </w:rPr>
            </w:pPr>
            <w:r w:rsidRPr="0077079D">
              <w:rPr>
                <w:sz w:val="20"/>
                <w:szCs w:val="20"/>
              </w:rPr>
              <w:t>Ipilimumab</w:t>
            </w:r>
          </w:p>
        </w:tc>
        <w:tc>
          <w:tcPr>
            <w:tcW w:w="1843" w:type="dxa"/>
          </w:tcPr>
          <w:p w:rsidR="00476049" w:rsidRPr="0077079D" w:rsidRDefault="00476049" w:rsidP="008446F3">
            <w:pPr>
              <w:rPr>
                <w:sz w:val="20"/>
                <w:szCs w:val="20"/>
              </w:rPr>
            </w:pPr>
            <w:r w:rsidRPr="0077079D">
              <w:rPr>
                <w:sz w:val="20"/>
                <w:szCs w:val="20"/>
              </w:rPr>
              <w:t>1 August 2013</w:t>
            </w:r>
          </w:p>
        </w:tc>
        <w:tc>
          <w:tcPr>
            <w:tcW w:w="5670" w:type="dxa"/>
          </w:tcPr>
          <w:p w:rsidR="00476049" w:rsidRPr="0077079D" w:rsidRDefault="00476049" w:rsidP="009C0541">
            <w:pPr>
              <w:rPr>
                <w:sz w:val="20"/>
                <w:szCs w:val="20"/>
              </w:rPr>
            </w:pPr>
            <w:r>
              <w:rPr>
                <w:sz w:val="20"/>
                <w:szCs w:val="20"/>
              </w:rPr>
              <w:t xml:space="preserve">First listing for ipilimumab </w:t>
            </w:r>
            <w:r w:rsidRPr="0077079D">
              <w:rPr>
                <w:sz w:val="20"/>
                <w:szCs w:val="20"/>
              </w:rPr>
              <w:t xml:space="preserve">as monotherapy. </w:t>
            </w:r>
          </w:p>
        </w:tc>
      </w:tr>
      <w:tr w:rsidR="00476049" w:rsidTr="000C6188">
        <w:tc>
          <w:tcPr>
            <w:tcW w:w="1526" w:type="dxa"/>
          </w:tcPr>
          <w:p w:rsidR="00476049" w:rsidRPr="0077079D" w:rsidRDefault="00476049" w:rsidP="008446F3">
            <w:pPr>
              <w:rPr>
                <w:sz w:val="20"/>
                <w:szCs w:val="20"/>
              </w:rPr>
            </w:pPr>
            <w:r w:rsidRPr="0077079D">
              <w:rPr>
                <w:sz w:val="20"/>
                <w:szCs w:val="20"/>
              </w:rPr>
              <w:t>Dabrafenib</w:t>
            </w:r>
          </w:p>
        </w:tc>
        <w:tc>
          <w:tcPr>
            <w:tcW w:w="1843" w:type="dxa"/>
          </w:tcPr>
          <w:p w:rsidR="00476049" w:rsidRPr="0077079D" w:rsidRDefault="00476049" w:rsidP="008446F3">
            <w:pPr>
              <w:rPr>
                <w:sz w:val="20"/>
                <w:szCs w:val="20"/>
              </w:rPr>
            </w:pPr>
            <w:r w:rsidRPr="0077079D">
              <w:rPr>
                <w:sz w:val="20"/>
                <w:szCs w:val="20"/>
              </w:rPr>
              <w:t>1 December 2013</w:t>
            </w:r>
          </w:p>
        </w:tc>
        <w:tc>
          <w:tcPr>
            <w:tcW w:w="5670" w:type="dxa"/>
          </w:tcPr>
          <w:p w:rsidR="00476049" w:rsidRPr="0077079D" w:rsidRDefault="00476049" w:rsidP="006A652A">
            <w:pPr>
              <w:rPr>
                <w:sz w:val="20"/>
                <w:szCs w:val="20"/>
              </w:rPr>
            </w:pPr>
            <w:r>
              <w:rPr>
                <w:sz w:val="20"/>
                <w:szCs w:val="20"/>
              </w:rPr>
              <w:t>First listing for dabrafenib in patients who are</w:t>
            </w:r>
            <w:r w:rsidRPr="0077079D">
              <w:rPr>
                <w:sz w:val="20"/>
                <w:szCs w:val="20"/>
              </w:rPr>
              <w:t xml:space="preserve"> BRAF V</w:t>
            </w:r>
            <w:r>
              <w:rPr>
                <w:sz w:val="20"/>
                <w:szCs w:val="20"/>
              </w:rPr>
              <w:t>600 mutation positive</w:t>
            </w:r>
            <w:r w:rsidRPr="0077079D">
              <w:rPr>
                <w:sz w:val="20"/>
                <w:szCs w:val="20"/>
              </w:rPr>
              <w:t xml:space="preserve">. </w:t>
            </w:r>
            <w:r>
              <w:rPr>
                <w:sz w:val="20"/>
                <w:szCs w:val="20"/>
              </w:rPr>
              <w:t>For use in previously untreated patients and those developing intoler</w:t>
            </w:r>
            <w:r w:rsidR="006A652A">
              <w:rPr>
                <w:sz w:val="20"/>
                <w:szCs w:val="20"/>
              </w:rPr>
              <w:t>ance to another BRAF inhibitor.</w:t>
            </w:r>
          </w:p>
        </w:tc>
      </w:tr>
      <w:tr w:rsidR="00476049" w:rsidTr="000C6188">
        <w:tc>
          <w:tcPr>
            <w:tcW w:w="1526" w:type="dxa"/>
          </w:tcPr>
          <w:p w:rsidR="00476049" w:rsidRPr="0077079D" w:rsidRDefault="00476049" w:rsidP="008446F3">
            <w:pPr>
              <w:rPr>
                <w:sz w:val="20"/>
                <w:szCs w:val="20"/>
              </w:rPr>
            </w:pPr>
            <w:r w:rsidRPr="0077079D">
              <w:rPr>
                <w:sz w:val="20"/>
                <w:szCs w:val="20"/>
              </w:rPr>
              <w:t>Trametinib</w:t>
            </w:r>
          </w:p>
        </w:tc>
        <w:tc>
          <w:tcPr>
            <w:tcW w:w="1843" w:type="dxa"/>
          </w:tcPr>
          <w:p w:rsidR="00476049" w:rsidRPr="0077079D" w:rsidRDefault="00476049" w:rsidP="008446F3">
            <w:pPr>
              <w:rPr>
                <w:sz w:val="20"/>
                <w:szCs w:val="20"/>
              </w:rPr>
            </w:pPr>
            <w:r w:rsidRPr="0077079D">
              <w:rPr>
                <w:sz w:val="20"/>
                <w:szCs w:val="20"/>
              </w:rPr>
              <w:t>1 August 2015</w:t>
            </w:r>
          </w:p>
        </w:tc>
        <w:tc>
          <w:tcPr>
            <w:tcW w:w="5670" w:type="dxa"/>
          </w:tcPr>
          <w:p w:rsidR="00476049" w:rsidRPr="0077079D" w:rsidRDefault="00476049" w:rsidP="006A652A">
            <w:pPr>
              <w:rPr>
                <w:sz w:val="20"/>
                <w:szCs w:val="20"/>
              </w:rPr>
            </w:pPr>
            <w:r>
              <w:rPr>
                <w:sz w:val="20"/>
                <w:szCs w:val="20"/>
              </w:rPr>
              <w:t xml:space="preserve">First listing for trametinib </w:t>
            </w:r>
            <w:r w:rsidRPr="00A23E18">
              <w:rPr>
                <w:sz w:val="20"/>
                <w:szCs w:val="20"/>
              </w:rPr>
              <w:t>for use</w:t>
            </w:r>
            <w:r>
              <w:rPr>
                <w:sz w:val="20"/>
                <w:szCs w:val="20"/>
              </w:rPr>
              <w:t xml:space="preserve"> in combination with dabrafenib</w:t>
            </w:r>
            <w:r w:rsidRPr="00A23E18">
              <w:rPr>
                <w:sz w:val="20"/>
                <w:szCs w:val="20"/>
              </w:rPr>
              <w:t xml:space="preserve"> for </w:t>
            </w:r>
            <w:r>
              <w:rPr>
                <w:sz w:val="20"/>
                <w:szCs w:val="20"/>
              </w:rPr>
              <w:t xml:space="preserve">patients who are </w:t>
            </w:r>
            <w:r w:rsidRPr="00A23E18">
              <w:rPr>
                <w:sz w:val="20"/>
                <w:szCs w:val="20"/>
              </w:rPr>
              <w:t>BRAF V600 mutation positive.</w:t>
            </w:r>
            <w:r>
              <w:rPr>
                <w:sz w:val="20"/>
                <w:szCs w:val="20"/>
              </w:rPr>
              <w:t xml:space="preserve"> </w:t>
            </w:r>
          </w:p>
        </w:tc>
      </w:tr>
      <w:tr w:rsidR="00476049" w:rsidTr="000C6188">
        <w:tc>
          <w:tcPr>
            <w:tcW w:w="1526" w:type="dxa"/>
          </w:tcPr>
          <w:p w:rsidR="00476049" w:rsidRPr="0077079D" w:rsidRDefault="00476049" w:rsidP="008446F3">
            <w:pPr>
              <w:rPr>
                <w:sz w:val="20"/>
                <w:szCs w:val="20"/>
              </w:rPr>
            </w:pPr>
            <w:r w:rsidRPr="0077079D">
              <w:rPr>
                <w:sz w:val="20"/>
                <w:szCs w:val="20"/>
              </w:rPr>
              <w:t>Pembrolizumab</w:t>
            </w:r>
          </w:p>
        </w:tc>
        <w:tc>
          <w:tcPr>
            <w:tcW w:w="1843" w:type="dxa"/>
          </w:tcPr>
          <w:p w:rsidR="00476049" w:rsidRPr="0077079D" w:rsidRDefault="00476049" w:rsidP="008446F3">
            <w:pPr>
              <w:rPr>
                <w:sz w:val="20"/>
                <w:szCs w:val="20"/>
              </w:rPr>
            </w:pPr>
            <w:r w:rsidRPr="0077079D">
              <w:rPr>
                <w:sz w:val="20"/>
                <w:szCs w:val="20"/>
              </w:rPr>
              <w:t>1 September 2015</w:t>
            </w:r>
          </w:p>
        </w:tc>
        <w:tc>
          <w:tcPr>
            <w:tcW w:w="5670" w:type="dxa"/>
          </w:tcPr>
          <w:p w:rsidR="00476049" w:rsidRPr="0077079D" w:rsidRDefault="00476049" w:rsidP="006A652A">
            <w:pPr>
              <w:rPr>
                <w:sz w:val="20"/>
                <w:szCs w:val="20"/>
              </w:rPr>
            </w:pPr>
            <w:r w:rsidRPr="00665723">
              <w:rPr>
                <w:sz w:val="20"/>
                <w:szCs w:val="20"/>
              </w:rPr>
              <w:t>Fir</w:t>
            </w:r>
            <w:r>
              <w:rPr>
                <w:sz w:val="20"/>
                <w:szCs w:val="20"/>
              </w:rPr>
              <w:t>st listing</w:t>
            </w:r>
            <w:r w:rsidRPr="00665723">
              <w:rPr>
                <w:sz w:val="20"/>
                <w:szCs w:val="20"/>
              </w:rPr>
              <w:t xml:space="preserve"> for </w:t>
            </w:r>
            <w:r>
              <w:rPr>
                <w:sz w:val="20"/>
                <w:szCs w:val="20"/>
              </w:rPr>
              <w:t xml:space="preserve">pembrolizumab for </w:t>
            </w:r>
            <w:r w:rsidRPr="00665723">
              <w:rPr>
                <w:sz w:val="20"/>
                <w:szCs w:val="20"/>
              </w:rPr>
              <w:t xml:space="preserve">use as </w:t>
            </w:r>
            <w:r w:rsidR="00FD7360">
              <w:rPr>
                <w:sz w:val="20"/>
                <w:szCs w:val="20"/>
              </w:rPr>
              <w:t>a sole PBS-subsidised therapy</w:t>
            </w:r>
            <w:r w:rsidR="006A652A">
              <w:rPr>
                <w:sz w:val="20"/>
                <w:szCs w:val="20"/>
              </w:rPr>
              <w:t>.</w:t>
            </w:r>
          </w:p>
        </w:tc>
      </w:tr>
      <w:tr w:rsidR="00476049" w:rsidTr="000C6188">
        <w:tc>
          <w:tcPr>
            <w:tcW w:w="1526" w:type="dxa"/>
          </w:tcPr>
          <w:p w:rsidR="00476049" w:rsidRPr="0077079D" w:rsidRDefault="00476049" w:rsidP="008446F3">
            <w:pPr>
              <w:rPr>
                <w:sz w:val="20"/>
                <w:szCs w:val="20"/>
              </w:rPr>
            </w:pPr>
            <w:r>
              <w:rPr>
                <w:sz w:val="20"/>
                <w:szCs w:val="20"/>
              </w:rPr>
              <w:t>Dabrafenib and trametinib</w:t>
            </w:r>
          </w:p>
        </w:tc>
        <w:tc>
          <w:tcPr>
            <w:tcW w:w="1843" w:type="dxa"/>
          </w:tcPr>
          <w:p w:rsidR="00476049" w:rsidRPr="0077079D" w:rsidRDefault="00476049" w:rsidP="008446F3">
            <w:pPr>
              <w:rPr>
                <w:sz w:val="20"/>
                <w:szCs w:val="20"/>
              </w:rPr>
            </w:pPr>
            <w:r>
              <w:rPr>
                <w:sz w:val="20"/>
                <w:szCs w:val="20"/>
              </w:rPr>
              <w:t>1 April 2016</w:t>
            </w:r>
          </w:p>
        </w:tc>
        <w:tc>
          <w:tcPr>
            <w:tcW w:w="5670" w:type="dxa"/>
          </w:tcPr>
          <w:p w:rsidR="00476049" w:rsidRPr="0077079D" w:rsidRDefault="00476049" w:rsidP="008446F3">
            <w:pPr>
              <w:rPr>
                <w:sz w:val="20"/>
                <w:szCs w:val="20"/>
              </w:rPr>
            </w:pPr>
            <w:r w:rsidRPr="00CC7238">
              <w:rPr>
                <w:sz w:val="20"/>
                <w:szCs w:val="20"/>
              </w:rPr>
              <w:t>The restriction levels of dabrafenib and trametinib were changed from Authority Required (telephone) to STREAMLINED Authority.</w:t>
            </w:r>
          </w:p>
        </w:tc>
      </w:tr>
      <w:tr w:rsidR="00476049" w:rsidTr="000C6188">
        <w:tc>
          <w:tcPr>
            <w:tcW w:w="1526" w:type="dxa"/>
          </w:tcPr>
          <w:p w:rsidR="00476049" w:rsidRDefault="00476049" w:rsidP="008446F3">
            <w:pPr>
              <w:rPr>
                <w:sz w:val="20"/>
                <w:szCs w:val="20"/>
              </w:rPr>
            </w:pPr>
            <w:r>
              <w:rPr>
                <w:sz w:val="20"/>
                <w:szCs w:val="20"/>
              </w:rPr>
              <w:t>Nivolumab</w:t>
            </w:r>
          </w:p>
        </w:tc>
        <w:tc>
          <w:tcPr>
            <w:tcW w:w="1843" w:type="dxa"/>
          </w:tcPr>
          <w:p w:rsidR="00476049" w:rsidRPr="0077079D" w:rsidRDefault="00476049" w:rsidP="008446F3">
            <w:pPr>
              <w:rPr>
                <w:sz w:val="20"/>
                <w:szCs w:val="20"/>
              </w:rPr>
            </w:pPr>
            <w:r>
              <w:rPr>
                <w:sz w:val="20"/>
                <w:szCs w:val="20"/>
              </w:rPr>
              <w:t>1 May 2016</w:t>
            </w:r>
          </w:p>
        </w:tc>
        <w:tc>
          <w:tcPr>
            <w:tcW w:w="5670" w:type="dxa"/>
          </w:tcPr>
          <w:p w:rsidR="00476049" w:rsidRPr="00517C4A" w:rsidRDefault="00476049" w:rsidP="006A652A">
            <w:pPr>
              <w:rPr>
                <w:sz w:val="20"/>
                <w:szCs w:val="20"/>
              </w:rPr>
            </w:pPr>
            <w:r w:rsidRPr="00922C34">
              <w:rPr>
                <w:sz w:val="20"/>
                <w:szCs w:val="20"/>
              </w:rPr>
              <w:t xml:space="preserve">First listing of nivolumab </w:t>
            </w:r>
            <w:r w:rsidR="006A652A">
              <w:rPr>
                <w:sz w:val="20"/>
                <w:szCs w:val="20"/>
              </w:rPr>
              <w:t xml:space="preserve">for use </w:t>
            </w:r>
            <w:r w:rsidRPr="00922C34">
              <w:rPr>
                <w:sz w:val="20"/>
                <w:szCs w:val="20"/>
              </w:rPr>
              <w:t xml:space="preserve">as </w:t>
            </w:r>
            <w:r w:rsidR="006A652A">
              <w:rPr>
                <w:sz w:val="20"/>
                <w:szCs w:val="20"/>
              </w:rPr>
              <w:t>a sole PBS-subsidised therapy</w:t>
            </w:r>
            <w:r w:rsidRPr="00922C34">
              <w:rPr>
                <w:sz w:val="20"/>
                <w:szCs w:val="20"/>
              </w:rPr>
              <w:t>.</w:t>
            </w:r>
            <w:r>
              <w:rPr>
                <w:sz w:val="20"/>
                <w:szCs w:val="20"/>
              </w:rPr>
              <w:t xml:space="preserve"> </w:t>
            </w:r>
          </w:p>
        </w:tc>
      </w:tr>
      <w:tr w:rsidR="006A652A" w:rsidTr="000C6188">
        <w:tc>
          <w:tcPr>
            <w:tcW w:w="1526" w:type="dxa"/>
          </w:tcPr>
          <w:p w:rsidR="006A652A" w:rsidRDefault="006A652A" w:rsidP="00D3286A">
            <w:pPr>
              <w:rPr>
                <w:sz w:val="20"/>
                <w:szCs w:val="20"/>
              </w:rPr>
            </w:pPr>
            <w:r>
              <w:rPr>
                <w:sz w:val="20"/>
                <w:szCs w:val="20"/>
              </w:rPr>
              <w:t>Ipilimumab</w:t>
            </w:r>
          </w:p>
        </w:tc>
        <w:tc>
          <w:tcPr>
            <w:tcW w:w="1843" w:type="dxa"/>
          </w:tcPr>
          <w:p w:rsidR="006A652A" w:rsidRDefault="006A652A" w:rsidP="00D3286A">
            <w:pPr>
              <w:rPr>
                <w:sz w:val="20"/>
                <w:szCs w:val="20"/>
              </w:rPr>
            </w:pPr>
            <w:r>
              <w:rPr>
                <w:sz w:val="20"/>
                <w:szCs w:val="20"/>
              </w:rPr>
              <w:t>1 December 2016</w:t>
            </w:r>
          </w:p>
        </w:tc>
        <w:tc>
          <w:tcPr>
            <w:tcW w:w="5670" w:type="dxa"/>
          </w:tcPr>
          <w:p w:rsidR="006A652A" w:rsidRDefault="006A652A" w:rsidP="00D3286A">
            <w:pPr>
              <w:rPr>
                <w:sz w:val="20"/>
                <w:szCs w:val="20"/>
              </w:rPr>
            </w:pPr>
            <w:r>
              <w:rPr>
                <w:sz w:val="20"/>
                <w:szCs w:val="20"/>
              </w:rPr>
              <w:t xml:space="preserve">The clinical criteria were amended from “The treatment must be as monotherapy” to </w:t>
            </w:r>
            <w:r w:rsidRPr="003144D8">
              <w:rPr>
                <w:sz w:val="20"/>
                <w:szCs w:val="20"/>
              </w:rPr>
              <w:t>read “The treatment must be the sole PBS-subsidised therapy for this condition</w:t>
            </w:r>
            <w:r>
              <w:rPr>
                <w:sz w:val="20"/>
                <w:szCs w:val="20"/>
              </w:rPr>
              <w:t xml:space="preserve">”. </w:t>
            </w:r>
          </w:p>
        </w:tc>
      </w:tr>
      <w:tr w:rsidR="006A652A" w:rsidTr="000C6188">
        <w:tc>
          <w:tcPr>
            <w:tcW w:w="1526" w:type="dxa"/>
          </w:tcPr>
          <w:p w:rsidR="006A652A" w:rsidRDefault="006A652A" w:rsidP="00D3286A">
            <w:pPr>
              <w:rPr>
                <w:sz w:val="20"/>
                <w:szCs w:val="20"/>
              </w:rPr>
            </w:pPr>
            <w:r>
              <w:rPr>
                <w:sz w:val="20"/>
                <w:szCs w:val="20"/>
              </w:rPr>
              <w:t>Vemurafenib</w:t>
            </w:r>
          </w:p>
        </w:tc>
        <w:tc>
          <w:tcPr>
            <w:tcW w:w="1843" w:type="dxa"/>
          </w:tcPr>
          <w:p w:rsidR="006A652A" w:rsidRPr="0077079D" w:rsidRDefault="006A652A" w:rsidP="00D3286A">
            <w:pPr>
              <w:rPr>
                <w:sz w:val="20"/>
                <w:szCs w:val="20"/>
              </w:rPr>
            </w:pPr>
            <w:r>
              <w:rPr>
                <w:sz w:val="20"/>
                <w:szCs w:val="20"/>
              </w:rPr>
              <w:t>1 April 2017</w:t>
            </w:r>
          </w:p>
        </w:tc>
        <w:tc>
          <w:tcPr>
            <w:tcW w:w="5670" w:type="dxa"/>
          </w:tcPr>
          <w:p w:rsidR="006A652A" w:rsidRPr="00517C4A" w:rsidRDefault="006A652A" w:rsidP="00D3286A">
            <w:pPr>
              <w:rPr>
                <w:sz w:val="20"/>
                <w:szCs w:val="20"/>
              </w:rPr>
            </w:pPr>
            <w:r>
              <w:rPr>
                <w:sz w:val="20"/>
                <w:szCs w:val="20"/>
              </w:rPr>
              <w:t>First listing of vemurafenib in patients who are</w:t>
            </w:r>
            <w:r w:rsidRPr="0077079D">
              <w:rPr>
                <w:sz w:val="20"/>
                <w:szCs w:val="20"/>
              </w:rPr>
              <w:t xml:space="preserve"> BRAF V</w:t>
            </w:r>
            <w:r>
              <w:rPr>
                <w:sz w:val="20"/>
                <w:szCs w:val="20"/>
              </w:rPr>
              <w:t>600 mutation positive. For use as monotherapy or in combination with cobimetinib.</w:t>
            </w:r>
          </w:p>
        </w:tc>
      </w:tr>
      <w:tr w:rsidR="00476049" w:rsidTr="000C6188">
        <w:tc>
          <w:tcPr>
            <w:tcW w:w="1526" w:type="dxa"/>
          </w:tcPr>
          <w:p w:rsidR="00476049" w:rsidRDefault="00476049" w:rsidP="008446F3">
            <w:pPr>
              <w:rPr>
                <w:sz w:val="20"/>
                <w:szCs w:val="20"/>
              </w:rPr>
            </w:pPr>
            <w:r>
              <w:rPr>
                <w:sz w:val="20"/>
                <w:szCs w:val="20"/>
              </w:rPr>
              <w:t>Cobimetinib</w:t>
            </w:r>
          </w:p>
        </w:tc>
        <w:tc>
          <w:tcPr>
            <w:tcW w:w="1843" w:type="dxa"/>
          </w:tcPr>
          <w:p w:rsidR="00476049" w:rsidRDefault="00476049" w:rsidP="008446F3">
            <w:pPr>
              <w:rPr>
                <w:sz w:val="20"/>
                <w:szCs w:val="20"/>
              </w:rPr>
            </w:pPr>
            <w:r>
              <w:rPr>
                <w:sz w:val="20"/>
                <w:szCs w:val="20"/>
              </w:rPr>
              <w:t>1 April 2017</w:t>
            </w:r>
          </w:p>
        </w:tc>
        <w:tc>
          <w:tcPr>
            <w:tcW w:w="5670" w:type="dxa"/>
          </w:tcPr>
          <w:p w:rsidR="00476049" w:rsidRDefault="00476049" w:rsidP="008446F3">
            <w:pPr>
              <w:rPr>
                <w:sz w:val="20"/>
                <w:szCs w:val="20"/>
              </w:rPr>
            </w:pPr>
            <w:r>
              <w:rPr>
                <w:sz w:val="20"/>
                <w:szCs w:val="20"/>
              </w:rPr>
              <w:t xml:space="preserve">First listing of cobimetinib for use in combination with vemurafenib. </w:t>
            </w:r>
          </w:p>
        </w:tc>
      </w:tr>
      <w:tr w:rsidR="00476049" w:rsidTr="000C6188">
        <w:tc>
          <w:tcPr>
            <w:tcW w:w="1526" w:type="dxa"/>
          </w:tcPr>
          <w:p w:rsidR="00476049" w:rsidRPr="0077079D" w:rsidRDefault="00476049" w:rsidP="008446F3">
            <w:pPr>
              <w:rPr>
                <w:sz w:val="20"/>
                <w:szCs w:val="20"/>
              </w:rPr>
            </w:pPr>
            <w:r w:rsidRPr="0077079D">
              <w:rPr>
                <w:sz w:val="20"/>
                <w:szCs w:val="20"/>
              </w:rPr>
              <w:t>Pembrolizumab</w:t>
            </w:r>
          </w:p>
        </w:tc>
        <w:tc>
          <w:tcPr>
            <w:tcW w:w="1843" w:type="dxa"/>
          </w:tcPr>
          <w:p w:rsidR="00476049" w:rsidRPr="0077079D" w:rsidRDefault="00476049" w:rsidP="008446F3">
            <w:pPr>
              <w:rPr>
                <w:sz w:val="20"/>
                <w:szCs w:val="20"/>
              </w:rPr>
            </w:pPr>
            <w:r>
              <w:rPr>
                <w:sz w:val="20"/>
                <w:szCs w:val="20"/>
              </w:rPr>
              <w:t>1 July 2017</w:t>
            </w:r>
          </w:p>
        </w:tc>
        <w:tc>
          <w:tcPr>
            <w:tcW w:w="5670" w:type="dxa"/>
          </w:tcPr>
          <w:p w:rsidR="00476049" w:rsidRPr="0077079D" w:rsidRDefault="00476049" w:rsidP="00387EB2">
            <w:pPr>
              <w:rPr>
                <w:sz w:val="20"/>
                <w:szCs w:val="20"/>
              </w:rPr>
            </w:pPr>
            <w:r w:rsidRPr="000A3CF7">
              <w:rPr>
                <w:sz w:val="20"/>
                <w:szCs w:val="20"/>
              </w:rPr>
              <w:t xml:space="preserve">Listing of </w:t>
            </w:r>
            <w:r>
              <w:rPr>
                <w:sz w:val="20"/>
                <w:szCs w:val="20"/>
              </w:rPr>
              <w:t xml:space="preserve">an additional strength, </w:t>
            </w:r>
            <w:r w:rsidRPr="000A3CF7">
              <w:rPr>
                <w:sz w:val="20"/>
                <w:szCs w:val="20"/>
              </w:rPr>
              <w:t>100 mg concentrated injection</w:t>
            </w:r>
            <w:r>
              <w:rPr>
                <w:sz w:val="20"/>
                <w:szCs w:val="20"/>
              </w:rPr>
              <w:t>,</w:t>
            </w:r>
            <w:r w:rsidRPr="000A3CF7">
              <w:rPr>
                <w:sz w:val="20"/>
                <w:szCs w:val="20"/>
              </w:rPr>
              <w:t xml:space="preserve"> </w:t>
            </w:r>
            <w:r>
              <w:rPr>
                <w:sz w:val="20"/>
                <w:szCs w:val="20"/>
              </w:rPr>
              <w:t>under the same conditions</w:t>
            </w:r>
            <w:r w:rsidRPr="000A3CF7">
              <w:rPr>
                <w:sz w:val="20"/>
                <w:szCs w:val="20"/>
              </w:rPr>
              <w:t xml:space="preserve"> as the 50 mg listing.</w:t>
            </w:r>
          </w:p>
        </w:tc>
      </w:tr>
    </w:tbl>
    <w:p w:rsidR="009C0541" w:rsidRDefault="009C0541" w:rsidP="009C0541">
      <w:pPr>
        <w:spacing w:after="0"/>
      </w:pPr>
    </w:p>
    <w:p w:rsidR="007F1B8A" w:rsidRPr="002F61CA" w:rsidDel="00EE2BBB" w:rsidRDefault="007F1B8A" w:rsidP="007F1B8A">
      <w:r w:rsidRPr="002F61CA" w:rsidDel="00EE2BBB">
        <w:t xml:space="preserve">Current PBS listing details are available from </w:t>
      </w:r>
      <w:r w:rsidDel="00EE2BBB">
        <w:t xml:space="preserve">the </w:t>
      </w:r>
      <w:hyperlink r:id="rId12" w:history="1">
        <w:r w:rsidRPr="00645D51" w:rsidDel="00EE2BBB">
          <w:rPr>
            <w:rStyle w:val="Hyperlink"/>
          </w:rPr>
          <w:t>PBS website</w:t>
        </w:r>
      </w:hyperlink>
      <w:r w:rsidDel="00EE2BBB">
        <w:t>.</w:t>
      </w:r>
    </w:p>
    <w:p w:rsidR="004C3186" w:rsidDel="00EE2BBB" w:rsidRDefault="004C3186" w:rsidP="00CF5E22">
      <w:pPr>
        <w:pStyle w:val="Heading3"/>
      </w:pPr>
      <w:r w:rsidDel="00EE2BBB">
        <w:t>Restriction</w:t>
      </w:r>
      <w:r w:rsidR="00712DFC">
        <w:t>s</w:t>
      </w:r>
      <w:r w:rsidR="007F1B8A">
        <w:t xml:space="preserve"> (as at March 2018)</w:t>
      </w:r>
    </w:p>
    <w:p w:rsidR="00DB0B8D" w:rsidRDefault="00146E3F" w:rsidP="00BF27E7">
      <w:r>
        <w:t>Table 4</w:t>
      </w:r>
      <w:r w:rsidR="00BF27E7">
        <w:t xml:space="preserve"> provides a summary of the </w:t>
      </w:r>
      <w:r w:rsidR="0015553D">
        <w:t xml:space="preserve">restriction levels </w:t>
      </w:r>
      <w:r w:rsidR="00BF27E7">
        <w:t xml:space="preserve">and the relevant restriction codes for each phase of treatment. </w:t>
      </w:r>
    </w:p>
    <w:p w:rsidR="006A2A44" w:rsidRDefault="006A2A44">
      <w:pPr>
        <w:spacing w:line="276" w:lineRule="auto"/>
        <w:rPr>
          <w:b/>
        </w:rPr>
      </w:pPr>
      <w:r>
        <w:rPr>
          <w:b/>
        </w:rPr>
        <w:br w:type="page"/>
      </w:r>
    </w:p>
    <w:p w:rsidR="00BF27E7" w:rsidRPr="00995E12" w:rsidRDefault="00146E3F" w:rsidP="00BF27E7">
      <w:pPr>
        <w:rPr>
          <w:b/>
          <w:highlight w:val="yellow"/>
        </w:rPr>
      </w:pPr>
      <w:r>
        <w:rPr>
          <w:b/>
        </w:rPr>
        <w:lastRenderedPageBreak/>
        <w:t>Table 4</w:t>
      </w:r>
      <w:r w:rsidR="00BF27E7" w:rsidRPr="00995E12" w:rsidDel="00EE2BBB">
        <w:rPr>
          <w:b/>
        </w:rPr>
        <w:t xml:space="preserve">: </w:t>
      </w:r>
      <w:r w:rsidR="006014A7">
        <w:rPr>
          <w:b/>
        </w:rPr>
        <w:t>Summary of restriction levels and restriction codes by treatment phase</w:t>
      </w:r>
    </w:p>
    <w:tbl>
      <w:tblPr>
        <w:tblStyle w:val="TableGrid"/>
        <w:tblW w:w="9180" w:type="dxa"/>
        <w:tblLook w:val="04A0" w:firstRow="1" w:lastRow="0" w:firstColumn="1" w:lastColumn="0" w:noHBand="0" w:noVBand="1"/>
        <w:tblCaption w:val="Table 4"/>
        <w:tblDescription w:val="Summary of restriction levels for PBS listed melanoma medicines"/>
      </w:tblPr>
      <w:tblGrid>
        <w:gridCol w:w="1526"/>
        <w:gridCol w:w="1984"/>
        <w:gridCol w:w="1276"/>
        <w:gridCol w:w="1985"/>
        <w:gridCol w:w="2409"/>
      </w:tblGrid>
      <w:tr w:rsidR="00BF27E7" w:rsidTr="00DA2A20">
        <w:trPr>
          <w:tblHeader/>
        </w:trPr>
        <w:tc>
          <w:tcPr>
            <w:tcW w:w="1526" w:type="dxa"/>
            <w:tcBorders>
              <w:bottom w:val="single" w:sz="4" w:space="0" w:color="auto"/>
            </w:tcBorders>
            <w:shd w:val="clear" w:color="auto" w:fill="F2F2F2" w:themeFill="background1" w:themeFillShade="F2"/>
          </w:tcPr>
          <w:p w:rsidR="00BF27E7" w:rsidRPr="000643AE" w:rsidRDefault="00BF27E7" w:rsidP="00720A3D">
            <w:pPr>
              <w:jc w:val="center"/>
              <w:rPr>
                <w:b/>
                <w:sz w:val="20"/>
                <w:szCs w:val="20"/>
              </w:rPr>
            </w:pPr>
            <w:r w:rsidRPr="000643AE">
              <w:rPr>
                <w:b/>
                <w:sz w:val="20"/>
                <w:szCs w:val="20"/>
              </w:rPr>
              <w:t>Drug</w:t>
            </w:r>
            <w:r w:rsidR="00B9413D">
              <w:rPr>
                <w:b/>
                <w:sz w:val="20"/>
                <w:szCs w:val="20"/>
              </w:rPr>
              <w:t xml:space="preserve"> (ATC5)</w:t>
            </w:r>
          </w:p>
        </w:tc>
        <w:tc>
          <w:tcPr>
            <w:tcW w:w="1984" w:type="dxa"/>
            <w:tcBorders>
              <w:bottom w:val="single" w:sz="4" w:space="0" w:color="auto"/>
            </w:tcBorders>
            <w:shd w:val="clear" w:color="auto" w:fill="F2F2F2" w:themeFill="background1" w:themeFillShade="F2"/>
          </w:tcPr>
          <w:p w:rsidR="00BF27E7" w:rsidRPr="000643AE" w:rsidRDefault="00BF27E7" w:rsidP="00720A3D">
            <w:pPr>
              <w:jc w:val="center"/>
              <w:rPr>
                <w:b/>
                <w:sz w:val="20"/>
                <w:szCs w:val="20"/>
              </w:rPr>
            </w:pPr>
            <w:r w:rsidRPr="000643AE">
              <w:rPr>
                <w:b/>
                <w:sz w:val="20"/>
                <w:szCs w:val="20"/>
              </w:rPr>
              <w:t>Restriction level</w:t>
            </w:r>
          </w:p>
        </w:tc>
        <w:tc>
          <w:tcPr>
            <w:tcW w:w="1276" w:type="dxa"/>
            <w:shd w:val="clear" w:color="auto" w:fill="F2F2F2" w:themeFill="background1" w:themeFillShade="F2"/>
          </w:tcPr>
          <w:p w:rsidR="00BF27E7" w:rsidRDefault="00BF27E7" w:rsidP="00720A3D">
            <w:pPr>
              <w:jc w:val="center"/>
              <w:rPr>
                <w:b/>
                <w:sz w:val="20"/>
                <w:szCs w:val="20"/>
              </w:rPr>
            </w:pPr>
            <w:r w:rsidRPr="000643AE">
              <w:rPr>
                <w:b/>
                <w:sz w:val="20"/>
                <w:szCs w:val="20"/>
              </w:rPr>
              <w:t>Treatment</w:t>
            </w:r>
          </w:p>
          <w:p w:rsidR="00BF27E7" w:rsidRPr="000643AE" w:rsidRDefault="00BF27E7" w:rsidP="00720A3D">
            <w:pPr>
              <w:jc w:val="center"/>
              <w:rPr>
                <w:b/>
                <w:sz w:val="20"/>
                <w:szCs w:val="20"/>
              </w:rPr>
            </w:pPr>
            <w:r w:rsidRPr="000643AE">
              <w:rPr>
                <w:b/>
                <w:sz w:val="20"/>
                <w:szCs w:val="20"/>
              </w:rPr>
              <w:t>phase</w:t>
            </w:r>
          </w:p>
        </w:tc>
        <w:tc>
          <w:tcPr>
            <w:tcW w:w="1985" w:type="dxa"/>
            <w:shd w:val="clear" w:color="auto" w:fill="F2F2F2" w:themeFill="background1" w:themeFillShade="F2"/>
          </w:tcPr>
          <w:p w:rsidR="00BF27E7" w:rsidRPr="000643AE" w:rsidRDefault="00BF27E7" w:rsidP="00720A3D">
            <w:pPr>
              <w:jc w:val="center"/>
              <w:rPr>
                <w:b/>
                <w:sz w:val="20"/>
                <w:szCs w:val="20"/>
              </w:rPr>
            </w:pPr>
            <w:r w:rsidRPr="000643AE">
              <w:rPr>
                <w:b/>
                <w:sz w:val="20"/>
                <w:szCs w:val="20"/>
              </w:rPr>
              <w:t>Restriction code</w:t>
            </w:r>
          </w:p>
        </w:tc>
        <w:tc>
          <w:tcPr>
            <w:tcW w:w="2409" w:type="dxa"/>
            <w:shd w:val="clear" w:color="auto" w:fill="F2F2F2" w:themeFill="background1" w:themeFillShade="F2"/>
          </w:tcPr>
          <w:p w:rsidR="00BF27E7" w:rsidRPr="000643AE" w:rsidRDefault="004C330F" w:rsidP="00720A3D">
            <w:pPr>
              <w:jc w:val="center"/>
              <w:rPr>
                <w:b/>
                <w:sz w:val="20"/>
                <w:szCs w:val="20"/>
              </w:rPr>
            </w:pPr>
            <w:r>
              <w:rPr>
                <w:b/>
                <w:sz w:val="20"/>
                <w:szCs w:val="20"/>
              </w:rPr>
              <w:t>PBS item code</w:t>
            </w:r>
          </w:p>
        </w:tc>
      </w:tr>
      <w:tr w:rsidR="008732C0" w:rsidTr="00DA2A20">
        <w:tc>
          <w:tcPr>
            <w:tcW w:w="1526" w:type="dxa"/>
            <w:tcBorders>
              <w:top w:val="single" w:sz="4" w:space="0" w:color="auto"/>
              <w:left w:val="single" w:sz="4" w:space="0" w:color="auto"/>
              <w:bottom w:val="nil"/>
              <w:right w:val="single" w:sz="4" w:space="0" w:color="auto"/>
            </w:tcBorders>
          </w:tcPr>
          <w:p w:rsidR="008732C0" w:rsidRDefault="008732C0" w:rsidP="008446F3">
            <w:pPr>
              <w:rPr>
                <w:sz w:val="20"/>
                <w:szCs w:val="20"/>
              </w:rPr>
            </w:pPr>
            <w:r>
              <w:rPr>
                <w:sz w:val="20"/>
                <w:szCs w:val="20"/>
              </w:rPr>
              <w:t>Cobimetinib</w:t>
            </w:r>
          </w:p>
          <w:p w:rsidR="003310CA" w:rsidRPr="000643AE" w:rsidRDefault="003310CA" w:rsidP="008446F3">
            <w:pPr>
              <w:rPr>
                <w:sz w:val="20"/>
                <w:szCs w:val="20"/>
              </w:rPr>
            </w:pPr>
            <w:r>
              <w:rPr>
                <w:sz w:val="20"/>
                <w:szCs w:val="20"/>
              </w:rPr>
              <w:t>(</w:t>
            </w:r>
            <w:r w:rsidRPr="003310CA">
              <w:rPr>
                <w:sz w:val="20"/>
                <w:szCs w:val="20"/>
              </w:rPr>
              <w:t>L01XE38</w:t>
            </w:r>
            <w:r>
              <w:rPr>
                <w:sz w:val="20"/>
                <w:szCs w:val="20"/>
              </w:rPr>
              <w:t>)</w:t>
            </w:r>
          </w:p>
        </w:tc>
        <w:tc>
          <w:tcPr>
            <w:tcW w:w="1984" w:type="dxa"/>
            <w:tcBorders>
              <w:top w:val="single" w:sz="4" w:space="0" w:color="auto"/>
              <w:left w:val="single" w:sz="4" w:space="0" w:color="auto"/>
              <w:bottom w:val="nil"/>
              <w:right w:val="single" w:sz="4" w:space="0" w:color="auto"/>
            </w:tcBorders>
          </w:tcPr>
          <w:p w:rsidR="008732C0" w:rsidRPr="000643AE" w:rsidRDefault="008732C0" w:rsidP="008446F3">
            <w:pPr>
              <w:rPr>
                <w:sz w:val="20"/>
                <w:szCs w:val="20"/>
              </w:rPr>
            </w:pPr>
            <w:r w:rsidRPr="000643AE">
              <w:rPr>
                <w:sz w:val="20"/>
                <w:szCs w:val="20"/>
              </w:rPr>
              <w:t>Authority Required (STREAMLINED), General  Schedule</w:t>
            </w:r>
          </w:p>
        </w:tc>
        <w:tc>
          <w:tcPr>
            <w:tcW w:w="1276" w:type="dxa"/>
            <w:tcBorders>
              <w:left w:val="single" w:sz="4" w:space="0" w:color="auto"/>
            </w:tcBorders>
          </w:tcPr>
          <w:p w:rsidR="008732C0" w:rsidRDefault="008732C0" w:rsidP="008732C0">
            <w:pPr>
              <w:rPr>
                <w:sz w:val="20"/>
                <w:szCs w:val="20"/>
              </w:rPr>
            </w:pPr>
            <w:r w:rsidRPr="000643AE">
              <w:rPr>
                <w:sz w:val="20"/>
                <w:szCs w:val="20"/>
              </w:rPr>
              <w:t xml:space="preserve">Initial </w:t>
            </w:r>
          </w:p>
          <w:p w:rsidR="008732C0" w:rsidRPr="000643AE" w:rsidRDefault="008732C0" w:rsidP="008732C0">
            <w:pPr>
              <w:rPr>
                <w:sz w:val="20"/>
                <w:szCs w:val="20"/>
              </w:rPr>
            </w:pPr>
            <w:r w:rsidRPr="000643AE">
              <w:rPr>
                <w:sz w:val="20"/>
                <w:szCs w:val="20"/>
              </w:rPr>
              <w:t>treatment</w:t>
            </w:r>
          </w:p>
        </w:tc>
        <w:tc>
          <w:tcPr>
            <w:tcW w:w="1985" w:type="dxa"/>
          </w:tcPr>
          <w:p w:rsidR="008732C0" w:rsidRPr="000643AE" w:rsidRDefault="008732C0" w:rsidP="008446F3">
            <w:pPr>
              <w:rPr>
                <w:sz w:val="20"/>
                <w:szCs w:val="20"/>
              </w:rPr>
            </w:pPr>
            <w:r w:rsidRPr="008732C0">
              <w:rPr>
                <w:sz w:val="20"/>
                <w:szCs w:val="20"/>
              </w:rPr>
              <w:t>6839</w:t>
            </w:r>
          </w:p>
        </w:tc>
        <w:tc>
          <w:tcPr>
            <w:tcW w:w="2409" w:type="dxa"/>
          </w:tcPr>
          <w:p w:rsidR="008732C0" w:rsidRPr="008732C0" w:rsidRDefault="008A587A" w:rsidP="008446F3">
            <w:pPr>
              <w:rPr>
                <w:sz w:val="20"/>
                <w:szCs w:val="20"/>
              </w:rPr>
            </w:pPr>
            <w:hyperlink r:id="rId13" w:tooltip="11074w" w:history="1">
              <w:r w:rsidR="008732C0" w:rsidRPr="008732C0">
                <w:rPr>
                  <w:sz w:val="20"/>
                  <w:szCs w:val="20"/>
                </w:rPr>
                <w:t>11074W</w:t>
              </w:r>
            </w:hyperlink>
            <w:r w:rsidR="008732C0" w:rsidRPr="008732C0">
              <w:rPr>
                <w:sz w:val="20"/>
                <w:szCs w:val="20"/>
              </w:rPr>
              <w:t xml:space="preserve"> (20 mg)</w:t>
            </w:r>
          </w:p>
        </w:tc>
      </w:tr>
      <w:tr w:rsidR="008732C0" w:rsidTr="00DA2A20">
        <w:tc>
          <w:tcPr>
            <w:tcW w:w="1526" w:type="dxa"/>
            <w:tcBorders>
              <w:top w:val="nil"/>
              <w:left w:val="single" w:sz="4" w:space="0" w:color="auto"/>
              <w:bottom w:val="single" w:sz="4" w:space="0" w:color="auto"/>
              <w:right w:val="single" w:sz="4" w:space="0" w:color="auto"/>
            </w:tcBorders>
          </w:tcPr>
          <w:p w:rsidR="008732C0" w:rsidRPr="000643AE" w:rsidRDefault="008732C0" w:rsidP="008446F3">
            <w:pPr>
              <w:rPr>
                <w:sz w:val="20"/>
                <w:szCs w:val="20"/>
              </w:rPr>
            </w:pPr>
          </w:p>
        </w:tc>
        <w:tc>
          <w:tcPr>
            <w:tcW w:w="1984" w:type="dxa"/>
            <w:tcBorders>
              <w:top w:val="nil"/>
              <w:left w:val="single" w:sz="4" w:space="0" w:color="auto"/>
              <w:bottom w:val="single" w:sz="4" w:space="0" w:color="auto"/>
              <w:right w:val="single" w:sz="4" w:space="0" w:color="auto"/>
            </w:tcBorders>
          </w:tcPr>
          <w:p w:rsidR="008732C0" w:rsidRPr="000643AE" w:rsidRDefault="008732C0" w:rsidP="008446F3">
            <w:pPr>
              <w:rPr>
                <w:sz w:val="20"/>
                <w:szCs w:val="20"/>
              </w:rPr>
            </w:pPr>
          </w:p>
        </w:tc>
        <w:tc>
          <w:tcPr>
            <w:tcW w:w="1276" w:type="dxa"/>
            <w:tcBorders>
              <w:left w:val="single" w:sz="4" w:space="0" w:color="auto"/>
            </w:tcBorders>
          </w:tcPr>
          <w:p w:rsidR="008732C0" w:rsidRPr="000643AE" w:rsidRDefault="008732C0" w:rsidP="008446F3">
            <w:pPr>
              <w:rPr>
                <w:sz w:val="20"/>
                <w:szCs w:val="20"/>
              </w:rPr>
            </w:pPr>
            <w:r w:rsidRPr="000643AE">
              <w:rPr>
                <w:sz w:val="20"/>
                <w:szCs w:val="20"/>
              </w:rPr>
              <w:t>Continuing treatment</w:t>
            </w:r>
          </w:p>
        </w:tc>
        <w:tc>
          <w:tcPr>
            <w:tcW w:w="1985" w:type="dxa"/>
          </w:tcPr>
          <w:p w:rsidR="008732C0" w:rsidRPr="000643AE" w:rsidRDefault="008732C0" w:rsidP="008446F3">
            <w:pPr>
              <w:rPr>
                <w:sz w:val="20"/>
                <w:szCs w:val="20"/>
              </w:rPr>
            </w:pPr>
            <w:r w:rsidRPr="008732C0">
              <w:rPr>
                <w:sz w:val="20"/>
                <w:szCs w:val="20"/>
              </w:rPr>
              <w:t>6803</w:t>
            </w:r>
          </w:p>
        </w:tc>
        <w:tc>
          <w:tcPr>
            <w:tcW w:w="2409" w:type="dxa"/>
          </w:tcPr>
          <w:p w:rsidR="008732C0" w:rsidRPr="008732C0" w:rsidRDefault="008A587A" w:rsidP="008446F3">
            <w:pPr>
              <w:rPr>
                <w:sz w:val="20"/>
                <w:szCs w:val="20"/>
              </w:rPr>
            </w:pPr>
            <w:hyperlink r:id="rId14" w:tooltip="11075x" w:history="1">
              <w:r w:rsidR="008732C0" w:rsidRPr="008732C0">
                <w:rPr>
                  <w:sz w:val="20"/>
                  <w:szCs w:val="20"/>
                </w:rPr>
                <w:t>11075X</w:t>
              </w:r>
            </w:hyperlink>
            <w:r w:rsidR="008732C0" w:rsidRPr="008732C0">
              <w:rPr>
                <w:sz w:val="20"/>
                <w:szCs w:val="20"/>
              </w:rPr>
              <w:t xml:space="preserve"> (20 mg)</w:t>
            </w:r>
          </w:p>
        </w:tc>
      </w:tr>
      <w:tr w:rsidR="00BF27E7" w:rsidTr="00DA2A20">
        <w:tc>
          <w:tcPr>
            <w:tcW w:w="1526" w:type="dxa"/>
            <w:tcBorders>
              <w:top w:val="single" w:sz="4" w:space="0" w:color="auto"/>
              <w:bottom w:val="nil"/>
            </w:tcBorders>
          </w:tcPr>
          <w:p w:rsidR="00BF27E7" w:rsidRDefault="00BF27E7" w:rsidP="008446F3">
            <w:pPr>
              <w:rPr>
                <w:sz w:val="20"/>
                <w:szCs w:val="20"/>
              </w:rPr>
            </w:pPr>
            <w:r w:rsidRPr="000643AE">
              <w:rPr>
                <w:sz w:val="20"/>
                <w:szCs w:val="20"/>
              </w:rPr>
              <w:t>Dabrafenib</w:t>
            </w:r>
          </w:p>
          <w:p w:rsidR="00B9413D" w:rsidRPr="00B9413D" w:rsidRDefault="00B9413D" w:rsidP="00B9413D">
            <w:pPr>
              <w:rPr>
                <w:sz w:val="20"/>
                <w:szCs w:val="20"/>
              </w:rPr>
            </w:pPr>
            <w:r>
              <w:rPr>
                <w:sz w:val="20"/>
                <w:szCs w:val="20"/>
              </w:rPr>
              <w:t>(</w:t>
            </w:r>
            <w:r w:rsidRPr="00B9413D">
              <w:rPr>
                <w:sz w:val="20"/>
                <w:szCs w:val="20"/>
              </w:rPr>
              <w:t>L01XE23)</w:t>
            </w:r>
          </w:p>
          <w:p w:rsidR="00BF27E7" w:rsidRPr="000643AE" w:rsidRDefault="00BF27E7" w:rsidP="00B9413D">
            <w:pPr>
              <w:rPr>
                <w:sz w:val="20"/>
                <w:szCs w:val="20"/>
              </w:rPr>
            </w:pPr>
          </w:p>
        </w:tc>
        <w:tc>
          <w:tcPr>
            <w:tcW w:w="1984" w:type="dxa"/>
            <w:tcBorders>
              <w:top w:val="single" w:sz="4" w:space="0" w:color="auto"/>
              <w:bottom w:val="nil"/>
            </w:tcBorders>
          </w:tcPr>
          <w:p w:rsidR="00BF27E7" w:rsidRPr="000643AE" w:rsidRDefault="00BF27E7" w:rsidP="008446F3">
            <w:pPr>
              <w:rPr>
                <w:sz w:val="20"/>
                <w:szCs w:val="20"/>
              </w:rPr>
            </w:pPr>
            <w:r w:rsidRPr="000643AE">
              <w:rPr>
                <w:sz w:val="20"/>
                <w:szCs w:val="20"/>
              </w:rPr>
              <w:t>Authority Required (STREAMLINED), General  Schedule</w:t>
            </w:r>
          </w:p>
        </w:tc>
        <w:tc>
          <w:tcPr>
            <w:tcW w:w="1276" w:type="dxa"/>
          </w:tcPr>
          <w:p w:rsidR="00BF27E7" w:rsidRDefault="00BF27E7" w:rsidP="008446F3">
            <w:pPr>
              <w:rPr>
                <w:sz w:val="20"/>
                <w:szCs w:val="20"/>
              </w:rPr>
            </w:pPr>
            <w:r w:rsidRPr="000643AE">
              <w:rPr>
                <w:sz w:val="20"/>
                <w:szCs w:val="20"/>
              </w:rPr>
              <w:t xml:space="preserve">Initial </w:t>
            </w:r>
          </w:p>
          <w:p w:rsidR="00BF27E7" w:rsidRPr="000643AE" w:rsidRDefault="00BF27E7" w:rsidP="008446F3">
            <w:pPr>
              <w:rPr>
                <w:sz w:val="20"/>
                <w:szCs w:val="20"/>
              </w:rPr>
            </w:pPr>
            <w:r w:rsidRPr="000643AE">
              <w:rPr>
                <w:sz w:val="20"/>
                <w:szCs w:val="20"/>
              </w:rPr>
              <w:t>treatment</w:t>
            </w:r>
          </w:p>
        </w:tc>
        <w:tc>
          <w:tcPr>
            <w:tcW w:w="1985" w:type="dxa"/>
          </w:tcPr>
          <w:p w:rsidR="00BF27E7" w:rsidRPr="000643AE" w:rsidRDefault="00BF27E7" w:rsidP="008446F3">
            <w:pPr>
              <w:rPr>
                <w:sz w:val="20"/>
                <w:szCs w:val="20"/>
              </w:rPr>
            </w:pPr>
            <w:r w:rsidRPr="000643AE">
              <w:rPr>
                <w:sz w:val="20"/>
                <w:szCs w:val="20"/>
              </w:rPr>
              <w:t>6044</w:t>
            </w:r>
          </w:p>
        </w:tc>
        <w:tc>
          <w:tcPr>
            <w:tcW w:w="2409" w:type="dxa"/>
          </w:tcPr>
          <w:p w:rsidR="00BF27E7" w:rsidRDefault="008A587A" w:rsidP="008446F3">
            <w:pPr>
              <w:rPr>
                <w:sz w:val="20"/>
                <w:szCs w:val="20"/>
              </w:rPr>
            </w:pPr>
            <w:hyperlink r:id="rId15" w:tooltip="2963y" w:history="1">
              <w:r w:rsidR="00BF27E7" w:rsidRPr="000643AE">
                <w:rPr>
                  <w:rFonts w:ascii="Calibri" w:hAnsi="Calibri" w:cs="Calibri"/>
                  <w:sz w:val="20"/>
                  <w:szCs w:val="20"/>
                </w:rPr>
                <w:t>2963Y</w:t>
              </w:r>
            </w:hyperlink>
            <w:r w:rsidR="00BF27E7" w:rsidRPr="000643AE">
              <w:rPr>
                <w:sz w:val="20"/>
                <w:szCs w:val="20"/>
              </w:rPr>
              <w:t xml:space="preserve"> (50 mg), </w:t>
            </w:r>
          </w:p>
          <w:p w:rsidR="00BF27E7" w:rsidRPr="000643AE" w:rsidRDefault="008A587A" w:rsidP="008446F3">
            <w:pPr>
              <w:rPr>
                <w:sz w:val="20"/>
                <w:szCs w:val="20"/>
              </w:rPr>
            </w:pPr>
            <w:hyperlink r:id="rId16" w:tooltip="2846t" w:history="1">
              <w:r w:rsidR="00BF27E7" w:rsidRPr="000643AE">
                <w:rPr>
                  <w:rFonts w:ascii="Calibri" w:hAnsi="Calibri" w:cs="Calibri"/>
                  <w:sz w:val="20"/>
                  <w:szCs w:val="20"/>
                </w:rPr>
                <w:t>2846T</w:t>
              </w:r>
            </w:hyperlink>
            <w:r w:rsidR="00BF27E7" w:rsidRPr="000643AE">
              <w:rPr>
                <w:sz w:val="20"/>
                <w:szCs w:val="20"/>
              </w:rPr>
              <w:t xml:space="preserve"> (75 mg)</w:t>
            </w:r>
          </w:p>
        </w:tc>
      </w:tr>
      <w:tr w:rsidR="00BF27E7" w:rsidTr="00DA2A20">
        <w:tc>
          <w:tcPr>
            <w:tcW w:w="1526" w:type="dxa"/>
            <w:tcBorders>
              <w:top w:val="nil"/>
              <w:bottom w:val="single" w:sz="4" w:space="0" w:color="auto"/>
            </w:tcBorders>
          </w:tcPr>
          <w:p w:rsidR="00BF27E7" w:rsidRPr="000643AE" w:rsidRDefault="00BF27E7" w:rsidP="008446F3">
            <w:pPr>
              <w:rPr>
                <w:sz w:val="20"/>
                <w:szCs w:val="20"/>
              </w:rPr>
            </w:pPr>
          </w:p>
        </w:tc>
        <w:tc>
          <w:tcPr>
            <w:tcW w:w="1984" w:type="dxa"/>
            <w:tcBorders>
              <w:top w:val="nil"/>
              <w:bottom w:val="single" w:sz="4" w:space="0" w:color="auto"/>
            </w:tcBorders>
          </w:tcPr>
          <w:p w:rsidR="00BF27E7" w:rsidRPr="000643AE" w:rsidRDefault="00BF27E7" w:rsidP="008446F3">
            <w:pPr>
              <w:rPr>
                <w:sz w:val="20"/>
                <w:szCs w:val="20"/>
              </w:rPr>
            </w:pPr>
          </w:p>
        </w:tc>
        <w:tc>
          <w:tcPr>
            <w:tcW w:w="1276" w:type="dxa"/>
          </w:tcPr>
          <w:p w:rsidR="00BF27E7" w:rsidRPr="000643AE" w:rsidRDefault="00BF27E7" w:rsidP="008446F3">
            <w:pPr>
              <w:rPr>
                <w:sz w:val="20"/>
                <w:szCs w:val="20"/>
              </w:rPr>
            </w:pPr>
            <w:r w:rsidRPr="000643AE">
              <w:rPr>
                <w:sz w:val="20"/>
                <w:szCs w:val="20"/>
              </w:rPr>
              <w:t>Continuing treatment</w:t>
            </w:r>
          </w:p>
        </w:tc>
        <w:tc>
          <w:tcPr>
            <w:tcW w:w="1985" w:type="dxa"/>
          </w:tcPr>
          <w:p w:rsidR="00BF27E7" w:rsidRPr="000643AE" w:rsidRDefault="00BF27E7" w:rsidP="008446F3">
            <w:pPr>
              <w:rPr>
                <w:sz w:val="20"/>
                <w:szCs w:val="20"/>
              </w:rPr>
            </w:pPr>
            <w:r w:rsidRPr="000643AE">
              <w:rPr>
                <w:rFonts w:ascii="Calibri" w:hAnsi="Calibri" w:cs="Calibri"/>
                <w:sz w:val="20"/>
                <w:szCs w:val="20"/>
              </w:rPr>
              <w:t>6013</w:t>
            </w:r>
          </w:p>
        </w:tc>
        <w:tc>
          <w:tcPr>
            <w:tcW w:w="2409" w:type="dxa"/>
          </w:tcPr>
          <w:p w:rsidR="00BF27E7" w:rsidRDefault="008A587A" w:rsidP="008446F3">
            <w:pPr>
              <w:rPr>
                <w:sz w:val="20"/>
                <w:szCs w:val="20"/>
              </w:rPr>
            </w:pPr>
            <w:hyperlink r:id="rId17" w:tooltip="2954l" w:history="1">
              <w:r w:rsidR="00BF27E7" w:rsidRPr="000643AE">
                <w:rPr>
                  <w:rFonts w:ascii="Calibri" w:hAnsi="Calibri" w:cs="Calibri"/>
                  <w:sz w:val="20"/>
                  <w:szCs w:val="20"/>
                </w:rPr>
                <w:t>2954L</w:t>
              </w:r>
            </w:hyperlink>
            <w:r w:rsidR="00BF27E7" w:rsidRPr="000643AE">
              <w:rPr>
                <w:sz w:val="20"/>
                <w:szCs w:val="20"/>
              </w:rPr>
              <w:t xml:space="preserve"> (50 mg), </w:t>
            </w:r>
          </w:p>
          <w:p w:rsidR="00BF27E7" w:rsidRPr="000643AE" w:rsidRDefault="008A587A" w:rsidP="008446F3">
            <w:pPr>
              <w:rPr>
                <w:sz w:val="20"/>
                <w:szCs w:val="20"/>
              </w:rPr>
            </w:pPr>
            <w:hyperlink r:id="rId18" w:tooltip="10003l" w:history="1">
              <w:r w:rsidR="00BF27E7" w:rsidRPr="000643AE">
                <w:rPr>
                  <w:rFonts w:ascii="Calibri" w:hAnsi="Calibri" w:cs="Calibri"/>
                  <w:sz w:val="20"/>
                  <w:szCs w:val="20"/>
                </w:rPr>
                <w:t>10003L</w:t>
              </w:r>
            </w:hyperlink>
            <w:r w:rsidR="00BF27E7" w:rsidRPr="000643AE">
              <w:rPr>
                <w:sz w:val="20"/>
                <w:szCs w:val="20"/>
              </w:rPr>
              <w:t xml:space="preserve"> (75 mg)</w:t>
            </w:r>
          </w:p>
        </w:tc>
      </w:tr>
      <w:tr w:rsidR="00BF27E7" w:rsidTr="00DA2A20">
        <w:trPr>
          <w:trHeight w:val="866"/>
        </w:trPr>
        <w:tc>
          <w:tcPr>
            <w:tcW w:w="1526" w:type="dxa"/>
            <w:tcBorders>
              <w:bottom w:val="nil"/>
            </w:tcBorders>
          </w:tcPr>
          <w:p w:rsidR="00BF27E7" w:rsidRDefault="00BF27E7" w:rsidP="008446F3">
            <w:pPr>
              <w:rPr>
                <w:sz w:val="20"/>
                <w:szCs w:val="20"/>
              </w:rPr>
            </w:pPr>
            <w:r w:rsidRPr="000643AE">
              <w:rPr>
                <w:sz w:val="20"/>
                <w:szCs w:val="20"/>
              </w:rPr>
              <w:t>Ipilimumab</w:t>
            </w:r>
          </w:p>
          <w:p w:rsidR="00B9413D" w:rsidRPr="00B9413D" w:rsidRDefault="00B9413D" w:rsidP="00B9413D">
            <w:pPr>
              <w:rPr>
                <w:sz w:val="20"/>
                <w:szCs w:val="20"/>
              </w:rPr>
            </w:pPr>
            <w:r>
              <w:rPr>
                <w:sz w:val="20"/>
                <w:szCs w:val="20"/>
              </w:rPr>
              <w:t>(</w:t>
            </w:r>
            <w:r w:rsidRPr="00B9413D">
              <w:rPr>
                <w:sz w:val="20"/>
                <w:szCs w:val="20"/>
              </w:rPr>
              <w:t>L01XC11)</w:t>
            </w:r>
          </w:p>
          <w:p w:rsidR="00B9413D" w:rsidRPr="000643AE" w:rsidRDefault="00B9413D" w:rsidP="008446F3">
            <w:pPr>
              <w:rPr>
                <w:sz w:val="20"/>
                <w:szCs w:val="20"/>
              </w:rPr>
            </w:pPr>
          </w:p>
        </w:tc>
        <w:tc>
          <w:tcPr>
            <w:tcW w:w="1984" w:type="dxa"/>
            <w:tcBorders>
              <w:bottom w:val="nil"/>
            </w:tcBorders>
          </w:tcPr>
          <w:p w:rsidR="00BF27E7" w:rsidRPr="000643AE" w:rsidRDefault="00BF27E7" w:rsidP="008446F3">
            <w:pPr>
              <w:rPr>
                <w:sz w:val="20"/>
                <w:szCs w:val="20"/>
              </w:rPr>
            </w:pPr>
            <w:r w:rsidRPr="000643AE">
              <w:rPr>
                <w:sz w:val="20"/>
                <w:szCs w:val="20"/>
              </w:rPr>
              <w:t xml:space="preserve">Authority Required (STREAMLINED), Chemotherapy Items </w:t>
            </w:r>
          </w:p>
        </w:tc>
        <w:tc>
          <w:tcPr>
            <w:tcW w:w="1276" w:type="dxa"/>
          </w:tcPr>
          <w:p w:rsidR="00BF27E7" w:rsidRPr="000643AE" w:rsidRDefault="00BF27E7" w:rsidP="008446F3">
            <w:pPr>
              <w:rPr>
                <w:sz w:val="20"/>
                <w:szCs w:val="20"/>
              </w:rPr>
            </w:pPr>
            <w:r w:rsidRPr="000643AE">
              <w:rPr>
                <w:sz w:val="20"/>
                <w:szCs w:val="20"/>
              </w:rPr>
              <w:t>Induction Treatment</w:t>
            </w:r>
          </w:p>
        </w:tc>
        <w:tc>
          <w:tcPr>
            <w:tcW w:w="1985" w:type="dxa"/>
          </w:tcPr>
          <w:p w:rsidR="00BF27E7" w:rsidRPr="000643AE" w:rsidRDefault="00BF27E7" w:rsidP="008446F3">
            <w:pPr>
              <w:rPr>
                <w:sz w:val="20"/>
                <w:szCs w:val="20"/>
              </w:rPr>
            </w:pPr>
            <w:r w:rsidRPr="008272E1">
              <w:rPr>
                <w:sz w:val="20"/>
                <w:szCs w:val="20"/>
              </w:rPr>
              <w:t>6562</w:t>
            </w:r>
          </w:p>
        </w:tc>
        <w:tc>
          <w:tcPr>
            <w:tcW w:w="2409" w:type="dxa"/>
          </w:tcPr>
          <w:p w:rsidR="00BF27E7" w:rsidRPr="000643AE" w:rsidRDefault="008A587A" w:rsidP="008446F3">
            <w:pPr>
              <w:rPr>
                <w:sz w:val="20"/>
                <w:szCs w:val="20"/>
              </w:rPr>
            </w:pPr>
            <w:hyperlink r:id="rId19" w:tooltip="2638w" w:history="1">
              <w:r w:rsidR="00BF27E7" w:rsidRPr="008272E1">
                <w:rPr>
                  <w:sz w:val="20"/>
                  <w:szCs w:val="20"/>
                </w:rPr>
                <w:t>2638W</w:t>
              </w:r>
            </w:hyperlink>
            <w:r w:rsidR="00BF27E7" w:rsidRPr="000643AE">
              <w:rPr>
                <w:sz w:val="20"/>
                <w:szCs w:val="20"/>
              </w:rPr>
              <w:t xml:space="preserve"> (Private Hospital), </w:t>
            </w:r>
            <w:hyperlink r:id="rId20" w:tooltip="2641b" w:history="1">
              <w:r w:rsidR="00BF27E7" w:rsidRPr="008272E1">
                <w:rPr>
                  <w:sz w:val="20"/>
                  <w:szCs w:val="20"/>
                </w:rPr>
                <w:t>2641B</w:t>
              </w:r>
            </w:hyperlink>
            <w:r w:rsidR="00BF27E7" w:rsidRPr="000643AE">
              <w:rPr>
                <w:sz w:val="20"/>
                <w:szCs w:val="20"/>
              </w:rPr>
              <w:t xml:space="preserve"> (Public Hospital)</w:t>
            </w:r>
          </w:p>
        </w:tc>
      </w:tr>
      <w:tr w:rsidR="00BF27E7" w:rsidTr="00DA2A20">
        <w:tc>
          <w:tcPr>
            <w:tcW w:w="1526" w:type="dxa"/>
            <w:tcBorders>
              <w:top w:val="nil"/>
              <w:bottom w:val="single" w:sz="4" w:space="0" w:color="auto"/>
            </w:tcBorders>
          </w:tcPr>
          <w:p w:rsidR="00BF27E7" w:rsidRPr="000643AE" w:rsidRDefault="00BF27E7" w:rsidP="008446F3">
            <w:pPr>
              <w:rPr>
                <w:sz w:val="20"/>
                <w:szCs w:val="20"/>
              </w:rPr>
            </w:pPr>
          </w:p>
        </w:tc>
        <w:tc>
          <w:tcPr>
            <w:tcW w:w="1984" w:type="dxa"/>
            <w:tcBorders>
              <w:top w:val="nil"/>
              <w:bottom w:val="single" w:sz="4" w:space="0" w:color="auto"/>
            </w:tcBorders>
          </w:tcPr>
          <w:p w:rsidR="00BF27E7" w:rsidRPr="000643AE" w:rsidRDefault="00BF27E7" w:rsidP="008446F3">
            <w:pPr>
              <w:rPr>
                <w:sz w:val="20"/>
                <w:szCs w:val="20"/>
              </w:rPr>
            </w:pPr>
          </w:p>
        </w:tc>
        <w:tc>
          <w:tcPr>
            <w:tcW w:w="1276" w:type="dxa"/>
          </w:tcPr>
          <w:p w:rsidR="00BF27E7" w:rsidRPr="000643AE" w:rsidRDefault="00BF27E7" w:rsidP="008446F3">
            <w:pPr>
              <w:rPr>
                <w:sz w:val="20"/>
                <w:szCs w:val="20"/>
              </w:rPr>
            </w:pPr>
            <w:r w:rsidRPr="000643AE">
              <w:rPr>
                <w:sz w:val="20"/>
                <w:szCs w:val="20"/>
              </w:rPr>
              <w:t>Re-Induction Treatment</w:t>
            </w:r>
          </w:p>
        </w:tc>
        <w:tc>
          <w:tcPr>
            <w:tcW w:w="1985" w:type="dxa"/>
          </w:tcPr>
          <w:p w:rsidR="00BF27E7" w:rsidRPr="000643AE" w:rsidRDefault="00BF27E7" w:rsidP="008446F3">
            <w:pPr>
              <w:rPr>
                <w:sz w:val="20"/>
                <w:szCs w:val="20"/>
              </w:rPr>
            </w:pPr>
            <w:r w:rsidRPr="008272E1">
              <w:rPr>
                <w:sz w:val="20"/>
                <w:szCs w:val="20"/>
              </w:rPr>
              <w:t>6585</w:t>
            </w:r>
          </w:p>
        </w:tc>
        <w:tc>
          <w:tcPr>
            <w:tcW w:w="2409" w:type="dxa"/>
          </w:tcPr>
          <w:p w:rsidR="00BF27E7" w:rsidRPr="000643AE" w:rsidRDefault="008A587A" w:rsidP="008446F3">
            <w:pPr>
              <w:rPr>
                <w:sz w:val="20"/>
                <w:szCs w:val="20"/>
              </w:rPr>
            </w:pPr>
            <w:hyperlink r:id="rId21" w:tooltip="2638w" w:history="1">
              <w:r w:rsidR="00BF27E7" w:rsidRPr="008272E1">
                <w:rPr>
                  <w:sz w:val="20"/>
                  <w:szCs w:val="20"/>
                </w:rPr>
                <w:t>2638W</w:t>
              </w:r>
            </w:hyperlink>
            <w:r w:rsidR="00BF27E7" w:rsidRPr="000643AE">
              <w:rPr>
                <w:sz w:val="20"/>
                <w:szCs w:val="20"/>
              </w:rPr>
              <w:t xml:space="preserve"> (Private Hospital), </w:t>
            </w:r>
            <w:hyperlink r:id="rId22" w:tooltip="2641b" w:history="1">
              <w:r w:rsidR="00BF27E7" w:rsidRPr="008272E1">
                <w:rPr>
                  <w:sz w:val="20"/>
                  <w:szCs w:val="20"/>
                </w:rPr>
                <w:t>2641B</w:t>
              </w:r>
            </w:hyperlink>
            <w:r w:rsidR="00BF27E7" w:rsidRPr="000643AE">
              <w:rPr>
                <w:sz w:val="20"/>
                <w:szCs w:val="20"/>
              </w:rPr>
              <w:t xml:space="preserve"> (Public Hospital)</w:t>
            </w:r>
          </w:p>
        </w:tc>
      </w:tr>
      <w:tr w:rsidR="003C3B3B" w:rsidTr="00DA2A20">
        <w:tc>
          <w:tcPr>
            <w:tcW w:w="1526" w:type="dxa"/>
            <w:tcBorders>
              <w:bottom w:val="nil"/>
            </w:tcBorders>
          </w:tcPr>
          <w:p w:rsidR="003C3B3B" w:rsidRDefault="003C3B3B" w:rsidP="008446F3">
            <w:pPr>
              <w:rPr>
                <w:sz w:val="20"/>
                <w:szCs w:val="20"/>
              </w:rPr>
            </w:pPr>
            <w:r>
              <w:rPr>
                <w:sz w:val="20"/>
                <w:szCs w:val="20"/>
              </w:rPr>
              <w:t>Nivolumab</w:t>
            </w:r>
          </w:p>
          <w:p w:rsidR="003C3B3B" w:rsidRPr="000643AE" w:rsidRDefault="003C3B3B" w:rsidP="008446F3">
            <w:pPr>
              <w:rPr>
                <w:sz w:val="20"/>
                <w:szCs w:val="20"/>
              </w:rPr>
            </w:pPr>
            <w:r>
              <w:rPr>
                <w:sz w:val="20"/>
                <w:szCs w:val="20"/>
              </w:rPr>
              <w:t>(L01XC)</w:t>
            </w:r>
          </w:p>
        </w:tc>
        <w:tc>
          <w:tcPr>
            <w:tcW w:w="1984" w:type="dxa"/>
            <w:tcBorders>
              <w:bottom w:val="nil"/>
            </w:tcBorders>
          </w:tcPr>
          <w:p w:rsidR="003C3B3B" w:rsidRPr="000643AE" w:rsidRDefault="003C3B3B" w:rsidP="008446F3">
            <w:pPr>
              <w:rPr>
                <w:sz w:val="20"/>
                <w:szCs w:val="20"/>
              </w:rPr>
            </w:pPr>
            <w:r w:rsidRPr="000643AE">
              <w:rPr>
                <w:sz w:val="20"/>
                <w:szCs w:val="20"/>
              </w:rPr>
              <w:t>Authority Required (STREAMLINED), Chemotherapy Items</w:t>
            </w:r>
          </w:p>
        </w:tc>
        <w:tc>
          <w:tcPr>
            <w:tcW w:w="1276" w:type="dxa"/>
          </w:tcPr>
          <w:p w:rsidR="003C3B3B" w:rsidRPr="008272E1" w:rsidRDefault="003C3B3B" w:rsidP="003C3B3B">
            <w:pPr>
              <w:rPr>
                <w:sz w:val="20"/>
                <w:szCs w:val="20"/>
              </w:rPr>
            </w:pPr>
            <w:r w:rsidRPr="008272E1">
              <w:rPr>
                <w:sz w:val="20"/>
                <w:szCs w:val="20"/>
              </w:rPr>
              <w:t xml:space="preserve">Initial </w:t>
            </w:r>
          </w:p>
          <w:p w:rsidR="003C3B3B" w:rsidRPr="000643AE" w:rsidRDefault="003C3B3B" w:rsidP="003C3B3B">
            <w:pPr>
              <w:rPr>
                <w:sz w:val="20"/>
                <w:szCs w:val="20"/>
              </w:rPr>
            </w:pPr>
            <w:r w:rsidRPr="008272E1">
              <w:rPr>
                <w:sz w:val="20"/>
                <w:szCs w:val="20"/>
              </w:rPr>
              <w:t>Treatment</w:t>
            </w:r>
            <w:r w:rsidR="00E24AAE">
              <w:rPr>
                <w:sz w:val="20"/>
                <w:szCs w:val="20"/>
              </w:rPr>
              <w:t xml:space="preserve"> 1</w:t>
            </w:r>
          </w:p>
        </w:tc>
        <w:tc>
          <w:tcPr>
            <w:tcW w:w="1985" w:type="dxa"/>
          </w:tcPr>
          <w:p w:rsidR="003C3B3B" w:rsidRPr="008272E1" w:rsidRDefault="003C3B3B" w:rsidP="008446F3">
            <w:pPr>
              <w:rPr>
                <w:sz w:val="20"/>
                <w:szCs w:val="20"/>
              </w:rPr>
            </w:pPr>
            <w:r w:rsidRPr="003C3B3B">
              <w:rPr>
                <w:sz w:val="20"/>
                <w:szCs w:val="20"/>
              </w:rPr>
              <w:t>6095</w:t>
            </w:r>
            <w:r w:rsidR="00BB0E4B">
              <w:rPr>
                <w:sz w:val="20"/>
                <w:szCs w:val="20"/>
              </w:rPr>
              <w:t xml:space="preserve"> (BRAF positive)</w:t>
            </w:r>
          </w:p>
        </w:tc>
        <w:tc>
          <w:tcPr>
            <w:tcW w:w="2409" w:type="dxa"/>
          </w:tcPr>
          <w:p w:rsidR="00E24AAE" w:rsidRDefault="008A587A" w:rsidP="008446F3">
            <w:pPr>
              <w:rPr>
                <w:sz w:val="20"/>
                <w:szCs w:val="20"/>
              </w:rPr>
            </w:pPr>
            <w:hyperlink r:id="rId23" w:tooltip="10775d" w:history="1">
              <w:r w:rsidR="00E24AAE" w:rsidRPr="00E24AAE">
                <w:rPr>
                  <w:sz w:val="20"/>
                  <w:szCs w:val="20"/>
                </w:rPr>
                <w:t>10775D</w:t>
              </w:r>
            </w:hyperlink>
            <w:r w:rsidR="00E24AAE" w:rsidRPr="00E24AAE">
              <w:rPr>
                <w:sz w:val="20"/>
                <w:szCs w:val="20"/>
              </w:rPr>
              <w:t xml:space="preserve"> (Private Hospital)</w:t>
            </w:r>
          </w:p>
          <w:p w:rsidR="003C3B3B" w:rsidRDefault="008A587A" w:rsidP="008446F3">
            <w:hyperlink r:id="rId24" w:tooltip="10764m" w:history="1">
              <w:r w:rsidR="003C3B3B" w:rsidRPr="003C3B3B">
                <w:rPr>
                  <w:sz w:val="20"/>
                  <w:szCs w:val="20"/>
                </w:rPr>
                <w:t>10764M</w:t>
              </w:r>
            </w:hyperlink>
            <w:r w:rsidR="003C3B3B" w:rsidRPr="003C3B3B">
              <w:rPr>
                <w:sz w:val="20"/>
                <w:szCs w:val="20"/>
              </w:rPr>
              <w:t xml:space="preserve"> (Public Hospital)</w:t>
            </w:r>
          </w:p>
        </w:tc>
      </w:tr>
      <w:tr w:rsidR="00E24AAE" w:rsidTr="00DA2A20">
        <w:tc>
          <w:tcPr>
            <w:tcW w:w="1526" w:type="dxa"/>
            <w:tcBorders>
              <w:top w:val="nil"/>
              <w:bottom w:val="nil"/>
            </w:tcBorders>
          </w:tcPr>
          <w:p w:rsidR="00E24AAE" w:rsidRDefault="00E24AAE" w:rsidP="008446F3">
            <w:pPr>
              <w:rPr>
                <w:sz w:val="20"/>
                <w:szCs w:val="20"/>
              </w:rPr>
            </w:pPr>
          </w:p>
        </w:tc>
        <w:tc>
          <w:tcPr>
            <w:tcW w:w="1984" w:type="dxa"/>
            <w:tcBorders>
              <w:top w:val="nil"/>
              <w:bottom w:val="nil"/>
            </w:tcBorders>
          </w:tcPr>
          <w:p w:rsidR="00E24AAE" w:rsidRPr="000643AE" w:rsidRDefault="00E24AAE" w:rsidP="008446F3">
            <w:pPr>
              <w:rPr>
                <w:sz w:val="20"/>
                <w:szCs w:val="20"/>
              </w:rPr>
            </w:pPr>
          </w:p>
        </w:tc>
        <w:tc>
          <w:tcPr>
            <w:tcW w:w="1276" w:type="dxa"/>
          </w:tcPr>
          <w:p w:rsidR="00E24AAE" w:rsidRPr="008272E1" w:rsidRDefault="00E24AAE" w:rsidP="00E24AAE">
            <w:pPr>
              <w:rPr>
                <w:sz w:val="20"/>
                <w:szCs w:val="20"/>
              </w:rPr>
            </w:pPr>
            <w:r w:rsidRPr="008272E1">
              <w:rPr>
                <w:sz w:val="20"/>
                <w:szCs w:val="20"/>
              </w:rPr>
              <w:t xml:space="preserve">Initial </w:t>
            </w:r>
          </w:p>
          <w:p w:rsidR="00E24AAE" w:rsidRPr="008272E1" w:rsidRDefault="00E24AAE" w:rsidP="00E24AAE">
            <w:pPr>
              <w:rPr>
                <w:sz w:val="20"/>
                <w:szCs w:val="20"/>
              </w:rPr>
            </w:pPr>
            <w:r w:rsidRPr="008272E1">
              <w:rPr>
                <w:sz w:val="20"/>
                <w:szCs w:val="20"/>
              </w:rPr>
              <w:t>Treatment</w:t>
            </w:r>
            <w:r>
              <w:rPr>
                <w:sz w:val="20"/>
                <w:szCs w:val="20"/>
              </w:rPr>
              <w:t xml:space="preserve"> 2</w:t>
            </w:r>
          </w:p>
        </w:tc>
        <w:tc>
          <w:tcPr>
            <w:tcW w:w="1985" w:type="dxa"/>
          </w:tcPr>
          <w:p w:rsidR="00E24AAE" w:rsidRPr="003C3B3B" w:rsidRDefault="00E24AAE" w:rsidP="008446F3">
            <w:pPr>
              <w:rPr>
                <w:sz w:val="20"/>
                <w:szCs w:val="20"/>
              </w:rPr>
            </w:pPr>
            <w:r w:rsidRPr="000D215B">
              <w:rPr>
                <w:sz w:val="20"/>
                <w:szCs w:val="20"/>
              </w:rPr>
              <w:t>6070</w:t>
            </w:r>
            <w:r w:rsidR="00BB0E4B">
              <w:rPr>
                <w:sz w:val="20"/>
                <w:szCs w:val="20"/>
              </w:rPr>
              <w:t>(BRAF negative)</w:t>
            </w:r>
          </w:p>
        </w:tc>
        <w:tc>
          <w:tcPr>
            <w:tcW w:w="2409" w:type="dxa"/>
          </w:tcPr>
          <w:p w:rsidR="00E24AAE" w:rsidRDefault="008A587A" w:rsidP="00E24AAE">
            <w:pPr>
              <w:rPr>
                <w:sz w:val="20"/>
                <w:szCs w:val="20"/>
              </w:rPr>
            </w:pPr>
            <w:hyperlink r:id="rId25" w:tooltip="10775d" w:history="1">
              <w:r w:rsidR="00E24AAE" w:rsidRPr="00E24AAE">
                <w:rPr>
                  <w:sz w:val="20"/>
                  <w:szCs w:val="20"/>
                </w:rPr>
                <w:t>10775D</w:t>
              </w:r>
            </w:hyperlink>
            <w:r w:rsidR="00E24AAE" w:rsidRPr="00E24AAE">
              <w:rPr>
                <w:sz w:val="20"/>
                <w:szCs w:val="20"/>
              </w:rPr>
              <w:t xml:space="preserve"> (Private Hospital)</w:t>
            </w:r>
          </w:p>
          <w:p w:rsidR="00E24AAE" w:rsidRPr="003C3B3B" w:rsidRDefault="008A587A" w:rsidP="00E24AAE">
            <w:pPr>
              <w:rPr>
                <w:sz w:val="20"/>
                <w:szCs w:val="20"/>
              </w:rPr>
            </w:pPr>
            <w:hyperlink r:id="rId26" w:tooltip="10764m" w:history="1">
              <w:r w:rsidR="00E24AAE" w:rsidRPr="003C3B3B">
                <w:rPr>
                  <w:sz w:val="20"/>
                  <w:szCs w:val="20"/>
                </w:rPr>
                <w:t>10764M</w:t>
              </w:r>
            </w:hyperlink>
            <w:r w:rsidR="00E24AAE" w:rsidRPr="003C3B3B">
              <w:rPr>
                <w:sz w:val="20"/>
                <w:szCs w:val="20"/>
              </w:rPr>
              <w:t xml:space="preserve"> (Public Hospital)</w:t>
            </w:r>
          </w:p>
        </w:tc>
      </w:tr>
      <w:tr w:rsidR="000732F7" w:rsidTr="00DA2A20">
        <w:tc>
          <w:tcPr>
            <w:tcW w:w="1526" w:type="dxa"/>
            <w:tcBorders>
              <w:top w:val="nil"/>
              <w:bottom w:val="single" w:sz="4" w:space="0" w:color="auto"/>
            </w:tcBorders>
          </w:tcPr>
          <w:p w:rsidR="000732F7" w:rsidRDefault="000732F7" w:rsidP="008446F3">
            <w:pPr>
              <w:rPr>
                <w:sz w:val="20"/>
                <w:szCs w:val="20"/>
              </w:rPr>
            </w:pPr>
          </w:p>
        </w:tc>
        <w:tc>
          <w:tcPr>
            <w:tcW w:w="1984" w:type="dxa"/>
            <w:tcBorders>
              <w:top w:val="nil"/>
              <w:bottom w:val="single" w:sz="4" w:space="0" w:color="auto"/>
            </w:tcBorders>
          </w:tcPr>
          <w:p w:rsidR="000732F7" w:rsidRPr="000643AE" w:rsidRDefault="000732F7" w:rsidP="008446F3">
            <w:pPr>
              <w:rPr>
                <w:sz w:val="20"/>
                <w:szCs w:val="20"/>
              </w:rPr>
            </w:pPr>
          </w:p>
        </w:tc>
        <w:tc>
          <w:tcPr>
            <w:tcW w:w="1276" w:type="dxa"/>
          </w:tcPr>
          <w:p w:rsidR="000732F7" w:rsidRPr="008272E1" w:rsidRDefault="000732F7" w:rsidP="00E24AAE">
            <w:pPr>
              <w:rPr>
                <w:sz w:val="20"/>
                <w:szCs w:val="20"/>
              </w:rPr>
            </w:pPr>
            <w:r w:rsidRPr="000643AE">
              <w:rPr>
                <w:sz w:val="20"/>
                <w:szCs w:val="20"/>
              </w:rPr>
              <w:t>Continuing treatment</w:t>
            </w:r>
          </w:p>
        </w:tc>
        <w:tc>
          <w:tcPr>
            <w:tcW w:w="1985" w:type="dxa"/>
          </w:tcPr>
          <w:p w:rsidR="000732F7" w:rsidRPr="000D215B" w:rsidRDefault="000D215B" w:rsidP="008446F3">
            <w:pPr>
              <w:rPr>
                <w:sz w:val="20"/>
                <w:szCs w:val="20"/>
              </w:rPr>
            </w:pPr>
            <w:r w:rsidRPr="000D215B">
              <w:rPr>
                <w:sz w:val="20"/>
                <w:szCs w:val="20"/>
              </w:rPr>
              <w:t>6111</w:t>
            </w:r>
          </w:p>
        </w:tc>
        <w:tc>
          <w:tcPr>
            <w:tcW w:w="2409" w:type="dxa"/>
          </w:tcPr>
          <w:p w:rsidR="000732F7" w:rsidRPr="000D215B" w:rsidRDefault="008A587A" w:rsidP="00E24AAE">
            <w:pPr>
              <w:rPr>
                <w:sz w:val="20"/>
                <w:szCs w:val="20"/>
              </w:rPr>
            </w:pPr>
            <w:hyperlink r:id="rId27" w:tooltip="10745m" w:history="1">
              <w:r w:rsidR="000D215B" w:rsidRPr="000D215B">
                <w:rPr>
                  <w:sz w:val="20"/>
                  <w:szCs w:val="20"/>
                </w:rPr>
                <w:t>10745M</w:t>
              </w:r>
            </w:hyperlink>
            <w:r w:rsidR="000D215B" w:rsidRPr="000D215B">
              <w:rPr>
                <w:sz w:val="20"/>
                <w:szCs w:val="20"/>
              </w:rPr>
              <w:t xml:space="preserve"> (Public Hospital)</w:t>
            </w:r>
          </w:p>
          <w:p w:rsidR="000D215B" w:rsidRPr="00E24AAE" w:rsidRDefault="008A587A" w:rsidP="00E24AAE">
            <w:pPr>
              <w:rPr>
                <w:sz w:val="20"/>
                <w:szCs w:val="20"/>
              </w:rPr>
            </w:pPr>
            <w:hyperlink r:id="rId28" w:tooltip="10748q" w:history="1">
              <w:r w:rsidR="000D215B" w:rsidRPr="000D215B">
                <w:rPr>
                  <w:sz w:val="20"/>
                  <w:szCs w:val="20"/>
                </w:rPr>
                <w:t>10748Q</w:t>
              </w:r>
            </w:hyperlink>
            <w:r w:rsidR="000D215B" w:rsidRPr="000D215B">
              <w:rPr>
                <w:sz w:val="20"/>
                <w:szCs w:val="20"/>
              </w:rPr>
              <w:t xml:space="preserve"> (Private Hospital)</w:t>
            </w:r>
          </w:p>
        </w:tc>
      </w:tr>
      <w:tr w:rsidR="00BF27E7" w:rsidTr="00DA2A20">
        <w:tc>
          <w:tcPr>
            <w:tcW w:w="1526" w:type="dxa"/>
            <w:tcBorders>
              <w:top w:val="single" w:sz="4" w:space="0" w:color="auto"/>
              <w:bottom w:val="nil"/>
            </w:tcBorders>
          </w:tcPr>
          <w:p w:rsidR="00BF27E7" w:rsidRPr="00B9413D" w:rsidRDefault="00BF27E7" w:rsidP="008446F3">
            <w:pPr>
              <w:rPr>
                <w:sz w:val="20"/>
                <w:szCs w:val="20"/>
              </w:rPr>
            </w:pPr>
            <w:r w:rsidRPr="000643AE">
              <w:rPr>
                <w:sz w:val="20"/>
                <w:szCs w:val="20"/>
              </w:rPr>
              <w:t>Pembrolizumab</w:t>
            </w:r>
            <w:r w:rsidR="00B9413D">
              <w:rPr>
                <w:sz w:val="20"/>
                <w:szCs w:val="20"/>
              </w:rPr>
              <w:t xml:space="preserve"> (</w:t>
            </w:r>
            <w:r w:rsidR="00B9413D" w:rsidRPr="00B9413D">
              <w:rPr>
                <w:sz w:val="20"/>
                <w:szCs w:val="20"/>
              </w:rPr>
              <w:t>L01XC18)</w:t>
            </w:r>
          </w:p>
        </w:tc>
        <w:tc>
          <w:tcPr>
            <w:tcW w:w="1984" w:type="dxa"/>
            <w:tcBorders>
              <w:top w:val="single" w:sz="4" w:space="0" w:color="auto"/>
              <w:bottom w:val="nil"/>
            </w:tcBorders>
          </w:tcPr>
          <w:p w:rsidR="00BF27E7" w:rsidRPr="000643AE" w:rsidRDefault="00BF27E7" w:rsidP="008446F3">
            <w:pPr>
              <w:rPr>
                <w:sz w:val="20"/>
                <w:szCs w:val="20"/>
              </w:rPr>
            </w:pPr>
            <w:r w:rsidRPr="000643AE">
              <w:rPr>
                <w:sz w:val="20"/>
                <w:szCs w:val="20"/>
              </w:rPr>
              <w:t>Authority Required (STREAMLINED), Chemotherapy Items</w:t>
            </w:r>
          </w:p>
        </w:tc>
        <w:tc>
          <w:tcPr>
            <w:tcW w:w="1276" w:type="dxa"/>
          </w:tcPr>
          <w:p w:rsidR="00BF27E7" w:rsidRDefault="00BF27E7" w:rsidP="008446F3">
            <w:pPr>
              <w:rPr>
                <w:sz w:val="20"/>
                <w:szCs w:val="20"/>
              </w:rPr>
            </w:pPr>
            <w:r w:rsidRPr="000643AE">
              <w:rPr>
                <w:sz w:val="20"/>
                <w:szCs w:val="20"/>
              </w:rPr>
              <w:t xml:space="preserve">Initial </w:t>
            </w:r>
          </w:p>
          <w:p w:rsidR="00BF27E7" w:rsidRPr="000643AE" w:rsidRDefault="00BF27E7" w:rsidP="008446F3">
            <w:pPr>
              <w:rPr>
                <w:sz w:val="20"/>
                <w:szCs w:val="20"/>
              </w:rPr>
            </w:pPr>
            <w:r w:rsidRPr="000643AE">
              <w:rPr>
                <w:sz w:val="20"/>
                <w:szCs w:val="20"/>
              </w:rPr>
              <w:t xml:space="preserve">Treatment </w:t>
            </w:r>
          </w:p>
        </w:tc>
        <w:tc>
          <w:tcPr>
            <w:tcW w:w="1985" w:type="dxa"/>
          </w:tcPr>
          <w:p w:rsidR="00BF27E7" w:rsidRPr="000643AE" w:rsidRDefault="00BF27E7" w:rsidP="008446F3">
            <w:pPr>
              <w:rPr>
                <w:sz w:val="20"/>
                <w:szCs w:val="20"/>
              </w:rPr>
            </w:pPr>
            <w:r w:rsidRPr="008272E1">
              <w:rPr>
                <w:sz w:val="20"/>
                <w:szCs w:val="20"/>
              </w:rPr>
              <w:t>6806 (BRAF positive), 6817 (BRAF negative)</w:t>
            </w:r>
          </w:p>
        </w:tc>
        <w:tc>
          <w:tcPr>
            <w:tcW w:w="2409" w:type="dxa"/>
          </w:tcPr>
          <w:p w:rsidR="00BF27E7" w:rsidRPr="000643AE" w:rsidRDefault="008A587A" w:rsidP="008446F3">
            <w:pPr>
              <w:rPr>
                <w:sz w:val="20"/>
                <w:szCs w:val="20"/>
              </w:rPr>
            </w:pPr>
            <w:hyperlink r:id="rId29" w:tooltip="10475h" w:history="1">
              <w:r w:rsidR="00BF27E7" w:rsidRPr="008272E1">
                <w:rPr>
                  <w:sz w:val="20"/>
                  <w:szCs w:val="20"/>
                </w:rPr>
                <w:t>10475H</w:t>
              </w:r>
            </w:hyperlink>
            <w:r w:rsidR="00BF27E7" w:rsidRPr="000643AE">
              <w:rPr>
                <w:sz w:val="20"/>
                <w:szCs w:val="20"/>
              </w:rPr>
              <w:t xml:space="preserve"> (Private Hospital), </w:t>
            </w:r>
            <w:hyperlink r:id="rId30" w:tooltip="10493g" w:history="1">
              <w:r w:rsidR="00BF27E7" w:rsidRPr="008272E1">
                <w:rPr>
                  <w:sz w:val="20"/>
                  <w:szCs w:val="20"/>
                </w:rPr>
                <w:t>10493G</w:t>
              </w:r>
            </w:hyperlink>
            <w:r w:rsidR="00BF27E7" w:rsidRPr="000643AE">
              <w:rPr>
                <w:sz w:val="20"/>
                <w:szCs w:val="20"/>
              </w:rPr>
              <w:t xml:space="preserve"> (Public Hospital)</w:t>
            </w:r>
          </w:p>
        </w:tc>
      </w:tr>
      <w:tr w:rsidR="00BF27E7" w:rsidTr="00DA2A20">
        <w:tc>
          <w:tcPr>
            <w:tcW w:w="1526" w:type="dxa"/>
            <w:tcBorders>
              <w:top w:val="nil"/>
              <w:bottom w:val="single" w:sz="4" w:space="0" w:color="auto"/>
            </w:tcBorders>
          </w:tcPr>
          <w:p w:rsidR="00BF27E7" w:rsidRPr="000643AE" w:rsidRDefault="00BF27E7" w:rsidP="008446F3">
            <w:pPr>
              <w:rPr>
                <w:sz w:val="20"/>
                <w:szCs w:val="20"/>
              </w:rPr>
            </w:pPr>
          </w:p>
        </w:tc>
        <w:tc>
          <w:tcPr>
            <w:tcW w:w="1984" w:type="dxa"/>
            <w:tcBorders>
              <w:top w:val="nil"/>
              <w:bottom w:val="single" w:sz="4" w:space="0" w:color="auto"/>
            </w:tcBorders>
          </w:tcPr>
          <w:p w:rsidR="00BF27E7" w:rsidRPr="000643AE" w:rsidRDefault="00BF27E7" w:rsidP="008446F3">
            <w:pPr>
              <w:rPr>
                <w:sz w:val="20"/>
                <w:szCs w:val="20"/>
              </w:rPr>
            </w:pPr>
          </w:p>
        </w:tc>
        <w:tc>
          <w:tcPr>
            <w:tcW w:w="1276" w:type="dxa"/>
          </w:tcPr>
          <w:p w:rsidR="00BF27E7" w:rsidRPr="000643AE" w:rsidRDefault="00BF27E7" w:rsidP="008446F3">
            <w:pPr>
              <w:rPr>
                <w:sz w:val="20"/>
                <w:szCs w:val="20"/>
              </w:rPr>
            </w:pPr>
            <w:r w:rsidRPr="000643AE">
              <w:rPr>
                <w:sz w:val="20"/>
                <w:szCs w:val="20"/>
              </w:rPr>
              <w:t>Continuing Treatment</w:t>
            </w:r>
          </w:p>
        </w:tc>
        <w:tc>
          <w:tcPr>
            <w:tcW w:w="1985" w:type="dxa"/>
          </w:tcPr>
          <w:p w:rsidR="00BF27E7" w:rsidRPr="008272E1" w:rsidRDefault="00BF27E7" w:rsidP="008446F3">
            <w:pPr>
              <w:rPr>
                <w:sz w:val="20"/>
                <w:szCs w:val="20"/>
              </w:rPr>
            </w:pPr>
            <w:r w:rsidRPr="008272E1">
              <w:rPr>
                <w:sz w:val="20"/>
                <w:szCs w:val="20"/>
              </w:rPr>
              <w:t>6801</w:t>
            </w:r>
          </w:p>
        </w:tc>
        <w:tc>
          <w:tcPr>
            <w:tcW w:w="2409" w:type="dxa"/>
          </w:tcPr>
          <w:p w:rsidR="00BF27E7" w:rsidRPr="000643AE" w:rsidRDefault="008A587A" w:rsidP="008446F3">
            <w:pPr>
              <w:rPr>
                <w:sz w:val="20"/>
                <w:szCs w:val="20"/>
              </w:rPr>
            </w:pPr>
            <w:hyperlink r:id="rId31" w:tooltip="10424p" w:history="1">
              <w:r w:rsidR="00BF27E7" w:rsidRPr="008272E1">
                <w:rPr>
                  <w:sz w:val="20"/>
                  <w:szCs w:val="20"/>
                </w:rPr>
                <w:t>10424P</w:t>
              </w:r>
            </w:hyperlink>
            <w:r w:rsidR="00BF27E7" w:rsidRPr="000643AE">
              <w:rPr>
                <w:sz w:val="20"/>
                <w:szCs w:val="20"/>
              </w:rPr>
              <w:t xml:space="preserve"> (Private Hospital), </w:t>
            </w:r>
            <w:hyperlink r:id="rId32" w:tooltip="10436g" w:history="1">
              <w:r w:rsidR="00BF27E7" w:rsidRPr="008272E1">
                <w:rPr>
                  <w:sz w:val="20"/>
                  <w:szCs w:val="20"/>
                </w:rPr>
                <w:t>10436G</w:t>
              </w:r>
            </w:hyperlink>
            <w:r w:rsidR="00BF27E7" w:rsidRPr="000643AE">
              <w:rPr>
                <w:sz w:val="20"/>
                <w:szCs w:val="20"/>
              </w:rPr>
              <w:t xml:space="preserve"> (Public Hospital)</w:t>
            </w:r>
          </w:p>
        </w:tc>
      </w:tr>
      <w:tr w:rsidR="00BF27E7" w:rsidTr="00DA2A20">
        <w:tc>
          <w:tcPr>
            <w:tcW w:w="1526" w:type="dxa"/>
            <w:tcBorders>
              <w:top w:val="single" w:sz="4" w:space="0" w:color="auto"/>
              <w:bottom w:val="nil"/>
            </w:tcBorders>
          </w:tcPr>
          <w:p w:rsidR="00BF27E7" w:rsidRDefault="00BF27E7" w:rsidP="008446F3">
            <w:pPr>
              <w:rPr>
                <w:sz w:val="20"/>
                <w:szCs w:val="20"/>
              </w:rPr>
            </w:pPr>
            <w:r w:rsidRPr="008272E1">
              <w:rPr>
                <w:sz w:val="20"/>
                <w:szCs w:val="20"/>
              </w:rPr>
              <w:t>Trametinib</w:t>
            </w:r>
          </w:p>
          <w:p w:rsidR="00B9413D" w:rsidRPr="00B9413D" w:rsidRDefault="00B9413D" w:rsidP="008446F3">
            <w:pPr>
              <w:rPr>
                <w:sz w:val="20"/>
                <w:szCs w:val="20"/>
              </w:rPr>
            </w:pPr>
            <w:r>
              <w:rPr>
                <w:sz w:val="20"/>
                <w:szCs w:val="20"/>
              </w:rPr>
              <w:t>(</w:t>
            </w:r>
            <w:r w:rsidRPr="00B9413D">
              <w:rPr>
                <w:sz w:val="20"/>
                <w:szCs w:val="20"/>
              </w:rPr>
              <w:t>L01XE25)</w:t>
            </w:r>
          </w:p>
        </w:tc>
        <w:tc>
          <w:tcPr>
            <w:tcW w:w="1984" w:type="dxa"/>
            <w:tcBorders>
              <w:top w:val="single" w:sz="4" w:space="0" w:color="auto"/>
              <w:bottom w:val="nil"/>
            </w:tcBorders>
          </w:tcPr>
          <w:p w:rsidR="00BF27E7" w:rsidRPr="008272E1" w:rsidRDefault="00BF27E7" w:rsidP="008446F3">
            <w:pPr>
              <w:rPr>
                <w:sz w:val="20"/>
                <w:szCs w:val="20"/>
              </w:rPr>
            </w:pPr>
            <w:r w:rsidRPr="008272E1">
              <w:rPr>
                <w:sz w:val="20"/>
                <w:szCs w:val="20"/>
              </w:rPr>
              <w:t>Authority Required (STREAMLINED), General  Schedule</w:t>
            </w:r>
          </w:p>
        </w:tc>
        <w:tc>
          <w:tcPr>
            <w:tcW w:w="1276" w:type="dxa"/>
          </w:tcPr>
          <w:p w:rsidR="00BF27E7" w:rsidRPr="008272E1" w:rsidRDefault="00BF27E7" w:rsidP="008446F3">
            <w:pPr>
              <w:rPr>
                <w:sz w:val="20"/>
                <w:szCs w:val="20"/>
              </w:rPr>
            </w:pPr>
            <w:r w:rsidRPr="008272E1">
              <w:rPr>
                <w:sz w:val="20"/>
                <w:szCs w:val="20"/>
              </w:rPr>
              <w:t xml:space="preserve">Initial </w:t>
            </w:r>
          </w:p>
          <w:p w:rsidR="00BF27E7" w:rsidRPr="008272E1" w:rsidRDefault="00BF27E7" w:rsidP="008446F3">
            <w:pPr>
              <w:rPr>
                <w:sz w:val="20"/>
                <w:szCs w:val="20"/>
              </w:rPr>
            </w:pPr>
            <w:r w:rsidRPr="008272E1">
              <w:rPr>
                <w:sz w:val="20"/>
                <w:szCs w:val="20"/>
              </w:rPr>
              <w:t>Treatment</w:t>
            </w:r>
          </w:p>
        </w:tc>
        <w:tc>
          <w:tcPr>
            <w:tcW w:w="1985" w:type="dxa"/>
          </w:tcPr>
          <w:p w:rsidR="00BF27E7" w:rsidRPr="008272E1" w:rsidRDefault="00BF27E7" w:rsidP="008446F3">
            <w:pPr>
              <w:rPr>
                <w:sz w:val="20"/>
                <w:szCs w:val="20"/>
              </w:rPr>
            </w:pPr>
            <w:r w:rsidRPr="008272E1">
              <w:rPr>
                <w:sz w:val="20"/>
                <w:szCs w:val="20"/>
              </w:rPr>
              <w:t>6778</w:t>
            </w:r>
          </w:p>
        </w:tc>
        <w:tc>
          <w:tcPr>
            <w:tcW w:w="2409" w:type="dxa"/>
          </w:tcPr>
          <w:p w:rsidR="00BF27E7" w:rsidRPr="008272E1" w:rsidRDefault="008A587A" w:rsidP="008446F3">
            <w:pPr>
              <w:rPr>
                <w:sz w:val="20"/>
                <w:szCs w:val="20"/>
              </w:rPr>
            </w:pPr>
            <w:hyperlink r:id="rId33" w:tooltip="10403m" w:history="1">
              <w:r w:rsidR="00BF27E7" w:rsidRPr="008272E1">
                <w:rPr>
                  <w:sz w:val="20"/>
                  <w:szCs w:val="20"/>
                </w:rPr>
                <w:t>10403M</w:t>
              </w:r>
            </w:hyperlink>
            <w:r w:rsidR="00BF27E7" w:rsidRPr="008272E1">
              <w:rPr>
                <w:sz w:val="20"/>
                <w:szCs w:val="20"/>
              </w:rPr>
              <w:t xml:space="preserve">  (0.5 mg), </w:t>
            </w:r>
          </w:p>
          <w:p w:rsidR="00BF27E7" w:rsidRPr="008272E1" w:rsidRDefault="008A587A" w:rsidP="008446F3">
            <w:pPr>
              <w:rPr>
                <w:sz w:val="20"/>
                <w:szCs w:val="20"/>
              </w:rPr>
            </w:pPr>
            <w:hyperlink r:id="rId34" w:tooltip="10382k" w:history="1">
              <w:r w:rsidR="00BF27E7" w:rsidRPr="008272E1">
                <w:rPr>
                  <w:sz w:val="20"/>
                  <w:szCs w:val="20"/>
                </w:rPr>
                <w:t>10382K</w:t>
              </w:r>
            </w:hyperlink>
            <w:r w:rsidR="00BF27E7" w:rsidRPr="008272E1">
              <w:rPr>
                <w:sz w:val="20"/>
                <w:szCs w:val="20"/>
              </w:rPr>
              <w:t xml:space="preserve"> </w:t>
            </w:r>
            <w:r w:rsidR="00CC46AB">
              <w:rPr>
                <w:sz w:val="20"/>
                <w:szCs w:val="20"/>
              </w:rPr>
              <w:t>(2 mg)</w:t>
            </w:r>
          </w:p>
        </w:tc>
      </w:tr>
      <w:tr w:rsidR="00BF27E7" w:rsidTr="00DA2A20">
        <w:tc>
          <w:tcPr>
            <w:tcW w:w="1526" w:type="dxa"/>
            <w:tcBorders>
              <w:top w:val="nil"/>
              <w:bottom w:val="single" w:sz="4" w:space="0" w:color="auto"/>
            </w:tcBorders>
          </w:tcPr>
          <w:p w:rsidR="00BF27E7" w:rsidRPr="008272E1" w:rsidRDefault="00BF27E7" w:rsidP="008446F3">
            <w:pPr>
              <w:rPr>
                <w:sz w:val="20"/>
                <w:szCs w:val="20"/>
              </w:rPr>
            </w:pPr>
          </w:p>
        </w:tc>
        <w:tc>
          <w:tcPr>
            <w:tcW w:w="1984" w:type="dxa"/>
            <w:tcBorders>
              <w:top w:val="nil"/>
              <w:bottom w:val="single" w:sz="4" w:space="0" w:color="auto"/>
            </w:tcBorders>
          </w:tcPr>
          <w:p w:rsidR="00BF27E7" w:rsidRPr="008272E1" w:rsidRDefault="00BF27E7" w:rsidP="008446F3">
            <w:pPr>
              <w:rPr>
                <w:sz w:val="20"/>
                <w:szCs w:val="20"/>
              </w:rPr>
            </w:pPr>
          </w:p>
        </w:tc>
        <w:tc>
          <w:tcPr>
            <w:tcW w:w="1276" w:type="dxa"/>
          </w:tcPr>
          <w:p w:rsidR="00BF27E7" w:rsidRPr="008272E1" w:rsidRDefault="00BF27E7" w:rsidP="008446F3">
            <w:pPr>
              <w:rPr>
                <w:sz w:val="20"/>
                <w:szCs w:val="20"/>
              </w:rPr>
            </w:pPr>
            <w:r w:rsidRPr="008272E1">
              <w:rPr>
                <w:sz w:val="20"/>
                <w:szCs w:val="20"/>
              </w:rPr>
              <w:t>Continuing Treatment</w:t>
            </w:r>
          </w:p>
        </w:tc>
        <w:tc>
          <w:tcPr>
            <w:tcW w:w="1985" w:type="dxa"/>
          </w:tcPr>
          <w:p w:rsidR="00BF27E7" w:rsidRPr="008272E1" w:rsidRDefault="00BF27E7" w:rsidP="008446F3">
            <w:pPr>
              <w:rPr>
                <w:sz w:val="20"/>
                <w:szCs w:val="20"/>
              </w:rPr>
            </w:pPr>
            <w:r w:rsidRPr="008272E1">
              <w:rPr>
                <w:sz w:val="20"/>
                <w:szCs w:val="20"/>
              </w:rPr>
              <w:t>6752</w:t>
            </w:r>
          </w:p>
        </w:tc>
        <w:tc>
          <w:tcPr>
            <w:tcW w:w="2409" w:type="dxa"/>
          </w:tcPr>
          <w:p w:rsidR="00BF27E7" w:rsidRPr="008272E1" w:rsidRDefault="008A587A" w:rsidP="008446F3">
            <w:pPr>
              <w:rPr>
                <w:sz w:val="20"/>
                <w:szCs w:val="20"/>
              </w:rPr>
            </w:pPr>
            <w:hyperlink r:id="rId35" w:tooltip="10385n" w:history="1">
              <w:r w:rsidR="00BF27E7" w:rsidRPr="008272E1">
                <w:rPr>
                  <w:sz w:val="20"/>
                  <w:szCs w:val="20"/>
                </w:rPr>
                <w:t>10385N</w:t>
              </w:r>
            </w:hyperlink>
            <w:r w:rsidR="00BF27E7" w:rsidRPr="008272E1">
              <w:rPr>
                <w:sz w:val="20"/>
                <w:szCs w:val="20"/>
              </w:rPr>
              <w:t xml:space="preserve"> (0.5 mg), </w:t>
            </w:r>
          </w:p>
          <w:p w:rsidR="00BF27E7" w:rsidRPr="008272E1" w:rsidRDefault="008A587A" w:rsidP="008446F3">
            <w:pPr>
              <w:rPr>
                <w:sz w:val="20"/>
                <w:szCs w:val="20"/>
              </w:rPr>
            </w:pPr>
            <w:hyperlink r:id="rId36" w:tooltip="10405p" w:history="1">
              <w:r w:rsidR="00BF27E7" w:rsidRPr="008272E1">
                <w:rPr>
                  <w:sz w:val="20"/>
                  <w:szCs w:val="20"/>
                </w:rPr>
                <w:t>10405P</w:t>
              </w:r>
            </w:hyperlink>
            <w:r w:rsidR="00BF27E7" w:rsidRPr="008272E1">
              <w:rPr>
                <w:sz w:val="20"/>
                <w:szCs w:val="20"/>
              </w:rPr>
              <w:t xml:space="preserve"> (2 mg)</w:t>
            </w:r>
          </w:p>
        </w:tc>
      </w:tr>
      <w:tr w:rsidR="00162A2B" w:rsidTr="00DA2A20">
        <w:tc>
          <w:tcPr>
            <w:tcW w:w="1526" w:type="dxa"/>
            <w:tcBorders>
              <w:top w:val="single" w:sz="4" w:space="0" w:color="auto"/>
              <w:bottom w:val="nil"/>
            </w:tcBorders>
          </w:tcPr>
          <w:p w:rsidR="00162A2B" w:rsidRDefault="00162A2B" w:rsidP="008446F3">
            <w:pPr>
              <w:rPr>
                <w:sz w:val="20"/>
                <w:szCs w:val="20"/>
              </w:rPr>
            </w:pPr>
            <w:r>
              <w:rPr>
                <w:sz w:val="20"/>
                <w:szCs w:val="20"/>
              </w:rPr>
              <w:t>Vemurafenib</w:t>
            </w:r>
          </w:p>
          <w:p w:rsidR="007F6342" w:rsidRPr="008272E1" w:rsidRDefault="007F6342" w:rsidP="008446F3">
            <w:pPr>
              <w:rPr>
                <w:sz w:val="20"/>
                <w:szCs w:val="20"/>
              </w:rPr>
            </w:pPr>
            <w:r>
              <w:rPr>
                <w:sz w:val="20"/>
                <w:szCs w:val="20"/>
              </w:rPr>
              <w:t>(</w:t>
            </w:r>
            <w:r w:rsidRPr="007F6342">
              <w:rPr>
                <w:sz w:val="20"/>
                <w:szCs w:val="20"/>
              </w:rPr>
              <w:t>L01XE15</w:t>
            </w:r>
            <w:r>
              <w:rPr>
                <w:sz w:val="20"/>
                <w:szCs w:val="20"/>
              </w:rPr>
              <w:t>)</w:t>
            </w:r>
          </w:p>
        </w:tc>
        <w:tc>
          <w:tcPr>
            <w:tcW w:w="1984" w:type="dxa"/>
            <w:tcBorders>
              <w:top w:val="single" w:sz="4" w:space="0" w:color="auto"/>
              <w:bottom w:val="nil"/>
            </w:tcBorders>
          </w:tcPr>
          <w:p w:rsidR="00162A2B" w:rsidRPr="008272E1" w:rsidRDefault="00162A2B" w:rsidP="008446F3">
            <w:pPr>
              <w:rPr>
                <w:sz w:val="20"/>
                <w:szCs w:val="20"/>
              </w:rPr>
            </w:pPr>
            <w:r w:rsidRPr="008272E1">
              <w:rPr>
                <w:sz w:val="20"/>
                <w:szCs w:val="20"/>
              </w:rPr>
              <w:t>Authority Required (STREAMLINED), General  Schedule</w:t>
            </w:r>
          </w:p>
        </w:tc>
        <w:tc>
          <w:tcPr>
            <w:tcW w:w="1276" w:type="dxa"/>
          </w:tcPr>
          <w:p w:rsidR="00C9693E" w:rsidRPr="008272E1" w:rsidRDefault="00C9693E" w:rsidP="00C9693E">
            <w:pPr>
              <w:rPr>
                <w:sz w:val="20"/>
                <w:szCs w:val="20"/>
              </w:rPr>
            </w:pPr>
            <w:r w:rsidRPr="008272E1">
              <w:rPr>
                <w:sz w:val="20"/>
                <w:szCs w:val="20"/>
              </w:rPr>
              <w:t xml:space="preserve">Initial </w:t>
            </w:r>
          </w:p>
          <w:p w:rsidR="00162A2B" w:rsidRPr="008272E1" w:rsidRDefault="00C9693E" w:rsidP="00C9693E">
            <w:pPr>
              <w:rPr>
                <w:sz w:val="20"/>
                <w:szCs w:val="20"/>
              </w:rPr>
            </w:pPr>
            <w:r w:rsidRPr="008272E1">
              <w:rPr>
                <w:sz w:val="20"/>
                <w:szCs w:val="20"/>
              </w:rPr>
              <w:t>Treatment</w:t>
            </w:r>
          </w:p>
        </w:tc>
        <w:tc>
          <w:tcPr>
            <w:tcW w:w="1985" w:type="dxa"/>
          </w:tcPr>
          <w:p w:rsidR="00162A2B" w:rsidRPr="008272E1" w:rsidRDefault="00A90D52" w:rsidP="008446F3">
            <w:pPr>
              <w:rPr>
                <w:sz w:val="20"/>
                <w:szCs w:val="20"/>
              </w:rPr>
            </w:pPr>
            <w:r w:rsidRPr="00A90D52">
              <w:rPr>
                <w:sz w:val="20"/>
                <w:szCs w:val="20"/>
              </w:rPr>
              <w:t>6044</w:t>
            </w:r>
          </w:p>
        </w:tc>
        <w:tc>
          <w:tcPr>
            <w:tcW w:w="2409" w:type="dxa"/>
          </w:tcPr>
          <w:p w:rsidR="00162A2B" w:rsidRPr="00A90D52" w:rsidRDefault="008A587A" w:rsidP="008446F3">
            <w:pPr>
              <w:rPr>
                <w:rFonts w:ascii="Calibri" w:hAnsi="Calibri" w:cs="Calibri"/>
                <w:sz w:val="20"/>
                <w:szCs w:val="20"/>
              </w:rPr>
            </w:pPr>
            <w:hyperlink r:id="rId37" w:tooltip="11076y" w:history="1">
              <w:r w:rsidR="00C9693E" w:rsidRPr="00A90D52">
                <w:rPr>
                  <w:rFonts w:ascii="Calibri" w:hAnsi="Calibri" w:cs="Calibri"/>
                  <w:sz w:val="20"/>
                  <w:szCs w:val="20"/>
                </w:rPr>
                <w:t>11076Y</w:t>
              </w:r>
            </w:hyperlink>
            <w:r w:rsidR="00C9693E" w:rsidRPr="00A90D52">
              <w:rPr>
                <w:rFonts w:ascii="Calibri" w:hAnsi="Calibri" w:cs="Calibri"/>
                <w:sz w:val="20"/>
                <w:szCs w:val="20"/>
              </w:rPr>
              <w:t xml:space="preserve"> (240 mg)</w:t>
            </w:r>
          </w:p>
        </w:tc>
      </w:tr>
      <w:tr w:rsidR="00162A2B" w:rsidTr="00DA2A20">
        <w:tc>
          <w:tcPr>
            <w:tcW w:w="1526" w:type="dxa"/>
            <w:tcBorders>
              <w:top w:val="nil"/>
            </w:tcBorders>
          </w:tcPr>
          <w:p w:rsidR="00162A2B" w:rsidRPr="008272E1" w:rsidRDefault="00162A2B" w:rsidP="008446F3">
            <w:pPr>
              <w:rPr>
                <w:sz w:val="20"/>
                <w:szCs w:val="20"/>
              </w:rPr>
            </w:pPr>
          </w:p>
        </w:tc>
        <w:tc>
          <w:tcPr>
            <w:tcW w:w="1984" w:type="dxa"/>
            <w:tcBorders>
              <w:top w:val="nil"/>
            </w:tcBorders>
          </w:tcPr>
          <w:p w:rsidR="00162A2B" w:rsidRPr="008272E1" w:rsidRDefault="00162A2B" w:rsidP="008446F3">
            <w:pPr>
              <w:rPr>
                <w:sz w:val="20"/>
                <w:szCs w:val="20"/>
              </w:rPr>
            </w:pPr>
          </w:p>
        </w:tc>
        <w:tc>
          <w:tcPr>
            <w:tcW w:w="1276" w:type="dxa"/>
          </w:tcPr>
          <w:p w:rsidR="00162A2B" w:rsidRPr="008272E1" w:rsidRDefault="00C9693E" w:rsidP="008446F3">
            <w:pPr>
              <w:rPr>
                <w:sz w:val="20"/>
                <w:szCs w:val="20"/>
              </w:rPr>
            </w:pPr>
            <w:r w:rsidRPr="008272E1">
              <w:rPr>
                <w:sz w:val="20"/>
                <w:szCs w:val="20"/>
              </w:rPr>
              <w:t>Continuing Treatment</w:t>
            </w:r>
          </w:p>
        </w:tc>
        <w:tc>
          <w:tcPr>
            <w:tcW w:w="1985" w:type="dxa"/>
          </w:tcPr>
          <w:p w:rsidR="00162A2B" w:rsidRPr="008272E1" w:rsidRDefault="00A90D52" w:rsidP="008446F3">
            <w:pPr>
              <w:rPr>
                <w:sz w:val="20"/>
                <w:szCs w:val="20"/>
              </w:rPr>
            </w:pPr>
            <w:r w:rsidRPr="00A90D52">
              <w:rPr>
                <w:sz w:val="20"/>
                <w:szCs w:val="20"/>
              </w:rPr>
              <w:t>6013</w:t>
            </w:r>
          </w:p>
        </w:tc>
        <w:tc>
          <w:tcPr>
            <w:tcW w:w="2409" w:type="dxa"/>
          </w:tcPr>
          <w:p w:rsidR="00162A2B" w:rsidRPr="00A90D52" w:rsidRDefault="008A587A" w:rsidP="008446F3">
            <w:pPr>
              <w:rPr>
                <w:rFonts w:ascii="Calibri" w:hAnsi="Calibri" w:cs="Calibri"/>
                <w:sz w:val="20"/>
                <w:szCs w:val="20"/>
              </w:rPr>
            </w:pPr>
            <w:hyperlink r:id="rId38" w:tooltip="11081f" w:history="1">
              <w:r w:rsidR="00C9693E" w:rsidRPr="00A90D52">
                <w:rPr>
                  <w:rFonts w:ascii="Calibri" w:hAnsi="Calibri" w:cs="Calibri"/>
                  <w:sz w:val="20"/>
                  <w:szCs w:val="20"/>
                </w:rPr>
                <w:t>11081F</w:t>
              </w:r>
            </w:hyperlink>
            <w:r w:rsidR="00C9693E" w:rsidRPr="00A90D52">
              <w:rPr>
                <w:rFonts w:ascii="Calibri" w:hAnsi="Calibri" w:cs="Calibri"/>
                <w:sz w:val="20"/>
                <w:szCs w:val="20"/>
              </w:rPr>
              <w:t xml:space="preserve"> (240 mg)</w:t>
            </w:r>
          </w:p>
        </w:tc>
      </w:tr>
    </w:tbl>
    <w:p w:rsidR="00DB0B8D" w:rsidRPr="00F90CC4" w:rsidRDefault="00BF27E7" w:rsidP="00A35800">
      <w:pPr>
        <w:rPr>
          <w:sz w:val="20"/>
          <w:szCs w:val="20"/>
          <w:highlight w:val="yellow"/>
        </w:rPr>
      </w:pPr>
      <w:r w:rsidRPr="00C4384B">
        <w:rPr>
          <w:sz w:val="20"/>
          <w:szCs w:val="20"/>
        </w:rPr>
        <w:t>Source: Schedule of Pharmaceutical Benefits, March 2018.</w:t>
      </w:r>
    </w:p>
    <w:p w:rsidR="00FE162A" w:rsidRDefault="00EC1EB0" w:rsidP="00A35800">
      <w:pPr>
        <w:rPr>
          <w:rStyle w:val="Hyperlink"/>
        </w:rPr>
      </w:pPr>
      <w:r>
        <w:t>Table 5</w:t>
      </w:r>
      <w:r w:rsidR="0083640C">
        <w:t xml:space="preserve"> </w:t>
      </w:r>
      <w:r w:rsidR="007A2201">
        <w:t>provides an abridged summary of the initial and continuing treatment criteria for each drug.</w:t>
      </w:r>
      <w:r w:rsidR="0083640C">
        <w:t xml:space="preserve"> </w:t>
      </w:r>
      <w:r w:rsidR="005324A4" w:rsidRPr="006775F1" w:rsidDel="00EE2BBB">
        <w:t xml:space="preserve">For </w:t>
      </w:r>
      <w:r w:rsidR="005324A4">
        <w:t xml:space="preserve">full </w:t>
      </w:r>
      <w:r w:rsidR="005324A4" w:rsidDel="00EE2BBB">
        <w:t>details of the current PBS listing</w:t>
      </w:r>
      <w:r w:rsidR="005324A4">
        <w:t>s</w:t>
      </w:r>
      <w:r w:rsidR="005324A4" w:rsidDel="00EE2BBB">
        <w:t xml:space="preserve"> refer to the </w:t>
      </w:r>
      <w:hyperlink r:id="rId39" w:history="1">
        <w:r w:rsidR="005324A4" w:rsidRPr="00645D51" w:rsidDel="00EE2BBB">
          <w:rPr>
            <w:rStyle w:val="Hyperlink"/>
          </w:rPr>
          <w:t>PBS website</w:t>
        </w:r>
      </w:hyperlink>
      <w:r w:rsidR="005324A4" w:rsidDel="00EE2BBB">
        <w:rPr>
          <w:rStyle w:val="Hyperlink"/>
        </w:rPr>
        <w:t>.</w:t>
      </w:r>
    </w:p>
    <w:p w:rsidR="000D61AC" w:rsidRDefault="000D61AC">
      <w:pPr>
        <w:spacing w:line="276" w:lineRule="auto"/>
        <w:rPr>
          <w:rStyle w:val="Hyperlink"/>
        </w:rPr>
      </w:pPr>
      <w:r>
        <w:rPr>
          <w:rStyle w:val="Hyperlink"/>
        </w:rPr>
        <w:br w:type="page"/>
      </w:r>
    </w:p>
    <w:p w:rsidR="006014A7" w:rsidRDefault="00EC1EB0" w:rsidP="00A35800">
      <w:r>
        <w:rPr>
          <w:b/>
        </w:rPr>
        <w:lastRenderedPageBreak/>
        <w:t>Table 5</w:t>
      </w:r>
      <w:r w:rsidR="00AC0E62" w:rsidRPr="00995E12" w:rsidDel="00EE2BBB">
        <w:rPr>
          <w:b/>
        </w:rPr>
        <w:t xml:space="preserve">: </w:t>
      </w:r>
      <w:r w:rsidR="00AC0E62">
        <w:rPr>
          <w:b/>
        </w:rPr>
        <w:t>Abridged summary of the initial and continuing criteria by drug</w:t>
      </w:r>
    </w:p>
    <w:tbl>
      <w:tblPr>
        <w:tblStyle w:val="TableGrid"/>
        <w:tblW w:w="0" w:type="auto"/>
        <w:tblLook w:val="04A0" w:firstRow="1" w:lastRow="0" w:firstColumn="1" w:lastColumn="0" w:noHBand="0" w:noVBand="1"/>
        <w:tblCaption w:val="Table 5"/>
        <w:tblDescription w:val="Initial and continuing restriction criteria for PBS melanoma listings"/>
      </w:tblPr>
      <w:tblGrid>
        <w:gridCol w:w="1526"/>
        <w:gridCol w:w="3827"/>
        <w:gridCol w:w="3820"/>
      </w:tblGrid>
      <w:tr w:rsidR="00AB3AD5" w:rsidTr="00AA0B3C">
        <w:trPr>
          <w:tblHeader/>
        </w:trPr>
        <w:tc>
          <w:tcPr>
            <w:tcW w:w="1526" w:type="dxa"/>
            <w:shd w:val="clear" w:color="auto" w:fill="F2F2F2" w:themeFill="background1" w:themeFillShade="F2"/>
          </w:tcPr>
          <w:p w:rsidR="00AB3AD5" w:rsidRPr="00D264E4" w:rsidRDefault="00AB3AD5" w:rsidP="00A35800">
            <w:pPr>
              <w:rPr>
                <w:b/>
                <w:sz w:val="20"/>
                <w:szCs w:val="20"/>
              </w:rPr>
            </w:pPr>
            <w:r w:rsidRPr="00D264E4">
              <w:rPr>
                <w:b/>
                <w:sz w:val="20"/>
                <w:szCs w:val="20"/>
              </w:rPr>
              <w:t>Drug</w:t>
            </w:r>
          </w:p>
        </w:tc>
        <w:tc>
          <w:tcPr>
            <w:tcW w:w="3827" w:type="dxa"/>
            <w:shd w:val="clear" w:color="auto" w:fill="F2F2F2" w:themeFill="background1" w:themeFillShade="F2"/>
          </w:tcPr>
          <w:p w:rsidR="00AB3AD5" w:rsidRPr="00D264E4" w:rsidRDefault="00AB3AD5" w:rsidP="00A35800">
            <w:pPr>
              <w:rPr>
                <w:b/>
                <w:sz w:val="20"/>
                <w:szCs w:val="20"/>
              </w:rPr>
            </w:pPr>
            <w:r w:rsidRPr="00D264E4">
              <w:rPr>
                <w:b/>
                <w:sz w:val="20"/>
                <w:szCs w:val="20"/>
              </w:rPr>
              <w:t>Initial criteria</w:t>
            </w:r>
          </w:p>
        </w:tc>
        <w:tc>
          <w:tcPr>
            <w:tcW w:w="3820" w:type="dxa"/>
            <w:shd w:val="clear" w:color="auto" w:fill="F2F2F2" w:themeFill="background1" w:themeFillShade="F2"/>
          </w:tcPr>
          <w:p w:rsidR="00AB3AD5" w:rsidRPr="00D264E4" w:rsidRDefault="00AB3AD5" w:rsidP="00A35800">
            <w:pPr>
              <w:rPr>
                <w:b/>
                <w:sz w:val="20"/>
                <w:szCs w:val="20"/>
              </w:rPr>
            </w:pPr>
            <w:r w:rsidRPr="00D264E4">
              <w:rPr>
                <w:b/>
                <w:sz w:val="20"/>
                <w:szCs w:val="20"/>
              </w:rPr>
              <w:t>Continuing criteria</w:t>
            </w:r>
          </w:p>
        </w:tc>
      </w:tr>
      <w:tr w:rsidR="00A63E84" w:rsidTr="005705FC">
        <w:tc>
          <w:tcPr>
            <w:tcW w:w="1526" w:type="dxa"/>
          </w:tcPr>
          <w:p w:rsidR="00A63E84" w:rsidRPr="00C35BE2" w:rsidRDefault="00A63E84" w:rsidP="00A35800">
            <w:pPr>
              <w:rPr>
                <w:sz w:val="20"/>
                <w:szCs w:val="20"/>
              </w:rPr>
            </w:pPr>
            <w:r>
              <w:rPr>
                <w:sz w:val="20"/>
                <w:szCs w:val="20"/>
              </w:rPr>
              <w:t>Cobimetinib</w:t>
            </w:r>
          </w:p>
        </w:tc>
        <w:tc>
          <w:tcPr>
            <w:tcW w:w="3827" w:type="dxa"/>
          </w:tcPr>
          <w:p w:rsidR="00A63E84" w:rsidRPr="00A63E84" w:rsidRDefault="00F928B7" w:rsidP="00A63E84">
            <w:pPr>
              <w:pStyle w:val="ListParagraph"/>
              <w:numPr>
                <w:ilvl w:val="0"/>
                <w:numId w:val="1"/>
              </w:numPr>
              <w:rPr>
                <w:sz w:val="20"/>
                <w:szCs w:val="20"/>
              </w:rPr>
            </w:pPr>
            <w:r>
              <w:rPr>
                <w:sz w:val="20"/>
                <w:szCs w:val="20"/>
              </w:rPr>
              <w:t>Administered</w:t>
            </w:r>
            <w:r w:rsidR="00A63E84" w:rsidRPr="00450FB3">
              <w:rPr>
                <w:sz w:val="20"/>
                <w:szCs w:val="20"/>
              </w:rPr>
              <w:t xml:space="preserve"> with vemurafenib concomitantly.</w:t>
            </w:r>
          </w:p>
          <w:p w:rsidR="00A63E84" w:rsidRPr="00387842" w:rsidRDefault="00A63E84" w:rsidP="00A63E84">
            <w:pPr>
              <w:pStyle w:val="ListParagraph"/>
              <w:numPr>
                <w:ilvl w:val="0"/>
                <w:numId w:val="1"/>
              </w:numPr>
              <w:rPr>
                <w:sz w:val="20"/>
                <w:szCs w:val="20"/>
              </w:rPr>
            </w:pPr>
            <w:r w:rsidRPr="00450FB3">
              <w:rPr>
                <w:sz w:val="20"/>
                <w:szCs w:val="20"/>
              </w:rPr>
              <w:t>Must not have progressive disease when treated with a BRAF inhibitor</w:t>
            </w:r>
            <w:r w:rsidR="00057EDB">
              <w:rPr>
                <w:sz w:val="20"/>
                <w:szCs w:val="20"/>
              </w:rPr>
              <w:t>.</w:t>
            </w:r>
          </w:p>
        </w:tc>
        <w:tc>
          <w:tcPr>
            <w:tcW w:w="3820" w:type="dxa"/>
          </w:tcPr>
          <w:p w:rsidR="002C4D1E" w:rsidRPr="00A63E84" w:rsidRDefault="00A53AA4" w:rsidP="002C4D1E">
            <w:pPr>
              <w:pStyle w:val="ListParagraph"/>
              <w:numPr>
                <w:ilvl w:val="0"/>
                <w:numId w:val="1"/>
              </w:numPr>
              <w:rPr>
                <w:sz w:val="20"/>
                <w:szCs w:val="20"/>
              </w:rPr>
            </w:pPr>
            <w:r>
              <w:rPr>
                <w:sz w:val="20"/>
                <w:szCs w:val="20"/>
              </w:rPr>
              <w:t>G</w:t>
            </w:r>
            <w:r w:rsidR="002C4D1E" w:rsidRPr="00450FB3">
              <w:rPr>
                <w:sz w:val="20"/>
                <w:szCs w:val="20"/>
              </w:rPr>
              <w:t>iven with vemurafenib concomitantly.</w:t>
            </w:r>
          </w:p>
          <w:p w:rsidR="002C4D1E" w:rsidRPr="00450FB3" w:rsidRDefault="002C4D1E" w:rsidP="00A35800">
            <w:pPr>
              <w:rPr>
                <w:sz w:val="20"/>
                <w:szCs w:val="20"/>
              </w:rPr>
            </w:pPr>
          </w:p>
          <w:p w:rsidR="00A63E84" w:rsidRPr="002C4D1E" w:rsidRDefault="00A53AA4" w:rsidP="002C4D1E">
            <w:pPr>
              <w:pStyle w:val="ListParagraph"/>
              <w:numPr>
                <w:ilvl w:val="0"/>
                <w:numId w:val="1"/>
              </w:numPr>
              <w:rPr>
                <w:sz w:val="20"/>
                <w:szCs w:val="20"/>
              </w:rPr>
            </w:pPr>
            <w:r>
              <w:rPr>
                <w:sz w:val="20"/>
                <w:szCs w:val="20"/>
              </w:rPr>
              <w:t>S</w:t>
            </w:r>
            <w:r w:rsidR="002C4D1E" w:rsidRPr="00450FB3">
              <w:rPr>
                <w:sz w:val="20"/>
                <w:szCs w:val="20"/>
              </w:rPr>
              <w:t>table or responding disease.</w:t>
            </w:r>
          </w:p>
        </w:tc>
      </w:tr>
      <w:tr w:rsidR="00AB3AD5" w:rsidRPr="003209B8" w:rsidTr="005705FC">
        <w:tc>
          <w:tcPr>
            <w:tcW w:w="1526" w:type="dxa"/>
          </w:tcPr>
          <w:p w:rsidR="00AB3AD5" w:rsidRPr="00154D2B" w:rsidRDefault="00AB3AD5" w:rsidP="00154D2B">
            <w:pPr>
              <w:rPr>
                <w:sz w:val="20"/>
                <w:szCs w:val="20"/>
              </w:rPr>
            </w:pPr>
            <w:r w:rsidRPr="00154D2B">
              <w:rPr>
                <w:sz w:val="20"/>
                <w:szCs w:val="20"/>
              </w:rPr>
              <w:t>Dabrafenib</w:t>
            </w:r>
          </w:p>
        </w:tc>
        <w:tc>
          <w:tcPr>
            <w:tcW w:w="3827" w:type="dxa"/>
          </w:tcPr>
          <w:p w:rsidR="00AB3AD5" w:rsidRPr="00387842" w:rsidRDefault="00A53AA4" w:rsidP="003209B8">
            <w:pPr>
              <w:pStyle w:val="ListParagraph"/>
              <w:numPr>
                <w:ilvl w:val="0"/>
                <w:numId w:val="5"/>
              </w:numPr>
              <w:rPr>
                <w:sz w:val="20"/>
                <w:szCs w:val="20"/>
              </w:rPr>
            </w:pPr>
            <w:r>
              <w:rPr>
                <w:sz w:val="20"/>
                <w:szCs w:val="20"/>
              </w:rPr>
              <w:t>P</w:t>
            </w:r>
            <w:r w:rsidR="00B93809" w:rsidRPr="00387842">
              <w:rPr>
                <w:sz w:val="20"/>
                <w:szCs w:val="20"/>
              </w:rPr>
              <w:t>ositive for a BRAF V600 mutation.</w:t>
            </w:r>
          </w:p>
          <w:p w:rsidR="00B93809" w:rsidRPr="00387842" w:rsidRDefault="00B93809" w:rsidP="003209B8">
            <w:pPr>
              <w:pStyle w:val="ListParagraph"/>
              <w:numPr>
                <w:ilvl w:val="0"/>
                <w:numId w:val="5"/>
              </w:numPr>
              <w:rPr>
                <w:sz w:val="20"/>
                <w:szCs w:val="20"/>
              </w:rPr>
            </w:pPr>
            <w:r w:rsidRPr="00387842">
              <w:rPr>
                <w:sz w:val="20"/>
                <w:szCs w:val="20"/>
              </w:rPr>
              <w:t>Must not have been treated previously with PBS subsidised therapy OR</w:t>
            </w:r>
          </w:p>
          <w:p w:rsidR="00B93809" w:rsidRPr="00387842" w:rsidRDefault="00B93809" w:rsidP="003209B8">
            <w:pPr>
              <w:pStyle w:val="ListParagraph"/>
              <w:numPr>
                <w:ilvl w:val="0"/>
                <w:numId w:val="5"/>
              </w:numPr>
              <w:rPr>
                <w:sz w:val="20"/>
                <w:szCs w:val="20"/>
              </w:rPr>
            </w:pPr>
            <w:r w:rsidRPr="00387842">
              <w:rPr>
                <w:sz w:val="20"/>
                <w:szCs w:val="20"/>
              </w:rPr>
              <w:t>patient must have developed intolerance to another BRAF inhibitor of a severity necessitating permanent treatment withdrawal.</w:t>
            </w:r>
          </w:p>
          <w:p w:rsidR="00B93809" w:rsidRPr="00387842" w:rsidRDefault="00B93809" w:rsidP="003209B8">
            <w:pPr>
              <w:pStyle w:val="ListParagraph"/>
              <w:numPr>
                <w:ilvl w:val="0"/>
                <w:numId w:val="5"/>
              </w:numPr>
              <w:rPr>
                <w:sz w:val="20"/>
                <w:szCs w:val="20"/>
              </w:rPr>
            </w:pPr>
            <w:r w:rsidRPr="00387842">
              <w:rPr>
                <w:sz w:val="20"/>
                <w:szCs w:val="20"/>
              </w:rPr>
              <w:t>WHO performance status of 2 or less</w:t>
            </w:r>
            <w:r w:rsidR="00387842" w:rsidRPr="00387842">
              <w:rPr>
                <w:sz w:val="20"/>
                <w:szCs w:val="20"/>
              </w:rPr>
              <w:t>.</w:t>
            </w:r>
          </w:p>
        </w:tc>
        <w:tc>
          <w:tcPr>
            <w:tcW w:w="3820" w:type="dxa"/>
          </w:tcPr>
          <w:p w:rsidR="00AB3AD5" w:rsidRPr="003209B8" w:rsidRDefault="00A53AA4" w:rsidP="003209B8">
            <w:pPr>
              <w:pStyle w:val="ListParagraph"/>
              <w:numPr>
                <w:ilvl w:val="0"/>
                <w:numId w:val="5"/>
              </w:numPr>
              <w:rPr>
                <w:sz w:val="20"/>
                <w:szCs w:val="20"/>
              </w:rPr>
            </w:pPr>
            <w:r>
              <w:rPr>
                <w:sz w:val="20"/>
                <w:szCs w:val="20"/>
              </w:rPr>
              <w:t>S</w:t>
            </w:r>
            <w:r w:rsidR="00B93809" w:rsidRPr="00B93809">
              <w:rPr>
                <w:sz w:val="20"/>
                <w:szCs w:val="20"/>
              </w:rPr>
              <w:t>table or responding disease</w:t>
            </w:r>
            <w:r w:rsidR="006F7AD0">
              <w:rPr>
                <w:sz w:val="20"/>
                <w:szCs w:val="20"/>
              </w:rPr>
              <w:t>.</w:t>
            </w:r>
          </w:p>
        </w:tc>
      </w:tr>
      <w:tr w:rsidR="00AB3AD5" w:rsidTr="005705FC">
        <w:tc>
          <w:tcPr>
            <w:tcW w:w="1526" w:type="dxa"/>
          </w:tcPr>
          <w:p w:rsidR="00AB3AD5" w:rsidRPr="00C35BE2" w:rsidRDefault="007D7755" w:rsidP="00A35800">
            <w:pPr>
              <w:rPr>
                <w:sz w:val="20"/>
                <w:szCs w:val="20"/>
              </w:rPr>
            </w:pPr>
            <w:r w:rsidRPr="00C35BE2">
              <w:rPr>
                <w:sz w:val="20"/>
                <w:szCs w:val="20"/>
              </w:rPr>
              <w:t>Ipilimumab</w:t>
            </w:r>
          </w:p>
        </w:tc>
        <w:tc>
          <w:tcPr>
            <w:tcW w:w="3827" w:type="dxa"/>
          </w:tcPr>
          <w:p w:rsidR="00AB3AD5" w:rsidRPr="00387842" w:rsidRDefault="00C72EFA" w:rsidP="00387842">
            <w:pPr>
              <w:pStyle w:val="ListParagraph"/>
              <w:numPr>
                <w:ilvl w:val="0"/>
                <w:numId w:val="1"/>
              </w:numPr>
              <w:rPr>
                <w:sz w:val="20"/>
                <w:szCs w:val="20"/>
              </w:rPr>
            </w:pPr>
            <w:r>
              <w:rPr>
                <w:sz w:val="20"/>
                <w:szCs w:val="20"/>
              </w:rPr>
              <w:t xml:space="preserve">Must be </w:t>
            </w:r>
            <w:r w:rsidR="007D7755" w:rsidRPr="00387842">
              <w:rPr>
                <w:sz w:val="20"/>
                <w:szCs w:val="20"/>
              </w:rPr>
              <w:t>sole PBS-subsidised therapy.</w:t>
            </w:r>
          </w:p>
          <w:p w:rsidR="007D7755" w:rsidRPr="00387842" w:rsidRDefault="007D7755" w:rsidP="00387842">
            <w:pPr>
              <w:pStyle w:val="ListParagraph"/>
              <w:numPr>
                <w:ilvl w:val="0"/>
                <w:numId w:val="1"/>
              </w:numPr>
              <w:rPr>
                <w:sz w:val="20"/>
                <w:szCs w:val="20"/>
              </w:rPr>
            </w:pPr>
            <w:r w:rsidRPr="00387842">
              <w:rPr>
                <w:sz w:val="20"/>
                <w:szCs w:val="20"/>
              </w:rPr>
              <w:t>No prior treatment with ipilimumab</w:t>
            </w:r>
            <w:r w:rsidR="00057EDB">
              <w:rPr>
                <w:sz w:val="20"/>
                <w:szCs w:val="20"/>
              </w:rPr>
              <w:t>.</w:t>
            </w:r>
          </w:p>
          <w:p w:rsidR="007D7755" w:rsidRPr="00387842" w:rsidRDefault="000A0776" w:rsidP="00387842">
            <w:pPr>
              <w:pStyle w:val="ListParagraph"/>
              <w:numPr>
                <w:ilvl w:val="0"/>
                <w:numId w:val="1"/>
              </w:numPr>
              <w:rPr>
                <w:sz w:val="20"/>
                <w:szCs w:val="20"/>
              </w:rPr>
            </w:pPr>
            <w:r>
              <w:rPr>
                <w:sz w:val="20"/>
                <w:szCs w:val="20"/>
              </w:rPr>
              <w:t>Up to</w:t>
            </w:r>
            <w:r w:rsidR="007D7755" w:rsidRPr="00387842">
              <w:rPr>
                <w:sz w:val="20"/>
                <w:szCs w:val="20"/>
              </w:rPr>
              <w:t xml:space="preserve"> 4 doses</w:t>
            </w:r>
            <w:r>
              <w:rPr>
                <w:sz w:val="20"/>
                <w:szCs w:val="20"/>
              </w:rPr>
              <w:t xml:space="preserve"> may be supplied</w:t>
            </w:r>
            <w:r w:rsidR="007D7755" w:rsidRPr="00387842">
              <w:rPr>
                <w:sz w:val="20"/>
                <w:szCs w:val="20"/>
              </w:rPr>
              <w:t xml:space="preserve"> at a maximum dose of 3 mg per kg every 3 weeks.</w:t>
            </w:r>
          </w:p>
          <w:p w:rsidR="007D7755" w:rsidRPr="00A23131" w:rsidRDefault="007D7755" w:rsidP="00A35800">
            <w:pPr>
              <w:rPr>
                <w:sz w:val="20"/>
                <w:szCs w:val="20"/>
              </w:rPr>
            </w:pPr>
          </w:p>
        </w:tc>
        <w:tc>
          <w:tcPr>
            <w:tcW w:w="3820" w:type="dxa"/>
          </w:tcPr>
          <w:p w:rsidR="00AB3AD5" w:rsidRPr="00387842" w:rsidRDefault="000A0776" w:rsidP="00387842">
            <w:pPr>
              <w:pStyle w:val="ListParagraph"/>
              <w:numPr>
                <w:ilvl w:val="0"/>
                <w:numId w:val="1"/>
              </w:numPr>
              <w:rPr>
                <w:sz w:val="20"/>
                <w:szCs w:val="20"/>
              </w:rPr>
            </w:pPr>
            <w:r>
              <w:rPr>
                <w:sz w:val="20"/>
                <w:szCs w:val="20"/>
              </w:rPr>
              <w:t>P</w:t>
            </w:r>
            <w:r w:rsidR="007D7755" w:rsidRPr="00387842">
              <w:rPr>
                <w:sz w:val="20"/>
                <w:szCs w:val="20"/>
              </w:rPr>
              <w:t>rogressive disease after achieving an initial objective response to the most recent course of ipilimumab treatment (induction or re-induction).</w:t>
            </w:r>
          </w:p>
          <w:p w:rsidR="007D7755" w:rsidRPr="00387842" w:rsidRDefault="000A0776" w:rsidP="00387842">
            <w:pPr>
              <w:pStyle w:val="ListParagraph"/>
              <w:numPr>
                <w:ilvl w:val="0"/>
                <w:numId w:val="1"/>
              </w:numPr>
              <w:rPr>
                <w:sz w:val="20"/>
                <w:szCs w:val="20"/>
              </w:rPr>
            </w:pPr>
            <w:r>
              <w:rPr>
                <w:sz w:val="20"/>
                <w:szCs w:val="20"/>
              </w:rPr>
              <w:t>Up to a</w:t>
            </w:r>
            <w:r w:rsidR="007D7755" w:rsidRPr="00387842">
              <w:rPr>
                <w:sz w:val="20"/>
                <w:szCs w:val="20"/>
              </w:rPr>
              <w:t xml:space="preserve"> total of 4 doses </w:t>
            </w:r>
            <w:r>
              <w:rPr>
                <w:sz w:val="20"/>
                <w:szCs w:val="20"/>
              </w:rPr>
              <w:t xml:space="preserve">may be supplied </w:t>
            </w:r>
            <w:r w:rsidR="007D7755" w:rsidRPr="00387842">
              <w:rPr>
                <w:sz w:val="20"/>
                <w:szCs w:val="20"/>
              </w:rPr>
              <w:t>at a maximum dose of 3 mg per kg every 3 weeks.</w:t>
            </w:r>
          </w:p>
        </w:tc>
      </w:tr>
      <w:tr w:rsidR="00290D46" w:rsidTr="005705FC">
        <w:tc>
          <w:tcPr>
            <w:tcW w:w="1526" w:type="dxa"/>
          </w:tcPr>
          <w:p w:rsidR="00290D46" w:rsidRPr="00C35BE2" w:rsidRDefault="00290D46" w:rsidP="00A35800">
            <w:pPr>
              <w:rPr>
                <w:sz w:val="20"/>
                <w:szCs w:val="20"/>
              </w:rPr>
            </w:pPr>
            <w:r>
              <w:rPr>
                <w:sz w:val="20"/>
                <w:szCs w:val="20"/>
              </w:rPr>
              <w:t>Nivolumab</w:t>
            </w:r>
          </w:p>
        </w:tc>
        <w:tc>
          <w:tcPr>
            <w:tcW w:w="3827" w:type="dxa"/>
          </w:tcPr>
          <w:p w:rsidR="00290D46" w:rsidRPr="00290D46" w:rsidRDefault="00290D46" w:rsidP="00387842">
            <w:pPr>
              <w:pStyle w:val="ListParagraph"/>
              <w:numPr>
                <w:ilvl w:val="0"/>
                <w:numId w:val="5"/>
              </w:numPr>
              <w:rPr>
                <w:sz w:val="20"/>
                <w:szCs w:val="20"/>
              </w:rPr>
            </w:pPr>
            <w:r w:rsidRPr="00290D46">
              <w:rPr>
                <w:sz w:val="20"/>
                <w:szCs w:val="20"/>
              </w:rPr>
              <w:t>BRAF V600 mutation</w:t>
            </w:r>
            <w:r w:rsidR="00C276EB">
              <w:rPr>
                <w:sz w:val="20"/>
                <w:szCs w:val="20"/>
              </w:rPr>
              <w:t xml:space="preserve"> (either positive or negative</w:t>
            </w:r>
            <w:r w:rsidR="00057EDB">
              <w:rPr>
                <w:sz w:val="20"/>
                <w:szCs w:val="20"/>
              </w:rPr>
              <w:t>.</w:t>
            </w:r>
          </w:p>
          <w:p w:rsidR="00290D46" w:rsidRPr="00290D46" w:rsidRDefault="00F93AA0" w:rsidP="00387842">
            <w:pPr>
              <w:pStyle w:val="ListParagraph"/>
              <w:numPr>
                <w:ilvl w:val="0"/>
                <w:numId w:val="5"/>
              </w:numPr>
              <w:rPr>
                <w:sz w:val="20"/>
                <w:szCs w:val="20"/>
              </w:rPr>
            </w:pPr>
            <w:r>
              <w:rPr>
                <w:sz w:val="20"/>
                <w:szCs w:val="20"/>
              </w:rPr>
              <w:t xml:space="preserve">If positive for a BRAF V600 mutation, must have progressed </w:t>
            </w:r>
            <w:r w:rsidR="00290D46" w:rsidRPr="00290D46">
              <w:rPr>
                <w:sz w:val="20"/>
                <w:szCs w:val="20"/>
              </w:rPr>
              <w:t>following treatment with a BRAF inhibitor (with or without a MEK inhibitor) unless contraindicated or not tolerated</w:t>
            </w:r>
            <w:r w:rsidR="00057EDB">
              <w:rPr>
                <w:sz w:val="20"/>
                <w:szCs w:val="20"/>
              </w:rPr>
              <w:t>.</w:t>
            </w:r>
          </w:p>
          <w:p w:rsidR="00290D46" w:rsidRPr="00290D46" w:rsidRDefault="00C276EB" w:rsidP="00387842">
            <w:pPr>
              <w:pStyle w:val="ListParagraph"/>
              <w:numPr>
                <w:ilvl w:val="0"/>
                <w:numId w:val="5"/>
              </w:numPr>
              <w:rPr>
                <w:sz w:val="20"/>
                <w:szCs w:val="20"/>
              </w:rPr>
            </w:pPr>
            <w:r>
              <w:rPr>
                <w:sz w:val="20"/>
                <w:szCs w:val="20"/>
              </w:rPr>
              <w:t>No</w:t>
            </w:r>
            <w:r w:rsidR="00290D46" w:rsidRPr="00290D46">
              <w:rPr>
                <w:sz w:val="20"/>
                <w:szCs w:val="20"/>
              </w:rPr>
              <w:t xml:space="preserve"> prior treatment with ipilimumab or a PD-1 (programmed cell death-1) inhibitor</w:t>
            </w:r>
            <w:r w:rsidR="00057EDB">
              <w:rPr>
                <w:sz w:val="20"/>
                <w:szCs w:val="20"/>
              </w:rPr>
              <w:t>.</w:t>
            </w:r>
            <w:r w:rsidR="00290D46" w:rsidRPr="00290D46">
              <w:rPr>
                <w:sz w:val="20"/>
                <w:szCs w:val="20"/>
              </w:rPr>
              <w:t> </w:t>
            </w:r>
          </w:p>
          <w:p w:rsidR="00290D46" w:rsidRPr="00290D46" w:rsidRDefault="00290D46" w:rsidP="00387842">
            <w:pPr>
              <w:pStyle w:val="ListParagraph"/>
              <w:numPr>
                <w:ilvl w:val="0"/>
                <w:numId w:val="5"/>
              </w:numPr>
              <w:rPr>
                <w:sz w:val="20"/>
                <w:szCs w:val="20"/>
              </w:rPr>
            </w:pPr>
            <w:r>
              <w:rPr>
                <w:sz w:val="20"/>
                <w:szCs w:val="20"/>
              </w:rPr>
              <w:t>M</w:t>
            </w:r>
            <w:r w:rsidR="00C72EFA">
              <w:rPr>
                <w:sz w:val="20"/>
                <w:szCs w:val="20"/>
              </w:rPr>
              <w:t xml:space="preserve">ust be </w:t>
            </w:r>
            <w:r w:rsidRPr="00290D46">
              <w:rPr>
                <w:sz w:val="20"/>
                <w:szCs w:val="20"/>
              </w:rPr>
              <w:t>sole PBS-subsidised therapy for this condition</w:t>
            </w:r>
            <w:r w:rsidR="00057EDB">
              <w:rPr>
                <w:sz w:val="20"/>
                <w:szCs w:val="20"/>
              </w:rPr>
              <w:t>.</w:t>
            </w:r>
          </w:p>
          <w:p w:rsidR="00290D46" w:rsidRPr="00387842" w:rsidRDefault="00C276EB" w:rsidP="00387842">
            <w:pPr>
              <w:pStyle w:val="ListParagraph"/>
              <w:numPr>
                <w:ilvl w:val="0"/>
                <w:numId w:val="5"/>
              </w:numPr>
              <w:rPr>
                <w:sz w:val="20"/>
                <w:szCs w:val="20"/>
              </w:rPr>
            </w:pPr>
            <w:r>
              <w:rPr>
                <w:sz w:val="20"/>
                <w:szCs w:val="20"/>
              </w:rPr>
              <w:t>Up to</w:t>
            </w:r>
            <w:r w:rsidR="00290D46" w:rsidRPr="00290D46">
              <w:rPr>
                <w:sz w:val="20"/>
                <w:szCs w:val="20"/>
              </w:rPr>
              <w:t xml:space="preserve"> a total of 9 doses</w:t>
            </w:r>
            <w:r>
              <w:rPr>
                <w:sz w:val="20"/>
                <w:szCs w:val="20"/>
              </w:rPr>
              <w:t xml:space="preserve"> may be supplied</w:t>
            </w:r>
            <w:r w:rsidR="00290D46" w:rsidRPr="00290D46">
              <w:rPr>
                <w:sz w:val="20"/>
                <w:szCs w:val="20"/>
              </w:rPr>
              <w:t xml:space="preserve"> at a maximum dose of 3 mg per kg every 2 weeks</w:t>
            </w:r>
            <w:r w:rsidR="00057EDB">
              <w:rPr>
                <w:sz w:val="20"/>
                <w:szCs w:val="20"/>
              </w:rPr>
              <w:t>.</w:t>
            </w:r>
          </w:p>
        </w:tc>
        <w:tc>
          <w:tcPr>
            <w:tcW w:w="3820" w:type="dxa"/>
          </w:tcPr>
          <w:p w:rsidR="00290D46" w:rsidRPr="00057EDB" w:rsidRDefault="00C276EB" w:rsidP="00387842">
            <w:pPr>
              <w:pStyle w:val="ListParagraph"/>
              <w:numPr>
                <w:ilvl w:val="0"/>
                <w:numId w:val="5"/>
              </w:numPr>
              <w:rPr>
                <w:sz w:val="20"/>
                <w:szCs w:val="20"/>
              </w:rPr>
            </w:pPr>
            <w:r>
              <w:rPr>
                <w:sz w:val="20"/>
                <w:szCs w:val="20"/>
              </w:rPr>
              <w:t>S</w:t>
            </w:r>
            <w:r w:rsidR="00057EDB" w:rsidRPr="00057EDB">
              <w:rPr>
                <w:sz w:val="20"/>
                <w:szCs w:val="20"/>
              </w:rPr>
              <w:t>ole PBS-subsidised therapy for this condition</w:t>
            </w:r>
            <w:r w:rsidR="00057EDB">
              <w:rPr>
                <w:sz w:val="20"/>
                <w:szCs w:val="20"/>
              </w:rPr>
              <w:t>.</w:t>
            </w:r>
          </w:p>
          <w:p w:rsidR="00057EDB" w:rsidRPr="00057EDB" w:rsidRDefault="00C276EB" w:rsidP="00387842">
            <w:pPr>
              <w:pStyle w:val="ListParagraph"/>
              <w:numPr>
                <w:ilvl w:val="0"/>
                <w:numId w:val="5"/>
              </w:numPr>
              <w:rPr>
                <w:sz w:val="20"/>
                <w:szCs w:val="20"/>
              </w:rPr>
            </w:pPr>
            <w:r>
              <w:rPr>
                <w:sz w:val="20"/>
                <w:szCs w:val="20"/>
              </w:rPr>
              <w:t>S</w:t>
            </w:r>
            <w:r w:rsidR="00057EDB" w:rsidRPr="00057EDB">
              <w:rPr>
                <w:sz w:val="20"/>
                <w:szCs w:val="20"/>
              </w:rPr>
              <w:t>table or responding disease</w:t>
            </w:r>
            <w:r w:rsidR="00057EDB">
              <w:rPr>
                <w:sz w:val="20"/>
                <w:szCs w:val="20"/>
              </w:rPr>
              <w:t>.</w:t>
            </w:r>
          </w:p>
          <w:p w:rsidR="00057EDB" w:rsidRPr="00387842" w:rsidRDefault="00057EDB" w:rsidP="00387842">
            <w:pPr>
              <w:pStyle w:val="ListParagraph"/>
              <w:numPr>
                <w:ilvl w:val="0"/>
                <w:numId w:val="5"/>
              </w:numPr>
              <w:rPr>
                <w:sz w:val="20"/>
                <w:szCs w:val="20"/>
              </w:rPr>
            </w:pPr>
            <w:r>
              <w:rPr>
                <w:sz w:val="20"/>
                <w:szCs w:val="20"/>
              </w:rPr>
              <w:t>M</w:t>
            </w:r>
            <w:r w:rsidRPr="00057EDB">
              <w:rPr>
                <w:sz w:val="20"/>
                <w:szCs w:val="20"/>
              </w:rPr>
              <w:t>ust not exceed a maximum dose of 3 mg per kg every 2 weeks</w:t>
            </w:r>
            <w:r>
              <w:rPr>
                <w:sz w:val="20"/>
                <w:szCs w:val="20"/>
              </w:rPr>
              <w:t>.</w:t>
            </w:r>
          </w:p>
        </w:tc>
      </w:tr>
      <w:tr w:rsidR="00AB3AD5" w:rsidTr="005705FC">
        <w:tc>
          <w:tcPr>
            <w:tcW w:w="1526" w:type="dxa"/>
          </w:tcPr>
          <w:p w:rsidR="00AB3AD5" w:rsidRPr="00C35BE2" w:rsidRDefault="00B93809" w:rsidP="00A35800">
            <w:pPr>
              <w:rPr>
                <w:sz w:val="20"/>
                <w:szCs w:val="20"/>
              </w:rPr>
            </w:pPr>
            <w:r w:rsidRPr="00C35BE2">
              <w:rPr>
                <w:sz w:val="20"/>
                <w:szCs w:val="20"/>
              </w:rPr>
              <w:t>Pembrolizumab</w:t>
            </w:r>
          </w:p>
        </w:tc>
        <w:tc>
          <w:tcPr>
            <w:tcW w:w="3827" w:type="dxa"/>
          </w:tcPr>
          <w:p w:rsidR="00AB3AD5" w:rsidRPr="00387842" w:rsidRDefault="004D7C32" w:rsidP="00387842">
            <w:pPr>
              <w:pStyle w:val="ListParagraph"/>
              <w:numPr>
                <w:ilvl w:val="0"/>
                <w:numId w:val="5"/>
              </w:numPr>
              <w:rPr>
                <w:sz w:val="20"/>
                <w:szCs w:val="20"/>
              </w:rPr>
            </w:pPr>
            <w:r w:rsidRPr="00387842">
              <w:rPr>
                <w:sz w:val="20"/>
                <w:szCs w:val="20"/>
              </w:rPr>
              <w:t>BRAF V600 mutation (either positive or negative)</w:t>
            </w:r>
            <w:r w:rsidR="00057EDB">
              <w:rPr>
                <w:sz w:val="20"/>
                <w:szCs w:val="20"/>
              </w:rPr>
              <w:t>.</w:t>
            </w:r>
          </w:p>
          <w:p w:rsidR="004D7C32" w:rsidRPr="00387842" w:rsidRDefault="00C72EFA" w:rsidP="00387842">
            <w:pPr>
              <w:pStyle w:val="ListParagraph"/>
              <w:numPr>
                <w:ilvl w:val="0"/>
                <w:numId w:val="5"/>
              </w:numPr>
              <w:rPr>
                <w:sz w:val="20"/>
                <w:szCs w:val="20"/>
              </w:rPr>
            </w:pPr>
            <w:r>
              <w:rPr>
                <w:sz w:val="20"/>
                <w:szCs w:val="20"/>
              </w:rPr>
              <w:t>Must be s</w:t>
            </w:r>
            <w:r w:rsidR="004D7C32" w:rsidRPr="00387842">
              <w:rPr>
                <w:sz w:val="20"/>
                <w:szCs w:val="20"/>
              </w:rPr>
              <w:t>ole PBS-subsidised therapy</w:t>
            </w:r>
            <w:r w:rsidR="00057EDB">
              <w:rPr>
                <w:sz w:val="20"/>
                <w:szCs w:val="20"/>
              </w:rPr>
              <w:t>.</w:t>
            </w:r>
          </w:p>
          <w:p w:rsidR="004D7C32" w:rsidRPr="00387842" w:rsidRDefault="00D70958" w:rsidP="00387842">
            <w:pPr>
              <w:pStyle w:val="ListParagraph"/>
              <w:numPr>
                <w:ilvl w:val="0"/>
                <w:numId w:val="5"/>
              </w:numPr>
              <w:rPr>
                <w:sz w:val="20"/>
                <w:szCs w:val="20"/>
              </w:rPr>
            </w:pPr>
            <w:r>
              <w:rPr>
                <w:sz w:val="20"/>
                <w:szCs w:val="20"/>
              </w:rPr>
              <w:t>No</w:t>
            </w:r>
            <w:r w:rsidR="004D7C32" w:rsidRPr="00387842">
              <w:rPr>
                <w:sz w:val="20"/>
                <w:szCs w:val="20"/>
              </w:rPr>
              <w:t xml:space="preserve"> prior treatment with ipilimumab or a PD-1 (programmed cell death-1) inhibitor for this condition</w:t>
            </w:r>
            <w:r w:rsidR="00057EDB">
              <w:rPr>
                <w:sz w:val="20"/>
                <w:szCs w:val="20"/>
              </w:rPr>
              <w:t>.</w:t>
            </w:r>
          </w:p>
          <w:p w:rsidR="004D7C32" w:rsidRPr="00387842" w:rsidRDefault="00A44C0A" w:rsidP="00387842">
            <w:pPr>
              <w:pStyle w:val="ListParagraph"/>
              <w:numPr>
                <w:ilvl w:val="0"/>
                <w:numId w:val="5"/>
              </w:numPr>
              <w:rPr>
                <w:sz w:val="20"/>
                <w:szCs w:val="20"/>
              </w:rPr>
            </w:pPr>
            <w:r>
              <w:rPr>
                <w:sz w:val="20"/>
                <w:szCs w:val="20"/>
              </w:rPr>
              <w:t>If positive for a BRAF V600 mutation, m</w:t>
            </w:r>
            <w:r w:rsidR="004D7C32" w:rsidRPr="00387842">
              <w:rPr>
                <w:sz w:val="20"/>
                <w:szCs w:val="20"/>
              </w:rPr>
              <w:t>ust have progressed following treatment with a BRAF inhibitor (with or without a MEK inhibitor) unless contraindicated or not tolerated</w:t>
            </w:r>
            <w:r w:rsidR="00057EDB">
              <w:rPr>
                <w:sz w:val="20"/>
                <w:szCs w:val="20"/>
              </w:rPr>
              <w:t>.</w:t>
            </w:r>
          </w:p>
          <w:p w:rsidR="004D7C32" w:rsidRDefault="00D70958" w:rsidP="00387842">
            <w:pPr>
              <w:pStyle w:val="ListParagraph"/>
              <w:numPr>
                <w:ilvl w:val="0"/>
                <w:numId w:val="5"/>
              </w:numPr>
            </w:pPr>
            <w:r>
              <w:rPr>
                <w:sz w:val="20"/>
                <w:szCs w:val="20"/>
              </w:rPr>
              <w:t>Up to</w:t>
            </w:r>
            <w:r w:rsidR="004D7C32" w:rsidRPr="00387842">
              <w:rPr>
                <w:sz w:val="20"/>
                <w:szCs w:val="20"/>
              </w:rPr>
              <w:t xml:space="preserve"> a total of 6 doses </w:t>
            </w:r>
            <w:r>
              <w:rPr>
                <w:sz w:val="20"/>
                <w:szCs w:val="20"/>
              </w:rPr>
              <w:t xml:space="preserve">may be supplied </w:t>
            </w:r>
            <w:r w:rsidR="004D7C32" w:rsidRPr="00387842">
              <w:rPr>
                <w:sz w:val="20"/>
                <w:szCs w:val="20"/>
              </w:rPr>
              <w:t>at a maximum dose of 2 mg per kg every 3 weeks</w:t>
            </w:r>
            <w:r w:rsidR="00057EDB">
              <w:rPr>
                <w:sz w:val="20"/>
                <w:szCs w:val="20"/>
              </w:rPr>
              <w:t>.</w:t>
            </w:r>
          </w:p>
        </w:tc>
        <w:tc>
          <w:tcPr>
            <w:tcW w:w="3820" w:type="dxa"/>
          </w:tcPr>
          <w:p w:rsidR="00AB3AD5" w:rsidRPr="00387842" w:rsidRDefault="00D70958" w:rsidP="00387842">
            <w:pPr>
              <w:pStyle w:val="ListParagraph"/>
              <w:numPr>
                <w:ilvl w:val="0"/>
                <w:numId w:val="5"/>
              </w:numPr>
              <w:rPr>
                <w:sz w:val="20"/>
                <w:szCs w:val="20"/>
              </w:rPr>
            </w:pPr>
            <w:r>
              <w:rPr>
                <w:sz w:val="20"/>
                <w:szCs w:val="20"/>
              </w:rPr>
              <w:t>S</w:t>
            </w:r>
            <w:r w:rsidR="0044168A" w:rsidRPr="00387842">
              <w:rPr>
                <w:sz w:val="20"/>
                <w:szCs w:val="20"/>
              </w:rPr>
              <w:t>ole PBS-subsidised therapy for this condition</w:t>
            </w:r>
            <w:r w:rsidR="006F7AD0">
              <w:rPr>
                <w:sz w:val="20"/>
                <w:szCs w:val="20"/>
              </w:rPr>
              <w:t>.</w:t>
            </w:r>
          </w:p>
          <w:p w:rsidR="0044168A" w:rsidRPr="00387842" w:rsidRDefault="00D70958" w:rsidP="00387842">
            <w:pPr>
              <w:pStyle w:val="ListParagraph"/>
              <w:numPr>
                <w:ilvl w:val="0"/>
                <w:numId w:val="5"/>
              </w:numPr>
              <w:rPr>
                <w:sz w:val="20"/>
                <w:szCs w:val="20"/>
              </w:rPr>
            </w:pPr>
            <w:r>
              <w:rPr>
                <w:sz w:val="20"/>
                <w:szCs w:val="20"/>
              </w:rPr>
              <w:t>S</w:t>
            </w:r>
            <w:r w:rsidR="0044168A" w:rsidRPr="00387842">
              <w:rPr>
                <w:sz w:val="20"/>
                <w:szCs w:val="20"/>
              </w:rPr>
              <w:t>table or responding disease</w:t>
            </w:r>
            <w:r w:rsidR="006F7AD0">
              <w:rPr>
                <w:sz w:val="20"/>
                <w:szCs w:val="20"/>
              </w:rPr>
              <w:t>.</w:t>
            </w:r>
          </w:p>
          <w:p w:rsidR="0044168A" w:rsidRDefault="0044168A" w:rsidP="00387842">
            <w:pPr>
              <w:pStyle w:val="ListParagraph"/>
              <w:numPr>
                <w:ilvl w:val="0"/>
                <w:numId w:val="5"/>
              </w:numPr>
            </w:pPr>
            <w:r w:rsidRPr="00387842">
              <w:rPr>
                <w:sz w:val="20"/>
                <w:szCs w:val="20"/>
              </w:rPr>
              <w:t>Must not exceed a maximum dose of 2 mg per kg every 3 weeks</w:t>
            </w:r>
            <w:r w:rsidR="006F7AD0">
              <w:rPr>
                <w:sz w:val="20"/>
                <w:szCs w:val="20"/>
              </w:rPr>
              <w:t>.</w:t>
            </w:r>
          </w:p>
        </w:tc>
      </w:tr>
      <w:tr w:rsidR="00AB3AD5" w:rsidTr="005705FC">
        <w:tc>
          <w:tcPr>
            <w:tcW w:w="1526" w:type="dxa"/>
          </w:tcPr>
          <w:p w:rsidR="00AB3AD5" w:rsidRDefault="00AB3AD5" w:rsidP="00A35800">
            <w:r w:rsidRPr="00C35BE2">
              <w:rPr>
                <w:sz w:val="20"/>
                <w:szCs w:val="20"/>
              </w:rPr>
              <w:t>Trametinib</w:t>
            </w:r>
          </w:p>
        </w:tc>
        <w:tc>
          <w:tcPr>
            <w:tcW w:w="3827" w:type="dxa"/>
          </w:tcPr>
          <w:p w:rsidR="00AB3AD5" w:rsidRPr="00E4444A" w:rsidRDefault="00F928B7" w:rsidP="00E4444A">
            <w:pPr>
              <w:pStyle w:val="ListParagraph"/>
              <w:numPr>
                <w:ilvl w:val="0"/>
                <w:numId w:val="6"/>
              </w:numPr>
              <w:rPr>
                <w:sz w:val="20"/>
                <w:szCs w:val="20"/>
              </w:rPr>
            </w:pPr>
            <w:r>
              <w:rPr>
                <w:sz w:val="20"/>
                <w:szCs w:val="20"/>
              </w:rPr>
              <w:t>Administered with</w:t>
            </w:r>
            <w:r w:rsidR="00AB3AD5" w:rsidRPr="00E4444A">
              <w:rPr>
                <w:sz w:val="20"/>
                <w:szCs w:val="20"/>
              </w:rPr>
              <w:t xml:space="preserve"> dabrafenib concomitantly.</w:t>
            </w:r>
          </w:p>
          <w:p w:rsidR="00AB3AD5" w:rsidRPr="00E4444A" w:rsidRDefault="00AB3AD5" w:rsidP="00E4444A">
            <w:pPr>
              <w:pStyle w:val="ListParagraph"/>
              <w:numPr>
                <w:ilvl w:val="0"/>
                <w:numId w:val="6"/>
              </w:numPr>
              <w:rPr>
                <w:sz w:val="20"/>
                <w:szCs w:val="20"/>
              </w:rPr>
            </w:pPr>
            <w:r w:rsidRPr="00E4444A">
              <w:rPr>
                <w:sz w:val="20"/>
                <w:szCs w:val="20"/>
              </w:rPr>
              <w:t xml:space="preserve">Must not have had progressive disease </w:t>
            </w:r>
            <w:r w:rsidRPr="00E4444A">
              <w:rPr>
                <w:sz w:val="20"/>
                <w:szCs w:val="20"/>
              </w:rPr>
              <w:lastRenderedPageBreak/>
              <w:t>when treated with a BRAF inhibitor</w:t>
            </w:r>
            <w:r w:rsidR="006F7AD0">
              <w:rPr>
                <w:sz w:val="20"/>
                <w:szCs w:val="20"/>
              </w:rPr>
              <w:t>.</w:t>
            </w:r>
          </w:p>
        </w:tc>
        <w:tc>
          <w:tcPr>
            <w:tcW w:w="3820" w:type="dxa"/>
          </w:tcPr>
          <w:p w:rsidR="00C57519" w:rsidRDefault="00C57519" w:rsidP="00C57519">
            <w:pPr>
              <w:pStyle w:val="ListParagraph"/>
              <w:numPr>
                <w:ilvl w:val="0"/>
                <w:numId w:val="6"/>
              </w:numPr>
              <w:rPr>
                <w:sz w:val="20"/>
                <w:szCs w:val="20"/>
              </w:rPr>
            </w:pPr>
            <w:r>
              <w:rPr>
                <w:sz w:val="20"/>
                <w:szCs w:val="20"/>
              </w:rPr>
              <w:lastRenderedPageBreak/>
              <w:t>Administered with</w:t>
            </w:r>
            <w:r w:rsidR="00AB3AD5" w:rsidRPr="00E4444A">
              <w:rPr>
                <w:sz w:val="20"/>
                <w:szCs w:val="20"/>
              </w:rPr>
              <w:t xml:space="preserve"> dabrafenib concomitantly</w:t>
            </w:r>
            <w:r w:rsidR="006F7AD0">
              <w:rPr>
                <w:sz w:val="20"/>
                <w:szCs w:val="20"/>
              </w:rPr>
              <w:t>.</w:t>
            </w:r>
          </w:p>
          <w:p w:rsidR="00AB3AD5" w:rsidRPr="00C57519" w:rsidRDefault="00C57519" w:rsidP="00C57519">
            <w:pPr>
              <w:pStyle w:val="ListParagraph"/>
              <w:numPr>
                <w:ilvl w:val="0"/>
                <w:numId w:val="6"/>
              </w:numPr>
              <w:rPr>
                <w:sz w:val="20"/>
                <w:szCs w:val="20"/>
              </w:rPr>
            </w:pPr>
            <w:r>
              <w:rPr>
                <w:sz w:val="20"/>
                <w:szCs w:val="20"/>
              </w:rPr>
              <w:t>S</w:t>
            </w:r>
            <w:r w:rsidR="00AB3AD5" w:rsidRPr="00C57519">
              <w:rPr>
                <w:sz w:val="20"/>
                <w:szCs w:val="20"/>
              </w:rPr>
              <w:t>table or responding disease</w:t>
            </w:r>
            <w:r w:rsidR="006F7AD0" w:rsidRPr="00C57519">
              <w:rPr>
                <w:sz w:val="20"/>
                <w:szCs w:val="20"/>
              </w:rPr>
              <w:t>.</w:t>
            </w:r>
          </w:p>
        </w:tc>
      </w:tr>
      <w:tr w:rsidR="00B30BCE" w:rsidTr="005705FC">
        <w:tc>
          <w:tcPr>
            <w:tcW w:w="1526" w:type="dxa"/>
          </w:tcPr>
          <w:p w:rsidR="00B30BCE" w:rsidRPr="00C35BE2" w:rsidRDefault="00B30BCE" w:rsidP="00A35800">
            <w:pPr>
              <w:rPr>
                <w:sz w:val="20"/>
                <w:szCs w:val="20"/>
              </w:rPr>
            </w:pPr>
            <w:r>
              <w:rPr>
                <w:sz w:val="20"/>
                <w:szCs w:val="20"/>
              </w:rPr>
              <w:lastRenderedPageBreak/>
              <w:t>Vemurafenib</w:t>
            </w:r>
          </w:p>
        </w:tc>
        <w:tc>
          <w:tcPr>
            <w:tcW w:w="3827" w:type="dxa"/>
          </w:tcPr>
          <w:p w:rsidR="00B30BCE" w:rsidRPr="00B30BCE" w:rsidRDefault="00EC79A1" w:rsidP="00B30BCE">
            <w:pPr>
              <w:pStyle w:val="ListParagraph"/>
              <w:numPr>
                <w:ilvl w:val="0"/>
                <w:numId w:val="6"/>
              </w:numPr>
              <w:rPr>
                <w:sz w:val="20"/>
                <w:szCs w:val="20"/>
              </w:rPr>
            </w:pPr>
            <w:r>
              <w:rPr>
                <w:sz w:val="20"/>
                <w:szCs w:val="20"/>
              </w:rPr>
              <w:t>P</w:t>
            </w:r>
            <w:r w:rsidR="00B30BCE" w:rsidRPr="00D74518">
              <w:rPr>
                <w:sz w:val="20"/>
                <w:szCs w:val="20"/>
              </w:rPr>
              <w:t>ositive for a BRAF V600 mutation.</w:t>
            </w:r>
          </w:p>
          <w:p w:rsidR="00B30BCE" w:rsidRPr="00387842" w:rsidRDefault="00EC79A1" w:rsidP="00B30BCE">
            <w:pPr>
              <w:pStyle w:val="ListParagraph"/>
              <w:numPr>
                <w:ilvl w:val="0"/>
                <w:numId w:val="6"/>
              </w:numPr>
              <w:rPr>
                <w:sz w:val="20"/>
                <w:szCs w:val="20"/>
              </w:rPr>
            </w:pPr>
            <w:r>
              <w:rPr>
                <w:sz w:val="20"/>
                <w:szCs w:val="20"/>
              </w:rPr>
              <w:t>No prior</w:t>
            </w:r>
            <w:r w:rsidR="00B30BCE" w:rsidRPr="00387842">
              <w:rPr>
                <w:sz w:val="20"/>
                <w:szCs w:val="20"/>
              </w:rPr>
              <w:t xml:space="preserve"> PBS subsidised therapy OR</w:t>
            </w:r>
          </w:p>
          <w:p w:rsidR="00B30BCE" w:rsidRDefault="00B30BCE" w:rsidP="00B30BCE">
            <w:pPr>
              <w:ind w:left="360"/>
              <w:rPr>
                <w:sz w:val="20"/>
                <w:szCs w:val="20"/>
              </w:rPr>
            </w:pPr>
            <w:r w:rsidRPr="00387842">
              <w:rPr>
                <w:sz w:val="20"/>
                <w:szCs w:val="20"/>
              </w:rPr>
              <w:t xml:space="preserve">patient must have developed intolerance to another BRAF inhibitor of a severity necessitating </w:t>
            </w:r>
            <w:r>
              <w:rPr>
                <w:sz w:val="20"/>
                <w:szCs w:val="20"/>
              </w:rPr>
              <w:t>permanent treatment withdrawal.</w:t>
            </w:r>
          </w:p>
          <w:p w:rsidR="00476915" w:rsidRPr="00476915" w:rsidRDefault="00476915" w:rsidP="00476915">
            <w:pPr>
              <w:pStyle w:val="ListParagraph"/>
              <w:numPr>
                <w:ilvl w:val="0"/>
                <w:numId w:val="6"/>
              </w:numPr>
              <w:rPr>
                <w:sz w:val="20"/>
                <w:szCs w:val="20"/>
              </w:rPr>
            </w:pPr>
            <w:r w:rsidRPr="00D74518">
              <w:rPr>
                <w:sz w:val="20"/>
                <w:szCs w:val="20"/>
              </w:rPr>
              <w:t>WHO performance status of 2 or less.</w:t>
            </w:r>
          </w:p>
        </w:tc>
        <w:tc>
          <w:tcPr>
            <w:tcW w:w="3820" w:type="dxa"/>
          </w:tcPr>
          <w:p w:rsidR="00B30BCE" w:rsidRPr="00E4444A" w:rsidRDefault="00EC79A1" w:rsidP="00E4444A">
            <w:pPr>
              <w:pStyle w:val="ListParagraph"/>
              <w:numPr>
                <w:ilvl w:val="0"/>
                <w:numId w:val="6"/>
              </w:numPr>
              <w:rPr>
                <w:sz w:val="20"/>
                <w:szCs w:val="20"/>
              </w:rPr>
            </w:pPr>
            <w:r>
              <w:rPr>
                <w:sz w:val="20"/>
                <w:szCs w:val="20"/>
              </w:rPr>
              <w:t>S</w:t>
            </w:r>
            <w:r w:rsidR="00882BCA" w:rsidRPr="00D74518">
              <w:rPr>
                <w:sz w:val="20"/>
                <w:szCs w:val="20"/>
              </w:rPr>
              <w:t>table or responding disease.</w:t>
            </w:r>
          </w:p>
        </w:tc>
      </w:tr>
    </w:tbl>
    <w:p w:rsidR="0083640C" w:rsidRDefault="002131F6" w:rsidP="00A35800">
      <w:pPr>
        <w:rPr>
          <w:sz w:val="20"/>
          <w:szCs w:val="20"/>
        </w:rPr>
      </w:pPr>
      <w:r w:rsidRPr="00C4384B">
        <w:rPr>
          <w:sz w:val="20"/>
          <w:szCs w:val="20"/>
        </w:rPr>
        <w:t>Source: Schedule of Pharmaceutical Benefits, March 2018.</w:t>
      </w:r>
    </w:p>
    <w:p w:rsidR="00724B51" w:rsidRPr="00B44440" w:rsidRDefault="00724B51" w:rsidP="00A35800">
      <w:r w:rsidRPr="0068798F" w:rsidDel="00EE2BBB">
        <w:t>Details of the PBS listing</w:t>
      </w:r>
      <w:r w:rsidRPr="0068798F">
        <w:t>s</w:t>
      </w:r>
      <w:r>
        <w:t>,</w:t>
      </w:r>
      <w:r w:rsidRPr="0068798F" w:rsidDel="00EE2BBB">
        <w:t xml:space="preserve"> including </w:t>
      </w:r>
      <w:r w:rsidRPr="0068798F">
        <w:t xml:space="preserve">the </w:t>
      </w:r>
      <w:r w:rsidRPr="0068798F" w:rsidDel="00EE2BBB">
        <w:t>list price</w:t>
      </w:r>
      <w:r w:rsidRPr="0068798F">
        <w:t>s</w:t>
      </w:r>
      <w:r w:rsidRPr="0068798F" w:rsidDel="00EE2BBB">
        <w:t>, maximum quantities and number of repeats, presen</w:t>
      </w:r>
      <w:r w:rsidRPr="0068798F">
        <w:t xml:space="preserve">tation, dose forms, brand name and </w:t>
      </w:r>
      <w:r w:rsidRPr="0068798F" w:rsidDel="00EE2BBB">
        <w:t>manufacturer</w:t>
      </w:r>
      <w:r>
        <w:t>,</w:t>
      </w:r>
      <w:r w:rsidRPr="0068798F" w:rsidDel="00EE2BBB">
        <w:t xml:space="preserve"> </w:t>
      </w:r>
      <w:r>
        <w:t xml:space="preserve">are provided in Appendix 1. </w:t>
      </w:r>
    </w:p>
    <w:p w:rsidR="00736041" w:rsidRDefault="00394AEE" w:rsidP="00CF5E22">
      <w:pPr>
        <w:pStyle w:val="Heading2"/>
      </w:pPr>
      <w:r>
        <w:t>Relevant aspects of</w:t>
      </w:r>
      <w:r w:rsidR="00736041" w:rsidRPr="005E22C2">
        <w:t xml:space="preserve"> consideration</w:t>
      </w:r>
      <w:r>
        <w:t xml:space="preserve"> by the Pharmaceutical Benefits Advisory Committee (PBAC)</w:t>
      </w:r>
    </w:p>
    <w:p w:rsidR="00697442" w:rsidRPr="00FA34A5" w:rsidRDefault="00697442" w:rsidP="003F0594">
      <w:pPr>
        <w:rPr>
          <w:b/>
          <w:u w:val="single"/>
        </w:rPr>
      </w:pPr>
      <w:r w:rsidRPr="00FA34A5">
        <w:rPr>
          <w:b/>
          <w:u w:val="single"/>
        </w:rPr>
        <w:t>Molecularly targeted drugs</w:t>
      </w:r>
    </w:p>
    <w:p w:rsidR="00DD54BB" w:rsidRPr="00DD54BB" w:rsidRDefault="00587CB8" w:rsidP="006A2A44">
      <w:pPr>
        <w:pStyle w:val="Heading3"/>
        <w:rPr>
          <w:shd w:val="clear" w:color="auto" w:fill="FFFFFF"/>
        </w:rPr>
      </w:pPr>
      <w:r>
        <w:rPr>
          <w:shd w:val="clear" w:color="auto" w:fill="FFFFFF"/>
        </w:rPr>
        <w:t>PBAC and MSAC c</w:t>
      </w:r>
      <w:r w:rsidR="00DD54BB" w:rsidRPr="00DD54BB">
        <w:rPr>
          <w:shd w:val="clear" w:color="auto" w:fill="FFFFFF"/>
        </w:rPr>
        <w:t>onsiderations for co</w:t>
      </w:r>
      <w:r w:rsidR="007D2972">
        <w:rPr>
          <w:shd w:val="clear" w:color="auto" w:fill="FFFFFF"/>
        </w:rPr>
        <w:t>-</w:t>
      </w:r>
      <w:r w:rsidR="00DD54BB" w:rsidRPr="00DD54BB">
        <w:rPr>
          <w:shd w:val="clear" w:color="auto" w:fill="FFFFFF"/>
        </w:rPr>
        <w:t>dependent listings</w:t>
      </w:r>
    </w:p>
    <w:p w:rsidR="00A32EDF" w:rsidRDefault="00A32EDF" w:rsidP="003F0594">
      <w:r>
        <w:t xml:space="preserve">Vemurafenib was the first co-dependent seeking a PBS listing. </w:t>
      </w:r>
      <w:r w:rsidR="00B92873">
        <w:t xml:space="preserve">The July 2012 submission was </w:t>
      </w:r>
      <w:r w:rsidR="00B92873" w:rsidRPr="00B92873">
        <w:t>considered by the PBAC and the Medical Services Advisory Committee (MSAC) respectively under the pilot co-dependent technology assessment process.</w:t>
      </w:r>
      <w:r w:rsidR="00B92873">
        <w:t xml:space="preserve"> </w:t>
      </w:r>
      <w:r w:rsidR="0056440A">
        <w:t xml:space="preserve">The PBAC recommended that the </w:t>
      </w:r>
      <w:r w:rsidR="0056440A" w:rsidRPr="00064D95">
        <w:t>definition of the biomarker should be any V600 mutation, rather than V600E only or limited to V600E and V600K.</w:t>
      </w:r>
      <w:r w:rsidR="0056440A" w:rsidRPr="00064D95">
        <w:rPr>
          <w:vertAlign w:val="superscript"/>
        </w:rPr>
        <w:footnoteReference w:id="4"/>
      </w:r>
      <w:r w:rsidR="00064D95">
        <w:rPr>
          <w:rFonts w:ascii="Arial" w:hAnsi="Arial" w:cs="Arial"/>
          <w:color w:val="333333"/>
          <w:sz w:val="21"/>
          <w:szCs w:val="21"/>
        </w:rPr>
        <w:t xml:space="preserve"> </w:t>
      </w:r>
      <w:r w:rsidR="00064D95" w:rsidRPr="00064D95">
        <w:t xml:space="preserve">This definition was made on the basis that a large proportion of mutations were V600E and that there was underpowered evidence that the other V600 mutations predict a similar treatment. </w:t>
      </w:r>
    </w:p>
    <w:p w:rsidR="00DD54BB" w:rsidRDefault="0063782D" w:rsidP="003F0594">
      <w:r>
        <w:t>As part of the March 2013 PBAC submission for dabrafenib, the sponsor submitted a minor submission to the April 2013 MSAC meeting for the associated BRAF V600 mutation testing.</w:t>
      </w:r>
      <w:r>
        <w:rPr>
          <w:rStyle w:val="FootnoteReference"/>
        </w:rPr>
        <w:footnoteReference w:id="5"/>
      </w:r>
      <w:r w:rsidR="00955680">
        <w:t xml:space="preserve"> </w:t>
      </w:r>
      <w:r w:rsidR="00D42080">
        <w:t xml:space="preserve">The </w:t>
      </w:r>
      <w:r w:rsidR="00F26D15">
        <w:t xml:space="preserve">MSAC considered the submission further at its August 2013 meeting. </w:t>
      </w:r>
      <w:r w:rsidR="00D42080">
        <w:t xml:space="preserve">The </w:t>
      </w:r>
      <w:r w:rsidR="00F26D15">
        <w:t>MSAC con</w:t>
      </w:r>
      <w:r w:rsidR="00C738E0">
        <w:t>cluded</w:t>
      </w:r>
      <w:r w:rsidR="00F26D15">
        <w:t xml:space="preserve"> that there were likely to be low levels of false positive and false negative results based on the available concordance and analytical validity data for the BRAF test. MSAC noted that there was a possibility that some patients may require another biopsy if the quality of the first sample is poor or if there is an inadequate amount of tumour tissue to perform the test. However, the MSAC considered that there was only a small risk of a patient having an extra medical procedure.</w:t>
      </w:r>
      <w:r w:rsidR="00D42080">
        <w:t xml:space="preserve"> The MSAC </w:t>
      </w:r>
      <w:r w:rsidR="00D07C26">
        <w:t>considered that the best estimate for the prevalence of BRAF V600 mutations was 44.5 percent based on Australian data reported by Menzies et al., 2012).</w:t>
      </w:r>
      <w:r w:rsidR="00311BB1">
        <w:t xml:space="preserve"> The MSAC recommended the listing of item 73336 to test for BRAF V600 mutation status in order to fulfil PBS criteria to access dabrafenib and vemurafenib.</w:t>
      </w:r>
    </w:p>
    <w:p w:rsidR="001B4495" w:rsidRDefault="001B4495">
      <w:pPr>
        <w:spacing w:line="276" w:lineRule="auto"/>
      </w:pPr>
      <w:r>
        <w:br w:type="page"/>
      </w:r>
    </w:p>
    <w:p w:rsidR="00697442" w:rsidRDefault="00697442" w:rsidP="006A2A44">
      <w:pPr>
        <w:pStyle w:val="Heading3"/>
        <w:rPr>
          <w:shd w:val="clear" w:color="auto" w:fill="FFFFFF"/>
        </w:rPr>
      </w:pPr>
      <w:r>
        <w:rPr>
          <w:shd w:val="clear" w:color="auto" w:fill="FFFFFF"/>
        </w:rPr>
        <w:lastRenderedPageBreak/>
        <w:t>Dabrafenib</w:t>
      </w:r>
    </w:p>
    <w:p w:rsidR="00697442" w:rsidRPr="00874EEB" w:rsidRDefault="00697442" w:rsidP="00697442">
      <w:r w:rsidRPr="00874EEB">
        <w:t>Dabrafenib was recommended by PBAC in July 2013 for the treatment of patients with BRAF V600 mutation positive advanced (unresectable stage III) or metastatic (stage IV) melanoma.</w:t>
      </w:r>
    </w:p>
    <w:p w:rsidR="00697442" w:rsidRPr="00874EEB" w:rsidRDefault="00697442" w:rsidP="00697442">
      <w:r w:rsidRPr="00874EEB">
        <w:t xml:space="preserve">The accepted main comparator was dacarbazine (DTIC) and dabrafenib was recommended on a cost-effectiveness basis to DTIC. The PBAC considered that vemurafenib and dabrafenib were therapeutically interchangeable and that if </w:t>
      </w:r>
      <w:r>
        <w:t xml:space="preserve">a </w:t>
      </w:r>
      <w:r w:rsidRPr="00874EEB">
        <w:t xml:space="preserve">resubmission was lodged for vemurafenib, a cost-minimisation approach to dabrafenib would be appropriate. </w:t>
      </w:r>
    </w:p>
    <w:p w:rsidR="00697442" w:rsidRDefault="00697442" w:rsidP="00697442">
      <w:r w:rsidRPr="00874EEB">
        <w:t>The PBAC noted that it was difficult to estimate the population size due to a lack of data on the prevalence of the BRAF mutation sub-types in the Australian population. The PBAC also noted that there may be some cost offsets for the use of ipilimumab with the availability of a BRAF inhibitor as first-line treatment.</w:t>
      </w:r>
    </w:p>
    <w:p w:rsidR="00697442" w:rsidRDefault="00697442" w:rsidP="00697442">
      <w:r w:rsidRPr="0034447C">
        <w:t>For further details refer to the</w:t>
      </w:r>
      <w:r>
        <w:t xml:space="preserve"> Public Summary Documents for the </w:t>
      </w:r>
      <w:hyperlink r:id="rId40" w:history="1">
        <w:r w:rsidRPr="007B228D">
          <w:rPr>
            <w:rStyle w:val="Hyperlink"/>
          </w:rPr>
          <w:t>March 2012</w:t>
        </w:r>
      </w:hyperlink>
      <w:r>
        <w:t xml:space="preserve"> and </w:t>
      </w:r>
      <w:hyperlink r:id="rId41" w:history="1">
        <w:r w:rsidRPr="007B228D">
          <w:rPr>
            <w:rStyle w:val="Hyperlink"/>
          </w:rPr>
          <w:t>July 2013</w:t>
        </w:r>
      </w:hyperlink>
      <w:r>
        <w:t xml:space="preserve"> PBAC meetings. </w:t>
      </w:r>
    </w:p>
    <w:p w:rsidR="00D3286A" w:rsidRDefault="00D3286A" w:rsidP="006A2A44">
      <w:pPr>
        <w:pStyle w:val="Heading3"/>
        <w:rPr>
          <w:shd w:val="clear" w:color="auto" w:fill="FFFFFF"/>
        </w:rPr>
      </w:pPr>
      <w:r>
        <w:rPr>
          <w:shd w:val="clear" w:color="auto" w:fill="FFFFFF"/>
        </w:rPr>
        <w:t>Trametinib</w:t>
      </w:r>
    </w:p>
    <w:p w:rsidR="00D3286A" w:rsidRDefault="00D3286A" w:rsidP="00D3286A">
      <w:pPr>
        <w:rPr>
          <w:szCs w:val="22"/>
        </w:rPr>
      </w:pPr>
      <w:r>
        <w:t xml:space="preserve">In November 2014, the PBAC recommended </w:t>
      </w:r>
      <w:r>
        <w:rPr>
          <w:szCs w:val="22"/>
        </w:rPr>
        <w:t xml:space="preserve">trametinib for use in combination with dabrafenib to treat </w:t>
      </w:r>
      <w:r w:rsidRPr="00DB2444">
        <w:rPr>
          <w:szCs w:val="22"/>
        </w:rPr>
        <w:t xml:space="preserve">BRAF V600 mutation positive unresectable stage III or metastatic (stage IV) </w:t>
      </w:r>
      <w:r>
        <w:rPr>
          <w:szCs w:val="22"/>
        </w:rPr>
        <w:t>malignant melanoma. The PBAC noted that the duration of effect of BRAF inhibitors is short-lived, and this was extended to some extent when BRAF inhibitors are used in combination with MEK inhibitors.</w:t>
      </w:r>
    </w:p>
    <w:p w:rsidR="00D3286A" w:rsidRDefault="00D3286A" w:rsidP="00D3286A">
      <w:r>
        <w:rPr>
          <w:szCs w:val="22"/>
        </w:rPr>
        <w:t xml:space="preserve">The PBAC noted that the revised financial estimates model forecasted an increased cost to the PBS compared to the March 2014 submission. The PBAC noted that this was driven by large increases in duration of exposure to dabrafenib. The </w:t>
      </w:r>
      <w:r w:rsidRPr="00DB2444">
        <w:t xml:space="preserve">assumed treatment duration </w:t>
      </w:r>
      <w:r>
        <w:t xml:space="preserve">was based on </w:t>
      </w:r>
      <w:r w:rsidRPr="00DB2444">
        <w:t xml:space="preserve">a trial that the PBAC </w:t>
      </w:r>
      <w:r>
        <w:t>did not consider was reliable. As such,</w:t>
      </w:r>
      <w:r w:rsidRPr="00DB2444">
        <w:t xml:space="preserve"> the estimates </w:t>
      </w:r>
      <w:r>
        <w:t>were</w:t>
      </w:r>
      <w:r w:rsidRPr="00DB2444">
        <w:t xml:space="preserve"> not </w:t>
      </w:r>
      <w:r>
        <w:t>considered to be</w:t>
      </w:r>
      <w:r w:rsidRPr="00DB2444">
        <w:t xml:space="preserve"> accurate.</w:t>
      </w:r>
      <w:r>
        <w:t xml:space="preserve"> The PBAC recommended a risk sharing arrangement to address the uncertainty in the financial estimates.</w:t>
      </w:r>
    </w:p>
    <w:p w:rsidR="00D3286A" w:rsidRDefault="00D3286A" w:rsidP="00D3286A">
      <w:pPr>
        <w:rPr>
          <w:szCs w:val="22"/>
        </w:rPr>
      </w:pPr>
      <w:r>
        <w:rPr>
          <w:szCs w:val="22"/>
        </w:rPr>
        <w:t xml:space="preserve">The </w:t>
      </w:r>
      <w:r w:rsidRPr="00FE7564">
        <w:rPr>
          <w:szCs w:val="22"/>
        </w:rPr>
        <w:t xml:space="preserve">PBAC </w:t>
      </w:r>
      <w:r>
        <w:rPr>
          <w:szCs w:val="22"/>
        </w:rPr>
        <w:t>considered</w:t>
      </w:r>
      <w:r w:rsidRPr="00FE7564">
        <w:rPr>
          <w:szCs w:val="22"/>
        </w:rPr>
        <w:t xml:space="preserve"> that the claim of superior comparative effectiveness of trametinib plus dabrafenib combination treatment to dabrafenib monotherapy was reasonable</w:t>
      </w:r>
      <w:r>
        <w:rPr>
          <w:szCs w:val="22"/>
        </w:rPr>
        <w:t xml:space="preserve">. However there were </w:t>
      </w:r>
      <w:r w:rsidRPr="00FE7564">
        <w:rPr>
          <w:szCs w:val="22"/>
        </w:rPr>
        <w:t xml:space="preserve">incomplete </w:t>
      </w:r>
      <w:r>
        <w:rPr>
          <w:szCs w:val="22"/>
        </w:rPr>
        <w:t xml:space="preserve">trial </w:t>
      </w:r>
      <w:r w:rsidRPr="00FE7564">
        <w:rPr>
          <w:szCs w:val="22"/>
        </w:rPr>
        <w:t xml:space="preserve">results </w:t>
      </w:r>
      <w:r>
        <w:rPr>
          <w:szCs w:val="22"/>
        </w:rPr>
        <w:t xml:space="preserve">presented in the November 2014 submission </w:t>
      </w:r>
      <w:r w:rsidRPr="00FE7564">
        <w:rPr>
          <w:szCs w:val="22"/>
        </w:rPr>
        <w:t>from the randomised phase III COMBI-D and COMBI-V trials</w:t>
      </w:r>
      <w:r>
        <w:rPr>
          <w:szCs w:val="22"/>
        </w:rPr>
        <w:t>. T</w:t>
      </w:r>
      <w:r w:rsidRPr="00FE7564">
        <w:rPr>
          <w:szCs w:val="22"/>
        </w:rPr>
        <w:t xml:space="preserve">he </w:t>
      </w:r>
      <w:r>
        <w:rPr>
          <w:szCs w:val="22"/>
        </w:rPr>
        <w:t>size</w:t>
      </w:r>
      <w:r w:rsidRPr="00FE7564">
        <w:rPr>
          <w:szCs w:val="22"/>
        </w:rPr>
        <w:t xml:space="preserve"> of the treatment effect </w:t>
      </w:r>
      <w:r>
        <w:rPr>
          <w:szCs w:val="22"/>
        </w:rPr>
        <w:t xml:space="preserve">and </w:t>
      </w:r>
      <w:r w:rsidRPr="00FE7564">
        <w:rPr>
          <w:szCs w:val="22"/>
        </w:rPr>
        <w:t>duration of treatment benefit</w:t>
      </w:r>
      <w:r>
        <w:rPr>
          <w:szCs w:val="22"/>
        </w:rPr>
        <w:t xml:space="preserve"> was uncertain. As such, a MES was proposed for the listing. If </w:t>
      </w:r>
      <w:r w:rsidRPr="00FE7564">
        <w:rPr>
          <w:bCs/>
          <w:szCs w:val="20"/>
          <w:lang w:val="en-GB"/>
        </w:rPr>
        <w:t xml:space="preserve">the </w:t>
      </w:r>
      <w:r>
        <w:rPr>
          <w:bCs/>
          <w:szCs w:val="20"/>
          <w:lang w:val="en-GB"/>
        </w:rPr>
        <w:t xml:space="preserve">size </w:t>
      </w:r>
      <w:r w:rsidRPr="00FE7564">
        <w:rPr>
          <w:bCs/>
          <w:szCs w:val="20"/>
          <w:lang w:val="en-GB"/>
        </w:rPr>
        <w:t xml:space="preserve">of benefit of trametinib modelled from BRF113220 </w:t>
      </w:r>
      <w:r>
        <w:rPr>
          <w:bCs/>
          <w:szCs w:val="20"/>
          <w:lang w:val="en-GB"/>
        </w:rPr>
        <w:t>was not</w:t>
      </w:r>
      <w:r w:rsidRPr="00FE7564">
        <w:rPr>
          <w:bCs/>
          <w:szCs w:val="20"/>
          <w:lang w:val="en-GB"/>
        </w:rPr>
        <w:t xml:space="preserve"> realised in the final C</w:t>
      </w:r>
      <w:r>
        <w:rPr>
          <w:bCs/>
          <w:szCs w:val="20"/>
          <w:lang w:val="en-GB"/>
        </w:rPr>
        <w:t>OMBI-D and COMBI-V results, the</w:t>
      </w:r>
      <w:r w:rsidRPr="00FE7564">
        <w:rPr>
          <w:bCs/>
          <w:szCs w:val="20"/>
          <w:lang w:val="en-GB"/>
        </w:rPr>
        <w:t xml:space="preserve"> sponsor would </w:t>
      </w:r>
      <w:r>
        <w:rPr>
          <w:bCs/>
          <w:szCs w:val="20"/>
          <w:lang w:val="en-GB"/>
        </w:rPr>
        <w:t xml:space="preserve">be required to </w:t>
      </w:r>
      <w:r w:rsidRPr="00FE7564">
        <w:rPr>
          <w:bCs/>
          <w:szCs w:val="20"/>
          <w:lang w:val="en-GB"/>
        </w:rPr>
        <w:t xml:space="preserve">rebate </w:t>
      </w:r>
      <w:r>
        <w:rPr>
          <w:bCs/>
          <w:szCs w:val="20"/>
          <w:lang w:val="en-GB"/>
        </w:rPr>
        <w:t xml:space="preserve">the Commonwealth. Refer to </w:t>
      </w:r>
      <w:r>
        <w:rPr>
          <w:szCs w:val="22"/>
        </w:rPr>
        <w:t xml:space="preserve">the </w:t>
      </w:r>
      <w:hyperlink r:id="rId42" w:history="1">
        <w:r w:rsidRPr="00B375B3">
          <w:rPr>
            <w:rStyle w:val="Hyperlink"/>
            <w:szCs w:val="22"/>
          </w:rPr>
          <w:t>November 2014 Public Summary Document</w:t>
        </w:r>
      </w:hyperlink>
      <w:r>
        <w:rPr>
          <w:szCs w:val="22"/>
        </w:rPr>
        <w:t xml:space="preserve"> for further details of the conditions for the MES. </w:t>
      </w:r>
    </w:p>
    <w:p w:rsidR="00D3286A" w:rsidRDefault="00D3286A" w:rsidP="00D3286A">
      <w:r>
        <w:rPr>
          <w:szCs w:val="22"/>
        </w:rPr>
        <w:t xml:space="preserve">In July 2016 a </w:t>
      </w:r>
      <w:r w:rsidRPr="00FE7564">
        <w:t xml:space="preserve">submission was lodged to fulfil the requirements of the </w:t>
      </w:r>
      <w:r>
        <w:t>MES. PBAC recommended that the listing for trametinib should continue with a reduction in the price. There were no changes to the restriction.</w:t>
      </w:r>
    </w:p>
    <w:p w:rsidR="00D3286A" w:rsidRDefault="00D3286A" w:rsidP="00D3286A">
      <w:pPr>
        <w:rPr>
          <w:szCs w:val="22"/>
        </w:rPr>
      </w:pPr>
      <w:r>
        <w:rPr>
          <w:szCs w:val="22"/>
        </w:rPr>
        <w:lastRenderedPageBreak/>
        <w:t xml:space="preserve">For further details refer to the Public Summary Documents for the </w:t>
      </w:r>
      <w:hyperlink r:id="rId43" w:history="1">
        <w:r>
          <w:rPr>
            <w:rStyle w:val="Hyperlink"/>
            <w:szCs w:val="22"/>
          </w:rPr>
          <w:t>March 2014</w:t>
        </w:r>
      </w:hyperlink>
      <w:r>
        <w:rPr>
          <w:szCs w:val="22"/>
        </w:rPr>
        <w:t xml:space="preserve">, </w:t>
      </w:r>
      <w:hyperlink r:id="rId44" w:history="1">
        <w:r>
          <w:rPr>
            <w:rStyle w:val="Hyperlink"/>
            <w:szCs w:val="22"/>
          </w:rPr>
          <w:t>November 2014</w:t>
        </w:r>
      </w:hyperlink>
      <w:r>
        <w:rPr>
          <w:szCs w:val="22"/>
        </w:rPr>
        <w:t xml:space="preserve"> and </w:t>
      </w:r>
      <w:hyperlink r:id="rId45" w:history="1">
        <w:r w:rsidRPr="00C90CCF">
          <w:rPr>
            <w:rStyle w:val="Hyperlink"/>
            <w:szCs w:val="22"/>
          </w:rPr>
          <w:t>July 2016</w:t>
        </w:r>
      </w:hyperlink>
      <w:r>
        <w:rPr>
          <w:szCs w:val="22"/>
        </w:rPr>
        <w:t xml:space="preserve"> meetings. </w:t>
      </w:r>
    </w:p>
    <w:p w:rsidR="00D3286A" w:rsidRDefault="00D3286A" w:rsidP="006A2A44">
      <w:pPr>
        <w:pStyle w:val="Heading3"/>
        <w:rPr>
          <w:shd w:val="clear" w:color="auto" w:fill="FFFFFF"/>
        </w:rPr>
      </w:pPr>
      <w:r>
        <w:rPr>
          <w:shd w:val="clear" w:color="auto" w:fill="FFFFFF"/>
        </w:rPr>
        <w:t>Dabrafenib and trametinib</w:t>
      </w:r>
    </w:p>
    <w:p w:rsidR="00D3286A" w:rsidRDefault="00D3286A" w:rsidP="00D3286A">
      <w:pPr>
        <w:rPr>
          <w:bCs/>
          <w:szCs w:val="22"/>
          <w:lang w:val="en-GB"/>
        </w:rPr>
      </w:pPr>
      <w:r w:rsidRPr="00534E9D">
        <w:rPr>
          <w:bCs/>
          <w:szCs w:val="22"/>
          <w:lang w:val="en-GB"/>
        </w:rPr>
        <w:t>In November 2015, the PBAC recommended that the restriction levels of dabrafenib and trametinib be changed from Authority Required (telephone) to STREAMLINED Authority. There were no changes to the content of the restriction wording.</w:t>
      </w:r>
    </w:p>
    <w:p w:rsidR="00D3286A" w:rsidRPr="00BA29C8" w:rsidRDefault="00D3286A" w:rsidP="00D3286A">
      <w:pPr>
        <w:rPr>
          <w:bCs/>
          <w:szCs w:val="22"/>
          <w:lang w:val="en-GB"/>
        </w:rPr>
      </w:pPr>
      <w:r>
        <w:rPr>
          <w:szCs w:val="22"/>
        </w:rPr>
        <w:t xml:space="preserve">For further details refer to the Public Summary Document for the </w:t>
      </w:r>
      <w:hyperlink r:id="rId46" w:history="1">
        <w:r>
          <w:rPr>
            <w:rStyle w:val="Hyperlink"/>
            <w:szCs w:val="22"/>
          </w:rPr>
          <w:t xml:space="preserve">November </w:t>
        </w:r>
        <w:r w:rsidRPr="00FE540E">
          <w:rPr>
            <w:rStyle w:val="Hyperlink"/>
            <w:szCs w:val="22"/>
          </w:rPr>
          <w:t>2015</w:t>
        </w:r>
      </w:hyperlink>
      <w:r>
        <w:rPr>
          <w:szCs w:val="22"/>
        </w:rPr>
        <w:t xml:space="preserve"> meeting.</w:t>
      </w:r>
    </w:p>
    <w:p w:rsidR="00173A6A" w:rsidRPr="001F0A84" w:rsidRDefault="00173A6A" w:rsidP="006A2A44">
      <w:pPr>
        <w:pStyle w:val="Heading3"/>
        <w:rPr>
          <w:shd w:val="clear" w:color="auto" w:fill="FFFFFF"/>
        </w:rPr>
      </w:pPr>
      <w:r>
        <w:rPr>
          <w:shd w:val="clear" w:color="auto" w:fill="FFFFFF"/>
        </w:rPr>
        <w:t>Vemurafenib</w:t>
      </w:r>
    </w:p>
    <w:p w:rsidR="00173A6A" w:rsidRDefault="00173A6A" w:rsidP="00173A6A">
      <w:r>
        <w:t>Vemurafenib was recommended for use in combination with cobimetinib in March 2016.</w:t>
      </w:r>
    </w:p>
    <w:p w:rsidR="00412926" w:rsidRDefault="00173A6A" w:rsidP="003F0594">
      <w:r>
        <w:t>In April 2017, the PBAC</w:t>
      </w:r>
      <w:r w:rsidRPr="00CF1C18">
        <w:t xml:space="preserve"> recommended the listing of vemurafenib monotherapy for the treatment of patients with BRAF V600 mutation positive unresectable Stage III or Stage IV malignant melanoma</w:t>
      </w:r>
      <w:r>
        <w:t xml:space="preserve">. The listing was recommended </w:t>
      </w:r>
      <w:r w:rsidRPr="00CF1C18">
        <w:t>on a cost-minimisation basis with dabrafenib.</w:t>
      </w:r>
    </w:p>
    <w:p w:rsidR="00412926" w:rsidRPr="00BE22D9" w:rsidRDefault="00412926" w:rsidP="006A2A44">
      <w:pPr>
        <w:pStyle w:val="Heading3"/>
        <w:rPr>
          <w:shd w:val="clear" w:color="auto" w:fill="FFFFFF"/>
        </w:rPr>
      </w:pPr>
      <w:r>
        <w:rPr>
          <w:shd w:val="clear" w:color="auto" w:fill="FFFFFF"/>
        </w:rPr>
        <w:t>Cobimetinib with vemurafenib</w:t>
      </w:r>
    </w:p>
    <w:p w:rsidR="00412926" w:rsidRDefault="00412926" w:rsidP="00412926">
      <w:pPr>
        <w:rPr>
          <w:rFonts w:ascii="Arial" w:hAnsi="Arial" w:cs="Arial"/>
          <w:color w:val="222222"/>
          <w:sz w:val="20"/>
          <w:szCs w:val="20"/>
          <w:shd w:val="clear" w:color="auto" w:fill="FFFFFF"/>
        </w:rPr>
      </w:pPr>
      <w:r w:rsidRPr="000F297E">
        <w:rPr>
          <w:lang w:val="en-GB"/>
        </w:rPr>
        <w:t xml:space="preserve">PBAC recommended </w:t>
      </w:r>
      <w:r>
        <w:rPr>
          <w:lang w:val="en-GB"/>
        </w:rPr>
        <w:t xml:space="preserve">in March 2016 </w:t>
      </w:r>
      <w:r w:rsidRPr="000F297E">
        <w:rPr>
          <w:lang w:val="en-GB"/>
        </w:rPr>
        <w:t>the listing of vemurafenib in combination with cobimetinib</w:t>
      </w:r>
      <w:r>
        <w:rPr>
          <w:lang w:val="en-GB"/>
        </w:rPr>
        <w:t xml:space="preserve"> </w:t>
      </w:r>
      <w:r w:rsidRPr="00452F75">
        <w:t xml:space="preserve">for </w:t>
      </w:r>
      <w:r w:rsidRPr="00944958">
        <w:t>BRAF</w:t>
      </w:r>
      <w:r w:rsidRPr="00452F75">
        <w:t xml:space="preserve"> V600 mutation positive unresectable or metastatic melanoma</w:t>
      </w:r>
      <w:r>
        <w:t xml:space="preserve">. The recommended listing was on </w:t>
      </w:r>
      <w:r w:rsidRPr="000F297E">
        <w:rPr>
          <w:lang w:val="en-GB"/>
        </w:rPr>
        <w:t>a cost-minimisation basis against</w:t>
      </w:r>
      <w:r w:rsidRPr="000F297E">
        <w:t xml:space="preserve"> </w:t>
      </w:r>
      <w:r>
        <w:rPr>
          <w:bCs/>
          <w:lang w:val="en-GB"/>
        </w:rPr>
        <w:t>dabrafenib plus</w:t>
      </w:r>
      <w:r w:rsidRPr="000F297E">
        <w:rPr>
          <w:bCs/>
          <w:lang w:val="en-GB"/>
        </w:rPr>
        <w:t xml:space="preserve"> trametinib</w:t>
      </w:r>
      <w:r>
        <w:rPr>
          <w:bCs/>
          <w:lang w:val="en-GB"/>
        </w:rPr>
        <w:t>.</w:t>
      </w:r>
    </w:p>
    <w:p w:rsidR="00412926" w:rsidRDefault="00412926" w:rsidP="00412926">
      <w:pPr>
        <w:rPr>
          <w:bCs/>
        </w:rPr>
      </w:pPr>
      <w:r>
        <w:rPr>
          <w:lang w:val="en-GB"/>
        </w:rPr>
        <w:t xml:space="preserve">It was recommended that cobimetinib plus vemurafenib </w:t>
      </w:r>
      <w:r w:rsidRPr="00484BC2">
        <w:rPr>
          <w:lang w:val="en-GB"/>
        </w:rPr>
        <w:t xml:space="preserve">share the </w:t>
      </w:r>
      <w:r>
        <w:rPr>
          <w:lang w:val="en-GB"/>
        </w:rPr>
        <w:t>current risk sharing arrangement</w:t>
      </w:r>
      <w:r w:rsidRPr="00484BC2">
        <w:rPr>
          <w:lang w:val="en-GB"/>
        </w:rPr>
        <w:t xml:space="preserve"> with the sponsor of </w:t>
      </w:r>
      <w:r>
        <w:rPr>
          <w:lang w:val="en-GB"/>
        </w:rPr>
        <w:t xml:space="preserve">dabrafenib plus </w:t>
      </w:r>
      <w:r w:rsidRPr="00484BC2">
        <w:rPr>
          <w:bCs/>
          <w:szCs w:val="20"/>
          <w:lang w:val="en-GB"/>
        </w:rPr>
        <w:t>trametinib</w:t>
      </w:r>
      <w:r>
        <w:rPr>
          <w:bCs/>
          <w:szCs w:val="20"/>
          <w:lang w:val="en-GB"/>
        </w:rPr>
        <w:t xml:space="preserve">. There was </w:t>
      </w:r>
      <w:r>
        <w:rPr>
          <w:bCs/>
        </w:rPr>
        <w:t>no expected additional cost to Government above the financial caps in the existing risk sharing arrangement.</w:t>
      </w:r>
    </w:p>
    <w:p w:rsidR="00697442" w:rsidRDefault="00412926" w:rsidP="003F0594">
      <w:r>
        <w:rPr>
          <w:szCs w:val="22"/>
        </w:rPr>
        <w:t xml:space="preserve">For further details refer to the Public Summary Document for the </w:t>
      </w:r>
      <w:hyperlink r:id="rId47" w:history="1">
        <w:r w:rsidRPr="00CC784B">
          <w:rPr>
            <w:rStyle w:val="Hyperlink"/>
            <w:szCs w:val="22"/>
          </w:rPr>
          <w:t>March 2016</w:t>
        </w:r>
      </w:hyperlink>
      <w:r>
        <w:rPr>
          <w:szCs w:val="22"/>
        </w:rPr>
        <w:t xml:space="preserve"> meeting.</w:t>
      </w:r>
      <w:r w:rsidR="00173A6A" w:rsidRPr="00CF1C18">
        <w:t xml:space="preserve">  </w:t>
      </w:r>
    </w:p>
    <w:p w:rsidR="00D96246" w:rsidRPr="00FA34A5" w:rsidRDefault="00D96246" w:rsidP="003F0594">
      <w:pPr>
        <w:rPr>
          <w:b/>
          <w:bCs/>
          <w:szCs w:val="22"/>
          <w:u w:val="single"/>
          <w:lang w:val="en-GB"/>
        </w:rPr>
      </w:pPr>
      <w:r w:rsidRPr="00FA34A5">
        <w:rPr>
          <w:b/>
          <w:u w:val="single"/>
        </w:rPr>
        <w:t>Immunotherapy drugs</w:t>
      </w:r>
    </w:p>
    <w:p w:rsidR="00D46968" w:rsidRPr="00B21D3A" w:rsidRDefault="00D46968" w:rsidP="006A2A44">
      <w:pPr>
        <w:pStyle w:val="Heading3"/>
        <w:rPr>
          <w:shd w:val="clear" w:color="auto" w:fill="FFFFFF"/>
        </w:rPr>
      </w:pPr>
      <w:r w:rsidRPr="00B21D3A">
        <w:rPr>
          <w:shd w:val="clear" w:color="auto" w:fill="FFFFFF"/>
        </w:rPr>
        <w:t>Ipilimumab</w:t>
      </w:r>
    </w:p>
    <w:p w:rsidR="00207ADE" w:rsidRPr="00DC57E2" w:rsidRDefault="00DD413F" w:rsidP="003F0594">
      <w:r w:rsidRPr="00DC57E2">
        <w:t>PBAC recommended the listing of ipilimumab in November 2012</w:t>
      </w:r>
      <w:r>
        <w:t xml:space="preserve"> as </w:t>
      </w:r>
      <w:r w:rsidRPr="00DC57E2">
        <w:t xml:space="preserve">monotherapy </w:t>
      </w:r>
      <w:r w:rsidR="00F163FB" w:rsidRPr="00DC57E2">
        <w:t>for the treatment of</w:t>
      </w:r>
      <w:r w:rsidRPr="00DC57E2">
        <w:t xml:space="preserve"> unresectable Stage III or Stage IV malignant melanoma.</w:t>
      </w:r>
      <w:r w:rsidR="00F163FB" w:rsidRPr="00DC57E2">
        <w:t xml:space="preserve"> </w:t>
      </w:r>
      <w:r w:rsidR="00D345A7">
        <w:t>The listing was on the basis of cost-effectiveness over best supportive care (</w:t>
      </w:r>
      <w:r w:rsidR="00D345A7" w:rsidRPr="00D345A7">
        <w:t>dacarbazine (DTIC) and fotemustine).</w:t>
      </w:r>
      <w:r w:rsidR="00D345A7">
        <w:rPr>
          <w:rFonts w:ascii="Arial" w:hAnsi="Arial" w:cs="Arial"/>
          <w:color w:val="222222"/>
          <w:sz w:val="20"/>
          <w:szCs w:val="20"/>
          <w:shd w:val="clear" w:color="auto" w:fill="FFFFFF"/>
        </w:rPr>
        <w:t xml:space="preserve">  </w:t>
      </w:r>
      <w:r w:rsidR="00EC38BF" w:rsidRPr="00EC38BF">
        <w:t xml:space="preserve">The </w:t>
      </w:r>
      <w:r w:rsidR="00F163FB" w:rsidRPr="00DC57E2">
        <w:t xml:space="preserve">proposed restriction was for use after failure or intolerance to prior therapy for metastatic disease. The PBAC considered that it was not clinically appropriate to require patients to first use then fail toxic first-line chemotherapy. The PBAC requested that the PBS restriction should allow the use of ipilimumab in first-line. </w:t>
      </w:r>
    </w:p>
    <w:p w:rsidR="00266E72" w:rsidRDefault="009E1A6B" w:rsidP="003F0594">
      <w:r w:rsidRPr="00DC57E2">
        <w:t>The PBAC requested amendments to the financial estimates model to reflect a treatment algorithm incorporating the use of ipilimumab in first-line.</w:t>
      </w:r>
      <w:r w:rsidR="00F01FF1" w:rsidRPr="00DC57E2">
        <w:t xml:space="preserve"> The PBAC considered that the estimates for the number of patients diagnosed with unresectable Stage IIIC/IV melanoma each year and the number of patients eligible for ipilimumab were likely to be substantially higher than estimated by the sponsor. The PBAC noted that there were significant financial </w:t>
      </w:r>
      <w:r w:rsidR="00F01FF1" w:rsidRPr="00DC57E2">
        <w:lastRenderedPageBreak/>
        <w:t xml:space="preserve">risks both from increased patient numbers by opening up the restriction for use in first-line and the potential for the use of 10 mg/kg doses, compared with 3 mg/kg doses, in a second-line setting. </w:t>
      </w:r>
      <w:r w:rsidR="001F4C66">
        <w:t xml:space="preserve">In its prior consideration of the March 2012 submission, the PBAC noted there were </w:t>
      </w:r>
      <w:r w:rsidR="001F4C66" w:rsidRPr="001F4C66">
        <w:t>uncertainties with the dose of ipilimumab as the first-line trials use</w:t>
      </w:r>
      <w:r w:rsidR="00DA2A95">
        <w:t>d</w:t>
      </w:r>
      <w:r w:rsidR="001F4C66" w:rsidRPr="001F4C66">
        <w:t xml:space="preserve"> a higher dose of ipilimumab (10 mg/kg) whereas in the</w:t>
      </w:r>
      <w:r w:rsidR="00DA2A95">
        <w:t xml:space="preserve"> second-line setting the dose was</w:t>
      </w:r>
      <w:r w:rsidR="001F4C66" w:rsidRPr="001F4C66">
        <w:t xml:space="preserve"> 3 mg/kg. The PBAC considered that higher doses might be used in clinical practice based on dose</w:t>
      </w:r>
      <w:r w:rsidR="00E72FE8">
        <w:t>s</w:t>
      </w:r>
      <w:r w:rsidR="001F4C66" w:rsidRPr="001F4C66">
        <w:t xml:space="preserve"> used in the first-line study.</w:t>
      </w:r>
      <w:r w:rsidR="00266E72">
        <w:t xml:space="preserve"> </w:t>
      </w:r>
    </w:p>
    <w:p w:rsidR="009E1A6B" w:rsidRPr="00DC57E2" w:rsidRDefault="00F01FF1" w:rsidP="003F0594">
      <w:r w:rsidRPr="00DC57E2">
        <w:t>To manage the financial risk, the PBAC recommended that a risk sharing arrangement be established. This included a pay for performance arrangement to account for whether the extent of the survival benefit used in the calculation of cost-effectiveness of ipilimumab was realised in Australian clinical practice. Under such an arrangement, the PBAC commented that the sponsor would be expected to rebate the cost of the difference in performance between the observed versus predicted benefits of ipilimumab.</w:t>
      </w:r>
    </w:p>
    <w:p w:rsidR="00F01FF1" w:rsidRDefault="009A617A" w:rsidP="003F0594">
      <w:r>
        <w:t xml:space="preserve">Prior submissions for ipilimumab for the treatment of melanoma were considered by the PBAC in July 2011 and March 2012. These submissions were not recommended </w:t>
      </w:r>
      <w:r w:rsidR="00F90042">
        <w:t xml:space="preserve">due to an </w:t>
      </w:r>
      <w:r w:rsidR="00F90042" w:rsidRPr="00F90042">
        <w:t>uncertain extent of clinical benefit, uncertain clinical place in therapy and a high and uncertain cost effectiveness.</w:t>
      </w:r>
    </w:p>
    <w:p w:rsidR="00377E39" w:rsidRDefault="00377E39" w:rsidP="00377E39">
      <w:pPr>
        <w:rPr>
          <w:szCs w:val="22"/>
        </w:rPr>
      </w:pPr>
      <w:r>
        <w:rPr>
          <w:szCs w:val="22"/>
        </w:rPr>
        <w:t xml:space="preserve">In July 2016, the PBAC recommended that the clinical criteria for ipilimumab be changed from </w:t>
      </w:r>
      <w:r w:rsidRPr="00C35CF6">
        <w:rPr>
          <w:szCs w:val="22"/>
        </w:rPr>
        <w:t>“The treatment must be as monotherapy” to read “The treatment must be the sole PBS-subsidised therapy for this condition”.</w:t>
      </w:r>
      <w:r>
        <w:rPr>
          <w:szCs w:val="22"/>
        </w:rPr>
        <w:t xml:space="preserve"> The amendment would allow </w:t>
      </w:r>
      <w:r w:rsidRPr="003B51CA">
        <w:rPr>
          <w:szCs w:val="22"/>
        </w:rPr>
        <w:t>patients to access non-PBS therapy concomitantly with PBS-subsidised ipilimumab</w:t>
      </w:r>
      <w:r>
        <w:rPr>
          <w:szCs w:val="22"/>
        </w:rPr>
        <w:t>.</w:t>
      </w:r>
    </w:p>
    <w:p w:rsidR="00377E39" w:rsidRDefault="00377E39" w:rsidP="00377E39">
      <w:r w:rsidRPr="0034447C">
        <w:t>For further details refer to the</w:t>
      </w:r>
      <w:r>
        <w:t xml:space="preserve"> Public Summary Documents for the </w:t>
      </w:r>
      <w:hyperlink r:id="rId48" w:history="1">
        <w:r w:rsidRPr="00F90042">
          <w:rPr>
            <w:rStyle w:val="Hyperlink"/>
          </w:rPr>
          <w:t>July 2011</w:t>
        </w:r>
      </w:hyperlink>
      <w:r>
        <w:t xml:space="preserve">, </w:t>
      </w:r>
      <w:hyperlink r:id="rId49" w:history="1">
        <w:r w:rsidRPr="00F90042">
          <w:rPr>
            <w:rStyle w:val="Hyperlink"/>
          </w:rPr>
          <w:t>March 2012</w:t>
        </w:r>
      </w:hyperlink>
      <w:r w:rsidR="00CD3137">
        <w:rPr>
          <w:rStyle w:val="Hyperlink"/>
        </w:rPr>
        <w:t>,</w:t>
      </w:r>
      <w:r>
        <w:t xml:space="preserve"> </w:t>
      </w:r>
      <w:hyperlink r:id="rId50" w:history="1">
        <w:r w:rsidR="00CD3137" w:rsidRPr="00CD3137">
          <w:rPr>
            <w:rStyle w:val="Hyperlink"/>
          </w:rPr>
          <w:t>November 2012</w:t>
        </w:r>
      </w:hyperlink>
      <w:r w:rsidR="00CD3137">
        <w:t xml:space="preserve">, </w:t>
      </w:r>
      <w:r>
        <w:t xml:space="preserve">and </w:t>
      </w:r>
      <w:hyperlink r:id="rId51" w:history="1">
        <w:r w:rsidRPr="003E3242">
          <w:rPr>
            <w:rStyle w:val="Hyperlink"/>
            <w:szCs w:val="22"/>
          </w:rPr>
          <w:t>July 2016</w:t>
        </w:r>
      </w:hyperlink>
      <w:r>
        <w:rPr>
          <w:rStyle w:val="Hyperlink"/>
          <w:szCs w:val="22"/>
        </w:rPr>
        <w:t xml:space="preserve"> </w:t>
      </w:r>
      <w:r>
        <w:t xml:space="preserve">PBAC meetings. </w:t>
      </w:r>
    </w:p>
    <w:p w:rsidR="000E496B" w:rsidRDefault="000E496B" w:rsidP="006A2A44">
      <w:pPr>
        <w:pStyle w:val="Heading3"/>
        <w:rPr>
          <w:shd w:val="clear" w:color="auto" w:fill="FFFFFF"/>
        </w:rPr>
      </w:pPr>
      <w:r>
        <w:rPr>
          <w:shd w:val="clear" w:color="auto" w:fill="FFFFFF"/>
        </w:rPr>
        <w:t xml:space="preserve">Nivolumab </w:t>
      </w:r>
    </w:p>
    <w:p w:rsidR="000E496B" w:rsidRDefault="000E496B" w:rsidP="000E496B">
      <w:pPr>
        <w:rPr>
          <w:rFonts w:ascii="Arial" w:hAnsi="Arial" w:cs="Arial"/>
          <w:color w:val="222222"/>
          <w:sz w:val="20"/>
          <w:szCs w:val="20"/>
          <w:shd w:val="clear" w:color="auto" w:fill="FFFFFF"/>
        </w:rPr>
      </w:pPr>
      <w:r>
        <w:rPr>
          <w:bCs/>
          <w:szCs w:val="22"/>
          <w:lang w:val="en-GB"/>
        </w:rPr>
        <w:t xml:space="preserve">The PBAC (November 2015) recommended </w:t>
      </w:r>
      <w:r w:rsidRPr="00CA15B2">
        <w:rPr>
          <w:bCs/>
          <w:szCs w:val="22"/>
          <w:lang w:val="en-GB"/>
        </w:rPr>
        <w:t>nivo</w:t>
      </w:r>
      <w:r>
        <w:rPr>
          <w:bCs/>
          <w:szCs w:val="22"/>
          <w:lang w:val="en-GB"/>
        </w:rPr>
        <w:t>lumab as monotherapy to treat</w:t>
      </w:r>
      <w:r w:rsidRPr="00CA15B2">
        <w:rPr>
          <w:bCs/>
          <w:szCs w:val="22"/>
          <w:lang w:val="en-GB"/>
        </w:rPr>
        <w:t xml:space="preserve"> unresectable stage III or stage IV malignant melanoma</w:t>
      </w:r>
      <w:r>
        <w:rPr>
          <w:bCs/>
          <w:szCs w:val="22"/>
          <w:lang w:val="en-GB"/>
        </w:rPr>
        <w:t xml:space="preserve"> on a </w:t>
      </w:r>
      <w:r w:rsidRPr="00CA15B2">
        <w:rPr>
          <w:bCs/>
          <w:szCs w:val="22"/>
          <w:lang w:val="en-GB"/>
        </w:rPr>
        <w:t>cost-minimisation basis with pembrolizumab</w:t>
      </w:r>
      <w:r>
        <w:rPr>
          <w:bCs/>
          <w:szCs w:val="22"/>
          <w:lang w:val="en-GB"/>
        </w:rPr>
        <w:t xml:space="preserve">. </w:t>
      </w:r>
      <w:r>
        <w:rPr>
          <w:szCs w:val="22"/>
        </w:rPr>
        <w:t xml:space="preserve">The recommended criteria included that pembrolizumab must be used as a sole PBS subsidised therapy. </w:t>
      </w:r>
      <w:r>
        <w:rPr>
          <w:bCs/>
          <w:szCs w:val="22"/>
          <w:lang w:val="en-GB"/>
        </w:rPr>
        <w:t>It was recommended that the</w:t>
      </w:r>
      <w:r w:rsidRPr="00CA15B2">
        <w:rPr>
          <w:bCs/>
          <w:szCs w:val="22"/>
          <w:lang w:val="en-GB"/>
        </w:rPr>
        <w:t xml:space="preserve"> </w:t>
      </w:r>
      <w:r>
        <w:rPr>
          <w:bCs/>
          <w:szCs w:val="22"/>
          <w:lang w:val="en-GB"/>
        </w:rPr>
        <w:t xml:space="preserve">price of nivolumab resulted in the </w:t>
      </w:r>
      <w:r w:rsidRPr="00CA15B2">
        <w:rPr>
          <w:bCs/>
          <w:szCs w:val="22"/>
          <w:lang w:val="en-GB"/>
        </w:rPr>
        <w:t xml:space="preserve">same cost per patient </w:t>
      </w:r>
      <w:r>
        <w:rPr>
          <w:bCs/>
          <w:szCs w:val="22"/>
          <w:lang w:val="en-GB"/>
        </w:rPr>
        <w:t>as pembrolizumab less the additional infusion costs from nivolumab from it higher frequency of infusions</w:t>
      </w:r>
      <w:r w:rsidRPr="00CA15B2">
        <w:rPr>
          <w:bCs/>
          <w:szCs w:val="22"/>
          <w:lang w:val="en-GB"/>
        </w:rPr>
        <w:t>.</w:t>
      </w:r>
    </w:p>
    <w:p w:rsidR="000E496B" w:rsidRDefault="000E496B" w:rsidP="000E496B">
      <w:pPr>
        <w:rPr>
          <w:rFonts w:ascii="Arial" w:hAnsi="Arial" w:cs="Arial"/>
          <w:color w:val="222222"/>
          <w:sz w:val="20"/>
          <w:szCs w:val="20"/>
          <w:shd w:val="clear" w:color="auto" w:fill="FFFFFF"/>
        </w:rPr>
      </w:pPr>
      <w:r>
        <w:rPr>
          <w:bCs/>
          <w:szCs w:val="22"/>
          <w:lang w:val="en-GB"/>
        </w:rPr>
        <w:t>The estimates for utilisation were not updated from the original July 2015 submission. The PBAC agreed with the ESC’s view that the patient numbers were overestimated and should be based on a market share.</w:t>
      </w:r>
    </w:p>
    <w:p w:rsidR="000E496B" w:rsidRPr="00085018" w:rsidRDefault="000E496B" w:rsidP="000E496B">
      <w:pPr>
        <w:rPr>
          <w:bCs/>
          <w:szCs w:val="22"/>
          <w:lang w:val="en-GB"/>
        </w:rPr>
      </w:pPr>
      <w:r w:rsidRPr="00085018">
        <w:rPr>
          <w:bCs/>
          <w:szCs w:val="22"/>
          <w:lang w:val="en-GB"/>
        </w:rPr>
        <w:t xml:space="preserve">The July 2015 submission for nivolumab was not recommended </w:t>
      </w:r>
      <w:r>
        <w:rPr>
          <w:bCs/>
          <w:szCs w:val="22"/>
          <w:lang w:val="en-GB"/>
        </w:rPr>
        <w:t xml:space="preserve">due to several </w:t>
      </w:r>
      <w:r w:rsidRPr="00265138">
        <w:rPr>
          <w:bCs/>
          <w:szCs w:val="22"/>
          <w:lang w:val="en-GB"/>
        </w:rPr>
        <w:t xml:space="preserve">issues with the </w:t>
      </w:r>
      <w:r>
        <w:rPr>
          <w:bCs/>
          <w:szCs w:val="22"/>
          <w:lang w:val="en-GB"/>
        </w:rPr>
        <w:t xml:space="preserve">economic </w:t>
      </w:r>
      <w:r w:rsidRPr="00265138">
        <w:rPr>
          <w:bCs/>
          <w:szCs w:val="22"/>
          <w:lang w:val="en-GB"/>
        </w:rPr>
        <w:t xml:space="preserve">model and </w:t>
      </w:r>
      <w:r>
        <w:rPr>
          <w:bCs/>
          <w:szCs w:val="22"/>
          <w:lang w:val="en-GB"/>
        </w:rPr>
        <w:t>an inappropriate choice of</w:t>
      </w:r>
      <w:r w:rsidRPr="00265138">
        <w:rPr>
          <w:bCs/>
          <w:szCs w:val="22"/>
          <w:lang w:val="en-GB"/>
        </w:rPr>
        <w:t xml:space="preserve"> comparator</w:t>
      </w:r>
      <w:r>
        <w:rPr>
          <w:bCs/>
          <w:szCs w:val="22"/>
          <w:lang w:val="en-GB"/>
        </w:rPr>
        <w:t>.</w:t>
      </w:r>
    </w:p>
    <w:p w:rsidR="00377E39" w:rsidRDefault="000E496B" w:rsidP="003F0594">
      <w:pPr>
        <w:rPr>
          <w:szCs w:val="22"/>
        </w:rPr>
      </w:pPr>
      <w:r>
        <w:rPr>
          <w:szCs w:val="22"/>
        </w:rPr>
        <w:t xml:space="preserve">For further details refer to the Public Summary Documents for the </w:t>
      </w:r>
      <w:hyperlink r:id="rId52" w:history="1">
        <w:r>
          <w:rPr>
            <w:rStyle w:val="Hyperlink"/>
            <w:szCs w:val="22"/>
          </w:rPr>
          <w:t>July</w:t>
        </w:r>
        <w:r w:rsidRPr="00FE540E">
          <w:rPr>
            <w:rStyle w:val="Hyperlink"/>
            <w:szCs w:val="22"/>
          </w:rPr>
          <w:t xml:space="preserve"> 2015</w:t>
        </w:r>
      </w:hyperlink>
      <w:r>
        <w:rPr>
          <w:szCs w:val="22"/>
        </w:rPr>
        <w:t xml:space="preserve"> and</w:t>
      </w:r>
      <w:hyperlink r:id="rId53" w:history="1">
        <w:r w:rsidRPr="00085018">
          <w:rPr>
            <w:rStyle w:val="Hyperlink"/>
            <w:szCs w:val="22"/>
          </w:rPr>
          <w:t xml:space="preserve"> November 2015</w:t>
        </w:r>
      </w:hyperlink>
      <w:r>
        <w:rPr>
          <w:szCs w:val="22"/>
        </w:rPr>
        <w:t xml:space="preserve"> meetings. </w:t>
      </w:r>
    </w:p>
    <w:p w:rsidR="00DF2B34" w:rsidRDefault="00DF2B34">
      <w:pPr>
        <w:spacing w:line="276" w:lineRule="auto"/>
        <w:rPr>
          <w:szCs w:val="22"/>
        </w:rPr>
      </w:pPr>
      <w:r>
        <w:rPr>
          <w:szCs w:val="22"/>
        </w:rPr>
        <w:br w:type="page"/>
      </w:r>
    </w:p>
    <w:p w:rsidR="006C43C4" w:rsidRPr="00B21D3A" w:rsidRDefault="006C43C4" w:rsidP="006A2A44">
      <w:pPr>
        <w:pStyle w:val="Heading3"/>
        <w:rPr>
          <w:shd w:val="clear" w:color="auto" w:fill="FFFFFF"/>
        </w:rPr>
      </w:pPr>
      <w:r>
        <w:rPr>
          <w:shd w:val="clear" w:color="auto" w:fill="FFFFFF"/>
        </w:rPr>
        <w:lastRenderedPageBreak/>
        <w:t xml:space="preserve">Pembrolizumab </w:t>
      </w:r>
    </w:p>
    <w:p w:rsidR="006C43C4" w:rsidRDefault="008A7C75" w:rsidP="006C43C4">
      <w:pPr>
        <w:rPr>
          <w:szCs w:val="22"/>
        </w:rPr>
      </w:pPr>
      <w:r w:rsidRPr="0039633E">
        <w:rPr>
          <w:szCs w:val="22"/>
        </w:rPr>
        <w:t xml:space="preserve">In March 2015, </w:t>
      </w:r>
      <w:r>
        <w:rPr>
          <w:szCs w:val="22"/>
        </w:rPr>
        <w:t xml:space="preserve">pembrolizumab was recommended by PBAC as </w:t>
      </w:r>
      <w:r w:rsidRPr="00975603">
        <w:rPr>
          <w:szCs w:val="22"/>
        </w:rPr>
        <w:t xml:space="preserve">monotherapy </w:t>
      </w:r>
      <w:r>
        <w:rPr>
          <w:szCs w:val="22"/>
        </w:rPr>
        <w:t xml:space="preserve">to treat </w:t>
      </w:r>
      <w:r w:rsidRPr="00975603">
        <w:rPr>
          <w:szCs w:val="22"/>
        </w:rPr>
        <w:t>unresectable stage III or metastatic (stage IV) malignant melanoma</w:t>
      </w:r>
      <w:r>
        <w:rPr>
          <w:szCs w:val="22"/>
        </w:rPr>
        <w:t xml:space="preserve">. </w:t>
      </w:r>
      <w:r w:rsidR="00EC0E0E">
        <w:rPr>
          <w:szCs w:val="22"/>
        </w:rPr>
        <w:t xml:space="preserve">The recommended criteria included that pembrolizumab must be used as a sole PBS subsidised therapy. </w:t>
      </w:r>
      <w:r>
        <w:rPr>
          <w:szCs w:val="22"/>
        </w:rPr>
        <w:t xml:space="preserve">An initial risk share arrangement was recommended to achieve the same </w:t>
      </w:r>
      <w:r w:rsidRPr="00975603">
        <w:rPr>
          <w:szCs w:val="22"/>
        </w:rPr>
        <w:t>cost per patient to the PBS</w:t>
      </w:r>
      <w:r>
        <w:rPr>
          <w:szCs w:val="22"/>
        </w:rPr>
        <w:t xml:space="preserve"> for pembrolizumab as </w:t>
      </w:r>
      <w:r w:rsidRPr="00975603">
        <w:rPr>
          <w:szCs w:val="22"/>
        </w:rPr>
        <w:t>ipilimumab.</w:t>
      </w:r>
    </w:p>
    <w:p w:rsidR="00840258" w:rsidRDefault="0086283D" w:rsidP="006C43C4">
      <w:pPr>
        <w:rPr>
          <w:szCs w:val="22"/>
        </w:rPr>
      </w:pPr>
      <w:r>
        <w:rPr>
          <w:szCs w:val="22"/>
        </w:rPr>
        <w:t xml:space="preserve">The recommended </w:t>
      </w:r>
      <w:r w:rsidRPr="00975603">
        <w:rPr>
          <w:szCs w:val="22"/>
        </w:rPr>
        <w:t xml:space="preserve">PBS listing </w:t>
      </w:r>
      <w:r>
        <w:rPr>
          <w:szCs w:val="22"/>
        </w:rPr>
        <w:t>was</w:t>
      </w:r>
      <w:r w:rsidRPr="00975603">
        <w:rPr>
          <w:szCs w:val="22"/>
        </w:rPr>
        <w:t xml:space="preserve"> limited to patients </w:t>
      </w:r>
      <w:r>
        <w:rPr>
          <w:szCs w:val="22"/>
        </w:rPr>
        <w:t>with no prior use of</w:t>
      </w:r>
      <w:r w:rsidRPr="00975603">
        <w:rPr>
          <w:szCs w:val="22"/>
        </w:rPr>
        <w:t xml:space="preserve"> ipilimumab</w:t>
      </w:r>
      <w:r>
        <w:rPr>
          <w:szCs w:val="22"/>
        </w:rPr>
        <w:t>. The PBAC noted that there was a</w:t>
      </w:r>
      <w:r w:rsidRPr="00975603">
        <w:rPr>
          <w:szCs w:val="22"/>
        </w:rPr>
        <w:t xml:space="preserve"> high clinical need for pembrolizumab in patients who are refractory to ipilimumab.  </w:t>
      </w:r>
      <w:r>
        <w:rPr>
          <w:szCs w:val="22"/>
        </w:rPr>
        <w:t xml:space="preserve">The PBAC accepted an undertaking by the sponsor </w:t>
      </w:r>
      <w:r w:rsidRPr="00975603">
        <w:rPr>
          <w:szCs w:val="22"/>
        </w:rPr>
        <w:t xml:space="preserve">to subsidise ongoing access to pembrolizumab for patients who are refractory to ipilimumab.  </w:t>
      </w:r>
    </w:p>
    <w:p w:rsidR="000F3869" w:rsidRDefault="00840258" w:rsidP="006C43C4">
      <w:pPr>
        <w:rPr>
          <w:szCs w:val="22"/>
        </w:rPr>
      </w:pPr>
      <w:r>
        <w:rPr>
          <w:szCs w:val="22"/>
        </w:rPr>
        <w:t xml:space="preserve">The </w:t>
      </w:r>
      <w:r w:rsidRPr="00975603">
        <w:rPr>
          <w:szCs w:val="22"/>
        </w:rPr>
        <w:t xml:space="preserve">PBAC supported </w:t>
      </w:r>
      <w:r>
        <w:rPr>
          <w:szCs w:val="22"/>
        </w:rPr>
        <w:t xml:space="preserve">the use of pembrolizumab following progression with dabrafenib therapy, including in combination with trametinib, </w:t>
      </w:r>
      <w:r w:rsidRPr="00975603">
        <w:rPr>
          <w:szCs w:val="22"/>
        </w:rPr>
        <w:t>for patients with a BRAF mutation</w:t>
      </w:r>
      <w:r w:rsidR="00F857EF">
        <w:rPr>
          <w:szCs w:val="22"/>
        </w:rPr>
        <w:t xml:space="preserve"> because trial evidence indicated improved progression-free survival from such use.</w:t>
      </w:r>
      <w:r w:rsidR="000F3869">
        <w:rPr>
          <w:szCs w:val="22"/>
        </w:rPr>
        <w:t xml:space="preserve"> </w:t>
      </w:r>
    </w:p>
    <w:p w:rsidR="007730CC" w:rsidRDefault="000F3869" w:rsidP="006C43C4">
      <w:pPr>
        <w:rPr>
          <w:szCs w:val="22"/>
        </w:rPr>
      </w:pPr>
      <w:r>
        <w:rPr>
          <w:szCs w:val="22"/>
        </w:rPr>
        <w:t xml:space="preserve">The listing was recommended via a Managed Entry Scheme (MES) on the basis of a high clinical need. </w:t>
      </w:r>
      <w:r w:rsidR="00840258" w:rsidRPr="00975603">
        <w:rPr>
          <w:szCs w:val="22"/>
        </w:rPr>
        <w:t xml:space="preserve"> </w:t>
      </w:r>
      <w:r>
        <w:rPr>
          <w:szCs w:val="22"/>
        </w:rPr>
        <w:t>Early trial data suggested that pembrolizumab appeared more effective than ipilimumab but there was uncertainty about the size of the incremental treatment effect</w:t>
      </w:r>
      <w:r w:rsidR="00121E41">
        <w:rPr>
          <w:szCs w:val="22"/>
        </w:rPr>
        <w:t xml:space="preserve"> and duration of the benefit</w:t>
      </w:r>
      <w:r>
        <w:rPr>
          <w:szCs w:val="22"/>
        </w:rPr>
        <w:t>. As such, the PBAC considered that a MES was necessary.</w:t>
      </w:r>
      <w:r w:rsidR="00382386">
        <w:rPr>
          <w:szCs w:val="22"/>
        </w:rPr>
        <w:t xml:space="preserve"> </w:t>
      </w:r>
    </w:p>
    <w:p w:rsidR="007730CC" w:rsidRDefault="007730CC" w:rsidP="002455C3">
      <w:pPr>
        <w:spacing w:after="0"/>
        <w:rPr>
          <w:szCs w:val="22"/>
        </w:rPr>
      </w:pPr>
      <w:r>
        <w:rPr>
          <w:szCs w:val="22"/>
        </w:rPr>
        <w:t xml:space="preserve">The main parameters recommended for the MES </w:t>
      </w:r>
      <w:r w:rsidR="00C60379">
        <w:rPr>
          <w:szCs w:val="22"/>
        </w:rPr>
        <w:t xml:space="preserve">relevant to the financial estimates </w:t>
      </w:r>
      <w:r>
        <w:rPr>
          <w:szCs w:val="22"/>
        </w:rPr>
        <w:t>included:</w:t>
      </w:r>
    </w:p>
    <w:p w:rsidR="007730CC" w:rsidRPr="00EF7982" w:rsidRDefault="00B75DE0" w:rsidP="00EF7982">
      <w:pPr>
        <w:pStyle w:val="ListParagraph"/>
        <w:numPr>
          <w:ilvl w:val="0"/>
          <w:numId w:val="7"/>
        </w:numPr>
        <w:spacing w:after="0"/>
        <w:rPr>
          <w:szCs w:val="22"/>
        </w:rPr>
      </w:pPr>
      <w:r w:rsidRPr="00EF7982">
        <w:rPr>
          <w:szCs w:val="22"/>
        </w:rPr>
        <w:t xml:space="preserve">The initial price of pembrolizumab would be determined on the basis of the current cost per patient for ipilimumab at its effective price.  </w:t>
      </w:r>
    </w:p>
    <w:p w:rsidR="00991AC1" w:rsidRPr="00EF7982" w:rsidRDefault="00991AC1" w:rsidP="00EF7982">
      <w:pPr>
        <w:pStyle w:val="ListParagraph"/>
        <w:numPr>
          <w:ilvl w:val="0"/>
          <w:numId w:val="7"/>
        </w:numPr>
        <w:spacing w:after="0"/>
        <w:rPr>
          <w:szCs w:val="22"/>
        </w:rPr>
      </w:pPr>
      <w:r w:rsidRPr="00EF7982">
        <w:rPr>
          <w:szCs w:val="22"/>
        </w:rPr>
        <w:t>Expenditure caps would be based on the average cost of ipilimumab per patient and revised utilisation estimates based on the current PBS use of ipilimumab.</w:t>
      </w:r>
    </w:p>
    <w:p w:rsidR="008A544C" w:rsidRPr="00EF7982" w:rsidRDefault="008A544C" w:rsidP="00EF7982">
      <w:pPr>
        <w:pStyle w:val="ListParagraph"/>
        <w:numPr>
          <w:ilvl w:val="0"/>
          <w:numId w:val="7"/>
        </w:numPr>
        <w:spacing w:after="0"/>
        <w:rPr>
          <w:szCs w:val="22"/>
        </w:rPr>
      </w:pPr>
      <w:r w:rsidRPr="00EF7982">
        <w:rPr>
          <w:szCs w:val="22"/>
        </w:rPr>
        <w:t>A review of new evidence should be provided after maximal follow-up of the KN-006 trial.</w:t>
      </w:r>
    </w:p>
    <w:p w:rsidR="0072105E" w:rsidRDefault="0072105E" w:rsidP="0072105E">
      <w:pPr>
        <w:spacing w:after="0"/>
        <w:rPr>
          <w:szCs w:val="22"/>
        </w:rPr>
      </w:pPr>
    </w:p>
    <w:p w:rsidR="004E3B9F" w:rsidRDefault="004E3B9F" w:rsidP="006C43C4">
      <w:pPr>
        <w:rPr>
          <w:szCs w:val="22"/>
        </w:rPr>
      </w:pPr>
      <w:r>
        <w:rPr>
          <w:szCs w:val="22"/>
        </w:rPr>
        <w:t xml:space="preserve">The PBAC considered that the caps for the </w:t>
      </w:r>
      <w:r w:rsidRPr="00975603">
        <w:rPr>
          <w:szCs w:val="22"/>
        </w:rPr>
        <w:t xml:space="preserve">risk-share arrangement </w:t>
      </w:r>
      <w:r>
        <w:rPr>
          <w:szCs w:val="22"/>
        </w:rPr>
        <w:t xml:space="preserve">should reflect </w:t>
      </w:r>
      <w:r w:rsidRPr="00975603">
        <w:rPr>
          <w:szCs w:val="22"/>
        </w:rPr>
        <w:t>the duration of pembrolizumab therapy as determined by the duration of progression-free survival</w:t>
      </w:r>
      <w:r>
        <w:rPr>
          <w:szCs w:val="22"/>
        </w:rPr>
        <w:t xml:space="preserve"> observed in the trial</w:t>
      </w:r>
      <w:r w:rsidRPr="00975603">
        <w:rPr>
          <w:szCs w:val="22"/>
        </w:rPr>
        <w:t xml:space="preserve">.  </w:t>
      </w:r>
      <w:r>
        <w:rPr>
          <w:szCs w:val="22"/>
        </w:rPr>
        <w:t>The</w:t>
      </w:r>
      <w:r w:rsidRPr="00975603">
        <w:rPr>
          <w:szCs w:val="22"/>
        </w:rPr>
        <w:t xml:space="preserve"> PBAC was concerned that progression-defining events </w:t>
      </w:r>
      <w:r>
        <w:rPr>
          <w:szCs w:val="22"/>
        </w:rPr>
        <w:t>may</w:t>
      </w:r>
      <w:r w:rsidRPr="00975603">
        <w:rPr>
          <w:szCs w:val="22"/>
        </w:rPr>
        <w:t xml:space="preserve"> not be assessed as rigorously or as frequently in routine clinical practice </w:t>
      </w:r>
      <w:r>
        <w:rPr>
          <w:szCs w:val="22"/>
        </w:rPr>
        <w:t>compared to the</w:t>
      </w:r>
      <w:r w:rsidRPr="00975603">
        <w:rPr>
          <w:szCs w:val="22"/>
        </w:rPr>
        <w:t xml:space="preserve"> KN-006</w:t>
      </w:r>
      <w:r>
        <w:rPr>
          <w:szCs w:val="22"/>
        </w:rPr>
        <w:t xml:space="preserve"> trial</w:t>
      </w:r>
      <w:r w:rsidRPr="00975603">
        <w:rPr>
          <w:szCs w:val="22"/>
        </w:rPr>
        <w:t>.  The PBAC also noted that</w:t>
      </w:r>
      <w:r>
        <w:rPr>
          <w:szCs w:val="22"/>
        </w:rPr>
        <w:t xml:space="preserve"> </w:t>
      </w:r>
      <w:r w:rsidRPr="00975603">
        <w:rPr>
          <w:szCs w:val="22"/>
        </w:rPr>
        <w:t>pembrolizumab may be continued in the setting of disease progression</w:t>
      </w:r>
      <w:r>
        <w:rPr>
          <w:szCs w:val="22"/>
        </w:rPr>
        <w:t>, irrespective of the wording of the PBS restriction</w:t>
      </w:r>
      <w:r w:rsidRPr="00975603">
        <w:rPr>
          <w:szCs w:val="22"/>
        </w:rPr>
        <w:t>.</w:t>
      </w:r>
    </w:p>
    <w:p w:rsidR="007730CC" w:rsidRDefault="00382386" w:rsidP="006C43C4">
      <w:pPr>
        <w:rPr>
          <w:szCs w:val="22"/>
        </w:rPr>
      </w:pPr>
      <w:r>
        <w:rPr>
          <w:szCs w:val="22"/>
        </w:rPr>
        <w:t xml:space="preserve">The </w:t>
      </w:r>
      <w:r w:rsidRPr="00975603">
        <w:rPr>
          <w:szCs w:val="22"/>
        </w:rPr>
        <w:t xml:space="preserve">PBAC considered that </w:t>
      </w:r>
      <w:r>
        <w:rPr>
          <w:szCs w:val="22"/>
        </w:rPr>
        <w:t xml:space="preserve">epidemiological approach used in the submission had overestimated the number of patients who would be treated with pembrolizumab. </w:t>
      </w:r>
      <w:r w:rsidR="0047427B">
        <w:rPr>
          <w:szCs w:val="22"/>
        </w:rPr>
        <w:t xml:space="preserve">It was noted that the uptake of ipilimumab had stabilised at around 800 patients per year. The </w:t>
      </w:r>
      <w:r w:rsidR="0047427B" w:rsidRPr="00975603">
        <w:rPr>
          <w:szCs w:val="22"/>
        </w:rPr>
        <w:t>PBAC considered</w:t>
      </w:r>
      <w:r w:rsidR="0047427B">
        <w:rPr>
          <w:szCs w:val="22"/>
        </w:rPr>
        <w:t xml:space="preserve"> that the submission’s estimate of 12</w:t>
      </w:r>
      <w:r w:rsidR="006020FB">
        <w:rPr>
          <w:szCs w:val="22"/>
        </w:rPr>
        <w:t xml:space="preserve"> percent </w:t>
      </w:r>
      <w:r w:rsidR="0047427B">
        <w:rPr>
          <w:szCs w:val="22"/>
        </w:rPr>
        <w:t xml:space="preserve">of </w:t>
      </w:r>
      <w:r w:rsidR="007F6645">
        <w:rPr>
          <w:szCs w:val="22"/>
        </w:rPr>
        <w:t>patients</w:t>
      </w:r>
      <w:r w:rsidR="009B23F2">
        <w:rPr>
          <w:szCs w:val="22"/>
        </w:rPr>
        <w:t xml:space="preserve"> </w:t>
      </w:r>
      <w:r w:rsidR="0047427B">
        <w:rPr>
          <w:szCs w:val="22"/>
        </w:rPr>
        <w:t>starting ipilimumab after pembrolizumab, based on the KN-001 trial, was an underestimate as</w:t>
      </w:r>
      <w:r w:rsidR="0047427B" w:rsidRPr="00975603">
        <w:rPr>
          <w:szCs w:val="22"/>
        </w:rPr>
        <w:t xml:space="preserve"> pembrolizumab would </w:t>
      </w:r>
      <w:r w:rsidR="0047427B">
        <w:rPr>
          <w:szCs w:val="22"/>
        </w:rPr>
        <w:t xml:space="preserve">likely </w:t>
      </w:r>
      <w:r w:rsidR="0047427B" w:rsidRPr="00975603">
        <w:rPr>
          <w:szCs w:val="22"/>
        </w:rPr>
        <w:t>displace ip</w:t>
      </w:r>
      <w:r w:rsidR="0047427B">
        <w:rPr>
          <w:szCs w:val="22"/>
        </w:rPr>
        <w:t>ilimumab rather than replace it.</w:t>
      </w:r>
    </w:p>
    <w:p w:rsidR="00340583" w:rsidRDefault="00340583" w:rsidP="006C43C4">
      <w:pPr>
        <w:rPr>
          <w:bCs/>
          <w:szCs w:val="22"/>
          <w:lang w:val="en-GB"/>
        </w:rPr>
      </w:pPr>
      <w:r>
        <w:rPr>
          <w:szCs w:val="22"/>
        </w:rPr>
        <w:t xml:space="preserve">In March 2016, PBAC considered a submission which </w:t>
      </w:r>
      <w:r w:rsidR="007C0C59">
        <w:rPr>
          <w:szCs w:val="22"/>
        </w:rPr>
        <w:t xml:space="preserve">was </w:t>
      </w:r>
      <w:r w:rsidRPr="00E60F06">
        <w:rPr>
          <w:szCs w:val="22"/>
        </w:rPr>
        <w:t xml:space="preserve">lodged to fulfil the requirements of the </w:t>
      </w:r>
      <w:r>
        <w:rPr>
          <w:szCs w:val="22"/>
        </w:rPr>
        <w:t>M</w:t>
      </w:r>
      <w:r w:rsidR="00A20B45">
        <w:rPr>
          <w:szCs w:val="22"/>
        </w:rPr>
        <w:t xml:space="preserve">ES </w:t>
      </w:r>
      <w:r>
        <w:rPr>
          <w:szCs w:val="22"/>
        </w:rPr>
        <w:t xml:space="preserve">for pembrolizumab. </w:t>
      </w:r>
      <w:r w:rsidR="00071E89">
        <w:rPr>
          <w:bCs/>
          <w:szCs w:val="22"/>
          <w:lang w:val="en-GB"/>
        </w:rPr>
        <w:t>This</w:t>
      </w:r>
      <w:r w:rsidR="00071E89" w:rsidRPr="00E60F06">
        <w:rPr>
          <w:bCs/>
          <w:szCs w:val="22"/>
          <w:lang w:val="en-GB"/>
        </w:rPr>
        <w:t xml:space="preserve"> submission brought to a close the </w:t>
      </w:r>
      <w:r w:rsidR="00071E89">
        <w:rPr>
          <w:bCs/>
          <w:szCs w:val="22"/>
          <w:lang w:val="en-GB"/>
        </w:rPr>
        <w:t xml:space="preserve">MES </w:t>
      </w:r>
      <w:r w:rsidR="00071E89" w:rsidRPr="00E60F06">
        <w:rPr>
          <w:bCs/>
          <w:szCs w:val="22"/>
          <w:lang w:val="en-GB"/>
        </w:rPr>
        <w:t xml:space="preserve">component of </w:t>
      </w:r>
      <w:r w:rsidR="00071E89" w:rsidRPr="00E60F06">
        <w:rPr>
          <w:bCs/>
          <w:szCs w:val="22"/>
          <w:lang w:val="en-GB"/>
        </w:rPr>
        <w:lastRenderedPageBreak/>
        <w:t>the Deed of Agreement</w:t>
      </w:r>
      <w:r w:rsidR="00071E89">
        <w:rPr>
          <w:bCs/>
          <w:szCs w:val="22"/>
          <w:lang w:val="en-GB"/>
        </w:rPr>
        <w:t xml:space="preserve">. The PBAC considered that </w:t>
      </w:r>
      <w:r w:rsidR="00071E89" w:rsidRPr="00E60F06">
        <w:rPr>
          <w:bCs/>
          <w:szCs w:val="22"/>
          <w:lang w:val="en-GB"/>
        </w:rPr>
        <w:t xml:space="preserve">the updated </w:t>
      </w:r>
      <w:r w:rsidR="00071E89">
        <w:rPr>
          <w:bCs/>
          <w:szCs w:val="22"/>
          <w:lang w:val="en-GB"/>
        </w:rPr>
        <w:t xml:space="preserve">KN-006 </w:t>
      </w:r>
      <w:r w:rsidR="00071E89" w:rsidRPr="00E60F06">
        <w:rPr>
          <w:bCs/>
          <w:szCs w:val="22"/>
          <w:lang w:val="en-GB"/>
        </w:rPr>
        <w:t xml:space="preserve">trial results were similar to those provided in </w:t>
      </w:r>
      <w:r w:rsidR="00071E89">
        <w:rPr>
          <w:bCs/>
          <w:szCs w:val="22"/>
          <w:lang w:val="en-GB"/>
        </w:rPr>
        <w:t xml:space="preserve">the </w:t>
      </w:r>
      <w:r w:rsidR="00071E89" w:rsidRPr="00E60F06">
        <w:rPr>
          <w:bCs/>
          <w:szCs w:val="22"/>
          <w:lang w:val="en-GB"/>
        </w:rPr>
        <w:t xml:space="preserve">March 2015 </w:t>
      </w:r>
      <w:r w:rsidR="00071E89">
        <w:rPr>
          <w:bCs/>
          <w:szCs w:val="22"/>
          <w:lang w:val="en-GB"/>
        </w:rPr>
        <w:t xml:space="preserve">submission. </w:t>
      </w:r>
    </w:p>
    <w:p w:rsidR="00C94C11" w:rsidRDefault="00C94C11" w:rsidP="006C43C4">
      <w:pPr>
        <w:rPr>
          <w:szCs w:val="22"/>
        </w:rPr>
      </w:pPr>
      <w:r>
        <w:rPr>
          <w:bCs/>
          <w:szCs w:val="22"/>
          <w:lang w:val="en-GB"/>
        </w:rPr>
        <w:t xml:space="preserve">The </w:t>
      </w:r>
      <w:r w:rsidRPr="00E60F06">
        <w:rPr>
          <w:bCs/>
          <w:szCs w:val="22"/>
          <w:lang w:val="en-GB"/>
        </w:rPr>
        <w:t xml:space="preserve">PBAC rejected the </w:t>
      </w:r>
      <w:r>
        <w:rPr>
          <w:bCs/>
          <w:szCs w:val="22"/>
          <w:lang w:val="en-GB"/>
        </w:rPr>
        <w:t xml:space="preserve">sponsor’s </w:t>
      </w:r>
      <w:r w:rsidRPr="00E60F06">
        <w:rPr>
          <w:bCs/>
          <w:szCs w:val="22"/>
          <w:lang w:val="en-GB"/>
        </w:rPr>
        <w:t xml:space="preserve">request </w:t>
      </w:r>
      <w:r>
        <w:rPr>
          <w:bCs/>
          <w:szCs w:val="22"/>
          <w:lang w:val="en-GB"/>
        </w:rPr>
        <w:t>to increase the</w:t>
      </w:r>
      <w:r w:rsidRPr="00E60F06">
        <w:rPr>
          <w:bCs/>
          <w:szCs w:val="22"/>
          <w:lang w:val="en-GB"/>
        </w:rPr>
        <w:t xml:space="preserve"> patient numbers contributing to the risk share arrangements</w:t>
      </w:r>
      <w:r>
        <w:rPr>
          <w:bCs/>
          <w:szCs w:val="22"/>
          <w:lang w:val="en-GB"/>
        </w:rPr>
        <w:t xml:space="preserve">. </w:t>
      </w:r>
      <w:r w:rsidR="00D07CC2">
        <w:rPr>
          <w:bCs/>
          <w:szCs w:val="22"/>
          <w:lang w:val="en-GB"/>
        </w:rPr>
        <w:t xml:space="preserve">The basis for increasing the duration of treatment for more than one year was uncertain. PBAC also considered that the treatment uptake rates were biased upwards. </w:t>
      </w:r>
      <w:r w:rsidR="00070D66">
        <w:rPr>
          <w:bCs/>
          <w:szCs w:val="22"/>
          <w:lang w:val="en-GB"/>
        </w:rPr>
        <w:t xml:space="preserve">It was noted that </w:t>
      </w:r>
      <w:r w:rsidR="00070D66" w:rsidRPr="00E60F06">
        <w:rPr>
          <w:bCs/>
          <w:szCs w:val="22"/>
          <w:lang w:val="en-GB"/>
        </w:rPr>
        <w:t>the pat</w:t>
      </w:r>
      <w:r w:rsidR="00070D66">
        <w:rPr>
          <w:bCs/>
          <w:szCs w:val="22"/>
          <w:lang w:val="en-GB"/>
        </w:rPr>
        <w:t>ient numbers in the existing risk share arrangement</w:t>
      </w:r>
      <w:r w:rsidR="00070D66" w:rsidRPr="00E60F06">
        <w:rPr>
          <w:bCs/>
          <w:szCs w:val="22"/>
          <w:lang w:val="en-GB"/>
        </w:rPr>
        <w:t xml:space="preserve"> had already be</w:t>
      </w:r>
      <w:r w:rsidR="00070D66">
        <w:rPr>
          <w:bCs/>
          <w:szCs w:val="22"/>
          <w:lang w:val="en-GB"/>
        </w:rPr>
        <w:t>en increased to account for more patients</w:t>
      </w:r>
      <w:r w:rsidR="00070D66" w:rsidRPr="00E60F06">
        <w:rPr>
          <w:bCs/>
          <w:szCs w:val="22"/>
          <w:lang w:val="en-GB"/>
        </w:rPr>
        <w:t xml:space="preserve"> likely to be treated with pembrolizumab than ipilimumab</w:t>
      </w:r>
      <w:r w:rsidR="00070D66">
        <w:rPr>
          <w:bCs/>
          <w:szCs w:val="22"/>
          <w:lang w:val="en-GB"/>
        </w:rPr>
        <w:t xml:space="preserve">. </w:t>
      </w:r>
    </w:p>
    <w:p w:rsidR="00777812" w:rsidRDefault="00777812" w:rsidP="00777812">
      <w:r>
        <w:rPr>
          <w:szCs w:val="22"/>
        </w:rPr>
        <w:t xml:space="preserve">The November 2016 submission for pembrolizumab sought </w:t>
      </w:r>
      <w:r>
        <w:t xml:space="preserve">a </w:t>
      </w:r>
      <w:r w:rsidRPr="00E803E0">
        <w:t xml:space="preserve">reconsideration of the </w:t>
      </w:r>
      <w:r>
        <w:t xml:space="preserve">Deed of Agreement in terms of the </w:t>
      </w:r>
      <w:r w:rsidRPr="00E803E0">
        <w:t xml:space="preserve">cost-effectiveness of pembrolizumab and the associated </w:t>
      </w:r>
      <w:r>
        <w:t>risk sharing arrangement</w:t>
      </w:r>
      <w:r w:rsidRPr="00E803E0">
        <w:t xml:space="preserve"> caps</w:t>
      </w:r>
      <w:r>
        <w:t>.</w:t>
      </w:r>
    </w:p>
    <w:p w:rsidR="00777812" w:rsidRDefault="00777812" w:rsidP="00777812">
      <w:pPr>
        <w:rPr>
          <w:bCs/>
          <w:szCs w:val="22"/>
          <w:lang w:val="en-GB"/>
        </w:rPr>
      </w:pPr>
      <w:r>
        <w:rPr>
          <w:szCs w:val="22"/>
        </w:rPr>
        <w:t xml:space="preserve">The PBAC did not recommend any changes to the circumstances of pembrolizumab’s listing. The </w:t>
      </w:r>
      <w:r w:rsidRPr="008E39BF">
        <w:t xml:space="preserve">PBAC </w:t>
      </w:r>
      <w:r>
        <w:t>considered</w:t>
      </w:r>
      <w:r w:rsidRPr="008E39BF">
        <w:t xml:space="preserve"> that the submission did not </w:t>
      </w:r>
      <w:r>
        <w:t>demonstrate a</w:t>
      </w:r>
      <w:r w:rsidRPr="008E39BF">
        <w:t xml:space="preserve"> greater effectiveness or safety</w:t>
      </w:r>
      <w:r>
        <w:t xml:space="preserve"> of pembrolizumab</w:t>
      </w:r>
      <w:r w:rsidRPr="008E39BF">
        <w:t xml:space="preserve"> compared with nivolumab</w:t>
      </w:r>
      <w:r>
        <w:t>. Therefore</w:t>
      </w:r>
      <w:r w:rsidRPr="008E39BF">
        <w:t xml:space="preserve"> a change in the </w:t>
      </w:r>
      <w:r>
        <w:t>cost per patient of pembrolizumab</w:t>
      </w:r>
      <w:r w:rsidRPr="008E39BF">
        <w:t xml:space="preserve"> </w:t>
      </w:r>
      <w:r>
        <w:t>was not justified</w:t>
      </w:r>
      <w:r w:rsidRPr="008E39BF">
        <w:t>.</w:t>
      </w:r>
      <w:r>
        <w:t xml:space="preserve"> The PBAC considered that </w:t>
      </w:r>
      <w:r>
        <w:rPr>
          <w:bCs/>
          <w:szCs w:val="22"/>
          <w:lang w:val="en-GB"/>
        </w:rPr>
        <w:t>there remained some uncertainty about the appropriate annual numbers of eligible patients for PD-L1 inhibitors in melanoma. The PBAC considered that smaller increases in the annual risk sharing arrangement caps may be reasonable.</w:t>
      </w:r>
    </w:p>
    <w:p w:rsidR="00B96E99" w:rsidRDefault="00777812" w:rsidP="00B96E99">
      <w:pPr>
        <w:widowControl w:val="0"/>
        <w:spacing w:after="0"/>
        <w:contextualSpacing/>
        <w:jc w:val="both"/>
        <w:rPr>
          <w:bCs/>
          <w:szCs w:val="22"/>
          <w:lang w:val="en-GB"/>
        </w:rPr>
      </w:pPr>
      <w:r>
        <w:rPr>
          <w:szCs w:val="22"/>
        </w:rPr>
        <w:t>A separate submission was considered in November 2016 seeking to list a 1</w:t>
      </w:r>
      <w:r w:rsidRPr="0091481E">
        <w:rPr>
          <w:szCs w:val="22"/>
        </w:rPr>
        <w:t xml:space="preserve">00 mg strength </w:t>
      </w:r>
      <w:r w:rsidRPr="002E0351">
        <w:rPr>
          <w:bCs/>
          <w:szCs w:val="22"/>
          <w:lang w:val="en-GB"/>
        </w:rPr>
        <w:t>of pembrolizumab with the same indications and dosing regimen as the current PBS listing of the 50 mg strength. The PBAC considered that there would be no financial impact from listing the 100 mg concentrated injection as it had the same price per mg as the currently listed form of pembrolizumab and the cost per patient was capped under the Deed of Agreement.</w:t>
      </w:r>
    </w:p>
    <w:p w:rsidR="00B96E99" w:rsidRPr="00B96E99" w:rsidRDefault="00B96E99" w:rsidP="00B96E99">
      <w:pPr>
        <w:widowControl w:val="0"/>
        <w:spacing w:after="0"/>
        <w:contextualSpacing/>
        <w:jc w:val="both"/>
        <w:rPr>
          <w:bCs/>
          <w:szCs w:val="22"/>
          <w:lang w:val="en-GB"/>
        </w:rPr>
      </w:pPr>
    </w:p>
    <w:p w:rsidR="00B96E99" w:rsidRDefault="00B96E99" w:rsidP="00B96E99">
      <w:pPr>
        <w:rPr>
          <w:szCs w:val="22"/>
        </w:rPr>
      </w:pPr>
      <w:r>
        <w:rPr>
          <w:szCs w:val="22"/>
        </w:rPr>
        <w:t xml:space="preserve">For further details refer to the Public Summary Documents for the </w:t>
      </w:r>
      <w:hyperlink r:id="rId54" w:history="1">
        <w:r w:rsidRPr="00FE540E">
          <w:rPr>
            <w:rStyle w:val="Hyperlink"/>
            <w:szCs w:val="22"/>
          </w:rPr>
          <w:t>March 2015</w:t>
        </w:r>
      </w:hyperlink>
      <w:r>
        <w:rPr>
          <w:szCs w:val="22"/>
        </w:rPr>
        <w:t xml:space="preserve">, </w:t>
      </w:r>
      <w:hyperlink r:id="rId55" w:history="1">
        <w:r w:rsidRPr="00274F0D">
          <w:rPr>
            <w:rStyle w:val="Hyperlink"/>
            <w:szCs w:val="22"/>
          </w:rPr>
          <w:t>March 2016</w:t>
        </w:r>
      </w:hyperlink>
      <w:r>
        <w:rPr>
          <w:rStyle w:val="Hyperlink"/>
          <w:szCs w:val="22"/>
        </w:rPr>
        <w:t>,</w:t>
      </w:r>
      <w:r>
        <w:rPr>
          <w:szCs w:val="22"/>
        </w:rPr>
        <w:t xml:space="preserve"> and </w:t>
      </w:r>
      <w:hyperlink r:id="rId56" w:history="1">
        <w:r w:rsidRPr="00246F60">
          <w:rPr>
            <w:rStyle w:val="Hyperlink"/>
            <w:szCs w:val="22"/>
          </w:rPr>
          <w:t>November 2016</w:t>
        </w:r>
      </w:hyperlink>
      <w:r>
        <w:rPr>
          <w:rStyle w:val="Hyperlink"/>
          <w:szCs w:val="22"/>
        </w:rPr>
        <w:t xml:space="preserve"> </w:t>
      </w:r>
      <w:r>
        <w:rPr>
          <w:szCs w:val="22"/>
        </w:rPr>
        <w:t xml:space="preserve">meetings. </w:t>
      </w:r>
    </w:p>
    <w:p w:rsidR="00B96E99" w:rsidRPr="00344601" w:rsidRDefault="00B96E99" w:rsidP="00B96E99">
      <w:pPr>
        <w:widowControl w:val="0"/>
        <w:spacing w:after="120"/>
        <w:rPr>
          <w:rFonts w:cs="Arial"/>
          <w:bCs/>
          <w:snapToGrid w:val="0"/>
          <w:lang w:val="en-GB"/>
        </w:rPr>
      </w:pPr>
      <w:r>
        <w:rPr>
          <w:rFonts w:cs="Arial"/>
          <w:bCs/>
          <w:snapToGrid w:val="0"/>
          <w:lang w:val="en-GB"/>
        </w:rPr>
        <w:t>In March 2018, the</w:t>
      </w:r>
      <w:r w:rsidRPr="00A70910">
        <w:rPr>
          <w:rFonts w:cs="Arial"/>
          <w:bCs/>
          <w:snapToGrid w:val="0"/>
          <w:lang w:val="en-GB"/>
        </w:rPr>
        <w:t xml:space="preserve"> PBAC recommended an amendment to the existing PBS restrictions </w:t>
      </w:r>
      <w:r>
        <w:rPr>
          <w:rFonts w:cs="Arial"/>
          <w:bCs/>
          <w:snapToGrid w:val="0"/>
          <w:lang w:val="en-GB"/>
        </w:rPr>
        <w:t xml:space="preserve">for pembrolizumab </w:t>
      </w:r>
      <w:r w:rsidRPr="00A70910">
        <w:rPr>
          <w:rFonts w:cs="Arial"/>
          <w:bCs/>
          <w:snapToGrid w:val="0"/>
          <w:lang w:val="en-GB"/>
        </w:rPr>
        <w:t>for the treatment of unresectable Stage III</w:t>
      </w:r>
      <w:r>
        <w:rPr>
          <w:rFonts w:cs="Arial"/>
          <w:bCs/>
          <w:snapToGrid w:val="0"/>
          <w:lang w:val="en-GB"/>
        </w:rPr>
        <w:t xml:space="preserve"> or Stage IV malignant melanoma. The amendment would allow a </w:t>
      </w:r>
      <w:r w:rsidRPr="00A70910">
        <w:rPr>
          <w:rFonts w:cs="Arial"/>
          <w:bCs/>
          <w:snapToGrid w:val="0"/>
          <w:lang w:val="en-GB"/>
        </w:rPr>
        <w:t>weight-based dosing regimen of 2 mg/kg or a fixed dose of 200 mg every three weeks. The PBAC recommended that the maximum amount</w:t>
      </w:r>
      <w:r>
        <w:rPr>
          <w:rFonts w:cs="Arial"/>
          <w:bCs/>
          <w:snapToGrid w:val="0"/>
          <w:lang w:val="en-GB"/>
        </w:rPr>
        <w:t xml:space="preserve"> per prescription</w:t>
      </w:r>
      <w:r w:rsidRPr="00A70910">
        <w:rPr>
          <w:rFonts w:cs="Arial"/>
          <w:bCs/>
          <w:snapToGrid w:val="0"/>
          <w:lang w:val="en-GB"/>
        </w:rPr>
        <w:t xml:space="preserve"> be adjusted to 200 mg. </w:t>
      </w:r>
    </w:p>
    <w:p w:rsidR="00186F76" w:rsidRDefault="001D3528" w:rsidP="006C43C4">
      <w:pPr>
        <w:rPr>
          <w:szCs w:val="22"/>
        </w:rPr>
      </w:pPr>
      <w:r>
        <w:rPr>
          <w:szCs w:val="22"/>
        </w:rPr>
        <w:t xml:space="preserve">For further details refer to the </w:t>
      </w:r>
      <w:hyperlink r:id="rId57" w:history="1">
        <w:r w:rsidRPr="001D3528">
          <w:rPr>
            <w:rStyle w:val="Hyperlink"/>
            <w:szCs w:val="22"/>
          </w:rPr>
          <w:t>PBAC Outcome Statement for the March 2018</w:t>
        </w:r>
      </w:hyperlink>
      <w:r>
        <w:rPr>
          <w:szCs w:val="22"/>
        </w:rPr>
        <w:t xml:space="preserve"> meeting.</w:t>
      </w:r>
    </w:p>
    <w:p w:rsidR="00F367A8" w:rsidRPr="00F367A8" w:rsidRDefault="00F367A8" w:rsidP="006A2A44">
      <w:pPr>
        <w:pStyle w:val="Heading3"/>
        <w:rPr>
          <w:shd w:val="clear" w:color="auto" w:fill="FFFFFF"/>
        </w:rPr>
      </w:pPr>
      <w:r w:rsidRPr="00F367A8">
        <w:rPr>
          <w:shd w:val="clear" w:color="auto" w:fill="FFFFFF"/>
        </w:rPr>
        <w:t>Nivolumab</w:t>
      </w:r>
    </w:p>
    <w:p w:rsidR="00F367A8" w:rsidRDefault="00F367A8" w:rsidP="003F0594">
      <w:r>
        <w:t xml:space="preserve">A submission was submitted for the July 2018 PBAC meeting for nivolumab for the adjuvant treatment for resectable melanoma. At the time of reporting, the submission had not been </w:t>
      </w:r>
      <w:r w:rsidR="00E17BB3">
        <w:t>considered by PBAC</w:t>
      </w:r>
      <w:r>
        <w:t>.</w:t>
      </w:r>
    </w:p>
    <w:p w:rsidR="00DF2B34" w:rsidRDefault="00DF2B34">
      <w:pPr>
        <w:spacing w:line="276" w:lineRule="auto"/>
      </w:pPr>
      <w:r>
        <w:br w:type="page"/>
      </w:r>
    </w:p>
    <w:p w:rsidR="00E7217B" w:rsidRDefault="00F367A8" w:rsidP="006A2A44">
      <w:pPr>
        <w:pStyle w:val="Heading3"/>
        <w:rPr>
          <w:shd w:val="clear" w:color="auto" w:fill="FFFFFF"/>
        </w:rPr>
      </w:pPr>
      <w:r w:rsidRPr="00F367A8">
        <w:rPr>
          <w:shd w:val="clear" w:color="auto" w:fill="FFFFFF"/>
        </w:rPr>
        <w:lastRenderedPageBreak/>
        <w:t>Nivo</w:t>
      </w:r>
      <w:r>
        <w:rPr>
          <w:shd w:val="clear" w:color="auto" w:fill="FFFFFF"/>
        </w:rPr>
        <w:t>lumab and ipilimumab</w:t>
      </w:r>
    </w:p>
    <w:p w:rsidR="00F367A8" w:rsidRPr="00F367A8" w:rsidRDefault="00F367A8" w:rsidP="003F0594">
      <w:r>
        <w:t xml:space="preserve">A submission was submitted for the July 2018 PBAC meeting for combination therapy with nivolumab and ipilimumab for the treatment of unresectable (Stage III) or metastatic disease (Stage IV) melanoma. At the time of reporting, the submission had not been </w:t>
      </w:r>
      <w:r w:rsidR="00E17BB3">
        <w:t>considered by PBAC</w:t>
      </w:r>
      <w:r>
        <w:t>.</w:t>
      </w:r>
    </w:p>
    <w:p w:rsidR="00094DCF" w:rsidRDefault="00ED633B" w:rsidP="00CF5E22">
      <w:pPr>
        <w:pStyle w:val="Heading2"/>
      </w:pPr>
      <w:r>
        <w:t xml:space="preserve">Previous reviews by </w:t>
      </w:r>
      <w:r w:rsidR="00177B86">
        <w:t xml:space="preserve">the </w:t>
      </w:r>
      <w:r>
        <w:t>DUSC</w:t>
      </w:r>
    </w:p>
    <w:p w:rsidR="00A13998" w:rsidRDefault="00A13998" w:rsidP="00A35800">
      <w:r>
        <w:t xml:space="preserve">A predicted versus actual analysis of ipilimumab and dabrafenib was reviewed by DUSC in October 2015. </w:t>
      </w:r>
      <w:r w:rsidR="00E9176C">
        <w:t xml:space="preserve">It was noted that </w:t>
      </w:r>
      <w:r w:rsidR="00DC3354">
        <w:t>only a low</w:t>
      </w:r>
      <w:r w:rsidR="00E9176C">
        <w:t xml:space="preserve"> </w:t>
      </w:r>
      <w:r w:rsidR="00E9176C" w:rsidRPr="00317302">
        <w:t xml:space="preserve">proportion of patients </w:t>
      </w:r>
      <w:r w:rsidR="00E9176C">
        <w:t xml:space="preserve">receiving induction treatment with </w:t>
      </w:r>
      <w:r w:rsidR="00DC3354">
        <w:t xml:space="preserve">ipilimumab </w:t>
      </w:r>
      <w:r w:rsidR="00E9176C">
        <w:t>continue</w:t>
      </w:r>
      <w:r w:rsidR="00E9176C" w:rsidRPr="00317302">
        <w:t xml:space="preserve"> to re</w:t>
      </w:r>
      <w:r w:rsidR="00E9176C">
        <w:t>-</w:t>
      </w:r>
      <w:r w:rsidR="00DC3354">
        <w:t>induction therapy</w:t>
      </w:r>
      <w:r w:rsidR="00E9176C" w:rsidRPr="00317302">
        <w:t>.</w:t>
      </w:r>
      <w:r w:rsidR="007411C5">
        <w:t xml:space="preserve"> </w:t>
      </w:r>
      <w:r w:rsidR="00DC3354">
        <w:t xml:space="preserve">An increase in the use of ipilimumab in early 2014 was noted. </w:t>
      </w:r>
      <w:r w:rsidR="00E56A38">
        <w:t>This</w:t>
      </w:r>
      <w:r w:rsidR="00DC3354">
        <w:t xml:space="preserve"> may have </w:t>
      </w:r>
      <w:r w:rsidR="00E56A38">
        <w:t>indicated</w:t>
      </w:r>
      <w:r w:rsidR="00DC3354">
        <w:t xml:space="preserve"> the prior use of dabrafenib </w:t>
      </w:r>
      <w:r w:rsidR="00E56A38">
        <w:t>to elicit a</w:t>
      </w:r>
      <w:r w:rsidR="00E12B76">
        <w:t xml:space="preserve"> rapid </w:t>
      </w:r>
      <w:r w:rsidR="00DC3354">
        <w:t>tumour shrinkage before commencing</w:t>
      </w:r>
      <w:r w:rsidR="00DC3354" w:rsidRPr="00317302">
        <w:t xml:space="preserve"> o</w:t>
      </w:r>
      <w:r w:rsidR="00DC3354">
        <w:t>n ip</w:t>
      </w:r>
      <w:r w:rsidR="00E12B76">
        <w:t xml:space="preserve">ilimumab which is a slower acting immunotherapy. </w:t>
      </w:r>
      <w:r w:rsidRPr="001A60B6">
        <w:t xml:space="preserve">DUSC considered that </w:t>
      </w:r>
      <w:r w:rsidR="00E12B76">
        <w:t xml:space="preserve">analyses of </w:t>
      </w:r>
      <w:r w:rsidRPr="001A60B6">
        <w:t xml:space="preserve">switching and cycling </w:t>
      </w:r>
      <w:r w:rsidR="00E12B76">
        <w:t>between medicines</w:t>
      </w:r>
      <w:r w:rsidRPr="001A60B6">
        <w:t xml:space="preserve"> </w:t>
      </w:r>
      <w:r w:rsidR="00E12B76">
        <w:t>should be included in</w:t>
      </w:r>
      <w:r w:rsidRPr="001A60B6">
        <w:t xml:space="preserve"> future utilisation estimates.</w:t>
      </w:r>
      <w:r w:rsidR="00483568">
        <w:t xml:space="preserve"> </w:t>
      </w:r>
    </w:p>
    <w:p w:rsidR="00483568" w:rsidRDefault="00483568" w:rsidP="00A35800">
      <w:r>
        <w:t xml:space="preserve">In its consideration of the DUSC review in November 2015, the PBAC noted that the utilisation of dabrafenib was growing and the use of ipilimumab had stabilised. The PBAC considered that ipilimumab and dabrafenib were being used within their listed indications and their utilisation during the initial years of listing was as expected. The PBAC </w:t>
      </w:r>
      <w:r w:rsidR="002D6367">
        <w:t>noted that the market for ipilimumab and dabrafenib would be impacted by the entry of pembrolizumab.</w:t>
      </w:r>
    </w:p>
    <w:p w:rsidR="00E371EA" w:rsidRPr="00ED633B" w:rsidRDefault="009D1ED5" w:rsidP="002D6367">
      <w:r>
        <w:t xml:space="preserve">For </w:t>
      </w:r>
      <w:r w:rsidR="00DC3354">
        <w:t xml:space="preserve">further </w:t>
      </w:r>
      <w:r>
        <w:t>details</w:t>
      </w:r>
      <w:r w:rsidR="00E12B76">
        <w:t xml:space="preserve">, refer to the </w:t>
      </w:r>
      <w:hyperlink r:id="rId58" w:history="1">
        <w:r w:rsidR="002D6367">
          <w:rPr>
            <w:rStyle w:val="Hyperlink"/>
          </w:rPr>
          <w:t>Public Release Document for the October 2015 DUSC meeting</w:t>
        </w:r>
      </w:hyperlink>
      <w:r w:rsidR="002D6367">
        <w:rPr>
          <w:rStyle w:val="Hyperlink"/>
        </w:rPr>
        <w:t xml:space="preserve"> </w:t>
      </w:r>
      <w:r w:rsidR="002D6367" w:rsidRPr="002D6367">
        <w:t xml:space="preserve">and the </w:t>
      </w:r>
      <w:hyperlink r:id="rId59" w:history="1">
        <w:r w:rsidR="002D6367" w:rsidRPr="002D6367">
          <w:rPr>
            <w:rStyle w:val="Hyperlink"/>
          </w:rPr>
          <w:t>PBAC outcome statement for the November 2015</w:t>
        </w:r>
      </w:hyperlink>
      <w:r w:rsidR="002D6367" w:rsidRPr="002D6367">
        <w:t xml:space="preserve"> meeting.</w:t>
      </w:r>
    </w:p>
    <w:p w:rsidR="00E677DD" w:rsidRPr="005E22C2" w:rsidRDefault="00E677DD" w:rsidP="00CF5E22">
      <w:pPr>
        <w:pStyle w:val="Heading1"/>
      </w:pPr>
      <w:r w:rsidRPr="005E22C2">
        <w:t>Method</w:t>
      </w:r>
      <w:r w:rsidR="001B5D37" w:rsidRPr="005E22C2">
        <w:t>s</w:t>
      </w:r>
    </w:p>
    <w:p w:rsidR="00866723" w:rsidRDefault="00E54429" w:rsidP="00B5024A">
      <w:pPr>
        <w:rPr>
          <w:rFonts w:eastAsia="Calibri" w:cs="Times New Roman"/>
        </w:rPr>
      </w:pPr>
      <w:r>
        <w:rPr>
          <w:rFonts w:eastAsia="Calibri" w:cs="Times New Roman"/>
        </w:rPr>
        <w:t xml:space="preserve">All </w:t>
      </w:r>
      <w:r w:rsidR="00866723">
        <w:rPr>
          <w:rFonts w:eastAsia="Calibri" w:cs="Times New Roman"/>
        </w:rPr>
        <w:t xml:space="preserve">analyses </w:t>
      </w:r>
      <w:r>
        <w:rPr>
          <w:rFonts w:eastAsia="Calibri" w:cs="Times New Roman"/>
        </w:rPr>
        <w:t xml:space="preserve">of PBS data </w:t>
      </w:r>
      <w:r w:rsidR="00866723">
        <w:rPr>
          <w:rFonts w:eastAsia="Calibri" w:cs="Times New Roman"/>
        </w:rPr>
        <w:t>were undertaken using SAS Enterprise Guide version 7.12.</w:t>
      </w:r>
    </w:p>
    <w:p w:rsidR="00117D3C" w:rsidRDefault="00B5024A" w:rsidP="00117D3C">
      <w:pPr>
        <w:spacing w:after="0"/>
        <w:rPr>
          <w:rFonts w:ascii="Calibri" w:eastAsia="MS Mincho" w:hAnsi="Calibri" w:cs="Times New Roman"/>
        </w:rPr>
      </w:pPr>
      <w:r>
        <w:rPr>
          <w:rFonts w:ascii="Calibri" w:eastAsia="MS Mincho" w:hAnsi="Calibri" w:cs="Times New Roman"/>
        </w:rPr>
        <w:t xml:space="preserve">PBS prescription data </w:t>
      </w:r>
      <w:r w:rsidRPr="00D2256D">
        <w:rPr>
          <w:rFonts w:ascii="Calibri" w:eastAsia="MS Mincho" w:hAnsi="Calibri" w:cs="Times New Roman"/>
        </w:rPr>
        <w:t>were extracted</w:t>
      </w:r>
      <w:r>
        <w:rPr>
          <w:rFonts w:ascii="Calibri" w:eastAsia="MS Mincho" w:hAnsi="Calibri" w:cs="Times New Roman"/>
        </w:rPr>
        <w:t xml:space="preserve"> from the </w:t>
      </w:r>
      <w:r w:rsidRPr="00B87CD5">
        <w:rPr>
          <w:rFonts w:ascii="Calibri" w:eastAsia="MS Mincho" w:hAnsi="Calibri" w:cs="Times New Roman"/>
        </w:rPr>
        <w:t xml:space="preserve">DHS prescription </w:t>
      </w:r>
      <w:r w:rsidR="00415C01">
        <w:rPr>
          <w:rFonts w:ascii="Calibri" w:eastAsia="MS Mincho" w:hAnsi="Calibri" w:cs="Times New Roman"/>
        </w:rPr>
        <w:t xml:space="preserve">claims </w:t>
      </w:r>
      <w:r w:rsidRPr="00B87CD5">
        <w:rPr>
          <w:rFonts w:ascii="Calibri" w:eastAsia="MS Mincho" w:hAnsi="Calibri" w:cs="Times New Roman"/>
        </w:rPr>
        <w:t>database</w:t>
      </w:r>
      <w:r>
        <w:rPr>
          <w:rFonts w:ascii="Calibri" w:eastAsia="MS Mincho" w:hAnsi="Calibri" w:cs="Times New Roman"/>
        </w:rPr>
        <w:t xml:space="preserve"> </w:t>
      </w:r>
      <w:r w:rsidR="00CF7C35">
        <w:rPr>
          <w:rFonts w:ascii="Calibri" w:eastAsia="MS Mincho" w:hAnsi="Calibri" w:cs="Times New Roman"/>
        </w:rPr>
        <w:t xml:space="preserve">from </w:t>
      </w:r>
    </w:p>
    <w:p w:rsidR="00B5024A" w:rsidRDefault="00CF7C35" w:rsidP="00117D3C">
      <w:pPr>
        <w:spacing w:after="0"/>
        <w:rPr>
          <w:rFonts w:ascii="Calibri" w:eastAsia="MS Mincho" w:hAnsi="Calibri" w:cs="Times New Roman"/>
        </w:rPr>
      </w:pPr>
      <w:r>
        <w:rPr>
          <w:rFonts w:ascii="Calibri" w:eastAsia="MS Mincho" w:hAnsi="Calibri" w:cs="Times New Roman"/>
        </w:rPr>
        <w:t xml:space="preserve">1 August 2013 (the date of the first listing of the immunological and targeted therapies for melanoma) to December 2017 </w:t>
      </w:r>
      <w:r w:rsidR="00B5024A">
        <w:rPr>
          <w:rFonts w:ascii="Calibri" w:eastAsia="MS Mincho" w:hAnsi="Calibri" w:cs="Times New Roman"/>
        </w:rPr>
        <w:t>based on the date of dispensing (supply)</w:t>
      </w:r>
      <w:r>
        <w:rPr>
          <w:rFonts w:ascii="Calibri" w:eastAsia="MS Mincho" w:hAnsi="Calibri" w:cs="Times New Roman"/>
        </w:rPr>
        <w:t xml:space="preserve"> for the following medicines: </w:t>
      </w:r>
      <w:r>
        <w:t>cobimetinib, dabrafenib, ipilimumab, nivolumab, pembrolizumab, trametinib and vemurafenib</w:t>
      </w:r>
      <w:r w:rsidR="00B5024A">
        <w:rPr>
          <w:rFonts w:ascii="Calibri" w:eastAsia="MS Mincho" w:hAnsi="Calibri" w:cs="Times New Roman"/>
        </w:rPr>
        <w:t xml:space="preserve">. </w:t>
      </w:r>
    </w:p>
    <w:p w:rsidR="00117D3C" w:rsidRDefault="00117D3C" w:rsidP="00117D3C">
      <w:pPr>
        <w:spacing w:after="0"/>
        <w:rPr>
          <w:rFonts w:ascii="Calibri" w:eastAsia="MS Mincho" w:hAnsi="Calibri" w:cs="Times New Roman"/>
        </w:rPr>
      </w:pPr>
    </w:p>
    <w:p w:rsidR="00866723" w:rsidRDefault="00866723" w:rsidP="00B5024A">
      <w:pPr>
        <w:rPr>
          <w:rFonts w:eastAsia="Calibri" w:cs="Times New Roman"/>
        </w:rPr>
      </w:pPr>
      <w:r>
        <w:rPr>
          <w:rFonts w:eastAsia="Calibri" w:cs="Times New Roman"/>
        </w:rPr>
        <w:t>The number of prevalent patients was determined by counting the number of people supplied at least one PBS prescription using person specific numbers (non-identifying) in the data for the specified time periods. Patient initiation was defined as the date of supply of the first PBS or RPBS prescription.</w:t>
      </w:r>
    </w:p>
    <w:p w:rsidR="00A40F5A" w:rsidRDefault="00A40F5A" w:rsidP="00A40F5A">
      <w:pPr>
        <w:pStyle w:val="Heading3"/>
        <w:keepNext/>
      </w:pPr>
      <w:r>
        <w:t>Identifying drug regimens for the BRAF inhibitors</w:t>
      </w:r>
    </w:p>
    <w:p w:rsidR="00B65959" w:rsidRDefault="00A40F5A" w:rsidP="00A40F5A">
      <w:r>
        <w:t>Under the PBS restrictions, cobimetinib must be coadministered with vemurafenib and trametinib must be coadministered with dabrafenib.  Vemurafenib and dabrafenib may also be used as monotherapy.</w:t>
      </w:r>
    </w:p>
    <w:p w:rsidR="00B65959" w:rsidRDefault="00F7382F" w:rsidP="00A40F5A">
      <w:r>
        <w:lastRenderedPageBreak/>
        <w:t>The median number of days to re-supply for t</w:t>
      </w:r>
      <w:r w:rsidR="00DD5D97">
        <w:t xml:space="preserve">he BRAF inhibitors was 28 days and this was assumed to be the standard </w:t>
      </w:r>
      <w:r w:rsidR="00B65959">
        <w:t>number of coverage days for a prescription for a BRAF drug</w:t>
      </w:r>
      <w:r w:rsidR="002220AB">
        <w:t xml:space="preserve"> either as monotherapy or in combination with a MEK inhibitor</w:t>
      </w:r>
      <w:r w:rsidR="00DD5D97">
        <w:t xml:space="preserve">. </w:t>
      </w:r>
      <w:r w:rsidR="00B65959">
        <w:t>The method used to identify the</w:t>
      </w:r>
      <w:r w:rsidR="002220AB">
        <w:t xml:space="preserve"> co-administration of BRAF and MEK inhibitor drugs</w:t>
      </w:r>
      <w:r w:rsidR="00B65959">
        <w:t xml:space="preserve"> is described in Appendix 2. </w:t>
      </w:r>
    </w:p>
    <w:p w:rsidR="00A40F5A" w:rsidRDefault="00F7382F" w:rsidP="00A40F5A">
      <w:r>
        <w:t xml:space="preserve">A sensitivity analysis was undertaken to test the detection of drug regimens depending on the </w:t>
      </w:r>
      <w:r w:rsidR="00B65959">
        <w:t xml:space="preserve">assumption for the </w:t>
      </w:r>
      <w:r>
        <w:t xml:space="preserve">number of coverage days </w:t>
      </w:r>
      <w:r w:rsidR="00B65959">
        <w:t>for a prescription</w:t>
      </w:r>
      <w:r>
        <w:t xml:space="preserve">. </w:t>
      </w:r>
      <w:r w:rsidR="00DD5D97">
        <w:t>Varying the standard coverage days to twice or three times the median days to re-supply (i.e. 56 days and 84</w:t>
      </w:r>
      <w:r w:rsidR="006020FB">
        <w:t> </w:t>
      </w:r>
      <w:r w:rsidR="00DD5D97">
        <w:t xml:space="preserve">days, respectively), had no impact to counts of the number of patients on each drug regimen. </w:t>
      </w:r>
    </w:p>
    <w:p w:rsidR="003A53DB" w:rsidRPr="00D40D25" w:rsidRDefault="003A53DB" w:rsidP="006A2A44">
      <w:pPr>
        <w:pStyle w:val="Heading3"/>
      </w:pPr>
      <w:r w:rsidRPr="00D40D25">
        <w:t>Investigation of the co-administration of the immunotherapies</w:t>
      </w:r>
    </w:p>
    <w:p w:rsidR="003A53DB" w:rsidRDefault="003A53DB" w:rsidP="003A53DB">
      <w:r>
        <w:t>The PBS restrictions do not allow for the co-administration of immunotherapies. An investigation was undertaken to identify if there was any potential co-administration of the following drug combinations: ipilimumab with nivolumab; ipilimumab with pembrolizumab; and pembrolizumab with nivolumab.</w:t>
      </w:r>
      <w:r w:rsidR="002B1FA6">
        <w:t xml:space="preserve"> The method is described in Appendix 2.</w:t>
      </w:r>
    </w:p>
    <w:p w:rsidR="00866723" w:rsidRPr="006A2A44" w:rsidRDefault="00866723" w:rsidP="006A2A44">
      <w:pPr>
        <w:pStyle w:val="Heading3"/>
      </w:pPr>
      <w:r w:rsidRPr="006A2A44">
        <w:t>Length of treatment analyses</w:t>
      </w:r>
    </w:p>
    <w:p w:rsidR="002F6C74" w:rsidRDefault="002F6C74" w:rsidP="00866723">
      <w:r>
        <w:t>The t</w:t>
      </w:r>
      <w:r w:rsidR="00846508">
        <w:t xml:space="preserve">ime on therapy was examined </w:t>
      </w:r>
      <w:r w:rsidR="00B771E2">
        <w:t xml:space="preserve">using a Kaplan-Meier analysis </w:t>
      </w:r>
      <w:r w:rsidR="00846508">
        <w:t xml:space="preserve">in a cohort of patients who first initiated on PBS therapy </w:t>
      </w:r>
      <w:r w:rsidR="00D57114">
        <w:t xml:space="preserve">between </w:t>
      </w:r>
      <w:r w:rsidR="00C36230">
        <w:t>January to June, 2016</w:t>
      </w:r>
      <w:r w:rsidR="00846508">
        <w:t xml:space="preserve"> </w:t>
      </w:r>
      <w:r w:rsidR="00D57114">
        <w:t>(n=919</w:t>
      </w:r>
      <w:r w:rsidR="00846508">
        <w:t xml:space="preserve">). </w:t>
      </w:r>
      <w:r w:rsidR="00877B65">
        <w:t xml:space="preserve">This six month cohort was selected to </w:t>
      </w:r>
      <w:r w:rsidR="00927EB3">
        <w:t>capture the listings of nivolumab and trametinib in 2016 and to allow at least an 18 month follow-up period from the last initiators in the cohort in June 2016.</w:t>
      </w:r>
      <w:r w:rsidR="00205275">
        <w:t xml:space="preserve"> A patient cohort from 2015 was not examined given the high number of initiators in this year (Figure 1) resulting in a substantial change in the market (Figure </w:t>
      </w:r>
      <w:r w:rsidR="00157878">
        <w:t>4</w:t>
      </w:r>
      <w:r w:rsidR="00205275">
        <w:t>).</w:t>
      </w:r>
    </w:p>
    <w:p w:rsidR="000E2361" w:rsidRDefault="00966214" w:rsidP="00866723">
      <w:r>
        <w:t>The median time between supplies across all medicines was 21 days</w:t>
      </w:r>
      <w:r w:rsidR="000C217D">
        <w:t xml:space="preserve"> because of the dominance of pembrolizumab in the market</w:t>
      </w:r>
      <w:r>
        <w:t xml:space="preserve">. </w:t>
      </w:r>
      <w:r w:rsidR="00823809">
        <w:t>It was assumed that a patient had a treatment break if the total time from the</w:t>
      </w:r>
      <w:r w:rsidR="009633BB">
        <w:t xml:space="preserve"> date of their</w:t>
      </w:r>
      <w:r w:rsidR="00823809">
        <w:t xml:space="preserve"> last supply exceeded three times the median time between supplies</w:t>
      </w:r>
      <w:r w:rsidR="00C97274">
        <w:t xml:space="preserve"> (i.e. 63 days)</w:t>
      </w:r>
      <w:r w:rsidR="00823809">
        <w:t xml:space="preserve">. </w:t>
      </w:r>
      <w:r w:rsidR="008016CE">
        <w:t>A patient was assumed to be continuing treatment if the time from their last supply was less than 63 days from the data cut-off date (31 December 2017) and they were censored from the treatment duration analyses.</w:t>
      </w:r>
      <w:r w:rsidR="008635C0">
        <w:t xml:space="preserve"> </w:t>
      </w:r>
    </w:p>
    <w:p w:rsidR="008635C0" w:rsidRDefault="008635C0" w:rsidP="00866723">
      <w:r>
        <w:t xml:space="preserve">A sensitivity analysis was undertaken by changing the treatment break assumption to 84 days (i.e. assuming that the median time between supplies was 28 days and multiplying the median time by three). Applying the assumption of 84 days marginally reduced the mean time of BRAF targeted therapy as the first drug regimen from 279 days (Table 7) to 267 days but had negligible impact on the other time on treatment results when </w:t>
      </w:r>
      <w:r w:rsidR="00DF4F0C">
        <w:t>compared to basing</w:t>
      </w:r>
      <w:r>
        <w:t xml:space="preserve"> </w:t>
      </w:r>
      <w:r w:rsidR="00DF4F0C">
        <w:t>the</w:t>
      </w:r>
      <w:r>
        <w:t xml:space="preserve"> </w:t>
      </w:r>
      <w:r w:rsidR="00DF4F0C">
        <w:t>assumption on</w:t>
      </w:r>
      <w:r>
        <w:t xml:space="preserve"> 63 days.</w:t>
      </w:r>
    </w:p>
    <w:p w:rsidR="00B934E1" w:rsidRPr="00B934E1" w:rsidRDefault="008D7043" w:rsidP="006A2A44">
      <w:pPr>
        <w:pStyle w:val="Heading3"/>
      </w:pPr>
      <w:r>
        <w:t>I</w:t>
      </w:r>
      <w:r w:rsidR="00F547FD">
        <w:t>nduction and re-induction therapy with</w:t>
      </w:r>
      <w:r w:rsidR="00B934E1" w:rsidRPr="00B934E1">
        <w:t xml:space="preserve"> ipilimumab</w:t>
      </w:r>
    </w:p>
    <w:p w:rsidR="00B934E1" w:rsidRDefault="00FC7E0B" w:rsidP="00866723">
      <w:r>
        <w:t xml:space="preserve">The </w:t>
      </w:r>
      <w:r w:rsidR="008D7043">
        <w:t>number of doses and quantity dispensed for</w:t>
      </w:r>
      <w:r>
        <w:t xml:space="preserve"> induction and re-induction treatment </w:t>
      </w:r>
      <w:r w:rsidR="008D7043">
        <w:t xml:space="preserve">with ipilimumab </w:t>
      </w:r>
      <w:r>
        <w:t xml:space="preserve">was investigated in patients who first initiated on </w:t>
      </w:r>
      <w:r w:rsidR="008D7043">
        <w:t>this drug</w:t>
      </w:r>
      <w:r w:rsidR="00D47E8C">
        <w:t xml:space="preserve"> between July and</w:t>
      </w:r>
      <w:r>
        <w:t xml:space="preserve"> December</w:t>
      </w:r>
      <w:r w:rsidR="008D7043">
        <w:t>,</w:t>
      </w:r>
      <w:r>
        <w:t xml:space="preserve"> 2016. </w:t>
      </w:r>
      <w:r w:rsidR="004F06F9">
        <w:t>T</w:t>
      </w:r>
      <w:r>
        <w:t xml:space="preserve">here was </w:t>
      </w:r>
      <w:r w:rsidR="004F06F9">
        <w:t xml:space="preserve">a greater number of patients who were supplied ipilimumab during this time period to inform the analysis </w:t>
      </w:r>
      <w:r w:rsidR="003F4029">
        <w:t xml:space="preserve">when compared to the first half of 2016 and </w:t>
      </w:r>
      <w:r w:rsidR="003F4029">
        <w:lastRenderedPageBreak/>
        <w:t>late 2015. The inclusion of patients to December 2016</w:t>
      </w:r>
      <w:r>
        <w:t xml:space="preserve"> allow</w:t>
      </w:r>
      <w:r w:rsidR="003F4029">
        <w:t>ed</w:t>
      </w:r>
      <w:r>
        <w:t xml:space="preserve"> a minimum of 12 months follow-up to the analysis end date (31 December 2017). </w:t>
      </w:r>
    </w:p>
    <w:p w:rsidR="00CF3DE1" w:rsidRDefault="00CF3DE1" w:rsidP="00CF3DE1">
      <w:pPr>
        <w:spacing w:after="0"/>
      </w:pPr>
      <w:r>
        <w:t xml:space="preserve">Streamlined Authority codes were used to determine if the supply </w:t>
      </w:r>
      <w:r w:rsidR="008D7043">
        <w:t xml:space="preserve">of ipilimumab </w:t>
      </w:r>
      <w:r>
        <w:t>was for induction or re-induction. The</w:t>
      </w:r>
      <w:r w:rsidR="00493B6F">
        <w:t>re</w:t>
      </w:r>
      <w:r>
        <w:t xml:space="preserve"> </w:t>
      </w:r>
      <w:r w:rsidR="00493B6F">
        <w:t xml:space="preserve">were few instances of missing Authority </w:t>
      </w:r>
      <w:r w:rsidR="008D7043">
        <w:t>codes in the DHS prescription</w:t>
      </w:r>
      <w:r>
        <w:t xml:space="preserve"> </w:t>
      </w:r>
      <w:r w:rsidR="008D7043">
        <w:t xml:space="preserve">claims </w:t>
      </w:r>
      <w:r>
        <w:t>data. The relevant codes were:</w:t>
      </w:r>
    </w:p>
    <w:p w:rsidR="00CF3DE1" w:rsidRPr="00CF3DE1" w:rsidRDefault="00CF3DE1" w:rsidP="00212EDC">
      <w:pPr>
        <w:pStyle w:val="ListParagraph"/>
        <w:numPr>
          <w:ilvl w:val="0"/>
          <w:numId w:val="15"/>
        </w:numPr>
        <w:spacing w:after="0"/>
      </w:pPr>
      <w:r>
        <w:t xml:space="preserve">Induction: </w:t>
      </w:r>
      <w:r w:rsidRPr="00CF3DE1">
        <w:t>4265; 4251; 4254; 4235; and 6562.</w:t>
      </w:r>
    </w:p>
    <w:p w:rsidR="00212EDC" w:rsidRDefault="00CF3DE1" w:rsidP="00CF3DE1">
      <w:pPr>
        <w:pStyle w:val="ListParagraph"/>
        <w:numPr>
          <w:ilvl w:val="0"/>
          <w:numId w:val="15"/>
        </w:numPr>
        <w:spacing w:after="0"/>
      </w:pPr>
      <w:r w:rsidRPr="00CF3DE1">
        <w:t>Re-induction: 4256; 4252; 4261; 4236; and 6585.</w:t>
      </w:r>
    </w:p>
    <w:p w:rsidR="00866723" w:rsidRDefault="00866723" w:rsidP="00866723">
      <w:pPr>
        <w:pStyle w:val="Heading3"/>
        <w:keepNext/>
      </w:pPr>
      <w:r>
        <w:t>Drug sequence analysis</w:t>
      </w:r>
    </w:p>
    <w:p w:rsidR="00B75FA5" w:rsidRDefault="00FC5A84" w:rsidP="00B75FA5">
      <w:pPr>
        <w:rPr>
          <w:rFonts w:ascii="Calibri" w:eastAsia="MS Mincho" w:hAnsi="Calibri" w:cs="Times New Roman"/>
        </w:rPr>
      </w:pPr>
      <w:r>
        <w:rPr>
          <w:rFonts w:ascii="Calibri" w:eastAsia="MS Mincho" w:hAnsi="Calibri" w:cs="Times New Roman"/>
        </w:rPr>
        <w:t xml:space="preserve">The sequence of drug regimens supplied was examined in two patient cohorts who first initiated on PBS therapy </w:t>
      </w:r>
      <w:r w:rsidR="002E20C0">
        <w:rPr>
          <w:rFonts w:ascii="Calibri" w:eastAsia="MS Mincho" w:hAnsi="Calibri" w:cs="Times New Roman"/>
        </w:rPr>
        <w:t xml:space="preserve">between January to June in 2016 or </w:t>
      </w:r>
      <w:r w:rsidR="00C1300F">
        <w:rPr>
          <w:rFonts w:ascii="Calibri" w:eastAsia="MS Mincho" w:hAnsi="Calibri" w:cs="Times New Roman"/>
        </w:rPr>
        <w:t xml:space="preserve">between </w:t>
      </w:r>
      <w:r w:rsidR="002E20C0">
        <w:rPr>
          <w:rFonts w:ascii="Calibri" w:eastAsia="MS Mincho" w:hAnsi="Calibri" w:cs="Times New Roman"/>
        </w:rPr>
        <w:t>January to June in 2017</w:t>
      </w:r>
      <w:r>
        <w:rPr>
          <w:rFonts w:ascii="Calibri" w:eastAsia="MS Mincho" w:hAnsi="Calibri" w:cs="Times New Roman"/>
        </w:rPr>
        <w:t>. For each initiating cohort, the supplies for eac</w:t>
      </w:r>
      <w:r w:rsidR="002E1C0F">
        <w:rPr>
          <w:rFonts w:ascii="Calibri" w:eastAsia="MS Mincho" w:hAnsi="Calibri" w:cs="Times New Roman"/>
        </w:rPr>
        <w:t>h patient</w:t>
      </w:r>
      <w:r>
        <w:rPr>
          <w:rFonts w:ascii="Calibri" w:eastAsia="MS Mincho" w:hAnsi="Calibri" w:cs="Times New Roman"/>
        </w:rPr>
        <w:t xml:space="preserve"> were analysed from the date of their first initiation to 31 December 2017. </w:t>
      </w:r>
    </w:p>
    <w:p w:rsidR="00B1734F" w:rsidRDefault="00B1734F" w:rsidP="00B75FA5">
      <w:pPr>
        <w:rPr>
          <w:rFonts w:ascii="Calibri" w:eastAsia="MS Mincho" w:hAnsi="Calibri" w:cs="Times New Roman"/>
        </w:rPr>
      </w:pPr>
      <w:r>
        <w:t xml:space="preserve">The analysis of 2017 initiators does not capture the complete supply for the whole cohort as patients initiating towards the end of June 2017 </w:t>
      </w:r>
      <w:r w:rsidR="005B2627">
        <w:t xml:space="preserve">who </w:t>
      </w:r>
      <w:r>
        <w:t>only have up to six months of follow up. However this analysis was undertaken to show the preliminary impact of the listings of vemurafenib and</w:t>
      </w:r>
      <w:r w:rsidR="00C1300F">
        <w:t xml:space="preserve"> cobimetinib from April 2017.</w:t>
      </w:r>
    </w:p>
    <w:p w:rsidR="00A53D94" w:rsidRDefault="00B75FA5">
      <w:pPr>
        <w:spacing w:line="276" w:lineRule="auto"/>
        <w:rPr>
          <w:rFonts w:ascii="Calibri" w:eastAsia="MS Mincho" w:hAnsi="Calibri" w:cs="Times New Roman"/>
        </w:rPr>
      </w:pPr>
      <w:r>
        <w:rPr>
          <w:rFonts w:ascii="Calibri" w:eastAsia="MS Mincho" w:hAnsi="Calibri" w:cs="Times New Roman"/>
        </w:rPr>
        <w:t xml:space="preserve">Prior to the sequence analysis, supplies for </w:t>
      </w:r>
      <w:r w:rsidR="005E716B">
        <w:rPr>
          <w:rFonts w:ascii="Calibri" w:eastAsia="MS Mincho" w:hAnsi="Calibri" w:cs="Times New Roman"/>
        </w:rPr>
        <w:t xml:space="preserve">the </w:t>
      </w:r>
      <w:r>
        <w:rPr>
          <w:rFonts w:ascii="Calibri" w:eastAsia="MS Mincho" w:hAnsi="Calibri" w:cs="Times New Roman"/>
        </w:rPr>
        <w:t>BRAF inhibitors</w:t>
      </w:r>
      <w:r w:rsidR="0046106A">
        <w:rPr>
          <w:rFonts w:ascii="Calibri" w:eastAsia="MS Mincho" w:hAnsi="Calibri" w:cs="Times New Roman"/>
        </w:rPr>
        <w:t>, either as monotherapy of in combination with MEK inhibitors,</w:t>
      </w:r>
      <w:r>
        <w:rPr>
          <w:rFonts w:ascii="Calibri" w:eastAsia="MS Mincho" w:hAnsi="Calibri" w:cs="Times New Roman"/>
        </w:rPr>
        <w:t xml:space="preserve"> were first classified into drug regimens as described above.</w:t>
      </w:r>
    </w:p>
    <w:p w:rsidR="00A53D94" w:rsidRDefault="00A53D94" w:rsidP="006A2A44">
      <w:pPr>
        <w:pStyle w:val="Heading3"/>
      </w:pPr>
      <w:r w:rsidRPr="00A53D94">
        <w:t>BRAF mutation testing analysis</w:t>
      </w:r>
    </w:p>
    <w:p w:rsidR="007C5178" w:rsidRDefault="007C5178" w:rsidP="006A2A44">
      <w:pPr>
        <w:rPr>
          <w:lang w:val="en"/>
        </w:rPr>
      </w:pPr>
      <w:r>
        <w:rPr>
          <w:szCs w:val="28"/>
        </w:rPr>
        <w:t xml:space="preserve">MBS item 73336 is available to provide subsidised testing to determine the BRAF V600 status to access dabrafenib or vemurafenib. The number of MBS services for Item 73336 was extracted from the </w:t>
      </w:r>
      <w:hyperlink r:id="rId60" w:history="1">
        <w:r w:rsidRPr="007C5178">
          <w:rPr>
            <w:rStyle w:val="Hyperlink"/>
            <w:szCs w:val="28"/>
          </w:rPr>
          <w:t>Department of Human Services MBS Item Report</w:t>
        </w:r>
      </w:hyperlink>
      <w:r>
        <w:rPr>
          <w:szCs w:val="28"/>
        </w:rPr>
        <w:t xml:space="preserve">. </w:t>
      </w:r>
      <w:r w:rsidR="000629E8">
        <w:rPr>
          <w:lang w:val="en"/>
        </w:rPr>
        <w:t xml:space="preserve">The data extraction was based on the date the service was processed by Medicare Australia. </w:t>
      </w:r>
    </w:p>
    <w:p w:rsidR="00923BDD" w:rsidRDefault="00923BDD">
      <w:pPr>
        <w:spacing w:line="276" w:lineRule="auto"/>
        <w:rPr>
          <w:lang w:val="en"/>
        </w:rPr>
        <w:sectPr w:rsidR="00923BDD" w:rsidSect="00DD188C">
          <w:footerReference w:type="even" r:id="rId61"/>
          <w:footerReference w:type="default" r:id="rId62"/>
          <w:footerReference w:type="first" r:id="rId63"/>
          <w:pgSz w:w="11906" w:h="16838"/>
          <w:pgMar w:top="1644" w:right="1361" w:bottom="1644" w:left="1588" w:header="709" w:footer="709" w:gutter="0"/>
          <w:cols w:space="708"/>
          <w:docGrid w:linePitch="360"/>
        </w:sectPr>
      </w:pPr>
    </w:p>
    <w:p w:rsidR="00D54389" w:rsidRPr="005E22C2" w:rsidRDefault="00D54389" w:rsidP="00D54389">
      <w:pPr>
        <w:pStyle w:val="Heading1"/>
      </w:pPr>
      <w:r w:rsidRPr="005E22C2">
        <w:lastRenderedPageBreak/>
        <w:t>Results</w:t>
      </w:r>
    </w:p>
    <w:p w:rsidR="00D54389" w:rsidRDefault="00D54389" w:rsidP="00D54389">
      <w:pPr>
        <w:pStyle w:val="Heading2"/>
      </w:pPr>
      <w:r w:rsidRPr="005E22C2">
        <w:t xml:space="preserve">Analysis of </w:t>
      </w:r>
      <w:r>
        <w:t>d</w:t>
      </w:r>
      <w:r w:rsidRPr="005E22C2">
        <w:t xml:space="preserve">rug </w:t>
      </w:r>
      <w:r>
        <w:t>u</w:t>
      </w:r>
      <w:r w:rsidRPr="005E22C2">
        <w:t>tilisation</w:t>
      </w:r>
    </w:p>
    <w:p w:rsidR="00AE75BA" w:rsidRDefault="00860009" w:rsidP="00AE75BA">
      <w:pPr>
        <w:pStyle w:val="Heading3"/>
      </w:pPr>
      <w:r>
        <w:t>Incident and prevalent patients</w:t>
      </w:r>
    </w:p>
    <w:p w:rsidR="00806D69" w:rsidRDefault="00C22A6D" w:rsidP="00EF1CBD">
      <w:r>
        <w:t xml:space="preserve">Table 6 presents the </w:t>
      </w:r>
      <w:r w:rsidR="00007D48">
        <w:t xml:space="preserve">overall </w:t>
      </w:r>
      <w:r>
        <w:t xml:space="preserve">number of </w:t>
      </w:r>
      <w:r w:rsidR="00007D48">
        <w:t xml:space="preserve">incident and prevalent patients by year and the number of patients by </w:t>
      </w:r>
      <w:r w:rsidR="000B290F">
        <w:t>mode of action and by drug.</w:t>
      </w:r>
      <w:r w:rsidR="00043910">
        <w:t xml:space="preserve"> </w:t>
      </w:r>
    </w:p>
    <w:p w:rsidR="00EF1CBD" w:rsidRDefault="00043910" w:rsidP="00EF1CBD">
      <w:r>
        <w:t xml:space="preserve">In 2014, there was a similar proportion (around 50 percent) of patients first initiating on a BRAF inhibitor compared to immunotherapy with ipilimumab. In 2017, the majority of patients were </w:t>
      </w:r>
      <w:r w:rsidR="00536E34">
        <w:t>initiated on immunotherapy. Around</w:t>
      </w:r>
      <w:r>
        <w:t xml:space="preserve"> hal</w:t>
      </w:r>
      <w:r w:rsidR="00536E34">
        <w:t>f of patients (52</w:t>
      </w:r>
      <w:r>
        <w:t xml:space="preserve"> percent) were initiated on a PD-1</w:t>
      </w:r>
      <w:r w:rsidR="00536E34">
        <w:t xml:space="preserve"> inhibitor, around one-third (34</w:t>
      </w:r>
      <w:r>
        <w:t xml:space="preserve"> percent) were initiated on a BRAF</w:t>
      </w:r>
      <w:r w:rsidR="00536E34">
        <w:t xml:space="preserve"> inhibitor and the remainder (13</w:t>
      </w:r>
      <w:r>
        <w:t xml:space="preserve"> percent) commenced on ipilimumab. </w:t>
      </w:r>
    </w:p>
    <w:p w:rsidR="001B618C" w:rsidRDefault="006B0FE3" w:rsidP="006A2A44">
      <w:pPr>
        <w:pStyle w:val="Tabletitle"/>
      </w:pPr>
      <w:r>
        <w:t>Table 6</w:t>
      </w:r>
      <w:r w:rsidRPr="00995E12" w:rsidDel="00EE2BBB">
        <w:t xml:space="preserve">: </w:t>
      </w:r>
      <w:r>
        <w:t xml:space="preserve"> Number of incident and prevalent patients</w:t>
      </w:r>
    </w:p>
    <w:tbl>
      <w:tblPr>
        <w:tblW w:w="8740" w:type="dxa"/>
        <w:tblInd w:w="93" w:type="dxa"/>
        <w:tblLook w:val="04A0" w:firstRow="1" w:lastRow="0" w:firstColumn="1" w:lastColumn="0" w:noHBand="0" w:noVBand="1"/>
      </w:tblPr>
      <w:tblGrid>
        <w:gridCol w:w="3760"/>
        <w:gridCol w:w="980"/>
        <w:gridCol w:w="1000"/>
        <w:gridCol w:w="1000"/>
        <w:gridCol w:w="1000"/>
        <w:gridCol w:w="1000"/>
      </w:tblGrid>
      <w:tr w:rsidR="004A7910" w:rsidRPr="004A7910" w:rsidTr="004A7910">
        <w:trPr>
          <w:trHeight w:val="300"/>
        </w:trPr>
        <w:tc>
          <w:tcPr>
            <w:tcW w:w="3760" w:type="dxa"/>
            <w:tcBorders>
              <w:top w:val="nil"/>
              <w:left w:val="nil"/>
              <w:bottom w:val="nil"/>
              <w:right w:val="nil"/>
            </w:tcBorders>
            <w:shd w:val="clear" w:color="auto" w:fill="auto"/>
            <w:noWrap/>
            <w:vAlign w:val="bottom"/>
            <w:hideMark/>
          </w:tcPr>
          <w:p w:rsidR="004A7910" w:rsidRPr="004A7910" w:rsidRDefault="004A7910" w:rsidP="004A7910">
            <w:pPr>
              <w:spacing w:after="0"/>
              <w:rPr>
                <w:rFonts w:ascii="Calibri" w:eastAsia="Times New Roman" w:hAnsi="Calibri" w:cs="Times New Roman"/>
                <w:color w:val="000000"/>
                <w:sz w:val="20"/>
                <w:szCs w:val="20"/>
              </w:rPr>
            </w:pPr>
          </w:p>
        </w:tc>
        <w:tc>
          <w:tcPr>
            <w:tcW w:w="980" w:type="dxa"/>
            <w:tcBorders>
              <w:top w:val="single" w:sz="4" w:space="0" w:color="auto"/>
              <w:left w:val="single" w:sz="4" w:space="0" w:color="auto"/>
              <w:bottom w:val="nil"/>
              <w:right w:val="single" w:sz="4" w:space="0" w:color="auto"/>
            </w:tcBorders>
            <w:shd w:val="clear" w:color="000000" w:fill="F2F2F2"/>
            <w:noWrap/>
            <w:vAlign w:val="bottom"/>
            <w:hideMark/>
          </w:tcPr>
          <w:p w:rsidR="004A7910" w:rsidRPr="004A7910" w:rsidRDefault="004A7910" w:rsidP="00255F8C">
            <w:pPr>
              <w:spacing w:after="0"/>
              <w:jc w:val="center"/>
              <w:rPr>
                <w:rFonts w:ascii="Calibri" w:eastAsia="Times New Roman" w:hAnsi="Calibri" w:cs="Times New Roman"/>
                <w:b/>
                <w:bCs/>
                <w:color w:val="000000"/>
                <w:sz w:val="20"/>
                <w:szCs w:val="20"/>
              </w:rPr>
            </w:pPr>
            <w:r w:rsidRPr="004A7910">
              <w:rPr>
                <w:rFonts w:ascii="Calibri" w:eastAsia="Times New Roman" w:hAnsi="Calibri" w:cs="Times New Roman"/>
                <w:b/>
                <w:bCs/>
                <w:color w:val="000000"/>
                <w:sz w:val="20"/>
                <w:szCs w:val="20"/>
              </w:rPr>
              <w:t>2013</w:t>
            </w:r>
            <w:r w:rsidR="00CE07CA">
              <w:rPr>
                <w:rFonts w:ascii="Calibri" w:eastAsia="Times New Roman" w:hAnsi="Calibri" w:cs="Times New Roman"/>
                <w:b/>
                <w:bCs/>
                <w:color w:val="000000"/>
                <w:sz w:val="20"/>
                <w:szCs w:val="20"/>
                <w:vertAlign w:val="superscript"/>
              </w:rPr>
              <w:t>a</w:t>
            </w:r>
          </w:p>
        </w:tc>
        <w:tc>
          <w:tcPr>
            <w:tcW w:w="1000" w:type="dxa"/>
            <w:tcBorders>
              <w:top w:val="single" w:sz="4" w:space="0" w:color="auto"/>
              <w:left w:val="nil"/>
              <w:bottom w:val="nil"/>
              <w:right w:val="single" w:sz="4" w:space="0" w:color="auto"/>
            </w:tcBorders>
            <w:shd w:val="clear" w:color="000000" w:fill="F2F2F2"/>
            <w:noWrap/>
            <w:vAlign w:val="bottom"/>
            <w:hideMark/>
          </w:tcPr>
          <w:p w:rsidR="004A7910" w:rsidRPr="004A7910" w:rsidRDefault="004A7910" w:rsidP="00255F8C">
            <w:pPr>
              <w:spacing w:after="0"/>
              <w:jc w:val="center"/>
              <w:rPr>
                <w:rFonts w:ascii="Calibri" w:eastAsia="Times New Roman" w:hAnsi="Calibri" w:cs="Times New Roman"/>
                <w:b/>
                <w:bCs/>
                <w:color w:val="000000"/>
                <w:sz w:val="20"/>
                <w:szCs w:val="20"/>
              </w:rPr>
            </w:pPr>
            <w:r w:rsidRPr="004A7910">
              <w:rPr>
                <w:rFonts w:ascii="Calibri" w:eastAsia="Times New Roman" w:hAnsi="Calibri" w:cs="Times New Roman"/>
                <w:b/>
                <w:bCs/>
                <w:color w:val="000000"/>
                <w:sz w:val="20"/>
                <w:szCs w:val="20"/>
              </w:rPr>
              <w:t>2014</w:t>
            </w:r>
          </w:p>
        </w:tc>
        <w:tc>
          <w:tcPr>
            <w:tcW w:w="1000" w:type="dxa"/>
            <w:tcBorders>
              <w:top w:val="single" w:sz="4" w:space="0" w:color="auto"/>
              <w:left w:val="nil"/>
              <w:bottom w:val="nil"/>
              <w:right w:val="single" w:sz="4" w:space="0" w:color="auto"/>
            </w:tcBorders>
            <w:shd w:val="clear" w:color="000000" w:fill="F2F2F2"/>
            <w:noWrap/>
            <w:vAlign w:val="bottom"/>
            <w:hideMark/>
          </w:tcPr>
          <w:p w:rsidR="004A7910" w:rsidRPr="004A7910" w:rsidRDefault="004A7910" w:rsidP="00255F8C">
            <w:pPr>
              <w:spacing w:after="0"/>
              <w:jc w:val="center"/>
              <w:rPr>
                <w:rFonts w:ascii="Calibri" w:eastAsia="Times New Roman" w:hAnsi="Calibri" w:cs="Times New Roman"/>
                <w:b/>
                <w:bCs/>
                <w:color w:val="000000"/>
                <w:sz w:val="20"/>
                <w:szCs w:val="20"/>
              </w:rPr>
            </w:pPr>
            <w:r w:rsidRPr="004A7910">
              <w:rPr>
                <w:rFonts w:ascii="Calibri" w:eastAsia="Times New Roman" w:hAnsi="Calibri" w:cs="Times New Roman"/>
                <w:b/>
                <w:bCs/>
                <w:color w:val="000000"/>
                <w:sz w:val="20"/>
                <w:szCs w:val="20"/>
              </w:rPr>
              <w:t>2015</w:t>
            </w:r>
          </w:p>
        </w:tc>
        <w:tc>
          <w:tcPr>
            <w:tcW w:w="1000" w:type="dxa"/>
            <w:tcBorders>
              <w:top w:val="single" w:sz="4" w:space="0" w:color="auto"/>
              <w:left w:val="nil"/>
              <w:bottom w:val="nil"/>
              <w:right w:val="single" w:sz="4" w:space="0" w:color="auto"/>
            </w:tcBorders>
            <w:shd w:val="clear" w:color="000000" w:fill="F2F2F2"/>
            <w:noWrap/>
            <w:vAlign w:val="bottom"/>
            <w:hideMark/>
          </w:tcPr>
          <w:p w:rsidR="004A7910" w:rsidRPr="004A7910" w:rsidRDefault="004A7910" w:rsidP="00255F8C">
            <w:pPr>
              <w:spacing w:after="0"/>
              <w:jc w:val="center"/>
              <w:rPr>
                <w:rFonts w:ascii="Calibri" w:eastAsia="Times New Roman" w:hAnsi="Calibri" w:cs="Times New Roman"/>
                <w:b/>
                <w:bCs/>
                <w:color w:val="000000"/>
                <w:sz w:val="20"/>
                <w:szCs w:val="20"/>
                <w:vertAlign w:val="superscript"/>
              </w:rPr>
            </w:pPr>
            <w:r w:rsidRPr="004A7910">
              <w:rPr>
                <w:rFonts w:ascii="Calibri" w:eastAsia="Times New Roman" w:hAnsi="Calibri" w:cs="Times New Roman"/>
                <w:b/>
                <w:bCs/>
                <w:color w:val="000000"/>
                <w:sz w:val="20"/>
                <w:szCs w:val="20"/>
              </w:rPr>
              <w:t>2016</w:t>
            </w:r>
            <w:r w:rsidR="005E722C">
              <w:rPr>
                <w:rFonts w:ascii="Calibri" w:eastAsia="Times New Roman" w:hAnsi="Calibri" w:cs="Times New Roman"/>
                <w:b/>
                <w:bCs/>
                <w:color w:val="000000"/>
                <w:sz w:val="20"/>
                <w:szCs w:val="20"/>
                <w:vertAlign w:val="superscript"/>
              </w:rPr>
              <w:t>h</w:t>
            </w:r>
          </w:p>
        </w:tc>
        <w:tc>
          <w:tcPr>
            <w:tcW w:w="1000" w:type="dxa"/>
            <w:tcBorders>
              <w:top w:val="single" w:sz="4" w:space="0" w:color="auto"/>
              <w:left w:val="nil"/>
              <w:bottom w:val="nil"/>
              <w:right w:val="single" w:sz="4" w:space="0" w:color="auto"/>
            </w:tcBorders>
            <w:shd w:val="clear" w:color="000000" w:fill="F2F2F2"/>
            <w:noWrap/>
            <w:vAlign w:val="bottom"/>
            <w:hideMark/>
          </w:tcPr>
          <w:p w:rsidR="004A7910" w:rsidRPr="004A7910" w:rsidRDefault="004A7910" w:rsidP="00255F8C">
            <w:pPr>
              <w:spacing w:after="0"/>
              <w:jc w:val="center"/>
              <w:rPr>
                <w:rFonts w:ascii="Calibri" w:eastAsia="Times New Roman" w:hAnsi="Calibri" w:cs="Times New Roman"/>
                <w:b/>
                <w:bCs/>
                <w:color w:val="000000"/>
                <w:sz w:val="20"/>
                <w:szCs w:val="20"/>
                <w:vertAlign w:val="superscript"/>
              </w:rPr>
            </w:pPr>
            <w:r w:rsidRPr="004A7910">
              <w:rPr>
                <w:rFonts w:ascii="Calibri" w:eastAsia="Times New Roman" w:hAnsi="Calibri" w:cs="Times New Roman"/>
                <w:b/>
                <w:bCs/>
                <w:color w:val="000000"/>
                <w:sz w:val="20"/>
                <w:szCs w:val="20"/>
              </w:rPr>
              <w:t>2017</w:t>
            </w:r>
            <w:r w:rsidR="005E722C">
              <w:rPr>
                <w:rFonts w:ascii="Calibri" w:eastAsia="Times New Roman" w:hAnsi="Calibri" w:cs="Times New Roman"/>
                <w:b/>
                <w:bCs/>
                <w:color w:val="000000"/>
                <w:sz w:val="20"/>
                <w:szCs w:val="20"/>
                <w:vertAlign w:val="superscript"/>
              </w:rPr>
              <w:t>i</w:t>
            </w:r>
          </w:p>
        </w:tc>
      </w:tr>
      <w:tr w:rsidR="004A7910" w:rsidRPr="004A7910" w:rsidTr="004A7910">
        <w:trPr>
          <w:trHeight w:val="300"/>
        </w:trPr>
        <w:tc>
          <w:tcPr>
            <w:tcW w:w="3760" w:type="dxa"/>
            <w:tcBorders>
              <w:top w:val="single" w:sz="4" w:space="0" w:color="auto"/>
              <w:left w:val="single" w:sz="4" w:space="0" w:color="auto"/>
              <w:bottom w:val="single" w:sz="4" w:space="0" w:color="auto"/>
              <w:right w:val="nil"/>
            </w:tcBorders>
            <w:shd w:val="clear" w:color="000000" w:fill="F2F2F2"/>
            <w:noWrap/>
            <w:vAlign w:val="bottom"/>
            <w:hideMark/>
          </w:tcPr>
          <w:p w:rsidR="004A7910" w:rsidRPr="004A7910" w:rsidRDefault="004A7910" w:rsidP="004A7910">
            <w:pPr>
              <w:spacing w:after="0"/>
              <w:rPr>
                <w:rFonts w:ascii="Calibri" w:eastAsia="Times New Roman" w:hAnsi="Calibri" w:cs="Times New Roman"/>
                <w:b/>
                <w:bCs/>
                <w:color w:val="000000"/>
                <w:sz w:val="20"/>
                <w:szCs w:val="20"/>
              </w:rPr>
            </w:pPr>
            <w:r w:rsidRPr="004A7910">
              <w:rPr>
                <w:rFonts w:ascii="Calibri" w:eastAsia="Times New Roman" w:hAnsi="Calibri" w:cs="Times New Roman"/>
                <w:b/>
                <w:bCs/>
                <w:color w:val="000000"/>
                <w:sz w:val="20"/>
                <w:szCs w:val="20"/>
              </w:rPr>
              <w:t>Incident patients</w:t>
            </w:r>
          </w:p>
        </w:tc>
        <w:tc>
          <w:tcPr>
            <w:tcW w:w="980" w:type="dxa"/>
            <w:tcBorders>
              <w:top w:val="single" w:sz="4" w:space="0" w:color="auto"/>
              <w:left w:val="nil"/>
              <w:bottom w:val="single" w:sz="4" w:space="0" w:color="auto"/>
              <w:right w:val="nil"/>
            </w:tcBorders>
            <w:shd w:val="clear" w:color="000000" w:fill="F2F2F2"/>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 </w:t>
            </w:r>
          </w:p>
        </w:tc>
        <w:tc>
          <w:tcPr>
            <w:tcW w:w="1000" w:type="dxa"/>
            <w:tcBorders>
              <w:top w:val="single" w:sz="4" w:space="0" w:color="auto"/>
              <w:left w:val="nil"/>
              <w:bottom w:val="single" w:sz="4" w:space="0" w:color="auto"/>
              <w:right w:val="nil"/>
            </w:tcBorders>
            <w:shd w:val="clear" w:color="000000" w:fill="F2F2F2"/>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 </w:t>
            </w:r>
          </w:p>
        </w:tc>
        <w:tc>
          <w:tcPr>
            <w:tcW w:w="1000" w:type="dxa"/>
            <w:tcBorders>
              <w:top w:val="single" w:sz="4" w:space="0" w:color="auto"/>
              <w:left w:val="nil"/>
              <w:bottom w:val="single" w:sz="4" w:space="0" w:color="auto"/>
              <w:right w:val="nil"/>
            </w:tcBorders>
            <w:shd w:val="clear" w:color="000000" w:fill="F2F2F2"/>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 </w:t>
            </w:r>
          </w:p>
        </w:tc>
        <w:tc>
          <w:tcPr>
            <w:tcW w:w="1000" w:type="dxa"/>
            <w:tcBorders>
              <w:top w:val="single" w:sz="4" w:space="0" w:color="auto"/>
              <w:left w:val="nil"/>
              <w:bottom w:val="single" w:sz="4" w:space="0" w:color="auto"/>
              <w:right w:val="nil"/>
            </w:tcBorders>
            <w:shd w:val="clear" w:color="000000" w:fill="F2F2F2"/>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 </w:t>
            </w:r>
          </w:p>
        </w:tc>
        <w:tc>
          <w:tcPr>
            <w:tcW w:w="1000" w:type="dxa"/>
            <w:tcBorders>
              <w:top w:val="single" w:sz="4" w:space="0" w:color="auto"/>
              <w:left w:val="nil"/>
              <w:bottom w:val="single" w:sz="4" w:space="0" w:color="auto"/>
              <w:right w:val="single" w:sz="4" w:space="0" w:color="auto"/>
            </w:tcBorders>
            <w:shd w:val="clear" w:color="000000" w:fill="F2F2F2"/>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 </w:t>
            </w:r>
          </w:p>
        </w:tc>
      </w:tr>
      <w:tr w:rsidR="004A7910" w:rsidRPr="004A7910" w:rsidTr="004A7910">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Total number of incident patients</w:t>
            </w:r>
          </w:p>
        </w:tc>
        <w:tc>
          <w:tcPr>
            <w:tcW w:w="98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480</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1,467</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1,522</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1,798</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2,001</w:t>
            </w:r>
          </w:p>
        </w:tc>
      </w:tr>
      <w:tr w:rsidR="004A7910" w:rsidRPr="004A7910" w:rsidTr="004A7910">
        <w:trPr>
          <w:trHeight w:val="300"/>
        </w:trPr>
        <w:tc>
          <w:tcPr>
            <w:tcW w:w="4740" w:type="dxa"/>
            <w:gridSpan w:val="2"/>
            <w:tcBorders>
              <w:top w:val="single" w:sz="4" w:space="0" w:color="auto"/>
              <w:left w:val="single" w:sz="4" w:space="0" w:color="auto"/>
              <w:bottom w:val="single" w:sz="4" w:space="0" w:color="auto"/>
              <w:right w:val="nil"/>
            </w:tcBorders>
            <w:shd w:val="clear" w:color="000000" w:fill="F2F2F2"/>
            <w:noWrap/>
            <w:vAlign w:val="bottom"/>
            <w:hideMark/>
          </w:tcPr>
          <w:p w:rsidR="004A7910" w:rsidRPr="004A7910" w:rsidRDefault="004A7910" w:rsidP="004A7910">
            <w:pPr>
              <w:spacing w:after="0"/>
              <w:rPr>
                <w:rFonts w:ascii="Calibri" w:eastAsia="Times New Roman" w:hAnsi="Calibri" w:cs="Times New Roman"/>
                <w:b/>
                <w:bCs/>
                <w:i/>
                <w:iCs/>
                <w:color w:val="000000"/>
                <w:sz w:val="20"/>
                <w:szCs w:val="20"/>
              </w:rPr>
            </w:pPr>
            <w:r w:rsidRPr="004A7910">
              <w:rPr>
                <w:rFonts w:ascii="Calibri" w:eastAsia="Times New Roman" w:hAnsi="Calibri" w:cs="Times New Roman"/>
                <w:b/>
                <w:bCs/>
                <w:i/>
                <w:iCs/>
                <w:color w:val="000000"/>
                <w:sz w:val="20"/>
                <w:szCs w:val="20"/>
              </w:rPr>
              <w:t>Number of incident patients by drug regimen:</w:t>
            </w:r>
          </w:p>
        </w:tc>
        <w:tc>
          <w:tcPr>
            <w:tcW w:w="1000" w:type="dxa"/>
            <w:tcBorders>
              <w:top w:val="nil"/>
              <w:left w:val="nil"/>
              <w:bottom w:val="single" w:sz="4" w:space="0" w:color="auto"/>
              <w:right w:val="nil"/>
            </w:tcBorders>
            <w:shd w:val="clear" w:color="000000" w:fill="F2F2F2"/>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 </w:t>
            </w:r>
          </w:p>
        </w:tc>
        <w:tc>
          <w:tcPr>
            <w:tcW w:w="1000" w:type="dxa"/>
            <w:tcBorders>
              <w:top w:val="nil"/>
              <w:left w:val="nil"/>
              <w:bottom w:val="single" w:sz="4" w:space="0" w:color="auto"/>
              <w:right w:val="nil"/>
            </w:tcBorders>
            <w:shd w:val="clear" w:color="000000" w:fill="F2F2F2"/>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 </w:t>
            </w:r>
          </w:p>
        </w:tc>
        <w:tc>
          <w:tcPr>
            <w:tcW w:w="1000" w:type="dxa"/>
            <w:tcBorders>
              <w:top w:val="nil"/>
              <w:left w:val="nil"/>
              <w:bottom w:val="single" w:sz="4" w:space="0" w:color="auto"/>
              <w:right w:val="nil"/>
            </w:tcBorders>
            <w:shd w:val="clear" w:color="000000" w:fill="F2F2F2"/>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 </w:t>
            </w:r>
          </w:p>
        </w:tc>
        <w:tc>
          <w:tcPr>
            <w:tcW w:w="100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 </w:t>
            </w:r>
          </w:p>
        </w:tc>
      </w:tr>
      <w:tr w:rsidR="004A7910" w:rsidRPr="004A7910" w:rsidTr="004A7910">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Dabrafenib + trametinib</w:t>
            </w:r>
          </w:p>
        </w:tc>
        <w:tc>
          <w:tcPr>
            <w:tcW w:w="98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250</w:t>
            </w:r>
            <w:r w:rsidR="00CE07CA">
              <w:rPr>
                <w:rFonts w:ascii="Calibri" w:eastAsia="Times New Roman" w:hAnsi="Calibri" w:cs="Times New Roman"/>
                <w:color w:val="000000"/>
                <w:sz w:val="20"/>
                <w:szCs w:val="20"/>
                <w:vertAlign w:val="superscript"/>
              </w:rPr>
              <w:t>d</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554</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361B85" w:rsidRDefault="004A7910" w:rsidP="009A1AEE">
            <w:pPr>
              <w:spacing w:after="0"/>
              <w:jc w:val="center"/>
              <w:rPr>
                <w:rFonts w:ascii="Calibri" w:eastAsia="Times New Roman" w:hAnsi="Calibri" w:cs="Times New Roman"/>
                <w:color w:val="000000"/>
                <w:sz w:val="20"/>
                <w:szCs w:val="20"/>
              </w:rPr>
            </w:pPr>
            <w:r w:rsidRPr="00361B85">
              <w:rPr>
                <w:rFonts w:ascii="Calibri" w:eastAsia="Times New Roman" w:hAnsi="Calibri" w:cs="Times New Roman"/>
                <w:color w:val="000000"/>
                <w:sz w:val="20"/>
                <w:szCs w:val="20"/>
              </w:rPr>
              <w:t>570</w:t>
            </w:r>
          </w:p>
        </w:tc>
      </w:tr>
      <w:tr w:rsidR="004A7910" w:rsidRPr="004A7910" w:rsidTr="004A7910">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Dabrafenib</w:t>
            </w:r>
          </w:p>
        </w:tc>
        <w:tc>
          <w:tcPr>
            <w:tcW w:w="980" w:type="dxa"/>
            <w:tcBorders>
              <w:top w:val="nil"/>
              <w:left w:val="nil"/>
              <w:bottom w:val="single" w:sz="4" w:space="0" w:color="auto"/>
              <w:right w:val="single" w:sz="4" w:space="0" w:color="auto"/>
            </w:tcBorders>
            <w:shd w:val="clear" w:color="auto" w:fill="auto"/>
            <w:noWrap/>
            <w:vAlign w:val="bottom"/>
            <w:hideMark/>
          </w:tcPr>
          <w:p w:rsidR="004A7910" w:rsidRPr="004A7910" w:rsidRDefault="00CE07CA" w:rsidP="009A1AEE">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81</w:t>
            </w:r>
            <w:r>
              <w:rPr>
                <w:rFonts w:ascii="Calibri" w:eastAsia="Times New Roman" w:hAnsi="Calibri" w:cs="Times New Roman"/>
                <w:color w:val="000000"/>
                <w:sz w:val="20"/>
                <w:szCs w:val="20"/>
                <w:vertAlign w:val="superscript"/>
              </w:rPr>
              <w:t>b</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712</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331</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17</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361B85" w:rsidRDefault="004A7910" w:rsidP="009A1AEE">
            <w:pPr>
              <w:spacing w:after="0"/>
              <w:jc w:val="center"/>
              <w:rPr>
                <w:rFonts w:ascii="Calibri" w:eastAsia="Times New Roman" w:hAnsi="Calibri" w:cs="Times New Roman"/>
                <w:color w:val="000000"/>
                <w:sz w:val="20"/>
                <w:szCs w:val="20"/>
              </w:rPr>
            </w:pPr>
            <w:r w:rsidRPr="00361B85">
              <w:rPr>
                <w:rFonts w:ascii="Calibri" w:eastAsia="Times New Roman" w:hAnsi="Calibri" w:cs="Times New Roman"/>
                <w:color w:val="000000"/>
                <w:sz w:val="20"/>
                <w:szCs w:val="20"/>
              </w:rPr>
              <w:t>12</w:t>
            </w:r>
          </w:p>
        </w:tc>
      </w:tr>
      <w:tr w:rsidR="004A7910" w:rsidRPr="004A7910" w:rsidTr="004A7910">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Ipilimumab</w:t>
            </w:r>
          </w:p>
        </w:tc>
        <w:tc>
          <w:tcPr>
            <w:tcW w:w="98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399</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755</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333</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86</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278</w:t>
            </w:r>
          </w:p>
        </w:tc>
      </w:tr>
      <w:tr w:rsidR="004A7910" w:rsidRPr="004A7910" w:rsidTr="004A7910">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Nivolumab</w:t>
            </w:r>
          </w:p>
        </w:tc>
        <w:tc>
          <w:tcPr>
            <w:tcW w:w="98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93</w:t>
            </w:r>
            <w:r w:rsidR="006C74E3">
              <w:rPr>
                <w:rFonts w:ascii="Calibri" w:eastAsia="Times New Roman" w:hAnsi="Calibri" w:cs="Times New Roman"/>
                <w:color w:val="000000"/>
                <w:sz w:val="20"/>
                <w:szCs w:val="20"/>
                <w:vertAlign w:val="superscript"/>
              </w:rPr>
              <w:t>e</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209</w:t>
            </w:r>
          </w:p>
        </w:tc>
      </w:tr>
      <w:tr w:rsidR="004A7910" w:rsidRPr="004A7910" w:rsidTr="004A7910">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Pembrolizumab</w:t>
            </w:r>
          </w:p>
        </w:tc>
        <w:tc>
          <w:tcPr>
            <w:tcW w:w="98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CE07CA" w:rsidP="009A1AEE">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608</w:t>
            </w:r>
            <w:r>
              <w:rPr>
                <w:rFonts w:ascii="Calibri" w:eastAsia="Times New Roman" w:hAnsi="Calibri" w:cs="Times New Roman"/>
                <w:color w:val="000000"/>
                <w:sz w:val="20"/>
                <w:szCs w:val="20"/>
                <w:vertAlign w:val="superscript"/>
              </w:rPr>
              <w:t>c</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1,043</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899</w:t>
            </w:r>
          </w:p>
        </w:tc>
      </w:tr>
      <w:tr w:rsidR="004A7910" w:rsidRPr="004A7910" w:rsidTr="004A7910">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Vemurafenib+cobimetinib</w:t>
            </w:r>
          </w:p>
        </w:tc>
        <w:tc>
          <w:tcPr>
            <w:tcW w:w="98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361B85" w:rsidRDefault="004A7910" w:rsidP="009A1AEE">
            <w:pPr>
              <w:spacing w:after="0"/>
              <w:jc w:val="center"/>
              <w:rPr>
                <w:rFonts w:ascii="Calibri" w:eastAsia="Times New Roman" w:hAnsi="Calibri" w:cs="Times New Roman"/>
                <w:color w:val="000000"/>
                <w:sz w:val="20"/>
                <w:szCs w:val="20"/>
              </w:rPr>
            </w:pPr>
            <w:r w:rsidRPr="00361B85">
              <w:rPr>
                <w:rFonts w:ascii="Calibri" w:eastAsia="Times New Roman" w:hAnsi="Calibri" w:cs="Times New Roman"/>
                <w:color w:val="000000"/>
                <w:sz w:val="20"/>
                <w:szCs w:val="20"/>
              </w:rPr>
              <w:t>20</w:t>
            </w:r>
            <w:r w:rsidR="00406653" w:rsidRPr="00361B85">
              <w:rPr>
                <w:rFonts w:ascii="Calibri" w:eastAsia="Times New Roman" w:hAnsi="Calibri" w:cs="Times New Roman"/>
                <w:color w:val="000000"/>
                <w:sz w:val="20"/>
                <w:szCs w:val="20"/>
                <w:vertAlign w:val="superscript"/>
              </w:rPr>
              <w:t>f</w:t>
            </w:r>
          </w:p>
        </w:tc>
      </w:tr>
      <w:tr w:rsidR="004A7910" w:rsidRPr="004A7910" w:rsidTr="004A7910">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Vemurafenib</w:t>
            </w:r>
          </w:p>
        </w:tc>
        <w:tc>
          <w:tcPr>
            <w:tcW w:w="98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361B85" w:rsidRDefault="004A7910" w:rsidP="009A1AEE">
            <w:pPr>
              <w:spacing w:after="0"/>
              <w:jc w:val="center"/>
              <w:rPr>
                <w:rFonts w:ascii="Calibri" w:eastAsia="Times New Roman" w:hAnsi="Calibri" w:cs="Times New Roman"/>
                <w:color w:val="000000"/>
                <w:sz w:val="20"/>
                <w:szCs w:val="20"/>
              </w:rPr>
            </w:pPr>
            <w:r w:rsidRPr="00361B85">
              <w:rPr>
                <w:rFonts w:ascii="Calibri" w:eastAsia="Times New Roman" w:hAnsi="Calibri" w:cs="Times New Roman"/>
                <w:color w:val="000000"/>
                <w:sz w:val="20"/>
                <w:szCs w:val="20"/>
              </w:rPr>
              <w:t>11</w:t>
            </w:r>
            <w:r w:rsidR="00361B85">
              <w:rPr>
                <w:rFonts w:ascii="Calibri" w:eastAsia="Times New Roman" w:hAnsi="Calibri" w:cs="Times New Roman"/>
                <w:color w:val="000000"/>
                <w:sz w:val="20"/>
                <w:szCs w:val="20"/>
                <w:vertAlign w:val="superscript"/>
              </w:rPr>
              <w:t>g</w:t>
            </w:r>
          </w:p>
        </w:tc>
      </w:tr>
      <w:tr w:rsidR="004A7910" w:rsidRPr="004A7910" w:rsidTr="004A7910">
        <w:trPr>
          <w:trHeight w:val="300"/>
        </w:trPr>
        <w:tc>
          <w:tcPr>
            <w:tcW w:w="3760" w:type="dxa"/>
            <w:tcBorders>
              <w:top w:val="nil"/>
              <w:left w:val="single" w:sz="4" w:space="0" w:color="auto"/>
              <w:bottom w:val="single" w:sz="4" w:space="0" w:color="auto"/>
              <w:right w:val="nil"/>
            </w:tcBorders>
            <w:shd w:val="clear" w:color="000000" w:fill="F2F2F2"/>
            <w:noWrap/>
            <w:vAlign w:val="bottom"/>
            <w:hideMark/>
          </w:tcPr>
          <w:p w:rsidR="004A7910" w:rsidRPr="004A7910" w:rsidRDefault="004A7910" w:rsidP="004A7910">
            <w:pPr>
              <w:spacing w:after="0"/>
              <w:rPr>
                <w:rFonts w:ascii="Calibri" w:eastAsia="Times New Roman" w:hAnsi="Calibri" w:cs="Times New Roman"/>
                <w:b/>
                <w:bCs/>
                <w:color w:val="000000"/>
                <w:sz w:val="20"/>
                <w:szCs w:val="20"/>
              </w:rPr>
            </w:pPr>
            <w:r w:rsidRPr="004A7910">
              <w:rPr>
                <w:rFonts w:ascii="Calibri" w:eastAsia="Times New Roman" w:hAnsi="Calibri" w:cs="Times New Roman"/>
                <w:b/>
                <w:bCs/>
                <w:color w:val="000000"/>
                <w:sz w:val="20"/>
                <w:szCs w:val="20"/>
              </w:rPr>
              <w:t>Prevalent patients</w:t>
            </w:r>
          </w:p>
        </w:tc>
        <w:tc>
          <w:tcPr>
            <w:tcW w:w="980" w:type="dxa"/>
            <w:tcBorders>
              <w:top w:val="nil"/>
              <w:left w:val="nil"/>
              <w:bottom w:val="single" w:sz="4" w:space="0" w:color="auto"/>
              <w:right w:val="nil"/>
            </w:tcBorders>
            <w:shd w:val="clear" w:color="000000" w:fill="F2F2F2"/>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 </w:t>
            </w:r>
          </w:p>
        </w:tc>
        <w:tc>
          <w:tcPr>
            <w:tcW w:w="1000" w:type="dxa"/>
            <w:tcBorders>
              <w:top w:val="nil"/>
              <w:left w:val="nil"/>
              <w:bottom w:val="single" w:sz="4" w:space="0" w:color="auto"/>
              <w:right w:val="nil"/>
            </w:tcBorders>
            <w:shd w:val="clear" w:color="000000" w:fill="F2F2F2"/>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 </w:t>
            </w:r>
          </w:p>
        </w:tc>
        <w:tc>
          <w:tcPr>
            <w:tcW w:w="1000" w:type="dxa"/>
            <w:tcBorders>
              <w:top w:val="nil"/>
              <w:left w:val="nil"/>
              <w:bottom w:val="single" w:sz="4" w:space="0" w:color="auto"/>
              <w:right w:val="nil"/>
            </w:tcBorders>
            <w:shd w:val="clear" w:color="000000" w:fill="F2F2F2"/>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 </w:t>
            </w:r>
          </w:p>
        </w:tc>
        <w:tc>
          <w:tcPr>
            <w:tcW w:w="1000" w:type="dxa"/>
            <w:tcBorders>
              <w:top w:val="nil"/>
              <w:left w:val="nil"/>
              <w:bottom w:val="single" w:sz="4" w:space="0" w:color="auto"/>
              <w:right w:val="nil"/>
            </w:tcBorders>
            <w:shd w:val="clear" w:color="000000" w:fill="F2F2F2"/>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 </w:t>
            </w:r>
          </w:p>
        </w:tc>
        <w:tc>
          <w:tcPr>
            <w:tcW w:w="1000" w:type="dxa"/>
            <w:tcBorders>
              <w:top w:val="nil"/>
              <w:left w:val="nil"/>
              <w:bottom w:val="single" w:sz="4" w:space="0" w:color="auto"/>
              <w:right w:val="single" w:sz="4" w:space="0" w:color="auto"/>
            </w:tcBorders>
            <w:shd w:val="clear" w:color="000000" w:fill="F2F2F2"/>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 </w:t>
            </w:r>
          </w:p>
        </w:tc>
      </w:tr>
      <w:tr w:rsidR="004A7910" w:rsidRPr="004A7910" w:rsidTr="004A7910">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4A7910" w:rsidRPr="004A7910" w:rsidRDefault="004A7910" w:rsidP="004A7910">
            <w:pPr>
              <w:spacing w:after="0"/>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Total number of prevalent patients</w:t>
            </w:r>
          </w:p>
        </w:tc>
        <w:tc>
          <w:tcPr>
            <w:tcW w:w="98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480</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1,642</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2,149</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3,031</w:t>
            </w:r>
          </w:p>
        </w:tc>
        <w:tc>
          <w:tcPr>
            <w:tcW w:w="1000" w:type="dxa"/>
            <w:tcBorders>
              <w:top w:val="nil"/>
              <w:left w:val="nil"/>
              <w:bottom w:val="single" w:sz="4" w:space="0" w:color="auto"/>
              <w:right w:val="single" w:sz="4" w:space="0" w:color="auto"/>
            </w:tcBorders>
            <w:shd w:val="clear" w:color="auto" w:fill="auto"/>
            <w:noWrap/>
            <w:vAlign w:val="bottom"/>
            <w:hideMark/>
          </w:tcPr>
          <w:p w:rsidR="004A7910" w:rsidRPr="004A7910" w:rsidRDefault="004A7910" w:rsidP="009A1AEE">
            <w:pPr>
              <w:spacing w:after="0"/>
              <w:jc w:val="center"/>
              <w:rPr>
                <w:rFonts w:ascii="Calibri" w:eastAsia="Times New Roman" w:hAnsi="Calibri" w:cs="Times New Roman"/>
                <w:color w:val="000000"/>
                <w:sz w:val="20"/>
                <w:szCs w:val="20"/>
              </w:rPr>
            </w:pPr>
            <w:r w:rsidRPr="004A7910">
              <w:rPr>
                <w:rFonts w:ascii="Calibri" w:eastAsia="Times New Roman" w:hAnsi="Calibri" w:cs="Times New Roman"/>
                <w:color w:val="000000"/>
                <w:sz w:val="20"/>
                <w:szCs w:val="20"/>
              </w:rPr>
              <w:t>3,792</w:t>
            </w:r>
          </w:p>
        </w:tc>
      </w:tr>
    </w:tbl>
    <w:p w:rsidR="00B71258" w:rsidRDefault="00E579A0" w:rsidP="00180D9D">
      <w:pPr>
        <w:spacing w:after="0"/>
        <w:rPr>
          <w:rFonts w:ascii="Calibri" w:eastAsia="MS Mincho" w:hAnsi="Calibri" w:cs="Times New Roman"/>
          <w:sz w:val="20"/>
          <w:szCs w:val="20"/>
        </w:rPr>
      </w:pPr>
      <w:r w:rsidRPr="0012165B">
        <w:rPr>
          <w:rFonts w:ascii="Calibri" w:eastAsia="MS Mincho" w:hAnsi="Calibri" w:cs="Times New Roman"/>
          <w:sz w:val="20"/>
          <w:szCs w:val="20"/>
        </w:rPr>
        <w:t xml:space="preserve">Source: </w:t>
      </w:r>
      <w:r w:rsidR="00070F7F">
        <w:rPr>
          <w:rFonts w:ascii="Calibri" w:eastAsia="MS Mincho" w:hAnsi="Calibri" w:cs="Times New Roman"/>
          <w:sz w:val="20"/>
          <w:szCs w:val="20"/>
        </w:rPr>
        <w:t>DHS prescription claims</w:t>
      </w:r>
      <w:r w:rsidR="00D010D9">
        <w:rPr>
          <w:rFonts w:ascii="Calibri" w:eastAsia="MS Mincho" w:hAnsi="Calibri" w:cs="Times New Roman"/>
          <w:sz w:val="20"/>
          <w:szCs w:val="20"/>
        </w:rPr>
        <w:t xml:space="preserve"> database, based on the dat</w:t>
      </w:r>
      <w:r w:rsidR="00040850">
        <w:rPr>
          <w:rFonts w:ascii="Calibri" w:eastAsia="MS Mincho" w:hAnsi="Calibri" w:cs="Times New Roman"/>
          <w:sz w:val="20"/>
          <w:szCs w:val="20"/>
        </w:rPr>
        <w:t>e of supply. Data extracted on 21</w:t>
      </w:r>
      <w:r w:rsidR="00D010D9">
        <w:rPr>
          <w:rFonts w:ascii="Calibri" w:eastAsia="MS Mincho" w:hAnsi="Calibri" w:cs="Times New Roman"/>
          <w:sz w:val="20"/>
          <w:szCs w:val="20"/>
        </w:rPr>
        <w:t xml:space="preserve"> March 2018.</w:t>
      </w:r>
    </w:p>
    <w:p w:rsidR="00D010D9" w:rsidRDefault="00D010D9" w:rsidP="00180D9D">
      <w:pPr>
        <w:spacing w:after="0"/>
        <w:rPr>
          <w:rFonts w:ascii="Calibri" w:eastAsia="MS Mincho" w:hAnsi="Calibri" w:cs="Times New Roman"/>
          <w:sz w:val="20"/>
          <w:szCs w:val="20"/>
        </w:rPr>
      </w:pPr>
      <w:r>
        <w:rPr>
          <w:rFonts w:ascii="Calibri" w:eastAsia="MS Mincho" w:hAnsi="Calibri" w:cs="Times New Roman"/>
          <w:sz w:val="20"/>
          <w:szCs w:val="20"/>
        </w:rPr>
        <w:t>Note:</w:t>
      </w:r>
    </w:p>
    <w:p w:rsidR="00D010D9" w:rsidRDefault="00973793" w:rsidP="00180D9D">
      <w:pPr>
        <w:spacing w:after="0"/>
        <w:rPr>
          <w:rFonts w:ascii="Calibri" w:eastAsia="MS Mincho" w:hAnsi="Calibri" w:cs="Times New Roman"/>
          <w:sz w:val="20"/>
          <w:szCs w:val="20"/>
        </w:rPr>
      </w:pPr>
      <w:r>
        <w:rPr>
          <w:rFonts w:ascii="Calibri" w:eastAsia="MS Mincho" w:hAnsi="Calibri" w:cs="Times New Roman"/>
          <w:sz w:val="20"/>
          <w:szCs w:val="20"/>
          <w:vertAlign w:val="superscript"/>
        </w:rPr>
        <w:t>a</w:t>
      </w:r>
      <w:r>
        <w:rPr>
          <w:rFonts w:ascii="Calibri" w:eastAsia="MS Mincho" w:hAnsi="Calibri" w:cs="Times New Roman"/>
          <w:sz w:val="20"/>
          <w:szCs w:val="20"/>
        </w:rPr>
        <w:t xml:space="preserve"> Part year figures </w:t>
      </w:r>
      <w:r w:rsidR="009937C4">
        <w:rPr>
          <w:rFonts w:ascii="Calibri" w:eastAsia="MS Mincho" w:hAnsi="Calibri" w:cs="Times New Roman"/>
          <w:sz w:val="20"/>
          <w:szCs w:val="20"/>
        </w:rPr>
        <w:t>from August 2013 (first listing of ipilimumab) to December.</w:t>
      </w:r>
    </w:p>
    <w:p w:rsidR="002F5180" w:rsidRDefault="009430CC" w:rsidP="00FB4EC5">
      <w:pPr>
        <w:spacing w:after="0"/>
        <w:rPr>
          <w:rFonts w:ascii="Calibri" w:eastAsia="MS Mincho" w:hAnsi="Calibri" w:cs="Times New Roman"/>
          <w:sz w:val="20"/>
          <w:szCs w:val="20"/>
        </w:rPr>
      </w:pPr>
      <w:r>
        <w:rPr>
          <w:rFonts w:ascii="Calibri" w:eastAsia="MS Mincho" w:hAnsi="Calibri" w:cs="Times New Roman"/>
          <w:sz w:val="20"/>
          <w:szCs w:val="20"/>
          <w:vertAlign w:val="superscript"/>
        </w:rPr>
        <w:t>b</w:t>
      </w:r>
      <w:r>
        <w:rPr>
          <w:rFonts w:ascii="Calibri" w:eastAsia="MS Mincho" w:hAnsi="Calibri" w:cs="Times New Roman"/>
          <w:sz w:val="20"/>
          <w:szCs w:val="20"/>
        </w:rPr>
        <w:t xml:space="preserve"> </w:t>
      </w:r>
      <w:r w:rsidR="00203A10">
        <w:rPr>
          <w:rFonts w:ascii="Calibri" w:eastAsia="MS Mincho" w:hAnsi="Calibri" w:cs="Times New Roman"/>
          <w:sz w:val="20"/>
          <w:szCs w:val="20"/>
        </w:rPr>
        <w:t>Part year figure. Dabrafenib first listed in December 2013.</w:t>
      </w:r>
    </w:p>
    <w:p w:rsidR="00FB4EC5" w:rsidRDefault="00FB4EC5" w:rsidP="00FB4EC5">
      <w:pPr>
        <w:spacing w:after="0"/>
        <w:rPr>
          <w:rFonts w:ascii="Calibri" w:eastAsia="MS Mincho" w:hAnsi="Calibri" w:cs="Times New Roman"/>
          <w:sz w:val="20"/>
          <w:szCs w:val="20"/>
        </w:rPr>
      </w:pPr>
      <w:r>
        <w:rPr>
          <w:rFonts w:ascii="Calibri" w:eastAsia="MS Mincho" w:hAnsi="Calibri" w:cs="Times New Roman"/>
          <w:sz w:val="20"/>
          <w:szCs w:val="20"/>
          <w:vertAlign w:val="superscript"/>
        </w:rPr>
        <w:t>c</w:t>
      </w:r>
      <w:r>
        <w:rPr>
          <w:rFonts w:ascii="Calibri" w:eastAsia="MS Mincho" w:hAnsi="Calibri" w:cs="Times New Roman"/>
          <w:sz w:val="20"/>
          <w:szCs w:val="20"/>
        </w:rPr>
        <w:t xml:space="preserve"> </w:t>
      </w:r>
      <w:r w:rsidR="003D27F3">
        <w:rPr>
          <w:rFonts w:ascii="Calibri" w:eastAsia="MS Mincho" w:hAnsi="Calibri" w:cs="Times New Roman"/>
          <w:sz w:val="20"/>
          <w:szCs w:val="20"/>
        </w:rPr>
        <w:t>Part year figure from September 2015 (first listing of pembrolizumab).</w:t>
      </w:r>
    </w:p>
    <w:p w:rsidR="00671825" w:rsidRDefault="00671825" w:rsidP="00FB4EC5">
      <w:pPr>
        <w:spacing w:after="0"/>
        <w:rPr>
          <w:rFonts w:ascii="Calibri" w:eastAsia="MS Mincho" w:hAnsi="Calibri" w:cs="Times New Roman"/>
          <w:sz w:val="20"/>
          <w:szCs w:val="20"/>
        </w:rPr>
      </w:pPr>
      <w:r>
        <w:rPr>
          <w:rFonts w:ascii="Calibri" w:eastAsia="MS Mincho" w:hAnsi="Calibri" w:cs="Times New Roman"/>
          <w:sz w:val="20"/>
          <w:szCs w:val="20"/>
          <w:vertAlign w:val="superscript"/>
        </w:rPr>
        <w:t>d</w:t>
      </w:r>
      <w:r>
        <w:rPr>
          <w:rFonts w:ascii="Calibri" w:eastAsia="MS Mincho" w:hAnsi="Calibri" w:cs="Times New Roman"/>
          <w:sz w:val="20"/>
          <w:szCs w:val="20"/>
        </w:rPr>
        <w:t xml:space="preserve"> Part year figure from August 2015 when trametinib was first listed.</w:t>
      </w:r>
    </w:p>
    <w:p w:rsidR="000D67F8" w:rsidRDefault="000D67F8" w:rsidP="00FB4EC5">
      <w:pPr>
        <w:spacing w:after="0"/>
        <w:rPr>
          <w:rFonts w:ascii="Calibri" w:eastAsia="MS Mincho" w:hAnsi="Calibri" w:cs="Times New Roman"/>
          <w:sz w:val="20"/>
          <w:szCs w:val="20"/>
        </w:rPr>
      </w:pPr>
      <w:r>
        <w:rPr>
          <w:rFonts w:ascii="Calibri" w:eastAsia="MS Mincho" w:hAnsi="Calibri" w:cs="Times New Roman"/>
          <w:sz w:val="20"/>
          <w:szCs w:val="20"/>
          <w:vertAlign w:val="superscript"/>
        </w:rPr>
        <w:t>e</w:t>
      </w:r>
      <w:r>
        <w:rPr>
          <w:rFonts w:ascii="Calibri" w:eastAsia="MS Mincho" w:hAnsi="Calibri" w:cs="Times New Roman"/>
          <w:sz w:val="20"/>
          <w:szCs w:val="20"/>
        </w:rPr>
        <w:t xml:space="preserve"> Part year figure from May 2016 when nivolumab was first listed.</w:t>
      </w:r>
    </w:p>
    <w:p w:rsidR="00DE498A" w:rsidRDefault="00DE498A" w:rsidP="00FB4EC5">
      <w:pPr>
        <w:spacing w:after="0"/>
        <w:rPr>
          <w:rFonts w:ascii="Calibri" w:eastAsia="MS Mincho" w:hAnsi="Calibri" w:cs="Times New Roman"/>
          <w:sz w:val="20"/>
          <w:szCs w:val="20"/>
        </w:rPr>
      </w:pPr>
      <w:r>
        <w:rPr>
          <w:rFonts w:ascii="Calibri" w:eastAsia="MS Mincho" w:hAnsi="Calibri" w:cs="Times New Roman"/>
          <w:sz w:val="20"/>
          <w:szCs w:val="20"/>
          <w:vertAlign w:val="superscript"/>
        </w:rPr>
        <w:t>f</w:t>
      </w:r>
      <w:r>
        <w:rPr>
          <w:rFonts w:ascii="Calibri" w:eastAsia="MS Mincho" w:hAnsi="Calibri" w:cs="Times New Roman"/>
          <w:sz w:val="20"/>
          <w:szCs w:val="20"/>
        </w:rPr>
        <w:t xml:space="preserve"> Part year figure from April 2017 when cobimetinib was first listed.</w:t>
      </w:r>
    </w:p>
    <w:p w:rsidR="00DE498A" w:rsidRDefault="00DE498A" w:rsidP="00FB4EC5">
      <w:pPr>
        <w:spacing w:after="0"/>
        <w:rPr>
          <w:rFonts w:ascii="Calibri" w:eastAsia="MS Mincho" w:hAnsi="Calibri" w:cs="Times New Roman"/>
          <w:sz w:val="20"/>
          <w:szCs w:val="20"/>
        </w:rPr>
      </w:pPr>
      <w:r>
        <w:rPr>
          <w:rFonts w:ascii="Calibri" w:eastAsia="MS Mincho" w:hAnsi="Calibri" w:cs="Times New Roman"/>
          <w:sz w:val="20"/>
          <w:szCs w:val="20"/>
          <w:vertAlign w:val="superscript"/>
        </w:rPr>
        <w:t>g</w:t>
      </w:r>
      <w:r>
        <w:rPr>
          <w:rFonts w:ascii="Calibri" w:eastAsia="MS Mincho" w:hAnsi="Calibri" w:cs="Times New Roman"/>
          <w:sz w:val="20"/>
          <w:szCs w:val="20"/>
        </w:rPr>
        <w:t xml:space="preserve"> Part year figure from April 2017 when vemurafenib was first listed.</w:t>
      </w:r>
    </w:p>
    <w:p w:rsidR="005E722C" w:rsidRPr="00C54737" w:rsidRDefault="005E722C" w:rsidP="00FB4EC5">
      <w:pPr>
        <w:spacing w:after="0"/>
        <w:rPr>
          <w:rFonts w:ascii="Calibri" w:eastAsia="MS Mincho" w:hAnsi="Calibri" w:cs="Times New Roman"/>
          <w:sz w:val="20"/>
          <w:szCs w:val="20"/>
        </w:rPr>
      </w:pPr>
      <w:r>
        <w:rPr>
          <w:rFonts w:ascii="Calibri" w:eastAsia="MS Mincho" w:hAnsi="Calibri" w:cs="Times New Roman"/>
          <w:sz w:val="20"/>
          <w:szCs w:val="20"/>
          <w:vertAlign w:val="superscript"/>
        </w:rPr>
        <w:t>h</w:t>
      </w:r>
      <w:r>
        <w:rPr>
          <w:rFonts w:ascii="Calibri" w:eastAsia="MS Mincho" w:hAnsi="Calibri" w:cs="Times New Roman"/>
          <w:sz w:val="20"/>
          <w:szCs w:val="20"/>
        </w:rPr>
        <w:t xml:space="preserve"> </w:t>
      </w:r>
      <w:r w:rsidRPr="005E722C">
        <w:rPr>
          <w:rFonts w:ascii="Calibri" w:eastAsia="MS Mincho" w:hAnsi="Calibri" w:cs="Times New Roman"/>
          <w:sz w:val="20"/>
          <w:szCs w:val="20"/>
        </w:rPr>
        <w:t>In 2016, there were 5 patients with a sup</w:t>
      </w:r>
      <w:r w:rsidR="00EB297C">
        <w:rPr>
          <w:rFonts w:ascii="Calibri" w:eastAsia="MS Mincho" w:hAnsi="Calibri" w:cs="Times New Roman"/>
          <w:sz w:val="20"/>
          <w:szCs w:val="20"/>
        </w:rPr>
        <w:t xml:space="preserve">ply record for trametinib which were not identified as being </w:t>
      </w:r>
      <w:r w:rsidRPr="00361B85">
        <w:rPr>
          <w:rFonts w:ascii="Calibri" w:eastAsia="MS Mincho" w:hAnsi="Calibri" w:cs="Times New Roman"/>
          <w:sz w:val="20"/>
          <w:szCs w:val="20"/>
        </w:rPr>
        <w:t>coadminister</w:t>
      </w:r>
      <w:r w:rsidR="00EB297C" w:rsidRPr="00C54737">
        <w:rPr>
          <w:rFonts w:ascii="Calibri" w:eastAsia="MS Mincho" w:hAnsi="Calibri" w:cs="Times New Roman"/>
          <w:sz w:val="20"/>
          <w:szCs w:val="20"/>
        </w:rPr>
        <w:t>ed with dabrafenib</w:t>
      </w:r>
      <w:r w:rsidRPr="00C54737">
        <w:rPr>
          <w:rFonts w:ascii="Calibri" w:eastAsia="MS Mincho" w:hAnsi="Calibri" w:cs="Times New Roman"/>
          <w:sz w:val="20"/>
          <w:szCs w:val="20"/>
        </w:rPr>
        <w:t>.</w:t>
      </w:r>
    </w:p>
    <w:p w:rsidR="00EB297C" w:rsidRDefault="00EB297C" w:rsidP="00FB4EC5">
      <w:pPr>
        <w:spacing w:after="0"/>
        <w:rPr>
          <w:rFonts w:ascii="Calibri" w:eastAsia="MS Mincho" w:hAnsi="Calibri" w:cs="Times New Roman"/>
          <w:sz w:val="20"/>
          <w:szCs w:val="20"/>
        </w:rPr>
      </w:pPr>
      <w:r w:rsidRPr="00361B85">
        <w:rPr>
          <w:rFonts w:ascii="Calibri" w:eastAsia="MS Mincho" w:hAnsi="Calibri" w:cs="Times New Roman"/>
          <w:sz w:val="20"/>
          <w:szCs w:val="20"/>
          <w:vertAlign w:val="superscript"/>
        </w:rPr>
        <w:t>i</w:t>
      </w:r>
      <w:r w:rsidRPr="00361B85">
        <w:rPr>
          <w:rFonts w:ascii="Calibri" w:eastAsia="MS Mincho" w:hAnsi="Calibri" w:cs="Times New Roman"/>
          <w:sz w:val="20"/>
          <w:szCs w:val="20"/>
        </w:rPr>
        <w:t xml:space="preserve"> In 2017, there were two patients with a supply record for cobimetinib which were not identified as being coadministered with vemurafenib.</w:t>
      </w:r>
    </w:p>
    <w:p w:rsidR="00FA3929" w:rsidRDefault="00FA3929" w:rsidP="00C7078A">
      <w:pPr>
        <w:spacing w:after="0"/>
        <w:rPr>
          <w:rFonts w:ascii="Calibri" w:eastAsia="MS Mincho" w:hAnsi="Calibri" w:cs="Times New Roman"/>
        </w:rPr>
      </w:pPr>
    </w:p>
    <w:p w:rsidR="00C12379" w:rsidRDefault="00960C94" w:rsidP="00A35800">
      <w:pPr>
        <w:rPr>
          <w:rFonts w:ascii="Calibri" w:eastAsia="MS Mincho" w:hAnsi="Calibri" w:cs="Times New Roman"/>
        </w:rPr>
      </w:pPr>
      <w:r w:rsidRPr="00960C94">
        <w:rPr>
          <w:rFonts w:ascii="Calibri" w:eastAsia="MS Mincho" w:hAnsi="Calibri" w:cs="Times New Roman"/>
        </w:rPr>
        <w:t xml:space="preserve">There </w:t>
      </w:r>
      <w:r>
        <w:rPr>
          <w:rFonts w:ascii="Calibri" w:eastAsia="MS Mincho" w:hAnsi="Calibri" w:cs="Times New Roman"/>
        </w:rPr>
        <w:t xml:space="preserve">was a decline in the number of patients </w:t>
      </w:r>
      <w:r w:rsidR="00B94FF4">
        <w:rPr>
          <w:rFonts w:ascii="Calibri" w:eastAsia="MS Mincho" w:hAnsi="Calibri" w:cs="Times New Roman"/>
        </w:rPr>
        <w:t xml:space="preserve">first </w:t>
      </w:r>
      <w:r>
        <w:rPr>
          <w:rFonts w:ascii="Calibri" w:eastAsia="MS Mincho" w:hAnsi="Calibri" w:cs="Times New Roman"/>
        </w:rPr>
        <w:t>initiating on ipilimumab after pembrolizumab be</w:t>
      </w:r>
      <w:r w:rsidR="00B42345">
        <w:rPr>
          <w:rFonts w:ascii="Calibri" w:eastAsia="MS Mincho" w:hAnsi="Calibri" w:cs="Times New Roman"/>
        </w:rPr>
        <w:t>came available in 2015 (Figure 1</w:t>
      </w:r>
      <w:r>
        <w:rPr>
          <w:rFonts w:ascii="Calibri" w:eastAsia="MS Mincho" w:hAnsi="Calibri" w:cs="Times New Roman"/>
        </w:rPr>
        <w:t xml:space="preserve">). </w:t>
      </w:r>
      <w:r w:rsidR="004339E3">
        <w:rPr>
          <w:rFonts w:ascii="Calibri" w:eastAsia="MS Mincho" w:hAnsi="Calibri" w:cs="Times New Roman"/>
        </w:rPr>
        <w:t xml:space="preserve">The utilisation of ipilimumab remained at low levels until </w:t>
      </w:r>
      <w:r w:rsidR="006A56E9">
        <w:rPr>
          <w:rFonts w:ascii="Calibri" w:eastAsia="MS Mincho" w:hAnsi="Calibri" w:cs="Times New Roman"/>
        </w:rPr>
        <w:t>December 2016. Over 2017, there was an increase in the number of patients initiating on ipilimumab</w:t>
      </w:r>
      <w:r w:rsidR="00161A08">
        <w:rPr>
          <w:rFonts w:ascii="Calibri" w:eastAsia="MS Mincho" w:hAnsi="Calibri" w:cs="Times New Roman"/>
        </w:rPr>
        <w:t xml:space="preserve"> of</w:t>
      </w:r>
      <w:r w:rsidR="006A56E9">
        <w:rPr>
          <w:rFonts w:ascii="Calibri" w:eastAsia="MS Mincho" w:hAnsi="Calibri" w:cs="Times New Roman"/>
        </w:rPr>
        <w:t xml:space="preserve"> around 23 patients per month on average</w:t>
      </w:r>
      <w:r w:rsidR="00B42345">
        <w:rPr>
          <w:rFonts w:ascii="Calibri" w:eastAsia="MS Mincho" w:hAnsi="Calibri" w:cs="Times New Roman"/>
        </w:rPr>
        <w:t xml:space="preserve"> (Figure 1</w:t>
      </w:r>
      <w:r w:rsidR="00161A08">
        <w:rPr>
          <w:rFonts w:ascii="Calibri" w:eastAsia="MS Mincho" w:hAnsi="Calibri" w:cs="Times New Roman"/>
        </w:rPr>
        <w:t>)</w:t>
      </w:r>
      <w:r w:rsidR="006A56E9">
        <w:rPr>
          <w:rFonts w:ascii="Calibri" w:eastAsia="MS Mincho" w:hAnsi="Calibri" w:cs="Times New Roman"/>
        </w:rPr>
        <w:t xml:space="preserve">. </w:t>
      </w:r>
    </w:p>
    <w:p w:rsidR="00270746" w:rsidRDefault="00537CB8" w:rsidP="00A35800">
      <w:pPr>
        <w:rPr>
          <w:rFonts w:ascii="Calibri" w:eastAsia="MS Mincho" w:hAnsi="Calibri" w:cs="Times New Roman"/>
        </w:rPr>
      </w:pPr>
      <w:r>
        <w:rPr>
          <w:rFonts w:ascii="Calibri" w:eastAsia="MS Mincho" w:hAnsi="Calibri" w:cs="Times New Roman"/>
        </w:rPr>
        <w:lastRenderedPageBreak/>
        <w:t>A large numb</w:t>
      </w:r>
      <w:r w:rsidR="00A81EB1">
        <w:rPr>
          <w:rFonts w:ascii="Calibri" w:eastAsia="MS Mincho" w:hAnsi="Calibri" w:cs="Times New Roman"/>
        </w:rPr>
        <w:t>er of grandfathered patients were expected to access</w:t>
      </w:r>
      <w:r>
        <w:rPr>
          <w:rFonts w:ascii="Calibri" w:eastAsia="MS Mincho" w:hAnsi="Calibri" w:cs="Times New Roman"/>
        </w:rPr>
        <w:t xml:space="preserve"> pembrolizumab </w:t>
      </w:r>
      <w:r w:rsidR="00A81EB1">
        <w:rPr>
          <w:rFonts w:ascii="Calibri" w:eastAsia="MS Mincho" w:hAnsi="Calibri" w:cs="Times New Roman"/>
        </w:rPr>
        <w:t>when it was first listed.</w:t>
      </w:r>
      <w:r w:rsidR="0006715F">
        <w:rPr>
          <w:rStyle w:val="FootnoteReference"/>
          <w:rFonts w:ascii="Calibri" w:eastAsia="MS Mincho" w:hAnsi="Calibri" w:cs="Times New Roman"/>
        </w:rPr>
        <w:footnoteReference w:id="6"/>
      </w:r>
      <w:r w:rsidR="00A81EB1">
        <w:rPr>
          <w:rFonts w:ascii="Calibri" w:eastAsia="MS Mincho" w:hAnsi="Calibri" w:cs="Times New Roman"/>
        </w:rPr>
        <w:t xml:space="preserve"> </w:t>
      </w:r>
      <w:r w:rsidR="00B44A58">
        <w:rPr>
          <w:rFonts w:ascii="Calibri" w:eastAsia="MS Mincho" w:hAnsi="Calibri" w:cs="Times New Roman"/>
        </w:rPr>
        <w:t xml:space="preserve">As anticipated, there was a substantial increase in the number of incident </w:t>
      </w:r>
      <w:r w:rsidR="00D7360F">
        <w:rPr>
          <w:rFonts w:ascii="Calibri" w:eastAsia="MS Mincho" w:hAnsi="Calibri" w:cs="Times New Roman"/>
        </w:rPr>
        <w:t xml:space="preserve">PBS </w:t>
      </w:r>
      <w:r w:rsidR="00B44A58">
        <w:rPr>
          <w:rFonts w:ascii="Calibri" w:eastAsia="MS Mincho" w:hAnsi="Calibri" w:cs="Times New Roman"/>
        </w:rPr>
        <w:t>patients after pembrolizumab became avail</w:t>
      </w:r>
      <w:r w:rsidR="00B42345">
        <w:rPr>
          <w:rFonts w:ascii="Calibri" w:eastAsia="MS Mincho" w:hAnsi="Calibri" w:cs="Times New Roman"/>
        </w:rPr>
        <w:t>able in September 2015 (Figure 1</w:t>
      </w:r>
      <w:r w:rsidR="00B44A58">
        <w:rPr>
          <w:rFonts w:ascii="Calibri" w:eastAsia="MS Mincho" w:hAnsi="Calibri" w:cs="Times New Roman"/>
        </w:rPr>
        <w:t xml:space="preserve">). </w:t>
      </w:r>
      <w:r w:rsidR="00F23B7E">
        <w:rPr>
          <w:rFonts w:ascii="Calibri" w:eastAsia="MS Mincho" w:hAnsi="Calibri" w:cs="Times New Roman"/>
        </w:rPr>
        <w:t xml:space="preserve">The listing of the alternative PD-1 inhibitor, nivolumab, in May 2016 had a relatively small impact on the overall number of </w:t>
      </w:r>
      <w:r w:rsidR="00B94FF4">
        <w:rPr>
          <w:rFonts w:ascii="Calibri" w:eastAsia="MS Mincho" w:hAnsi="Calibri" w:cs="Times New Roman"/>
        </w:rPr>
        <w:t>incident patients</w:t>
      </w:r>
      <w:r w:rsidR="00B42345">
        <w:rPr>
          <w:rFonts w:ascii="Calibri" w:eastAsia="MS Mincho" w:hAnsi="Calibri" w:cs="Times New Roman"/>
        </w:rPr>
        <w:t xml:space="preserve"> (Figure 1</w:t>
      </w:r>
      <w:r w:rsidR="00F23B7E">
        <w:rPr>
          <w:rFonts w:ascii="Calibri" w:eastAsia="MS Mincho" w:hAnsi="Calibri" w:cs="Times New Roman"/>
        </w:rPr>
        <w:t xml:space="preserve">). </w:t>
      </w:r>
      <w:r w:rsidR="004F0DE9">
        <w:rPr>
          <w:rFonts w:ascii="Calibri" w:eastAsia="MS Mincho" w:hAnsi="Calibri" w:cs="Times New Roman"/>
        </w:rPr>
        <w:t>First initiation to BRAF targeted therapy had remained stable since April 2014 at around 50 patients per month.</w:t>
      </w:r>
      <w:r w:rsidR="00D305FE">
        <w:rPr>
          <w:rFonts w:ascii="Calibri" w:eastAsia="MS Mincho" w:hAnsi="Calibri" w:cs="Times New Roman"/>
        </w:rPr>
        <w:t xml:space="preserve"> </w:t>
      </w:r>
      <w:r w:rsidR="00362C54">
        <w:rPr>
          <w:rFonts w:ascii="Calibri" w:eastAsia="MS Mincho" w:hAnsi="Calibri" w:cs="Times New Roman"/>
        </w:rPr>
        <w:t>The listing of the MEK inhibitors in August 2015 (trametinib) and April 2017 (cobimetinib) had minor overall impacts on the number of patients initiating on</w:t>
      </w:r>
      <w:r w:rsidR="00B42345">
        <w:rPr>
          <w:rFonts w:ascii="Calibri" w:eastAsia="MS Mincho" w:hAnsi="Calibri" w:cs="Times New Roman"/>
        </w:rPr>
        <w:t xml:space="preserve"> BRAF targeted therapy (Figure 1</w:t>
      </w:r>
      <w:r w:rsidR="00362C54">
        <w:rPr>
          <w:rFonts w:ascii="Calibri" w:eastAsia="MS Mincho" w:hAnsi="Calibri" w:cs="Times New Roman"/>
        </w:rPr>
        <w:t>).</w:t>
      </w:r>
    </w:p>
    <w:p w:rsidR="000946D0" w:rsidRPr="00D305FE" w:rsidRDefault="000946D0" w:rsidP="00A35800">
      <w:pPr>
        <w:rPr>
          <w:rFonts w:ascii="Calibri" w:eastAsia="MS Mincho" w:hAnsi="Calibri" w:cs="Times New Roman"/>
        </w:rPr>
      </w:pPr>
    </w:p>
    <w:p w:rsidR="00270746" w:rsidRDefault="006758BB" w:rsidP="00A35800">
      <w:pPr>
        <w:rPr>
          <w:highlight w:val="yellow"/>
        </w:rPr>
      </w:pPr>
      <w:r>
        <w:rPr>
          <w:noProof/>
        </w:rPr>
        <w:drawing>
          <wp:inline distT="0" distB="0" distL="0" distR="0" wp14:anchorId="2C7BC90E" wp14:editId="23DCDB9B">
            <wp:extent cx="5724525" cy="3622135"/>
            <wp:effectExtent l="0" t="0" r="0" b="0"/>
            <wp:docPr id="1" name="Picture 1" descr="Incident patients by drug mode of action by month"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33145" cy="3627589"/>
                    </a:xfrm>
                    <a:prstGeom prst="rect">
                      <a:avLst/>
                    </a:prstGeom>
                    <a:noFill/>
                  </pic:spPr>
                </pic:pic>
              </a:graphicData>
            </a:graphic>
          </wp:inline>
        </w:drawing>
      </w:r>
    </w:p>
    <w:p w:rsidR="00B71258" w:rsidRPr="00FF78B9" w:rsidRDefault="00B42345" w:rsidP="00FF78B9">
      <w:pPr>
        <w:rPr>
          <w:b/>
        </w:rPr>
      </w:pPr>
      <w:r w:rsidRPr="00FF78B9">
        <w:rPr>
          <w:b/>
        </w:rPr>
        <w:t>Figure 1</w:t>
      </w:r>
      <w:r w:rsidR="00396FF8" w:rsidRPr="00FF78B9">
        <w:rPr>
          <w:b/>
        </w:rPr>
        <w:t xml:space="preserve">. Overall number of incident patients by month and </w:t>
      </w:r>
      <w:r w:rsidR="002239DE" w:rsidRPr="00FF78B9">
        <w:rPr>
          <w:b/>
        </w:rPr>
        <w:t xml:space="preserve">the </w:t>
      </w:r>
      <w:r w:rsidR="00396FF8" w:rsidRPr="00FF78B9">
        <w:rPr>
          <w:b/>
        </w:rPr>
        <w:t>number of patients by drug mode of action</w:t>
      </w:r>
    </w:p>
    <w:p w:rsidR="00396FF8" w:rsidRDefault="00396FF8" w:rsidP="006A2A44">
      <w:pPr>
        <w:pStyle w:val="Figurecaption"/>
      </w:pPr>
      <w:r w:rsidRPr="0012165B">
        <w:t xml:space="preserve">Source: </w:t>
      </w:r>
      <w:r w:rsidR="00070F7F">
        <w:t>DHS prescription claims</w:t>
      </w:r>
      <w:r>
        <w:t xml:space="preserve"> database, based on the date of supply. Data extracted on 9 March 2018.</w:t>
      </w:r>
    </w:p>
    <w:p w:rsidR="0004496F" w:rsidRDefault="0004496F" w:rsidP="006A2A44">
      <w:pPr>
        <w:pStyle w:val="Figurecaption"/>
      </w:pPr>
      <w:r>
        <w:t xml:space="preserve">Note: BRAF targeted therapy – dabrafenib, dabrafenib+trametinib, </w:t>
      </w:r>
      <w:r w:rsidR="002A4C8C">
        <w:t>vemurafenib, vemurafenib+cobimetinib; CLTA-4 inhibitor – iplilimumab; PD-1 inhibitor – pembrolizumab, nivolumab.</w:t>
      </w:r>
    </w:p>
    <w:p w:rsidR="00396FF8" w:rsidRDefault="00396FF8" w:rsidP="00A35800">
      <w:pPr>
        <w:rPr>
          <w:b/>
        </w:rPr>
      </w:pPr>
    </w:p>
    <w:p w:rsidR="00F86F93" w:rsidRPr="00282F79" w:rsidRDefault="00F148B7" w:rsidP="00A35800">
      <w:r>
        <w:t xml:space="preserve">The overall number of prevalent (treated) patients has increased substantially since the listing of PD-1 inhibitors from 2015 </w:t>
      </w:r>
      <w:r w:rsidR="00B42345">
        <w:t>(Figure 2</w:t>
      </w:r>
      <w:r w:rsidR="00282F79">
        <w:t xml:space="preserve">). </w:t>
      </w:r>
      <w:r w:rsidR="00D371F2">
        <w:t>This was mainly from a high number of incident patients initiating on pembrolizuma</w:t>
      </w:r>
      <w:r w:rsidR="00B42345">
        <w:t>b when it first listed (Figure 1</w:t>
      </w:r>
      <w:r w:rsidR="00D371F2">
        <w:t xml:space="preserve">). </w:t>
      </w:r>
      <w:r w:rsidR="003D27F6">
        <w:t>There was a small net growth in the number of patients treated with a BRAF inhibitor o</w:t>
      </w:r>
      <w:r w:rsidR="00B42345">
        <w:t>r ipilimumab over 2017 (Figure 2</w:t>
      </w:r>
      <w:r w:rsidR="003D27F6">
        <w:t xml:space="preserve">). </w:t>
      </w:r>
    </w:p>
    <w:p w:rsidR="00396FF8" w:rsidRDefault="00D36AED" w:rsidP="00A35800">
      <w:pPr>
        <w:rPr>
          <w:highlight w:val="yellow"/>
        </w:rPr>
      </w:pPr>
      <w:r>
        <w:rPr>
          <w:noProof/>
        </w:rPr>
        <w:lastRenderedPageBreak/>
        <w:drawing>
          <wp:inline distT="0" distB="0" distL="0" distR="0" wp14:anchorId="6AE181A7" wp14:editId="6837D448">
            <wp:extent cx="5533467" cy="3844579"/>
            <wp:effectExtent l="0" t="0" r="0" b="3810"/>
            <wp:docPr id="2" name="Picture 2" descr="P"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535219" cy="3845797"/>
                    </a:xfrm>
                    <a:prstGeom prst="rect">
                      <a:avLst/>
                    </a:prstGeom>
                    <a:noFill/>
                  </pic:spPr>
                </pic:pic>
              </a:graphicData>
            </a:graphic>
          </wp:inline>
        </w:drawing>
      </w:r>
    </w:p>
    <w:p w:rsidR="002239DE" w:rsidRPr="00FF78B9" w:rsidRDefault="00990C02" w:rsidP="00FF78B9">
      <w:pPr>
        <w:rPr>
          <w:b/>
        </w:rPr>
      </w:pPr>
      <w:r w:rsidRPr="00FF78B9">
        <w:rPr>
          <w:b/>
        </w:rPr>
        <w:t>Figure 2</w:t>
      </w:r>
      <w:r w:rsidR="002239DE" w:rsidRPr="00FF78B9">
        <w:rPr>
          <w:b/>
        </w:rPr>
        <w:t>. Overall number of prevalent patients by quarter and the number of patients by drug mode of action</w:t>
      </w:r>
    </w:p>
    <w:p w:rsidR="002239DE" w:rsidRDefault="002239DE" w:rsidP="006A2A44">
      <w:pPr>
        <w:pStyle w:val="Figurecaption"/>
      </w:pPr>
      <w:r w:rsidRPr="0012165B">
        <w:t xml:space="preserve">Source: </w:t>
      </w:r>
      <w:r w:rsidR="00070F7F">
        <w:t>DHS prescription claims</w:t>
      </w:r>
      <w:r>
        <w:t xml:space="preserve"> database, based on the date of supply. Data extracted on 9 March 2018.</w:t>
      </w:r>
    </w:p>
    <w:p w:rsidR="00D768CF" w:rsidRDefault="00D768CF" w:rsidP="006A2A44">
      <w:pPr>
        <w:pStyle w:val="Figurecaption"/>
      </w:pPr>
      <w:r>
        <w:t>Note: BRAF targeted therapy – dabrafenib, dabrafenib+trametinib, vemurafenib, vemurafenib+cobimetinib; CLTA-4 inhibitor – iplilimumab; PD-1 inhibitor – pembrolizumab, nivolumab.</w:t>
      </w:r>
    </w:p>
    <w:p w:rsidR="007408BB" w:rsidRDefault="007408BB" w:rsidP="00A35800">
      <w:pPr>
        <w:rPr>
          <w:highlight w:val="yellow"/>
        </w:rPr>
      </w:pPr>
    </w:p>
    <w:p w:rsidR="00BA476B" w:rsidRDefault="004F3D7C" w:rsidP="00BA476B">
      <w:pPr>
        <w:pStyle w:val="Heading3"/>
      </w:pPr>
      <w:r>
        <w:t>Patient d</w:t>
      </w:r>
      <w:r w:rsidR="00BA476B">
        <w:t>emographics</w:t>
      </w:r>
    </w:p>
    <w:p w:rsidR="00BA476B" w:rsidRDefault="00C33A4D" w:rsidP="00BA476B">
      <w:r>
        <w:t>In 2017,</w:t>
      </w:r>
      <w:r w:rsidR="00BA476B">
        <w:t xml:space="preserve"> the PBS population mainly consisted of person</w:t>
      </w:r>
      <w:r w:rsidR="00F366FA">
        <w:t>s aged 60 years or more (mean 68</w:t>
      </w:r>
      <w:r w:rsidR="006020FB">
        <w:t> </w:t>
      </w:r>
      <w:r w:rsidR="00BA476B">
        <w:t>years</w:t>
      </w:r>
      <w:r w:rsidR="004954BE">
        <w:t xml:space="preserve"> and median 69 years</w:t>
      </w:r>
      <w:r w:rsidR="00F366FA">
        <w:t xml:space="preserve"> for incident patients</w:t>
      </w:r>
      <w:r w:rsidR="00BA476B">
        <w:t>)</w:t>
      </w:r>
      <w:r w:rsidR="00C9543E">
        <w:t>, (Figure 3</w:t>
      </w:r>
      <w:r>
        <w:t>b)</w:t>
      </w:r>
      <w:r w:rsidR="00BA476B">
        <w:t>.</w:t>
      </w:r>
      <w:r w:rsidR="00C9543E">
        <w:t xml:space="preserve"> </w:t>
      </w:r>
      <w:r w:rsidR="003023F4">
        <w:t xml:space="preserve">In 2014, the mean </w:t>
      </w:r>
      <w:r w:rsidR="00F366FA">
        <w:t>age of the PBS incident population was 63</w:t>
      </w:r>
      <w:r w:rsidR="003023F4">
        <w:t xml:space="preserve"> years</w:t>
      </w:r>
      <w:r w:rsidR="004954BE">
        <w:t xml:space="preserve"> (median 64 years)</w:t>
      </w:r>
      <w:r w:rsidR="003023F4">
        <w:t xml:space="preserve">. </w:t>
      </w:r>
      <w:r w:rsidR="00C9543E">
        <w:t>When compared to 2014 (Figure</w:t>
      </w:r>
      <w:r w:rsidR="006020FB">
        <w:t> </w:t>
      </w:r>
      <w:r w:rsidR="00C9543E">
        <w:t>3</w:t>
      </w:r>
      <w:r>
        <w:t xml:space="preserve">a), the growth in utilisation occurred </w:t>
      </w:r>
      <w:r w:rsidR="009835C9">
        <w:t xml:space="preserve">mostly </w:t>
      </w:r>
      <w:r>
        <w:t xml:space="preserve">in older persons. </w:t>
      </w:r>
    </w:p>
    <w:p w:rsidR="00BA476B" w:rsidRDefault="00BA476B" w:rsidP="00A35800">
      <w:pPr>
        <w:rPr>
          <w:highlight w:val="yellow"/>
        </w:rPr>
      </w:pPr>
    </w:p>
    <w:p w:rsidR="00D54389" w:rsidRDefault="00D54389" w:rsidP="00A35800">
      <w:pPr>
        <w:rPr>
          <w:highlight w:val="yellow"/>
        </w:rPr>
        <w:sectPr w:rsidR="00D54389" w:rsidSect="00DD188C">
          <w:pgSz w:w="11906" w:h="16838"/>
          <w:pgMar w:top="1644" w:right="1361" w:bottom="1644" w:left="1588" w:header="709" w:footer="709" w:gutter="0"/>
          <w:cols w:space="708"/>
          <w:docGrid w:linePitch="360"/>
        </w:sectPr>
      </w:pPr>
    </w:p>
    <w:p w:rsidR="007A1137" w:rsidRDefault="007A1137" w:rsidP="007A1137">
      <w:pPr>
        <w:pStyle w:val="ListParagraph"/>
        <w:numPr>
          <w:ilvl w:val="0"/>
          <w:numId w:val="14"/>
        </w:numPr>
        <w:spacing w:after="0"/>
        <w:ind w:left="714" w:hanging="357"/>
        <w:rPr>
          <w:b/>
        </w:rPr>
      </w:pPr>
      <w:r w:rsidRPr="00B9574B">
        <w:rPr>
          <w:b/>
        </w:rPr>
        <w:lastRenderedPageBreak/>
        <w:t>2014</w:t>
      </w:r>
    </w:p>
    <w:p w:rsidR="0027600E" w:rsidRDefault="0027600E" w:rsidP="0027600E">
      <w:pPr>
        <w:spacing w:after="0"/>
        <w:rPr>
          <w:b/>
        </w:rPr>
      </w:pPr>
      <w:r>
        <w:rPr>
          <w:b/>
          <w:noProof/>
        </w:rPr>
        <w:drawing>
          <wp:inline distT="0" distB="0" distL="0" distR="0" wp14:anchorId="0E5DE54C" wp14:editId="433250A1">
            <wp:extent cx="4076700" cy="2979979"/>
            <wp:effectExtent l="0" t="0" r="0" b="0"/>
            <wp:docPr id="4" name="Picture 4" descr="Age and gender distribution of melanoma treated patients in 2014" title="Figure 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076700" cy="2979979"/>
                    </a:xfrm>
                    <a:prstGeom prst="rect">
                      <a:avLst/>
                    </a:prstGeom>
                    <a:noFill/>
                    <a:ln>
                      <a:noFill/>
                    </a:ln>
                  </pic:spPr>
                </pic:pic>
              </a:graphicData>
            </a:graphic>
          </wp:inline>
        </w:drawing>
      </w:r>
    </w:p>
    <w:p w:rsidR="007A1137" w:rsidRPr="0027600E" w:rsidRDefault="007A1137" w:rsidP="0027600E">
      <w:pPr>
        <w:pStyle w:val="ListParagraph"/>
        <w:numPr>
          <w:ilvl w:val="0"/>
          <w:numId w:val="14"/>
        </w:numPr>
        <w:spacing w:after="0"/>
        <w:rPr>
          <w:b/>
        </w:rPr>
      </w:pPr>
      <w:r w:rsidRPr="0027600E">
        <w:rPr>
          <w:b/>
        </w:rPr>
        <w:t>2017</w:t>
      </w:r>
    </w:p>
    <w:p w:rsidR="007A1137" w:rsidRDefault="007A1137" w:rsidP="007A1137">
      <w:pPr>
        <w:pStyle w:val="ListParagraph"/>
        <w:rPr>
          <w:b/>
        </w:rPr>
      </w:pPr>
    </w:p>
    <w:p w:rsidR="007A1137" w:rsidRDefault="0027600E" w:rsidP="007A1137">
      <w:r>
        <w:rPr>
          <w:noProof/>
        </w:rPr>
        <w:drawing>
          <wp:inline distT="0" distB="0" distL="0" distR="0" wp14:anchorId="7C4BF6EB" wp14:editId="094C8BB0">
            <wp:extent cx="4034610" cy="2752725"/>
            <wp:effectExtent l="0" t="0" r="4445" b="0"/>
            <wp:docPr id="5" name="Picture 5" descr="Age and gender distribution of melanoma treated patients in 2017" title="Figure 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040914" cy="2757026"/>
                    </a:xfrm>
                    <a:prstGeom prst="rect">
                      <a:avLst/>
                    </a:prstGeom>
                    <a:noFill/>
                    <a:ln>
                      <a:noFill/>
                    </a:ln>
                  </pic:spPr>
                </pic:pic>
              </a:graphicData>
            </a:graphic>
          </wp:inline>
        </w:drawing>
      </w:r>
    </w:p>
    <w:p w:rsidR="007A1137" w:rsidRPr="00FF78B9" w:rsidRDefault="007A1137" w:rsidP="00FF78B9">
      <w:pPr>
        <w:rPr>
          <w:b/>
        </w:rPr>
      </w:pPr>
      <w:r w:rsidRPr="00FF78B9">
        <w:rPr>
          <w:b/>
        </w:rPr>
        <w:t>Figure 3. Pyramid chart for patients first initiating to PBS therapy for melanoma by age and gender in 2014 vs. 2017</w:t>
      </w:r>
    </w:p>
    <w:p w:rsidR="007A1137" w:rsidRPr="005821DB" w:rsidRDefault="007A1137" w:rsidP="007A1137">
      <w:pPr>
        <w:pStyle w:val="Figurecaption"/>
      </w:pPr>
      <w:r w:rsidRPr="0012165B">
        <w:t xml:space="preserve">Source: </w:t>
      </w:r>
      <w:r>
        <w:t>DHS prescription claims database, based on the date of supply. Data extracted on 23 May 2018.</w:t>
      </w:r>
    </w:p>
    <w:p w:rsidR="00AE75BA" w:rsidRPr="006A2A44" w:rsidRDefault="00AE75BA" w:rsidP="006A2A44">
      <w:pPr>
        <w:pStyle w:val="Heading3"/>
      </w:pPr>
      <w:r w:rsidRPr="006A2A44">
        <w:t>Overall utilisation</w:t>
      </w:r>
    </w:p>
    <w:p w:rsidR="000D4173" w:rsidRDefault="00284EAD" w:rsidP="00A35800">
      <w:r>
        <w:t>In 2017, t</w:t>
      </w:r>
      <w:r w:rsidR="00057739">
        <w:t xml:space="preserve">he majority of patients </w:t>
      </w:r>
      <w:r>
        <w:t xml:space="preserve">(62 percent) </w:t>
      </w:r>
      <w:r w:rsidR="00057739">
        <w:t>were treated with PD</w:t>
      </w:r>
      <w:r w:rsidR="00935A59">
        <w:t>-</w:t>
      </w:r>
      <w:r w:rsidR="00057739">
        <w:t>1 inhibitors</w:t>
      </w:r>
      <w:r w:rsidR="00662FF8">
        <w:t xml:space="preserve"> (Table 6, Figure </w:t>
      </w:r>
      <w:r w:rsidR="00157878">
        <w:t>4</w:t>
      </w:r>
      <w:r w:rsidR="00662FF8">
        <w:t xml:space="preserve">, Figure </w:t>
      </w:r>
      <w:r w:rsidR="00157878">
        <w:t>5</w:t>
      </w:r>
      <w:r w:rsidR="00057739">
        <w:t xml:space="preserve">). </w:t>
      </w:r>
      <w:r w:rsidR="00796CDD">
        <w:t>For these patients</w:t>
      </w:r>
      <w:r w:rsidR="00A55CF4">
        <w:t>, 86 percent were supplied pembrolizumab with a relatively small proportion (14 percent) of patients supplied wi</w:t>
      </w:r>
      <w:r w:rsidR="000912CC">
        <w:t xml:space="preserve">th </w:t>
      </w:r>
      <w:r w:rsidR="006314AE">
        <w:t>nivolumab</w:t>
      </w:r>
      <w:r w:rsidR="000912CC">
        <w:t xml:space="preserve"> (Table 6,</w:t>
      </w:r>
      <w:r w:rsidR="00157878">
        <w:t xml:space="preserve"> Figure 4</w:t>
      </w:r>
      <w:r w:rsidR="00A55CF4">
        <w:t xml:space="preserve">). </w:t>
      </w:r>
    </w:p>
    <w:p w:rsidR="00E665BA" w:rsidRDefault="00E665BA" w:rsidP="00A35800">
      <w:r>
        <w:lastRenderedPageBreak/>
        <w:t xml:space="preserve">Around one-fifth (19 percent) of patients were supplied ipilimumab in 2017. </w:t>
      </w:r>
      <w:r w:rsidR="00267AD6">
        <w:t>Since the availability of PD-1 inhibitors, there was a slight decline in the overall proportion of patients supplied BRAF targeted drugs from 76 percent in 2015 to 67 percent in 2017 (Table 6)</w:t>
      </w:r>
      <w:r w:rsidR="00500C53">
        <w:t xml:space="preserve">. </w:t>
      </w:r>
      <w:r w:rsidR="005928C7">
        <w:t>The uptake of vemurafenib and cobimetinib was low as these drugs were recent listings (April 2017) at the time of the analysis.</w:t>
      </w:r>
    </w:p>
    <w:p w:rsidR="005360C9" w:rsidRDefault="005360C9" w:rsidP="00245543">
      <w:pPr>
        <w:spacing w:after="0"/>
        <w:rPr>
          <w:b/>
        </w:rPr>
      </w:pPr>
      <w:r>
        <w:rPr>
          <w:b/>
          <w:noProof/>
        </w:rPr>
        <w:drawing>
          <wp:inline distT="0" distB="0" distL="0" distR="0" wp14:anchorId="58978B38" wp14:editId="48C4CA98">
            <wp:extent cx="5760738" cy="3342290"/>
            <wp:effectExtent l="0" t="0" r="0" b="0"/>
            <wp:docPr id="18" name="Picture 18" descr="Number of prevalent patients by quarter by drug"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66696" cy="3345747"/>
                    </a:xfrm>
                    <a:prstGeom prst="rect">
                      <a:avLst/>
                    </a:prstGeom>
                    <a:noFill/>
                  </pic:spPr>
                </pic:pic>
              </a:graphicData>
            </a:graphic>
          </wp:inline>
        </w:drawing>
      </w:r>
    </w:p>
    <w:p w:rsidR="005360C9" w:rsidRDefault="005360C9" w:rsidP="00245543">
      <w:pPr>
        <w:spacing w:after="0"/>
        <w:rPr>
          <w:b/>
        </w:rPr>
      </w:pPr>
    </w:p>
    <w:p w:rsidR="00245543" w:rsidRDefault="00662FF8" w:rsidP="006A2A44">
      <w:pPr>
        <w:pStyle w:val="Figuretitle"/>
      </w:pPr>
      <w:r>
        <w:t xml:space="preserve">Figure </w:t>
      </w:r>
      <w:r w:rsidR="00157878">
        <w:t>4</w:t>
      </w:r>
      <w:r w:rsidR="00245543">
        <w:t xml:space="preserve">. Number of prevalent patients by quarter </w:t>
      </w:r>
      <w:r w:rsidR="00FB317B">
        <w:t xml:space="preserve">and </w:t>
      </w:r>
      <w:r w:rsidR="00245543">
        <w:t>by drug</w:t>
      </w:r>
    </w:p>
    <w:p w:rsidR="00245543" w:rsidRDefault="00245543" w:rsidP="006A2A44">
      <w:pPr>
        <w:pStyle w:val="Figurecaption"/>
      </w:pPr>
      <w:r w:rsidRPr="0012165B">
        <w:t xml:space="preserve">Source: </w:t>
      </w:r>
      <w:r>
        <w:t>DHS pre</w:t>
      </w:r>
      <w:r w:rsidR="00070F7F">
        <w:t>scription claims</w:t>
      </w:r>
      <w:r>
        <w:t xml:space="preserve"> database, based on the dat</w:t>
      </w:r>
      <w:r w:rsidR="001903FE">
        <w:t>e of supply. Data extracted on 20</w:t>
      </w:r>
      <w:r>
        <w:t xml:space="preserve"> March 2018.</w:t>
      </w:r>
    </w:p>
    <w:p w:rsidR="00787CA5" w:rsidRDefault="00F755E8" w:rsidP="009B244D">
      <w:pPr>
        <w:pStyle w:val="Figurecaption"/>
      </w:pPr>
      <w:r w:rsidRPr="00F755E8">
        <w:t>Note: DAB+TRAM, dabrafenib+trametinib; VEM+COBI, vemurafenib+cobimetinib.</w:t>
      </w:r>
    </w:p>
    <w:p w:rsidR="009B244D" w:rsidRDefault="009B244D">
      <w:pPr>
        <w:spacing w:line="276" w:lineRule="auto"/>
        <w:rPr>
          <w:sz w:val="20"/>
          <w:szCs w:val="20"/>
          <w:lang w:eastAsia="en-US"/>
        </w:rPr>
      </w:pPr>
      <w:r>
        <w:br w:type="page"/>
      </w:r>
    </w:p>
    <w:p w:rsidR="00787CA5" w:rsidRDefault="00787CA5" w:rsidP="00FB317B">
      <w:pPr>
        <w:spacing w:after="0"/>
        <w:rPr>
          <w:b/>
        </w:rPr>
      </w:pPr>
      <w:r>
        <w:rPr>
          <w:b/>
          <w:noProof/>
        </w:rPr>
        <w:lastRenderedPageBreak/>
        <w:drawing>
          <wp:inline distT="0" distB="0" distL="0" distR="0" wp14:anchorId="409D0E99" wp14:editId="6445D434">
            <wp:extent cx="5431148" cy="2890028"/>
            <wp:effectExtent l="0" t="0" r="0" b="5715"/>
            <wp:docPr id="19" name="Picture 19" descr="Number of prescriptions by quarter by drug" title="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435890" cy="2892551"/>
                    </a:xfrm>
                    <a:prstGeom prst="rect">
                      <a:avLst/>
                    </a:prstGeom>
                    <a:noFill/>
                  </pic:spPr>
                </pic:pic>
              </a:graphicData>
            </a:graphic>
          </wp:inline>
        </w:drawing>
      </w:r>
    </w:p>
    <w:p w:rsidR="00787CA5" w:rsidRDefault="00787CA5" w:rsidP="00FB317B">
      <w:pPr>
        <w:spacing w:after="0"/>
        <w:rPr>
          <w:b/>
        </w:rPr>
      </w:pPr>
    </w:p>
    <w:p w:rsidR="00FB317B" w:rsidRDefault="00662FF8" w:rsidP="006A2A44">
      <w:pPr>
        <w:pStyle w:val="Figuretitle"/>
      </w:pPr>
      <w:r>
        <w:t xml:space="preserve">Figure </w:t>
      </w:r>
      <w:r w:rsidR="00157878">
        <w:t>5</w:t>
      </w:r>
      <w:r w:rsidR="00FB317B">
        <w:t>. Number of prescriptions by quarter and by drug</w:t>
      </w:r>
    </w:p>
    <w:p w:rsidR="00FB317B" w:rsidRDefault="00FB317B" w:rsidP="006A2A44">
      <w:pPr>
        <w:pStyle w:val="Figurecaption"/>
      </w:pPr>
      <w:r w:rsidRPr="0012165B">
        <w:t xml:space="preserve">Source: </w:t>
      </w:r>
      <w:r w:rsidR="00FA06E3">
        <w:t>DHS prescription claims</w:t>
      </w:r>
      <w:r>
        <w:t xml:space="preserve"> database, based on the date of supply. Data extracted on 9 March 2018.</w:t>
      </w:r>
    </w:p>
    <w:p w:rsidR="00F9220E" w:rsidRPr="00F53F53" w:rsidRDefault="00D72BFE" w:rsidP="006A2A44">
      <w:pPr>
        <w:pStyle w:val="Figurecaption"/>
      </w:pPr>
      <w:r w:rsidRPr="00F755E8">
        <w:t>Note: DAB+TRAM, dabrafenib+trametinib; VEM</w:t>
      </w:r>
      <w:r w:rsidR="00F53F53">
        <w:t>+COBI, vemurafenib+cobimetinib.</w:t>
      </w:r>
    </w:p>
    <w:p w:rsidR="005D50C6" w:rsidRDefault="005D50C6" w:rsidP="005D50C6">
      <w:pPr>
        <w:pStyle w:val="Heading3"/>
      </w:pPr>
      <w:r>
        <w:t>Time on therapy</w:t>
      </w:r>
    </w:p>
    <w:p w:rsidR="0042645D" w:rsidRDefault="00691C31" w:rsidP="00D21CB1">
      <w:r>
        <w:t xml:space="preserve">Time on </w:t>
      </w:r>
      <w:r w:rsidR="00310A2D">
        <w:t xml:space="preserve">the </w:t>
      </w:r>
      <w:r>
        <w:t xml:space="preserve">melanoma medicines was examined in a </w:t>
      </w:r>
      <w:r w:rsidR="006E1580">
        <w:t xml:space="preserve">six month </w:t>
      </w:r>
      <w:r>
        <w:t xml:space="preserve">cohort of patients who first initiated </w:t>
      </w:r>
      <w:r w:rsidR="00BC0CC4">
        <w:t xml:space="preserve">on PBS therapy </w:t>
      </w:r>
      <w:r w:rsidR="006E1580">
        <w:t>between January to June 2016 (n=919</w:t>
      </w:r>
      <w:r>
        <w:t xml:space="preserve">). </w:t>
      </w:r>
    </w:p>
    <w:p w:rsidR="00D21CB1" w:rsidRDefault="00BC79CB" w:rsidP="00D21CB1">
      <w:r>
        <w:t xml:space="preserve">For all </w:t>
      </w:r>
      <w:r w:rsidR="007718CA">
        <w:t>drug regimens supplied</w:t>
      </w:r>
      <w:r>
        <w:t>, the median time</w:t>
      </w:r>
      <w:r w:rsidR="007718CA">
        <w:t xml:space="preserve"> on therapy, </w:t>
      </w:r>
      <w:r w:rsidR="000E3B62">
        <w:t>excluding</w:t>
      </w:r>
      <w:r w:rsidR="001F607F">
        <w:t xml:space="preserve"> </w:t>
      </w:r>
      <w:r w:rsidR="00D766B5">
        <w:t>breaks in treatment</w:t>
      </w:r>
      <w:r w:rsidR="00F72C54">
        <w:t>,</w:t>
      </w:r>
      <w:r w:rsidR="001F607F">
        <w:t xml:space="preserve"> was </w:t>
      </w:r>
      <w:r w:rsidR="000E3B62">
        <w:t>249</w:t>
      </w:r>
      <w:r w:rsidR="007718CA">
        <w:t xml:space="preserve"> days (</w:t>
      </w:r>
      <w:r w:rsidR="001F607F">
        <w:t xml:space="preserve">around </w:t>
      </w:r>
      <w:r w:rsidR="000E3B62">
        <w:t>8</w:t>
      </w:r>
      <w:r>
        <w:t xml:space="preserve"> months</w:t>
      </w:r>
      <w:r w:rsidR="007718CA">
        <w:t>),</w:t>
      </w:r>
      <w:r w:rsidR="001E4ECC">
        <w:t xml:space="preserve"> (Table 7, Figure </w:t>
      </w:r>
      <w:r w:rsidR="00157878">
        <w:t>6</w:t>
      </w:r>
      <w:r>
        <w:t xml:space="preserve">). </w:t>
      </w:r>
    </w:p>
    <w:p w:rsidR="0042645D" w:rsidRDefault="00245B43" w:rsidP="00D21CB1">
      <w:r>
        <w:t>As the</w:t>
      </w:r>
      <w:r w:rsidR="001F57E5">
        <w:t xml:space="preserve"> first </w:t>
      </w:r>
      <w:r>
        <w:t>drug regimen supplied to a patient</w:t>
      </w:r>
      <w:r w:rsidR="001F57E5">
        <w:t xml:space="preserve">, </w:t>
      </w:r>
      <w:r w:rsidR="008B6319">
        <w:t xml:space="preserve">the time on treatment with pembrolizumab was similar to </w:t>
      </w:r>
      <w:r w:rsidR="001F57E5">
        <w:t xml:space="preserve">BRAF </w:t>
      </w:r>
      <w:r w:rsidR="008B6319">
        <w:t>targeted therapy</w:t>
      </w:r>
      <w:r w:rsidR="001F57E5">
        <w:t xml:space="preserve"> (Table 7</w:t>
      </w:r>
      <w:r w:rsidR="001E4ECC">
        <w:t xml:space="preserve">, Figure </w:t>
      </w:r>
      <w:r w:rsidR="00157878">
        <w:t>7</w:t>
      </w:r>
      <w:r w:rsidR="001F57E5">
        <w:t xml:space="preserve">). </w:t>
      </w:r>
      <w:r w:rsidR="00122768">
        <w:t>A small number of patients were initiated on ipilimumab and nivolumab and the time on therapy with these agents</w:t>
      </w:r>
      <w:r w:rsidR="00CB688D">
        <w:t xml:space="preserve"> should be viewed with caution </w:t>
      </w:r>
      <w:r w:rsidR="00157878">
        <w:t>(Table 7, Figure 7</w:t>
      </w:r>
      <w:r>
        <w:t xml:space="preserve">). </w:t>
      </w:r>
    </w:p>
    <w:p w:rsidR="008D0772" w:rsidRDefault="00B52289" w:rsidP="00FF78B9">
      <w:r>
        <w:t xml:space="preserve">There were only a small number of patients who received more than two </w:t>
      </w:r>
      <w:r w:rsidR="008B6461">
        <w:t xml:space="preserve">different drug regimens </w:t>
      </w:r>
      <w:r>
        <w:t xml:space="preserve">(Table 7). </w:t>
      </w:r>
      <w:r w:rsidR="00443776">
        <w:t>Very few patients were supplied BRAF medicines as their second drug regimen (Table 7).</w:t>
      </w:r>
    </w:p>
    <w:p w:rsidR="008D0772" w:rsidRDefault="008D0772">
      <w:pPr>
        <w:spacing w:line="276" w:lineRule="auto"/>
      </w:pPr>
      <w:r>
        <w:br w:type="page"/>
      </w:r>
    </w:p>
    <w:p w:rsidR="00BC79CB" w:rsidRPr="008D0772" w:rsidRDefault="00BC79CB" w:rsidP="00FF78B9">
      <w:r w:rsidRPr="00FF78B9">
        <w:rPr>
          <w:b/>
        </w:rPr>
        <w:lastRenderedPageBreak/>
        <w:t>Table 7</w:t>
      </w:r>
      <w:r w:rsidRPr="00FF78B9" w:rsidDel="00EE2BBB">
        <w:rPr>
          <w:b/>
        </w:rPr>
        <w:t xml:space="preserve">: </w:t>
      </w:r>
      <w:r w:rsidRPr="00FF78B9">
        <w:rPr>
          <w:b/>
        </w:rPr>
        <w:t xml:space="preserve"> Duration of treatment </w:t>
      </w:r>
      <w:r w:rsidR="00964451" w:rsidRPr="00FF78B9">
        <w:rPr>
          <w:b/>
        </w:rPr>
        <w:t xml:space="preserve">by </w:t>
      </w:r>
      <w:r w:rsidR="00C97CA8" w:rsidRPr="00FF78B9">
        <w:rPr>
          <w:b/>
        </w:rPr>
        <w:t>the number of drug regimens supplied</w:t>
      </w:r>
      <w:r w:rsidR="00010473" w:rsidRPr="00FF78B9">
        <w:rPr>
          <w:b/>
        </w:rPr>
        <w:t xml:space="preserve"> for initiators between January to June 2016</w:t>
      </w:r>
    </w:p>
    <w:tbl>
      <w:tblPr>
        <w:tblStyle w:val="TableGrid"/>
        <w:tblW w:w="9204" w:type="dxa"/>
        <w:tblLook w:val="04A0" w:firstRow="1" w:lastRow="0" w:firstColumn="1" w:lastColumn="0" w:noHBand="0" w:noVBand="1"/>
        <w:tblCaption w:val="Table 7"/>
        <w:tblDescription w:val="Duration of treatment by drug regimen"/>
      </w:tblPr>
      <w:tblGrid>
        <w:gridCol w:w="2544"/>
        <w:gridCol w:w="977"/>
        <w:gridCol w:w="997"/>
        <w:gridCol w:w="935"/>
        <w:gridCol w:w="964"/>
        <w:gridCol w:w="1338"/>
        <w:gridCol w:w="1449"/>
      </w:tblGrid>
      <w:tr w:rsidR="00C17581" w:rsidTr="00FF78B9">
        <w:trPr>
          <w:tblHeader/>
        </w:trPr>
        <w:tc>
          <w:tcPr>
            <w:tcW w:w="2544" w:type="dxa"/>
            <w:tcBorders>
              <w:top w:val="nil"/>
              <w:left w:val="nil"/>
              <w:bottom w:val="single" w:sz="4" w:space="0" w:color="auto"/>
            </w:tcBorders>
          </w:tcPr>
          <w:p w:rsidR="00C17581" w:rsidRPr="00D739AE" w:rsidRDefault="00C17581" w:rsidP="00D21CB1">
            <w:pPr>
              <w:rPr>
                <w:sz w:val="20"/>
                <w:szCs w:val="20"/>
              </w:rPr>
            </w:pPr>
          </w:p>
        </w:tc>
        <w:tc>
          <w:tcPr>
            <w:tcW w:w="977" w:type="dxa"/>
            <w:tcBorders>
              <w:bottom w:val="single" w:sz="4" w:space="0" w:color="auto"/>
            </w:tcBorders>
            <w:shd w:val="clear" w:color="auto" w:fill="F2F2F2" w:themeFill="background1" w:themeFillShade="F2"/>
          </w:tcPr>
          <w:p w:rsidR="00C17581" w:rsidRDefault="00C17581" w:rsidP="00CA13C1">
            <w:pPr>
              <w:jc w:val="center"/>
              <w:rPr>
                <w:b/>
                <w:sz w:val="20"/>
                <w:szCs w:val="20"/>
              </w:rPr>
            </w:pPr>
            <w:r>
              <w:rPr>
                <w:b/>
                <w:sz w:val="20"/>
                <w:szCs w:val="20"/>
              </w:rPr>
              <w:t>N</w:t>
            </w:r>
          </w:p>
          <w:p w:rsidR="00C17581" w:rsidRPr="00D739AE" w:rsidRDefault="00C17581" w:rsidP="00CA13C1">
            <w:pPr>
              <w:jc w:val="center"/>
              <w:rPr>
                <w:b/>
                <w:sz w:val="20"/>
                <w:szCs w:val="20"/>
              </w:rPr>
            </w:pPr>
          </w:p>
        </w:tc>
        <w:tc>
          <w:tcPr>
            <w:tcW w:w="997" w:type="dxa"/>
            <w:tcBorders>
              <w:bottom w:val="single" w:sz="4" w:space="0" w:color="auto"/>
            </w:tcBorders>
            <w:shd w:val="clear" w:color="auto" w:fill="F2F2F2" w:themeFill="background1" w:themeFillShade="F2"/>
          </w:tcPr>
          <w:p w:rsidR="00C17581" w:rsidRPr="00C17581" w:rsidRDefault="00C17581" w:rsidP="00350195">
            <w:pPr>
              <w:jc w:val="center"/>
              <w:rPr>
                <w:b/>
                <w:color w:val="000000" w:themeColor="text1"/>
                <w:sz w:val="20"/>
                <w:szCs w:val="20"/>
              </w:rPr>
            </w:pPr>
            <w:r w:rsidRPr="00C17581">
              <w:rPr>
                <w:b/>
                <w:color w:val="000000" w:themeColor="text1"/>
                <w:sz w:val="20"/>
                <w:szCs w:val="20"/>
              </w:rPr>
              <w:t>Censored</w:t>
            </w:r>
          </w:p>
        </w:tc>
        <w:tc>
          <w:tcPr>
            <w:tcW w:w="935" w:type="dxa"/>
            <w:tcBorders>
              <w:bottom w:val="single" w:sz="4" w:space="0" w:color="auto"/>
            </w:tcBorders>
            <w:shd w:val="clear" w:color="auto" w:fill="F2F2F2" w:themeFill="background1" w:themeFillShade="F2"/>
          </w:tcPr>
          <w:p w:rsidR="00C17581" w:rsidRPr="00D739AE" w:rsidRDefault="00C17581" w:rsidP="00CA13C1">
            <w:pPr>
              <w:jc w:val="center"/>
              <w:rPr>
                <w:b/>
                <w:sz w:val="20"/>
                <w:szCs w:val="20"/>
              </w:rPr>
            </w:pPr>
            <w:r w:rsidRPr="00D739AE">
              <w:rPr>
                <w:b/>
                <w:sz w:val="20"/>
                <w:szCs w:val="20"/>
              </w:rPr>
              <w:t>Mean</w:t>
            </w:r>
            <w:r>
              <w:rPr>
                <w:b/>
                <w:sz w:val="20"/>
                <w:szCs w:val="20"/>
              </w:rPr>
              <w:t xml:space="preserve"> (days)</w:t>
            </w:r>
          </w:p>
        </w:tc>
        <w:tc>
          <w:tcPr>
            <w:tcW w:w="964" w:type="dxa"/>
            <w:tcBorders>
              <w:bottom w:val="single" w:sz="4" w:space="0" w:color="auto"/>
            </w:tcBorders>
            <w:shd w:val="clear" w:color="auto" w:fill="F2F2F2" w:themeFill="background1" w:themeFillShade="F2"/>
          </w:tcPr>
          <w:p w:rsidR="00C17581" w:rsidRPr="00D739AE" w:rsidRDefault="00C17581" w:rsidP="00CA13C1">
            <w:pPr>
              <w:jc w:val="center"/>
              <w:rPr>
                <w:b/>
                <w:sz w:val="20"/>
                <w:szCs w:val="20"/>
              </w:rPr>
            </w:pPr>
            <w:r w:rsidRPr="00D739AE">
              <w:rPr>
                <w:b/>
                <w:sz w:val="20"/>
                <w:szCs w:val="20"/>
              </w:rPr>
              <w:t>Median</w:t>
            </w:r>
            <w:r>
              <w:rPr>
                <w:b/>
                <w:sz w:val="20"/>
                <w:szCs w:val="20"/>
              </w:rPr>
              <w:t xml:space="preserve"> (days)</w:t>
            </w:r>
          </w:p>
        </w:tc>
        <w:tc>
          <w:tcPr>
            <w:tcW w:w="1338" w:type="dxa"/>
            <w:tcBorders>
              <w:bottom w:val="single" w:sz="4" w:space="0" w:color="auto"/>
            </w:tcBorders>
            <w:shd w:val="clear" w:color="auto" w:fill="F2F2F2" w:themeFill="background1" w:themeFillShade="F2"/>
          </w:tcPr>
          <w:p w:rsidR="00C17581" w:rsidRPr="00D739AE" w:rsidRDefault="00C17581" w:rsidP="00CA13C1">
            <w:pPr>
              <w:jc w:val="center"/>
              <w:rPr>
                <w:b/>
                <w:sz w:val="20"/>
                <w:szCs w:val="20"/>
              </w:rPr>
            </w:pPr>
            <w:r w:rsidRPr="00D739AE">
              <w:rPr>
                <w:b/>
                <w:sz w:val="20"/>
                <w:szCs w:val="20"/>
              </w:rPr>
              <w:t>Lower 95% CI</w:t>
            </w:r>
            <w:r>
              <w:rPr>
                <w:b/>
                <w:sz w:val="20"/>
                <w:szCs w:val="20"/>
              </w:rPr>
              <w:t xml:space="preserve"> (days)</w:t>
            </w:r>
          </w:p>
        </w:tc>
        <w:tc>
          <w:tcPr>
            <w:tcW w:w="1449" w:type="dxa"/>
            <w:tcBorders>
              <w:bottom w:val="single" w:sz="4" w:space="0" w:color="auto"/>
            </w:tcBorders>
            <w:shd w:val="clear" w:color="auto" w:fill="F2F2F2" w:themeFill="background1" w:themeFillShade="F2"/>
          </w:tcPr>
          <w:p w:rsidR="00C17581" w:rsidRPr="00D739AE" w:rsidRDefault="00C17581" w:rsidP="00CA13C1">
            <w:pPr>
              <w:jc w:val="center"/>
              <w:rPr>
                <w:b/>
                <w:sz w:val="20"/>
                <w:szCs w:val="20"/>
              </w:rPr>
            </w:pPr>
            <w:r w:rsidRPr="00D739AE">
              <w:rPr>
                <w:b/>
                <w:sz w:val="20"/>
                <w:szCs w:val="20"/>
              </w:rPr>
              <w:t>Upper 95% CI</w:t>
            </w:r>
            <w:r>
              <w:rPr>
                <w:b/>
                <w:sz w:val="20"/>
                <w:szCs w:val="20"/>
              </w:rPr>
              <w:t xml:space="preserve"> (days)</w:t>
            </w:r>
          </w:p>
        </w:tc>
      </w:tr>
      <w:tr w:rsidR="00C17581" w:rsidRPr="00B1522D" w:rsidTr="00C17581">
        <w:tc>
          <w:tcPr>
            <w:tcW w:w="2544" w:type="dxa"/>
            <w:tcBorders>
              <w:top w:val="single" w:sz="4" w:space="0" w:color="auto"/>
              <w:left w:val="single" w:sz="4" w:space="0" w:color="auto"/>
              <w:bottom w:val="single" w:sz="4" w:space="0" w:color="auto"/>
              <w:right w:val="nil"/>
            </w:tcBorders>
            <w:shd w:val="clear" w:color="auto" w:fill="F2F2F2" w:themeFill="background1" w:themeFillShade="F2"/>
          </w:tcPr>
          <w:p w:rsidR="00C17581" w:rsidRPr="00B1522D" w:rsidRDefault="00C17581" w:rsidP="00964451">
            <w:pPr>
              <w:rPr>
                <w:b/>
                <w:sz w:val="20"/>
                <w:szCs w:val="20"/>
              </w:rPr>
            </w:pPr>
            <w:r>
              <w:rPr>
                <w:b/>
                <w:sz w:val="20"/>
                <w:szCs w:val="20"/>
              </w:rPr>
              <w:t xml:space="preserve">All drug regimens received </w:t>
            </w:r>
          </w:p>
        </w:tc>
        <w:tc>
          <w:tcPr>
            <w:tcW w:w="977" w:type="dxa"/>
            <w:tcBorders>
              <w:top w:val="single" w:sz="4" w:space="0" w:color="auto"/>
              <w:left w:val="nil"/>
              <w:bottom w:val="single" w:sz="4" w:space="0" w:color="auto"/>
              <w:right w:val="nil"/>
            </w:tcBorders>
            <w:shd w:val="clear" w:color="auto" w:fill="F2F2F2" w:themeFill="background1" w:themeFillShade="F2"/>
          </w:tcPr>
          <w:p w:rsidR="00C17581" w:rsidRPr="00B1522D" w:rsidRDefault="00C17581" w:rsidP="00D21CB1">
            <w:pPr>
              <w:rPr>
                <w:b/>
                <w:sz w:val="20"/>
                <w:szCs w:val="20"/>
              </w:rPr>
            </w:pPr>
            <w:r>
              <w:rPr>
                <w:b/>
                <w:sz w:val="20"/>
                <w:szCs w:val="20"/>
              </w:rPr>
              <w:t>(n=919)</w:t>
            </w:r>
          </w:p>
        </w:tc>
        <w:tc>
          <w:tcPr>
            <w:tcW w:w="997" w:type="dxa"/>
            <w:tcBorders>
              <w:top w:val="single" w:sz="4" w:space="0" w:color="auto"/>
              <w:left w:val="nil"/>
              <w:bottom w:val="single" w:sz="4" w:space="0" w:color="auto"/>
              <w:right w:val="nil"/>
            </w:tcBorders>
            <w:shd w:val="clear" w:color="auto" w:fill="F2F2F2" w:themeFill="background1" w:themeFillShade="F2"/>
          </w:tcPr>
          <w:p w:rsidR="00C17581" w:rsidRPr="00C17581" w:rsidRDefault="00C17581" w:rsidP="00350195">
            <w:pPr>
              <w:rPr>
                <w:b/>
                <w:color w:val="000000" w:themeColor="text1"/>
                <w:sz w:val="20"/>
                <w:szCs w:val="20"/>
              </w:rPr>
            </w:pPr>
          </w:p>
        </w:tc>
        <w:tc>
          <w:tcPr>
            <w:tcW w:w="935" w:type="dxa"/>
            <w:tcBorders>
              <w:top w:val="single" w:sz="4" w:space="0" w:color="auto"/>
              <w:left w:val="nil"/>
              <w:bottom w:val="single" w:sz="4" w:space="0" w:color="auto"/>
              <w:right w:val="nil"/>
            </w:tcBorders>
            <w:shd w:val="clear" w:color="auto" w:fill="F2F2F2" w:themeFill="background1" w:themeFillShade="F2"/>
          </w:tcPr>
          <w:p w:rsidR="00C17581" w:rsidRPr="00B1522D" w:rsidRDefault="00C17581" w:rsidP="00D21CB1">
            <w:pPr>
              <w:rPr>
                <w:b/>
                <w:sz w:val="20"/>
                <w:szCs w:val="20"/>
              </w:rPr>
            </w:pPr>
          </w:p>
        </w:tc>
        <w:tc>
          <w:tcPr>
            <w:tcW w:w="964" w:type="dxa"/>
            <w:tcBorders>
              <w:top w:val="single" w:sz="4" w:space="0" w:color="auto"/>
              <w:left w:val="nil"/>
              <w:bottom w:val="single" w:sz="4" w:space="0" w:color="auto"/>
              <w:right w:val="nil"/>
            </w:tcBorders>
            <w:shd w:val="clear" w:color="auto" w:fill="F2F2F2" w:themeFill="background1" w:themeFillShade="F2"/>
          </w:tcPr>
          <w:p w:rsidR="00C17581" w:rsidRPr="00B1522D" w:rsidRDefault="00C17581" w:rsidP="00D21CB1">
            <w:pPr>
              <w:rPr>
                <w:b/>
                <w:sz w:val="20"/>
                <w:szCs w:val="20"/>
              </w:rPr>
            </w:pPr>
          </w:p>
        </w:tc>
        <w:tc>
          <w:tcPr>
            <w:tcW w:w="1338" w:type="dxa"/>
            <w:tcBorders>
              <w:top w:val="single" w:sz="4" w:space="0" w:color="auto"/>
              <w:left w:val="nil"/>
              <w:bottom w:val="single" w:sz="4" w:space="0" w:color="auto"/>
              <w:right w:val="nil"/>
            </w:tcBorders>
            <w:shd w:val="clear" w:color="auto" w:fill="F2F2F2" w:themeFill="background1" w:themeFillShade="F2"/>
          </w:tcPr>
          <w:p w:rsidR="00C17581" w:rsidRPr="00B1522D" w:rsidRDefault="00C17581" w:rsidP="00D21CB1">
            <w:pPr>
              <w:rPr>
                <w:b/>
                <w:sz w:val="20"/>
                <w:szCs w:val="20"/>
              </w:rPr>
            </w:pPr>
          </w:p>
        </w:tc>
        <w:tc>
          <w:tcPr>
            <w:tcW w:w="1449" w:type="dxa"/>
            <w:tcBorders>
              <w:top w:val="single" w:sz="4" w:space="0" w:color="auto"/>
              <w:left w:val="nil"/>
              <w:bottom w:val="single" w:sz="4" w:space="0" w:color="auto"/>
              <w:right w:val="single" w:sz="4" w:space="0" w:color="auto"/>
            </w:tcBorders>
            <w:shd w:val="clear" w:color="auto" w:fill="F2F2F2" w:themeFill="background1" w:themeFillShade="F2"/>
          </w:tcPr>
          <w:p w:rsidR="00C17581" w:rsidRPr="00B1522D" w:rsidRDefault="00C17581" w:rsidP="00D21CB1">
            <w:pPr>
              <w:rPr>
                <w:b/>
                <w:sz w:val="20"/>
                <w:szCs w:val="20"/>
              </w:rPr>
            </w:pPr>
          </w:p>
        </w:tc>
      </w:tr>
      <w:tr w:rsidR="00C17581" w:rsidTr="00C17581">
        <w:tc>
          <w:tcPr>
            <w:tcW w:w="2544" w:type="dxa"/>
            <w:tcBorders>
              <w:top w:val="single" w:sz="4" w:space="0" w:color="auto"/>
            </w:tcBorders>
          </w:tcPr>
          <w:p w:rsidR="00C17581" w:rsidRPr="00D739AE" w:rsidRDefault="00C17581" w:rsidP="00D21CB1">
            <w:pPr>
              <w:rPr>
                <w:sz w:val="20"/>
                <w:szCs w:val="20"/>
              </w:rPr>
            </w:pPr>
            <w:r w:rsidRPr="00D739AE">
              <w:rPr>
                <w:sz w:val="20"/>
                <w:szCs w:val="20"/>
              </w:rPr>
              <w:t>Including breaks</w:t>
            </w:r>
          </w:p>
        </w:tc>
        <w:tc>
          <w:tcPr>
            <w:tcW w:w="977" w:type="dxa"/>
            <w:tcBorders>
              <w:top w:val="single" w:sz="4" w:space="0" w:color="auto"/>
            </w:tcBorders>
          </w:tcPr>
          <w:p w:rsidR="00C17581" w:rsidRDefault="00C17581" w:rsidP="00CA13C1">
            <w:pPr>
              <w:jc w:val="center"/>
              <w:rPr>
                <w:sz w:val="20"/>
                <w:szCs w:val="20"/>
              </w:rPr>
            </w:pPr>
            <w:r>
              <w:rPr>
                <w:sz w:val="20"/>
                <w:szCs w:val="20"/>
              </w:rPr>
              <w:t>898</w:t>
            </w:r>
          </w:p>
        </w:tc>
        <w:tc>
          <w:tcPr>
            <w:tcW w:w="997" w:type="dxa"/>
            <w:tcBorders>
              <w:top w:val="single" w:sz="4" w:space="0" w:color="auto"/>
            </w:tcBorders>
          </w:tcPr>
          <w:p w:rsidR="00C17581" w:rsidRPr="00C17581" w:rsidRDefault="00C17581" w:rsidP="00350195">
            <w:pPr>
              <w:jc w:val="center"/>
              <w:rPr>
                <w:color w:val="000000" w:themeColor="text1"/>
                <w:sz w:val="20"/>
                <w:szCs w:val="20"/>
              </w:rPr>
            </w:pPr>
            <w:r w:rsidRPr="00C17581">
              <w:rPr>
                <w:color w:val="000000" w:themeColor="text1"/>
                <w:sz w:val="20"/>
                <w:szCs w:val="20"/>
              </w:rPr>
              <w:t>249</w:t>
            </w:r>
          </w:p>
        </w:tc>
        <w:tc>
          <w:tcPr>
            <w:tcW w:w="935" w:type="dxa"/>
            <w:tcBorders>
              <w:top w:val="single" w:sz="4" w:space="0" w:color="auto"/>
            </w:tcBorders>
          </w:tcPr>
          <w:p w:rsidR="00C17581" w:rsidRPr="00D739AE" w:rsidRDefault="00C17581" w:rsidP="00CA13C1">
            <w:pPr>
              <w:jc w:val="center"/>
              <w:rPr>
                <w:sz w:val="20"/>
                <w:szCs w:val="20"/>
              </w:rPr>
            </w:pPr>
            <w:r>
              <w:rPr>
                <w:sz w:val="20"/>
                <w:szCs w:val="20"/>
              </w:rPr>
              <w:t>338</w:t>
            </w:r>
          </w:p>
        </w:tc>
        <w:tc>
          <w:tcPr>
            <w:tcW w:w="964" w:type="dxa"/>
            <w:tcBorders>
              <w:top w:val="single" w:sz="4" w:space="0" w:color="auto"/>
            </w:tcBorders>
          </w:tcPr>
          <w:p w:rsidR="00C17581" w:rsidRPr="00D739AE" w:rsidRDefault="00C17581" w:rsidP="00CA13C1">
            <w:pPr>
              <w:jc w:val="center"/>
              <w:rPr>
                <w:sz w:val="20"/>
                <w:szCs w:val="20"/>
              </w:rPr>
            </w:pPr>
            <w:r>
              <w:rPr>
                <w:sz w:val="20"/>
                <w:szCs w:val="20"/>
              </w:rPr>
              <w:t>337</w:t>
            </w:r>
          </w:p>
        </w:tc>
        <w:tc>
          <w:tcPr>
            <w:tcW w:w="1338" w:type="dxa"/>
            <w:tcBorders>
              <w:top w:val="single" w:sz="4" w:space="0" w:color="auto"/>
            </w:tcBorders>
          </w:tcPr>
          <w:p w:rsidR="00C17581" w:rsidRPr="00D739AE" w:rsidRDefault="00C17581" w:rsidP="00CA13C1">
            <w:pPr>
              <w:jc w:val="center"/>
              <w:rPr>
                <w:sz w:val="20"/>
                <w:szCs w:val="20"/>
              </w:rPr>
            </w:pPr>
            <w:r>
              <w:rPr>
                <w:sz w:val="20"/>
                <w:szCs w:val="20"/>
              </w:rPr>
              <w:t>266</w:t>
            </w:r>
          </w:p>
        </w:tc>
        <w:tc>
          <w:tcPr>
            <w:tcW w:w="1449" w:type="dxa"/>
            <w:tcBorders>
              <w:top w:val="single" w:sz="4" w:space="0" w:color="auto"/>
            </w:tcBorders>
          </w:tcPr>
          <w:p w:rsidR="00C17581" w:rsidRPr="00D739AE" w:rsidRDefault="00C17581" w:rsidP="00CA13C1">
            <w:pPr>
              <w:jc w:val="center"/>
              <w:rPr>
                <w:sz w:val="20"/>
                <w:szCs w:val="20"/>
              </w:rPr>
            </w:pPr>
            <w:r>
              <w:rPr>
                <w:sz w:val="20"/>
                <w:szCs w:val="20"/>
              </w:rPr>
              <w:t>Not reached</w:t>
            </w:r>
          </w:p>
        </w:tc>
      </w:tr>
      <w:tr w:rsidR="00C17581" w:rsidTr="00C17581">
        <w:tc>
          <w:tcPr>
            <w:tcW w:w="2544" w:type="dxa"/>
            <w:tcBorders>
              <w:bottom w:val="single" w:sz="4" w:space="0" w:color="auto"/>
            </w:tcBorders>
          </w:tcPr>
          <w:p w:rsidR="00C17581" w:rsidRPr="00D739AE" w:rsidRDefault="00C17581" w:rsidP="00D21CB1">
            <w:pPr>
              <w:rPr>
                <w:sz w:val="20"/>
                <w:szCs w:val="20"/>
              </w:rPr>
            </w:pPr>
            <w:r w:rsidRPr="00D739AE">
              <w:rPr>
                <w:sz w:val="20"/>
                <w:szCs w:val="20"/>
              </w:rPr>
              <w:t>Excluding breaks</w:t>
            </w:r>
          </w:p>
        </w:tc>
        <w:tc>
          <w:tcPr>
            <w:tcW w:w="977" w:type="dxa"/>
            <w:tcBorders>
              <w:bottom w:val="single" w:sz="4" w:space="0" w:color="auto"/>
            </w:tcBorders>
          </w:tcPr>
          <w:p w:rsidR="00C17581" w:rsidRDefault="00C17581" w:rsidP="00CA13C1">
            <w:pPr>
              <w:jc w:val="center"/>
              <w:rPr>
                <w:sz w:val="20"/>
                <w:szCs w:val="20"/>
              </w:rPr>
            </w:pPr>
            <w:r>
              <w:rPr>
                <w:sz w:val="20"/>
                <w:szCs w:val="20"/>
              </w:rPr>
              <w:t>21</w:t>
            </w:r>
          </w:p>
        </w:tc>
        <w:tc>
          <w:tcPr>
            <w:tcW w:w="997" w:type="dxa"/>
            <w:tcBorders>
              <w:bottom w:val="single" w:sz="4" w:space="0" w:color="auto"/>
            </w:tcBorders>
          </w:tcPr>
          <w:p w:rsidR="00C17581" w:rsidRPr="00C17581" w:rsidRDefault="00C17581" w:rsidP="00350195">
            <w:pPr>
              <w:jc w:val="center"/>
              <w:rPr>
                <w:color w:val="000000" w:themeColor="text1"/>
                <w:sz w:val="20"/>
                <w:szCs w:val="20"/>
              </w:rPr>
            </w:pPr>
            <w:r w:rsidRPr="00C17581">
              <w:rPr>
                <w:color w:val="000000" w:themeColor="text1"/>
                <w:sz w:val="20"/>
                <w:szCs w:val="20"/>
              </w:rPr>
              <w:t>7</w:t>
            </w:r>
          </w:p>
        </w:tc>
        <w:tc>
          <w:tcPr>
            <w:tcW w:w="935" w:type="dxa"/>
            <w:tcBorders>
              <w:bottom w:val="single" w:sz="4" w:space="0" w:color="auto"/>
            </w:tcBorders>
          </w:tcPr>
          <w:p w:rsidR="00C17581" w:rsidRPr="00D739AE" w:rsidRDefault="00C17581" w:rsidP="00CA13C1">
            <w:pPr>
              <w:jc w:val="center"/>
              <w:rPr>
                <w:sz w:val="20"/>
                <w:szCs w:val="20"/>
              </w:rPr>
            </w:pPr>
            <w:r>
              <w:rPr>
                <w:sz w:val="20"/>
                <w:szCs w:val="20"/>
              </w:rPr>
              <w:t>312</w:t>
            </w:r>
          </w:p>
        </w:tc>
        <w:tc>
          <w:tcPr>
            <w:tcW w:w="964" w:type="dxa"/>
            <w:tcBorders>
              <w:bottom w:val="single" w:sz="4" w:space="0" w:color="auto"/>
            </w:tcBorders>
          </w:tcPr>
          <w:p w:rsidR="00C17581" w:rsidRPr="00D739AE" w:rsidRDefault="00C17581" w:rsidP="00CA13C1">
            <w:pPr>
              <w:jc w:val="center"/>
              <w:rPr>
                <w:sz w:val="20"/>
                <w:szCs w:val="20"/>
              </w:rPr>
            </w:pPr>
            <w:r>
              <w:rPr>
                <w:sz w:val="20"/>
                <w:szCs w:val="20"/>
              </w:rPr>
              <w:t>249</w:t>
            </w:r>
          </w:p>
        </w:tc>
        <w:tc>
          <w:tcPr>
            <w:tcW w:w="1338" w:type="dxa"/>
            <w:tcBorders>
              <w:bottom w:val="single" w:sz="4" w:space="0" w:color="auto"/>
            </w:tcBorders>
          </w:tcPr>
          <w:p w:rsidR="00C17581" w:rsidRPr="00D739AE" w:rsidRDefault="00C17581" w:rsidP="00CA13C1">
            <w:pPr>
              <w:jc w:val="center"/>
              <w:rPr>
                <w:sz w:val="20"/>
                <w:szCs w:val="20"/>
              </w:rPr>
            </w:pPr>
            <w:r>
              <w:rPr>
                <w:sz w:val="20"/>
                <w:szCs w:val="20"/>
              </w:rPr>
              <w:t>224</w:t>
            </w:r>
          </w:p>
        </w:tc>
        <w:tc>
          <w:tcPr>
            <w:tcW w:w="1449" w:type="dxa"/>
            <w:tcBorders>
              <w:bottom w:val="single" w:sz="4" w:space="0" w:color="auto"/>
            </w:tcBorders>
          </w:tcPr>
          <w:p w:rsidR="00C17581" w:rsidRPr="00D739AE" w:rsidRDefault="00C17581" w:rsidP="00CA13C1">
            <w:pPr>
              <w:jc w:val="center"/>
              <w:rPr>
                <w:sz w:val="20"/>
                <w:szCs w:val="20"/>
              </w:rPr>
            </w:pPr>
            <w:r>
              <w:rPr>
                <w:sz w:val="20"/>
                <w:szCs w:val="20"/>
              </w:rPr>
              <w:t>278</w:t>
            </w:r>
          </w:p>
        </w:tc>
      </w:tr>
      <w:tr w:rsidR="00C17581" w:rsidRPr="00B1522D" w:rsidTr="00C17581">
        <w:tc>
          <w:tcPr>
            <w:tcW w:w="2544" w:type="dxa"/>
            <w:tcBorders>
              <w:top w:val="single" w:sz="4" w:space="0" w:color="auto"/>
              <w:left w:val="single" w:sz="4" w:space="0" w:color="auto"/>
              <w:bottom w:val="single" w:sz="4" w:space="0" w:color="auto"/>
              <w:right w:val="nil"/>
            </w:tcBorders>
            <w:shd w:val="clear" w:color="auto" w:fill="F2F2F2" w:themeFill="background1" w:themeFillShade="F2"/>
          </w:tcPr>
          <w:p w:rsidR="00C17581" w:rsidRPr="008011D1" w:rsidRDefault="00C17581" w:rsidP="00664663">
            <w:pPr>
              <w:rPr>
                <w:b/>
                <w:sz w:val="20"/>
                <w:szCs w:val="20"/>
                <w:vertAlign w:val="superscript"/>
              </w:rPr>
            </w:pPr>
            <w:r>
              <w:rPr>
                <w:b/>
                <w:sz w:val="20"/>
                <w:szCs w:val="20"/>
              </w:rPr>
              <w:t xml:space="preserve">Time on first drug regimen </w:t>
            </w:r>
          </w:p>
        </w:tc>
        <w:tc>
          <w:tcPr>
            <w:tcW w:w="977" w:type="dxa"/>
            <w:tcBorders>
              <w:top w:val="single" w:sz="4" w:space="0" w:color="auto"/>
              <w:left w:val="nil"/>
              <w:bottom w:val="single" w:sz="4" w:space="0" w:color="auto"/>
              <w:right w:val="nil"/>
            </w:tcBorders>
            <w:shd w:val="clear" w:color="auto" w:fill="F2F2F2" w:themeFill="background1" w:themeFillShade="F2"/>
          </w:tcPr>
          <w:p w:rsidR="00C17581" w:rsidRPr="00B1522D" w:rsidRDefault="00C17581" w:rsidP="00CA13C1">
            <w:pPr>
              <w:jc w:val="center"/>
              <w:rPr>
                <w:b/>
                <w:sz w:val="20"/>
                <w:szCs w:val="20"/>
              </w:rPr>
            </w:pPr>
            <w:r>
              <w:rPr>
                <w:b/>
                <w:sz w:val="20"/>
                <w:szCs w:val="20"/>
              </w:rPr>
              <w:t>(n=919)</w:t>
            </w:r>
            <w:r>
              <w:rPr>
                <w:b/>
                <w:sz w:val="20"/>
                <w:szCs w:val="20"/>
                <w:vertAlign w:val="superscript"/>
              </w:rPr>
              <w:t>1</w:t>
            </w:r>
          </w:p>
        </w:tc>
        <w:tc>
          <w:tcPr>
            <w:tcW w:w="997" w:type="dxa"/>
            <w:tcBorders>
              <w:top w:val="single" w:sz="4" w:space="0" w:color="auto"/>
              <w:left w:val="nil"/>
              <w:bottom w:val="single" w:sz="4" w:space="0" w:color="auto"/>
              <w:right w:val="nil"/>
            </w:tcBorders>
            <w:shd w:val="clear" w:color="auto" w:fill="F2F2F2" w:themeFill="background1" w:themeFillShade="F2"/>
          </w:tcPr>
          <w:p w:rsidR="00C17581" w:rsidRPr="00C17581" w:rsidRDefault="00C17581" w:rsidP="00350195">
            <w:pPr>
              <w:jc w:val="center"/>
              <w:rPr>
                <w:b/>
                <w:color w:val="000000" w:themeColor="text1"/>
                <w:sz w:val="20"/>
                <w:szCs w:val="20"/>
              </w:rPr>
            </w:pPr>
          </w:p>
        </w:tc>
        <w:tc>
          <w:tcPr>
            <w:tcW w:w="935" w:type="dxa"/>
            <w:tcBorders>
              <w:top w:val="single" w:sz="4" w:space="0" w:color="auto"/>
              <w:left w:val="nil"/>
              <w:bottom w:val="single" w:sz="4" w:space="0" w:color="auto"/>
              <w:right w:val="nil"/>
            </w:tcBorders>
            <w:shd w:val="clear" w:color="auto" w:fill="F2F2F2" w:themeFill="background1" w:themeFillShade="F2"/>
          </w:tcPr>
          <w:p w:rsidR="00C17581" w:rsidRPr="00B1522D" w:rsidRDefault="00C17581" w:rsidP="00CA13C1">
            <w:pPr>
              <w:jc w:val="center"/>
              <w:rPr>
                <w:b/>
                <w:sz w:val="20"/>
                <w:szCs w:val="20"/>
              </w:rPr>
            </w:pPr>
          </w:p>
        </w:tc>
        <w:tc>
          <w:tcPr>
            <w:tcW w:w="964" w:type="dxa"/>
            <w:tcBorders>
              <w:top w:val="single" w:sz="4" w:space="0" w:color="auto"/>
              <w:left w:val="nil"/>
              <w:bottom w:val="single" w:sz="4" w:space="0" w:color="auto"/>
              <w:right w:val="nil"/>
            </w:tcBorders>
            <w:shd w:val="clear" w:color="auto" w:fill="F2F2F2" w:themeFill="background1" w:themeFillShade="F2"/>
          </w:tcPr>
          <w:p w:rsidR="00C17581" w:rsidRPr="00B1522D" w:rsidRDefault="00C17581" w:rsidP="00CA13C1">
            <w:pPr>
              <w:jc w:val="center"/>
              <w:rPr>
                <w:b/>
                <w:sz w:val="20"/>
                <w:szCs w:val="20"/>
              </w:rPr>
            </w:pPr>
          </w:p>
        </w:tc>
        <w:tc>
          <w:tcPr>
            <w:tcW w:w="1338" w:type="dxa"/>
            <w:tcBorders>
              <w:top w:val="single" w:sz="4" w:space="0" w:color="auto"/>
              <w:left w:val="nil"/>
              <w:bottom w:val="single" w:sz="4" w:space="0" w:color="auto"/>
              <w:right w:val="nil"/>
            </w:tcBorders>
            <w:shd w:val="clear" w:color="auto" w:fill="F2F2F2" w:themeFill="background1" w:themeFillShade="F2"/>
          </w:tcPr>
          <w:p w:rsidR="00C17581" w:rsidRPr="00B1522D" w:rsidRDefault="00C17581" w:rsidP="00CA13C1">
            <w:pPr>
              <w:jc w:val="center"/>
              <w:rPr>
                <w:b/>
                <w:sz w:val="20"/>
                <w:szCs w:val="20"/>
              </w:rPr>
            </w:pPr>
          </w:p>
        </w:tc>
        <w:tc>
          <w:tcPr>
            <w:tcW w:w="1449" w:type="dxa"/>
            <w:tcBorders>
              <w:top w:val="single" w:sz="4" w:space="0" w:color="auto"/>
              <w:left w:val="nil"/>
              <w:bottom w:val="single" w:sz="4" w:space="0" w:color="auto"/>
              <w:right w:val="single" w:sz="4" w:space="0" w:color="auto"/>
            </w:tcBorders>
            <w:shd w:val="clear" w:color="auto" w:fill="F2F2F2" w:themeFill="background1" w:themeFillShade="F2"/>
          </w:tcPr>
          <w:p w:rsidR="00C17581" w:rsidRPr="00B1522D" w:rsidRDefault="00C17581" w:rsidP="00CA13C1">
            <w:pPr>
              <w:jc w:val="center"/>
              <w:rPr>
                <w:b/>
                <w:sz w:val="20"/>
                <w:szCs w:val="20"/>
              </w:rPr>
            </w:pPr>
          </w:p>
        </w:tc>
      </w:tr>
      <w:tr w:rsidR="00C17581" w:rsidTr="00C17581">
        <w:tc>
          <w:tcPr>
            <w:tcW w:w="2544" w:type="dxa"/>
            <w:tcBorders>
              <w:top w:val="single" w:sz="4" w:space="0" w:color="auto"/>
            </w:tcBorders>
          </w:tcPr>
          <w:p w:rsidR="00C17581" w:rsidRPr="00B43E10" w:rsidRDefault="00C17581" w:rsidP="00D21CB1">
            <w:pPr>
              <w:rPr>
                <w:sz w:val="20"/>
                <w:szCs w:val="20"/>
                <w:vertAlign w:val="superscript"/>
              </w:rPr>
            </w:pPr>
            <w:r>
              <w:rPr>
                <w:sz w:val="20"/>
                <w:szCs w:val="20"/>
              </w:rPr>
              <w:t>BRAF targeted therapy</w:t>
            </w:r>
            <w:r w:rsidR="00B43E10">
              <w:rPr>
                <w:sz w:val="20"/>
                <w:szCs w:val="20"/>
                <w:vertAlign w:val="superscript"/>
              </w:rPr>
              <w:t>3</w:t>
            </w:r>
          </w:p>
        </w:tc>
        <w:tc>
          <w:tcPr>
            <w:tcW w:w="977" w:type="dxa"/>
            <w:tcBorders>
              <w:top w:val="single" w:sz="4" w:space="0" w:color="auto"/>
            </w:tcBorders>
          </w:tcPr>
          <w:p w:rsidR="00C17581" w:rsidRDefault="00C17581" w:rsidP="00CA13C1">
            <w:pPr>
              <w:jc w:val="center"/>
              <w:rPr>
                <w:sz w:val="20"/>
                <w:szCs w:val="20"/>
              </w:rPr>
            </w:pPr>
            <w:r>
              <w:rPr>
                <w:sz w:val="20"/>
                <w:szCs w:val="20"/>
              </w:rPr>
              <w:t>286</w:t>
            </w:r>
          </w:p>
        </w:tc>
        <w:tc>
          <w:tcPr>
            <w:tcW w:w="997" w:type="dxa"/>
            <w:tcBorders>
              <w:top w:val="single" w:sz="4" w:space="0" w:color="auto"/>
            </w:tcBorders>
          </w:tcPr>
          <w:p w:rsidR="00C17581" w:rsidRPr="00C17581" w:rsidRDefault="00C17581" w:rsidP="00350195">
            <w:pPr>
              <w:jc w:val="center"/>
              <w:rPr>
                <w:color w:val="000000" w:themeColor="text1"/>
                <w:sz w:val="20"/>
                <w:szCs w:val="20"/>
              </w:rPr>
            </w:pPr>
            <w:r w:rsidRPr="00C17581">
              <w:rPr>
                <w:color w:val="000000" w:themeColor="text1"/>
                <w:sz w:val="20"/>
                <w:szCs w:val="20"/>
              </w:rPr>
              <w:t>62</w:t>
            </w:r>
          </w:p>
        </w:tc>
        <w:tc>
          <w:tcPr>
            <w:tcW w:w="935" w:type="dxa"/>
            <w:tcBorders>
              <w:top w:val="single" w:sz="4" w:space="0" w:color="auto"/>
            </w:tcBorders>
          </w:tcPr>
          <w:p w:rsidR="00C17581" w:rsidRPr="00D739AE" w:rsidRDefault="00C17581" w:rsidP="00CA13C1">
            <w:pPr>
              <w:jc w:val="center"/>
              <w:rPr>
                <w:sz w:val="20"/>
                <w:szCs w:val="20"/>
              </w:rPr>
            </w:pPr>
            <w:r>
              <w:rPr>
                <w:sz w:val="20"/>
                <w:szCs w:val="20"/>
              </w:rPr>
              <w:t>279</w:t>
            </w:r>
          </w:p>
        </w:tc>
        <w:tc>
          <w:tcPr>
            <w:tcW w:w="964" w:type="dxa"/>
            <w:tcBorders>
              <w:top w:val="single" w:sz="4" w:space="0" w:color="auto"/>
            </w:tcBorders>
          </w:tcPr>
          <w:p w:rsidR="00C17581" w:rsidRPr="00D739AE" w:rsidRDefault="00C17581" w:rsidP="00CA13C1">
            <w:pPr>
              <w:jc w:val="center"/>
              <w:rPr>
                <w:sz w:val="20"/>
                <w:szCs w:val="20"/>
              </w:rPr>
            </w:pPr>
            <w:r>
              <w:rPr>
                <w:sz w:val="20"/>
                <w:szCs w:val="20"/>
              </w:rPr>
              <w:t>202</w:t>
            </w:r>
          </w:p>
        </w:tc>
        <w:tc>
          <w:tcPr>
            <w:tcW w:w="1338" w:type="dxa"/>
            <w:tcBorders>
              <w:top w:val="single" w:sz="4" w:space="0" w:color="auto"/>
            </w:tcBorders>
          </w:tcPr>
          <w:p w:rsidR="00C17581" w:rsidRPr="00D739AE" w:rsidRDefault="00C17581" w:rsidP="00CA13C1">
            <w:pPr>
              <w:jc w:val="center"/>
              <w:rPr>
                <w:sz w:val="20"/>
                <w:szCs w:val="20"/>
              </w:rPr>
            </w:pPr>
            <w:r>
              <w:rPr>
                <w:sz w:val="20"/>
                <w:szCs w:val="20"/>
              </w:rPr>
              <w:t>151</w:t>
            </w:r>
          </w:p>
        </w:tc>
        <w:tc>
          <w:tcPr>
            <w:tcW w:w="1449" w:type="dxa"/>
            <w:tcBorders>
              <w:top w:val="single" w:sz="4" w:space="0" w:color="auto"/>
            </w:tcBorders>
          </w:tcPr>
          <w:p w:rsidR="00C17581" w:rsidRPr="00D739AE" w:rsidRDefault="00C17581" w:rsidP="00CA13C1">
            <w:pPr>
              <w:jc w:val="center"/>
              <w:rPr>
                <w:sz w:val="20"/>
                <w:szCs w:val="20"/>
              </w:rPr>
            </w:pPr>
            <w:r>
              <w:rPr>
                <w:sz w:val="20"/>
                <w:szCs w:val="20"/>
              </w:rPr>
              <w:t>240</w:t>
            </w:r>
          </w:p>
        </w:tc>
      </w:tr>
      <w:tr w:rsidR="00C17581" w:rsidTr="00C17581">
        <w:tc>
          <w:tcPr>
            <w:tcW w:w="2544" w:type="dxa"/>
          </w:tcPr>
          <w:p w:rsidR="00C17581" w:rsidRPr="00D739AE" w:rsidRDefault="00C17581" w:rsidP="00D21CB1">
            <w:pPr>
              <w:rPr>
                <w:sz w:val="20"/>
                <w:szCs w:val="20"/>
              </w:rPr>
            </w:pPr>
            <w:r>
              <w:rPr>
                <w:sz w:val="20"/>
                <w:szCs w:val="20"/>
              </w:rPr>
              <w:t>Ipilimumab</w:t>
            </w:r>
          </w:p>
        </w:tc>
        <w:tc>
          <w:tcPr>
            <w:tcW w:w="977" w:type="dxa"/>
          </w:tcPr>
          <w:p w:rsidR="00C17581" w:rsidRDefault="00C17581" w:rsidP="00CA13C1">
            <w:pPr>
              <w:jc w:val="center"/>
              <w:rPr>
                <w:sz w:val="20"/>
                <w:szCs w:val="20"/>
              </w:rPr>
            </w:pPr>
            <w:r>
              <w:rPr>
                <w:sz w:val="20"/>
                <w:szCs w:val="20"/>
              </w:rPr>
              <w:t>26</w:t>
            </w:r>
          </w:p>
        </w:tc>
        <w:tc>
          <w:tcPr>
            <w:tcW w:w="997" w:type="dxa"/>
          </w:tcPr>
          <w:p w:rsidR="00C17581" w:rsidRPr="00C17581" w:rsidRDefault="00C17581" w:rsidP="00350195">
            <w:pPr>
              <w:jc w:val="center"/>
              <w:rPr>
                <w:color w:val="000000" w:themeColor="text1"/>
                <w:sz w:val="20"/>
                <w:szCs w:val="20"/>
              </w:rPr>
            </w:pPr>
            <w:r w:rsidRPr="00C17581">
              <w:rPr>
                <w:color w:val="000000" w:themeColor="text1"/>
                <w:sz w:val="20"/>
                <w:szCs w:val="20"/>
              </w:rPr>
              <w:t>0</w:t>
            </w:r>
          </w:p>
        </w:tc>
        <w:tc>
          <w:tcPr>
            <w:tcW w:w="935" w:type="dxa"/>
          </w:tcPr>
          <w:p w:rsidR="00C17581" w:rsidRPr="00D739AE" w:rsidRDefault="00C17581" w:rsidP="00CA13C1">
            <w:pPr>
              <w:jc w:val="center"/>
              <w:rPr>
                <w:sz w:val="20"/>
                <w:szCs w:val="20"/>
              </w:rPr>
            </w:pPr>
            <w:r>
              <w:rPr>
                <w:sz w:val="20"/>
                <w:szCs w:val="20"/>
              </w:rPr>
              <w:t>37</w:t>
            </w:r>
          </w:p>
        </w:tc>
        <w:tc>
          <w:tcPr>
            <w:tcW w:w="964" w:type="dxa"/>
          </w:tcPr>
          <w:p w:rsidR="00C17581" w:rsidRPr="00D739AE" w:rsidRDefault="00C17581" w:rsidP="00CA13C1">
            <w:pPr>
              <w:jc w:val="center"/>
              <w:rPr>
                <w:sz w:val="20"/>
                <w:szCs w:val="20"/>
              </w:rPr>
            </w:pPr>
            <w:r>
              <w:rPr>
                <w:sz w:val="20"/>
                <w:szCs w:val="20"/>
              </w:rPr>
              <w:t>38</w:t>
            </w:r>
          </w:p>
        </w:tc>
        <w:tc>
          <w:tcPr>
            <w:tcW w:w="1338" w:type="dxa"/>
          </w:tcPr>
          <w:p w:rsidR="00C17581" w:rsidRPr="00D739AE" w:rsidRDefault="00C17581" w:rsidP="00CA13C1">
            <w:pPr>
              <w:jc w:val="center"/>
              <w:rPr>
                <w:sz w:val="20"/>
                <w:szCs w:val="20"/>
              </w:rPr>
            </w:pPr>
            <w:r>
              <w:rPr>
                <w:sz w:val="20"/>
                <w:szCs w:val="20"/>
              </w:rPr>
              <w:t>19</w:t>
            </w:r>
          </w:p>
        </w:tc>
        <w:tc>
          <w:tcPr>
            <w:tcW w:w="1449" w:type="dxa"/>
          </w:tcPr>
          <w:p w:rsidR="00C17581" w:rsidRPr="00D739AE" w:rsidRDefault="00C17581" w:rsidP="00CA13C1">
            <w:pPr>
              <w:jc w:val="center"/>
              <w:rPr>
                <w:sz w:val="20"/>
                <w:szCs w:val="20"/>
              </w:rPr>
            </w:pPr>
            <w:r>
              <w:rPr>
                <w:sz w:val="20"/>
                <w:szCs w:val="20"/>
              </w:rPr>
              <w:t>60</w:t>
            </w:r>
          </w:p>
        </w:tc>
      </w:tr>
      <w:tr w:rsidR="00C17581" w:rsidTr="00C17581">
        <w:tc>
          <w:tcPr>
            <w:tcW w:w="2544" w:type="dxa"/>
            <w:tcBorders>
              <w:bottom w:val="single" w:sz="4" w:space="0" w:color="auto"/>
            </w:tcBorders>
          </w:tcPr>
          <w:p w:rsidR="00C17581" w:rsidRDefault="00C17581" w:rsidP="00D21CB1">
            <w:pPr>
              <w:rPr>
                <w:sz w:val="20"/>
                <w:szCs w:val="20"/>
              </w:rPr>
            </w:pPr>
            <w:r>
              <w:rPr>
                <w:sz w:val="20"/>
                <w:szCs w:val="20"/>
              </w:rPr>
              <w:t>Nivolumab</w:t>
            </w:r>
          </w:p>
        </w:tc>
        <w:tc>
          <w:tcPr>
            <w:tcW w:w="977" w:type="dxa"/>
            <w:tcBorders>
              <w:bottom w:val="single" w:sz="4" w:space="0" w:color="auto"/>
            </w:tcBorders>
          </w:tcPr>
          <w:p w:rsidR="00C17581" w:rsidRDefault="00C17581" w:rsidP="00CA13C1">
            <w:pPr>
              <w:jc w:val="center"/>
              <w:rPr>
                <w:sz w:val="20"/>
                <w:szCs w:val="20"/>
              </w:rPr>
            </w:pPr>
            <w:r>
              <w:rPr>
                <w:sz w:val="20"/>
                <w:szCs w:val="20"/>
              </w:rPr>
              <w:t>21</w:t>
            </w:r>
          </w:p>
        </w:tc>
        <w:tc>
          <w:tcPr>
            <w:tcW w:w="997" w:type="dxa"/>
            <w:tcBorders>
              <w:bottom w:val="single" w:sz="4" w:space="0" w:color="auto"/>
            </w:tcBorders>
          </w:tcPr>
          <w:p w:rsidR="00C17581" w:rsidRPr="00C17581" w:rsidRDefault="00C17581" w:rsidP="00350195">
            <w:pPr>
              <w:jc w:val="center"/>
              <w:rPr>
                <w:color w:val="000000" w:themeColor="text1"/>
                <w:sz w:val="20"/>
                <w:szCs w:val="20"/>
              </w:rPr>
            </w:pPr>
            <w:r w:rsidRPr="00C17581">
              <w:rPr>
                <w:color w:val="000000" w:themeColor="text1"/>
                <w:sz w:val="20"/>
                <w:szCs w:val="20"/>
              </w:rPr>
              <w:t>7</w:t>
            </w:r>
          </w:p>
        </w:tc>
        <w:tc>
          <w:tcPr>
            <w:tcW w:w="935" w:type="dxa"/>
            <w:tcBorders>
              <w:bottom w:val="single" w:sz="4" w:space="0" w:color="auto"/>
            </w:tcBorders>
          </w:tcPr>
          <w:p w:rsidR="00C17581" w:rsidRDefault="00C17581" w:rsidP="00CA13C1">
            <w:pPr>
              <w:jc w:val="center"/>
              <w:rPr>
                <w:sz w:val="20"/>
                <w:szCs w:val="20"/>
              </w:rPr>
            </w:pPr>
            <w:r>
              <w:rPr>
                <w:sz w:val="20"/>
                <w:szCs w:val="20"/>
              </w:rPr>
              <w:t>239</w:t>
            </w:r>
          </w:p>
        </w:tc>
        <w:tc>
          <w:tcPr>
            <w:tcW w:w="964" w:type="dxa"/>
            <w:tcBorders>
              <w:bottom w:val="single" w:sz="4" w:space="0" w:color="auto"/>
            </w:tcBorders>
          </w:tcPr>
          <w:p w:rsidR="00C17581" w:rsidRDefault="00C17581" w:rsidP="00CA13C1">
            <w:pPr>
              <w:jc w:val="center"/>
              <w:rPr>
                <w:sz w:val="20"/>
                <w:szCs w:val="20"/>
              </w:rPr>
            </w:pPr>
            <w:r>
              <w:rPr>
                <w:sz w:val="20"/>
                <w:szCs w:val="20"/>
              </w:rPr>
              <w:t>251</w:t>
            </w:r>
          </w:p>
        </w:tc>
        <w:tc>
          <w:tcPr>
            <w:tcW w:w="1338" w:type="dxa"/>
            <w:tcBorders>
              <w:bottom w:val="single" w:sz="4" w:space="0" w:color="auto"/>
            </w:tcBorders>
          </w:tcPr>
          <w:p w:rsidR="00C17581" w:rsidRDefault="00C17581" w:rsidP="00CA13C1">
            <w:pPr>
              <w:jc w:val="center"/>
              <w:rPr>
                <w:sz w:val="20"/>
                <w:szCs w:val="20"/>
              </w:rPr>
            </w:pPr>
            <w:r>
              <w:rPr>
                <w:sz w:val="20"/>
                <w:szCs w:val="20"/>
              </w:rPr>
              <w:t>56</w:t>
            </w:r>
          </w:p>
        </w:tc>
        <w:tc>
          <w:tcPr>
            <w:tcW w:w="1449" w:type="dxa"/>
            <w:tcBorders>
              <w:bottom w:val="single" w:sz="4" w:space="0" w:color="auto"/>
            </w:tcBorders>
          </w:tcPr>
          <w:p w:rsidR="00C17581" w:rsidRDefault="00C17581" w:rsidP="00CA13C1">
            <w:pPr>
              <w:jc w:val="center"/>
              <w:rPr>
                <w:sz w:val="20"/>
                <w:szCs w:val="20"/>
              </w:rPr>
            </w:pPr>
            <w:r>
              <w:rPr>
                <w:sz w:val="20"/>
                <w:szCs w:val="20"/>
              </w:rPr>
              <w:t>Not reached</w:t>
            </w:r>
          </w:p>
        </w:tc>
      </w:tr>
      <w:tr w:rsidR="00C17581" w:rsidTr="00C17581">
        <w:tc>
          <w:tcPr>
            <w:tcW w:w="2544" w:type="dxa"/>
            <w:tcBorders>
              <w:bottom w:val="single" w:sz="4" w:space="0" w:color="auto"/>
            </w:tcBorders>
          </w:tcPr>
          <w:p w:rsidR="00C17581" w:rsidRPr="00D739AE" w:rsidRDefault="00C17581" w:rsidP="00D21CB1">
            <w:pPr>
              <w:rPr>
                <w:sz w:val="20"/>
                <w:szCs w:val="20"/>
              </w:rPr>
            </w:pPr>
            <w:r>
              <w:rPr>
                <w:sz w:val="20"/>
                <w:szCs w:val="20"/>
              </w:rPr>
              <w:t>Pembrolizumab</w:t>
            </w:r>
          </w:p>
        </w:tc>
        <w:tc>
          <w:tcPr>
            <w:tcW w:w="977" w:type="dxa"/>
            <w:tcBorders>
              <w:bottom w:val="single" w:sz="4" w:space="0" w:color="auto"/>
            </w:tcBorders>
          </w:tcPr>
          <w:p w:rsidR="00C17581" w:rsidRDefault="00C17581" w:rsidP="00CA13C1">
            <w:pPr>
              <w:jc w:val="center"/>
              <w:rPr>
                <w:sz w:val="20"/>
                <w:szCs w:val="20"/>
              </w:rPr>
            </w:pPr>
            <w:r>
              <w:rPr>
                <w:sz w:val="20"/>
                <w:szCs w:val="20"/>
              </w:rPr>
              <w:t>586</w:t>
            </w:r>
          </w:p>
        </w:tc>
        <w:tc>
          <w:tcPr>
            <w:tcW w:w="997" w:type="dxa"/>
            <w:tcBorders>
              <w:bottom w:val="single" w:sz="4" w:space="0" w:color="auto"/>
            </w:tcBorders>
          </w:tcPr>
          <w:p w:rsidR="00C17581" w:rsidRPr="00C17581" w:rsidRDefault="00C17581" w:rsidP="00350195">
            <w:pPr>
              <w:jc w:val="center"/>
              <w:rPr>
                <w:color w:val="000000" w:themeColor="text1"/>
                <w:sz w:val="20"/>
                <w:szCs w:val="20"/>
              </w:rPr>
            </w:pPr>
            <w:r w:rsidRPr="00C17581">
              <w:rPr>
                <w:color w:val="000000" w:themeColor="text1"/>
                <w:sz w:val="20"/>
                <w:szCs w:val="20"/>
              </w:rPr>
              <w:t>151</w:t>
            </w:r>
          </w:p>
        </w:tc>
        <w:tc>
          <w:tcPr>
            <w:tcW w:w="935" w:type="dxa"/>
            <w:tcBorders>
              <w:bottom w:val="single" w:sz="4" w:space="0" w:color="auto"/>
            </w:tcBorders>
          </w:tcPr>
          <w:p w:rsidR="00C17581" w:rsidRPr="00D739AE" w:rsidRDefault="00C17581" w:rsidP="00CA13C1">
            <w:pPr>
              <w:jc w:val="center"/>
              <w:rPr>
                <w:sz w:val="20"/>
                <w:szCs w:val="20"/>
              </w:rPr>
            </w:pPr>
            <w:r>
              <w:rPr>
                <w:sz w:val="20"/>
                <w:szCs w:val="20"/>
              </w:rPr>
              <w:t>276</w:t>
            </w:r>
          </w:p>
        </w:tc>
        <w:tc>
          <w:tcPr>
            <w:tcW w:w="964" w:type="dxa"/>
            <w:tcBorders>
              <w:bottom w:val="single" w:sz="4" w:space="0" w:color="auto"/>
            </w:tcBorders>
          </w:tcPr>
          <w:p w:rsidR="00C17581" w:rsidRPr="00D739AE" w:rsidRDefault="00C17581" w:rsidP="00CA13C1">
            <w:pPr>
              <w:jc w:val="center"/>
              <w:rPr>
                <w:sz w:val="20"/>
                <w:szCs w:val="20"/>
              </w:rPr>
            </w:pPr>
            <w:r>
              <w:rPr>
                <w:sz w:val="20"/>
                <w:szCs w:val="20"/>
              </w:rPr>
              <w:t>206</w:t>
            </w:r>
          </w:p>
        </w:tc>
        <w:tc>
          <w:tcPr>
            <w:tcW w:w="1338" w:type="dxa"/>
            <w:tcBorders>
              <w:bottom w:val="single" w:sz="4" w:space="0" w:color="auto"/>
            </w:tcBorders>
          </w:tcPr>
          <w:p w:rsidR="00C17581" w:rsidRPr="00D739AE" w:rsidRDefault="00C17581" w:rsidP="00CA13C1">
            <w:pPr>
              <w:jc w:val="center"/>
              <w:rPr>
                <w:sz w:val="20"/>
                <w:szCs w:val="20"/>
              </w:rPr>
            </w:pPr>
            <w:r>
              <w:rPr>
                <w:sz w:val="20"/>
                <w:szCs w:val="20"/>
              </w:rPr>
              <w:t>170</w:t>
            </w:r>
          </w:p>
        </w:tc>
        <w:tc>
          <w:tcPr>
            <w:tcW w:w="1449" w:type="dxa"/>
            <w:tcBorders>
              <w:bottom w:val="single" w:sz="4" w:space="0" w:color="auto"/>
            </w:tcBorders>
          </w:tcPr>
          <w:p w:rsidR="00C17581" w:rsidRPr="00D739AE" w:rsidRDefault="00C17581" w:rsidP="00CA13C1">
            <w:pPr>
              <w:jc w:val="center"/>
              <w:rPr>
                <w:sz w:val="20"/>
                <w:szCs w:val="20"/>
              </w:rPr>
            </w:pPr>
            <w:r>
              <w:rPr>
                <w:sz w:val="20"/>
                <w:szCs w:val="20"/>
              </w:rPr>
              <w:t>232</w:t>
            </w:r>
          </w:p>
        </w:tc>
      </w:tr>
      <w:tr w:rsidR="00C17581" w:rsidRPr="006331ED" w:rsidTr="00C17581">
        <w:tc>
          <w:tcPr>
            <w:tcW w:w="2544" w:type="dxa"/>
            <w:tcBorders>
              <w:top w:val="single" w:sz="4" w:space="0" w:color="auto"/>
              <w:left w:val="single" w:sz="4" w:space="0" w:color="auto"/>
              <w:bottom w:val="single" w:sz="4" w:space="0" w:color="auto"/>
              <w:right w:val="nil"/>
            </w:tcBorders>
            <w:shd w:val="clear" w:color="auto" w:fill="F2F2F2" w:themeFill="background1" w:themeFillShade="F2"/>
          </w:tcPr>
          <w:p w:rsidR="00C17581" w:rsidRPr="006331ED" w:rsidRDefault="00C17581" w:rsidP="00664663">
            <w:pPr>
              <w:rPr>
                <w:b/>
                <w:sz w:val="20"/>
                <w:szCs w:val="20"/>
              </w:rPr>
            </w:pPr>
            <w:r>
              <w:rPr>
                <w:b/>
                <w:sz w:val="20"/>
                <w:szCs w:val="20"/>
              </w:rPr>
              <w:t>Time on second drug regimen</w:t>
            </w:r>
          </w:p>
        </w:tc>
        <w:tc>
          <w:tcPr>
            <w:tcW w:w="977" w:type="dxa"/>
            <w:tcBorders>
              <w:top w:val="single" w:sz="4" w:space="0" w:color="auto"/>
              <w:left w:val="nil"/>
              <w:bottom w:val="single" w:sz="4" w:space="0" w:color="auto"/>
              <w:right w:val="nil"/>
            </w:tcBorders>
            <w:shd w:val="clear" w:color="auto" w:fill="F2F2F2" w:themeFill="background1" w:themeFillShade="F2"/>
          </w:tcPr>
          <w:p w:rsidR="00C17581" w:rsidRPr="006331ED" w:rsidRDefault="00C17581" w:rsidP="00CA13C1">
            <w:pPr>
              <w:jc w:val="center"/>
              <w:rPr>
                <w:b/>
                <w:sz w:val="20"/>
                <w:szCs w:val="20"/>
              </w:rPr>
            </w:pPr>
            <w:r>
              <w:rPr>
                <w:b/>
                <w:sz w:val="20"/>
                <w:szCs w:val="20"/>
              </w:rPr>
              <w:t>(n=210)</w:t>
            </w:r>
            <w:r>
              <w:rPr>
                <w:b/>
                <w:sz w:val="20"/>
                <w:szCs w:val="20"/>
                <w:vertAlign w:val="superscript"/>
              </w:rPr>
              <w:t xml:space="preserve"> 1</w:t>
            </w:r>
          </w:p>
        </w:tc>
        <w:tc>
          <w:tcPr>
            <w:tcW w:w="997" w:type="dxa"/>
            <w:tcBorders>
              <w:top w:val="single" w:sz="4" w:space="0" w:color="auto"/>
              <w:left w:val="nil"/>
              <w:bottom w:val="single" w:sz="4" w:space="0" w:color="auto"/>
              <w:right w:val="nil"/>
            </w:tcBorders>
            <w:shd w:val="clear" w:color="auto" w:fill="F2F2F2" w:themeFill="background1" w:themeFillShade="F2"/>
          </w:tcPr>
          <w:p w:rsidR="00C17581" w:rsidRPr="00C17581" w:rsidRDefault="00C17581" w:rsidP="00350195">
            <w:pPr>
              <w:jc w:val="center"/>
              <w:rPr>
                <w:b/>
                <w:color w:val="000000" w:themeColor="text1"/>
                <w:sz w:val="20"/>
                <w:szCs w:val="20"/>
              </w:rPr>
            </w:pPr>
          </w:p>
        </w:tc>
        <w:tc>
          <w:tcPr>
            <w:tcW w:w="935" w:type="dxa"/>
            <w:tcBorders>
              <w:top w:val="single" w:sz="4" w:space="0" w:color="auto"/>
              <w:left w:val="nil"/>
              <w:bottom w:val="single" w:sz="4" w:space="0" w:color="auto"/>
              <w:right w:val="nil"/>
            </w:tcBorders>
            <w:shd w:val="clear" w:color="auto" w:fill="F2F2F2" w:themeFill="background1" w:themeFillShade="F2"/>
          </w:tcPr>
          <w:p w:rsidR="00C17581" w:rsidRPr="006331ED" w:rsidRDefault="00C17581" w:rsidP="00CA13C1">
            <w:pPr>
              <w:jc w:val="center"/>
              <w:rPr>
                <w:b/>
                <w:sz w:val="20"/>
                <w:szCs w:val="20"/>
              </w:rPr>
            </w:pPr>
          </w:p>
        </w:tc>
        <w:tc>
          <w:tcPr>
            <w:tcW w:w="964" w:type="dxa"/>
            <w:tcBorders>
              <w:top w:val="single" w:sz="4" w:space="0" w:color="auto"/>
              <w:left w:val="nil"/>
              <w:bottom w:val="single" w:sz="4" w:space="0" w:color="auto"/>
              <w:right w:val="nil"/>
            </w:tcBorders>
            <w:shd w:val="clear" w:color="auto" w:fill="F2F2F2" w:themeFill="background1" w:themeFillShade="F2"/>
          </w:tcPr>
          <w:p w:rsidR="00C17581" w:rsidRPr="006331ED" w:rsidRDefault="00C17581" w:rsidP="00CA13C1">
            <w:pPr>
              <w:jc w:val="center"/>
              <w:rPr>
                <w:b/>
                <w:sz w:val="20"/>
                <w:szCs w:val="20"/>
              </w:rPr>
            </w:pPr>
          </w:p>
        </w:tc>
        <w:tc>
          <w:tcPr>
            <w:tcW w:w="1338" w:type="dxa"/>
            <w:tcBorders>
              <w:top w:val="single" w:sz="4" w:space="0" w:color="auto"/>
              <w:left w:val="nil"/>
              <w:bottom w:val="single" w:sz="4" w:space="0" w:color="auto"/>
              <w:right w:val="nil"/>
            </w:tcBorders>
            <w:shd w:val="clear" w:color="auto" w:fill="F2F2F2" w:themeFill="background1" w:themeFillShade="F2"/>
          </w:tcPr>
          <w:p w:rsidR="00C17581" w:rsidRPr="006331ED" w:rsidRDefault="00C17581" w:rsidP="00CA13C1">
            <w:pPr>
              <w:jc w:val="center"/>
              <w:rPr>
                <w:b/>
                <w:sz w:val="20"/>
                <w:szCs w:val="20"/>
              </w:rPr>
            </w:pPr>
          </w:p>
        </w:tc>
        <w:tc>
          <w:tcPr>
            <w:tcW w:w="1449" w:type="dxa"/>
            <w:tcBorders>
              <w:top w:val="single" w:sz="4" w:space="0" w:color="auto"/>
              <w:left w:val="nil"/>
              <w:bottom w:val="single" w:sz="4" w:space="0" w:color="auto"/>
              <w:right w:val="single" w:sz="4" w:space="0" w:color="auto"/>
            </w:tcBorders>
            <w:shd w:val="clear" w:color="auto" w:fill="F2F2F2" w:themeFill="background1" w:themeFillShade="F2"/>
          </w:tcPr>
          <w:p w:rsidR="00C17581" w:rsidRPr="006331ED" w:rsidRDefault="00C17581" w:rsidP="00CA13C1">
            <w:pPr>
              <w:jc w:val="center"/>
              <w:rPr>
                <w:b/>
                <w:sz w:val="20"/>
                <w:szCs w:val="20"/>
              </w:rPr>
            </w:pPr>
          </w:p>
        </w:tc>
      </w:tr>
      <w:tr w:rsidR="00C17581" w:rsidTr="00C17581">
        <w:tc>
          <w:tcPr>
            <w:tcW w:w="2544" w:type="dxa"/>
            <w:tcBorders>
              <w:top w:val="single" w:sz="4" w:space="0" w:color="auto"/>
            </w:tcBorders>
          </w:tcPr>
          <w:p w:rsidR="00C17581" w:rsidRPr="00B43E10" w:rsidRDefault="00C17581" w:rsidP="00903C06">
            <w:pPr>
              <w:rPr>
                <w:sz w:val="20"/>
                <w:szCs w:val="20"/>
                <w:vertAlign w:val="superscript"/>
              </w:rPr>
            </w:pPr>
            <w:r>
              <w:rPr>
                <w:sz w:val="20"/>
                <w:szCs w:val="20"/>
              </w:rPr>
              <w:t>BRAF targeted therapy</w:t>
            </w:r>
            <w:r w:rsidR="00B43E10">
              <w:rPr>
                <w:sz w:val="20"/>
                <w:szCs w:val="20"/>
                <w:vertAlign w:val="superscript"/>
              </w:rPr>
              <w:t>3</w:t>
            </w:r>
          </w:p>
        </w:tc>
        <w:tc>
          <w:tcPr>
            <w:tcW w:w="977" w:type="dxa"/>
            <w:tcBorders>
              <w:top w:val="single" w:sz="4" w:space="0" w:color="auto"/>
            </w:tcBorders>
          </w:tcPr>
          <w:p w:rsidR="00C17581" w:rsidRDefault="00F90DFA" w:rsidP="00CA13C1">
            <w:pPr>
              <w:jc w:val="center"/>
              <w:rPr>
                <w:sz w:val="20"/>
                <w:szCs w:val="20"/>
              </w:rPr>
            </w:pPr>
            <w:r w:rsidRPr="00F90DFA">
              <w:rPr>
                <w:sz w:val="20"/>
                <w:szCs w:val="20"/>
                <w:highlight w:val="black"/>
              </w:rPr>
              <w:t>x</w:t>
            </w:r>
          </w:p>
        </w:tc>
        <w:tc>
          <w:tcPr>
            <w:tcW w:w="997" w:type="dxa"/>
            <w:tcBorders>
              <w:top w:val="single" w:sz="4" w:space="0" w:color="auto"/>
            </w:tcBorders>
          </w:tcPr>
          <w:p w:rsidR="00C17581" w:rsidRPr="00C17581" w:rsidRDefault="00C17581" w:rsidP="00350195">
            <w:pPr>
              <w:jc w:val="center"/>
              <w:rPr>
                <w:color w:val="000000" w:themeColor="text1"/>
                <w:sz w:val="20"/>
                <w:szCs w:val="20"/>
              </w:rPr>
            </w:pPr>
            <w:r w:rsidRPr="00C17581">
              <w:rPr>
                <w:color w:val="000000" w:themeColor="text1"/>
                <w:sz w:val="20"/>
                <w:szCs w:val="20"/>
              </w:rPr>
              <w:t>NR</w:t>
            </w:r>
          </w:p>
        </w:tc>
        <w:tc>
          <w:tcPr>
            <w:tcW w:w="935" w:type="dxa"/>
            <w:tcBorders>
              <w:top w:val="single" w:sz="4" w:space="0" w:color="auto"/>
            </w:tcBorders>
          </w:tcPr>
          <w:p w:rsidR="00C17581" w:rsidRPr="00D739AE" w:rsidRDefault="00C17581" w:rsidP="00CA13C1">
            <w:pPr>
              <w:jc w:val="center"/>
              <w:rPr>
                <w:sz w:val="20"/>
                <w:szCs w:val="20"/>
              </w:rPr>
            </w:pPr>
            <w:r>
              <w:rPr>
                <w:sz w:val="20"/>
                <w:szCs w:val="20"/>
              </w:rPr>
              <w:t>NR</w:t>
            </w:r>
          </w:p>
        </w:tc>
        <w:tc>
          <w:tcPr>
            <w:tcW w:w="964" w:type="dxa"/>
            <w:tcBorders>
              <w:top w:val="single" w:sz="4" w:space="0" w:color="auto"/>
            </w:tcBorders>
          </w:tcPr>
          <w:p w:rsidR="00C17581" w:rsidRPr="00D739AE" w:rsidRDefault="00C17581" w:rsidP="00CA13C1">
            <w:pPr>
              <w:jc w:val="center"/>
              <w:rPr>
                <w:sz w:val="20"/>
                <w:szCs w:val="20"/>
              </w:rPr>
            </w:pPr>
            <w:r>
              <w:rPr>
                <w:sz w:val="20"/>
                <w:szCs w:val="20"/>
              </w:rPr>
              <w:t>NR</w:t>
            </w:r>
          </w:p>
        </w:tc>
        <w:tc>
          <w:tcPr>
            <w:tcW w:w="1338" w:type="dxa"/>
            <w:tcBorders>
              <w:top w:val="single" w:sz="4" w:space="0" w:color="auto"/>
            </w:tcBorders>
          </w:tcPr>
          <w:p w:rsidR="00C17581" w:rsidRPr="00D739AE" w:rsidRDefault="00C17581" w:rsidP="00CA13C1">
            <w:pPr>
              <w:jc w:val="center"/>
              <w:rPr>
                <w:sz w:val="20"/>
                <w:szCs w:val="20"/>
              </w:rPr>
            </w:pPr>
            <w:r w:rsidRPr="007D3F30">
              <w:rPr>
                <w:sz w:val="20"/>
                <w:szCs w:val="20"/>
              </w:rPr>
              <w:t>NR</w:t>
            </w:r>
          </w:p>
        </w:tc>
        <w:tc>
          <w:tcPr>
            <w:tcW w:w="1449" w:type="dxa"/>
            <w:tcBorders>
              <w:top w:val="single" w:sz="4" w:space="0" w:color="auto"/>
            </w:tcBorders>
          </w:tcPr>
          <w:p w:rsidR="00C17581" w:rsidRPr="00D739AE" w:rsidRDefault="00C17581" w:rsidP="00CA13C1">
            <w:pPr>
              <w:jc w:val="center"/>
              <w:rPr>
                <w:sz w:val="20"/>
                <w:szCs w:val="20"/>
              </w:rPr>
            </w:pPr>
            <w:r w:rsidRPr="007D3F30">
              <w:rPr>
                <w:sz w:val="20"/>
                <w:szCs w:val="20"/>
              </w:rPr>
              <w:t>NR</w:t>
            </w:r>
          </w:p>
        </w:tc>
      </w:tr>
      <w:tr w:rsidR="00C17581" w:rsidTr="00C17581">
        <w:tc>
          <w:tcPr>
            <w:tcW w:w="2544" w:type="dxa"/>
          </w:tcPr>
          <w:p w:rsidR="00C17581" w:rsidRPr="00D739AE" w:rsidRDefault="00C17581" w:rsidP="00D21CB1">
            <w:pPr>
              <w:rPr>
                <w:sz w:val="20"/>
                <w:szCs w:val="20"/>
              </w:rPr>
            </w:pPr>
            <w:r>
              <w:rPr>
                <w:sz w:val="20"/>
                <w:szCs w:val="20"/>
              </w:rPr>
              <w:t>Ipilimumab</w:t>
            </w:r>
          </w:p>
        </w:tc>
        <w:tc>
          <w:tcPr>
            <w:tcW w:w="977" w:type="dxa"/>
          </w:tcPr>
          <w:p w:rsidR="00C17581" w:rsidRDefault="00C17581" w:rsidP="00CA13C1">
            <w:pPr>
              <w:jc w:val="center"/>
              <w:rPr>
                <w:sz w:val="20"/>
                <w:szCs w:val="20"/>
              </w:rPr>
            </w:pPr>
            <w:r>
              <w:rPr>
                <w:sz w:val="20"/>
                <w:szCs w:val="20"/>
              </w:rPr>
              <w:t>107</w:t>
            </w:r>
          </w:p>
        </w:tc>
        <w:tc>
          <w:tcPr>
            <w:tcW w:w="997" w:type="dxa"/>
          </w:tcPr>
          <w:p w:rsidR="00C17581" w:rsidRPr="00C17581" w:rsidRDefault="00C17581" w:rsidP="00350195">
            <w:pPr>
              <w:jc w:val="center"/>
              <w:rPr>
                <w:color w:val="000000" w:themeColor="text1"/>
                <w:sz w:val="20"/>
                <w:szCs w:val="20"/>
              </w:rPr>
            </w:pPr>
            <w:r w:rsidRPr="00C17581">
              <w:rPr>
                <w:color w:val="000000" w:themeColor="text1"/>
                <w:sz w:val="20"/>
                <w:szCs w:val="20"/>
              </w:rPr>
              <w:t>20</w:t>
            </w:r>
          </w:p>
        </w:tc>
        <w:tc>
          <w:tcPr>
            <w:tcW w:w="935" w:type="dxa"/>
          </w:tcPr>
          <w:p w:rsidR="00C17581" w:rsidRPr="00D739AE" w:rsidRDefault="00C17581" w:rsidP="00CA13C1">
            <w:pPr>
              <w:jc w:val="center"/>
              <w:rPr>
                <w:sz w:val="20"/>
                <w:szCs w:val="20"/>
              </w:rPr>
            </w:pPr>
            <w:r>
              <w:rPr>
                <w:sz w:val="20"/>
                <w:szCs w:val="20"/>
              </w:rPr>
              <w:t>61</w:t>
            </w:r>
          </w:p>
        </w:tc>
        <w:tc>
          <w:tcPr>
            <w:tcW w:w="964" w:type="dxa"/>
          </w:tcPr>
          <w:p w:rsidR="00C17581" w:rsidRPr="00D739AE" w:rsidRDefault="00C17581" w:rsidP="00CA13C1">
            <w:pPr>
              <w:jc w:val="center"/>
              <w:rPr>
                <w:sz w:val="20"/>
                <w:szCs w:val="20"/>
              </w:rPr>
            </w:pPr>
            <w:r>
              <w:rPr>
                <w:sz w:val="20"/>
                <w:szCs w:val="20"/>
              </w:rPr>
              <w:t>46</w:t>
            </w:r>
          </w:p>
        </w:tc>
        <w:tc>
          <w:tcPr>
            <w:tcW w:w="1338" w:type="dxa"/>
          </w:tcPr>
          <w:p w:rsidR="00C17581" w:rsidRPr="00D739AE" w:rsidRDefault="00C17581" w:rsidP="00CA13C1">
            <w:pPr>
              <w:jc w:val="center"/>
              <w:rPr>
                <w:sz w:val="20"/>
                <w:szCs w:val="20"/>
              </w:rPr>
            </w:pPr>
            <w:r>
              <w:rPr>
                <w:sz w:val="20"/>
                <w:szCs w:val="20"/>
              </w:rPr>
              <w:t>38</w:t>
            </w:r>
          </w:p>
        </w:tc>
        <w:tc>
          <w:tcPr>
            <w:tcW w:w="1449" w:type="dxa"/>
          </w:tcPr>
          <w:p w:rsidR="00C17581" w:rsidRPr="00D739AE" w:rsidRDefault="00C17581" w:rsidP="00CA13C1">
            <w:pPr>
              <w:jc w:val="center"/>
              <w:rPr>
                <w:sz w:val="20"/>
                <w:szCs w:val="20"/>
              </w:rPr>
            </w:pPr>
            <w:r>
              <w:rPr>
                <w:sz w:val="20"/>
                <w:szCs w:val="20"/>
              </w:rPr>
              <w:t>59</w:t>
            </w:r>
          </w:p>
        </w:tc>
      </w:tr>
      <w:tr w:rsidR="00C17581" w:rsidTr="00945A3E">
        <w:tc>
          <w:tcPr>
            <w:tcW w:w="2544" w:type="dxa"/>
            <w:tcBorders>
              <w:bottom w:val="single" w:sz="4" w:space="0" w:color="auto"/>
            </w:tcBorders>
          </w:tcPr>
          <w:p w:rsidR="00C17581" w:rsidRDefault="00C17581" w:rsidP="00D21CB1">
            <w:pPr>
              <w:rPr>
                <w:sz w:val="20"/>
                <w:szCs w:val="20"/>
              </w:rPr>
            </w:pPr>
            <w:r>
              <w:rPr>
                <w:sz w:val="20"/>
                <w:szCs w:val="20"/>
              </w:rPr>
              <w:t>Nivolumab</w:t>
            </w:r>
          </w:p>
        </w:tc>
        <w:tc>
          <w:tcPr>
            <w:tcW w:w="977" w:type="dxa"/>
            <w:tcBorders>
              <w:bottom w:val="single" w:sz="4" w:space="0" w:color="auto"/>
            </w:tcBorders>
          </w:tcPr>
          <w:p w:rsidR="00C17581" w:rsidRDefault="00C17581" w:rsidP="00CA13C1">
            <w:pPr>
              <w:jc w:val="center"/>
              <w:rPr>
                <w:sz w:val="20"/>
                <w:szCs w:val="20"/>
              </w:rPr>
            </w:pPr>
            <w:r>
              <w:rPr>
                <w:sz w:val="20"/>
                <w:szCs w:val="20"/>
              </w:rPr>
              <w:t>14</w:t>
            </w:r>
          </w:p>
        </w:tc>
        <w:tc>
          <w:tcPr>
            <w:tcW w:w="997" w:type="dxa"/>
            <w:tcBorders>
              <w:bottom w:val="single" w:sz="4" w:space="0" w:color="auto"/>
            </w:tcBorders>
            <w:shd w:val="clear" w:color="auto" w:fill="auto"/>
          </w:tcPr>
          <w:p w:rsidR="00C17581" w:rsidRPr="00C17581" w:rsidRDefault="00F90DFA" w:rsidP="00350195">
            <w:pPr>
              <w:jc w:val="center"/>
              <w:rPr>
                <w:color w:val="000000" w:themeColor="text1"/>
                <w:sz w:val="20"/>
                <w:szCs w:val="20"/>
              </w:rPr>
            </w:pPr>
            <w:r w:rsidRPr="00F90DFA">
              <w:rPr>
                <w:color w:val="000000" w:themeColor="text1"/>
                <w:sz w:val="20"/>
                <w:szCs w:val="20"/>
                <w:highlight w:val="black"/>
              </w:rPr>
              <w:t>x</w:t>
            </w:r>
          </w:p>
        </w:tc>
        <w:tc>
          <w:tcPr>
            <w:tcW w:w="935" w:type="dxa"/>
            <w:tcBorders>
              <w:bottom w:val="single" w:sz="4" w:space="0" w:color="auto"/>
            </w:tcBorders>
          </w:tcPr>
          <w:p w:rsidR="00C17581" w:rsidRDefault="00C17581" w:rsidP="00CA13C1">
            <w:pPr>
              <w:jc w:val="center"/>
              <w:rPr>
                <w:sz w:val="20"/>
                <w:szCs w:val="20"/>
              </w:rPr>
            </w:pPr>
            <w:r>
              <w:rPr>
                <w:sz w:val="20"/>
                <w:szCs w:val="20"/>
              </w:rPr>
              <w:t>137</w:t>
            </w:r>
          </w:p>
        </w:tc>
        <w:tc>
          <w:tcPr>
            <w:tcW w:w="964" w:type="dxa"/>
            <w:tcBorders>
              <w:bottom w:val="single" w:sz="4" w:space="0" w:color="auto"/>
            </w:tcBorders>
          </w:tcPr>
          <w:p w:rsidR="00C17581" w:rsidRDefault="00C17581" w:rsidP="00CA13C1">
            <w:pPr>
              <w:jc w:val="center"/>
              <w:rPr>
                <w:sz w:val="20"/>
                <w:szCs w:val="20"/>
              </w:rPr>
            </w:pPr>
            <w:r>
              <w:rPr>
                <w:sz w:val="20"/>
                <w:szCs w:val="20"/>
              </w:rPr>
              <w:t>74</w:t>
            </w:r>
          </w:p>
        </w:tc>
        <w:tc>
          <w:tcPr>
            <w:tcW w:w="1338" w:type="dxa"/>
            <w:tcBorders>
              <w:bottom w:val="single" w:sz="4" w:space="0" w:color="auto"/>
            </w:tcBorders>
          </w:tcPr>
          <w:p w:rsidR="00C17581" w:rsidRDefault="00F90DFA" w:rsidP="00CA13C1">
            <w:pPr>
              <w:jc w:val="center"/>
              <w:rPr>
                <w:sz w:val="20"/>
                <w:szCs w:val="20"/>
              </w:rPr>
            </w:pPr>
            <w:r w:rsidRPr="00F90DFA">
              <w:rPr>
                <w:sz w:val="20"/>
                <w:szCs w:val="20"/>
                <w:highlight w:val="black"/>
              </w:rPr>
              <w:t>x</w:t>
            </w:r>
          </w:p>
        </w:tc>
        <w:tc>
          <w:tcPr>
            <w:tcW w:w="1449" w:type="dxa"/>
            <w:tcBorders>
              <w:bottom w:val="single" w:sz="4" w:space="0" w:color="auto"/>
            </w:tcBorders>
          </w:tcPr>
          <w:p w:rsidR="00C17581" w:rsidRDefault="00C17581" w:rsidP="00CA13C1">
            <w:pPr>
              <w:jc w:val="center"/>
              <w:rPr>
                <w:sz w:val="20"/>
                <w:szCs w:val="20"/>
              </w:rPr>
            </w:pPr>
            <w:r>
              <w:rPr>
                <w:sz w:val="20"/>
                <w:szCs w:val="20"/>
              </w:rPr>
              <w:t>373</w:t>
            </w:r>
          </w:p>
        </w:tc>
      </w:tr>
      <w:tr w:rsidR="00C17581" w:rsidTr="00C17581">
        <w:tc>
          <w:tcPr>
            <w:tcW w:w="2544" w:type="dxa"/>
            <w:tcBorders>
              <w:bottom w:val="single" w:sz="4" w:space="0" w:color="auto"/>
            </w:tcBorders>
          </w:tcPr>
          <w:p w:rsidR="00C17581" w:rsidRPr="00D739AE" w:rsidRDefault="00C17581" w:rsidP="00D21CB1">
            <w:pPr>
              <w:rPr>
                <w:sz w:val="20"/>
                <w:szCs w:val="20"/>
              </w:rPr>
            </w:pPr>
            <w:r>
              <w:rPr>
                <w:sz w:val="20"/>
                <w:szCs w:val="20"/>
              </w:rPr>
              <w:t>Pembrolizumab</w:t>
            </w:r>
          </w:p>
        </w:tc>
        <w:tc>
          <w:tcPr>
            <w:tcW w:w="977" w:type="dxa"/>
            <w:tcBorders>
              <w:bottom w:val="single" w:sz="4" w:space="0" w:color="auto"/>
            </w:tcBorders>
          </w:tcPr>
          <w:p w:rsidR="00C17581" w:rsidRPr="00D739AE" w:rsidRDefault="00C17581" w:rsidP="00CA13C1">
            <w:pPr>
              <w:jc w:val="center"/>
              <w:rPr>
                <w:sz w:val="20"/>
                <w:szCs w:val="20"/>
              </w:rPr>
            </w:pPr>
            <w:r>
              <w:rPr>
                <w:sz w:val="20"/>
                <w:szCs w:val="20"/>
              </w:rPr>
              <w:t>86</w:t>
            </w:r>
          </w:p>
        </w:tc>
        <w:tc>
          <w:tcPr>
            <w:tcW w:w="997" w:type="dxa"/>
            <w:tcBorders>
              <w:bottom w:val="single" w:sz="4" w:space="0" w:color="auto"/>
            </w:tcBorders>
          </w:tcPr>
          <w:p w:rsidR="00C17581" w:rsidRPr="00C17581" w:rsidRDefault="00C17581" w:rsidP="00350195">
            <w:pPr>
              <w:jc w:val="center"/>
              <w:rPr>
                <w:color w:val="000000" w:themeColor="text1"/>
                <w:sz w:val="20"/>
                <w:szCs w:val="20"/>
              </w:rPr>
            </w:pPr>
            <w:r w:rsidRPr="00C17581">
              <w:rPr>
                <w:color w:val="000000" w:themeColor="text1"/>
                <w:sz w:val="20"/>
                <w:szCs w:val="20"/>
              </w:rPr>
              <w:t>16</w:t>
            </w:r>
          </w:p>
        </w:tc>
        <w:tc>
          <w:tcPr>
            <w:tcW w:w="935" w:type="dxa"/>
            <w:tcBorders>
              <w:bottom w:val="single" w:sz="4" w:space="0" w:color="auto"/>
            </w:tcBorders>
          </w:tcPr>
          <w:p w:rsidR="00C17581" w:rsidRPr="00D739AE" w:rsidRDefault="00C17581" w:rsidP="00CA13C1">
            <w:pPr>
              <w:jc w:val="center"/>
              <w:rPr>
                <w:sz w:val="20"/>
                <w:szCs w:val="20"/>
              </w:rPr>
            </w:pPr>
            <w:r>
              <w:rPr>
                <w:sz w:val="20"/>
                <w:szCs w:val="20"/>
              </w:rPr>
              <w:t>142</w:t>
            </w:r>
          </w:p>
        </w:tc>
        <w:tc>
          <w:tcPr>
            <w:tcW w:w="964" w:type="dxa"/>
            <w:tcBorders>
              <w:bottom w:val="single" w:sz="4" w:space="0" w:color="auto"/>
            </w:tcBorders>
          </w:tcPr>
          <w:p w:rsidR="00C17581" w:rsidRPr="00D739AE" w:rsidRDefault="00C17581" w:rsidP="00CA13C1">
            <w:pPr>
              <w:jc w:val="center"/>
              <w:rPr>
                <w:sz w:val="20"/>
                <w:szCs w:val="20"/>
              </w:rPr>
            </w:pPr>
            <w:r>
              <w:rPr>
                <w:sz w:val="20"/>
                <w:szCs w:val="20"/>
              </w:rPr>
              <w:t>63</w:t>
            </w:r>
          </w:p>
        </w:tc>
        <w:tc>
          <w:tcPr>
            <w:tcW w:w="1338" w:type="dxa"/>
            <w:tcBorders>
              <w:bottom w:val="single" w:sz="4" w:space="0" w:color="auto"/>
            </w:tcBorders>
          </w:tcPr>
          <w:p w:rsidR="00C17581" w:rsidRPr="00D739AE" w:rsidRDefault="00C17581" w:rsidP="00CA13C1">
            <w:pPr>
              <w:jc w:val="center"/>
              <w:rPr>
                <w:sz w:val="20"/>
                <w:szCs w:val="20"/>
              </w:rPr>
            </w:pPr>
            <w:r>
              <w:rPr>
                <w:sz w:val="20"/>
                <w:szCs w:val="20"/>
              </w:rPr>
              <w:t>43</w:t>
            </w:r>
          </w:p>
        </w:tc>
        <w:tc>
          <w:tcPr>
            <w:tcW w:w="1449" w:type="dxa"/>
            <w:tcBorders>
              <w:bottom w:val="single" w:sz="4" w:space="0" w:color="auto"/>
            </w:tcBorders>
          </w:tcPr>
          <w:p w:rsidR="00C17581" w:rsidRPr="00D739AE" w:rsidRDefault="00C17581" w:rsidP="00CA13C1">
            <w:pPr>
              <w:jc w:val="center"/>
              <w:rPr>
                <w:sz w:val="20"/>
                <w:szCs w:val="20"/>
              </w:rPr>
            </w:pPr>
            <w:r>
              <w:rPr>
                <w:sz w:val="20"/>
                <w:szCs w:val="20"/>
              </w:rPr>
              <w:t>84</w:t>
            </w:r>
          </w:p>
        </w:tc>
      </w:tr>
      <w:tr w:rsidR="00C17581" w:rsidRPr="00D80D34" w:rsidTr="00C17581">
        <w:tc>
          <w:tcPr>
            <w:tcW w:w="2544" w:type="dxa"/>
            <w:tcBorders>
              <w:top w:val="single" w:sz="4" w:space="0" w:color="auto"/>
              <w:left w:val="single" w:sz="4" w:space="0" w:color="auto"/>
              <w:bottom w:val="single" w:sz="4" w:space="0" w:color="auto"/>
              <w:right w:val="nil"/>
            </w:tcBorders>
            <w:shd w:val="clear" w:color="auto" w:fill="F2F2F2" w:themeFill="background1" w:themeFillShade="F2"/>
          </w:tcPr>
          <w:p w:rsidR="00C17581" w:rsidRPr="00D80D34" w:rsidRDefault="00C17581" w:rsidP="00964451">
            <w:pPr>
              <w:rPr>
                <w:b/>
                <w:sz w:val="20"/>
                <w:szCs w:val="20"/>
              </w:rPr>
            </w:pPr>
            <w:r>
              <w:rPr>
                <w:b/>
                <w:sz w:val="20"/>
                <w:szCs w:val="20"/>
              </w:rPr>
              <w:t>Time on third drug regimen</w:t>
            </w:r>
          </w:p>
        </w:tc>
        <w:tc>
          <w:tcPr>
            <w:tcW w:w="977" w:type="dxa"/>
            <w:tcBorders>
              <w:top w:val="single" w:sz="4" w:space="0" w:color="auto"/>
              <w:left w:val="nil"/>
              <w:bottom w:val="single" w:sz="4" w:space="0" w:color="auto"/>
              <w:right w:val="nil"/>
            </w:tcBorders>
            <w:shd w:val="clear" w:color="auto" w:fill="F2F2F2" w:themeFill="background1" w:themeFillShade="F2"/>
          </w:tcPr>
          <w:p w:rsidR="00C17581" w:rsidRPr="00D80D34" w:rsidRDefault="00C17581" w:rsidP="00CA13C1">
            <w:pPr>
              <w:jc w:val="center"/>
              <w:rPr>
                <w:b/>
                <w:sz w:val="20"/>
                <w:szCs w:val="20"/>
              </w:rPr>
            </w:pPr>
            <w:r>
              <w:rPr>
                <w:b/>
                <w:sz w:val="20"/>
                <w:szCs w:val="20"/>
              </w:rPr>
              <w:t>(n=37)</w:t>
            </w:r>
            <w:r>
              <w:rPr>
                <w:b/>
                <w:sz w:val="20"/>
                <w:szCs w:val="20"/>
                <w:vertAlign w:val="superscript"/>
              </w:rPr>
              <w:t xml:space="preserve"> 1</w:t>
            </w:r>
          </w:p>
        </w:tc>
        <w:tc>
          <w:tcPr>
            <w:tcW w:w="997" w:type="dxa"/>
            <w:tcBorders>
              <w:top w:val="single" w:sz="4" w:space="0" w:color="auto"/>
              <w:left w:val="nil"/>
              <w:bottom w:val="single" w:sz="4" w:space="0" w:color="auto"/>
              <w:right w:val="nil"/>
            </w:tcBorders>
            <w:shd w:val="clear" w:color="auto" w:fill="F2F2F2" w:themeFill="background1" w:themeFillShade="F2"/>
          </w:tcPr>
          <w:p w:rsidR="00C17581" w:rsidRPr="00C17581" w:rsidRDefault="00C17581" w:rsidP="00350195">
            <w:pPr>
              <w:jc w:val="center"/>
              <w:rPr>
                <w:b/>
                <w:color w:val="000000" w:themeColor="text1"/>
                <w:sz w:val="20"/>
                <w:szCs w:val="20"/>
              </w:rPr>
            </w:pPr>
          </w:p>
        </w:tc>
        <w:tc>
          <w:tcPr>
            <w:tcW w:w="935" w:type="dxa"/>
            <w:tcBorders>
              <w:top w:val="single" w:sz="4" w:space="0" w:color="auto"/>
              <w:left w:val="nil"/>
              <w:bottom w:val="single" w:sz="4" w:space="0" w:color="auto"/>
              <w:right w:val="nil"/>
            </w:tcBorders>
            <w:shd w:val="clear" w:color="auto" w:fill="F2F2F2" w:themeFill="background1" w:themeFillShade="F2"/>
          </w:tcPr>
          <w:p w:rsidR="00C17581" w:rsidRPr="00D80D34" w:rsidRDefault="00C17581" w:rsidP="00CA13C1">
            <w:pPr>
              <w:jc w:val="center"/>
              <w:rPr>
                <w:b/>
                <w:sz w:val="20"/>
                <w:szCs w:val="20"/>
              </w:rPr>
            </w:pPr>
          </w:p>
        </w:tc>
        <w:tc>
          <w:tcPr>
            <w:tcW w:w="964" w:type="dxa"/>
            <w:tcBorders>
              <w:top w:val="single" w:sz="4" w:space="0" w:color="auto"/>
              <w:left w:val="nil"/>
              <w:bottom w:val="single" w:sz="4" w:space="0" w:color="auto"/>
              <w:right w:val="nil"/>
            </w:tcBorders>
            <w:shd w:val="clear" w:color="auto" w:fill="F2F2F2" w:themeFill="background1" w:themeFillShade="F2"/>
          </w:tcPr>
          <w:p w:rsidR="00C17581" w:rsidRPr="00D80D34" w:rsidRDefault="00C17581" w:rsidP="00CA13C1">
            <w:pPr>
              <w:jc w:val="center"/>
              <w:rPr>
                <w:b/>
                <w:sz w:val="20"/>
                <w:szCs w:val="20"/>
              </w:rPr>
            </w:pPr>
          </w:p>
        </w:tc>
        <w:tc>
          <w:tcPr>
            <w:tcW w:w="1338" w:type="dxa"/>
            <w:tcBorders>
              <w:top w:val="single" w:sz="4" w:space="0" w:color="auto"/>
              <w:left w:val="nil"/>
              <w:bottom w:val="single" w:sz="4" w:space="0" w:color="auto"/>
              <w:right w:val="nil"/>
            </w:tcBorders>
            <w:shd w:val="clear" w:color="auto" w:fill="F2F2F2" w:themeFill="background1" w:themeFillShade="F2"/>
          </w:tcPr>
          <w:p w:rsidR="00C17581" w:rsidRPr="00D80D34" w:rsidRDefault="00C17581" w:rsidP="00CA13C1">
            <w:pPr>
              <w:jc w:val="center"/>
              <w:rPr>
                <w:b/>
                <w:sz w:val="20"/>
                <w:szCs w:val="20"/>
              </w:rPr>
            </w:pPr>
          </w:p>
        </w:tc>
        <w:tc>
          <w:tcPr>
            <w:tcW w:w="1449" w:type="dxa"/>
            <w:tcBorders>
              <w:top w:val="single" w:sz="4" w:space="0" w:color="auto"/>
              <w:left w:val="nil"/>
              <w:bottom w:val="single" w:sz="4" w:space="0" w:color="auto"/>
              <w:right w:val="single" w:sz="4" w:space="0" w:color="auto"/>
            </w:tcBorders>
            <w:shd w:val="clear" w:color="auto" w:fill="F2F2F2" w:themeFill="background1" w:themeFillShade="F2"/>
          </w:tcPr>
          <w:p w:rsidR="00C17581" w:rsidRPr="00D80D34" w:rsidRDefault="00C17581" w:rsidP="00CA13C1">
            <w:pPr>
              <w:jc w:val="center"/>
              <w:rPr>
                <w:b/>
                <w:sz w:val="20"/>
                <w:szCs w:val="20"/>
              </w:rPr>
            </w:pPr>
          </w:p>
        </w:tc>
      </w:tr>
      <w:tr w:rsidR="00C17581" w:rsidTr="00C17581">
        <w:tc>
          <w:tcPr>
            <w:tcW w:w="2544" w:type="dxa"/>
            <w:tcBorders>
              <w:top w:val="single" w:sz="4" w:space="0" w:color="auto"/>
            </w:tcBorders>
          </w:tcPr>
          <w:p w:rsidR="00C17581" w:rsidRPr="00B43E10" w:rsidRDefault="00C17581" w:rsidP="00D21CB1">
            <w:pPr>
              <w:rPr>
                <w:sz w:val="20"/>
                <w:szCs w:val="20"/>
                <w:vertAlign w:val="superscript"/>
              </w:rPr>
            </w:pPr>
            <w:r>
              <w:rPr>
                <w:sz w:val="20"/>
                <w:szCs w:val="20"/>
              </w:rPr>
              <w:t>BRAF targeted therapy</w:t>
            </w:r>
            <w:r w:rsidR="00B43E10">
              <w:rPr>
                <w:sz w:val="20"/>
                <w:szCs w:val="20"/>
                <w:vertAlign w:val="superscript"/>
              </w:rPr>
              <w:t>3</w:t>
            </w:r>
          </w:p>
        </w:tc>
        <w:tc>
          <w:tcPr>
            <w:tcW w:w="977" w:type="dxa"/>
            <w:tcBorders>
              <w:top w:val="single" w:sz="4" w:space="0" w:color="auto"/>
            </w:tcBorders>
          </w:tcPr>
          <w:p w:rsidR="00C17581" w:rsidRPr="00D739AE" w:rsidRDefault="00C17581" w:rsidP="00CA13C1">
            <w:pPr>
              <w:jc w:val="center"/>
              <w:rPr>
                <w:sz w:val="20"/>
                <w:szCs w:val="20"/>
              </w:rPr>
            </w:pPr>
            <w:r>
              <w:rPr>
                <w:sz w:val="20"/>
                <w:szCs w:val="20"/>
              </w:rPr>
              <w:t>13</w:t>
            </w:r>
          </w:p>
        </w:tc>
        <w:tc>
          <w:tcPr>
            <w:tcW w:w="997" w:type="dxa"/>
            <w:tcBorders>
              <w:top w:val="single" w:sz="4" w:space="0" w:color="auto"/>
            </w:tcBorders>
          </w:tcPr>
          <w:p w:rsidR="00C17581" w:rsidRPr="00C17581" w:rsidRDefault="00C17581" w:rsidP="00350195">
            <w:pPr>
              <w:jc w:val="center"/>
              <w:rPr>
                <w:color w:val="000000" w:themeColor="text1"/>
                <w:sz w:val="20"/>
                <w:szCs w:val="20"/>
              </w:rPr>
            </w:pPr>
            <w:r w:rsidRPr="00C17581">
              <w:rPr>
                <w:color w:val="000000" w:themeColor="text1"/>
                <w:sz w:val="20"/>
                <w:szCs w:val="20"/>
              </w:rPr>
              <w:t>8</w:t>
            </w:r>
          </w:p>
        </w:tc>
        <w:tc>
          <w:tcPr>
            <w:tcW w:w="935" w:type="dxa"/>
            <w:tcBorders>
              <w:top w:val="single" w:sz="4" w:space="0" w:color="auto"/>
            </w:tcBorders>
          </w:tcPr>
          <w:p w:rsidR="00C17581" w:rsidRPr="00D739AE" w:rsidRDefault="00C17581" w:rsidP="00CA13C1">
            <w:pPr>
              <w:jc w:val="center"/>
              <w:rPr>
                <w:sz w:val="20"/>
                <w:szCs w:val="20"/>
              </w:rPr>
            </w:pPr>
            <w:r>
              <w:rPr>
                <w:sz w:val="20"/>
                <w:szCs w:val="20"/>
              </w:rPr>
              <w:t>64</w:t>
            </w:r>
          </w:p>
        </w:tc>
        <w:tc>
          <w:tcPr>
            <w:tcW w:w="964" w:type="dxa"/>
            <w:tcBorders>
              <w:top w:val="single" w:sz="4" w:space="0" w:color="auto"/>
            </w:tcBorders>
          </w:tcPr>
          <w:p w:rsidR="00C17581" w:rsidRPr="00D739AE" w:rsidRDefault="00C17581" w:rsidP="00CA13C1">
            <w:pPr>
              <w:jc w:val="center"/>
              <w:rPr>
                <w:sz w:val="20"/>
                <w:szCs w:val="20"/>
              </w:rPr>
            </w:pPr>
            <w:r>
              <w:rPr>
                <w:sz w:val="20"/>
                <w:szCs w:val="20"/>
              </w:rPr>
              <w:t>98</w:t>
            </w:r>
          </w:p>
        </w:tc>
        <w:tc>
          <w:tcPr>
            <w:tcW w:w="1338" w:type="dxa"/>
            <w:tcBorders>
              <w:top w:val="single" w:sz="4" w:space="0" w:color="auto"/>
            </w:tcBorders>
          </w:tcPr>
          <w:p w:rsidR="00C17581" w:rsidRPr="00D739AE" w:rsidRDefault="00C17581" w:rsidP="00CA13C1">
            <w:pPr>
              <w:jc w:val="center"/>
              <w:rPr>
                <w:sz w:val="20"/>
                <w:szCs w:val="20"/>
              </w:rPr>
            </w:pPr>
            <w:r>
              <w:rPr>
                <w:sz w:val="20"/>
                <w:szCs w:val="20"/>
              </w:rPr>
              <w:t>Not estimated</w:t>
            </w:r>
          </w:p>
        </w:tc>
        <w:tc>
          <w:tcPr>
            <w:tcW w:w="1449" w:type="dxa"/>
            <w:tcBorders>
              <w:top w:val="single" w:sz="4" w:space="0" w:color="auto"/>
            </w:tcBorders>
          </w:tcPr>
          <w:p w:rsidR="00C17581" w:rsidRPr="00D739AE" w:rsidRDefault="00C17581" w:rsidP="00CA13C1">
            <w:pPr>
              <w:jc w:val="center"/>
              <w:rPr>
                <w:sz w:val="20"/>
                <w:szCs w:val="20"/>
              </w:rPr>
            </w:pPr>
            <w:r>
              <w:rPr>
                <w:sz w:val="20"/>
                <w:szCs w:val="20"/>
              </w:rPr>
              <w:t>Not estimated</w:t>
            </w:r>
          </w:p>
        </w:tc>
      </w:tr>
      <w:tr w:rsidR="00C17581" w:rsidTr="00F90DFA">
        <w:tc>
          <w:tcPr>
            <w:tcW w:w="2544" w:type="dxa"/>
          </w:tcPr>
          <w:p w:rsidR="00C17581" w:rsidRPr="00D739AE" w:rsidRDefault="00C17581" w:rsidP="00D21CB1">
            <w:pPr>
              <w:rPr>
                <w:sz w:val="20"/>
                <w:szCs w:val="20"/>
              </w:rPr>
            </w:pPr>
            <w:r>
              <w:rPr>
                <w:sz w:val="20"/>
                <w:szCs w:val="20"/>
              </w:rPr>
              <w:t>Ipilimumab</w:t>
            </w:r>
          </w:p>
        </w:tc>
        <w:tc>
          <w:tcPr>
            <w:tcW w:w="977" w:type="dxa"/>
          </w:tcPr>
          <w:p w:rsidR="00C17581" w:rsidRPr="00D739AE" w:rsidRDefault="00C17581" w:rsidP="00CA13C1">
            <w:pPr>
              <w:jc w:val="center"/>
              <w:rPr>
                <w:sz w:val="20"/>
                <w:szCs w:val="20"/>
              </w:rPr>
            </w:pPr>
            <w:r>
              <w:rPr>
                <w:sz w:val="20"/>
                <w:szCs w:val="20"/>
              </w:rPr>
              <w:t>16</w:t>
            </w:r>
          </w:p>
        </w:tc>
        <w:tc>
          <w:tcPr>
            <w:tcW w:w="997" w:type="dxa"/>
            <w:shd w:val="clear" w:color="auto" w:fill="auto"/>
          </w:tcPr>
          <w:p w:rsidR="00C17581" w:rsidRPr="00F90DFA" w:rsidRDefault="00F90DFA" w:rsidP="00350195">
            <w:pPr>
              <w:jc w:val="center"/>
              <w:rPr>
                <w:color w:val="000000" w:themeColor="text1"/>
                <w:sz w:val="20"/>
                <w:szCs w:val="20"/>
                <w:highlight w:val="black"/>
              </w:rPr>
            </w:pPr>
            <w:r w:rsidRPr="00F90DFA">
              <w:rPr>
                <w:color w:val="000000" w:themeColor="text1"/>
                <w:sz w:val="20"/>
                <w:szCs w:val="20"/>
                <w:highlight w:val="black"/>
              </w:rPr>
              <w:t>x</w:t>
            </w:r>
          </w:p>
        </w:tc>
        <w:tc>
          <w:tcPr>
            <w:tcW w:w="935" w:type="dxa"/>
          </w:tcPr>
          <w:p w:rsidR="00C17581" w:rsidRPr="00D739AE" w:rsidRDefault="00C17581" w:rsidP="00CA13C1">
            <w:pPr>
              <w:jc w:val="center"/>
              <w:rPr>
                <w:sz w:val="20"/>
                <w:szCs w:val="20"/>
              </w:rPr>
            </w:pPr>
            <w:r>
              <w:rPr>
                <w:sz w:val="20"/>
                <w:szCs w:val="20"/>
              </w:rPr>
              <w:t>63</w:t>
            </w:r>
          </w:p>
        </w:tc>
        <w:tc>
          <w:tcPr>
            <w:tcW w:w="964" w:type="dxa"/>
          </w:tcPr>
          <w:p w:rsidR="00C17581" w:rsidRPr="00D739AE" w:rsidRDefault="00C17581" w:rsidP="00CA13C1">
            <w:pPr>
              <w:jc w:val="center"/>
              <w:rPr>
                <w:sz w:val="20"/>
                <w:szCs w:val="20"/>
              </w:rPr>
            </w:pPr>
            <w:r>
              <w:rPr>
                <w:sz w:val="20"/>
                <w:szCs w:val="20"/>
              </w:rPr>
              <w:t>33</w:t>
            </w:r>
          </w:p>
        </w:tc>
        <w:tc>
          <w:tcPr>
            <w:tcW w:w="1338" w:type="dxa"/>
          </w:tcPr>
          <w:p w:rsidR="00C17581" w:rsidRPr="00D739AE" w:rsidRDefault="00C17581" w:rsidP="00CA13C1">
            <w:pPr>
              <w:jc w:val="center"/>
              <w:rPr>
                <w:sz w:val="20"/>
                <w:szCs w:val="20"/>
              </w:rPr>
            </w:pPr>
            <w:r>
              <w:rPr>
                <w:sz w:val="20"/>
                <w:szCs w:val="20"/>
              </w:rPr>
              <w:t>17</w:t>
            </w:r>
          </w:p>
        </w:tc>
        <w:tc>
          <w:tcPr>
            <w:tcW w:w="1449" w:type="dxa"/>
          </w:tcPr>
          <w:p w:rsidR="00C17581" w:rsidRPr="00D739AE" w:rsidRDefault="00C17581" w:rsidP="00CA13C1">
            <w:pPr>
              <w:jc w:val="center"/>
              <w:rPr>
                <w:sz w:val="20"/>
                <w:szCs w:val="20"/>
              </w:rPr>
            </w:pPr>
            <w:r>
              <w:rPr>
                <w:sz w:val="20"/>
                <w:szCs w:val="20"/>
              </w:rPr>
              <w:t>67</w:t>
            </w:r>
          </w:p>
        </w:tc>
      </w:tr>
      <w:tr w:rsidR="00C17581" w:rsidTr="00F90DFA">
        <w:tc>
          <w:tcPr>
            <w:tcW w:w="2544" w:type="dxa"/>
          </w:tcPr>
          <w:p w:rsidR="00C17581" w:rsidRDefault="00C17581" w:rsidP="00D21CB1">
            <w:pPr>
              <w:rPr>
                <w:sz w:val="20"/>
                <w:szCs w:val="20"/>
              </w:rPr>
            </w:pPr>
            <w:r>
              <w:rPr>
                <w:sz w:val="20"/>
                <w:szCs w:val="20"/>
              </w:rPr>
              <w:t>Nivolumab</w:t>
            </w:r>
            <w:r>
              <w:rPr>
                <w:sz w:val="20"/>
                <w:szCs w:val="20"/>
                <w:vertAlign w:val="superscript"/>
              </w:rPr>
              <w:t>2</w:t>
            </w:r>
          </w:p>
        </w:tc>
        <w:tc>
          <w:tcPr>
            <w:tcW w:w="977" w:type="dxa"/>
          </w:tcPr>
          <w:p w:rsidR="00C17581" w:rsidRPr="00F90DFA" w:rsidRDefault="00F90DFA" w:rsidP="00CA13C1">
            <w:pPr>
              <w:jc w:val="center"/>
              <w:rPr>
                <w:sz w:val="20"/>
                <w:szCs w:val="20"/>
                <w:highlight w:val="black"/>
              </w:rPr>
            </w:pPr>
            <w:r w:rsidRPr="00F90DFA">
              <w:rPr>
                <w:sz w:val="20"/>
                <w:szCs w:val="20"/>
                <w:highlight w:val="black"/>
              </w:rPr>
              <w:t>x</w:t>
            </w:r>
          </w:p>
        </w:tc>
        <w:tc>
          <w:tcPr>
            <w:tcW w:w="997" w:type="dxa"/>
            <w:shd w:val="clear" w:color="auto" w:fill="auto"/>
          </w:tcPr>
          <w:p w:rsidR="00C17581" w:rsidRPr="00F90DFA" w:rsidRDefault="00F90DFA" w:rsidP="00350195">
            <w:pPr>
              <w:tabs>
                <w:tab w:val="left" w:pos="215"/>
                <w:tab w:val="center" w:pos="388"/>
              </w:tabs>
              <w:jc w:val="center"/>
              <w:rPr>
                <w:color w:val="000000" w:themeColor="text1"/>
                <w:sz w:val="20"/>
                <w:szCs w:val="20"/>
                <w:highlight w:val="black"/>
              </w:rPr>
            </w:pPr>
            <w:r w:rsidRPr="00F90DFA">
              <w:rPr>
                <w:color w:val="000000" w:themeColor="text1"/>
                <w:sz w:val="20"/>
                <w:szCs w:val="20"/>
                <w:highlight w:val="black"/>
              </w:rPr>
              <w:t>x</w:t>
            </w:r>
          </w:p>
        </w:tc>
        <w:tc>
          <w:tcPr>
            <w:tcW w:w="935" w:type="dxa"/>
          </w:tcPr>
          <w:p w:rsidR="00C17581" w:rsidRDefault="00C17581" w:rsidP="00CA13C1">
            <w:pPr>
              <w:jc w:val="center"/>
              <w:rPr>
                <w:sz w:val="20"/>
                <w:szCs w:val="20"/>
              </w:rPr>
            </w:pPr>
            <w:r>
              <w:rPr>
                <w:sz w:val="20"/>
                <w:szCs w:val="20"/>
              </w:rPr>
              <w:t>NR</w:t>
            </w:r>
          </w:p>
        </w:tc>
        <w:tc>
          <w:tcPr>
            <w:tcW w:w="964" w:type="dxa"/>
          </w:tcPr>
          <w:p w:rsidR="00C17581" w:rsidRDefault="00C17581" w:rsidP="00AC7988">
            <w:pPr>
              <w:tabs>
                <w:tab w:val="left" w:pos="215"/>
                <w:tab w:val="center" w:pos="388"/>
              </w:tabs>
              <w:jc w:val="center"/>
              <w:rPr>
                <w:sz w:val="20"/>
                <w:szCs w:val="20"/>
              </w:rPr>
            </w:pPr>
            <w:r>
              <w:rPr>
                <w:sz w:val="20"/>
                <w:szCs w:val="20"/>
              </w:rPr>
              <w:t>NR</w:t>
            </w:r>
          </w:p>
        </w:tc>
        <w:tc>
          <w:tcPr>
            <w:tcW w:w="1338" w:type="dxa"/>
          </w:tcPr>
          <w:p w:rsidR="00C17581" w:rsidRDefault="00C17581" w:rsidP="00CA13C1">
            <w:pPr>
              <w:jc w:val="center"/>
              <w:rPr>
                <w:sz w:val="20"/>
                <w:szCs w:val="20"/>
              </w:rPr>
            </w:pPr>
            <w:r>
              <w:rPr>
                <w:sz w:val="20"/>
                <w:szCs w:val="20"/>
              </w:rPr>
              <w:t>NR</w:t>
            </w:r>
          </w:p>
        </w:tc>
        <w:tc>
          <w:tcPr>
            <w:tcW w:w="1449" w:type="dxa"/>
          </w:tcPr>
          <w:p w:rsidR="00C17581" w:rsidRDefault="00C17581" w:rsidP="00CA13C1">
            <w:pPr>
              <w:jc w:val="center"/>
              <w:rPr>
                <w:sz w:val="20"/>
                <w:szCs w:val="20"/>
              </w:rPr>
            </w:pPr>
            <w:r>
              <w:rPr>
                <w:sz w:val="20"/>
                <w:szCs w:val="20"/>
              </w:rPr>
              <w:t>NR</w:t>
            </w:r>
          </w:p>
        </w:tc>
      </w:tr>
      <w:tr w:rsidR="00C17581" w:rsidTr="00F90DFA">
        <w:tc>
          <w:tcPr>
            <w:tcW w:w="2544" w:type="dxa"/>
          </w:tcPr>
          <w:p w:rsidR="00C17581" w:rsidRPr="00D739AE" w:rsidRDefault="00C17581" w:rsidP="00D21CB1">
            <w:pPr>
              <w:rPr>
                <w:sz w:val="20"/>
                <w:szCs w:val="20"/>
              </w:rPr>
            </w:pPr>
            <w:r>
              <w:rPr>
                <w:sz w:val="20"/>
                <w:szCs w:val="20"/>
              </w:rPr>
              <w:t>Pembrolizumab</w:t>
            </w:r>
            <w:r>
              <w:rPr>
                <w:sz w:val="20"/>
                <w:szCs w:val="20"/>
                <w:vertAlign w:val="superscript"/>
              </w:rPr>
              <w:t>2</w:t>
            </w:r>
          </w:p>
        </w:tc>
        <w:tc>
          <w:tcPr>
            <w:tcW w:w="977" w:type="dxa"/>
          </w:tcPr>
          <w:p w:rsidR="00C17581" w:rsidRPr="00F90DFA" w:rsidRDefault="00F90DFA" w:rsidP="00CA13C1">
            <w:pPr>
              <w:jc w:val="center"/>
              <w:rPr>
                <w:sz w:val="20"/>
                <w:szCs w:val="20"/>
                <w:highlight w:val="black"/>
              </w:rPr>
            </w:pPr>
            <w:r w:rsidRPr="00F90DFA">
              <w:rPr>
                <w:sz w:val="20"/>
                <w:szCs w:val="20"/>
                <w:highlight w:val="black"/>
              </w:rPr>
              <w:t>x</w:t>
            </w:r>
          </w:p>
        </w:tc>
        <w:tc>
          <w:tcPr>
            <w:tcW w:w="997" w:type="dxa"/>
            <w:shd w:val="clear" w:color="auto" w:fill="auto"/>
          </w:tcPr>
          <w:p w:rsidR="00C17581" w:rsidRPr="00F90DFA" w:rsidRDefault="00F90DFA" w:rsidP="00350195">
            <w:pPr>
              <w:tabs>
                <w:tab w:val="left" w:pos="215"/>
                <w:tab w:val="center" w:pos="388"/>
              </w:tabs>
              <w:jc w:val="center"/>
              <w:rPr>
                <w:color w:val="000000" w:themeColor="text1"/>
                <w:sz w:val="20"/>
                <w:szCs w:val="20"/>
                <w:highlight w:val="black"/>
              </w:rPr>
            </w:pPr>
            <w:r w:rsidRPr="00F90DFA">
              <w:rPr>
                <w:color w:val="000000" w:themeColor="text1"/>
                <w:sz w:val="20"/>
                <w:szCs w:val="20"/>
                <w:highlight w:val="black"/>
              </w:rPr>
              <w:t>x</w:t>
            </w:r>
          </w:p>
        </w:tc>
        <w:tc>
          <w:tcPr>
            <w:tcW w:w="935" w:type="dxa"/>
          </w:tcPr>
          <w:p w:rsidR="00C17581" w:rsidRPr="00D739AE" w:rsidRDefault="00C17581" w:rsidP="00CA13C1">
            <w:pPr>
              <w:jc w:val="center"/>
              <w:rPr>
                <w:sz w:val="20"/>
                <w:szCs w:val="20"/>
              </w:rPr>
            </w:pPr>
            <w:r>
              <w:rPr>
                <w:sz w:val="20"/>
                <w:szCs w:val="20"/>
              </w:rPr>
              <w:t>NR</w:t>
            </w:r>
          </w:p>
        </w:tc>
        <w:tc>
          <w:tcPr>
            <w:tcW w:w="964" w:type="dxa"/>
          </w:tcPr>
          <w:p w:rsidR="00C17581" w:rsidRPr="00D739AE" w:rsidRDefault="00C17581" w:rsidP="00AC7988">
            <w:pPr>
              <w:tabs>
                <w:tab w:val="left" w:pos="215"/>
                <w:tab w:val="center" w:pos="388"/>
              </w:tabs>
              <w:jc w:val="center"/>
              <w:rPr>
                <w:sz w:val="20"/>
                <w:szCs w:val="20"/>
              </w:rPr>
            </w:pPr>
            <w:r>
              <w:rPr>
                <w:sz w:val="20"/>
                <w:szCs w:val="20"/>
              </w:rPr>
              <w:t>NR</w:t>
            </w:r>
          </w:p>
        </w:tc>
        <w:tc>
          <w:tcPr>
            <w:tcW w:w="1338" w:type="dxa"/>
          </w:tcPr>
          <w:p w:rsidR="00C17581" w:rsidRPr="00D739AE" w:rsidRDefault="00C17581" w:rsidP="00CA13C1">
            <w:pPr>
              <w:jc w:val="center"/>
              <w:rPr>
                <w:sz w:val="20"/>
                <w:szCs w:val="20"/>
              </w:rPr>
            </w:pPr>
            <w:r>
              <w:rPr>
                <w:sz w:val="20"/>
                <w:szCs w:val="20"/>
              </w:rPr>
              <w:t>NR</w:t>
            </w:r>
          </w:p>
        </w:tc>
        <w:tc>
          <w:tcPr>
            <w:tcW w:w="1449" w:type="dxa"/>
          </w:tcPr>
          <w:p w:rsidR="00C17581" w:rsidRPr="00D739AE" w:rsidRDefault="00C17581" w:rsidP="00CA13C1">
            <w:pPr>
              <w:jc w:val="center"/>
              <w:rPr>
                <w:sz w:val="20"/>
                <w:szCs w:val="20"/>
              </w:rPr>
            </w:pPr>
            <w:r>
              <w:rPr>
                <w:sz w:val="20"/>
                <w:szCs w:val="20"/>
              </w:rPr>
              <w:t>NR</w:t>
            </w:r>
          </w:p>
        </w:tc>
      </w:tr>
    </w:tbl>
    <w:p w:rsidR="00014EF1" w:rsidRPr="00014EF1" w:rsidRDefault="00014EF1" w:rsidP="00FD6D4A">
      <w:pPr>
        <w:spacing w:after="0"/>
        <w:rPr>
          <w:rFonts w:ascii="Calibri" w:eastAsia="MS Mincho" w:hAnsi="Calibri" w:cs="Times New Roman"/>
          <w:sz w:val="20"/>
          <w:szCs w:val="20"/>
        </w:rPr>
      </w:pPr>
      <w:r w:rsidRPr="0012165B">
        <w:rPr>
          <w:rFonts w:ascii="Calibri" w:eastAsia="MS Mincho" w:hAnsi="Calibri" w:cs="Times New Roman"/>
          <w:sz w:val="20"/>
          <w:szCs w:val="20"/>
        </w:rPr>
        <w:t xml:space="preserve">Source: </w:t>
      </w:r>
      <w:r w:rsidR="00C70641">
        <w:rPr>
          <w:rFonts w:ascii="Calibri" w:eastAsia="MS Mincho" w:hAnsi="Calibri" w:cs="Times New Roman"/>
          <w:sz w:val="20"/>
          <w:szCs w:val="20"/>
        </w:rPr>
        <w:t>DHS prescription claims</w:t>
      </w:r>
      <w:r>
        <w:rPr>
          <w:rFonts w:ascii="Calibri" w:eastAsia="MS Mincho" w:hAnsi="Calibri" w:cs="Times New Roman"/>
          <w:sz w:val="20"/>
          <w:szCs w:val="20"/>
        </w:rPr>
        <w:t xml:space="preserve"> database, based on the date of supply. Data extracted on 20 March 2018.</w:t>
      </w:r>
    </w:p>
    <w:p w:rsidR="00D739AE" w:rsidRDefault="00A975D4" w:rsidP="00FD6D4A">
      <w:pPr>
        <w:spacing w:after="0"/>
        <w:rPr>
          <w:sz w:val="20"/>
          <w:szCs w:val="20"/>
        </w:rPr>
      </w:pPr>
      <w:r w:rsidRPr="006130AE">
        <w:rPr>
          <w:sz w:val="20"/>
          <w:szCs w:val="20"/>
        </w:rPr>
        <w:t>Note:</w:t>
      </w:r>
    </w:p>
    <w:p w:rsidR="008011D1" w:rsidRPr="008011D1" w:rsidRDefault="008011D1" w:rsidP="00FD6D4A">
      <w:pPr>
        <w:spacing w:after="0"/>
        <w:rPr>
          <w:sz w:val="20"/>
          <w:szCs w:val="20"/>
        </w:rPr>
      </w:pPr>
      <w:r>
        <w:rPr>
          <w:sz w:val="20"/>
          <w:szCs w:val="20"/>
          <w:vertAlign w:val="superscript"/>
        </w:rPr>
        <w:t>1</w:t>
      </w:r>
      <w:r>
        <w:rPr>
          <w:sz w:val="20"/>
          <w:szCs w:val="20"/>
        </w:rPr>
        <w:t xml:space="preserve"> </w:t>
      </w:r>
      <w:r w:rsidR="000F5484">
        <w:rPr>
          <w:sz w:val="20"/>
          <w:szCs w:val="20"/>
        </w:rPr>
        <w:t>Treatment breaks included.</w:t>
      </w:r>
    </w:p>
    <w:p w:rsidR="00A975D4" w:rsidRDefault="008011D1" w:rsidP="00FD6D4A">
      <w:pPr>
        <w:spacing w:after="0"/>
      </w:pPr>
      <w:r>
        <w:rPr>
          <w:vertAlign w:val="superscript"/>
        </w:rPr>
        <w:t>2</w:t>
      </w:r>
      <w:r w:rsidR="006130AE">
        <w:t xml:space="preserve"> </w:t>
      </w:r>
      <w:r w:rsidR="00903C06">
        <w:rPr>
          <w:sz w:val="20"/>
          <w:szCs w:val="20"/>
        </w:rPr>
        <w:t>Not analysed as few patients were supplied PD-1 inhibitors after two different prior drug regimens</w:t>
      </w:r>
      <w:r w:rsidR="006130AE" w:rsidRPr="006130AE">
        <w:rPr>
          <w:sz w:val="20"/>
          <w:szCs w:val="20"/>
        </w:rPr>
        <w:t>.</w:t>
      </w:r>
      <w:r w:rsidR="006130AE">
        <w:t xml:space="preserve"> </w:t>
      </w:r>
    </w:p>
    <w:p w:rsidR="00B43E10" w:rsidRPr="00B43E10" w:rsidRDefault="00B43E10" w:rsidP="00FD6D4A">
      <w:pPr>
        <w:spacing w:after="0"/>
      </w:pPr>
      <w:r>
        <w:rPr>
          <w:vertAlign w:val="superscript"/>
        </w:rPr>
        <w:t>3</w:t>
      </w:r>
      <w:r>
        <w:t xml:space="preserve"> </w:t>
      </w:r>
      <w:r w:rsidRPr="00B43E10">
        <w:rPr>
          <w:sz w:val="20"/>
          <w:szCs w:val="20"/>
        </w:rPr>
        <w:t>Either supplied as monotherapy or used in combination with a MEK inhibitor.</w:t>
      </w:r>
    </w:p>
    <w:p w:rsidR="00B43E10" w:rsidRPr="006130AE" w:rsidRDefault="00B43E10" w:rsidP="00FD6D4A">
      <w:pPr>
        <w:spacing w:after="0"/>
      </w:pPr>
    </w:p>
    <w:p w:rsidR="002239DE" w:rsidRDefault="00D10DA6" w:rsidP="00A35800">
      <w:r>
        <w:rPr>
          <w:noProof/>
        </w:rPr>
        <w:drawing>
          <wp:inline distT="0" distB="0" distL="0" distR="0" wp14:anchorId="51589395" wp14:editId="4E2296D7">
            <wp:extent cx="4943475" cy="3398003"/>
            <wp:effectExtent l="0" t="0" r="0" b="0"/>
            <wp:docPr id="11" name="Picture 11" descr="Kaplan meier estimate for time on therapy in 2016" title="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949578" cy="3402198"/>
                    </a:xfrm>
                    <a:prstGeom prst="rect">
                      <a:avLst/>
                    </a:prstGeom>
                    <a:noFill/>
                    <a:ln>
                      <a:noFill/>
                    </a:ln>
                  </pic:spPr>
                </pic:pic>
              </a:graphicData>
            </a:graphic>
          </wp:inline>
        </w:drawing>
      </w:r>
    </w:p>
    <w:p w:rsidR="007A2165" w:rsidRPr="00FF78B9" w:rsidRDefault="00157878" w:rsidP="00FF78B9">
      <w:pPr>
        <w:rPr>
          <w:b/>
        </w:rPr>
      </w:pPr>
      <w:r w:rsidRPr="00FF78B9">
        <w:rPr>
          <w:b/>
        </w:rPr>
        <w:lastRenderedPageBreak/>
        <w:t>Figure 6</w:t>
      </w:r>
      <w:r w:rsidR="001802C7" w:rsidRPr="00FF78B9">
        <w:rPr>
          <w:b/>
        </w:rPr>
        <w:t xml:space="preserve">. Kaplan-Meier estimate for time to treatment discontinuation </w:t>
      </w:r>
      <w:r w:rsidR="00973DF2" w:rsidRPr="00FF78B9">
        <w:rPr>
          <w:b/>
        </w:rPr>
        <w:t>for any supply of</w:t>
      </w:r>
      <w:r w:rsidR="001802C7" w:rsidRPr="00FF78B9">
        <w:rPr>
          <w:b/>
        </w:rPr>
        <w:t xml:space="preserve"> melanoma medicine</w:t>
      </w:r>
      <w:r w:rsidR="00010473" w:rsidRPr="00FF78B9">
        <w:rPr>
          <w:b/>
        </w:rPr>
        <w:t xml:space="preserve"> for initiators between January to June 2016</w:t>
      </w:r>
    </w:p>
    <w:p w:rsidR="00442DB6" w:rsidRDefault="00442DB6" w:rsidP="00A35800">
      <w:pPr>
        <w:rPr>
          <w:noProof/>
        </w:rPr>
      </w:pPr>
    </w:p>
    <w:p w:rsidR="00442DB6" w:rsidRDefault="00B30BE9" w:rsidP="00A35800">
      <w:pPr>
        <w:rPr>
          <w:noProof/>
        </w:rPr>
      </w:pPr>
      <w:r>
        <w:rPr>
          <w:noProof/>
        </w:rPr>
        <w:drawing>
          <wp:inline distT="0" distB="0" distL="0" distR="0" wp14:anchorId="20019C89" wp14:editId="78DEF2DB">
            <wp:extent cx="4924425" cy="3381094"/>
            <wp:effectExtent l="0" t="0" r="0" b="0"/>
            <wp:docPr id="9" name="Picture 9" descr="Kaplan Meier estimate for time on therapy for 2016 initiators" title="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935326" cy="3388578"/>
                    </a:xfrm>
                    <a:prstGeom prst="rect">
                      <a:avLst/>
                    </a:prstGeom>
                    <a:noFill/>
                    <a:ln>
                      <a:noFill/>
                    </a:ln>
                  </pic:spPr>
                </pic:pic>
              </a:graphicData>
            </a:graphic>
          </wp:inline>
        </w:drawing>
      </w:r>
    </w:p>
    <w:p w:rsidR="007A2165" w:rsidRPr="00FF78B9" w:rsidRDefault="001E4ECC" w:rsidP="00FF78B9">
      <w:pPr>
        <w:rPr>
          <w:b/>
        </w:rPr>
      </w:pPr>
      <w:r w:rsidRPr="00FF78B9">
        <w:rPr>
          <w:b/>
        </w:rPr>
        <w:t xml:space="preserve">Figure </w:t>
      </w:r>
      <w:r w:rsidR="00157878" w:rsidRPr="00FF78B9">
        <w:rPr>
          <w:b/>
        </w:rPr>
        <w:t>7</w:t>
      </w:r>
      <w:r w:rsidR="000D6C9B" w:rsidRPr="00FF78B9">
        <w:rPr>
          <w:b/>
        </w:rPr>
        <w:t>. Kaplan-Meier estimate for time to treatment discontinuation of the first melanoma medicine</w:t>
      </w:r>
      <w:r w:rsidR="0084542A" w:rsidRPr="00FF78B9">
        <w:rPr>
          <w:b/>
        </w:rPr>
        <w:t xml:space="preserve"> supplied to a patient</w:t>
      </w:r>
      <w:r w:rsidR="001B7B1B" w:rsidRPr="00FF78B9">
        <w:rPr>
          <w:b/>
        </w:rPr>
        <w:t xml:space="preserve"> for initiators between January to June 2016</w:t>
      </w:r>
    </w:p>
    <w:p w:rsidR="001E5FAC" w:rsidRDefault="001E5FAC" w:rsidP="006A2A44">
      <w:pPr>
        <w:pStyle w:val="Figurecaption"/>
      </w:pPr>
      <w:r>
        <w:t>Note: BRAF targeted therapy – dabrafenib, dabrafenib+trametinib, vemurafenib, vemurafenib+cobimetinib; CLTA-4 inhibitor – iplilimumab; PD-1 inhibitor – pembrolizumab, nivolumab.</w:t>
      </w:r>
    </w:p>
    <w:p w:rsidR="0042750B" w:rsidRDefault="0042750B" w:rsidP="00944958">
      <w:pPr>
        <w:spacing w:after="0"/>
      </w:pPr>
    </w:p>
    <w:p w:rsidR="005E4575" w:rsidRDefault="0062032B" w:rsidP="00944958">
      <w:pPr>
        <w:spacing w:after="0"/>
      </w:pPr>
      <w:r>
        <w:t xml:space="preserve">There were 210 patients in the 2016 initiating cohort who were supplied a second drug regimen. The time on their second drug regimen was compared between the prior drug regimen that was supplied </w:t>
      </w:r>
      <w:r w:rsidR="00287214">
        <w:t xml:space="preserve">(Table 8). There were </w:t>
      </w:r>
      <w:r w:rsidR="00287214" w:rsidRPr="00287214">
        <w:t xml:space="preserve">only a small number of cases </w:t>
      </w:r>
      <w:r w:rsidR="00FD1AAF">
        <w:t xml:space="preserve">(n=10) </w:t>
      </w:r>
      <w:r w:rsidR="00287214" w:rsidRPr="00287214">
        <w:t>where patients first initiated on dab</w:t>
      </w:r>
      <w:r w:rsidR="006E1A58">
        <w:t xml:space="preserve">rafenib monotherapy, nivolumab </w:t>
      </w:r>
      <w:r w:rsidR="00287214" w:rsidRPr="00287214">
        <w:t>or vemurafenib with cobimetinib who were supplied another drug regimen.</w:t>
      </w:r>
      <w:r w:rsidR="00287214">
        <w:t xml:space="preserve"> As such, these cases were excluded from the analysis (Table 8). </w:t>
      </w:r>
    </w:p>
    <w:p w:rsidR="005256C7" w:rsidRDefault="005256C7" w:rsidP="00944958">
      <w:pPr>
        <w:spacing w:after="0"/>
      </w:pPr>
    </w:p>
    <w:p w:rsidR="00A4475F" w:rsidRPr="00FF78B9" w:rsidRDefault="00A4475F" w:rsidP="00FF78B9">
      <w:pPr>
        <w:rPr>
          <w:b/>
        </w:rPr>
      </w:pPr>
      <w:r w:rsidRPr="00FF78B9">
        <w:rPr>
          <w:b/>
        </w:rPr>
        <w:t>Table</w:t>
      </w:r>
      <w:r w:rsidR="004E0DDB" w:rsidRPr="00FF78B9">
        <w:rPr>
          <w:b/>
        </w:rPr>
        <w:t xml:space="preserve"> 8</w:t>
      </w:r>
      <w:r w:rsidRPr="00FF78B9" w:rsidDel="00EE2BBB">
        <w:rPr>
          <w:b/>
        </w:rPr>
        <w:t xml:space="preserve">: </w:t>
      </w:r>
      <w:r w:rsidRPr="00FF78B9">
        <w:rPr>
          <w:b/>
        </w:rPr>
        <w:t xml:space="preserve"> Duration of treatment </w:t>
      </w:r>
      <w:r w:rsidR="00715154" w:rsidRPr="00FF78B9">
        <w:rPr>
          <w:b/>
        </w:rPr>
        <w:t xml:space="preserve">on a second drug regimen </w:t>
      </w:r>
      <w:r w:rsidRPr="00FF78B9">
        <w:rPr>
          <w:b/>
        </w:rPr>
        <w:t xml:space="preserve">by </w:t>
      </w:r>
      <w:r w:rsidR="00715154" w:rsidRPr="00FF78B9">
        <w:rPr>
          <w:b/>
        </w:rPr>
        <w:t>the prior drug regimen supplied</w:t>
      </w:r>
      <w:r w:rsidRPr="00FF78B9">
        <w:rPr>
          <w:b/>
        </w:rPr>
        <w:t>, including treatment breaks</w:t>
      </w:r>
      <w:r w:rsidR="00715154" w:rsidRPr="00FF78B9">
        <w:rPr>
          <w:b/>
        </w:rPr>
        <w:t>,</w:t>
      </w:r>
      <w:r w:rsidR="00555D06" w:rsidRPr="00FF78B9">
        <w:rPr>
          <w:b/>
        </w:rPr>
        <w:t xml:space="preserve"> for initiators between January to June 2016</w:t>
      </w:r>
    </w:p>
    <w:tbl>
      <w:tblPr>
        <w:tblStyle w:val="TableGrid"/>
        <w:tblW w:w="0" w:type="auto"/>
        <w:tblLook w:val="04A0" w:firstRow="1" w:lastRow="0" w:firstColumn="1" w:lastColumn="0" w:noHBand="0" w:noVBand="1"/>
        <w:tblCaption w:val="Table 8"/>
        <w:tblDescription w:val="Duration of treatment on second drug regimen"/>
      </w:tblPr>
      <w:tblGrid>
        <w:gridCol w:w="3227"/>
        <w:gridCol w:w="567"/>
        <w:gridCol w:w="992"/>
        <w:gridCol w:w="992"/>
        <w:gridCol w:w="1418"/>
        <w:gridCol w:w="1559"/>
      </w:tblGrid>
      <w:tr w:rsidR="00A4475F" w:rsidRPr="00D739AE" w:rsidTr="00FF78B9">
        <w:trPr>
          <w:tblHeader/>
        </w:trPr>
        <w:tc>
          <w:tcPr>
            <w:tcW w:w="3227" w:type="dxa"/>
            <w:tcBorders>
              <w:top w:val="nil"/>
              <w:left w:val="nil"/>
              <w:bottom w:val="single" w:sz="4" w:space="0" w:color="auto"/>
            </w:tcBorders>
          </w:tcPr>
          <w:p w:rsidR="00A4475F" w:rsidRPr="00D739AE" w:rsidRDefault="00A4475F" w:rsidP="009D5935">
            <w:pPr>
              <w:rPr>
                <w:sz w:val="20"/>
                <w:szCs w:val="20"/>
              </w:rPr>
            </w:pPr>
          </w:p>
        </w:tc>
        <w:tc>
          <w:tcPr>
            <w:tcW w:w="567" w:type="dxa"/>
            <w:tcBorders>
              <w:bottom w:val="single" w:sz="4" w:space="0" w:color="auto"/>
            </w:tcBorders>
            <w:shd w:val="clear" w:color="auto" w:fill="F2F2F2" w:themeFill="background1" w:themeFillShade="F2"/>
          </w:tcPr>
          <w:p w:rsidR="00A4475F" w:rsidRDefault="00A4475F" w:rsidP="009D5935">
            <w:pPr>
              <w:jc w:val="center"/>
              <w:rPr>
                <w:b/>
                <w:sz w:val="20"/>
                <w:szCs w:val="20"/>
              </w:rPr>
            </w:pPr>
            <w:r>
              <w:rPr>
                <w:b/>
                <w:sz w:val="20"/>
                <w:szCs w:val="20"/>
              </w:rPr>
              <w:t>N</w:t>
            </w:r>
          </w:p>
          <w:p w:rsidR="00A4475F" w:rsidRPr="00D739AE" w:rsidRDefault="00A4475F" w:rsidP="009D5935">
            <w:pPr>
              <w:jc w:val="center"/>
              <w:rPr>
                <w:b/>
                <w:sz w:val="20"/>
                <w:szCs w:val="20"/>
              </w:rPr>
            </w:pPr>
          </w:p>
        </w:tc>
        <w:tc>
          <w:tcPr>
            <w:tcW w:w="992" w:type="dxa"/>
            <w:tcBorders>
              <w:bottom w:val="single" w:sz="4" w:space="0" w:color="auto"/>
            </w:tcBorders>
            <w:shd w:val="clear" w:color="auto" w:fill="F2F2F2" w:themeFill="background1" w:themeFillShade="F2"/>
          </w:tcPr>
          <w:p w:rsidR="00A4475F" w:rsidRPr="00D739AE" w:rsidRDefault="00A4475F" w:rsidP="009D5935">
            <w:pPr>
              <w:jc w:val="center"/>
              <w:rPr>
                <w:b/>
                <w:sz w:val="20"/>
                <w:szCs w:val="20"/>
              </w:rPr>
            </w:pPr>
            <w:r w:rsidRPr="00D739AE">
              <w:rPr>
                <w:b/>
                <w:sz w:val="20"/>
                <w:szCs w:val="20"/>
              </w:rPr>
              <w:t>Mean</w:t>
            </w:r>
            <w:r>
              <w:rPr>
                <w:b/>
                <w:sz w:val="20"/>
                <w:szCs w:val="20"/>
              </w:rPr>
              <w:t xml:space="preserve"> (days)</w:t>
            </w:r>
          </w:p>
        </w:tc>
        <w:tc>
          <w:tcPr>
            <w:tcW w:w="992" w:type="dxa"/>
            <w:tcBorders>
              <w:bottom w:val="single" w:sz="4" w:space="0" w:color="auto"/>
            </w:tcBorders>
            <w:shd w:val="clear" w:color="auto" w:fill="F2F2F2" w:themeFill="background1" w:themeFillShade="F2"/>
          </w:tcPr>
          <w:p w:rsidR="00A4475F" w:rsidRPr="00D739AE" w:rsidRDefault="00A4475F" w:rsidP="009D5935">
            <w:pPr>
              <w:jc w:val="center"/>
              <w:rPr>
                <w:b/>
                <w:sz w:val="20"/>
                <w:szCs w:val="20"/>
              </w:rPr>
            </w:pPr>
            <w:r w:rsidRPr="00D739AE">
              <w:rPr>
                <w:b/>
                <w:sz w:val="20"/>
                <w:szCs w:val="20"/>
              </w:rPr>
              <w:t>Median</w:t>
            </w:r>
            <w:r>
              <w:rPr>
                <w:b/>
                <w:sz w:val="20"/>
                <w:szCs w:val="20"/>
              </w:rPr>
              <w:t xml:space="preserve"> (days)</w:t>
            </w:r>
          </w:p>
        </w:tc>
        <w:tc>
          <w:tcPr>
            <w:tcW w:w="1418" w:type="dxa"/>
            <w:tcBorders>
              <w:bottom w:val="single" w:sz="4" w:space="0" w:color="auto"/>
            </w:tcBorders>
            <w:shd w:val="clear" w:color="auto" w:fill="F2F2F2" w:themeFill="background1" w:themeFillShade="F2"/>
          </w:tcPr>
          <w:p w:rsidR="00A4475F" w:rsidRPr="00D739AE" w:rsidRDefault="00A4475F" w:rsidP="009D5935">
            <w:pPr>
              <w:jc w:val="center"/>
              <w:rPr>
                <w:b/>
                <w:sz w:val="20"/>
                <w:szCs w:val="20"/>
              </w:rPr>
            </w:pPr>
            <w:r w:rsidRPr="00D739AE">
              <w:rPr>
                <w:b/>
                <w:sz w:val="20"/>
                <w:szCs w:val="20"/>
              </w:rPr>
              <w:t>Lower 95% CI</w:t>
            </w:r>
            <w:r>
              <w:rPr>
                <w:b/>
                <w:sz w:val="20"/>
                <w:szCs w:val="20"/>
              </w:rPr>
              <w:t xml:space="preserve"> (days)</w:t>
            </w:r>
          </w:p>
        </w:tc>
        <w:tc>
          <w:tcPr>
            <w:tcW w:w="1559" w:type="dxa"/>
            <w:tcBorders>
              <w:bottom w:val="single" w:sz="4" w:space="0" w:color="auto"/>
            </w:tcBorders>
            <w:shd w:val="clear" w:color="auto" w:fill="F2F2F2" w:themeFill="background1" w:themeFillShade="F2"/>
          </w:tcPr>
          <w:p w:rsidR="00A4475F" w:rsidRPr="00D739AE" w:rsidRDefault="00A4475F" w:rsidP="009D5935">
            <w:pPr>
              <w:jc w:val="center"/>
              <w:rPr>
                <w:b/>
                <w:sz w:val="20"/>
                <w:szCs w:val="20"/>
              </w:rPr>
            </w:pPr>
            <w:r w:rsidRPr="00D739AE">
              <w:rPr>
                <w:b/>
                <w:sz w:val="20"/>
                <w:szCs w:val="20"/>
              </w:rPr>
              <w:t>Upper 95% CI</w:t>
            </w:r>
            <w:r>
              <w:rPr>
                <w:b/>
                <w:sz w:val="20"/>
                <w:szCs w:val="20"/>
              </w:rPr>
              <w:t xml:space="preserve"> (days)</w:t>
            </w:r>
          </w:p>
        </w:tc>
      </w:tr>
      <w:tr w:rsidR="00A4475F" w:rsidRPr="00D739AE" w:rsidTr="009D5935">
        <w:tc>
          <w:tcPr>
            <w:tcW w:w="3227" w:type="dxa"/>
          </w:tcPr>
          <w:p w:rsidR="00A4475F" w:rsidRPr="00D739AE" w:rsidRDefault="00A4475F" w:rsidP="009D5935">
            <w:pPr>
              <w:rPr>
                <w:sz w:val="20"/>
                <w:szCs w:val="20"/>
              </w:rPr>
            </w:pPr>
            <w:r>
              <w:rPr>
                <w:sz w:val="20"/>
                <w:szCs w:val="20"/>
              </w:rPr>
              <w:t>Dabrafenib+trametinib to ipilimumab</w:t>
            </w:r>
          </w:p>
        </w:tc>
        <w:tc>
          <w:tcPr>
            <w:tcW w:w="567" w:type="dxa"/>
          </w:tcPr>
          <w:p w:rsidR="00A4475F" w:rsidRDefault="00A4475F" w:rsidP="009D5935">
            <w:pPr>
              <w:jc w:val="center"/>
              <w:rPr>
                <w:sz w:val="20"/>
                <w:szCs w:val="20"/>
              </w:rPr>
            </w:pPr>
            <w:r>
              <w:rPr>
                <w:sz w:val="20"/>
                <w:szCs w:val="20"/>
              </w:rPr>
              <w:t>37</w:t>
            </w:r>
          </w:p>
        </w:tc>
        <w:tc>
          <w:tcPr>
            <w:tcW w:w="992" w:type="dxa"/>
          </w:tcPr>
          <w:p w:rsidR="00A4475F" w:rsidRDefault="00A4475F" w:rsidP="009D5935">
            <w:pPr>
              <w:jc w:val="center"/>
              <w:rPr>
                <w:sz w:val="20"/>
                <w:szCs w:val="20"/>
              </w:rPr>
            </w:pPr>
            <w:r>
              <w:rPr>
                <w:sz w:val="20"/>
                <w:szCs w:val="20"/>
              </w:rPr>
              <w:t>55</w:t>
            </w:r>
          </w:p>
        </w:tc>
        <w:tc>
          <w:tcPr>
            <w:tcW w:w="992" w:type="dxa"/>
          </w:tcPr>
          <w:p w:rsidR="00A4475F" w:rsidRDefault="00A4475F" w:rsidP="009D5935">
            <w:pPr>
              <w:jc w:val="center"/>
              <w:rPr>
                <w:sz w:val="20"/>
                <w:szCs w:val="20"/>
              </w:rPr>
            </w:pPr>
            <w:r>
              <w:rPr>
                <w:sz w:val="20"/>
                <w:szCs w:val="20"/>
              </w:rPr>
              <w:t>43</w:t>
            </w:r>
          </w:p>
        </w:tc>
        <w:tc>
          <w:tcPr>
            <w:tcW w:w="1418" w:type="dxa"/>
          </w:tcPr>
          <w:p w:rsidR="00A4475F" w:rsidRDefault="00A4475F" w:rsidP="009D5935">
            <w:pPr>
              <w:jc w:val="center"/>
              <w:rPr>
                <w:sz w:val="20"/>
                <w:szCs w:val="20"/>
              </w:rPr>
            </w:pPr>
            <w:r>
              <w:rPr>
                <w:sz w:val="20"/>
                <w:szCs w:val="20"/>
              </w:rPr>
              <w:t>22</w:t>
            </w:r>
          </w:p>
        </w:tc>
        <w:tc>
          <w:tcPr>
            <w:tcW w:w="1559" w:type="dxa"/>
          </w:tcPr>
          <w:p w:rsidR="00A4475F" w:rsidRDefault="00A4475F" w:rsidP="009D5935">
            <w:pPr>
              <w:jc w:val="center"/>
              <w:rPr>
                <w:sz w:val="20"/>
                <w:szCs w:val="20"/>
              </w:rPr>
            </w:pPr>
            <w:r>
              <w:rPr>
                <w:sz w:val="20"/>
                <w:szCs w:val="20"/>
              </w:rPr>
              <w:t>56</w:t>
            </w:r>
          </w:p>
        </w:tc>
      </w:tr>
      <w:tr w:rsidR="00A4475F" w:rsidRPr="00D739AE" w:rsidTr="009D5935">
        <w:tc>
          <w:tcPr>
            <w:tcW w:w="3227" w:type="dxa"/>
          </w:tcPr>
          <w:p w:rsidR="00A4475F" w:rsidRPr="00D739AE" w:rsidRDefault="00A4475F" w:rsidP="009D5935">
            <w:pPr>
              <w:rPr>
                <w:sz w:val="20"/>
                <w:szCs w:val="20"/>
              </w:rPr>
            </w:pPr>
            <w:r>
              <w:rPr>
                <w:sz w:val="20"/>
                <w:szCs w:val="20"/>
              </w:rPr>
              <w:t>Dabrafenib+trametinib to nivolumab</w:t>
            </w:r>
          </w:p>
        </w:tc>
        <w:tc>
          <w:tcPr>
            <w:tcW w:w="567" w:type="dxa"/>
          </w:tcPr>
          <w:p w:rsidR="00A4475F" w:rsidRDefault="00A4475F" w:rsidP="009D5935">
            <w:pPr>
              <w:jc w:val="center"/>
              <w:rPr>
                <w:sz w:val="20"/>
                <w:szCs w:val="20"/>
              </w:rPr>
            </w:pPr>
            <w:r>
              <w:rPr>
                <w:sz w:val="20"/>
                <w:szCs w:val="20"/>
              </w:rPr>
              <w:t>14</w:t>
            </w:r>
          </w:p>
        </w:tc>
        <w:tc>
          <w:tcPr>
            <w:tcW w:w="992" w:type="dxa"/>
          </w:tcPr>
          <w:p w:rsidR="00A4475F" w:rsidRDefault="00A4475F" w:rsidP="009D5935">
            <w:pPr>
              <w:jc w:val="center"/>
              <w:rPr>
                <w:sz w:val="20"/>
                <w:szCs w:val="20"/>
              </w:rPr>
            </w:pPr>
            <w:r>
              <w:rPr>
                <w:sz w:val="20"/>
                <w:szCs w:val="20"/>
              </w:rPr>
              <w:t>137</w:t>
            </w:r>
          </w:p>
        </w:tc>
        <w:tc>
          <w:tcPr>
            <w:tcW w:w="992" w:type="dxa"/>
          </w:tcPr>
          <w:p w:rsidR="00A4475F" w:rsidRDefault="00A4475F" w:rsidP="009D5935">
            <w:pPr>
              <w:jc w:val="center"/>
              <w:rPr>
                <w:sz w:val="20"/>
                <w:szCs w:val="20"/>
              </w:rPr>
            </w:pPr>
            <w:r>
              <w:rPr>
                <w:sz w:val="20"/>
                <w:szCs w:val="20"/>
              </w:rPr>
              <w:t>74</w:t>
            </w:r>
          </w:p>
        </w:tc>
        <w:tc>
          <w:tcPr>
            <w:tcW w:w="1418" w:type="dxa"/>
          </w:tcPr>
          <w:p w:rsidR="00A4475F" w:rsidRDefault="00A4475F" w:rsidP="009D5935">
            <w:pPr>
              <w:jc w:val="center"/>
              <w:rPr>
                <w:sz w:val="20"/>
                <w:szCs w:val="20"/>
              </w:rPr>
            </w:pPr>
            <w:r>
              <w:rPr>
                <w:sz w:val="20"/>
                <w:szCs w:val="20"/>
              </w:rPr>
              <w:t>3</w:t>
            </w:r>
          </w:p>
        </w:tc>
        <w:tc>
          <w:tcPr>
            <w:tcW w:w="1559" w:type="dxa"/>
          </w:tcPr>
          <w:p w:rsidR="00A4475F" w:rsidRDefault="00A4475F" w:rsidP="009D5935">
            <w:pPr>
              <w:jc w:val="center"/>
              <w:rPr>
                <w:sz w:val="20"/>
                <w:szCs w:val="20"/>
              </w:rPr>
            </w:pPr>
            <w:r>
              <w:rPr>
                <w:sz w:val="20"/>
                <w:szCs w:val="20"/>
              </w:rPr>
              <w:t>373</w:t>
            </w:r>
          </w:p>
        </w:tc>
      </w:tr>
      <w:tr w:rsidR="00A4475F" w:rsidRPr="00D739AE" w:rsidTr="009D5935">
        <w:tc>
          <w:tcPr>
            <w:tcW w:w="3227" w:type="dxa"/>
          </w:tcPr>
          <w:p w:rsidR="00A4475F" w:rsidRPr="00D739AE" w:rsidRDefault="00A4475F" w:rsidP="009D5935">
            <w:pPr>
              <w:rPr>
                <w:sz w:val="20"/>
                <w:szCs w:val="20"/>
              </w:rPr>
            </w:pPr>
            <w:r>
              <w:rPr>
                <w:sz w:val="20"/>
                <w:szCs w:val="20"/>
              </w:rPr>
              <w:t>Dabrafenib+trametinib to pembrolizumab</w:t>
            </w:r>
          </w:p>
        </w:tc>
        <w:tc>
          <w:tcPr>
            <w:tcW w:w="567" w:type="dxa"/>
          </w:tcPr>
          <w:p w:rsidR="00A4475F" w:rsidRDefault="00A4475F" w:rsidP="009D5935">
            <w:pPr>
              <w:jc w:val="center"/>
              <w:rPr>
                <w:sz w:val="20"/>
                <w:szCs w:val="20"/>
              </w:rPr>
            </w:pPr>
            <w:r>
              <w:rPr>
                <w:sz w:val="20"/>
                <w:szCs w:val="20"/>
              </w:rPr>
              <w:t>80</w:t>
            </w:r>
          </w:p>
        </w:tc>
        <w:tc>
          <w:tcPr>
            <w:tcW w:w="992" w:type="dxa"/>
          </w:tcPr>
          <w:p w:rsidR="00A4475F" w:rsidRDefault="00A4475F" w:rsidP="009D5935">
            <w:pPr>
              <w:jc w:val="center"/>
              <w:rPr>
                <w:sz w:val="20"/>
                <w:szCs w:val="20"/>
              </w:rPr>
            </w:pPr>
            <w:r>
              <w:rPr>
                <w:sz w:val="20"/>
                <w:szCs w:val="20"/>
              </w:rPr>
              <w:t>105</w:t>
            </w:r>
          </w:p>
        </w:tc>
        <w:tc>
          <w:tcPr>
            <w:tcW w:w="992" w:type="dxa"/>
          </w:tcPr>
          <w:p w:rsidR="00A4475F" w:rsidRDefault="00A4475F" w:rsidP="009D5935">
            <w:pPr>
              <w:jc w:val="center"/>
              <w:rPr>
                <w:sz w:val="20"/>
                <w:szCs w:val="20"/>
              </w:rPr>
            </w:pPr>
            <w:r>
              <w:rPr>
                <w:sz w:val="20"/>
                <w:szCs w:val="20"/>
              </w:rPr>
              <w:t>63</w:t>
            </w:r>
          </w:p>
        </w:tc>
        <w:tc>
          <w:tcPr>
            <w:tcW w:w="1418" w:type="dxa"/>
          </w:tcPr>
          <w:p w:rsidR="00A4475F" w:rsidRDefault="00A4475F" w:rsidP="009D5935">
            <w:pPr>
              <w:jc w:val="center"/>
              <w:rPr>
                <w:sz w:val="20"/>
                <w:szCs w:val="20"/>
              </w:rPr>
            </w:pPr>
            <w:r>
              <w:rPr>
                <w:sz w:val="20"/>
                <w:szCs w:val="20"/>
              </w:rPr>
              <w:t>43</w:t>
            </w:r>
          </w:p>
        </w:tc>
        <w:tc>
          <w:tcPr>
            <w:tcW w:w="1559" w:type="dxa"/>
          </w:tcPr>
          <w:p w:rsidR="00A4475F" w:rsidRDefault="00A4475F" w:rsidP="009D5935">
            <w:pPr>
              <w:jc w:val="center"/>
              <w:rPr>
                <w:sz w:val="20"/>
                <w:szCs w:val="20"/>
              </w:rPr>
            </w:pPr>
            <w:r>
              <w:rPr>
                <w:sz w:val="20"/>
                <w:szCs w:val="20"/>
              </w:rPr>
              <w:t>84</w:t>
            </w:r>
          </w:p>
        </w:tc>
      </w:tr>
      <w:tr w:rsidR="00A4475F" w:rsidRPr="00D739AE" w:rsidTr="009D5935">
        <w:tc>
          <w:tcPr>
            <w:tcW w:w="3227" w:type="dxa"/>
          </w:tcPr>
          <w:p w:rsidR="00A4475F" w:rsidRPr="00D739AE" w:rsidRDefault="00A4475F" w:rsidP="009D5935">
            <w:pPr>
              <w:rPr>
                <w:sz w:val="20"/>
                <w:szCs w:val="20"/>
              </w:rPr>
            </w:pPr>
            <w:r>
              <w:rPr>
                <w:sz w:val="20"/>
                <w:szCs w:val="20"/>
              </w:rPr>
              <w:t>Pembrolizumab to ipilimumab</w:t>
            </w:r>
          </w:p>
        </w:tc>
        <w:tc>
          <w:tcPr>
            <w:tcW w:w="567" w:type="dxa"/>
          </w:tcPr>
          <w:p w:rsidR="00A4475F" w:rsidRDefault="00A4475F" w:rsidP="009D5935">
            <w:pPr>
              <w:jc w:val="center"/>
              <w:rPr>
                <w:sz w:val="20"/>
                <w:szCs w:val="20"/>
              </w:rPr>
            </w:pPr>
            <w:r>
              <w:rPr>
                <w:sz w:val="20"/>
                <w:szCs w:val="20"/>
              </w:rPr>
              <w:t>66</w:t>
            </w:r>
          </w:p>
        </w:tc>
        <w:tc>
          <w:tcPr>
            <w:tcW w:w="992" w:type="dxa"/>
          </w:tcPr>
          <w:p w:rsidR="00A4475F" w:rsidRDefault="00A4475F" w:rsidP="009D5935">
            <w:pPr>
              <w:jc w:val="center"/>
              <w:rPr>
                <w:sz w:val="20"/>
                <w:szCs w:val="20"/>
              </w:rPr>
            </w:pPr>
            <w:r>
              <w:rPr>
                <w:sz w:val="20"/>
                <w:szCs w:val="20"/>
              </w:rPr>
              <w:t>68</w:t>
            </w:r>
          </w:p>
        </w:tc>
        <w:tc>
          <w:tcPr>
            <w:tcW w:w="992" w:type="dxa"/>
          </w:tcPr>
          <w:p w:rsidR="00A4475F" w:rsidRDefault="00A4475F" w:rsidP="009D5935">
            <w:pPr>
              <w:jc w:val="center"/>
              <w:rPr>
                <w:sz w:val="20"/>
                <w:szCs w:val="20"/>
              </w:rPr>
            </w:pPr>
            <w:r>
              <w:rPr>
                <w:sz w:val="20"/>
                <w:szCs w:val="20"/>
              </w:rPr>
              <w:t>55</w:t>
            </w:r>
          </w:p>
        </w:tc>
        <w:tc>
          <w:tcPr>
            <w:tcW w:w="1418" w:type="dxa"/>
          </w:tcPr>
          <w:p w:rsidR="00A4475F" w:rsidRDefault="00A4475F" w:rsidP="009D5935">
            <w:pPr>
              <w:jc w:val="center"/>
              <w:rPr>
                <w:sz w:val="20"/>
                <w:szCs w:val="20"/>
              </w:rPr>
            </w:pPr>
            <w:r>
              <w:rPr>
                <w:sz w:val="20"/>
                <w:szCs w:val="20"/>
              </w:rPr>
              <w:t>32</w:t>
            </w:r>
          </w:p>
        </w:tc>
        <w:tc>
          <w:tcPr>
            <w:tcW w:w="1559" w:type="dxa"/>
          </w:tcPr>
          <w:p w:rsidR="00A4475F" w:rsidRDefault="00A4475F" w:rsidP="009D5935">
            <w:pPr>
              <w:jc w:val="center"/>
              <w:rPr>
                <w:sz w:val="20"/>
                <w:szCs w:val="20"/>
              </w:rPr>
            </w:pPr>
            <w:r>
              <w:rPr>
                <w:sz w:val="20"/>
                <w:szCs w:val="20"/>
              </w:rPr>
              <w:t>64</w:t>
            </w:r>
          </w:p>
        </w:tc>
      </w:tr>
    </w:tbl>
    <w:p w:rsidR="00C77D43" w:rsidRPr="00014EF1" w:rsidRDefault="00C77D43" w:rsidP="00D21ED9">
      <w:pPr>
        <w:spacing w:after="0"/>
        <w:rPr>
          <w:rFonts w:ascii="Calibri" w:eastAsia="MS Mincho" w:hAnsi="Calibri" w:cs="Times New Roman"/>
          <w:sz w:val="20"/>
          <w:szCs w:val="20"/>
        </w:rPr>
      </w:pPr>
      <w:r w:rsidRPr="0012165B">
        <w:rPr>
          <w:rFonts w:ascii="Calibri" w:eastAsia="MS Mincho" w:hAnsi="Calibri" w:cs="Times New Roman"/>
          <w:sz w:val="20"/>
          <w:szCs w:val="20"/>
        </w:rPr>
        <w:t xml:space="preserve">Source: </w:t>
      </w:r>
      <w:r w:rsidR="00451AC6">
        <w:rPr>
          <w:rFonts w:ascii="Calibri" w:eastAsia="MS Mincho" w:hAnsi="Calibri" w:cs="Times New Roman"/>
          <w:sz w:val="20"/>
          <w:szCs w:val="20"/>
        </w:rPr>
        <w:t>DHS prescription claims</w:t>
      </w:r>
      <w:r>
        <w:rPr>
          <w:rFonts w:ascii="Calibri" w:eastAsia="MS Mincho" w:hAnsi="Calibri" w:cs="Times New Roman"/>
          <w:sz w:val="20"/>
          <w:szCs w:val="20"/>
        </w:rPr>
        <w:t xml:space="preserve"> database, based on the date of supply. Data extracted on 20 March 2018.</w:t>
      </w:r>
    </w:p>
    <w:p w:rsidR="00F41B66" w:rsidRPr="00816D2F" w:rsidRDefault="00816D2F" w:rsidP="00944958">
      <w:bookmarkStart w:id="0" w:name="_GoBack"/>
      <w:bookmarkEnd w:id="0"/>
      <w:r>
        <w:lastRenderedPageBreak/>
        <w:t xml:space="preserve">Most patients progressing to a second drug regimen were supplied dabrafenib with trametinib as their first drug regimen (Table 8). The time on </w:t>
      </w:r>
      <w:r w:rsidR="004E71B4">
        <w:t xml:space="preserve">pembrolizumab and nivolumab </w:t>
      </w:r>
      <w:r w:rsidR="009A5550">
        <w:t xml:space="preserve">as a second drug regimen </w:t>
      </w:r>
      <w:r w:rsidR="004E71B4">
        <w:t>was relatively similar</w:t>
      </w:r>
      <w:r>
        <w:t xml:space="preserve"> (Table 8). For patients first initiating on pembrolizumab who switched to ipilimumab (n=66), their mean time on ipilimumab was around 2.4 months (Table 8).</w:t>
      </w:r>
    </w:p>
    <w:p w:rsidR="009325FD" w:rsidRPr="00FC5FEB" w:rsidRDefault="001E1C4D" w:rsidP="00FC5FEB">
      <w:pPr>
        <w:pStyle w:val="Heading3"/>
      </w:pPr>
      <w:r w:rsidRPr="00FC5FEB">
        <w:t>Induction and re-induction treatment with ipilimumab</w:t>
      </w:r>
    </w:p>
    <w:p w:rsidR="00120E8A" w:rsidRDefault="001F3E6B" w:rsidP="00E13FF8">
      <w:r>
        <w:t>The number of doses of</w:t>
      </w:r>
      <w:r w:rsidR="00B75E43">
        <w:t xml:space="preserve"> ipilimumab</w:t>
      </w:r>
      <w:r>
        <w:t xml:space="preserve"> supplied as induction or re-induction therapy was examined in patients </w:t>
      </w:r>
      <w:r w:rsidR="00B75E43">
        <w:t xml:space="preserve">initiating on ipilimumab between </w:t>
      </w:r>
      <w:r w:rsidR="00F4412D">
        <w:t>July to December 2016</w:t>
      </w:r>
      <w:r w:rsidR="00B75E43">
        <w:t xml:space="preserve"> (n=1</w:t>
      </w:r>
      <w:r>
        <w:t>76</w:t>
      </w:r>
      <w:r w:rsidR="00B75E43">
        <w:t>)</w:t>
      </w:r>
      <w:r w:rsidR="006D749A">
        <w:t>, (Table 9)</w:t>
      </w:r>
      <w:r w:rsidR="00B75E43">
        <w:t xml:space="preserve">. </w:t>
      </w:r>
      <w:r w:rsidR="00120E8A">
        <w:t xml:space="preserve">A July to December 2016 was selected because there was a greater number of patients who were supplied ipilimumab during this time period to inform the analysis when compared to the first half of 2016 and late 2015. The inclusion of patients to December 2016 allowed a minimum of 12 months follow-up to the analysis end date (31 December 2017). </w:t>
      </w:r>
    </w:p>
    <w:p w:rsidR="009325FD" w:rsidRDefault="00C4279A" w:rsidP="00E13FF8">
      <w:r>
        <w:t>A</w:t>
      </w:r>
      <w:r w:rsidR="00E13FF8">
        <w:t xml:space="preserve"> maximum of four doses is allowed under the PBS restriction for both a course of induction and re-induction therapy. As reported in the October 2015 DUSC review, very few patients were sup</w:t>
      </w:r>
      <w:r>
        <w:t>plied re-induction therapy</w:t>
      </w:r>
      <w:r w:rsidR="00E13FF8">
        <w:t xml:space="preserve"> (Table 9). </w:t>
      </w:r>
    </w:p>
    <w:p w:rsidR="004E0DDB" w:rsidRDefault="004E0DDB" w:rsidP="006A2A44">
      <w:pPr>
        <w:pStyle w:val="Tableheading"/>
      </w:pPr>
      <w:r>
        <w:t>Table 9</w:t>
      </w:r>
      <w:r w:rsidRPr="00995E12" w:rsidDel="00EE2BBB">
        <w:t xml:space="preserve">: </w:t>
      </w:r>
      <w:r>
        <w:t xml:space="preserve"> </w:t>
      </w:r>
      <w:r w:rsidR="001F3E6B">
        <w:t>Number of doses for induction and re-induction therapy with ipilimumab</w:t>
      </w:r>
      <w:r>
        <w:t xml:space="preserve"> </w:t>
      </w:r>
    </w:p>
    <w:tbl>
      <w:tblPr>
        <w:tblStyle w:val="TableGrid"/>
        <w:tblW w:w="0" w:type="auto"/>
        <w:tblLook w:val="04A0" w:firstRow="1" w:lastRow="0" w:firstColumn="1" w:lastColumn="0" w:noHBand="0" w:noVBand="1"/>
        <w:tblCaption w:val="Table 9"/>
        <w:tblDescription w:val="Number of doses of ipilimumab"/>
      </w:tblPr>
      <w:tblGrid>
        <w:gridCol w:w="1809"/>
        <w:gridCol w:w="1134"/>
        <w:gridCol w:w="1418"/>
        <w:gridCol w:w="1417"/>
      </w:tblGrid>
      <w:tr w:rsidR="001F3E6B" w:rsidRPr="00D739AE" w:rsidTr="00FF78B9">
        <w:trPr>
          <w:tblHeader/>
        </w:trPr>
        <w:tc>
          <w:tcPr>
            <w:tcW w:w="1809" w:type="dxa"/>
            <w:tcBorders>
              <w:top w:val="nil"/>
              <w:left w:val="nil"/>
              <w:bottom w:val="single" w:sz="4" w:space="0" w:color="auto"/>
            </w:tcBorders>
          </w:tcPr>
          <w:p w:rsidR="001F3E6B" w:rsidRPr="00D739AE" w:rsidRDefault="001F3E6B" w:rsidP="009D5935">
            <w:pPr>
              <w:rPr>
                <w:sz w:val="20"/>
                <w:szCs w:val="20"/>
              </w:rPr>
            </w:pPr>
          </w:p>
        </w:tc>
        <w:tc>
          <w:tcPr>
            <w:tcW w:w="1134" w:type="dxa"/>
            <w:tcBorders>
              <w:bottom w:val="single" w:sz="4" w:space="0" w:color="auto"/>
            </w:tcBorders>
            <w:shd w:val="clear" w:color="auto" w:fill="F2F2F2" w:themeFill="background1" w:themeFillShade="F2"/>
          </w:tcPr>
          <w:p w:rsidR="001F3E6B" w:rsidRDefault="001F3E6B" w:rsidP="009D5935">
            <w:pPr>
              <w:jc w:val="center"/>
              <w:rPr>
                <w:b/>
                <w:sz w:val="20"/>
                <w:szCs w:val="20"/>
              </w:rPr>
            </w:pPr>
            <w:r>
              <w:rPr>
                <w:b/>
                <w:sz w:val="20"/>
                <w:szCs w:val="20"/>
              </w:rPr>
              <w:t>Number of patients</w:t>
            </w:r>
          </w:p>
          <w:p w:rsidR="001F3E6B" w:rsidRPr="00D739AE" w:rsidRDefault="001F3E6B" w:rsidP="009D5935">
            <w:pPr>
              <w:jc w:val="center"/>
              <w:rPr>
                <w:b/>
                <w:sz w:val="20"/>
                <w:szCs w:val="20"/>
              </w:rPr>
            </w:pPr>
          </w:p>
        </w:tc>
        <w:tc>
          <w:tcPr>
            <w:tcW w:w="1418" w:type="dxa"/>
            <w:tcBorders>
              <w:bottom w:val="single" w:sz="4" w:space="0" w:color="auto"/>
            </w:tcBorders>
            <w:shd w:val="clear" w:color="auto" w:fill="F2F2F2" w:themeFill="background1" w:themeFillShade="F2"/>
          </w:tcPr>
          <w:p w:rsidR="001F3E6B" w:rsidRPr="00D739AE" w:rsidRDefault="001F3E6B" w:rsidP="009D5935">
            <w:pPr>
              <w:jc w:val="center"/>
              <w:rPr>
                <w:b/>
                <w:sz w:val="20"/>
                <w:szCs w:val="20"/>
              </w:rPr>
            </w:pPr>
            <w:r w:rsidRPr="00D739AE">
              <w:rPr>
                <w:b/>
                <w:sz w:val="20"/>
                <w:szCs w:val="20"/>
              </w:rPr>
              <w:t>Mean</w:t>
            </w:r>
            <w:r>
              <w:rPr>
                <w:b/>
                <w:sz w:val="20"/>
                <w:szCs w:val="20"/>
              </w:rPr>
              <w:t xml:space="preserve"> (doses)</w:t>
            </w:r>
          </w:p>
        </w:tc>
        <w:tc>
          <w:tcPr>
            <w:tcW w:w="1417" w:type="dxa"/>
            <w:tcBorders>
              <w:bottom w:val="single" w:sz="4" w:space="0" w:color="auto"/>
            </w:tcBorders>
            <w:shd w:val="clear" w:color="auto" w:fill="F2F2F2" w:themeFill="background1" w:themeFillShade="F2"/>
          </w:tcPr>
          <w:p w:rsidR="001F3E6B" w:rsidRPr="00D739AE" w:rsidRDefault="001F3E6B" w:rsidP="009D5935">
            <w:pPr>
              <w:jc w:val="center"/>
              <w:rPr>
                <w:b/>
                <w:sz w:val="20"/>
                <w:szCs w:val="20"/>
              </w:rPr>
            </w:pPr>
            <w:r w:rsidRPr="00D739AE">
              <w:rPr>
                <w:b/>
                <w:sz w:val="20"/>
                <w:szCs w:val="20"/>
              </w:rPr>
              <w:t>Median</w:t>
            </w:r>
            <w:r>
              <w:rPr>
                <w:b/>
                <w:sz w:val="20"/>
                <w:szCs w:val="20"/>
              </w:rPr>
              <w:t xml:space="preserve"> (doses)</w:t>
            </w:r>
          </w:p>
        </w:tc>
      </w:tr>
      <w:tr w:rsidR="001F3E6B" w:rsidTr="00294AC7">
        <w:tc>
          <w:tcPr>
            <w:tcW w:w="1809" w:type="dxa"/>
          </w:tcPr>
          <w:p w:rsidR="001F3E6B" w:rsidRPr="00D739AE" w:rsidRDefault="001F3E6B" w:rsidP="009D5935">
            <w:pPr>
              <w:rPr>
                <w:sz w:val="20"/>
                <w:szCs w:val="20"/>
              </w:rPr>
            </w:pPr>
            <w:r>
              <w:rPr>
                <w:sz w:val="20"/>
                <w:szCs w:val="20"/>
              </w:rPr>
              <w:t>Induction</w:t>
            </w:r>
          </w:p>
        </w:tc>
        <w:tc>
          <w:tcPr>
            <w:tcW w:w="1134" w:type="dxa"/>
          </w:tcPr>
          <w:p w:rsidR="001F3E6B" w:rsidRDefault="001F3E6B" w:rsidP="009D5935">
            <w:pPr>
              <w:jc w:val="center"/>
              <w:rPr>
                <w:sz w:val="20"/>
                <w:szCs w:val="20"/>
              </w:rPr>
            </w:pPr>
            <w:r>
              <w:rPr>
                <w:sz w:val="20"/>
                <w:szCs w:val="20"/>
              </w:rPr>
              <w:t>176</w:t>
            </w:r>
          </w:p>
        </w:tc>
        <w:tc>
          <w:tcPr>
            <w:tcW w:w="1418" w:type="dxa"/>
          </w:tcPr>
          <w:p w:rsidR="001F3E6B" w:rsidRDefault="001F3E6B" w:rsidP="009D5935">
            <w:pPr>
              <w:jc w:val="center"/>
              <w:rPr>
                <w:sz w:val="20"/>
                <w:szCs w:val="20"/>
              </w:rPr>
            </w:pPr>
            <w:r>
              <w:rPr>
                <w:sz w:val="20"/>
                <w:szCs w:val="20"/>
              </w:rPr>
              <w:t>2.2</w:t>
            </w:r>
          </w:p>
        </w:tc>
        <w:tc>
          <w:tcPr>
            <w:tcW w:w="1417" w:type="dxa"/>
          </w:tcPr>
          <w:p w:rsidR="001F3E6B" w:rsidRDefault="001F3E6B" w:rsidP="009D5935">
            <w:pPr>
              <w:jc w:val="center"/>
              <w:rPr>
                <w:sz w:val="20"/>
                <w:szCs w:val="20"/>
              </w:rPr>
            </w:pPr>
            <w:r>
              <w:rPr>
                <w:sz w:val="20"/>
                <w:szCs w:val="20"/>
              </w:rPr>
              <w:t>2</w:t>
            </w:r>
          </w:p>
        </w:tc>
      </w:tr>
      <w:tr w:rsidR="001F3E6B" w:rsidTr="00294AC7">
        <w:tc>
          <w:tcPr>
            <w:tcW w:w="1809" w:type="dxa"/>
          </w:tcPr>
          <w:p w:rsidR="001F3E6B" w:rsidRDefault="001F3E6B" w:rsidP="009D5935">
            <w:pPr>
              <w:rPr>
                <w:sz w:val="20"/>
                <w:szCs w:val="20"/>
              </w:rPr>
            </w:pPr>
            <w:r>
              <w:rPr>
                <w:sz w:val="20"/>
                <w:szCs w:val="20"/>
              </w:rPr>
              <w:t>Re-induction</w:t>
            </w:r>
          </w:p>
        </w:tc>
        <w:tc>
          <w:tcPr>
            <w:tcW w:w="1134" w:type="dxa"/>
          </w:tcPr>
          <w:p w:rsidR="001F3E6B" w:rsidRDefault="001F3E6B" w:rsidP="009D5935">
            <w:pPr>
              <w:jc w:val="center"/>
              <w:rPr>
                <w:sz w:val="20"/>
                <w:szCs w:val="20"/>
              </w:rPr>
            </w:pPr>
            <w:r>
              <w:rPr>
                <w:sz w:val="20"/>
                <w:szCs w:val="20"/>
              </w:rPr>
              <w:t>7</w:t>
            </w:r>
          </w:p>
        </w:tc>
        <w:tc>
          <w:tcPr>
            <w:tcW w:w="1418" w:type="dxa"/>
          </w:tcPr>
          <w:p w:rsidR="001F3E6B" w:rsidRDefault="001F3E6B" w:rsidP="009D5935">
            <w:pPr>
              <w:jc w:val="center"/>
              <w:rPr>
                <w:sz w:val="20"/>
                <w:szCs w:val="20"/>
              </w:rPr>
            </w:pPr>
            <w:r>
              <w:rPr>
                <w:sz w:val="20"/>
                <w:szCs w:val="20"/>
              </w:rPr>
              <w:t>2.1</w:t>
            </w:r>
          </w:p>
        </w:tc>
        <w:tc>
          <w:tcPr>
            <w:tcW w:w="1417" w:type="dxa"/>
          </w:tcPr>
          <w:p w:rsidR="001F3E6B" w:rsidRDefault="001F3E6B" w:rsidP="009D5935">
            <w:pPr>
              <w:jc w:val="center"/>
              <w:rPr>
                <w:sz w:val="20"/>
                <w:szCs w:val="20"/>
              </w:rPr>
            </w:pPr>
            <w:r>
              <w:rPr>
                <w:sz w:val="20"/>
                <w:szCs w:val="20"/>
              </w:rPr>
              <w:t>2</w:t>
            </w:r>
          </w:p>
        </w:tc>
      </w:tr>
    </w:tbl>
    <w:p w:rsidR="00247669" w:rsidRPr="00014EF1" w:rsidRDefault="00247669" w:rsidP="00247669">
      <w:pPr>
        <w:spacing w:after="0"/>
        <w:rPr>
          <w:rFonts w:ascii="Calibri" w:eastAsia="MS Mincho" w:hAnsi="Calibri" w:cs="Times New Roman"/>
          <w:sz w:val="20"/>
          <w:szCs w:val="20"/>
        </w:rPr>
      </w:pPr>
      <w:r w:rsidRPr="0012165B">
        <w:rPr>
          <w:rFonts w:ascii="Calibri" w:eastAsia="MS Mincho" w:hAnsi="Calibri" w:cs="Times New Roman"/>
          <w:sz w:val="20"/>
          <w:szCs w:val="20"/>
        </w:rPr>
        <w:t xml:space="preserve">Source: </w:t>
      </w:r>
      <w:r>
        <w:rPr>
          <w:rFonts w:ascii="Calibri" w:eastAsia="MS Mincho" w:hAnsi="Calibri" w:cs="Times New Roman"/>
          <w:sz w:val="20"/>
          <w:szCs w:val="20"/>
        </w:rPr>
        <w:t>DHS prescription claims database, based on the date of supply. Data extracted on 20 March 2018.</w:t>
      </w:r>
    </w:p>
    <w:p w:rsidR="001E1C4D" w:rsidRDefault="001E1C4D" w:rsidP="005F051C">
      <w:pPr>
        <w:spacing w:after="0" w:line="276" w:lineRule="auto"/>
      </w:pPr>
    </w:p>
    <w:p w:rsidR="00376BE7" w:rsidRDefault="0019087F" w:rsidP="00944958">
      <w:pPr>
        <w:spacing w:after="0"/>
      </w:pPr>
      <w:r>
        <w:t xml:space="preserve">The dose of ipilimumab for induction and re-induction therapy is 3 mg per kg. </w:t>
      </w:r>
      <w:r w:rsidR="00D45538">
        <w:t>The PBS quantities dispensed for induction and re-induction for the six-month initiating cohort are summarised in Table 10. Based on the mean quantities dispensed</w:t>
      </w:r>
      <w:r w:rsidR="00C4279A">
        <w:t>,</w:t>
      </w:r>
      <w:r w:rsidR="00D45538">
        <w:t xml:space="preserve"> the </w:t>
      </w:r>
      <w:r w:rsidR="00C4279A">
        <w:t xml:space="preserve">average </w:t>
      </w:r>
      <w:r w:rsidR="00D45538">
        <w:t>body mass for the PBS population was around 80 kg.</w:t>
      </w:r>
    </w:p>
    <w:p w:rsidR="001F12DC" w:rsidRDefault="004E0DDB" w:rsidP="006A2A44">
      <w:pPr>
        <w:pStyle w:val="Tabletitle"/>
      </w:pPr>
      <w:r>
        <w:t>Table 10</w:t>
      </w:r>
      <w:r w:rsidRPr="00995E12" w:rsidDel="00EE2BBB">
        <w:t xml:space="preserve">: </w:t>
      </w:r>
      <w:r>
        <w:t xml:space="preserve"> </w:t>
      </w:r>
      <w:r w:rsidR="00B63989">
        <w:t>PBS quantities for induction and re-induction therapy with ipilimumab</w:t>
      </w:r>
      <w:r>
        <w:t xml:space="preserve"> </w:t>
      </w:r>
    </w:p>
    <w:tbl>
      <w:tblPr>
        <w:tblStyle w:val="TableGrid"/>
        <w:tblW w:w="0" w:type="auto"/>
        <w:tblLook w:val="04A0" w:firstRow="1" w:lastRow="0" w:firstColumn="1" w:lastColumn="0" w:noHBand="0" w:noVBand="1"/>
        <w:tblCaption w:val="Table 10"/>
        <w:tblDescription w:val="PBS quantities of ipilimumab for induction and re-induction"/>
      </w:tblPr>
      <w:tblGrid>
        <w:gridCol w:w="1809"/>
        <w:gridCol w:w="1134"/>
        <w:gridCol w:w="1418"/>
        <w:gridCol w:w="1417"/>
        <w:gridCol w:w="1417"/>
        <w:gridCol w:w="1417"/>
      </w:tblGrid>
      <w:tr w:rsidR="00202D5E" w:rsidRPr="00D739AE" w:rsidTr="00FF78B9">
        <w:trPr>
          <w:tblHeader/>
        </w:trPr>
        <w:tc>
          <w:tcPr>
            <w:tcW w:w="1809" w:type="dxa"/>
            <w:tcBorders>
              <w:top w:val="nil"/>
              <w:left w:val="nil"/>
              <w:bottom w:val="single" w:sz="4" w:space="0" w:color="auto"/>
            </w:tcBorders>
          </w:tcPr>
          <w:p w:rsidR="00202D5E" w:rsidRPr="00D739AE" w:rsidRDefault="00202D5E" w:rsidP="009D5935">
            <w:pPr>
              <w:rPr>
                <w:sz w:val="20"/>
                <w:szCs w:val="20"/>
              </w:rPr>
            </w:pPr>
          </w:p>
        </w:tc>
        <w:tc>
          <w:tcPr>
            <w:tcW w:w="1134" w:type="dxa"/>
            <w:tcBorders>
              <w:bottom w:val="single" w:sz="4" w:space="0" w:color="auto"/>
            </w:tcBorders>
            <w:shd w:val="clear" w:color="auto" w:fill="F2F2F2" w:themeFill="background1" w:themeFillShade="F2"/>
          </w:tcPr>
          <w:p w:rsidR="00202D5E" w:rsidRDefault="00202D5E" w:rsidP="009D5935">
            <w:pPr>
              <w:jc w:val="center"/>
              <w:rPr>
                <w:b/>
                <w:sz w:val="20"/>
                <w:szCs w:val="20"/>
              </w:rPr>
            </w:pPr>
            <w:r>
              <w:rPr>
                <w:b/>
                <w:sz w:val="20"/>
                <w:szCs w:val="20"/>
              </w:rPr>
              <w:t>N</w:t>
            </w:r>
          </w:p>
          <w:p w:rsidR="00202D5E" w:rsidRPr="00D739AE" w:rsidRDefault="00202D5E" w:rsidP="009D5935">
            <w:pPr>
              <w:jc w:val="center"/>
              <w:rPr>
                <w:b/>
                <w:sz w:val="20"/>
                <w:szCs w:val="20"/>
              </w:rPr>
            </w:pPr>
          </w:p>
        </w:tc>
        <w:tc>
          <w:tcPr>
            <w:tcW w:w="1418" w:type="dxa"/>
            <w:tcBorders>
              <w:bottom w:val="single" w:sz="4" w:space="0" w:color="auto"/>
            </w:tcBorders>
            <w:shd w:val="clear" w:color="auto" w:fill="F2F2F2" w:themeFill="background1" w:themeFillShade="F2"/>
          </w:tcPr>
          <w:p w:rsidR="00202D5E" w:rsidRPr="00D739AE" w:rsidRDefault="00202D5E" w:rsidP="009D5935">
            <w:pPr>
              <w:jc w:val="center"/>
              <w:rPr>
                <w:b/>
                <w:sz w:val="20"/>
                <w:szCs w:val="20"/>
              </w:rPr>
            </w:pPr>
            <w:r w:rsidRPr="00D739AE">
              <w:rPr>
                <w:b/>
                <w:sz w:val="20"/>
                <w:szCs w:val="20"/>
              </w:rPr>
              <w:t>Mean</w:t>
            </w:r>
            <w:r>
              <w:rPr>
                <w:b/>
                <w:sz w:val="20"/>
                <w:szCs w:val="20"/>
              </w:rPr>
              <w:t xml:space="preserve"> (mg)</w:t>
            </w:r>
          </w:p>
        </w:tc>
        <w:tc>
          <w:tcPr>
            <w:tcW w:w="1417" w:type="dxa"/>
            <w:tcBorders>
              <w:bottom w:val="single" w:sz="4" w:space="0" w:color="auto"/>
            </w:tcBorders>
            <w:shd w:val="clear" w:color="auto" w:fill="F2F2F2" w:themeFill="background1" w:themeFillShade="F2"/>
          </w:tcPr>
          <w:p w:rsidR="00202D5E" w:rsidRPr="00D739AE" w:rsidRDefault="00202D5E" w:rsidP="009D5935">
            <w:pPr>
              <w:jc w:val="center"/>
              <w:rPr>
                <w:b/>
                <w:sz w:val="20"/>
                <w:szCs w:val="20"/>
              </w:rPr>
            </w:pPr>
            <w:r w:rsidRPr="00D739AE">
              <w:rPr>
                <w:b/>
                <w:sz w:val="20"/>
                <w:szCs w:val="20"/>
              </w:rPr>
              <w:t>Median</w:t>
            </w:r>
            <w:r>
              <w:rPr>
                <w:b/>
                <w:sz w:val="20"/>
                <w:szCs w:val="20"/>
              </w:rPr>
              <w:t xml:space="preserve"> (mg)</w:t>
            </w:r>
          </w:p>
        </w:tc>
        <w:tc>
          <w:tcPr>
            <w:tcW w:w="1417" w:type="dxa"/>
            <w:tcBorders>
              <w:bottom w:val="single" w:sz="4" w:space="0" w:color="auto"/>
            </w:tcBorders>
            <w:shd w:val="clear" w:color="auto" w:fill="F2F2F2" w:themeFill="background1" w:themeFillShade="F2"/>
          </w:tcPr>
          <w:p w:rsidR="00202D5E" w:rsidRPr="00D739AE" w:rsidRDefault="00202D5E" w:rsidP="009D5935">
            <w:pPr>
              <w:jc w:val="center"/>
              <w:rPr>
                <w:b/>
                <w:sz w:val="20"/>
                <w:szCs w:val="20"/>
              </w:rPr>
            </w:pPr>
            <w:r>
              <w:rPr>
                <w:b/>
                <w:sz w:val="20"/>
                <w:szCs w:val="20"/>
              </w:rPr>
              <w:t>Min (mg)</w:t>
            </w:r>
          </w:p>
        </w:tc>
        <w:tc>
          <w:tcPr>
            <w:tcW w:w="1417" w:type="dxa"/>
            <w:tcBorders>
              <w:bottom w:val="single" w:sz="4" w:space="0" w:color="auto"/>
            </w:tcBorders>
            <w:shd w:val="clear" w:color="auto" w:fill="F2F2F2" w:themeFill="background1" w:themeFillShade="F2"/>
          </w:tcPr>
          <w:p w:rsidR="00202D5E" w:rsidRPr="00D739AE" w:rsidRDefault="00202D5E" w:rsidP="009D5935">
            <w:pPr>
              <w:jc w:val="center"/>
              <w:rPr>
                <w:b/>
                <w:sz w:val="20"/>
                <w:szCs w:val="20"/>
              </w:rPr>
            </w:pPr>
            <w:r>
              <w:rPr>
                <w:b/>
                <w:sz w:val="20"/>
                <w:szCs w:val="20"/>
              </w:rPr>
              <w:t>Max (mg)</w:t>
            </w:r>
          </w:p>
        </w:tc>
      </w:tr>
      <w:tr w:rsidR="00202D5E" w:rsidTr="00D3286A">
        <w:tc>
          <w:tcPr>
            <w:tcW w:w="1809" w:type="dxa"/>
          </w:tcPr>
          <w:p w:rsidR="00202D5E" w:rsidRDefault="00202D5E" w:rsidP="009D5935">
            <w:pPr>
              <w:rPr>
                <w:sz w:val="20"/>
                <w:szCs w:val="20"/>
              </w:rPr>
            </w:pPr>
            <w:r>
              <w:rPr>
                <w:sz w:val="20"/>
                <w:szCs w:val="20"/>
              </w:rPr>
              <w:t>Induction</w:t>
            </w:r>
          </w:p>
        </w:tc>
        <w:tc>
          <w:tcPr>
            <w:tcW w:w="1134" w:type="dxa"/>
          </w:tcPr>
          <w:p w:rsidR="00202D5E" w:rsidRDefault="00202D5E" w:rsidP="009D5935">
            <w:pPr>
              <w:jc w:val="center"/>
              <w:rPr>
                <w:sz w:val="20"/>
                <w:szCs w:val="20"/>
              </w:rPr>
            </w:pPr>
            <w:r>
              <w:rPr>
                <w:sz w:val="20"/>
                <w:szCs w:val="20"/>
              </w:rPr>
              <w:t>176</w:t>
            </w:r>
          </w:p>
        </w:tc>
        <w:tc>
          <w:tcPr>
            <w:tcW w:w="1418" w:type="dxa"/>
          </w:tcPr>
          <w:p w:rsidR="00202D5E" w:rsidRDefault="00202D5E" w:rsidP="009D5935">
            <w:pPr>
              <w:jc w:val="center"/>
              <w:rPr>
                <w:sz w:val="20"/>
                <w:szCs w:val="20"/>
              </w:rPr>
            </w:pPr>
            <w:r>
              <w:rPr>
                <w:sz w:val="20"/>
                <w:szCs w:val="20"/>
              </w:rPr>
              <w:t>243</w:t>
            </w:r>
          </w:p>
        </w:tc>
        <w:tc>
          <w:tcPr>
            <w:tcW w:w="1417" w:type="dxa"/>
          </w:tcPr>
          <w:p w:rsidR="00202D5E" w:rsidRDefault="00202D5E" w:rsidP="009D5935">
            <w:pPr>
              <w:jc w:val="center"/>
              <w:rPr>
                <w:sz w:val="20"/>
                <w:szCs w:val="20"/>
              </w:rPr>
            </w:pPr>
            <w:r>
              <w:rPr>
                <w:sz w:val="20"/>
                <w:szCs w:val="20"/>
              </w:rPr>
              <w:t>237</w:t>
            </w:r>
          </w:p>
        </w:tc>
        <w:tc>
          <w:tcPr>
            <w:tcW w:w="1417" w:type="dxa"/>
          </w:tcPr>
          <w:p w:rsidR="00202D5E" w:rsidRDefault="00202D5E" w:rsidP="009D5935">
            <w:pPr>
              <w:jc w:val="center"/>
              <w:rPr>
                <w:sz w:val="20"/>
                <w:szCs w:val="20"/>
              </w:rPr>
            </w:pPr>
            <w:r>
              <w:rPr>
                <w:sz w:val="20"/>
                <w:szCs w:val="20"/>
              </w:rPr>
              <w:t>135</w:t>
            </w:r>
          </w:p>
        </w:tc>
        <w:tc>
          <w:tcPr>
            <w:tcW w:w="1417" w:type="dxa"/>
          </w:tcPr>
          <w:p w:rsidR="00202D5E" w:rsidRDefault="00202D5E" w:rsidP="009D5935">
            <w:pPr>
              <w:jc w:val="center"/>
              <w:rPr>
                <w:sz w:val="20"/>
                <w:szCs w:val="20"/>
              </w:rPr>
            </w:pPr>
            <w:r>
              <w:rPr>
                <w:sz w:val="20"/>
                <w:szCs w:val="20"/>
              </w:rPr>
              <w:t>383</w:t>
            </w:r>
          </w:p>
        </w:tc>
      </w:tr>
      <w:tr w:rsidR="00202D5E" w:rsidTr="00D3286A">
        <w:tc>
          <w:tcPr>
            <w:tcW w:w="1809" w:type="dxa"/>
          </w:tcPr>
          <w:p w:rsidR="00202D5E" w:rsidRPr="00D739AE" w:rsidRDefault="00202D5E" w:rsidP="009D5935">
            <w:pPr>
              <w:rPr>
                <w:sz w:val="20"/>
                <w:szCs w:val="20"/>
              </w:rPr>
            </w:pPr>
            <w:r>
              <w:rPr>
                <w:sz w:val="20"/>
                <w:szCs w:val="20"/>
              </w:rPr>
              <w:t>Re-induction</w:t>
            </w:r>
          </w:p>
        </w:tc>
        <w:tc>
          <w:tcPr>
            <w:tcW w:w="1134" w:type="dxa"/>
          </w:tcPr>
          <w:p w:rsidR="00202D5E" w:rsidRDefault="00202D5E" w:rsidP="009D5935">
            <w:pPr>
              <w:jc w:val="center"/>
              <w:rPr>
                <w:sz w:val="20"/>
                <w:szCs w:val="20"/>
              </w:rPr>
            </w:pPr>
            <w:r>
              <w:rPr>
                <w:sz w:val="20"/>
                <w:szCs w:val="20"/>
              </w:rPr>
              <w:t>7</w:t>
            </w:r>
          </w:p>
        </w:tc>
        <w:tc>
          <w:tcPr>
            <w:tcW w:w="1418" w:type="dxa"/>
          </w:tcPr>
          <w:p w:rsidR="00202D5E" w:rsidRDefault="00334D81" w:rsidP="009D5935">
            <w:pPr>
              <w:jc w:val="center"/>
              <w:rPr>
                <w:sz w:val="20"/>
                <w:szCs w:val="20"/>
              </w:rPr>
            </w:pPr>
            <w:r>
              <w:rPr>
                <w:sz w:val="20"/>
                <w:szCs w:val="20"/>
              </w:rPr>
              <w:t>234</w:t>
            </w:r>
          </w:p>
        </w:tc>
        <w:tc>
          <w:tcPr>
            <w:tcW w:w="1417" w:type="dxa"/>
          </w:tcPr>
          <w:p w:rsidR="00202D5E" w:rsidRDefault="00334D81" w:rsidP="009D5935">
            <w:pPr>
              <w:jc w:val="center"/>
              <w:rPr>
                <w:sz w:val="20"/>
                <w:szCs w:val="20"/>
              </w:rPr>
            </w:pPr>
            <w:r>
              <w:rPr>
                <w:sz w:val="20"/>
                <w:szCs w:val="20"/>
              </w:rPr>
              <w:t>219</w:t>
            </w:r>
          </w:p>
        </w:tc>
        <w:tc>
          <w:tcPr>
            <w:tcW w:w="1417" w:type="dxa"/>
          </w:tcPr>
          <w:p w:rsidR="00202D5E" w:rsidRDefault="00334D81" w:rsidP="009D5935">
            <w:pPr>
              <w:jc w:val="center"/>
              <w:rPr>
                <w:sz w:val="20"/>
                <w:szCs w:val="20"/>
              </w:rPr>
            </w:pPr>
            <w:r>
              <w:rPr>
                <w:sz w:val="20"/>
                <w:szCs w:val="20"/>
              </w:rPr>
              <w:t>141</w:t>
            </w:r>
          </w:p>
        </w:tc>
        <w:tc>
          <w:tcPr>
            <w:tcW w:w="1417" w:type="dxa"/>
          </w:tcPr>
          <w:p w:rsidR="00202D5E" w:rsidRDefault="00334D81" w:rsidP="009D5935">
            <w:pPr>
              <w:jc w:val="center"/>
              <w:rPr>
                <w:sz w:val="20"/>
                <w:szCs w:val="20"/>
              </w:rPr>
            </w:pPr>
            <w:r>
              <w:rPr>
                <w:sz w:val="20"/>
                <w:szCs w:val="20"/>
              </w:rPr>
              <w:t>300</w:t>
            </w:r>
          </w:p>
        </w:tc>
      </w:tr>
    </w:tbl>
    <w:p w:rsidR="00247669" w:rsidRPr="00247669" w:rsidRDefault="00247669" w:rsidP="00247669">
      <w:pPr>
        <w:spacing w:after="0"/>
        <w:rPr>
          <w:rFonts w:ascii="Calibri" w:eastAsia="MS Mincho" w:hAnsi="Calibri" w:cs="Times New Roman"/>
          <w:sz w:val="20"/>
          <w:szCs w:val="20"/>
        </w:rPr>
      </w:pPr>
      <w:r w:rsidRPr="0012165B">
        <w:rPr>
          <w:rFonts w:ascii="Calibri" w:eastAsia="MS Mincho" w:hAnsi="Calibri" w:cs="Times New Roman"/>
          <w:sz w:val="20"/>
          <w:szCs w:val="20"/>
        </w:rPr>
        <w:t xml:space="preserve">Source: </w:t>
      </w:r>
      <w:r>
        <w:rPr>
          <w:rFonts w:ascii="Calibri" w:eastAsia="MS Mincho" w:hAnsi="Calibri" w:cs="Times New Roman"/>
          <w:sz w:val="20"/>
          <w:szCs w:val="20"/>
        </w:rPr>
        <w:t>DHS prescription claims database, based on the date of supply. Data extracted on 20 March 2018.</w:t>
      </w:r>
    </w:p>
    <w:p w:rsidR="00FA468D" w:rsidRDefault="00D657F0" w:rsidP="00D657F0">
      <w:pPr>
        <w:pStyle w:val="Heading3"/>
      </w:pPr>
      <w:r>
        <w:t xml:space="preserve">Drug </w:t>
      </w:r>
      <w:r w:rsidR="00D32CE8">
        <w:t xml:space="preserve">regimen </w:t>
      </w:r>
      <w:r>
        <w:t>sequences</w:t>
      </w:r>
    </w:p>
    <w:p w:rsidR="00756276" w:rsidRDefault="00756276" w:rsidP="00A35800">
      <w:r>
        <w:t>For both the 2016 and 2017 initiating cohorts, most patients were first initiated on pembrolizumab</w:t>
      </w:r>
      <w:r w:rsidR="009F603A">
        <w:t xml:space="preserve"> (Tables 11 and 12</w:t>
      </w:r>
      <w:r>
        <w:t>). The second most common therapy for both cohorts was dabrafenib with trametinib</w:t>
      </w:r>
      <w:r w:rsidR="009F603A">
        <w:t xml:space="preserve"> (Tables 11 and 12</w:t>
      </w:r>
      <w:r>
        <w:t xml:space="preserve">). </w:t>
      </w:r>
    </w:p>
    <w:p w:rsidR="0060590E" w:rsidRDefault="00BC5066" w:rsidP="00A35800">
      <w:r>
        <w:t>Compared to 2016, a greater number of patients commenced t</w:t>
      </w:r>
      <w:r w:rsidR="009F603A">
        <w:t xml:space="preserve">herapy with ipilimumab </w:t>
      </w:r>
      <w:r w:rsidR="00E63754">
        <w:t xml:space="preserve">in 2017 </w:t>
      </w:r>
      <w:r w:rsidR="009F603A">
        <w:t>(Tables 11 and 12</w:t>
      </w:r>
      <w:r>
        <w:t>).</w:t>
      </w:r>
    </w:p>
    <w:p w:rsidR="00457823" w:rsidRDefault="0082671A" w:rsidP="00A35800">
      <w:r>
        <w:lastRenderedPageBreak/>
        <w:t xml:space="preserve">A relatively small number of initiators were supplied a different drug regimen. </w:t>
      </w:r>
      <w:r w:rsidR="00BE5E3A">
        <w:t>Patients refractory to pembrolizumab were mainly supplied ipilimumab as t</w:t>
      </w:r>
      <w:r w:rsidR="009F603A">
        <w:t>heir next drug regimen (Tables 11 and 12</w:t>
      </w:r>
      <w:r w:rsidR="00BE5E3A">
        <w:t>).</w:t>
      </w:r>
    </w:p>
    <w:p w:rsidR="00EF0A4E" w:rsidRPr="007B003F" w:rsidRDefault="006F0045" w:rsidP="00A35800">
      <w:pPr>
        <w:rPr>
          <w:b/>
          <w:u w:val="single"/>
        </w:rPr>
      </w:pPr>
      <w:r>
        <w:rPr>
          <w:b/>
          <w:u w:val="single"/>
        </w:rPr>
        <w:t>January to June 2016</w:t>
      </w:r>
      <w:r w:rsidR="009D73B5" w:rsidRPr="009D73B5">
        <w:rPr>
          <w:b/>
          <w:u w:val="single"/>
        </w:rPr>
        <w:t xml:space="preserve"> cohort</w:t>
      </w:r>
    </w:p>
    <w:p w:rsidR="00895EE6" w:rsidRPr="00895EE6" w:rsidRDefault="00895EE6" w:rsidP="00895EE6">
      <w:pPr>
        <w:rPr>
          <w:b/>
        </w:rPr>
      </w:pPr>
      <w:r w:rsidRPr="00493698">
        <w:rPr>
          <w:b/>
        </w:rPr>
        <w:t xml:space="preserve">Table </w:t>
      </w:r>
      <w:r w:rsidR="00693368">
        <w:rPr>
          <w:b/>
        </w:rPr>
        <w:t>11</w:t>
      </w:r>
      <w:r w:rsidRPr="00493698" w:rsidDel="00EE2BBB">
        <w:rPr>
          <w:b/>
        </w:rPr>
        <w:t xml:space="preserve">: </w:t>
      </w:r>
      <w:r w:rsidRPr="00493698">
        <w:rPr>
          <w:b/>
        </w:rPr>
        <w:t>Drug regimen sequences for initiators in 2016 between January to June</w:t>
      </w:r>
    </w:p>
    <w:tbl>
      <w:tblPr>
        <w:tblW w:w="7040" w:type="dxa"/>
        <w:tblInd w:w="103" w:type="dxa"/>
        <w:tblLook w:val="04A0" w:firstRow="1" w:lastRow="0" w:firstColumn="1" w:lastColumn="0" w:noHBand="0" w:noVBand="1"/>
      </w:tblPr>
      <w:tblGrid>
        <w:gridCol w:w="4720"/>
        <w:gridCol w:w="960"/>
        <w:gridCol w:w="1360"/>
      </w:tblGrid>
      <w:tr w:rsidR="00895EE6" w:rsidTr="00350195">
        <w:trPr>
          <w:trHeight w:val="300"/>
        </w:trPr>
        <w:tc>
          <w:tcPr>
            <w:tcW w:w="4720" w:type="dxa"/>
            <w:tcBorders>
              <w:top w:val="single" w:sz="4" w:space="0" w:color="auto"/>
              <w:left w:val="single" w:sz="4" w:space="0" w:color="auto"/>
              <w:bottom w:val="single" w:sz="4" w:space="0" w:color="auto"/>
              <w:right w:val="single" w:sz="4" w:space="0" w:color="auto"/>
            </w:tcBorders>
            <w:shd w:val="clear" w:color="000000" w:fill="F2F2F2"/>
            <w:noWrap/>
            <w:hideMark/>
          </w:tcPr>
          <w:p w:rsidR="00895EE6" w:rsidRPr="00895EE6" w:rsidRDefault="00895EE6" w:rsidP="00895EE6">
            <w:pPr>
              <w:spacing w:after="0"/>
              <w:jc w:val="center"/>
              <w:rPr>
                <w:rFonts w:ascii="Calibri" w:eastAsia="Times New Roman" w:hAnsi="Calibri" w:cs="Times New Roman"/>
                <w:b/>
                <w:bCs/>
                <w:color w:val="000000"/>
                <w:sz w:val="22"/>
                <w:szCs w:val="22"/>
              </w:rPr>
            </w:pPr>
            <w:r w:rsidRPr="00895EE6">
              <w:rPr>
                <w:rFonts w:ascii="Calibri" w:eastAsia="Times New Roman" w:hAnsi="Calibri" w:cs="Times New Roman"/>
                <w:b/>
                <w:bCs/>
                <w:color w:val="000000"/>
                <w:sz w:val="22"/>
                <w:szCs w:val="22"/>
              </w:rPr>
              <w:t>Drug regimen sequence</w:t>
            </w:r>
          </w:p>
        </w:tc>
        <w:tc>
          <w:tcPr>
            <w:tcW w:w="960" w:type="dxa"/>
            <w:tcBorders>
              <w:top w:val="single" w:sz="4" w:space="0" w:color="auto"/>
              <w:left w:val="nil"/>
              <w:bottom w:val="single" w:sz="4" w:space="0" w:color="auto"/>
              <w:right w:val="single" w:sz="4" w:space="0" w:color="auto"/>
            </w:tcBorders>
            <w:shd w:val="clear" w:color="000000" w:fill="F2F2F2"/>
            <w:noWrap/>
            <w:hideMark/>
          </w:tcPr>
          <w:p w:rsidR="00895EE6" w:rsidRPr="00895EE6" w:rsidRDefault="00895EE6" w:rsidP="00895EE6">
            <w:pPr>
              <w:spacing w:after="0"/>
              <w:jc w:val="center"/>
              <w:rPr>
                <w:rFonts w:ascii="Calibri" w:eastAsia="Times New Roman" w:hAnsi="Calibri" w:cs="Times New Roman"/>
                <w:b/>
                <w:bCs/>
                <w:color w:val="000000"/>
                <w:sz w:val="22"/>
                <w:szCs w:val="22"/>
              </w:rPr>
            </w:pPr>
            <w:r w:rsidRPr="00895EE6">
              <w:rPr>
                <w:rFonts w:ascii="Calibri" w:eastAsia="Times New Roman" w:hAnsi="Calibri" w:cs="Times New Roman"/>
                <w:b/>
                <w:bCs/>
                <w:color w:val="000000"/>
                <w:sz w:val="22"/>
                <w:szCs w:val="22"/>
              </w:rPr>
              <w:t>n</w:t>
            </w:r>
          </w:p>
        </w:tc>
        <w:tc>
          <w:tcPr>
            <w:tcW w:w="1360" w:type="dxa"/>
            <w:tcBorders>
              <w:top w:val="single" w:sz="4" w:space="0" w:color="auto"/>
              <w:left w:val="nil"/>
              <w:bottom w:val="single" w:sz="4" w:space="0" w:color="auto"/>
              <w:right w:val="single" w:sz="4" w:space="0" w:color="auto"/>
            </w:tcBorders>
            <w:shd w:val="clear" w:color="000000" w:fill="F2F2F2"/>
            <w:noWrap/>
            <w:hideMark/>
          </w:tcPr>
          <w:p w:rsidR="00895EE6" w:rsidRPr="00895EE6" w:rsidRDefault="00895EE6" w:rsidP="00895EE6">
            <w:pPr>
              <w:spacing w:after="0"/>
              <w:jc w:val="center"/>
              <w:rPr>
                <w:rFonts w:ascii="Calibri" w:eastAsia="Times New Roman" w:hAnsi="Calibri" w:cs="Times New Roman"/>
                <w:b/>
                <w:bCs/>
                <w:color w:val="000000"/>
                <w:sz w:val="22"/>
                <w:szCs w:val="22"/>
              </w:rPr>
            </w:pPr>
            <w:r w:rsidRPr="00895EE6">
              <w:rPr>
                <w:rFonts w:ascii="Calibri" w:eastAsia="Times New Roman" w:hAnsi="Calibri" w:cs="Times New Roman"/>
                <w:b/>
                <w:bCs/>
                <w:color w:val="000000"/>
                <w:sz w:val="22"/>
                <w:szCs w:val="22"/>
              </w:rPr>
              <w:t>Proportion</w:t>
            </w:r>
          </w:p>
        </w:tc>
      </w:tr>
      <w:tr w:rsidR="00895EE6" w:rsidTr="00350195">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895EE6" w:rsidRPr="00895EE6" w:rsidRDefault="00895EE6" w:rsidP="00895EE6">
            <w:pPr>
              <w:spacing w:after="0"/>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PEMBROLIZUMAB</w:t>
            </w:r>
          </w:p>
        </w:tc>
        <w:tc>
          <w:tcPr>
            <w:tcW w:w="960" w:type="dxa"/>
            <w:tcBorders>
              <w:top w:val="nil"/>
              <w:left w:val="nil"/>
              <w:bottom w:val="single" w:sz="4" w:space="0" w:color="auto"/>
              <w:right w:val="single" w:sz="4" w:space="0" w:color="auto"/>
            </w:tcBorders>
            <w:shd w:val="clear" w:color="auto" w:fill="auto"/>
            <w:noWrap/>
            <w:vAlign w:val="center"/>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517</w:t>
            </w:r>
          </w:p>
        </w:tc>
        <w:tc>
          <w:tcPr>
            <w:tcW w:w="1360" w:type="dxa"/>
            <w:tcBorders>
              <w:top w:val="nil"/>
              <w:left w:val="nil"/>
              <w:bottom w:val="single" w:sz="4" w:space="0" w:color="auto"/>
              <w:right w:val="single" w:sz="4" w:space="0" w:color="auto"/>
            </w:tcBorders>
            <w:shd w:val="clear" w:color="auto" w:fill="auto"/>
            <w:noWrap/>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56.3%</w:t>
            </w:r>
          </w:p>
        </w:tc>
      </w:tr>
      <w:tr w:rsidR="00895EE6" w:rsidTr="00350195">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895EE6" w:rsidRPr="00895EE6" w:rsidRDefault="00895EE6" w:rsidP="00895EE6">
            <w:pPr>
              <w:spacing w:after="0"/>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DAB+TRAM</w:t>
            </w:r>
          </w:p>
        </w:tc>
        <w:tc>
          <w:tcPr>
            <w:tcW w:w="960" w:type="dxa"/>
            <w:tcBorders>
              <w:top w:val="nil"/>
              <w:left w:val="nil"/>
              <w:bottom w:val="single" w:sz="4" w:space="0" w:color="auto"/>
              <w:right w:val="single" w:sz="4" w:space="0" w:color="auto"/>
            </w:tcBorders>
            <w:shd w:val="clear" w:color="auto" w:fill="auto"/>
            <w:noWrap/>
            <w:vAlign w:val="center"/>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111</w:t>
            </w:r>
          </w:p>
        </w:tc>
        <w:tc>
          <w:tcPr>
            <w:tcW w:w="1360" w:type="dxa"/>
            <w:tcBorders>
              <w:top w:val="nil"/>
              <w:left w:val="nil"/>
              <w:bottom w:val="single" w:sz="4" w:space="0" w:color="auto"/>
              <w:right w:val="single" w:sz="4" w:space="0" w:color="auto"/>
            </w:tcBorders>
            <w:shd w:val="clear" w:color="auto" w:fill="auto"/>
            <w:noWrap/>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12.1%</w:t>
            </w:r>
          </w:p>
        </w:tc>
      </w:tr>
      <w:tr w:rsidR="00895EE6" w:rsidTr="00350195">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895EE6" w:rsidRPr="00895EE6" w:rsidRDefault="00895EE6" w:rsidP="00895EE6">
            <w:pPr>
              <w:spacing w:after="0"/>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PEMBROLIZUMAB -&gt; IPILIMUMAB</w:t>
            </w:r>
          </w:p>
        </w:tc>
        <w:tc>
          <w:tcPr>
            <w:tcW w:w="960" w:type="dxa"/>
            <w:tcBorders>
              <w:top w:val="nil"/>
              <w:left w:val="nil"/>
              <w:bottom w:val="single" w:sz="4" w:space="0" w:color="auto"/>
              <w:right w:val="single" w:sz="4" w:space="0" w:color="auto"/>
            </w:tcBorders>
            <w:shd w:val="clear" w:color="auto" w:fill="auto"/>
            <w:noWrap/>
            <w:vAlign w:val="center"/>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64</w:t>
            </w:r>
          </w:p>
        </w:tc>
        <w:tc>
          <w:tcPr>
            <w:tcW w:w="1360" w:type="dxa"/>
            <w:tcBorders>
              <w:top w:val="nil"/>
              <w:left w:val="nil"/>
              <w:bottom w:val="single" w:sz="4" w:space="0" w:color="auto"/>
              <w:right w:val="single" w:sz="4" w:space="0" w:color="auto"/>
            </w:tcBorders>
            <w:shd w:val="clear" w:color="auto" w:fill="auto"/>
            <w:noWrap/>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7.0%</w:t>
            </w:r>
          </w:p>
        </w:tc>
      </w:tr>
      <w:tr w:rsidR="00895EE6" w:rsidTr="00350195">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895EE6" w:rsidRPr="00895EE6" w:rsidRDefault="00895EE6" w:rsidP="00895EE6">
            <w:pPr>
              <w:spacing w:after="0"/>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DAB+TRAM -&gt; PEMBROLIZUMAB</w:t>
            </w:r>
          </w:p>
        </w:tc>
        <w:tc>
          <w:tcPr>
            <w:tcW w:w="960" w:type="dxa"/>
            <w:tcBorders>
              <w:top w:val="nil"/>
              <w:left w:val="nil"/>
              <w:bottom w:val="single" w:sz="4" w:space="0" w:color="auto"/>
              <w:right w:val="single" w:sz="4" w:space="0" w:color="auto"/>
            </w:tcBorders>
            <w:shd w:val="clear" w:color="auto" w:fill="auto"/>
            <w:noWrap/>
            <w:vAlign w:val="center"/>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57</w:t>
            </w:r>
          </w:p>
        </w:tc>
        <w:tc>
          <w:tcPr>
            <w:tcW w:w="1360" w:type="dxa"/>
            <w:tcBorders>
              <w:top w:val="nil"/>
              <w:left w:val="nil"/>
              <w:bottom w:val="single" w:sz="4" w:space="0" w:color="auto"/>
              <w:right w:val="single" w:sz="4" w:space="0" w:color="auto"/>
            </w:tcBorders>
            <w:shd w:val="clear" w:color="auto" w:fill="auto"/>
            <w:noWrap/>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6.2%</w:t>
            </w:r>
          </w:p>
        </w:tc>
      </w:tr>
      <w:tr w:rsidR="00895EE6" w:rsidTr="00350195">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895EE6" w:rsidRPr="00895EE6" w:rsidRDefault="00895EE6" w:rsidP="00895EE6">
            <w:pPr>
              <w:spacing w:after="0"/>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IPILIMUMAB</w:t>
            </w:r>
          </w:p>
        </w:tc>
        <w:tc>
          <w:tcPr>
            <w:tcW w:w="960" w:type="dxa"/>
            <w:tcBorders>
              <w:top w:val="nil"/>
              <w:left w:val="nil"/>
              <w:bottom w:val="single" w:sz="4" w:space="0" w:color="auto"/>
              <w:right w:val="single" w:sz="4" w:space="0" w:color="auto"/>
            </w:tcBorders>
            <w:shd w:val="clear" w:color="auto" w:fill="auto"/>
            <w:noWrap/>
            <w:vAlign w:val="center"/>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26</w:t>
            </w:r>
          </w:p>
        </w:tc>
        <w:tc>
          <w:tcPr>
            <w:tcW w:w="1360" w:type="dxa"/>
            <w:tcBorders>
              <w:top w:val="nil"/>
              <w:left w:val="nil"/>
              <w:bottom w:val="single" w:sz="4" w:space="0" w:color="auto"/>
              <w:right w:val="single" w:sz="4" w:space="0" w:color="auto"/>
            </w:tcBorders>
            <w:shd w:val="clear" w:color="auto" w:fill="auto"/>
            <w:noWrap/>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2.8%</w:t>
            </w:r>
          </w:p>
        </w:tc>
      </w:tr>
      <w:tr w:rsidR="00895EE6" w:rsidTr="00350195">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895EE6" w:rsidRPr="00895EE6" w:rsidRDefault="00895EE6" w:rsidP="00895EE6">
            <w:pPr>
              <w:spacing w:after="0"/>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DAB+TRAM -&gt; IPILIMUMAB</w:t>
            </w:r>
          </w:p>
        </w:tc>
        <w:tc>
          <w:tcPr>
            <w:tcW w:w="960" w:type="dxa"/>
            <w:tcBorders>
              <w:top w:val="nil"/>
              <w:left w:val="nil"/>
              <w:bottom w:val="nil"/>
              <w:right w:val="nil"/>
            </w:tcBorders>
            <w:shd w:val="clear" w:color="auto" w:fill="auto"/>
            <w:noWrap/>
            <w:vAlign w:val="bottom"/>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23</w:t>
            </w:r>
          </w:p>
        </w:tc>
        <w:tc>
          <w:tcPr>
            <w:tcW w:w="1360" w:type="dxa"/>
            <w:tcBorders>
              <w:top w:val="nil"/>
              <w:left w:val="single" w:sz="4" w:space="0" w:color="auto"/>
              <w:bottom w:val="single" w:sz="4" w:space="0" w:color="auto"/>
              <w:right w:val="single" w:sz="4" w:space="0" w:color="auto"/>
            </w:tcBorders>
            <w:shd w:val="clear" w:color="auto" w:fill="auto"/>
            <w:noWrap/>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2.5%</w:t>
            </w:r>
          </w:p>
        </w:tc>
      </w:tr>
      <w:tr w:rsidR="00895EE6" w:rsidTr="00350195">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895EE6" w:rsidRPr="00895EE6" w:rsidRDefault="00895EE6" w:rsidP="00895EE6">
            <w:pPr>
              <w:spacing w:after="0"/>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NIVOLUMAB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18</w:t>
            </w:r>
          </w:p>
        </w:tc>
        <w:tc>
          <w:tcPr>
            <w:tcW w:w="1360" w:type="dxa"/>
            <w:tcBorders>
              <w:top w:val="nil"/>
              <w:left w:val="nil"/>
              <w:bottom w:val="single" w:sz="4" w:space="0" w:color="auto"/>
              <w:right w:val="single" w:sz="4" w:space="0" w:color="auto"/>
            </w:tcBorders>
            <w:shd w:val="clear" w:color="auto" w:fill="auto"/>
            <w:noWrap/>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2.0%</w:t>
            </w:r>
          </w:p>
        </w:tc>
      </w:tr>
      <w:tr w:rsidR="00895EE6" w:rsidTr="00350195">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895EE6" w:rsidRPr="00895EE6" w:rsidRDefault="00895EE6" w:rsidP="00895EE6">
            <w:pPr>
              <w:spacing w:after="0"/>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DAB+TRAM -&gt; PEMBROLIZUMAB -&gt; IPILIMUMAB</w:t>
            </w:r>
          </w:p>
        </w:tc>
        <w:tc>
          <w:tcPr>
            <w:tcW w:w="960" w:type="dxa"/>
            <w:tcBorders>
              <w:top w:val="nil"/>
              <w:left w:val="nil"/>
              <w:bottom w:val="single" w:sz="4" w:space="0" w:color="auto"/>
              <w:right w:val="single" w:sz="4" w:space="0" w:color="auto"/>
            </w:tcBorders>
            <w:shd w:val="clear" w:color="auto" w:fill="auto"/>
            <w:noWrap/>
            <w:vAlign w:val="center"/>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11</w:t>
            </w:r>
          </w:p>
        </w:tc>
        <w:tc>
          <w:tcPr>
            <w:tcW w:w="1360" w:type="dxa"/>
            <w:tcBorders>
              <w:top w:val="nil"/>
              <w:left w:val="nil"/>
              <w:bottom w:val="single" w:sz="4" w:space="0" w:color="auto"/>
              <w:right w:val="single" w:sz="4" w:space="0" w:color="auto"/>
            </w:tcBorders>
            <w:shd w:val="clear" w:color="auto" w:fill="auto"/>
            <w:noWrap/>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1.2%</w:t>
            </w:r>
          </w:p>
        </w:tc>
      </w:tr>
      <w:tr w:rsidR="00895EE6" w:rsidTr="00350195">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895EE6" w:rsidRPr="00895EE6" w:rsidRDefault="00895EE6" w:rsidP="00895EE6">
            <w:pPr>
              <w:spacing w:after="0"/>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Other - total</w:t>
            </w:r>
          </w:p>
        </w:tc>
        <w:tc>
          <w:tcPr>
            <w:tcW w:w="960" w:type="dxa"/>
            <w:tcBorders>
              <w:top w:val="nil"/>
              <w:left w:val="nil"/>
              <w:bottom w:val="single" w:sz="4" w:space="0" w:color="auto"/>
              <w:right w:val="single" w:sz="4" w:space="0" w:color="auto"/>
            </w:tcBorders>
            <w:shd w:val="clear" w:color="auto" w:fill="auto"/>
            <w:noWrap/>
            <w:vAlign w:val="center"/>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92</w:t>
            </w:r>
          </w:p>
        </w:tc>
        <w:tc>
          <w:tcPr>
            <w:tcW w:w="1360" w:type="dxa"/>
            <w:tcBorders>
              <w:top w:val="nil"/>
              <w:left w:val="nil"/>
              <w:bottom w:val="single" w:sz="4" w:space="0" w:color="auto"/>
              <w:right w:val="single" w:sz="4" w:space="0" w:color="auto"/>
            </w:tcBorders>
            <w:shd w:val="clear" w:color="auto" w:fill="auto"/>
            <w:noWrap/>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10.0%</w:t>
            </w:r>
          </w:p>
        </w:tc>
      </w:tr>
      <w:tr w:rsidR="00895EE6" w:rsidTr="00350195">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895EE6" w:rsidRPr="00895EE6" w:rsidRDefault="00895EE6" w:rsidP="00895EE6">
            <w:pPr>
              <w:spacing w:after="0"/>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Total number of initiators</w:t>
            </w:r>
          </w:p>
        </w:tc>
        <w:tc>
          <w:tcPr>
            <w:tcW w:w="960" w:type="dxa"/>
            <w:tcBorders>
              <w:top w:val="nil"/>
              <w:left w:val="nil"/>
              <w:bottom w:val="single" w:sz="4" w:space="0" w:color="auto"/>
              <w:right w:val="single" w:sz="4" w:space="0" w:color="auto"/>
            </w:tcBorders>
            <w:shd w:val="clear" w:color="auto" w:fill="auto"/>
            <w:noWrap/>
            <w:vAlign w:val="center"/>
            <w:hideMark/>
          </w:tcPr>
          <w:p w:rsidR="00895EE6" w:rsidRPr="00895EE6" w:rsidRDefault="00895EE6" w:rsidP="00895EE6">
            <w:pPr>
              <w:spacing w:after="0"/>
              <w:jc w:val="center"/>
              <w:rPr>
                <w:rFonts w:ascii="Calibri" w:eastAsia="Times New Roman" w:hAnsi="Calibri" w:cs="Times New Roman"/>
                <w:bCs/>
                <w:color w:val="000000"/>
                <w:sz w:val="22"/>
                <w:szCs w:val="22"/>
              </w:rPr>
            </w:pPr>
            <w:r w:rsidRPr="00895EE6">
              <w:rPr>
                <w:rFonts w:ascii="Calibri" w:eastAsia="Times New Roman" w:hAnsi="Calibri" w:cs="Times New Roman"/>
                <w:bCs/>
                <w:color w:val="000000"/>
                <w:sz w:val="22"/>
                <w:szCs w:val="22"/>
              </w:rPr>
              <w:t>919</w:t>
            </w:r>
          </w:p>
        </w:tc>
        <w:tc>
          <w:tcPr>
            <w:tcW w:w="1360" w:type="dxa"/>
            <w:tcBorders>
              <w:top w:val="nil"/>
              <w:left w:val="nil"/>
              <w:bottom w:val="nil"/>
              <w:right w:val="nil"/>
            </w:tcBorders>
            <w:shd w:val="clear" w:color="auto" w:fill="auto"/>
            <w:noWrap/>
            <w:hideMark/>
          </w:tcPr>
          <w:p w:rsidR="00895EE6" w:rsidRPr="00895EE6" w:rsidRDefault="00895EE6" w:rsidP="00895EE6">
            <w:pPr>
              <w:spacing w:after="0"/>
              <w:jc w:val="center"/>
              <w:rPr>
                <w:rFonts w:ascii="Calibri" w:eastAsia="Times New Roman" w:hAnsi="Calibri" w:cs="Times New Roman"/>
                <w:bCs/>
                <w:color w:val="000000"/>
                <w:sz w:val="22"/>
                <w:szCs w:val="22"/>
              </w:rPr>
            </w:pPr>
          </w:p>
        </w:tc>
      </w:tr>
    </w:tbl>
    <w:p w:rsidR="00895EE6" w:rsidRDefault="00895EE6" w:rsidP="00895EE6">
      <w:pPr>
        <w:spacing w:after="0"/>
        <w:rPr>
          <w:rFonts w:ascii="Calibri" w:eastAsia="MS Mincho" w:hAnsi="Calibri" w:cs="Times New Roman"/>
          <w:sz w:val="20"/>
          <w:szCs w:val="20"/>
        </w:rPr>
      </w:pPr>
      <w:r w:rsidRPr="0012165B">
        <w:rPr>
          <w:rFonts w:ascii="Calibri" w:eastAsia="MS Mincho" w:hAnsi="Calibri" w:cs="Times New Roman"/>
          <w:sz w:val="20"/>
          <w:szCs w:val="20"/>
        </w:rPr>
        <w:t xml:space="preserve">Source: </w:t>
      </w:r>
      <w:r>
        <w:rPr>
          <w:rFonts w:ascii="Calibri" w:eastAsia="MS Mincho" w:hAnsi="Calibri" w:cs="Times New Roman"/>
          <w:sz w:val="20"/>
          <w:szCs w:val="20"/>
        </w:rPr>
        <w:t>DHS prescription claims database, based on the date of supply. Data extracted on 20 March 2018.</w:t>
      </w:r>
    </w:p>
    <w:p w:rsidR="00895EE6" w:rsidRDefault="00895EE6" w:rsidP="00895EE6">
      <w:pPr>
        <w:spacing w:after="0"/>
        <w:rPr>
          <w:rFonts w:ascii="Calibri" w:eastAsia="MS Mincho" w:hAnsi="Calibri" w:cs="Times New Roman"/>
          <w:sz w:val="20"/>
          <w:szCs w:val="20"/>
        </w:rPr>
      </w:pPr>
      <w:r>
        <w:rPr>
          <w:rFonts w:ascii="Calibri" w:eastAsia="MS Mincho" w:hAnsi="Calibri" w:cs="Times New Roman"/>
          <w:sz w:val="20"/>
          <w:szCs w:val="20"/>
        </w:rPr>
        <w:t>Note: DAB+TRAM, dabrafenib with trametinib.</w:t>
      </w:r>
    </w:p>
    <w:p w:rsidR="00775B54" w:rsidRPr="00775B54" w:rsidRDefault="00775B54" w:rsidP="00775B54">
      <w:pPr>
        <w:spacing w:after="0"/>
        <w:rPr>
          <w:rFonts w:ascii="Calibri" w:eastAsia="MS Mincho" w:hAnsi="Calibri" w:cs="Times New Roman"/>
          <w:sz w:val="20"/>
          <w:szCs w:val="20"/>
        </w:rPr>
      </w:pPr>
    </w:p>
    <w:p w:rsidR="00707457" w:rsidRPr="009D73B5" w:rsidRDefault="00BC5066" w:rsidP="00A35800">
      <w:pPr>
        <w:rPr>
          <w:b/>
          <w:u w:val="single"/>
        </w:rPr>
      </w:pPr>
      <w:r>
        <w:rPr>
          <w:b/>
          <w:u w:val="single"/>
        </w:rPr>
        <w:t xml:space="preserve">January to June </w:t>
      </w:r>
      <w:r w:rsidR="00EF0A4E">
        <w:rPr>
          <w:b/>
          <w:u w:val="single"/>
        </w:rPr>
        <w:t>2017</w:t>
      </w:r>
      <w:r w:rsidR="009D73B5" w:rsidRPr="009D73B5">
        <w:rPr>
          <w:b/>
          <w:u w:val="single"/>
        </w:rPr>
        <w:t xml:space="preserve"> cohort</w:t>
      </w:r>
    </w:p>
    <w:p w:rsidR="009C2579" w:rsidRPr="009C2579" w:rsidRDefault="00693368" w:rsidP="009C2579">
      <w:pPr>
        <w:rPr>
          <w:b/>
          <w:highlight w:val="yellow"/>
        </w:rPr>
      </w:pPr>
      <w:r>
        <w:rPr>
          <w:b/>
        </w:rPr>
        <w:t>Table 12</w:t>
      </w:r>
      <w:r w:rsidR="009C2579" w:rsidRPr="00493698" w:rsidDel="00EE2BBB">
        <w:rPr>
          <w:b/>
        </w:rPr>
        <w:t xml:space="preserve">: </w:t>
      </w:r>
      <w:r w:rsidR="009C2579" w:rsidRPr="00493698">
        <w:rPr>
          <w:b/>
        </w:rPr>
        <w:t xml:space="preserve"> Drug regimen sequences for initiators in 2017 between January to June</w:t>
      </w:r>
    </w:p>
    <w:tbl>
      <w:tblPr>
        <w:tblW w:w="7093" w:type="dxa"/>
        <w:tblInd w:w="103" w:type="dxa"/>
        <w:tblLook w:val="04A0" w:firstRow="1" w:lastRow="0" w:firstColumn="1" w:lastColumn="0" w:noHBand="0" w:noVBand="1"/>
      </w:tblPr>
      <w:tblGrid>
        <w:gridCol w:w="4683"/>
        <w:gridCol w:w="992"/>
        <w:gridCol w:w="1418"/>
      </w:tblGrid>
      <w:tr w:rsidR="009C2579" w:rsidRPr="00493698" w:rsidTr="00350195">
        <w:trPr>
          <w:trHeight w:val="300"/>
        </w:trPr>
        <w:tc>
          <w:tcPr>
            <w:tcW w:w="4683" w:type="dxa"/>
            <w:tcBorders>
              <w:top w:val="single" w:sz="4" w:space="0" w:color="auto"/>
              <w:left w:val="single" w:sz="4" w:space="0" w:color="auto"/>
              <w:bottom w:val="single" w:sz="4" w:space="0" w:color="auto"/>
              <w:right w:val="single" w:sz="4" w:space="0" w:color="auto"/>
            </w:tcBorders>
            <w:shd w:val="clear" w:color="000000" w:fill="F2F2F2"/>
            <w:noWrap/>
            <w:hideMark/>
          </w:tcPr>
          <w:p w:rsidR="009C2579" w:rsidRPr="009C2579" w:rsidRDefault="009C2579" w:rsidP="009C2579">
            <w:pPr>
              <w:spacing w:after="0"/>
              <w:jc w:val="center"/>
              <w:rPr>
                <w:rFonts w:ascii="Calibri" w:eastAsia="Times New Roman" w:hAnsi="Calibri" w:cs="Times New Roman"/>
                <w:b/>
                <w:bCs/>
                <w:color w:val="000000"/>
                <w:sz w:val="22"/>
                <w:szCs w:val="22"/>
              </w:rPr>
            </w:pPr>
            <w:r w:rsidRPr="009C2579">
              <w:rPr>
                <w:rFonts w:ascii="Calibri" w:eastAsia="Times New Roman" w:hAnsi="Calibri" w:cs="Times New Roman"/>
                <w:b/>
                <w:bCs/>
                <w:color w:val="000000"/>
                <w:sz w:val="22"/>
                <w:szCs w:val="22"/>
              </w:rPr>
              <w:t>Drug regimen sequence</w:t>
            </w:r>
          </w:p>
        </w:tc>
        <w:tc>
          <w:tcPr>
            <w:tcW w:w="992" w:type="dxa"/>
            <w:tcBorders>
              <w:top w:val="single" w:sz="4" w:space="0" w:color="auto"/>
              <w:left w:val="nil"/>
              <w:bottom w:val="single" w:sz="4" w:space="0" w:color="auto"/>
              <w:right w:val="single" w:sz="4" w:space="0" w:color="auto"/>
            </w:tcBorders>
            <w:shd w:val="clear" w:color="000000" w:fill="F2F2F2"/>
            <w:noWrap/>
            <w:hideMark/>
          </w:tcPr>
          <w:p w:rsidR="009C2579" w:rsidRPr="009C2579" w:rsidRDefault="009C2579" w:rsidP="009C2579">
            <w:pPr>
              <w:spacing w:after="0"/>
              <w:jc w:val="center"/>
              <w:rPr>
                <w:rFonts w:ascii="Calibri" w:eastAsia="Times New Roman" w:hAnsi="Calibri" w:cs="Times New Roman"/>
                <w:b/>
                <w:bCs/>
                <w:color w:val="000000"/>
                <w:sz w:val="22"/>
                <w:szCs w:val="22"/>
              </w:rPr>
            </w:pPr>
            <w:r w:rsidRPr="009C2579">
              <w:rPr>
                <w:rFonts w:ascii="Calibri" w:eastAsia="Times New Roman" w:hAnsi="Calibri" w:cs="Times New Roman"/>
                <w:b/>
                <w:bCs/>
                <w:color w:val="000000"/>
                <w:sz w:val="22"/>
                <w:szCs w:val="22"/>
              </w:rPr>
              <w:t>n</w:t>
            </w:r>
          </w:p>
        </w:tc>
        <w:tc>
          <w:tcPr>
            <w:tcW w:w="1418" w:type="dxa"/>
            <w:tcBorders>
              <w:top w:val="single" w:sz="4" w:space="0" w:color="auto"/>
              <w:left w:val="nil"/>
              <w:bottom w:val="single" w:sz="4" w:space="0" w:color="auto"/>
              <w:right w:val="single" w:sz="4" w:space="0" w:color="auto"/>
            </w:tcBorders>
            <w:shd w:val="clear" w:color="000000" w:fill="F2F2F2"/>
            <w:noWrap/>
            <w:hideMark/>
          </w:tcPr>
          <w:p w:rsidR="009C2579" w:rsidRPr="009C2579" w:rsidRDefault="009C2579" w:rsidP="009C2579">
            <w:pPr>
              <w:spacing w:after="0"/>
              <w:jc w:val="center"/>
              <w:rPr>
                <w:rFonts w:ascii="Calibri" w:eastAsia="Times New Roman" w:hAnsi="Calibri" w:cs="Times New Roman"/>
                <w:b/>
                <w:bCs/>
                <w:color w:val="000000"/>
                <w:sz w:val="22"/>
                <w:szCs w:val="22"/>
              </w:rPr>
            </w:pPr>
            <w:r w:rsidRPr="009C2579">
              <w:rPr>
                <w:rFonts w:ascii="Calibri" w:eastAsia="Times New Roman" w:hAnsi="Calibri" w:cs="Times New Roman"/>
                <w:b/>
                <w:bCs/>
                <w:color w:val="000000"/>
                <w:sz w:val="22"/>
                <w:szCs w:val="22"/>
              </w:rPr>
              <w:t>Proportion</w:t>
            </w:r>
          </w:p>
        </w:tc>
      </w:tr>
      <w:tr w:rsidR="009C2579" w:rsidRPr="00493698" w:rsidTr="00350195">
        <w:trPr>
          <w:trHeight w:val="300"/>
        </w:trPr>
        <w:tc>
          <w:tcPr>
            <w:tcW w:w="4683" w:type="dxa"/>
            <w:tcBorders>
              <w:top w:val="nil"/>
              <w:left w:val="single" w:sz="4" w:space="0" w:color="auto"/>
              <w:bottom w:val="single" w:sz="4" w:space="0" w:color="auto"/>
              <w:right w:val="single" w:sz="4" w:space="0" w:color="auto"/>
            </w:tcBorders>
            <w:shd w:val="clear" w:color="auto" w:fill="auto"/>
            <w:noWrap/>
            <w:hideMark/>
          </w:tcPr>
          <w:p w:rsidR="009C2579" w:rsidRPr="009C2579" w:rsidRDefault="009C2579" w:rsidP="009C2579">
            <w:pPr>
              <w:spacing w:after="0"/>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PEMBROLIZUMAB</w:t>
            </w:r>
          </w:p>
        </w:tc>
        <w:tc>
          <w:tcPr>
            <w:tcW w:w="992"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399</w:t>
            </w:r>
          </w:p>
        </w:tc>
        <w:tc>
          <w:tcPr>
            <w:tcW w:w="1418"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42.4%</w:t>
            </w:r>
          </w:p>
        </w:tc>
      </w:tr>
      <w:tr w:rsidR="009C2579" w:rsidRPr="00493698" w:rsidTr="00350195">
        <w:trPr>
          <w:trHeight w:val="300"/>
        </w:trPr>
        <w:tc>
          <w:tcPr>
            <w:tcW w:w="4683" w:type="dxa"/>
            <w:tcBorders>
              <w:top w:val="nil"/>
              <w:left w:val="single" w:sz="4" w:space="0" w:color="auto"/>
              <w:bottom w:val="single" w:sz="4" w:space="0" w:color="auto"/>
              <w:right w:val="single" w:sz="4" w:space="0" w:color="auto"/>
            </w:tcBorders>
            <w:shd w:val="clear" w:color="auto" w:fill="auto"/>
            <w:noWrap/>
            <w:hideMark/>
          </w:tcPr>
          <w:p w:rsidR="009C2579" w:rsidRPr="009C2579" w:rsidRDefault="009C2579" w:rsidP="009C2579">
            <w:pPr>
              <w:spacing w:after="0"/>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DAB+TRAM</w:t>
            </w:r>
          </w:p>
        </w:tc>
        <w:tc>
          <w:tcPr>
            <w:tcW w:w="992"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131</w:t>
            </w:r>
          </w:p>
        </w:tc>
        <w:tc>
          <w:tcPr>
            <w:tcW w:w="1418"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13.9%</w:t>
            </w:r>
          </w:p>
        </w:tc>
      </w:tr>
      <w:tr w:rsidR="009C2579" w:rsidRPr="00493698" w:rsidTr="00350195">
        <w:trPr>
          <w:trHeight w:val="300"/>
        </w:trPr>
        <w:tc>
          <w:tcPr>
            <w:tcW w:w="4683" w:type="dxa"/>
            <w:tcBorders>
              <w:top w:val="nil"/>
              <w:left w:val="single" w:sz="4" w:space="0" w:color="auto"/>
              <w:bottom w:val="single" w:sz="4" w:space="0" w:color="auto"/>
              <w:right w:val="single" w:sz="4" w:space="0" w:color="auto"/>
            </w:tcBorders>
            <w:shd w:val="clear" w:color="auto" w:fill="auto"/>
            <w:noWrap/>
            <w:hideMark/>
          </w:tcPr>
          <w:p w:rsidR="009C2579" w:rsidRPr="009C2579" w:rsidRDefault="009C2579" w:rsidP="009C2579">
            <w:pPr>
              <w:spacing w:after="0"/>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IPILIMUMAB</w:t>
            </w:r>
          </w:p>
        </w:tc>
        <w:tc>
          <w:tcPr>
            <w:tcW w:w="992"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126</w:t>
            </w:r>
          </w:p>
        </w:tc>
        <w:tc>
          <w:tcPr>
            <w:tcW w:w="1418"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13.4%</w:t>
            </w:r>
          </w:p>
        </w:tc>
      </w:tr>
      <w:tr w:rsidR="009C2579" w:rsidRPr="00493698" w:rsidTr="00350195">
        <w:trPr>
          <w:trHeight w:val="300"/>
        </w:trPr>
        <w:tc>
          <w:tcPr>
            <w:tcW w:w="4683" w:type="dxa"/>
            <w:tcBorders>
              <w:top w:val="nil"/>
              <w:left w:val="single" w:sz="4" w:space="0" w:color="auto"/>
              <w:bottom w:val="single" w:sz="4" w:space="0" w:color="auto"/>
              <w:right w:val="single" w:sz="4" w:space="0" w:color="auto"/>
            </w:tcBorders>
            <w:shd w:val="clear" w:color="auto" w:fill="auto"/>
            <w:noWrap/>
            <w:hideMark/>
          </w:tcPr>
          <w:p w:rsidR="009C2579" w:rsidRPr="009C2579" w:rsidRDefault="009C2579" w:rsidP="009C2579">
            <w:pPr>
              <w:spacing w:after="0"/>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NIVOLUMAB</w:t>
            </w:r>
          </w:p>
        </w:tc>
        <w:tc>
          <w:tcPr>
            <w:tcW w:w="992"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66</w:t>
            </w:r>
          </w:p>
        </w:tc>
        <w:tc>
          <w:tcPr>
            <w:tcW w:w="1418"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7.0%</w:t>
            </w:r>
          </w:p>
        </w:tc>
      </w:tr>
      <w:tr w:rsidR="009C2579" w:rsidRPr="00493698" w:rsidTr="00350195">
        <w:trPr>
          <w:trHeight w:val="300"/>
        </w:trPr>
        <w:tc>
          <w:tcPr>
            <w:tcW w:w="4683" w:type="dxa"/>
            <w:tcBorders>
              <w:top w:val="nil"/>
              <w:left w:val="single" w:sz="4" w:space="0" w:color="auto"/>
              <w:bottom w:val="single" w:sz="4" w:space="0" w:color="auto"/>
              <w:right w:val="single" w:sz="4" w:space="0" w:color="auto"/>
            </w:tcBorders>
            <w:shd w:val="clear" w:color="auto" w:fill="auto"/>
            <w:noWrap/>
            <w:hideMark/>
          </w:tcPr>
          <w:p w:rsidR="009C2579" w:rsidRPr="009C2579" w:rsidRDefault="009C2579" w:rsidP="009C2579">
            <w:pPr>
              <w:spacing w:after="0"/>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PEMBROLIZUMAB -&gt; IPILIMUMAB</w:t>
            </w:r>
          </w:p>
        </w:tc>
        <w:tc>
          <w:tcPr>
            <w:tcW w:w="992"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46</w:t>
            </w:r>
          </w:p>
        </w:tc>
        <w:tc>
          <w:tcPr>
            <w:tcW w:w="1418"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4.9%</w:t>
            </w:r>
          </w:p>
        </w:tc>
      </w:tr>
      <w:tr w:rsidR="009C2579" w:rsidRPr="00493698" w:rsidTr="00350195">
        <w:trPr>
          <w:trHeight w:val="300"/>
        </w:trPr>
        <w:tc>
          <w:tcPr>
            <w:tcW w:w="4683" w:type="dxa"/>
            <w:tcBorders>
              <w:top w:val="nil"/>
              <w:left w:val="single" w:sz="4" w:space="0" w:color="auto"/>
              <w:bottom w:val="single" w:sz="4" w:space="0" w:color="auto"/>
              <w:right w:val="single" w:sz="4" w:space="0" w:color="auto"/>
            </w:tcBorders>
            <w:shd w:val="clear" w:color="auto" w:fill="auto"/>
            <w:noWrap/>
            <w:vAlign w:val="bottom"/>
            <w:hideMark/>
          </w:tcPr>
          <w:p w:rsidR="009C2579" w:rsidRPr="009C2579" w:rsidRDefault="009C2579" w:rsidP="009C2579">
            <w:pPr>
              <w:spacing w:after="0"/>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DAB+TRAM -&gt; PEMBROLIZUMAB</w:t>
            </w:r>
          </w:p>
        </w:tc>
        <w:tc>
          <w:tcPr>
            <w:tcW w:w="992" w:type="dxa"/>
            <w:tcBorders>
              <w:top w:val="nil"/>
              <w:left w:val="nil"/>
              <w:bottom w:val="single" w:sz="4" w:space="0" w:color="auto"/>
              <w:right w:val="single" w:sz="4" w:space="0" w:color="auto"/>
            </w:tcBorders>
            <w:shd w:val="clear" w:color="auto" w:fill="auto"/>
            <w:noWrap/>
            <w:vAlign w:val="bottom"/>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45</w:t>
            </w:r>
          </w:p>
        </w:tc>
        <w:tc>
          <w:tcPr>
            <w:tcW w:w="1418"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4.8%</w:t>
            </w:r>
          </w:p>
        </w:tc>
      </w:tr>
      <w:tr w:rsidR="009C2579" w:rsidRPr="00493698" w:rsidTr="00350195">
        <w:trPr>
          <w:trHeight w:val="300"/>
        </w:trPr>
        <w:tc>
          <w:tcPr>
            <w:tcW w:w="4683" w:type="dxa"/>
            <w:tcBorders>
              <w:top w:val="nil"/>
              <w:left w:val="single" w:sz="4" w:space="0" w:color="auto"/>
              <w:bottom w:val="single" w:sz="4" w:space="0" w:color="auto"/>
              <w:right w:val="single" w:sz="4" w:space="0" w:color="auto"/>
            </w:tcBorders>
            <w:shd w:val="clear" w:color="auto" w:fill="auto"/>
            <w:noWrap/>
            <w:vAlign w:val="bottom"/>
            <w:hideMark/>
          </w:tcPr>
          <w:p w:rsidR="009C2579" w:rsidRPr="009C2579" w:rsidRDefault="009C2579" w:rsidP="009C2579">
            <w:pPr>
              <w:spacing w:after="0"/>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DAB+TRAM -&gt; IPILIMUMAB</w:t>
            </w:r>
          </w:p>
        </w:tc>
        <w:tc>
          <w:tcPr>
            <w:tcW w:w="992" w:type="dxa"/>
            <w:tcBorders>
              <w:top w:val="nil"/>
              <w:left w:val="nil"/>
              <w:bottom w:val="single" w:sz="4" w:space="0" w:color="auto"/>
              <w:right w:val="single" w:sz="4" w:space="0" w:color="auto"/>
            </w:tcBorders>
            <w:shd w:val="clear" w:color="auto" w:fill="auto"/>
            <w:noWrap/>
            <w:vAlign w:val="bottom"/>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27</w:t>
            </w:r>
          </w:p>
        </w:tc>
        <w:tc>
          <w:tcPr>
            <w:tcW w:w="1418"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2.9%</w:t>
            </w:r>
          </w:p>
        </w:tc>
      </w:tr>
      <w:tr w:rsidR="009C2579" w:rsidRPr="00493698" w:rsidTr="00350195">
        <w:trPr>
          <w:trHeight w:val="300"/>
        </w:trPr>
        <w:tc>
          <w:tcPr>
            <w:tcW w:w="4683" w:type="dxa"/>
            <w:tcBorders>
              <w:top w:val="nil"/>
              <w:left w:val="single" w:sz="4" w:space="0" w:color="auto"/>
              <w:bottom w:val="single" w:sz="4" w:space="0" w:color="auto"/>
              <w:right w:val="single" w:sz="4" w:space="0" w:color="auto"/>
            </w:tcBorders>
            <w:shd w:val="clear" w:color="auto" w:fill="auto"/>
            <w:noWrap/>
            <w:vAlign w:val="bottom"/>
            <w:hideMark/>
          </w:tcPr>
          <w:p w:rsidR="009C2579" w:rsidRPr="009C2579" w:rsidRDefault="009C2579" w:rsidP="009C2579">
            <w:pPr>
              <w:spacing w:after="0"/>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DAB+TRAM -&gt; VEM+COBI</w:t>
            </w:r>
          </w:p>
        </w:tc>
        <w:tc>
          <w:tcPr>
            <w:tcW w:w="992" w:type="dxa"/>
            <w:tcBorders>
              <w:top w:val="nil"/>
              <w:left w:val="nil"/>
              <w:bottom w:val="single" w:sz="4" w:space="0" w:color="auto"/>
              <w:right w:val="single" w:sz="4" w:space="0" w:color="auto"/>
            </w:tcBorders>
            <w:shd w:val="clear" w:color="auto" w:fill="auto"/>
            <w:noWrap/>
            <w:vAlign w:val="bottom"/>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15</w:t>
            </w:r>
          </w:p>
        </w:tc>
        <w:tc>
          <w:tcPr>
            <w:tcW w:w="1418"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1.6%</w:t>
            </w:r>
          </w:p>
        </w:tc>
      </w:tr>
      <w:tr w:rsidR="009C2579" w:rsidRPr="00493698" w:rsidTr="00350195">
        <w:trPr>
          <w:trHeight w:val="300"/>
        </w:trPr>
        <w:tc>
          <w:tcPr>
            <w:tcW w:w="4683" w:type="dxa"/>
            <w:tcBorders>
              <w:top w:val="nil"/>
              <w:left w:val="single" w:sz="4" w:space="0" w:color="auto"/>
              <w:bottom w:val="single" w:sz="4" w:space="0" w:color="auto"/>
              <w:right w:val="single" w:sz="4" w:space="0" w:color="auto"/>
            </w:tcBorders>
            <w:shd w:val="clear" w:color="auto" w:fill="auto"/>
            <w:noWrap/>
            <w:hideMark/>
          </w:tcPr>
          <w:p w:rsidR="009C2579" w:rsidRPr="009C2579" w:rsidRDefault="009C2579" w:rsidP="009C2579">
            <w:pPr>
              <w:spacing w:after="0"/>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Other - total</w:t>
            </w:r>
          </w:p>
        </w:tc>
        <w:tc>
          <w:tcPr>
            <w:tcW w:w="992"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86</w:t>
            </w:r>
          </w:p>
        </w:tc>
        <w:tc>
          <w:tcPr>
            <w:tcW w:w="1418"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9.1%</w:t>
            </w:r>
          </w:p>
        </w:tc>
      </w:tr>
      <w:tr w:rsidR="009C2579" w:rsidRPr="00493698" w:rsidTr="00350195">
        <w:trPr>
          <w:trHeight w:val="300"/>
        </w:trPr>
        <w:tc>
          <w:tcPr>
            <w:tcW w:w="4683" w:type="dxa"/>
            <w:tcBorders>
              <w:top w:val="nil"/>
              <w:left w:val="single" w:sz="4" w:space="0" w:color="auto"/>
              <w:bottom w:val="single" w:sz="4" w:space="0" w:color="auto"/>
              <w:right w:val="single" w:sz="4" w:space="0" w:color="auto"/>
            </w:tcBorders>
            <w:shd w:val="clear" w:color="auto" w:fill="auto"/>
            <w:noWrap/>
            <w:vAlign w:val="bottom"/>
            <w:hideMark/>
          </w:tcPr>
          <w:p w:rsidR="009C2579" w:rsidRPr="009C2579" w:rsidRDefault="009C2579" w:rsidP="009C2579">
            <w:pPr>
              <w:spacing w:after="0"/>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Total number of initiators</w:t>
            </w:r>
          </w:p>
        </w:tc>
        <w:tc>
          <w:tcPr>
            <w:tcW w:w="992" w:type="dxa"/>
            <w:tcBorders>
              <w:top w:val="nil"/>
              <w:left w:val="nil"/>
              <w:bottom w:val="single" w:sz="4" w:space="0" w:color="auto"/>
              <w:right w:val="single" w:sz="4" w:space="0" w:color="auto"/>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r w:rsidRPr="009C2579">
              <w:rPr>
                <w:rFonts w:ascii="Calibri" w:eastAsia="Times New Roman" w:hAnsi="Calibri" w:cs="Times New Roman"/>
                <w:bCs/>
                <w:color w:val="000000"/>
                <w:sz w:val="22"/>
                <w:szCs w:val="22"/>
              </w:rPr>
              <w:t>941</w:t>
            </w:r>
          </w:p>
        </w:tc>
        <w:tc>
          <w:tcPr>
            <w:tcW w:w="1418" w:type="dxa"/>
            <w:tcBorders>
              <w:top w:val="nil"/>
              <w:left w:val="nil"/>
              <w:bottom w:val="nil"/>
              <w:right w:val="nil"/>
            </w:tcBorders>
            <w:shd w:val="clear" w:color="auto" w:fill="auto"/>
            <w:noWrap/>
            <w:hideMark/>
          </w:tcPr>
          <w:p w:rsidR="009C2579" w:rsidRPr="009C2579" w:rsidRDefault="009C2579" w:rsidP="009C2579">
            <w:pPr>
              <w:spacing w:after="0"/>
              <w:jc w:val="center"/>
              <w:rPr>
                <w:rFonts w:ascii="Calibri" w:eastAsia="Times New Roman" w:hAnsi="Calibri" w:cs="Times New Roman"/>
                <w:bCs/>
                <w:color w:val="000000"/>
                <w:sz w:val="22"/>
                <w:szCs w:val="22"/>
              </w:rPr>
            </w:pPr>
          </w:p>
        </w:tc>
      </w:tr>
    </w:tbl>
    <w:p w:rsidR="009C2579" w:rsidRDefault="009C2579" w:rsidP="009C2579">
      <w:pPr>
        <w:spacing w:after="0"/>
        <w:rPr>
          <w:rFonts w:ascii="Calibri" w:eastAsia="MS Mincho" w:hAnsi="Calibri" w:cs="Times New Roman"/>
          <w:sz w:val="20"/>
          <w:szCs w:val="20"/>
        </w:rPr>
      </w:pPr>
      <w:r w:rsidRPr="0012165B">
        <w:rPr>
          <w:rFonts w:ascii="Calibri" w:eastAsia="MS Mincho" w:hAnsi="Calibri" w:cs="Times New Roman"/>
          <w:sz w:val="20"/>
          <w:szCs w:val="20"/>
        </w:rPr>
        <w:t xml:space="preserve">Source: </w:t>
      </w:r>
      <w:r>
        <w:rPr>
          <w:rFonts w:ascii="Calibri" w:eastAsia="MS Mincho" w:hAnsi="Calibri" w:cs="Times New Roman"/>
          <w:sz w:val="20"/>
          <w:szCs w:val="20"/>
        </w:rPr>
        <w:t>DHS prescription claims database, based on the date of supply. Data extracted on 20 March 2018.</w:t>
      </w:r>
    </w:p>
    <w:p w:rsidR="009C2579" w:rsidRDefault="009C2579" w:rsidP="009C2579">
      <w:pPr>
        <w:spacing w:after="0"/>
        <w:rPr>
          <w:rFonts w:ascii="Calibri" w:eastAsia="MS Mincho" w:hAnsi="Calibri" w:cs="Times New Roman"/>
          <w:sz w:val="20"/>
          <w:szCs w:val="20"/>
        </w:rPr>
      </w:pPr>
      <w:r>
        <w:rPr>
          <w:rFonts w:ascii="Calibri" w:eastAsia="MS Mincho" w:hAnsi="Calibri" w:cs="Times New Roman"/>
          <w:sz w:val="20"/>
          <w:szCs w:val="20"/>
        </w:rPr>
        <w:t>Note: DAB+TRAM, dabrafenib with trametinib; VEM+COBI, vemurafenib with cobimetinib</w:t>
      </w:r>
    </w:p>
    <w:p w:rsidR="000170EA" w:rsidRPr="00B32119" w:rsidRDefault="009C2579" w:rsidP="00B32119">
      <w:pPr>
        <w:spacing w:after="0"/>
        <w:rPr>
          <w:rFonts w:ascii="Calibri" w:eastAsia="MS Mincho" w:hAnsi="Calibri" w:cs="Times New Roman"/>
          <w:sz w:val="20"/>
          <w:szCs w:val="20"/>
        </w:rPr>
      </w:pPr>
      <w:r>
        <w:rPr>
          <w:rFonts w:ascii="Calibri" w:eastAsia="MS Mincho" w:hAnsi="Calibri" w:cs="Times New Roman"/>
          <w:sz w:val="20"/>
          <w:szCs w:val="20"/>
          <w:vertAlign w:val="superscript"/>
        </w:rPr>
        <w:t>1</w:t>
      </w:r>
      <w:r>
        <w:rPr>
          <w:rFonts w:ascii="Calibri" w:eastAsia="MS Mincho" w:hAnsi="Calibri" w:cs="Times New Roman"/>
          <w:sz w:val="20"/>
          <w:szCs w:val="20"/>
        </w:rPr>
        <w:t xml:space="preserve"> At the time of the analysis, vemurafenib and cobimetinib were only recent PBS listings for 1 April 2017.</w:t>
      </w:r>
    </w:p>
    <w:p w:rsidR="00FD7FC5" w:rsidRDefault="00FD7FC5" w:rsidP="006A2A44">
      <w:pPr>
        <w:pStyle w:val="Heading3"/>
      </w:pPr>
      <w:r w:rsidRPr="00FD7FC5">
        <w:t xml:space="preserve">BRAF </w:t>
      </w:r>
      <w:r w:rsidR="00465067">
        <w:t xml:space="preserve">mutation </w:t>
      </w:r>
      <w:r w:rsidRPr="00FD7FC5">
        <w:t>testing</w:t>
      </w:r>
    </w:p>
    <w:p w:rsidR="00B66CFF" w:rsidRPr="00B66CFF" w:rsidRDefault="00B66CFF" w:rsidP="00A35800">
      <w:pPr>
        <w:rPr>
          <w:szCs w:val="28"/>
        </w:rPr>
      </w:pPr>
      <w:r>
        <w:rPr>
          <w:szCs w:val="28"/>
        </w:rPr>
        <w:t xml:space="preserve">An MBS item (Item 73336) is available to enable patients to have a subsidised BRAF test in order to fulfil the eligibility requirements for PBS listed dabrafenib and vemurafenib. The annual number of MBS services in 2016 versus 2017 was 1,945 and 2,172, respectively </w:t>
      </w:r>
      <w:r>
        <w:rPr>
          <w:szCs w:val="28"/>
        </w:rPr>
        <w:lastRenderedPageBreak/>
        <w:t xml:space="preserve">(Figure </w:t>
      </w:r>
      <w:r w:rsidR="00157878">
        <w:rPr>
          <w:szCs w:val="28"/>
        </w:rPr>
        <w:t>8</w:t>
      </w:r>
      <w:r>
        <w:rPr>
          <w:szCs w:val="28"/>
        </w:rPr>
        <w:t xml:space="preserve">). The year-on-year growth in services </w:t>
      </w:r>
      <w:r w:rsidR="00B523E1">
        <w:rPr>
          <w:szCs w:val="28"/>
        </w:rPr>
        <w:t xml:space="preserve">between 2016 and 2017 </w:t>
      </w:r>
      <w:r>
        <w:rPr>
          <w:szCs w:val="28"/>
        </w:rPr>
        <w:t>was around 11 percent.</w:t>
      </w:r>
    </w:p>
    <w:p w:rsidR="00FD7FC5" w:rsidRDefault="00B66CFF" w:rsidP="00A35800">
      <w:pPr>
        <w:rPr>
          <w:highlight w:val="yellow"/>
        </w:rPr>
      </w:pPr>
      <w:r>
        <w:rPr>
          <w:noProof/>
        </w:rPr>
        <w:drawing>
          <wp:inline distT="0" distB="0" distL="0" distR="0" wp14:anchorId="016AE12C" wp14:editId="7C4D017D">
            <wp:extent cx="4124325" cy="2335765"/>
            <wp:effectExtent l="0" t="0" r="0" b="7620"/>
            <wp:docPr id="3" name="Picture 3" descr="Number of MBS services for BRAF testing" title="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131370" cy="2339755"/>
                    </a:xfrm>
                    <a:prstGeom prst="rect">
                      <a:avLst/>
                    </a:prstGeom>
                    <a:noFill/>
                  </pic:spPr>
                </pic:pic>
              </a:graphicData>
            </a:graphic>
          </wp:inline>
        </w:drawing>
      </w:r>
    </w:p>
    <w:p w:rsidR="00FD4615" w:rsidRDefault="00B66CFF" w:rsidP="006A2A44">
      <w:pPr>
        <w:pStyle w:val="Figuretitle"/>
      </w:pPr>
      <w:r w:rsidRPr="00B66CFF">
        <w:t xml:space="preserve">Figure </w:t>
      </w:r>
      <w:r w:rsidR="00157878">
        <w:t>8</w:t>
      </w:r>
      <w:r w:rsidRPr="00B66CFF">
        <w:t>. The number of MBS services for BRAF testing (Item 73336), 2016 and 2017</w:t>
      </w:r>
    </w:p>
    <w:p w:rsidR="00B66CFF" w:rsidRDefault="00B66CFF" w:rsidP="00F3552C">
      <w:pPr>
        <w:spacing w:after="0"/>
        <w:rPr>
          <w:sz w:val="20"/>
          <w:szCs w:val="20"/>
        </w:rPr>
      </w:pPr>
      <w:r w:rsidRPr="00B66CFF">
        <w:rPr>
          <w:sz w:val="20"/>
          <w:szCs w:val="20"/>
        </w:rPr>
        <w:t xml:space="preserve">Source: Department of Human Services Medicine Item Reports. Accessed on 17 April 2018 at: </w:t>
      </w:r>
      <w:hyperlink r:id="rId73" w:history="1">
        <w:r w:rsidR="00F3552C" w:rsidRPr="00BD635A">
          <w:rPr>
            <w:rStyle w:val="Hyperlink"/>
            <w:sz w:val="20"/>
            <w:szCs w:val="20"/>
          </w:rPr>
          <w:t>http://medicarestatistics.humanservices.gov.au/statistics/mbs_item.jsp</w:t>
        </w:r>
      </w:hyperlink>
    </w:p>
    <w:p w:rsidR="00F3552C" w:rsidRDefault="00F3552C" w:rsidP="00F3552C">
      <w:pPr>
        <w:spacing w:after="0"/>
        <w:rPr>
          <w:sz w:val="20"/>
          <w:szCs w:val="20"/>
        </w:rPr>
      </w:pPr>
      <w:r>
        <w:rPr>
          <w:sz w:val="20"/>
          <w:szCs w:val="20"/>
        </w:rPr>
        <w:t>Figures are based on the date of processing.</w:t>
      </w:r>
    </w:p>
    <w:p w:rsidR="00F3552C" w:rsidRDefault="00F3552C" w:rsidP="00F3552C">
      <w:pPr>
        <w:spacing w:after="0"/>
      </w:pPr>
    </w:p>
    <w:p w:rsidR="00D700AC" w:rsidRDefault="000D6D11" w:rsidP="000D6D11">
      <w:r>
        <w:t>In its consideration of BRAF testing in August 2013, MSAC concluded that the rate of re-testing would be low.</w:t>
      </w:r>
      <w:r>
        <w:rPr>
          <w:rStyle w:val="FootnoteReference"/>
        </w:rPr>
        <w:footnoteReference w:id="7"/>
      </w:r>
      <w:r>
        <w:t xml:space="preserve"> The number of MBS services appeared to be consistent with the number of patients first initiating on PBS therapy. In 2017 there were 2,001 incident patients (Table 6) compared to 2,172 MBS services for that year</w:t>
      </w:r>
      <w:r w:rsidR="00D700AC">
        <w:t xml:space="preserve">. </w:t>
      </w:r>
    </w:p>
    <w:p w:rsidR="00D700AC" w:rsidRDefault="00D700AC" w:rsidP="00D700AC">
      <w:pPr>
        <w:spacing w:after="0"/>
      </w:pPr>
      <w:r>
        <w:t xml:space="preserve">The number of tests may be higher than the number of initiations to PBS therapy </w:t>
      </w:r>
      <w:r w:rsidR="00236970">
        <w:t>for</w:t>
      </w:r>
      <w:r>
        <w:t xml:space="preserve"> several reasons, including:</w:t>
      </w:r>
    </w:p>
    <w:p w:rsidR="000D6D11" w:rsidRDefault="000D6D11" w:rsidP="00D700AC">
      <w:pPr>
        <w:pStyle w:val="ListParagraph"/>
        <w:numPr>
          <w:ilvl w:val="0"/>
          <w:numId w:val="20"/>
        </w:numPr>
        <w:spacing w:after="0"/>
      </w:pPr>
      <w:r>
        <w:t xml:space="preserve">there is a lag between when a patient is tested and </w:t>
      </w:r>
      <w:r w:rsidR="00D700AC">
        <w:t>their initiation on PBS therapy</w:t>
      </w:r>
      <w:r w:rsidR="00236970">
        <w:t>; and</w:t>
      </w:r>
    </w:p>
    <w:p w:rsidR="001A33F9" w:rsidRDefault="00D700AC" w:rsidP="009C19EE">
      <w:pPr>
        <w:pStyle w:val="ListParagraph"/>
        <w:numPr>
          <w:ilvl w:val="0"/>
          <w:numId w:val="20"/>
        </w:numPr>
        <w:spacing w:after="0"/>
      </w:pPr>
      <w:r>
        <w:t xml:space="preserve">not all patients undergoing a test and being diagnosed as having a BRAF mutation will be </w:t>
      </w:r>
      <w:r w:rsidR="007F3929">
        <w:t>prescribed</w:t>
      </w:r>
      <w:r>
        <w:t xml:space="preserve"> a PBS subsidised medicine.</w:t>
      </w:r>
    </w:p>
    <w:p w:rsidR="006D6C24" w:rsidRDefault="006D6C24" w:rsidP="006D6C24">
      <w:pPr>
        <w:pStyle w:val="Heading1"/>
      </w:pPr>
      <w:r>
        <w:t>D</w:t>
      </w:r>
      <w:r w:rsidRPr="005E22C2">
        <w:t>iscussion</w:t>
      </w:r>
    </w:p>
    <w:p w:rsidR="006D6C24" w:rsidRDefault="006D6C24" w:rsidP="006D6C24">
      <w:pPr>
        <w:rPr>
          <w:rFonts w:ascii="Calibri" w:hAnsi="Calibri"/>
          <w:color w:val="000000"/>
        </w:rPr>
      </w:pPr>
      <w:r w:rsidRPr="00F72ECE">
        <w:rPr>
          <w:rFonts w:ascii="Calibri" w:hAnsi="Calibri"/>
          <w:color w:val="000000"/>
        </w:rPr>
        <w:t>Melanoma of the skin is the fourth most commonly diagnosed cancer in Australia (AIHW, 2017</w:t>
      </w:r>
      <w:r>
        <w:rPr>
          <w:rFonts w:ascii="Calibri" w:hAnsi="Calibri"/>
          <w:color w:val="000000"/>
        </w:rPr>
        <w:t>a</w:t>
      </w:r>
      <w:r w:rsidRPr="00F72ECE">
        <w:rPr>
          <w:rFonts w:ascii="Calibri" w:hAnsi="Calibri"/>
          <w:color w:val="000000"/>
        </w:rPr>
        <w:t>). The disease is more common in males compared to females</w:t>
      </w:r>
      <w:r>
        <w:rPr>
          <w:rFonts w:ascii="Calibri" w:hAnsi="Calibri"/>
          <w:color w:val="000000"/>
        </w:rPr>
        <w:t>, as seen in the PBS population where in 2017, 68 percent were males (Figure 3b)</w:t>
      </w:r>
      <w:r w:rsidRPr="00F72ECE">
        <w:rPr>
          <w:rFonts w:ascii="Calibri" w:hAnsi="Calibri"/>
          <w:color w:val="000000"/>
        </w:rPr>
        <w:t xml:space="preserve">. </w:t>
      </w:r>
      <w:r>
        <w:rPr>
          <w:rFonts w:ascii="Calibri" w:hAnsi="Calibri"/>
          <w:color w:val="000000"/>
        </w:rPr>
        <w:t>In 2014</w:t>
      </w:r>
      <w:r w:rsidRPr="00F72ECE">
        <w:rPr>
          <w:rFonts w:ascii="Calibri" w:hAnsi="Calibri"/>
          <w:color w:val="000000"/>
        </w:rPr>
        <w:t xml:space="preserve">, </w:t>
      </w:r>
      <w:r>
        <w:rPr>
          <w:rFonts w:ascii="Calibri" w:hAnsi="Calibri"/>
          <w:color w:val="000000"/>
        </w:rPr>
        <w:t>there were 13,134</w:t>
      </w:r>
      <w:r w:rsidRPr="00F72ECE">
        <w:rPr>
          <w:rFonts w:ascii="Calibri" w:hAnsi="Calibri"/>
          <w:color w:val="000000"/>
        </w:rPr>
        <w:t xml:space="preserve"> new cases of melanoma of the skin at a rate of </w:t>
      </w:r>
      <w:r>
        <w:rPr>
          <w:rFonts w:ascii="Calibri" w:hAnsi="Calibri"/>
          <w:color w:val="000000"/>
        </w:rPr>
        <w:t>62</w:t>
      </w:r>
      <w:r w:rsidRPr="00F72ECE">
        <w:rPr>
          <w:rFonts w:ascii="Calibri" w:hAnsi="Calibri"/>
          <w:color w:val="000000"/>
        </w:rPr>
        <w:t xml:space="preserve"> per 100,0</w:t>
      </w:r>
      <w:r>
        <w:rPr>
          <w:rFonts w:ascii="Calibri" w:hAnsi="Calibri"/>
          <w:color w:val="000000"/>
        </w:rPr>
        <w:t>00 population in males versus 41</w:t>
      </w:r>
      <w:r w:rsidRPr="00F72ECE">
        <w:rPr>
          <w:rFonts w:ascii="Calibri" w:hAnsi="Calibri"/>
          <w:color w:val="000000"/>
        </w:rPr>
        <w:t xml:space="preserve"> per 100,000 in females, standardised by age (AIHW, 2017</w:t>
      </w:r>
      <w:r>
        <w:rPr>
          <w:rFonts w:ascii="Calibri" w:hAnsi="Calibri"/>
          <w:color w:val="000000"/>
        </w:rPr>
        <w:t>b</w:t>
      </w:r>
      <w:r w:rsidRPr="00F72ECE">
        <w:rPr>
          <w:rFonts w:ascii="Calibri" w:hAnsi="Calibri"/>
          <w:color w:val="000000"/>
        </w:rPr>
        <w:t xml:space="preserve">). </w:t>
      </w:r>
    </w:p>
    <w:p w:rsidR="006D6C24" w:rsidRDefault="006D6C24" w:rsidP="006D6C24">
      <w:pPr>
        <w:rPr>
          <w:rFonts w:ascii="Calibri" w:hAnsi="Calibri"/>
          <w:color w:val="000000"/>
        </w:rPr>
      </w:pPr>
      <w:r>
        <w:rPr>
          <w:rFonts w:ascii="Calibri" w:hAnsi="Calibri"/>
          <w:color w:val="000000"/>
        </w:rPr>
        <w:t xml:space="preserve">Patients </w:t>
      </w:r>
      <w:r w:rsidR="00DE4FA2">
        <w:rPr>
          <w:rFonts w:ascii="Calibri" w:hAnsi="Calibri"/>
          <w:color w:val="000000"/>
        </w:rPr>
        <w:t xml:space="preserve">treated with PBS medicines for </w:t>
      </w:r>
      <w:r w:rsidR="00DE4FA2">
        <w:rPr>
          <w:color w:val="000000"/>
        </w:rPr>
        <w:t>unresectable stage III or metastatic (stage IV) melanoma</w:t>
      </w:r>
      <w:r w:rsidR="00DE4FA2">
        <w:rPr>
          <w:rFonts w:ascii="Calibri" w:hAnsi="Calibri"/>
          <w:color w:val="000000"/>
        </w:rPr>
        <w:t xml:space="preserve"> </w:t>
      </w:r>
      <w:r>
        <w:rPr>
          <w:rFonts w:ascii="Calibri" w:hAnsi="Calibri"/>
          <w:color w:val="000000"/>
        </w:rPr>
        <w:t>were mostly aged 60 years or more (Figure 3b). In 2017, the mean age of t</w:t>
      </w:r>
      <w:r w:rsidR="00DE4FA2">
        <w:rPr>
          <w:rFonts w:ascii="Calibri" w:hAnsi="Calibri"/>
          <w:color w:val="000000"/>
        </w:rPr>
        <w:t>he PBS population was 66 years compared with 62 years in 2014 (Figure 3a).</w:t>
      </w:r>
    </w:p>
    <w:p w:rsidR="006D6C24" w:rsidRPr="00C37113" w:rsidRDefault="006D6C24" w:rsidP="006A2A44">
      <w:pPr>
        <w:pStyle w:val="Heading3"/>
      </w:pPr>
      <w:r>
        <w:lastRenderedPageBreak/>
        <w:t>Treatment uptake</w:t>
      </w:r>
    </w:p>
    <w:p w:rsidR="006D6C24" w:rsidRDefault="006D6C24" w:rsidP="006D6C24">
      <w:pPr>
        <w:rPr>
          <w:rFonts w:ascii="Calibri" w:hAnsi="Calibri"/>
          <w:color w:val="000000"/>
        </w:rPr>
      </w:pPr>
      <w:r>
        <w:rPr>
          <w:rFonts w:ascii="Calibri" w:hAnsi="Calibri"/>
          <w:color w:val="000000"/>
        </w:rPr>
        <w:t>There was substantial growth in the treated population following the listing of pembroli</w:t>
      </w:r>
      <w:r w:rsidR="00157878">
        <w:rPr>
          <w:rFonts w:ascii="Calibri" w:hAnsi="Calibri"/>
          <w:color w:val="000000"/>
        </w:rPr>
        <w:t>zumab in 2015 (Table 6, Figure 4</w:t>
      </w:r>
      <w:r>
        <w:rPr>
          <w:rFonts w:ascii="Calibri" w:hAnsi="Calibri"/>
          <w:color w:val="000000"/>
        </w:rPr>
        <w:t>). The uptake of the BRAF targeted therapies and ipilimumab remained at si</w:t>
      </w:r>
      <w:r w:rsidR="00157878">
        <w:rPr>
          <w:rFonts w:ascii="Calibri" w:hAnsi="Calibri"/>
          <w:color w:val="000000"/>
        </w:rPr>
        <w:t>milar levels over 2017 (Figure 4</w:t>
      </w:r>
      <w:r>
        <w:rPr>
          <w:rFonts w:ascii="Calibri" w:hAnsi="Calibri"/>
          <w:color w:val="000000"/>
        </w:rPr>
        <w:t>).</w:t>
      </w:r>
    </w:p>
    <w:p w:rsidR="006D6C24" w:rsidRDefault="0057051A" w:rsidP="006D6C24">
      <w:pPr>
        <w:rPr>
          <w:rFonts w:ascii="Calibri" w:hAnsi="Calibri"/>
          <w:color w:val="000000"/>
        </w:rPr>
      </w:pPr>
      <w:r>
        <w:rPr>
          <w:rFonts w:ascii="Calibri" w:hAnsi="Calibri"/>
          <w:color w:val="000000"/>
        </w:rPr>
        <w:t>The use</w:t>
      </w:r>
      <w:r w:rsidR="006D6C24">
        <w:rPr>
          <w:rFonts w:ascii="Calibri" w:hAnsi="Calibri"/>
          <w:color w:val="000000"/>
        </w:rPr>
        <w:t xml:space="preserve"> of ipilimumab </w:t>
      </w:r>
      <w:r>
        <w:rPr>
          <w:rFonts w:ascii="Calibri" w:hAnsi="Calibri"/>
          <w:color w:val="000000"/>
        </w:rPr>
        <w:t xml:space="preserve">increased </w:t>
      </w:r>
      <w:r w:rsidR="006D6C24">
        <w:rPr>
          <w:rFonts w:ascii="Calibri" w:hAnsi="Calibri"/>
          <w:color w:val="000000"/>
        </w:rPr>
        <w:t xml:space="preserve">during 2014 (Figure </w:t>
      </w:r>
      <w:r w:rsidR="00157878">
        <w:rPr>
          <w:rFonts w:ascii="Calibri" w:hAnsi="Calibri"/>
          <w:color w:val="000000"/>
        </w:rPr>
        <w:t>4</w:t>
      </w:r>
      <w:r w:rsidR="006D6C24">
        <w:rPr>
          <w:rFonts w:ascii="Calibri" w:hAnsi="Calibri"/>
          <w:color w:val="000000"/>
        </w:rPr>
        <w:t>). The DUSC review of ipilimumab and dabrafenib in October 2015 noted that during this period, there were few patients who initiated ipilimumab after PBS subsidised dabrafenib. DUSC considered that the rise in use of ipilimumab at this time could indicate patients moving to second-line ipilimumab on the PBS after receiving targeted therapies outside the PBS, such as through access programs or clinical trials.</w:t>
      </w:r>
      <w:r w:rsidR="006D6C24">
        <w:rPr>
          <w:rStyle w:val="FootnoteReference"/>
          <w:rFonts w:ascii="Calibri" w:hAnsi="Calibri"/>
          <w:color w:val="000000"/>
        </w:rPr>
        <w:footnoteReference w:id="8"/>
      </w:r>
      <w:r w:rsidR="006D6C24">
        <w:rPr>
          <w:rFonts w:ascii="Calibri" w:hAnsi="Calibri"/>
          <w:color w:val="000000"/>
        </w:rPr>
        <w:t xml:space="preserve">  </w:t>
      </w:r>
    </w:p>
    <w:p w:rsidR="006D6C24" w:rsidRPr="00E6123A" w:rsidRDefault="00D152FB" w:rsidP="006D6C24">
      <w:pPr>
        <w:rPr>
          <w:rFonts w:ascii="Calibri" w:hAnsi="Calibri"/>
          <w:color w:val="000000"/>
        </w:rPr>
      </w:pPr>
      <w:r>
        <w:rPr>
          <w:rFonts w:ascii="Calibri" w:hAnsi="Calibri"/>
          <w:color w:val="000000"/>
        </w:rPr>
        <w:t>After</w:t>
      </w:r>
      <w:r w:rsidR="006D6C24">
        <w:rPr>
          <w:rFonts w:ascii="Calibri" w:hAnsi="Calibri"/>
          <w:color w:val="000000"/>
        </w:rPr>
        <w:t xml:space="preserve"> the listing of pembrolizumab in 2015</w:t>
      </w:r>
      <w:r>
        <w:rPr>
          <w:rFonts w:ascii="Calibri" w:hAnsi="Calibri"/>
          <w:color w:val="000000"/>
        </w:rPr>
        <w:t>, the utilisation of ipilimumab declined</w:t>
      </w:r>
      <w:r w:rsidR="006D6C24">
        <w:rPr>
          <w:rFonts w:ascii="Calibri" w:hAnsi="Calibri"/>
          <w:color w:val="000000"/>
        </w:rPr>
        <w:t xml:space="preserve"> until Quarter 2 in 2016 where an increase in the use </w:t>
      </w:r>
      <w:r w:rsidR="00157878">
        <w:rPr>
          <w:rFonts w:ascii="Calibri" w:hAnsi="Calibri"/>
          <w:color w:val="000000"/>
        </w:rPr>
        <w:t>of ipilimumab occurred (Figure 4</w:t>
      </w:r>
      <w:r w:rsidR="006D6C24">
        <w:rPr>
          <w:rFonts w:ascii="Calibri" w:hAnsi="Calibri"/>
          <w:color w:val="000000"/>
        </w:rPr>
        <w:t xml:space="preserve">). This may relate to the PBAC recommendation in July 2016 to change the clinical criteria for ipilimumab </w:t>
      </w:r>
      <w:r w:rsidR="006D6C24">
        <w:rPr>
          <w:rFonts w:ascii="Arial" w:hAnsi="Arial" w:cs="Arial"/>
          <w:snapToGrid w:val="0"/>
          <w:sz w:val="22"/>
          <w:szCs w:val="20"/>
        </w:rPr>
        <w:t>to read “</w:t>
      </w:r>
      <w:r w:rsidR="006D6C24" w:rsidRPr="006425FA">
        <w:rPr>
          <w:rFonts w:cs="Arial"/>
          <w:snapToGrid w:val="0"/>
        </w:rPr>
        <w:t>The treatment must be the sole PBS-subsidised therapy for this condition</w:t>
      </w:r>
      <w:r w:rsidR="006D6C24" w:rsidRPr="00516365">
        <w:rPr>
          <w:rFonts w:cs="Arial"/>
          <w:i/>
          <w:snapToGrid w:val="0"/>
        </w:rPr>
        <w:t xml:space="preserve">”. </w:t>
      </w:r>
      <w:r w:rsidR="006D6C24" w:rsidRPr="00516365">
        <w:rPr>
          <w:rFonts w:cs="Arial"/>
          <w:snapToGrid w:val="0"/>
        </w:rPr>
        <w:t xml:space="preserve">In making this recommendation, </w:t>
      </w:r>
      <w:r w:rsidR="006D6C24" w:rsidRPr="00516365">
        <w:rPr>
          <w:rFonts w:cs="Times New Roman"/>
          <w:color w:val="000000"/>
        </w:rPr>
        <w:t>the PBAC noted that the utilisation of PBS subsidised ipilimumab may change as under the revised criteria,</w:t>
      </w:r>
      <w:r w:rsidR="006D6C24" w:rsidRPr="00D84359">
        <w:rPr>
          <w:rFonts w:ascii="Calibri" w:hAnsi="Calibri" w:cs="Times New Roman"/>
          <w:color w:val="000000"/>
        </w:rPr>
        <w:t xml:space="preserve"> patients could access non-PBS subsidised therapy to be used concomitantly with ipilimumab</w:t>
      </w:r>
      <w:r w:rsidR="006D6C24">
        <w:rPr>
          <w:rFonts w:ascii="Calibri" w:hAnsi="Calibri"/>
          <w:color w:val="000000"/>
        </w:rPr>
        <w:t>.</w:t>
      </w:r>
      <w:r w:rsidR="006D6C24">
        <w:rPr>
          <w:rStyle w:val="FootnoteReference"/>
          <w:rFonts w:ascii="Calibri" w:hAnsi="Calibri"/>
          <w:color w:val="000000"/>
        </w:rPr>
        <w:footnoteReference w:id="9"/>
      </w:r>
    </w:p>
    <w:p w:rsidR="00032B13" w:rsidRPr="00CD64CB" w:rsidRDefault="00032B13" w:rsidP="00032B13">
      <w:pPr>
        <w:spacing w:after="0"/>
        <w:contextualSpacing/>
        <w:rPr>
          <w:rFonts w:ascii="Calibri" w:hAnsi="Calibri"/>
          <w:color w:val="000000" w:themeColor="text1"/>
          <w:highlight w:val="black"/>
        </w:rPr>
      </w:pPr>
      <w:r w:rsidRPr="00CD64CB">
        <w:rPr>
          <w:rFonts w:ascii="Calibri" w:hAnsi="Calibri"/>
          <w:color w:val="000000" w:themeColor="text1"/>
          <w:highlight w:val="black"/>
        </w:rPr>
        <w:t>XXXXXXXXXXXXXXXXXXXXXXXXXXXXXXXXXXXXXXXXXXXXXXXXXXXXXXXXXXXXXXXXXX</w:t>
      </w:r>
    </w:p>
    <w:p w:rsidR="00032B13" w:rsidRPr="00CD64CB" w:rsidRDefault="00032B13" w:rsidP="00032B13">
      <w:pPr>
        <w:spacing w:after="0"/>
        <w:contextualSpacing/>
        <w:rPr>
          <w:rFonts w:ascii="Calibri" w:hAnsi="Calibri"/>
          <w:color w:val="000000" w:themeColor="text1"/>
          <w:highlight w:val="black"/>
        </w:rPr>
      </w:pPr>
      <w:r w:rsidRPr="00CD64CB">
        <w:rPr>
          <w:rFonts w:ascii="Calibri" w:hAnsi="Calibri"/>
          <w:color w:val="000000" w:themeColor="text1"/>
          <w:highlight w:val="black"/>
        </w:rPr>
        <w:t>XXXXXXXXXXXXXXXXXXXXXXXXXXXXXXXXXXXXXXXXXXXXXXXXXXXXXXXXXXXXXXXXX</w:t>
      </w:r>
    </w:p>
    <w:p w:rsidR="00032B13" w:rsidRPr="00032B13" w:rsidRDefault="00032B13" w:rsidP="00032B13">
      <w:pPr>
        <w:spacing w:after="0"/>
        <w:contextualSpacing/>
        <w:rPr>
          <w:rFonts w:ascii="Calibri" w:hAnsi="Calibri"/>
          <w:color w:val="000000" w:themeColor="text1"/>
        </w:rPr>
      </w:pPr>
      <w:r w:rsidRPr="00CD64CB">
        <w:rPr>
          <w:rFonts w:ascii="Calibri" w:hAnsi="Calibri"/>
          <w:color w:val="000000" w:themeColor="text1"/>
          <w:highlight w:val="black"/>
        </w:rPr>
        <w:t>XXXXXXXXXXXXXXXXXXXXXXXXXXXXXXXXXXXXXXXXXXXXXXXXXXXXXXXXXXXXXX</w:t>
      </w:r>
    </w:p>
    <w:p w:rsidR="006D6C24" w:rsidRDefault="006D6C24" w:rsidP="006D6C24">
      <w:r w:rsidRPr="007B249D">
        <w:t xml:space="preserve">On 1 April 2016, the restriction levels of dabrafenib and trametinib were changed from Authority Required (telephone) to STREAMLINED Authority. </w:t>
      </w:r>
      <w:r>
        <w:t xml:space="preserve">The utilisation of combination therapy with dabrafenib and trametinib grew by 16 percent between Quarter 1 and Quarter 2 in 2016 </w:t>
      </w:r>
      <w:r w:rsidR="00336B1A">
        <w:t>after the</w:t>
      </w:r>
      <w:r>
        <w:t xml:space="preserve"> amendment to the restriction criteria (Figure </w:t>
      </w:r>
      <w:r w:rsidR="00157878">
        <w:t>4</w:t>
      </w:r>
      <w:r>
        <w:t xml:space="preserve">). Since the fourth quarter of 2016, growth in the utilisation </w:t>
      </w:r>
      <w:r w:rsidR="0037245F">
        <w:t xml:space="preserve">of dabrafenib with trametinib </w:t>
      </w:r>
      <w:r>
        <w:t xml:space="preserve">has been modest (around 3 percent growth per quarter). </w:t>
      </w:r>
    </w:p>
    <w:p w:rsidR="006D6C24" w:rsidRPr="00C37113" w:rsidRDefault="006D6C24" w:rsidP="006A2A44">
      <w:pPr>
        <w:pStyle w:val="Heading3"/>
      </w:pPr>
      <w:r>
        <w:t>Use of drug regimens</w:t>
      </w:r>
    </w:p>
    <w:p w:rsidR="006D6C24" w:rsidRDefault="006D6C24" w:rsidP="006D6C24">
      <w:pPr>
        <w:rPr>
          <w:rFonts w:ascii="Calibri" w:hAnsi="Calibri"/>
          <w:color w:val="000000"/>
        </w:rPr>
      </w:pPr>
      <w:r>
        <w:rPr>
          <w:rFonts w:ascii="Calibri" w:hAnsi="Calibri"/>
          <w:color w:val="000000"/>
        </w:rPr>
        <w:t>It is recommended in clinical guidelines that patients with BRAF-mutated tumours should be treated with a BRAF inhibitor and MEK inhibitor (</w:t>
      </w:r>
      <w:r w:rsidR="00311C87">
        <w:rPr>
          <w:rFonts w:ascii="Calibri" w:hAnsi="Calibri"/>
          <w:color w:val="000000"/>
        </w:rPr>
        <w:t xml:space="preserve">Garbe et al., 2016; </w:t>
      </w:r>
      <w:r>
        <w:rPr>
          <w:rFonts w:ascii="Calibri" w:hAnsi="Calibri"/>
          <w:color w:val="000000"/>
        </w:rPr>
        <w:t>Sosman</w:t>
      </w:r>
      <w:r w:rsidR="00311C87">
        <w:rPr>
          <w:rFonts w:ascii="Calibri" w:hAnsi="Calibri"/>
          <w:color w:val="000000"/>
        </w:rPr>
        <w:t xml:space="preserve"> et al.</w:t>
      </w:r>
      <w:r>
        <w:rPr>
          <w:rFonts w:ascii="Calibri" w:hAnsi="Calibri"/>
          <w:color w:val="000000"/>
        </w:rPr>
        <w:t xml:space="preserve">, 2018). The prevalence of BRAF </w:t>
      </w:r>
      <w:r w:rsidR="00E2170B">
        <w:rPr>
          <w:rFonts w:ascii="Calibri" w:hAnsi="Calibri"/>
          <w:color w:val="000000"/>
        </w:rPr>
        <w:t xml:space="preserve">V600 </w:t>
      </w:r>
      <w:r>
        <w:rPr>
          <w:rFonts w:ascii="Calibri" w:hAnsi="Calibri"/>
          <w:color w:val="000000"/>
        </w:rPr>
        <w:t>mutations for metastatic melanoma is reported to be around 40 percent in Australia (</w:t>
      </w:r>
      <w:r w:rsidR="00E2170B">
        <w:rPr>
          <w:rFonts w:ascii="Calibri" w:hAnsi="Calibri"/>
          <w:color w:val="000000"/>
        </w:rPr>
        <w:t xml:space="preserve">Menzies et al., 2012; </w:t>
      </w:r>
      <w:r>
        <w:rPr>
          <w:rFonts w:ascii="Calibri" w:hAnsi="Calibri"/>
          <w:color w:val="000000"/>
        </w:rPr>
        <w:t>Lyle et al., 2016). In 2017, 36 percent of PBS patients were supplied a BRAF targeted medicine (Table 6) which is similar to the estimated prevalence of BRAF mutations in Australia.</w:t>
      </w:r>
    </w:p>
    <w:p w:rsidR="006D6C24" w:rsidRDefault="00C10567" w:rsidP="006D6C24">
      <w:pPr>
        <w:rPr>
          <w:rFonts w:ascii="Calibri" w:hAnsi="Calibri"/>
          <w:color w:val="000000"/>
        </w:rPr>
      </w:pPr>
      <w:r w:rsidRPr="00C10567">
        <w:rPr>
          <w:rFonts w:ascii="Calibri" w:hAnsi="Calibri"/>
          <w:color w:val="000000"/>
        </w:rPr>
        <w:t>Around one-fifth</w:t>
      </w:r>
      <w:r>
        <w:rPr>
          <w:rFonts w:ascii="Calibri" w:hAnsi="Calibri"/>
          <w:color w:val="000000"/>
        </w:rPr>
        <w:t xml:space="preserve"> </w:t>
      </w:r>
      <w:r w:rsidR="006D6C24">
        <w:rPr>
          <w:rFonts w:ascii="Calibri" w:hAnsi="Calibri"/>
          <w:color w:val="000000"/>
        </w:rPr>
        <w:t>of patients firs</w:t>
      </w:r>
      <w:r w:rsidR="00E2170B">
        <w:rPr>
          <w:rFonts w:ascii="Calibri" w:hAnsi="Calibri"/>
          <w:color w:val="000000"/>
        </w:rPr>
        <w:t>t initiating</w:t>
      </w:r>
      <w:r w:rsidR="00141A75">
        <w:rPr>
          <w:rFonts w:ascii="Calibri" w:hAnsi="Calibri"/>
          <w:color w:val="000000"/>
        </w:rPr>
        <w:t xml:space="preserve"> on PBS therapy</w:t>
      </w:r>
      <w:r w:rsidR="00E2170B">
        <w:rPr>
          <w:rFonts w:ascii="Calibri" w:hAnsi="Calibri"/>
          <w:color w:val="000000"/>
        </w:rPr>
        <w:t xml:space="preserve"> in 2016 or 2017 was</w:t>
      </w:r>
      <w:r w:rsidR="006D6C24">
        <w:rPr>
          <w:rFonts w:ascii="Calibri" w:hAnsi="Calibri"/>
          <w:color w:val="000000"/>
        </w:rPr>
        <w:t xml:space="preserve"> </w:t>
      </w:r>
      <w:r w:rsidR="000E6E37">
        <w:rPr>
          <w:rFonts w:ascii="Calibri" w:hAnsi="Calibri"/>
          <w:color w:val="000000"/>
        </w:rPr>
        <w:t xml:space="preserve">subsequently </w:t>
      </w:r>
      <w:r w:rsidR="006D6C24">
        <w:rPr>
          <w:rFonts w:ascii="Calibri" w:hAnsi="Calibri"/>
          <w:color w:val="000000"/>
        </w:rPr>
        <w:t xml:space="preserve">supplied another PBS </w:t>
      </w:r>
      <w:r w:rsidR="005309C7">
        <w:rPr>
          <w:rFonts w:ascii="Calibri" w:hAnsi="Calibri"/>
          <w:color w:val="000000"/>
        </w:rPr>
        <w:t>sub</w:t>
      </w:r>
      <w:r w:rsidR="006314AE">
        <w:rPr>
          <w:rFonts w:ascii="Calibri" w:hAnsi="Calibri"/>
          <w:color w:val="000000"/>
        </w:rPr>
        <w:t>sidised</w:t>
      </w:r>
      <w:r w:rsidR="006D6C24">
        <w:rPr>
          <w:rFonts w:ascii="Calibri" w:hAnsi="Calibri"/>
          <w:color w:val="000000"/>
        </w:rPr>
        <w:t xml:space="preserve"> drug regimen (Tables 11 and 12). A low overall number of patients refractory to first-line therapy was also reported in the October 2015 DUSC review of ipilimumab and dabrafenib</w:t>
      </w:r>
      <w:r w:rsidR="006D6C24">
        <w:rPr>
          <w:rStyle w:val="FootnoteReference"/>
          <w:rFonts w:ascii="Calibri" w:hAnsi="Calibri"/>
          <w:color w:val="000000"/>
        </w:rPr>
        <w:footnoteReference w:id="10"/>
      </w:r>
      <w:r w:rsidR="006D6C24">
        <w:rPr>
          <w:rFonts w:ascii="Calibri" w:hAnsi="Calibri"/>
          <w:color w:val="000000"/>
        </w:rPr>
        <w:t xml:space="preserve">. As noted for the October 2015 review, </w:t>
      </w:r>
      <w:r w:rsidR="006D6C24">
        <w:rPr>
          <w:rFonts w:ascii="Calibri" w:hAnsi="Calibri"/>
          <w:color w:val="000000"/>
        </w:rPr>
        <w:lastRenderedPageBreak/>
        <w:t xml:space="preserve">this may be due to participation in access programs or clinical trials, patients </w:t>
      </w:r>
      <w:r w:rsidR="001E64A5">
        <w:rPr>
          <w:rFonts w:ascii="Calibri" w:hAnsi="Calibri"/>
          <w:color w:val="000000"/>
        </w:rPr>
        <w:t xml:space="preserve">not requiring or </w:t>
      </w:r>
      <w:r w:rsidR="006D6C24">
        <w:rPr>
          <w:rFonts w:ascii="Calibri" w:hAnsi="Calibri"/>
          <w:color w:val="000000"/>
        </w:rPr>
        <w:t xml:space="preserve">being unsuitable </w:t>
      </w:r>
      <w:r w:rsidR="00AC0D01">
        <w:rPr>
          <w:rFonts w:ascii="Calibri" w:hAnsi="Calibri"/>
          <w:color w:val="000000"/>
        </w:rPr>
        <w:t>for</w:t>
      </w:r>
      <w:r w:rsidR="001E64A5">
        <w:rPr>
          <w:rFonts w:ascii="Calibri" w:hAnsi="Calibri"/>
          <w:color w:val="000000"/>
        </w:rPr>
        <w:t xml:space="preserve"> </w:t>
      </w:r>
      <w:r w:rsidR="006D6C24">
        <w:rPr>
          <w:rFonts w:ascii="Calibri" w:hAnsi="Calibri"/>
          <w:color w:val="000000"/>
        </w:rPr>
        <w:t xml:space="preserve">further PBS therapy or death.  </w:t>
      </w:r>
    </w:p>
    <w:p w:rsidR="006D6C24" w:rsidRDefault="006D6C24" w:rsidP="004A57C8">
      <w:pPr>
        <w:rPr>
          <w:rFonts w:ascii="Calibri" w:hAnsi="Calibri"/>
          <w:color w:val="000000"/>
        </w:rPr>
      </w:pPr>
      <w:r>
        <w:rPr>
          <w:rFonts w:ascii="Calibri" w:hAnsi="Calibri"/>
          <w:color w:val="000000"/>
        </w:rPr>
        <w:t xml:space="preserve">Drug regimen analyses were conducted in two </w:t>
      </w:r>
      <w:r w:rsidR="00895294">
        <w:rPr>
          <w:rFonts w:ascii="Calibri" w:hAnsi="Calibri"/>
          <w:color w:val="000000"/>
        </w:rPr>
        <w:t xml:space="preserve">six-month patient </w:t>
      </w:r>
      <w:r>
        <w:rPr>
          <w:rFonts w:ascii="Calibri" w:hAnsi="Calibri"/>
          <w:color w:val="000000"/>
        </w:rPr>
        <w:t xml:space="preserve">cohorts who first initiated on PBS therapy in 2016 and 2017. This was intended to compare the prescribing practices before and after the listing of nivolumab in 2016, the listings of vemurafenib and cobimetinib in April 2017, and the change to ipilimumab’s listing in December 2016 </w:t>
      </w:r>
      <w:r w:rsidR="00447B39">
        <w:rPr>
          <w:rFonts w:ascii="Calibri" w:hAnsi="Calibri"/>
          <w:color w:val="000000"/>
        </w:rPr>
        <w:t>which may have resulted in</w:t>
      </w:r>
      <w:r>
        <w:rPr>
          <w:rFonts w:ascii="Calibri" w:hAnsi="Calibri"/>
          <w:color w:val="000000"/>
        </w:rPr>
        <w:t xml:space="preserve"> its concomitant use with non-PBS nivolumab. For the 2016 initiating cohort, </w:t>
      </w:r>
      <w:r w:rsidR="00E2370D">
        <w:rPr>
          <w:rFonts w:ascii="Calibri" w:hAnsi="Calibri"/>
          <w:color w:val="000000"/>
        </w:rPr>
        <w:t xml:space="preserve">around 30 percent received a BRAF inhibitor as their first therapy and the remaining </w:t>
      </w:r>
      <w:r w:rsidR="00A332E7">
        <w:rPr>
          <w:rFonts w:ascii="Calibri" w:hAnsi="Calibri"/>
          <w:color w:val="000000"/>
        </w:rPr>
        <w:t xml:space="preserve">patients were mainly initiated on pembrolizumab (Table 11). In 2017, </w:t>
      </w:r>
      <w:r w:rsidR="006502EB">
        <w:rPr>
          <w:rFonts w:ascii="Calibri" w:hAnsi="Calibri"/>
          <w:color w:val="000000"/>
        </w:rPr>
        <w:t xml:space="preserve">there was a shift towards ipilimumab and nivolumab having a higher market share </w:t>
      </w:r>
      <w:r w:rsidR="004A57C8">
        <w:rPr>
          <w:rFonts w:ascii="Calibri" w:hAnsi="Calibri"/>
          <w:color w:val="000000"/>
        </w:rPr>
        <w:t xml:space="preserve">(Table 12). </w:t>
      </w:r>
    </w:p>
    <w:p w:rsidR="006D6C24" w:rsidRDefault="00B9298B" w:rsidP="006D6C24">
      <w:pPr>
        <w:spacing w:after="0"/>
        <w:rPr>
          <w:rFonts w:ascii="Calibri" w:hAnsi="Calibri"/>
          <w:color w:val="000000"/>
        </w:rPr>
      </w:pPr>
      <w:r>
        <w:rPr>
          <w:rFonts w:ascii="Calibri" w:hAnsi="Calibri"/>
          <w:color w:val="000000"/>
        </w:rPr>
        <w:t>Of the 210</w:t>
      </w:r>
      <w:r w:rsidR="006D6C24">
        <w:rPr>
          <w:rFonts w:ascii="Calibri" w:hAnsi="Calibri"/>
          <w:color w:val="000000"/>
        </w:rPr>
        <w:t xml:space="preserve"> patients in the 2016 cohort who became refrac</w:t>
      </w:r>
      <w:r>
        <w:rPr>
          <w:rFonts w:ascii="Calibri" w:hAnsi="Calibri"/>
          <w:color w:val="000000"/>
        </w:rPr>
        <w:t>tory to their first treatment, 4</w:t>
      </w:r>
      <w:r w:rsidR="006D6C24">
        <w:rPr>
          <w:rFonts w:ascii="Calibri" w:hAnsi="Calibri"/>
          <w:color w:val="000000"/>
        </w:rPr>
        <w:t>8</w:t>
      </w:r>
      <w:r w:rsidR="006020FB">
        <w:rPr>
          <w:rFonts w:ascii="Calibri" w:hAnsi="Calibri"/>
          <w:color w:val="000000"/>
        </w:rPr>
        <w:t> </w:t>
      </w:r>
      <w:r w:rsidR="006D6C24">
        <w:rPr>
          <w:rFonts w:ascii="Calibri" w:hAnsi="Calibri"/>
          <w:color w:val="000000"/>
        </w:rPr>
        <w:t>percent received a supply of ipilimumab as their second therapy (Table 11). Most patients supplied ipilimumab as their second drug regimen had a prior supply of pembrolizumab (Table 11).</w:t>
      </w:r>
    </w:p>
    <w:p w:rsidR="006D6C24" w:rsidRDefault="006D6C24" w:rsidP="006D6C24">
      <w:pPr>
        <w:spacing w:after="0"/>
        <w:rPr>
          <w:rFonts w:ascii="Calibri" w:hAnsi="Calibri"/>
          <w:color w:val="000000"/>
        </w:rPr>
      </w:pPr>
    </w:p>
    <w:p w:rsidR="006D6C24" w:rsidRDefault="006D6C24" w:rsidP="006D6C24">
      <w:pPr>
        <w:spacing w:after="0"/>
        <w:rPr>
          <w:rFonts w:ascii="Calibri" w:hAnsi="Calibri"/>
          <w:color w:val="000000"/>
        </w:rPr>
      </w:pPr>
      <w:r>
        <w:rPr>
          <w:rFonts w:ascii="Calibri" w:hAnsi="Calibri"/>
          <w:color w:val="000000"/>
        </w:rPr>
        <w:t xml:space="preserve">As vemurafenib and cobimetinib were listed towards the end of the analysis period, there was </w:t>
      </w:r>
      <w:r w:rsidR="00866940">
        <w:rPr>
          <w:rFonts w:ascii="Calibri" w:hAnsi="Calibri"/>
          <w:color w:val="000000"/>
        </w:rPr>
        <w:t xml:space="preserve">minimal </w:t>
      </w:r>
      <w:r>
        <w:rPr>
          <w:rFonts w:ascii="Calibri" w:hAnsi="Calibri"/>
          <w:color w:val="000000"/>
        </w:rPr>
        <w:t>detection of their use in the 2016 initiating cohort.</w:t>
      </w:r>
    </w:p>
    <w:p w:rsidR="006D6C24" w:rsidRDefault="006D6C24" w:rsidP="006D6C24">
      <w:pPr>
        <w:spacing w:after="0"/>
        <w:rPr>
          <w:rFonts w:ascii="Calibri" w:hAnsi="Calibri"/>
          <w:color w:val="000000"/>
        </w:rPr>
      </w:pPr>
    </w:p>
    <w:p w:rsidR="006D6C24" w:rsidRDefault="006D6C24" w:rsidP="006D6C24">
      <w:pPr>
        <w:spacing w:after="0"/>
        <w:rPr>
          <w:rFonts w:ascii="Calibri" w:hAnsi="Calibri"/>
          <w:color w:val="000000"/>
        </w:rPr>
      </w:pPr>
      <w:r>
        <w:rPr>
          <w:rFonts w:ascii="Calibri" w:hAnsi="Calibri"/>
          <w:color w:val="000000"/>
        </w:rPr>
        <w:t xml:space="preserve">Consistent with the PBS restriction criteria, there were no instances identified of a potential co-administration </w:t>
      </w:r>
      <w:r w:rsidR="0069167F">
        <w:rPr>
          <w:rFonts w:ascii="Calibri" w:hAnsi="Calibri"/>
          <w:color w:val="000000"/>
        </w:rPr>
        <w:t>of PBS subsidised</w:t>
      </w:r>
      <w:r>
        <w:rPr>
          <w:rFonts w:ascii="Calibri" w:hAnsi="Calibri"/>
          <w:color w:val="000000"/>
        </w:rPr>
        <w:t xml:space="preserve"> immunotherapies (i.e. ipilimumab, nivolumab and pembrolizumab)</w:t>
      </w:r>
      <w:r w:rsidR="00B61C76">
        <w:rPr>
          <w:rFonts w:ascii="Calibri" w:hAnsi="Calibri"/>
          <w:color w:val="000000"/>
        </w:rPr>
        <w:t xml:space="preserve"> in either the 2016 or 2017 initiating cohorts</w:t>
      </w:r>
      <w:r>
        <w:rPr>
          <w:rFonts w:ascii="Calibri" w:hAnsi="Calibri"/>
          <w:color w:val="000000"/>
        </w:rPr>
        <w:t>.</w:t>
      </w:r>
    </w:p>
    <w:p w:rsidR="006D6C24" w:rsidRPr="00C37113" w:rsidRDefault="006D6C24" w:rsidP="006A2A44">
      <w:pPr>
        <w:pStyle w:val="Heading3"/>
      </w:pPr>
      <w:r>
        <w:t>Time on therapy</w:t>
      </w:r>
    </w:p>
    <w:p w:rsidR="006D6C24" w:rsidRDefault="006D6C24" w:rsidP="006D6C24">
      <w:pPr>
        <w:rPr>
          <w:rFonts w:ascii="Calibri" w:hAnsi="Calibri"/>
          <w:color w:val="000000"/>
        </w:rPr>
      </w:pPr>
      <w:r>
        <w:rPr>
          <w:rFonts w:ascii="Calibri" w:hAnsi="Calibri"/>
          <w:color w:val="000000"/>
        </w:rPr>
        <w:t>The progression-free survival (PFS) times reported in clinical trials for dabrafenib, ipilimumab, pembrolizumab and vemurafenib are shown in Table 16.</w:t>
      </w:r>
    </w:p>
    <w:p w:rsidR="006D6C24" w:rsidRPr="000B371C" w:rsidRDefault="006D6C24" w:rsidP="006A2A44">
      <w:pPr>
        <w:pStyle w:val="Tabletitle"/>
      </w:pPr>
      <w:r>
        <w:t>Table 16. Progression-free survival times for dabrafenib, ipilimumab, pembrolizumab and vemurafenib</w:t>
      </w:r>
    </w:p>
    <w:tbl>
      <w:tblPr>
        <w:tblStyle w:val="TableGrid"/>
        <w:tblW w:w="6062" w:type="dxa"/>
        <w:tblLook w:val="04A0" w:firstRow="1" w:lastRow="0" w:firstColumn="1" w:lastColumn="0" w:noHBand="0" w:noVBand="1"/>
        <w:tblCaption w:val="Table 16"/>
        <w:tblDescription w:val="survival by medicine"/>
      </w:tblPr>
      <w:tblGrid>
        <w:gridCol w:w="1951"/>
        <w:gridCol w:w="2410"/>
        <w:gridCol w:w="1701"/>
      </w:tblGrid>
      <w:tr w:rsidR="006D6C24" w:rsidTr="00FF78B9">
        <w:trPr>
          <w:tblHeader/>
        </w:trPr>
        <w:tc>
          <w:tcPr>
            <w:tcW w:w="1951" w:type="dxa"/>
            <w:shd w:val="clear" w:color="auto" w:fill="F2F2F2" w:themeFill="background1" w:themeFillShade="F2"/>
          </w:tcPr>
          <w:p w:rsidR="006D6C24" w:rsidRPr="00D6766D" w:rsidRDefault="006D6C24" w:rsidP="00FD4615">
            <w:pPr>
              <w:rPr>
                <w:rFonts w:ascii="Calibri" w:hAnsi="Calibri"/>
                <w:b/>
                <w:color w:val="000000"/>
                <w:sz w:val="20"/>
                <w:szCs w:val="20"/>
              </w:rPr>
            </w:pPr>
            <w:r w:rsidRPr="00D6766D">
              <w:rPr>
                <w:rFonts w:ascii="Calibri" w:hAnsi="Calibri"/>
                <w:b/>
                <w:color w:val="000000"/>
                <w:sz w:val="20"/>
                <w:szCs w:val="20"/>
              </w:rPr>
              <w:t>Drug</w:t>
            </w:r>
          </w:p>
        </w:tc>
        <w:tc>
          <w:tcPr>
            <w:tcW w:w="2410" w:type="dxa"/>
            <w:shd w:val="clear" w:color="auto" w:fill="F2F2F2" w:themeFill="background1" w:themeFillShade="F2"/>
          </w:tcPr>
          <w:p w:rsidR="006D6C24" w:rsidRPr="00D6766D" w:rsidRDefault="006D6C24" w:rsidP="00FD4615">
            <w:pPr>
              <w:rPr>
                <w:rFonts w:ascii="Calibri" w:hAnsi="Calibri"/>
                <w:b/>
                <w:color w:val="000000"/>
                <w:sz w:val="20"/>
                <w:szCs w:val="20"/>
              </w:rPr>
            </w:pPr>
            <w:r>
              <w:rPr>
                <w:rFonts w:ascii="Calibri" w:hAnsi="Calibri"/>
                <w:b/>
                <w:color w:val="000000"/>
                <w:sz w:val="20"/>
                <w:szCs w:val="20"/>
              </w:rPr>
              <w:t xml:space="preserve">Progression-Free </w:t>
            </w:r>
            <w:r w:rsidRPr="00D6766D">
              <w:rPr>
                <w:rFonts w:ascii="Calibri" w:hAnsi="Calibri"/>
                <w:b/>
                <w:color w:val="000000"/>
                <w:sz w:val="20"/>
                <w:szCs w:val="20"/>
              </w:rPr>
              <w:t>Survival time (months)</w:t>
            </w:r>
          </w:p>
        </w:tc>
        <w:tc>
          <w:tcPr>
            <w:tcW w:w="1701" w:type="dxa"/>
            <w:shd w:val="clear" w:color="auto" w:fill="F2F2F2" w:themeFill="background1" w:themeFillShade="F2"/>
          </w:tcPr>
          <w:p w:rsidR="006D6C24" w:rsidRPr="00D6766D" w:rsidRDefault="006D6C24" w:rsidP="00FD4615">
            <w:pPr>
              <w:rPr>
                <w:rFonts w:ascii="Calibri" w:hAnsi="Calibri"/>
                <w:b/>
                <w:color w:val="000000"/>
                <w:sz w:val="20"/>
                <w:szCs w:val="20"/>
              </w:rPr>
            </w:pPr>
            <w:r w:rsidRPr="00D6766D">
              <w:rPr>
                <w:rFonts w:ascii="Calibri" w:hAnsi="Calibri"/>
                <w:b/>
                <w:color w:val="000000"/>
                <w:sz w:val="20"/>
                <w:szCs w:val="20"/>
              </w:rPr>
              <w:t>Trial</w:t>
            </w:r>
          </w:p>
        </w:tc>
      </w:tr>
      <w:tr w:rsidR="006D6C24" w:rsidTr="00FD4615">
        <w:tc>
          <w:tcPr>
            <w:tcW w:w="1951" w:type="dxa"/>
          </w:tcPr>
          <w:p w:rsidR="006D6C24" w:rsidRPr="00141DFD" w:rsidRDefault="006D6C24" w:rsidP="00FD4615">
            <w:pPr>
              <w:rPr>
                <w:rFonts w:ascii="Calibri" w:hAnsi="Calibri"/>
                <w:color w:val="000000"/>
                <w:sz w:val="20"/>
                <w:szCs w:val="20"/>
              </w:rPr>
            </w:pPr>
            <w:r w:rsidRPr="00141DFD">
              <w:rPr>
                <w:rFonts w:ascii="Calibri" w:hAnsi="Calibri"/>
                <w:color w:val="000000"/>
                <w:sz w:val="20"/>
                <w:szCs w:val="20"/>
              </w:rPr>
              <w:t>Dabrafenib</w:t>
            </w:r>
          </w:p>
        </w:tc>
        <w:tc>
          <w:tcPr>
            <w:tcW w:w="2410" w:type="dxa"/>
          </w:tcPr>
          <w:p w:rsidR="006D6C24" w:rsidRPr="00141DFD" w:rsidRDefault="00503B8D" w:rsidP="00FD4615">
            <w:pPr>
              <w:rPr>
                <w:rFonts w:ascii="Calibri" w:hAnsi="Calibri"/>
                <w:color w:val="000000"/>
                <w:sz w:val="20"/>
                <w:szCs w:val="20"/>
                <w:vertAlign w:val="superscript"/>
              </w:rPr>
            </w:pPr>
            <w:r>
              <w:rPr>
                <w:rFonts w:ascii="Calibri" w:hAnsi="Calibri"/>
                <w:color w:val="000000"/>
                <w:sz w:val="20"/>
                <w:szCs w:val="20"/>
              </w:rPr>
              <w:t xml:space="preserve">Median </w:t>
            </w:r>
            <w:r w:rsidR="006D6C24" w:rsidRPr="00141DFD">
              <w:rPr>
                <w:rFonts w:ascii="Calibri" w:hAnsi="Calibri"/>
                <w:color w:val="000000"/>
                <w:sz w:val="20"/>
                <w:szCs w:val="20"/>
              </w:rPr>
              <w:t xml:space="preserve">PFS </w:t>
            </w:r>
            <w:r w:rsidR="006D6C24">
              <w:rPr>
                <w:rFonts w:ascii="Calibri" w:hAnsi="Calibri"/>
                <w:color w:val="000000"/>
                <w:sz w:val="20"/>
                <w:szCs w:val="20"/>
              </w:rPr>
              <w:t>6.9</w:t>
            </w:r>
            <w:r w:rsidR="006D6C24" w:rsidRPr="00141DFD">
              <w:rPr>
                <w:rFonts w:ascii="Calibri" w:hAnsi="Calibri"/>
                <w:color w:val="000000"/>
                <w:vertAlign w:val="superscript"/>
              </w:rPr>
              <w:t>a</w:t>
            </w:r>
          </w:p>
        </w:tc>
        <w:tc>
          <w:tcPr>
            <w:tcW w:w="1701" w:type="dxa"/>
          </w:tcPr>
          <w:p w:rsidR="006D6C24" w:rsidRPr="00141DFD" w:rsidRDefault="006D6C24" w:rsidP="00FD4615">
            <w:pPr>
              <w:rPr>
                <w:rFonts w:ascii="Calibri" w:hAnsi="Calibri"/>
                <w:color w:val="000000"/>
                <w:sz w:val="20"/>
                <w:szCs w:val="20"/>
              </w:rPr>
            </w:pPr>
            <w:r w:rsidRPr="00141DFD">
              <w:rPr>
                <w:rFonts w:ascii="Calibri" w:hAnsi="Calibri"/>
                <w:color w:val="000000"/>
                <w:sz w:val="20"/>
                <w:szCs w:val="20"/>
              </w:rPr>
              <w:t>BREAK-3</w:t>
            </w:r>
          </w:p>
        </w:tc>
      </w:tr>
      <w:tr w:rsidR="006D6C24" w:rsidTr="00FD4615">
        <w:tc>
          <w:tcPr>
            <w:tcW w:w="1951" w:type="dxa"/>
          </w:tcPr>
          <w:p w:rsidR="006D6C24" w:rsidRPr="00141DFD" w:rsidRDefault="006D6C24" w:rsidP="00FD4615">
            <w:pPr>
              <w:rPr>
                <w:rFonts w:ascii="Calibri" w:hAnsi="Calibri"/>
                <w:color w:val="000000"/>
                <w:sz w:val="20"/>
                <w:szCs w:val="20"/>
              </w:rPr>
            </w:pPr>
            <w:r w:rsidRPr="00141DFD">
              <w:rPr>
                <w:rFonts w:ascii="Calibri" w:hAnsi="Calibri"/>
                <w:color w:val="000000"/>
                <w:sz w:val="20"/>
                <w:szCs w:val="20"/>
              </w:rPr>
              <w:t>Ipilimumab</w:t>
            </w:r>
          </w:p>
        </w:tc>
        <w:tc>
          <w:tcPr>
            <w:tcW w:w="2410" w:type="dxa"/>
          </w:tcPr>
          <w:p w:rsidR="006D6C24" w:rsidRPr="003567F5" w:rsidRDefault="00F40280" w:rsidP="00FD4615">
            <w:pPr>
              <w:rPr>
                <w:color w:val="000000"/>
                <w:sz w:val="20"/>
                <w:szCs w:val="20"/>
                <w:vertAlign w:val="superscript"/>
              </w:rPr>
            </w:pPr>
            <w:r>
              <w:rPr>
                <w:rFonts w:cs="Arial"/>
                <w:color w:val="222222"/>
                <w:sz w:val="20"/>
                <w:szCs w:val="20"/>
                <w:shd w:val="clear" w:color="auto" w:fill="FFFFFF"/>
              </w:rPr>
              <w:t xml:space="preserve">Median </w:t>
            </w:r>
            <w:r w:rsidR="006D6C24" w:rsidRPr="003567F5">
              <w:rPr>
                <w:rFonts w:cs="Arial"/>
                <w:color w:val="222222"/>
                <w:sz w:val="20"/>
                <w:szCs w:val="20"/>
                <w:shd w:val="clear" w:color="auto" w:fill="FFFFFF"/>
              </w:rPr>
              <w:t>PFS 2.8</w:t>
            </w:r>
            <w:r w:rsidR="006D6C24" w:rsidRPr="003567F5">
              <w:rPr>
                <w:rFonts w:cs="Arial"/>
                <w:color w:val="222222"/>
                <w:shd w:val="clear" w:color="auto" w:fill="FFFFFF"/>
                <w:vertAlign w:val="superscript"/>
              </w:rPr>
              <w:t>b</w:t>
            </w:r>
          </w:p>
        </w:tc>
        <w:tc>
          <w:tcPr>
            <w:tcW w:w="1701" w:type="dxa"/>
          </w:tcPr>
          <w:p w:rsidR="006D6C24" w:rsidRPr="00141DFD" w:rsidRDefault="006D6C24" w:rsidP="00FD4615">
            <w:pPr>
              <w:rPr>
                <w:rFonts w:ascii="Calibri" w:hAnsi="Calibri"/>
                <w:color w:val="000000"/>
                <w:sz w:val="20"/>
                <w:szCs w:val="20"/>
              </w:rPr>
            </w:pPr>
            <w:r w:rsidRPr="00141DFD">
              <w:rPr>
                <w:rFonts w:ascii="Calibri" w:hAnsi="Calibri" w:cs="Times New Roman"/>
                <w:color w:val="000000"/>
                <w:sz w:val="20"/>
                <w:szCs w:val="20"/>
              </w:rPr>
              <w:t>CT-020</w:t>
            </w:r>
          </w:p>
        </w:tc>
      </w:tr>
      <w:tr w:rsidR="006D6C24" w:rsidTr="00FD4615">
        <w:tc>
          <w:tcPr>
            <w:tcW w:w="1951" w:type="dxa"/>
          </w:tcPr>
          <w:p w:rsidR="006D6C24" w:rsidRPr="00141DFD" w:rsidRDefault="006D6C24" w:rsidP="00FD4615">
            <w:pPr>
              <w:rPr>
                <w:rFonts w:ascii="Calibri" w:hAnsi="Calibri"/>
                <w:color w:val="000000"/>
                <w:sz w:val="20"/>
                <w:szCs w:val="20"/>
              </w:rPr>
            </w:pPr>
            <w:r w:rsidRPr="00141DFD">
              <w:rPr>
                <w:rFonts w:ascii="Calibri" w:hAnsi="Calibri"/>
                <w:color w:val="000000"/>
                <w:sz w:val="20"/>
                <w:szCs w:val="20"/>
              </w:rPr>
              <w:t>Pembrolizumab</w:t>
            </w:r>
          </w:p>
        </w:tc>
        <w:tc>
          <w:tcPr>
            <w:tcW w:w="2410" w:type="dxa"/>
          </w:tcPr>
          <w:p w:rsidR="006D6C24" w:rsidRPr="00880A77" w:rsidRDefault="00F40280" w:rsidP="00FD4615">
            <w:pPr>
              <w:rPr>
                <w:rFonts w:ascii="Calibri" w:hAnsi="Calibri"/>
                <w:color w:val="000000"/>
                <w:vertAlign w:val="superscript"/>
              </w:rPr>
            </w:pPr>
            <w:r>
              <w:rPr>
                <w:rFonts w:ascii="Calibri" w:hAnsi="Calibri"/>
                <w:color w:val="000000"/>
                <w:sz w:val="20"/>
                <w:szCs w:val="20"/>
              </w:rPr>
              <w:t xml:space="preserve">Median </w:t>
            </w:r>
            <w:r w:rsidR="006D6C24">
              <w:rPr>
                <w:rFonts w:ascii="Calibri" w:hAnsi="Calibri"/>
                <w:color w:val="000000"/>
                <w:sz w:val="20"/>
                <w:szCs w:val="20"/>
              </w:rPr>
              <w:t>PFS 8.2</w:t>
            </w:r>
            <w:r w:rsidR="006D6C24">
              <w:rPr>
                <w:rFonts w:ascii="Calibri" w:hAnsi="Calibri"/>
                <w:color w:val="000000"/>
                <w:vertAlign w:val="superscript"/>
              </w:rPr>
              <w:t>c</w:t>
            </w:r>
          </w:p>
        </w:tc>
        <w:tc>
          <w:tcPr>
            <w:tcW w:w="1701" w:type="dxa"/>
          </w:tcPr>
          <w:p w:rsidR="006D6C24" w:rsidRPr="00141DFD" w:rsidRDefault="006D6C24" w:rsidP="00FD4615">
            <w:pPr>
              <w:rPr>
                <w:rFonts w:ascii="Calibri" w:hAnsi="Calibri"/>
                <w:color w:val="000000"/>
                <w:sz w:val="20"/>
                <w:szCs w:val="20"/>
              </w:rPr>
            </w:pPr>
            <w:r>
              <w:rPr>
                <w:rFonts w:ascii="Calibri" w:hAnsi="Calibri"/>
                <w:color w:val="000000"/>
                <w:sz w:val="20"/>
                <w:szCs w:val="20"/>
              </w:rPr>
              <w:t>KN-001</w:t>
            </w:r>
          </w:p>
        </w:tc>
      </w:tr>
      <w:tr w:rsidR="006D6C24" w:rsidTr="00FD4615">
        <w:tc>
          <w:tcPr>
            <w:tcW w:w="1951" w:type="dxa"/>
          </w:tcPr>
          <w:p w:rsidR="006D6C24" w:rsidRPr="00141DFD" w:rsidRDefault="006D6C24" w:rsidP="00FD4615">
            <w:pPr>
              <w:rPr>
                <w:rFonts w:ascii="Calibri" w:hAnsi="Calibri"/>
                <w:color w:val="000000"/>
                <w:sz w:val="20"/>
                <w:szCs w:val="20"/>
              </w:rPr>
            </w:pPr>
            <w:r w:rsidRPr="00141DFD">
              <w:rPr>
                <w:rFonts w:ascii="Calibri" w:hAnsi="Calibri"/>
                <w:color w:val="000000"/>
                <w:sz w:val="20"/>
                <w:szCs w:val="20"/>
              </w:rPr>
              <w:t>Vemurafenib</w:t>
            </w:r>
          </w:p>
        </w:tc>
        <w:tc>
          <w:tcPr>
            <w:tcW w:w="2410" w:type="dxa"/>
          </w:tcPr>
          <w:p w:rsidR="006D6C24" w:rsidRPr="00D6766D" w:rsidRDefault="00F40280" w:rsidP="00FD4615">
            <w:pPr>
              <w:rPr>
                <w:rFonts w:ascii="Calibri" w:hAnsi="Calibri"/>
                <w:color w:val="000000"/>
                <w:sz w:val="20"/>
                <w:szCs w:val="20"/>
                <w:vertAlign w:val="superscript"/>
              </w:rPr>
            </w:pPr>
            <w:r>
              <w:rPr>
                <w:rFonts w:ascii="Calibri" w:hAnsi="Calibri"/>
                <w:color w:val="000000"/>
                <w:sz w:val="20"/>
                <w:szCs w:val="20"/>
              </w:rPr>
              <w:t xml:space="preserve">Median </w:t>
            </w:r>
            <w:r w:rsidR="006D6C24">
              <w:rPr>
                <w:rFonts w:ascii="Calibri" w:hAnsi="Calibri"/>
                <w:color w:val="000000"/>
                <w:sz w:val="20"/>
                <w:szCs w:val="20"/>
              </w:rPr>
              <w:t>PFS 5.3</w:t>
            </w:r>
            <w:r w:rsidR="006D6C24" w:rsidRPr="00D6766D">
              <w:rPr>
                <w:rFonts w:ascii="Calibri" w:hAnsi="Calibri"/>
                <w:color w:val="000000"/>
                <w:vertAlign w:val="superscript"/>
              </w:rPr>
              <w:t>d</w:t>
            </w:r>
          </w:p>
        </w:tc>
        <w:tc>
          <w:tcPr>
            <w:tcW w:w="1701" w:type="dxa"/>
          </w:tcPr>
          <w:p w:rsidR="006D6C24" w:rsidRPr="00141DFD" w:rsidRDefault="006D6C24" w:rsidP="00FD4615">
            <w:pPr>
              <w:rPr>
                <w:rFonts w:ascii="Calibri" w:hAnsi="Calibri"/>
                <w:color w:val="000000"/>
                <w:sz w:val="20"/>
                <w:szCs w:val="20"/>
              </w:rPr>
            </w:pPr>
            <w:r>
              <w:rPr>
                <w:rFonts w:ascii="Calibri" w:hAnsi="Calibri"/>
                <w:color w:val="000000"/>
                <w:sz w:val="20"/>
                <w:szCs w:val="20"/>
              </w:rPr>
              <w:t>BRIM 3</w:t>
            </w:r>
          </w:p>
        </w:tc>
      </w:tr>
    </w:tbl>
    <w:p w:rsidR="006D6C24" w:rsidRPr="00D6766D" w:rsidRDefault="006D6C24" w:rsidP="006D6C24">
      <w:pPr>
        <w:spacing w:after="0"/>
        <w:contextualSpacing/>
        <w:rPr>
          <w:rFonts w:ascii="Calibri" w:hAnsi="Calibri"/>
          <w:color w:val="000000"/>
          <w:sz w:val="20"/>
          <w:szCs w:val="20"/>
        </w:rPr>
      </w:pPr>
      <w:r w:rsidRPr="00D6766D">
        <w:rPr>
          <w:rFonts w:ascii="Calibri" w:hAnsi="Calibri"/>
          <w:color w:val="000000"/>
          <w:sz w:val="20"/>
          <w:szCs w:val="20"/>
        </w:rPr>
        <w:t>Note: PFS, progression free survival; OS, overall survival.</w:t>
      </w:r>
    </w:p>
    <w:p w:rsidR="006D6C24" w:rsidRDefault="006D6C24" w:rsidP="006D6C24">
      <w:pPr>
        <w:spacing w:after="0"/>
        <w:contextualSpacing/>
        <w:rPr>
          <w:sz w:val="20"/>
          <w:szCs w:val="20"/>
        </w:rPr>
      </w:pPr>
      <w:r w:rsidRPr="00F01C80">
        <w:rPr>
          <w:vertAlign w:val="superscript"/>
        </w:rPr>
        <w:t>a</w:t>
      </w:r>
      <w:r w:rsidRPr="00F01C80">
        <w:rPr>
          <w:sz w:val="20"/>
          <w:szCs w:val="20"/>
          <w:vertAlign w:val="superscript"/>
        </w:rPr>
        <w:t xml:space="preserve"> </w:t>
      </w:r>
      <w:hyperlink r:id="rId74" w:history="1">
        <w:r w:rsidRPr="00F01C80">
          <w:rPr>
            <w:rStyle w:val="Hyperlink"/>
            <w:sz w:val="20"/>
            <w:szCs w:val="20"/>
          </w:rPr>
          <w:t>Public Summary Document, dabrafenib, March 2013</w:t>
        </w:r>
      </w:hyperlink>
      <w:r w:rsidRPr="00F01C80">
        <w:rPr>
          <w:sz w:val="20"/>
          <w:szCs w:val="20"/>
        </w:rPr>
        <w:t>. Section 8.</w:t>
      </w:r>
    </w:p>
    <w:p w:rsidR="006D6C24" w:rsidRDefault="006D6C24" w:rsidP="006D6C24">
      <w:pPr>
        <w:spacing w:after="0"/>
        <w:contextualSpacing/>
        <w:rPr>
          <w:sz w:val="20"/>
          <w:szCs w:val="20"/>
        </w:rPr>
      </w:pPr>
      <w:r>
        <w:rPr>
          <w:vertAlign w:val="superscript"/>
        </w:rPr>
        <w:t>b</w:t>
      </w:r>
      <w:r>
        <w:rPr>
          <w:sz w:val="20"/>
          <w:szCs w:val="20"/>
        </w:rPr>
        <w:t xml:space="preserve"> Hodi et al. (2010).</w:t>
      </w:r>
    </w:p>
    <w:p w:rsidR="006D6C24" w:rsidRDefault="006D6C24" w:rsidP="006D6C24">
      <w:pPr>
        <w:spacing w:after="0"/>
        <w:contextualSpacing/>
        <w:rPr>
          <w:sz w:val="20"/>
          <w:szCs w:val="20"/>
        </w:rPr>
      </w:pPr>
      <w:r>
        <w:rPr>
          <w:vertAlign w:val="superscript"/>
        </w:rPr>
        <w:t xml:space="preserve">c </w:t>
      </w:r>
      <w:hyperlink r:id="rId75" w:history="1">
        <w:r w:rsidRPr="00C36EF4">
          <w:rPr>
            <w:rStyle w:val="Hyperlink"/>
            <w:sz w:val="20"/>
            <w:szCs w:val="20"/>
          </w:rPr>
          <w:t>Public Summary Document, pembrolizumab, March 2015</w:t>
        </w:r>
      </w:hyperlink>
      <w:r>
        <w:rPr>
          <w:sz w:val="20"/>
          <w:szCs w:val="20"/>
        </w:rPr>
        <w:t>,  para 6.13.</w:t>
      </w:r>
    </w:p>
    <w:p w:rsidR="006D6C24" w:rsidRPr="00141DFD" w:rsidRDefault="006D6C24" w:rsidP="006D6C24">
      <w:pPr>
        <w:spacing w:after="0"/>
        <w:contextualSpacing/>
        <w:rPr>
          <w:sz w:val="20"/>
          <w:szCs w:val="20"/>
        </w:rPr>
      </w:pPr>
      <w:r>
        <w:rPr>
          <w:vertAlign w:val="superscript"/>
        </w:rPr>
        <w:t>d</w:t>
      </w:r>
      <w:hyperlink r:id="rId76" w:history="1">
        <w:r w:rsidRPr="00D6766D">
          <w:rPr>
            <w:rStyle w:val="Hyperlink"/>
            <w:sz w:val="20"/>
            <w:szCs w:val="20"/>
          </w:rPr>
          <w:t>Public Summary Document, vemurafenib, July 2012</w:t>
        </w:r>
      </w:hyperlink>
      <w:r>
        <w:rPr>
          <w:sz w:val="20"/>
          <w:szCs w:val="20"/>
        </w:rPr>
        <w:t>, Section 8.</w:t>
      </w:r>
    </w:p>
    <w:p w:rsidR="006D6C24" w:rsidRDefault="006D6C24" w:rsidP="006D6C24">
      <w:pPr>
        <w:spacing w:after="0"/>
      </w:pPr>
    </w:p>
    <w:p w:rsidR="006D6C24" w:rsidRDefault="006D6C24" w:rsidP="006D6C24">
      <w:pPr>
        <w:spacing w:after="0"/>
      </w:pPr>
      <w:r>
        <w:t xml:space="preserve">Time on PBS therapy was examined in a six month cohort of patients first initiating on treatment between January </w:t>
      </w:r>
      <w:r w:rsidR="006020FB">
        <w:t>and</w:t>
      </w:r>
      <w:r>
        <w:t xml:space="preserve"> June in 2016. This initiating cohort was selected to allow a sufficient follow-up time of at least 18 months to the analysis end date of 31</w:t>
      </w:r>
      <w:r w:rsidR="006020FB">
        <w:t> </w:t>
      </w:r>
      <w:r>
        <w:t>December</w:t>
      </w:r>
      <w:r w:rsidR="006020FB">
        <w:t> </w:t>
      </w:r>
      <w:r>
        <w:t xml:space="preserve">2017. At the time of the analysis, there was insufficient data to fully examine </w:t>
      </w:r>
      <w:r>
        <w:lastRenderedPageBreak/>
        <w:t xml:space="preserve">the treatment times for nivolumab, which first listed in May 2016, and vemurafenib and cobimetinib which listed in April 2017. As discussed above, a relatively low proportion of patients </w:t>
      </w:r>
      <w:r w:rsidR="006314AE">
        <w:t>were supplied more than one different drug regimen</w:t>
      </w:r>
      <w:r>
        <w:t xml:space="preserve">. As such, the duration for the first drug regimen is discussed here. </w:t>
      </w:r>
    </w:p>
    <w:p w:rsidR="006D6C24" w:rsidRDefault="006D6C24" w:rsidP="006D6C24">
      <w:pPr>
        <w:spacing w:after="0"/>
      </w:pPr>
    </w:p>
    <w:p w:rsidR="006D6C24" w:rsidRDefault="006D6C24" w:rsidP="006D6C24">
      <w:pPr>
        <w:spacing w:after="0"/>
      </w:pPr>
      <w:r>
        <w:t xml:space="preserve">The time on the first episode of PBS therapy with pembrolizumab and BRAF targeted medicines was similar to the PFS times observed in clinical trials. The median time on PBS subsidised pembrolizumab was 7 months compared with a PFS of 8.2 months reported in the KN-001 trial (Table 7, Table 16). PBS patients had a median time on BRAF targeted therapy of 7 months which was similar to the PFS reported for dabrafenib in the BREAK-3 trial (6.9 months) and vemurafenib in the BRIM 3 trial (5.3 months), (Table 7, Table 16). </w:t>
      </w:r>
    </w:p>
    <w:p w:rsidR="006D6C24" w:rsidRDefault="006D6C24" w:rsidP="006D6C24">
      <w:pPr>
        <w:spacing w:after="0"/>
      </w:pPr>
    </w:p>
    <w:p w:rsidR="00266F1D" w:rsidRDefault="006D6C24" w:rsidP="006D6C24">
      <w:pPr>
        <w:spacing w:after="0"/>
      </w:pPr>
      <w:r>
        <w:t xml:space="preserve">The time on ipilimumab as a first episode of PBS therapy (median 1.4 months) was less than the PFS of 2.8 months reported in the CT-020 trial (Table 7, Table 16). </w:t>
      </w:r>
      <w:r w:rsidR="009E36D5">
        <w:t xml:space="preserve">For patients initiating on ipilimumab between July to December 2016, the mean number of doses of ipilimumab supplied as induction or re-induction therapy was less than the maximum number of four doses allowed under the PBS restrictions (Table 9). </w:t>
      </w:r>
      <w:r>
        <w:t xml:space="preserve">The previous DUSC review of ipilimumab in October 2015 noted that there was a shorter duration of ipilimumab therapy than predicted. Contributing factors were considered to be adverse events associated with ipilimumab, including steroid-refractory ipilimumab-induced colitis, and the availability of newer therapies. </w:t>
      </w:r>
    </w:p>
    <w:p w:rsidR="00B51BB9" w:rsidRDefault="00B51BB9" w:rsidP="00B51BB9">
      <w:pPr>
        <w:pStyle w:val="Heading1"/>
      </w:pPr>
      <w:r>
        <w:t>DUSC consideration</w:t>
      </w:r>
    </w:p>
    <w:p w:rsidR="00984BA5" w:rsidRPr="00984BA5" w:rsidRDefault="00984BA5" w:rsidP="00984BA5">
      <w:r w:rsidRPr="00984BA5">
        <w:t xml:space="preserve">DUSC noted that the utilisation of the melanoma medicines was growing with no indication of a slowing in growth in the market over the short-term. DUSC noted that the listing of pembrolizumab had resulted in substantial growth in the overall market beyond expectations. </w:t>
      </w:r>
    </w:p>
    <w:p w:rsidR="00984BA5" w:rsidRPr="00984BA5" w:rsidRDefault="00984BA5" w:rsidP="00984BA5">
      <w:pPr>
        <w:spacing w:before="120" w:after="120"/>
      </w:pPr>
      <w:r w:rsidRPr="00984BA5">
        <w:t xml:space="preserve">DUSC noted that the most common mutation identified for metastatic melanoma is BRAF V600. </w:t>
      </w:r>
      <w:r w:rsidRPr="00984BA5">
        <w:rPr>
          <w:color w:val="000000"/>
        </w:rPr>
        <w:t xml:space="preserve">In its consideration of a co-dependent submission for dabrafenib in August 2013, </w:t>
      </w:r>
      <w:r w:rsidRPr="00984BA5">
        <w:t>the Medical Services Advisory Committee (MSAC) recommended that the best estimate for the prevalence of BRAF V600 mutations at the time of the submission was 44.5 percent. DUSC noted that for the total prevalent population in 2017, 38 percent were supplied PBS-listed BRAF targeted therapy which was less than the estimated prevalence of BRAF mutations in the Australian population (approximately 45 percent). DUSC considered that the lower than expected uptake of BRAF targeted therapy relative to the estimated prevalence of BRAF mutation may have occurred for two main reasons:</w:t>
      </w:r>
    </w:p>
    <w:p w:rsidR="00984BA5" w:rsidRPr="00984BA5" w:rsidRDefault="00984BA5" w:rsidP="00984BA5">
      <w:pPr>
        <w:pStyle w:val="ListParagraph"/>
        <w:numPr>
          <w:ilvl w:val="0"/>
          <w:numId w:val="21"/>
        </w:numPr>
        <w:spacing w:before="120" w:after="120"/>
        <w:contextualSpacing w:val="0"/>
      </w:pPr>
      <w:r w:rsidRPr="00984BA5">
        <w:t xml:space="preserve">clinical trials are common for metastatic melanoma. DUSC considered that some patients who would otherwise have been supplied a BRAF targeted therapy may have received alternative therapy through participation in clinical research; or </w:t>
      </w:r>
    </w:p>
    <w:p w:rsidR="00984BA5" w:rsidRPr="00984BA5" w:rsidRDefault="00984BA5" w:rsidP="00984BA5">
      <w:pPr>
        <w:pStyle w:val="ListParagraph"/>
        <w:numPr>
          <w:ilvl w:val="0"/>
          <w:numId w:val="21"/>
        </w:numPr>
        <w:spacing w:before="120" w:after="120"/>
        <w:contextualSpacing w:val="0"/>
        <w:rPr>
          <w:color w:val="000000"/>
        </w:rPr>
      </w:pPr>
      <w:r w:rsidRPr="00984BA5">
        <w:t xml:space="preserve">some BRAF mutation positive patients may be first initiating on a PD-1 inhibitor rather than initiating on BRAF targeted therapy prior to PD-1 inhibitor therapy. The PBS restrictions (authority required streamlined) for nivolumab and pembrolizumab allow </w:t>
      </w:r>
      <w:r w:rsidRPr="00984BA5">
        <w:lastRenderedPageBreak/>
        <w:t xml:space="preserve">first line use in BRAF V600 mutation positive patients only if a BRAF inhibitor (with or without a MEK inhibitor) is contraindicated or not tolerated. DUSC considered there was clinician support to have a choice between the use of BRAF/MEK or PD-1 inhibitor therapy as front-line treatment for the BRAF positive population. DUSC noted that the time on PD-1 inhibitors in second-line after BRAF therapy was shorter than expected. DUSC commented that it was possible that BRAF positive patients may have a longer time on PD-1 therapy if it was allowed for use in first-line. However, DUSC considered there was limited data at this time to establish if PD-1 inhibitors were as effective as BRAF targeted therapy first-line to treat BRAF positive patients. DUSC considered that extending the use of PD-1 inhibitor therapy to first-line for this patient group would not increase the total number of patients treated first-line. However an increase in PBS expenditure could be expected from patients remaining on PD-1 treatment for longer if available for first line use in BRAF positive patients compared to when it is used following BRAF therapy. </w:t>
      </w:r>
      <w:r w:rsidR="00CF2116">
        <w:t>C</w:t>
      </w:r>
      <w:r w:rsidRPr="00984BA5">
        <w:t xml:space="preserve">linicians </w:t>
      </w:r>
      <w:r w:rsidR="00CF2116">
        <w:t xml:space="preserve">may </w:t>
      </w:r>
      <w:r w:rsidRPr="00984BA5">
        <w:t>want to be able to individualise treatment for BRAF positive patients. For patients with fast spreading tumour, BRAF with MEK inhibitor therapy may be preferred while for other patients, PD-1 therapy may be better for long-term survival.</w:t>
      </w:r>
    </w:p>
    <w:p w:rsidR="00984BA5" w:rsidRPr="00984BA5" w:rsidRDefault="00984BA5" w:rsidP="00984BA5">
      <w:r w:rsidRPr="00984BA5">
        <w:t>DUSC noted that melanoma mostly affected people over 70 years of age and that the age of the PBS population was increasing. In 2017, the median age was 68 years compared with 63 years in 2014. DUSC noted that for the key clinical trials considered by the PBAC at the time of the submissions for the BRAF targeted therapies, PD-1 inhibitors and ipilimumab, the trial populations were younger than the current PBS population. Due to the treatment of older and frail patients, the efficacy of the drug regimens and the choice of therapy in practice may differ to that observed in clinical trials previously considered by the PBAC, discussed further below.</w:t>
      </w:r>
    </w:p>
    <w:p w:rsidR="00984BA5" w:rsidRPr="00984BA5" w:rsidRDefault="00984BA5" w:rsidP="00984BA5">
      <w:r w:rsidRPr="00984BA5">
        <w:t>DUSC considered the time on PBS therapy, which was examined in a six month cohort of patients first initiating treatment between January and June 2016 with follow-up to December 2017. DUSC compared these findings to the progression-free survival (PFS) times observed in clinical trials prese</w:t>
      </w:r>
      <w:r w:rsidR="00F5098A">
        <w:t>nted in Table 16 of the report</w:t>
      </w:r>
      <w:r w:rsidR="00E52698">
        <w:t>.</w:t>
      </w:r>
      <w:r w:rsidR="00F5098A">
        <w:t xml:space="preserve"> </w:t>
      </w:r>
      <w:r w:rsidRPr="00984BA5">
        <w:t xml:space="preserve">DUSC agreed </w:t>
      </w:r>
      <w:r w:rsidR="00972ED1">
        <w:t>with including further data</w:t>
      </w:r>
      <w:r w:rsidRPr="00984BA5">
        <w:t xml:space="preserve"> </w:t>
      </w:r>
      <w:r w:rsidR="00972ED1">
        <w:t xml:space="preserve">in </w:t>
      </w:r>
      <w:r w:rsidRPr="00984BA5">
        <w:t>Table 7 of the report for the PBAC and for the Public Release Document</w:t>
      </w:r>
      <w:r w:rsidR="00972ED1">
        <w:t xml:space="preserve"> </w:t>
      </w:r>
      <w:r w:rsidR="00972ED1" w:rsidRPr="00984BA5">
        <w:t>on the number of patients remaining on therapy at the end date of the analysis (i.e.</w:t>
      </w:r>
      <w:r w:rsidR="006020FB">
        <w:t> </w:t>
      </w:r>
      <w:r w:rsidR="00972ED1" w:rsidRPr="00984BA5">
        <w:t>31</w:t>
      </w:r>
      <w:r w:rsidR="006020FB">
        <w:t> </w:t>
      </w:r>
      <w:r w:rsidR="00972ED1" w:rsidRPr="00984BA5">
        <w:t>December 2017) to aid in the interpretation of the maturity o</w:t>
      </w:r>
      <w:r w:rsidR="00972ED1">
        <w:t>f the time on treatment results</w:t>
      </w:r>
      <w:r w:rsidRPr="00984BA5">
        <w:t xml:space="preserve">. While some patients in the January to June 2016 initiating cohort remained on therapy on the analysis end date, the median time on treatment had been reached within the follow-up period. The time on the first episode of PBS therapy with pembrolizumab and BRAF targeted medicines was similar to the PFS times observed in clinical trials. The time on ipilimumab as a first episode of PBS therapy (median 1.4 months) was less than the PFS of 2.8 months reported in the CT-020 trial (Table 7, Table 16). DUSC noted that the duration of second-line therapy with either ipilimumab or a PD-1 inhibitor after prior BRAF targeted therapy was substantially less than expected. DUSC considered that the efficacy of second-line therapy appeared to be very limited. DUSC commented that the lower than expected median time on therapy in practice may reflect that PBS clients are less fit than the trial populations which tend to include younger patients. DUSC commented that it would be informative to know whether later trials involve patients who </w:t>
      </w:r>
      <w:r w:rsidRPr="00984BA5">
        <w:lastRenderedPageBreak/>
        <w:t xml:space="preserve">are more representative of the PBS population. DUSC considered that fact of death data was required in order to fully interpret the time on PBS therapy data. </w:t>
      </w:r>
    </w:p>
    <w:p w:rsidR="00984BA5" w:rsidRPr="00984BA5" w:rsidRDefault="00984BA5" w:rsidP="00984BA5">
      <w:r w:rsidRPr="00984BA5">
        <w:t>DUSC noted Tables 11 and 12, and related text on pages 32 and 33 of the report, in relation to drug regimen analyses were amended to correct errors. DUSC requested that the revised tables and accompanying text are included in the Public Release Document for the report and for the PBAC.</w:t>
      </w:r>
    </w:p>
    <w:p w:rsidR="00984BA5" w:rsidRPr="00984BA5" w:rsidRDefault="00984BA5" w:rsidP="00984BA5">
      <w:r w:rsidRPr="00984BA5">
        <w:t>DUSC noted that the entry of pembrolizumab substantially changed the patterns of utilisation of melanoma medicines. The most common sequence of treatment was monotherapy with PD-1 inhibitors. DUSC considered pembrolizumab had a higher market share than nivolumab as it was listed first. DUSC also considered that the choice of PD-1 therapy was influenced by their frequency of administration. DUSC noted pembrolizumab was given every three weeks versus nivolumab which was administered every two weeks. DUSC noted that the utilisation of dabrafenib plus the MEK inhibitor, trametinib, had remained stable since the listing of trametinib. DUSC noted that the uptake of vemurafenib plus cobimetinib had been low since the constituent drugs were first listed from April 2017. DUSC considered that the utilisation of vemurafenib plus cobimetinib was likely to stay low because it is more complex to administer this drug regimen compared to dabrafenib plus trametinib.</w:t>
      </w:r>
    </w:p>
    <w:p w:rsidR="00984BA5" w:rsidRPr="00984BA5" w:rsidRDefault="00984BA5" w:rsidP="00984BA5">
      <w:r w:rsidRPr="00984BA5">
        <w:t xml:space="preserve">DUSC noted that from 1 July 2016 the PBS restriction for ipilimumab was amended which allows its use with non-subsidised nivolumab. DUSC considered that the growth in the utilisation of ipilimumab since Quarter 2 2016 was a result of its restriction change. DUSC considered it was likely that ipilimumab was now being increasingly used in combination with non-PBS nivolumab. </w:t>
      </w:r>
    </w:p>
    <w:p w:rsidR="00984BA5" w:rsidRPr="00984BA5" w:rsidRDefault="00FC31F1" w:rsidP="00984BA5">
      <w:r w:rsidRPr="00984BA5">
        <w:t xml:space="preserve">The breakdown of utilisation by age and gender was presented for the prevalent population for 2014 versus 2017. </w:t>
      </w:r>
      <w:r>
        <w:t>DUSC requested that this information is also presented for the incident population in the Public Release Document for the report</w:t>
      </w:r>
      <w:r w:rsidR="00984BA5" w:rsidRPr="00984BA5">
        <w:t>. DUSC noted that the age at first treatment was increasing which may have influenced the use of less toxic therapies over time, such as the shift from ipilimumab to PD-1 inhibitors.  DUSC discussed whether the use of immunotherapy in older and frail patients was appropriate as survival in such patients when treated with immunotherapy was not well known. DUSC noted that the PBS listings for pembrolizumab and nivolumab do not include performance status in the clinical criteria. The PBAC may wish to consider whether the inclusion of Eastern Cooperative Oncology Group (ECOG) criteria in the PBS restrictions for pembrolizumab and nivolumab would be beneficial towards the quality use of these medicines.</w:t>
      </w:r>
    </w:p>
    <w:p w:rsidR="00984BA5" w:rsidRPr="00984BA5" w:rsidRDefault="00984BA5" w:rsidP="00984BA5">
      <w:r w:rsidRPr="00984BA5">
        <w:t>A complete course of ipilimumab is four doses. DUSC noted that for both induction and re-induction, patients were receiving a mean of around two doses. DUSC further noted that re-induction with ipilimumab was uncommon. DUSC considered that the earlier than expected discontinuation of ipilimumab was likely due to toxicity rather than from disease progression. DUSC considered that the use of fewer doses of ipilimumab in practice may have implications for its cost-effectiveness as the clinical benefits realised from the use of fewer doses is uncertain.</w:t>
      </w:r>
    </w:p>
    <w:p w:rsidR="00984BA5" w:rsidRPr="00984BA5" w:rsidRDefault="00984BA5" w:rsidP="00984BA5">
      <w:pPr>
        <w:rPr>
          <w:szCs w:val="28"/>
        </w:rPr>
      </w:pPr>
      <w:r w:rsidRPr="00984BA5">
        <w:rPr>
          <w:szCs w:val="28"/>
        </w:rPr>
        <w:lastRenderedPageBreak/>
        <w:t>An MBS item (Item 73336) is available to enable patients to have a subsidised BRAF test in order to fulfil the eligibility requirements for PBS listed dabrafenib and vemurafenib. DUSC did not identify any concerns with the utilisation of the BRAF mutation test. DUSC noted that for 2017, the number of tests was similar to the number of patients initiating on BRAF targeted therapy (2,172 tests versus 2,001 incident patients). DUSC commented that the number of tests was slightly higher than the number of patients due to the following likely factors: some re-testing may occur with a better biopsy sample; patients not progressing to treatment due to mortality or patient choice not to be treated with BRAF therapy. DUSC also noted there is a lag between when a test is done and the supply of treatment.</w:t>
      </w:r>
    </w:p>
    <w:p w:rsidR="001310AE" w:rsidRDefault="00B51BB9" w:rsidP="00F73113">
      <w:pPr>
        <w:pStyle w:val="Heading1"/>
      </w:pPr>
      <w:r>
        <w:t>DUSC actions</w:t>
      </w:r>
    </w:p>
    <w:p w:rsidR="000D7352" w:rsidRPr="00944958" w:rsidRDefault="000D7352" w:rsidP="000D7352">
      <w:pPr>
        <w:pStyle w:val="ListParagraph"/>
        <w:numPr>
          <w:ilvl w:val="0"/>
          <w:numId w:val="22"/>
        </w:numPr>
        <w:spacing w:after="0"/>
        <w:rPr>
          <w:rFonts w:eastAsia="Calibri" w:cstheme="minorHAnsi"/>
          <w:szCs w:val="22"/>
        </w:rPr>
      </w:pPr>
      <w:r w:rsidRPr="00944958">
        <w:rPr>
          <w:rFonts w:eastAsia="Calibri" w:cstheme="minorHAnsi"/>
          <w:szCs w:val="22"/>
        </w:rPr>
        <w:t xml:space="preserve">DUSC requested that the report be provided to the PBAC. </w:t>
      </w:r>
    </w:p>
    <w:p w:rsidR="000D7352" w:rsidRPr="00944958" w:rsidRDefault="000D7352" w:rsidP="000D7352">
      <w:pPr>
        <w:pStyle w:val="ListParagraph"/>
        <w:numPr>
          <w:ilvl w:val="0"/>
          <w:numId w:val="24"/>
        </w:numPr>
        <w:spacing w:line="276" w:lineRule="auto"/>
        <w:rPr>
          <w:rFonts w:eastAsia="Calibri" w:cstheme="minorHAnsi"/>
          <w:szCs w:val="22"/>
        </w:rPr>
      </w:pPr>
      <w:r w:rsidRPr="00944958">
        <w:rPr>
          <w:rFonts w:cstheme="minorHAnsi"/>
          <w:szCs w:val="22"/>
        </w:rPr>
        <w:t>DUSC requested the PBAC consider whether it may be appropriate to</w:t>
      </w:r>
      <w:r w:rsidRPr="00944958">
        <w:rPr>
          <w:rFonts w:eastAsia="Calibri" w:cstheme="minorHAnsi"/>
          <w:szCs w:val="22"/>
        </w:rPr>
        <w:t xml:space="preserve"> </w:t>
      </w:r>
      <w:r w:rsidRPr="00944958">
        <w:rPr>
          <w:rFonts w:cstheme="minorHAnsi"/>
          <w:szCs w:val="22"/>
        </w:rPr>
        <w:t>revise the PBS restrictions to allow the use of PD-1 inhibitors first-line for BRAF positive patients.</w:t>
      </w:r>
    </w:p>
    <w:p w:rsidR="000D7352" w:rsidRPr="00944958" w:rsidRDefault="000D7352" w:rsidP="000D7352">
      <w:pPr>
        <w:pStyle w:val="ListParagraph"/>
        <w:numPr>
          <w:ilvl w:val="0"/>
          <w:numId w:val="22"/>
        </w:numPr>
        <w:spacing w:after="0"/>
        <w:rPr>
          <w:rFonts w:eastAsia="Calibri" w:cstheme="minorHAnsi"/>
          <w:szCs w:val="22"/>
        </w:rPr>
      </w:pPr>
      <w:r w:rsidRPr="00944958">
        <w:rPr>
          <w:rFonts w:eastAsia="Calibri" w:cstheme="minorHAnsi"/>
          <w:szCs w:val="22"/>
        </w:rPr>
        <w:t>DUSC requested the following additions to the report for provision to the PBAC and for the Public Release Document:</w:t>
      </w:r>
    </w:p>
    <w:p w:rsidR="000D7352" w:rsidRPr="00944958" w:rsidRDefault="000D7352" w:rsidP="000D7352">
      <w:pPr>
        <w:pStyle w:val="ListParagraph"/>
        <w:numPr>
          <w:ilvl w:val="0"/>
          <w:numId w:val="23"/>
        </w:numPr>
        <w:spacing w:after="0"/>
        <w:rPr>
          <w:rFonts w:eastAsia="Calibri" w:cstheme="minorHAnsi"/>
          <w:szCs w:val="22"/>
        </w:rPr>
      </w:pPr>
      <w:r w:rsidRPr="00944958">
        <w:rPr>
          <w:rFonts w:eastAsia="Calibri" w:cstheme="minorHAnsi"/>
          <w:szCs w:val="22"/>
        </w:rPr>
        <w:t>to include the number of patients remaining on treatment in Table 7;</w:t>
      </w:r>
    </w:p>
    <w:p w:rsidR="000D7352" w:rsidRPr="00944958" w:rsidRDefault="000D7352" w:rsidP="000D7352">
      <w:pPr>
        <w:pStyle w:val="ListParagraph"/>
        <w:numPr>
          <w:ilvl w:val="0"/>
          <w:numId w:val="23"/>
        </w:numPr>
        <w:spacing w:after="0"/>
        <w:rPr>
          <w:rFonts w:eastAsia="Calibri" w:cstheme="minorHAnsi"/>
          <w:szCs w:val="22"/>
        </w:rPr>
      </w:pPr>
      <w:r w:rsidRPr="00944958">
        <w:rPr>
          <w:rFonts w:eastAsia="Calibri" w:cstheme="minorHAnsi"/>
          <w:szCs w:val="22"/>
        </w:rPr>
        <w:t>amended versions of Tables 11 and 12 and amend accompanying text; and</w:t>
      </w:r>
    </w:p>
    <w:p w:rsidR="000D7352" w:rsidRPr="00944958" w:rsidRDefault="004E0CA0" w:rsidP="000D7352">
      <w:pPr>
        <w:pStyle w:val="ListParagraph"/>
        <w:numPr>
          <w:ilvl w:val="0"/>
          <w:numId w:val="23"/>
        </w:numPr>
        <w:spacing w:after="0"/>
        <w:rPr>
          <w:rFonts w:eastAsia="Calibri" w:cstheme="minorHAnsi"/>
          <w:szCs w:val="22"/>
        </w:rPr>
      </w:pPr>
      <w:r w:rsidRPr="00944958">
        <w:rPr>
          <w:rFonts w:eastAsia="Calibri" w:cstheme="minorHAnsi"/>
          <w:szCs w:val="22"/>
        </w:rPr>
        <w:t xml:space="preserve">to include </w:t>
      </w:r>
      <w:r w:rsidR="000D7352" w:rsidRPr="00944958">
        <w:rPr>
          <w:rFonts w:eastAsia="Calibri" w:cstheme="minorHAnsi"/>
          <w:szCs w:val="22"/>
        </w:rPr>
        <w:t>pyramid charts and the mean and median patient age for the incident population for 2014 and 2017.</w:t>
      </w:r>
    </w:p>
    <w:p w:rsidR="00B454FB" w:rsidRDefault="00B454FB" w:rsidP="00B454FB">
      <w:pPr>
        <w:pStyle w:val="Heading1"/>
      </w:pPr>
      <w:r>
        <w:t>Context for analysis</w:t>
      </w:r>
    </w:p>
    <w:p w:rsidR="006C3486" w:rsidRDefault="006C3486" w:rsidP="006C3486">
      <w:r>
        <w:t>The DUSC is a Sub Committee of the Pharmaceutical Benefits Advisory Committee (PBAC). The DUSC assesses estimates on projected usage and financial cost of medicines.</w:t>
      </w:r>
    </w:p>
    <w:p w:rsidR="006C3486" w:rsidRDefault="006C3486" w:rsidP="006C3486">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6C3486" w:rsidRDefault="006C3486" w:rsidP="006C3486">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6C3486" w:rsidRDefault="006C3486" w:rsidP="006C3486">
      <w:r>
        <w:t>The utilisation analysis report was provided to the pharmaceutical sponsors of each drug and comments on the report were provided to DUSC prior to its consideration of the analysis.</w:t>
      </w:r>
    </w:p>
    <w:p w:rsidR="006020FB" w:rsidRDefault="006020FB">
      <w:pPr>
        <w:spacing w:line="276" w:lineRule="auto"/>
        <w:rPr>
          <w:rFonts w:eastAsiaTheme="majorEastAsia" w:cstheme="majorBidi"/>
          <w:b/>
          <w:bCs/>
          <w:sz w:val="32"/>
          <w:szCs w:val="32"/>
        </w:rPr>
      </w:pPr>
      <w:r>
        <w:rPr>
          <w:rFonts w:eastAsiaTheme="majorEastAsia" w:cstheme="majorBidi"/>
          <w:b/>
          <w:bCs/>
          <w:sz w:val="32"/>
          <w:szCs w:val="32"/>
        </w:rPr>
        <w:br w:type="page"/>
      </w:r>
    </w:p>
    <w:p w:rsidR="00B454FB" w:rsidRDefault="00B454FB" w:rsidP="00B454FB">
      <w:pPr>
        <w:rPr>
          <w:rFonts w:eastAsiaTheme="majorEastAsia" w:cstheme="majorBidi"/>
          <w:b/>
          <w:bCs/>
          <w:sz w:val="32"/>
          <w:szCs w:val="32"/>
        </w:rPr>
      </w:pPr>
      <w:r w:rsidRPr="00B454FB">
        <w:rPr>
          <w:rFonts w:eastAsiaTheme="majorEastAsia" w:cstheme="majorBidi"/>
          <w:b/>
          <w:bCs/>
          <w:sz w:val="32"/>
          <w:szCs w:val="32"/>
        </w:rPr>
        <w:lastRenderedPageBreak/>
        <w:t>Sponsor’s comments</w:t>
      </w:r>
    </w:p>
    <w:p w:rsidR="00CB5A0E" w:rsidRPr="009C785B" w:rsidRDefault="00CB5A0E" w:rsidP="00CB5A0E">
      <w:pPr>
        <w:spacing w:after="0"/>
        <w:contextualSpacing/>
      </w:pPr>
      <w:r w:rsidRPr="009C785B">
        <w:t>Bristol-Myers Squibb Australia Pty Ltd</w:t>
      </w:r>
      <w:r>
        <w:t>:</w:t>
      </w:r>
    </w:p>
    <w:p w:rsidR="00CB5A0E" w:rsidRPr="009C785B" w:rsidRDefault="00CB5A0E" w:rsidP="00CB5A0E">
      <w:pPr>
        <w:spacing w:after="0"/>
        <w:contextualSpacing/>
      </w:pPr>
      <w:r>
        <w:t>The sponsor had</w:t>
      </w:r>
      <w:r w:rsidRPr="009C785B">
        <w:t xml:space="preserve"> no comment.</w:t>
      </w:r>
    </w:p>
    <w:p w:rsidR="00CB5A0E" w:rsidRPr="009C785B" w:rsidRDefault="00CB5A0E" w:rsidP="00CB5A0E">
      <w:pPr>
        <w:spacing w:after="0"/>
        <w:contextualSpacing/>
      </w:pPr>
    </w:p>
    <w:p w:rsidR="00CB5A0E" w:rsidRDefault="00CB5A0E" w:rsidP="00CB5A0E">
      <w:pPr>
        <w:spacing w:after="0"/>
        <w:contextualSpacing/>
      </w:pPr>
      <w:r w:rsidRPr="009C785B">
        <w:t>Merck Sharp &amp; Dohme (Australia) Pty Ltd</w:t>
      </w:r>
      <w:r>
        <w:t>:</w:t>
      </w:r>
    </w:p>
    <w:p w:rsidR="00CB5A0E" w:rsidRPr="009C785B" w:rsidRDefault="00CB5A0E" w:rsidP="00CB5A0E">
      <w:pPr>
        <w:spacing w:after="0"/>
        <w:contextualSpacing/>
      </w:pPr>
      <w:r w:rsidRPr="009C785B">
        <w:t>MSD notes that the actual patient numbers in the DUSC report closely aligned with the patient numbers in MSD’s pemb</w:t>
      </w:r>
      <w:r>
        <w:t>rolizumab melanoma submissions.</w:t>
      </w:r>
    </w:p>
    <w:p w:rsidR="00CB5A0E" w:rsidRPr="009C785B" w:rsidRDefault="00CB5A0E" w:rsidP="00CB5A0E">
      <w:pPr>
        <w:spacing w:after="0"/>
        <w:contextualSpacing/>
      </w:pPr>
    </w:p>
    <w:p w:rsidR="00CB5A0E" w:rsidRPr="009C785B" w:rsidRDefault="00CB5A0E" w:rsidP="00CB5A0E">
      <w:pPr>
        <w:spacing w:after="0"/>
        <w:contextualSpacing/>
      </w:pPr>
      <w:r w:rsidRPr="009C785B">
        <w:t>Novartis Pharmaceuticals Australia Pty Limited</w:t>
      </w:r>
      <w:r>
        <w:t>:</w:t>
      </w:r>
    </w:p>
    <w:p w:rsidR="00CB5A0E" w:rsidRPr="009C785B" w:rsidRDefault="00CB5A0E" w:rsidP="00CB5A0E">
      <w:pPr>
        <w:spacing w:after="0"/>
        <w:contextualSpacing/>
      </w:pPr>
      <w:r>
        <w:t>The sponsor had</w:t>
      </w:r>
      <w:r w:rsidRPr="009C785B">
        <w:t xml:space="preserve"> no comment.</w:t>
      </w:r>
    </w:p>
    <w:p w:rsidR="00CB5A0E" w:rsidRPr="009C785B" w:rsidRDefault="00CB5A0E" w:rsidP="00CB5A0E">
      <w:pPr>
        <w:spacing w:after="0"/>
        <w:contextualSpacing/>
      </w:pPr>
    </w:p>
    <w:p w:rsidR="00CB5A0E" w:rsidRDefault="00CB5A0E" w:rsidP="00CB5A0E">
      <w:pPr>
        <w:spacing w:after="0"/>
        <w:contextualSpacing/>
      </w:pPr>
      <w:r w:rsidRPr="009C785B">
        <w:t>Roche Products Pty Ltd</w:t>
      </w:r>
      <w:r>
        <w:t>:</w:t>
      </w:r>
    </w:p>
    <w:p w:rsidR="00CB5A0E" w:rsidRPr="00CB5A0E" w:rsidRDefault="00CB5A0E" w:rsidP="00CB5A0E">
      <w:pPr>
        <w:spacing w:after="0"/>
        <w:contextualSpacing/>
      </w:pPr>
      <w:r>
        <w:t>The sponsor had</w:t>
      </w:r>
      <w:r w:rsidRPr="009C785B">
        <w:t xml:space="preserve"> no comment.</w:t>
      </w:r>
    </w:p>
    <w:p w:rsidR="006C3486" w:rsidRPr="00F51D99" w:rsidRDefault="006C3486" w:rsidP="006C3486">
      <w:pPr>
        <w:pStyle w:val="Heading4"/>
        <w:rPr>
          <w:i w:val="0"/>
        </w:rPr>
      </w:pPr>
      <w:r w:rsidRPr="00F51D99">
        <w:rPr>
          <w:i w:val="0"/>
        </w:rPr>
        <w:t>Disclaimer</w:t>
      </w:r>
    </w:p>
    <w:p w:rsidR="006C3486" w:rsidRDefault="006C3486" w:rsidP="006C3486">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6C3486" w:rsidRDefault="006C3486" w:rsidP="006C3486">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6C3486" w:rsidRDefault="006C3486" w:rsidP="006C3486">
      <w:r>
        <w:t xml:space="preserve">To the extent provided by law, DoH makes no warranties or representations as to accuracy or completeness of information contained in this report. </w:t>
      </w:r>
    </w:p>
    <w:p w:rsidR="006C3486" w:rsidRDefault="006C3486" w:rsidP="006C3486">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6A2A44" w:rsidRDefault="006A2A44">
      <w:pPr>
        <w:spacing w:line="276" w:lineRule="auto"/>
        <w:rPr>
          <w:rFonts w:eastAsiaTheme="majorEastAsia" w:cstheme="majorBidi"/>
          <w:b/>
          <w:bCs/>
          <w:sz w:val="32"/>
          <w:szCs w:val="32"/>
        </w:rPr>
      </w:pPr>
      <w:r>
        <w:br w:type="page"/>
      </w:r>
    </w:p>
    <w:p w:rsidR="004B306F" w:rsidRPr="00273D6F" w:rsidRDefault="004B306F" w:rsidP="00273D6F">
      <w:pPr>
        <w:pStyle w:val="Heading1"/>
        <w:spacing w:before="240"/>
      </w:pPr>
      <w:r w:rsidRPr="00273D6F">
        <w:lastRenderedPageBreak/>
        <w:t>References</w:t>
      </w:r>
    </w:p>
    <w:p w:rsidR="0094032E" w:rsidRDefault="0094032E" w:rsidP="00792948">
      <w:r w:rsidRPr="003C1CFD">
        <w:t>Achkar, T. and Tarhini, A.A. The use of immunotherapy in the treatment of melanoma. Journal of Hematology &amp; Oncology 2017; 10:88.</w:t>
      </w:r>
    </w:p>
    <w:p w:rsidR="00275146" w:rsidRPr="00275146" w:rsidRDefault="00275146" w:rsidP="00275146">
      <w:pPr>
        <w:autoSpaceDE w:val="0"/>
        <w:autoSpaceDN w:val="0"/>
        <w:adjustRightInd w:val="0"/>
        <w:rPr>
          <w:rFonts w:ascii="ArialMT" w:hAnsi="ArialMT" w:cs="ArialMT"/>
          <w:sz w:val="20"/>
          <w:szCs w:val="20"/>
        </w:rPr>
      </w:pPr>
      <w:r w:rsidRPr="00304C2D">
        <w:rPr>
          <w:rFonts w:cs="Times New Roman"/>
          <w:lang w:eastAsia="en-US"/>
        </w:rPr>
        <w:t>(AIHW 2017a). Australian Institute of Health and Welfare 2017. Cancer in Australia 2017. Cancer series no.101.Cat. no. CAN 100. Canberra: AIHW.</w:t>
      </w:r>
    </w:p>
    <w:p w:rsidR="00275146" w:rsidRPr="003C1CFD" w:rsidRDefault="00275146" w:rsidP="00792948">
      <w:r>
        <w:t xml:space="preserve">(AIHW 2017b).  </w:t>
      </w:r>
      <w:r w:rsidRPr="0049471E">
        <w:t>Australian Institute of Health and Welfare (AIHW) 2017 Australian Cancer Incidence and Mortality (ACIM) books: melanoma of the skin Canberra: AIHW. &lt;http://www.aihw.gov.au/acim-books&gt;.</w:t>
      </w:r>
    </w:p>
    <w:p w:rsidR="007304CD" w:rsidRPr="003C1CFD" w:rsidRDefault="007304CD" w:rsidP="00792948">
      <w:r w:rsidRPr="003C1CFD">
        <w:t xml:space="preserve">Atkins, M.B. and Larkin, J. Immunotherapy Combined or Sequenced With Targeted Therapy in the Treatment of Solid Tumors: Current Perspectives. </w:t>
      </w:r>
      <w:r w:rsidR="00BA05B9" w:rsidRPr="003C1CFD">
        <w:t>JNCI J Natl Cancer Inst 2016;</w:t>
      </w:r>
      <w:r w:rsidRPr="003C1CFD">
        <w:t xml:space="preserve"> 108(6): djv414.</w:t>
      </w:r>
    </w:p>
    <w:p w:rsidR="009A2A03" w:rsidRDefault="009A2A03" w:rsidP="00792948">
      <w:r w:rsidRPr="003C1CFD">
        <w:t xml:space="preserve">(Cancer Council Australia </w:t>
      </w:r>
      <w:r w:rsidR="00736195" w:rsidRPr="003C1CFD">
        <w:t xml:space="preserve">and Australian Cancer Network </w:t>
      </w:r>
      <w:r w:rsidRPr="003C1CFD">
        <w:t>guidelines 2008). Australian Cancer Network Melanoma Guidelines Revision Working Party. Clinical Practice Guidelines for the Management of Melanoma in Australia and New Zealand. Cancer Council Australia and Australian Cancer Network, Sydney and New Zealand Guidelines Group, Wellington (2008).</w:t>
      </w:r>
    </w:p>
    <w:p w:rsidR="00F042AA" w:rsidRPr="003C1CFD" w:rsidRDefault="00F042AA" w:rsidP="00792948">
      <w:r>
        <w:t xml:space="preserve">Cancer Council Australia 2018 Clinical Practice Guidelines for the Diagnosis and Management of Melanoma. Draft guidelines accessed on 18 April 2018 at: </w:t>
      </w:r>
      <w:r w:rsidRPr="00F042AA">
        <w:t>https://wiki.cancer.org.au/australia/Guidelines:Melanoma</w:t>
      </w:r>
    </w:p>
    <w:p w:rsidR="009E226A" w:rsidRDefault="009E226A" w:rsidP="009E226A">
      <w:pPr>
        <w:pStyle w:val="Default"/>
      </w:pPr>
      <w:r>
        <w:t xml:space="preserve">Chen, P., Chen, F. and Zhou, B. </w:t>
      </w:r>
      <w:r w:rsidRPr="009E226A">
        <w:t xml:space="preserve">Therapeutic efficacy and safety of combined BRAF and MEK inhibition in patients with malignant melanoma: a meta-analysis </w:t>
      </w:r>
      <w:r>
        <w:t xml:space="preserve">OncoTargets and Therapy 2017; </w:t>
      </w:r>
      <w:r w:rsidRPr="009E226A">
        <w:t>10</w:t>
      </w:r>
      <w:r>
        <w:t>:</w:t>
      </w:r>
      <w:r w:rsidRPr="009E226A">
        <w:t xml:space="preserve"> 5391–5403</w:t>
      </w:r>
      <w:r>
        <w:t>.</w:t>
      </w:r>
    </w:p>
    <w:p w:rsidR="00C203DE" w:rsidRDefault="00C203DE" w:rsidP="009E226A">
      <w:pPr>
        <w:pStyle w:val="Default"/>
      </w:pPr>
    </w:p>
    <w:p w:rsidR="00C203DE" w:rsidRDefault="00C203DE" w:rsidP="00C203DE">
      <w:pPr>
        <w:pStyle w:val="Default"/>
      </w:pPr>
      <w:r>
        <w:t xml:space="preserve">Cheng, L., Lopez-Beltran, Massari, F. et al. </w:t>
      </w:r>
      <w:r w:rsidRPr="00C203DE">
        <w:t>Molecular testing for BRAF mutations to inform</w:t>
      </w:r>
      <w:r>
        <w:t xml:space="preserve"> </w:t>
      </w:r>
      <w:r w:rsidRPr="00C203DE">
        <w:t>melanoma treatment decisions: a move toward</w:t>
      </w:r>
      <w:r>
        <w:t xml:space="preserve"> </w:t>
      </w:r>
      <w:r w:rsidRPr="00C203DE">
        <w:t>precision medicine</w:t>
      </w:r>
      <w:r>
        <w:t xml:space="preserve">. </w:t>
      </w:r>
      <w:r w:rsidRPr="00C203DE">
        <w:t>Modern Pathology (2018) 31, 24–38</w:t>
      </w:r>
      <w:r>
        <w:t>.</w:t>
      </w:r>
    </w:p>
    <w:p w:rsidR="00C203DE" w:rsidRPr="009E226A" w:rsidRDefault="00C203DE" w:rsidP="00C203DE">
      <w:pPr>
        <w:pStyle w:val="Default"/>
      </w:pPr>
    </w:p>
    <w:p w:rsidR="002537E6" w:rsidRPr="003C1CFD" w:rsidRDefault="002537E6" w:rsidP="00792948">
      <w:r w:rsidRPr="003C1CFD">
        <w:t>Fisher, R. and Larkin, J. Vemurafenib: a new treatment for BRAF-V600 mutated advanced melanoma. Canc</w:t>
      </w:r>
      <w:r w:rsidR="00914A30" w:rsidRPr="003C1CFD">
        <w:t xml:space="preserve">er Management and Research 2012; </w:t>
      </w:r>
      <w:r w:rsidRPr="003C1CFD">
        <w:t>4</w:t>
      </w:r>
      <w:r w:rsidR="009E226A">
        <w:t>:</w:t>
      </w:r>
      <w:r w:rsidRPr="003C1CFD">
        <w:t xml:space="preserve"> 243–252.</w:t>
      </w:r>
    </w:p>
    <w:p w:rsidR="00B443CF" w:rsidRPr="003C1CFD" w:rsidRDefault="00B443CF" w:rsidP="00792948">
      <w:r w:rsidRPr="003C1CFD">
        <w:t>Garbe, C., Peris, K., Hauschild, A. et al. Diagnosis and treatment of melanoma. European consensus-based interdisciplinary guideline - Update 2016. European Journal of Canc</w:t>
      </w:r>
      <w:r w:rsidR="002976F1" w:rsidRPr="003C1CFD">
        <w:t>er</w:t>
      </w:r>
      <w:r w:rsidRPr="003C1CFD">
        <w:t xml:space="preserve"> 2016; 63: 201-217.</w:t>
      </w:r>
    </w:p>
    <w:p w:rsidR="00385DAE" w:rsidRDefault="00385DAE" w:rsidP="00792948">
      <w:r w:rsidRPr="003C1CFD">
        <w:t xml:space="preserve">Hannan, </w:t>
      </w:r>
      <w:r w:rsidR="00914A30" w:rsidRPr="003C1CFD">
        <w:t>E.J., O’Leary, D.P., MacNally, S.P. et al. The significance of BRAF V600E mutation status discordance between primary cutaneous melanoma and brain metastases - The implications for BRAF in</w:t>
      </w:r>
      <w:r w:rsidR="009E226A">
        <w:t>hibitor therapy. Medicine 2017;</w:t>
      </w:r>
      <w:r w:rsidR="00914A30" w:rsidRPr="003C1CFD">
        <w:t xml:space="preserve"> 96:48.</w:t>
      </w:r>
    </w:p>
    <w:p w:rsidR="00F608E5" w:rsidRPr="003C1CFD" w:rsidRDefault="00F608E5" w:rsidP="00792948">
      <w:r>
        <w:t xml:space="preserve">Hodi, S.F., O’Day, S.J., McDermott, D.F. et al. Improved survival with ipilimumab in patients with metastatic melanoma. N Engl J Med 2010; 363(8): 711-723. </w:t>
      </w:r>
    </w:p>
    <w:p w:rsidR="00C66951" w:rsidRDefault="00C66951" w:rsidP="00792948">
      <w:r w:rsidRPr="003C1CFD">
        <w:lastRenderedPageBreak/>
        <w:t>Long, G.V., Stroyakovskiy, D., Gogas, H. et al. Combined BRAF and MEK Inhibition versus BRAF Inhibition Alone in Melanoma. N Engl J Med 2014;</w:t>
      </w:r>
      <w:r w:rsidR="001C59EA" w:rsidRPr="003C1CFD">
        <w:t xml:space="preserve"> </w:t>
      </w:r>
      <w:r w:rsidRPr="003C1CFD">
        <w:t>371:1877-88.</w:t>
      </w:r>
    </w:p>
    <w:p w:rsidR="00D74202" w:rsidRPr="00D74202" w:rsidRDefault="00D74202" w:rsidP="00D74202">
      <w:pPr>
        <w:autoSpaceDE w:val="0"/>
        <w:autoSpaceDN w:val="0"/>
        <w:adjustRightInd w:val="0"/>
        <w:spacing w:after="0"/>
      </w:pPr>
      <w:r w:rsidRPr="00D74202">
        <w:t>Menzies, A.M., Haydu, L.E., Visintin, L. et al. Distinguishing Clinicopatho</w:t>
      </w:r>
      <w:r>
        <w:t xml:space="preserve">logic Features of Patients with </w:t>
      </w:r>
      <w:r w:rsidRPr="00D74202">
        <w:t>V600E and V600K BRAF-Mutant Metastatic Melanoma</w:t>
      </w:r>
      <w:r>
        <w:t xml:space="preserve">. </w:t>
      </w:r>
      <w:r w:rsidRPr="00D74202">
        <w:t>Clin Cancer Res 2012;</w:t>
      </w:r>
      <w:r>
        <w:t xml:space="preserve"> </w:t>
      </w:r>
      <w:r w:rsidRPr="00D74202">
        <w:t>18:3242-3249.</w:t>
      </w:r>
    </w:p>
    <w:p w:rsidR="00D74202" w:rsidRPr="003C1CFD" w:rsidRDefault="00D74202" w:rsidP="00D74202">
      <w:pPr>
        <w:autoSpaceDE w:val="0"/>
        <w:autoSpaceDN w:val="0"/>
        <w:adjustRightInd w:val="0"/>
        <w:spacing w:after="0"/>
      </w:pPr>
    </w:p>
    <w:p w:rsidR="007115E6" w:rsidRPr="003C1CFD" w:rsidRDefault="007115E6" w:rsidP="00792948">
      <w:r w:rsidRPr="003C1CFD">
        <w:t>Rubinstein, J.C., Sznol, M., Pavlick, A.C. et al. Incidence of the V600K mutation among melanoma patients with BRAF mutations, and potential therapeutic response to the specific BRAF inhibitor PLX4032. Journal of Translational Medicine 2010; 8:67.</w:t>
      </w:r>
    </w:p>
    <w:p w:rsidR="00000545" w:rsidRPr="003C1CFD" w:rsidRDefault="00000545" w:rsidP="00792948">
      <w:r w:rsidRPr="003C1CFD">
        <w:t xml:space="preserve">Sosman, J.A. (2018) Molecularly targeted therapy for metastatic melanoma. UpToDate, January 2018. Accessed on </w:t>
      </w:r>
      <w:r w:rsidR="00402362" w:rsidRPr="003C1CFD">
        <w:t>20 February 2018 at: https://www</w:t>
      </w:r>
      <w:r w:rsidRPr="003C1CFD">
        <w:t>.uptodate.com</w:t>
      </w:r>
    </w:p>
    <w:p w:rsidR="002C6E0C" w:rsidRDefault="002C6E0C" w:rsidP="00F73113">
      <w:pPr>
        <w:pStyle w:val="Heading1"/>
      </w:pPr>
      <w:r>
        <w:t>Appendices</w:t>
      </w:r>
    </w:p>
    <w:p w:rsidR="0068798F" w:rsidRDefault="007A787F" w:rsidP="007A787F">
      <w:pPr>
        <w:pStyle w:val="ListParagraph"/>
        <w:numPr>
          <w:ilvl w:val="0"/>
          <w:numId w:val="11"/>
        </w:numPr>
      </w:pPr>
      <w:r w:rsidRPr="007A787F">
        <w:t>PBS listing details as at March 2018</w:t>
      </w:r>
      <w:r w:rsidR="00090236">
        <w:t>.</w:t>
      </w:r>
    </w:p>
    <w:p w:rsidR="003F06D0" w:rsidRDefault="003F06D0" w:rsidP="007A787F">
      <w:pPr>
        <w:pStyle w:val="ListParagraph"/>
        <w:numPr>
          <w:ilvl w:val="0"/>
          <w:numId w:val="11"/>
        </w:numPr>
      </w:pPr>
      <w:r>
        <w:t>Illustration of methods used to identify co-administered drugs.</w:t>
      </w:r>
    </w:p>
    <w:p w:rsidR="00B748C8" w:rsidRPr="007A787F" w:rsidRDefault="00B748C8" w:rsidP="00B748C8"/>
    <w:p w:rsidR="0068798F" w:rsidRDefault="0068798F" w:rsidP="009A537C">
      <w:pPr>
        <w:rPr>
          <w:b/>
          <w:sz w:val="28"/>
        </w:rPr>
        <w:sectPr w:rsidR="0068798F" w:rsidSect="00DD188C">
          <w:pgSz w:w="11906" w:h="16838"/>
          <w:pgMar w:top="1644" w:right="1361" w:bottom="1644" w:left="1588" w:header="709" w:footer="709" w:gutter="0"/>
          <w:cols w:space="708"/>
          <w:docGrid w:linePitch="360"/>
        </w:sectPr>
      </w:pPr>
    </w:p>
    <w:p w:rsidR="0068798F" w:rsidRDefault="0068798F" w:rsidP="009A537C">
      <w:pPr>
        <w:rPr>
          <w:b/>
          <w:sz w:val="28"/>
        </w:rPr>
      </w:pPr>
      <w:r>
        <w:rPr>
          <w:b/>
          <w:sz w:val="28"/>
        </w:rPr>
        <w:lastRenderedPageBreak/>
        <w:t xml:space="preserve">Appendix </w:t>
      </w:r>
      <w:r w:rsidR="007F684F">
        <w:rPr>
          <w:b/>
          <w:sz w:val="28"/>
        </w:rPr>
        <w:t>1</w:t>
      </w:r>
      <w:r>
        <w:rPr>
          <w:b/>
          <w:sz w:val="28"/>
        </w:rPr>
        <w:t>: Listing details as at March 2018</w:t>
      </w:r>
    </w:p>
    <w:tbl>
      <w:tblPr>
        <w:tblW w:w="14049" w:type="dxa"/>
        <w:tblInd w:w="93" w:type="dxa"/>
        <w:tblLook w:val="04A0" w:firstRow="1" w:lastRow="0" w:firstColumn="1" w:lastColumn="0" w:noHBand="0" w:noVBand="1"/>
      </w:tblPr>
      <w:tblGrid>
        <w:gridCol w:w="1030"/>
        <w:gridCol w:w="1729"/>
        <w:gridCol w:w="897"/>
        <w:gridCol w:w="1466"/>
        <w:gridCol w:w="3525"/>
        <w:gridCol w:w="5402"/>
      </w:tblGrid>
      <w:tr w:rsidR="00304D4F" w:rsidRPr="001E3E0A" w:rsidTr="00957A5D">
        <w:trPr>
          <w:trHeight w:val="301"/>
          <w:tblHeader/>
        </w:trPr>
        <w:tc>
          <w:tcPr>
            <w:tcW w:w="103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E3E0A" w:rsidRPr="001E3E0A" w:rsidRDefault="001E3E0A" w:rsidP="001E3E0A">
            <w:pPr>
              <w:spacing w:after="0"/>
              <w:jc w:val="center"/>
              <w:rPr>
                <w:rFonts w:ascii="Calibri" w:eastAsia="Times New Roman" w:hAnsi="Calibri" w:cs="Times New Roman"/>
                <w:b/>
                <w:bCs/>
                <w:color w:val="000000"/>
                <w:sz w:val="20"/>
                <w:szCs w:val="20"/>
              </w:rPr>
            </w:pPr>
            <w:r w:rsidRPr="001E3E0A">
              <w:rPr>
                <w:rFonts w:ascii="Calibri" w:eastAsia="Times New Roman" w:hAnsi="Calibri" w:cs="Times New Roman"/>
                <w:b/>
                <w:bCs/>
                <w:color w:val="000000"/>
                <w:sz w:val="20"/>
                <w:szCs w:val="20"/>
              </w:rPr>
              <w:t>Item code</w:t>
            </w:r>
          </w:p>
        </w:tc>
        <w:tc>
          <w:tcPr>
            <w:tcW w:w="1729" w:type="dxa"/>
            <w:tcBorders>
              <w:top w:val="single" w:sz="4" w:space="0" w:color="auto"/>
              <w:left w:val="nil"/>
              <w:bottom w:val="single" w:sz="4" w:space="0" w:color="auto"/>
              <w:right w:val="single" w:sz="4" w:space="0" w:color="auto"/>
            </w:tcBorders>
            <w:shd w:val="clear" w:color="000000" w:fill="F2F2F2"/>
            <w:noWrap/>
            <w:vAlign w:val="center"/>
            <w:hideMark/>
          </w:tcPr>
          <w:p w:rsidR="001E3E0A" w:rsidRPr="001E3E0A" w:rsidRDefault="001E3E0A" w:rsidP="001E3E0A">
            <w:pPr>
              <w:spacing w:after="0"/>
              <w:jc w:val="center"/>
              <w:rPr>
                <w:rFonts w:ascii="Calibri" w:eastAsia="Times New Roman" w:hAnsi="Calibri" w:cs="Times New Roman"/>
                <w:b/>
                <w:bCs/>
                <w:color w:val="000000"/>
                <w:sz w:val="20"/>
                <w:szCs w:val="20"/>
              </w:rPr>
            </w:pPr>
            <w:r w:rsidRPr="001E3E0A">
              <w:rPr>
                <w:rFonts w:ascii="Calibri" w:eastAsia="Times New Roman" w:hAnsi="Calibri" w:cs="Times New Roman"/>
                <w:b/>
                <w:bCs/>
                <w:color w:val="000000"/>
                <w:sz w:val="20"/>
                <w:szCs w:val="20"/>
              </w:rPr>
              <w:t>Max units or amount</w:t>
            </w:r>
          </w:p>
        </w:tc>
        <w:tc>
          <w:tcPr>
            <w:tcW w:w="897" w:type="dxa"/>
            <w:tcBorders>
              <w:top w:val="single" w:sz="4" w:space="0" w:color="auto"/>
              <w:left w:val="nil"/>
              <w:bottom w:val="single" w:sz="4" w:space="0" w:color="auto"/>
              <w:right w:val="single" w:sz="4" w:space="0" w:color="auto"/>
            </w:tcBorders>
            <w:shd w:val="clear" w:color="000000" w:fill="F2F2F2"/>
            <w:noWrap/>
            <w:vAlign w:val="center"/>
            <w:hideMark/>
          </w:tcPr>
          <w:p w:rsidR="001E3E0A" w:rsidRPr="001E3E0A" w:rsidRDefault="001E3E0A" w:rsidP="001E3E0A">
            <w:pPr>
              <w:spacing w:after="0"/>
              <w:jc w:val="center"/>
              <w:rPr>
                <w:rFonts w:ascii="Calibri" w:eastAsia="Times New Roman" w:hAnsi="Calibri" w:cs="Times New Roman"/>
                <w:b/>
                <w:bCs/>
                <w:color w:val="000000"/>
                <w:sz w:val="20"/>
                <w:szCs w:val="20"/>
              </w:rPr>
            </w:pPr>
            <w:r w:rsidRPr="001E3E0A">
              <w:rPr>
                <w:rFonts w:ascii="Calibri" w:eastAsia="Times New Roman" w:hAnsi="Calibri" w:cs="Times New Roman"/>
                <w:b/>
                <w:bCs/>
                <w:color w:val="000000"/>
                <w:sz w:val="20"/>
                <w:szCs w:val="20"/>
              </w:rPr>
              <w:t>Number of repeats</w:t>
            </w:r>
          </w:p>
        </w:tc>
        <w:tc>
          <w:tcPr>
            <w:tcW w:w="1466" w:type="dxa"/>
            <w:tcBorders>
              <w:top w:val="single" w:sz="4" w:space="0" w:color="auto"/>
              <w:left w:val="nil"/>
              <w:bottom w:val="single" w:sz="4" w:space="0" w:color="auto"/>
              <w:right w:val="single" w:sz="4" w:space="0" w:color="auto"/>
            </w:tcBorders>
            <w:shd w:val="clear" w:color="000000" w:fill="F2F2F2"/>
            <w:noWrap/>
            <w:vAlign w:val="center"/>
            <w:hideMark/>
          </w:tcPr>
          <w:p w:rsidR="001E3E0A" w:rsidRPr="001E3E0A" w:rsidRDefault="001E3E0A" w:rsidP="001E3E0A">
            <w:pPr>
              <w:spacing w:after="0"/>
              <w:jc w:val="center"/>
              <w:rPr>
                <w:rFonts w:ascii="Calibri" w:eastAsia="Times New Roman" w:hAnsi="Calibri" w:cs="Times New Roman"/>
                <w:b/>
                <w:bCs/>
                <w:color w:val="000000"/>
                <w:sz w:val="20"/>
                <w:szCs w:val="20"/>
              </w:rPr>
            </w:pPr>
            <w:r w:rsidRPr="001E3E0A">
              <w:rPr>
                <w:rFonts w:ascii="Calibri" w:eastAsia="Times New Roman" w:hAnsi="Calibri" w:cs="Times New Roman"/>
                <w:b/>
                <w:bCs/>
                <w:color w:val="000000"/>
                <w:sz w:val="20"/>
                <w:szCs w:val="20"/>
              </w:rPr>
              <w:t>Dispensed price</w:t>
            </w:r>
          </w:p>
        </w:tc>
        <w:tc>
          <w:tcPr>
            <w:tcW w:w="3525" w:type="dxa"/>
            <w:tcBorders>
              <w:top w:val="single" w:sz="4" w:space="0" w:color="auto"/>
              <w:left w:val="nil"/>
              <w:bottom w:val="single" w:sz="4" w:space="0" w:color="auto"/>
              <w:right w:val="single" w:sz="4" w:space="0" w:color="auto"/>
            </w:tcBorders>
            <w:shd w:val="clear" w:color="000000" w:fill="F2F2F2"/>
            <w:noWrap/>
            <w:vAlign w:val="center"/>
            <w:hideMark/>
          </w:tcPr>
          <w:p w:rsidR="001E3E0A" w:rsidRPr="001E3E0A" w:rsidRDefault="001E3E0A" w:rsidP="001E3E0A">
            <w:pPr>
              <w:spacing w:after="0"/>
              <w:jc w:val="center"/>
              <w:rPr>
                <w:rFonts w:ascii="Calibri" w:eastAsia="Times New Roman" w:hAnsi="Calibri" w:cs="Times New Roman"/>
                <w:b/>
                <w:bCs/>
                <w:color w:val="000000"/>
                <w:sz w:val="20"/>
                <w:szCs w:val="20"/>
              </w:rPr>
            </w:pPr>
            <w:r w:rsidRPr="001E3E0A">
              <w:rPr>
                <w:rFonts w:ascii="Calibri" w:eastAsia="Times New Roman" w:hAnsi="Calibri" w:cs="Times New Roman"/>
                <w:b/>
                <w:bCs/>
                <w:color w:val="000000"/>
                <w:sz w:val="20"/>
                <w:szCs w:val="20"/>
              </w:rPr>
              <w:t>Drug name, form and strength</w:t>
            </w:r>
          </w:p>
        </w:tc>
        <w:tc>
          <w:tcPr>
            <w:tcW w:w="5402" w:type="dxa"/>
            <w:tcBorders>
              <w:top w:val="single" w:sz="4" w:space="0" w:color="auto"/>
              <w:left w:val="nil"/>
              <w:bottom w:val="single" w:sz="4" w:space="0" w:color="auto"/>
              <w:right w:val="single" w:sz="4" w:space="0" w:color="auto"/>
            </w:tcBorders>
            <w:shd w:val="clear" w:color="000000" w:fill="F2F2F2"/>
            <w:noWrap/>
            <w:vAlign w:val="center"/>
            <w:hideMark/>
          </w:tcPr>
          <w:p w:rsidR="001E3E0A" w:rsidRPr="001E3E0A" w:rsidRDefault="001E3E0A" w:rsidP="001E3E0A">
            <w:pPr>
              <w:spacing w:after="0"/>
              <w:jc w:val="center"/>
              <w:rPr>
                <w:rFonts w:ascii="Calibri" w:eastAsia="Times New Roman" w:hAnsi="Calibri" w:cs="Times New Roman"/>
                <w:b/>
                <w:bCs/>
                <w:color w:val="000000"/>
                <w:sz w:val="20"/>
                <w:szCs w:val="20"/>
              </w:rPr>
            </w:pPr>
            <w:r w:rsidRPr="001E3E0A">
              <w:rPr>
                <w:rFonts w:ascii="Calibri" w:eastAsia="Times New Roman" w:hAnsi="Calibri" w:cs="Times New Roman"/>
                <w:b/>
                <w:bCs/>
                <w:color w:val="000000"/>
                <w:sz w:val="20"/>
                <w:szCs w:val="20"/>
              </w:rPr>
              <w:t>Brand name, manufacturer</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11074W</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units: 63</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3</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DPMQ $8,187.55</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Cobimetinib, Tablet 20 mg</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Cotellic, Roche Products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11075X</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units: 63</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5</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DPMQ $8,187.55</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Cobimetinib, Tablet 20 mg</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Cotellic, Roche Products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02846T</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units: 120</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3</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DPMQ $8,761.69</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Dabrafenib, Capsule 75 mg (as mesilate)</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Tafinlar, Novartis Pharmaceuticals Australia Pty Limited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02954L</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units: 120</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5</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DPMQ $5,890.97</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Dabrafenib, Capsule 50 mg (as mesilate)</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Tafinlar, Novartis Pharmaceuticals Australia Pty Limited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02963Y</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units: 120</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3</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DPMQ $5,890.97</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Dabrafenib, Capsule 50 mg (as mesilate)</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Tafinlar, Novartis Pharmaceuticals Australia Pty Limited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10003L</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units: 120</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5</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DPMQ $8,761.69</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Dabrafenib, Capsule 75 mg (as mesilate)</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Tafinlar, Novartis Pharmaceuticals Australia Pty Limited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02638W</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amt: 360 mg</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3</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DPMA $48,161.91</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Ipilimumab, Injection concentrate for I.V. infusion 200 mg in 40 mL</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Yervoy, Bristol-Myers Squibb Australia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02638W</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amt: 360 mg</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3</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DPMA $48,161.91</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Ipilimumab, Injection concentrate for I.V. infusion 50 mg in 10 mL</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Yervoy, Bristol-Myers Squibb Australia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02641B</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amt: 360 mg</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3</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DPMA $47,459.99</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Ipilimumab, Injection concentrate for I.V. infusion 50 mg in 10 mL</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Yervoy, Bristol-Myers Squibb Australia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02641B</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amt: 360 mg</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3</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DPMA $47,459.99</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Ipilimumab, Injection concentrate for I.V. infusion 200 mg in 40 mL</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Yervoy, Bristol-Myers Squibb Australia Pty Ltd</w:t>
            </w:r>
          </w:p>
        </w:tc>
      </w:tr>
      <w:tr w:rsidR="00C25C15"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10745M</w:t>
            </w:r>
          </w:p>
        </w:tc>
        <w:tc>
          <w:tcPr>
            <w:tcW w:w="1729"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976D76">
              <w:rPr>
                <w:rFonts w:ascii="Calibri" w:eastAsia="Times New Roman" w:hAnsi="Calibri" w:cs="Times New Roman"/>
                <w:color w:val="000000"/>
                <w:sz w:val="20"/>
                <w:szCs w:val="20"/>
              </w:rPr>
              <w:t>Max amt: 360 mg</w:t>
            </w:r>
          </w:p>
        </w:tc>
        <w:tc>
          <w:tcPr>
            <w:tcW w:w="897"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jc w:val="right"/>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11</w:t>
            </w:r>
          </w:p>
        </w:tc>
        <w:tc>
          <w:tcPr>
            <w:tcW w:w="1466" w:type="dxa"/>
            <w:tcBorders>
              <w:top w:val="nil"/>
              <w:left w:val="nil"/>
              <w:bottom w:val="single" w:sz="4" w:space="0" w:color="auto"/>
              <w:right w:val="single" w:sz="4" w:space="0" w:color="auto"/>
            </w:tcBorders>
            <w:shd w:val="clear" w:color="auto" w:fill="auto"/>
            <w:noWrap/>
            <w:vAlign w:val="center"/>
          </w:tcPr>
          <w:p w:rsidR="00C25C15" w:rsidRDefault="00C25C15" w:rsidP="001E3E0A">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DPMA</w:t>
            </w:r>
          </w:p>
          <w:p w:rsidR="00C25C15" w:rsidRPr="001E3E0A" w:rsidRDefault="00C25C15" w:rsidP="001E3E0A">
            <w:pPr>
              <w:spacing w:after="0"/>
              <w:rPr>
                <w:rFonts w:ascii="Calibri" w:eastAsia="Times New Roman" w:hAnsi="Calibri" w:cs="Times New Roman"/>
                <w:color w:val="000000"/>
                <w:sz w:val="20"/>
                <w:szCs w:val="20"/>
              </w:rPr>
            </w:pPr>
            <w:r w:rsidRPr="00C25C15">
              <w:rPr>
                <w:rFonts w:ascii="Calibri" w:eastAsia="Times New Roman" w:hAnsi="Calibri" w:cs="Times New Roman"/>
                <w:color w:val="000000"/>
                <w:sz w:val="20"/>
                <w:szCs w:val="20"/>
              </w:rPr>
              <w:t>$7560.13</w:t>
            </w:r>
          </w:p>
        </w:tc>
        <w:tc>
          <w:tcPr>
            <w:tcW w:w="3525"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Nivolumab, Injection concentrate for I.V. infusion 40 mg in 4 mL</w:t>
            </w:r>
          </w:p>
        </w:tc>
        <w:tc>
          <w:tcPr>
            <w:tcW w:w="5402"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 xml:space="preserve">Opdivo, </w:t>
            </w:r>
            <w:r w:rsidRPr="001E3E0A">
              <w:rPr>
                <w:rFonts w:ascii="Calibri" w:eastAsia="Times New Roman" w:hAnsi="Calibri" w:cs="Times New Roman"/>
                <w:color w:val="000000"/>
                <w:sz w:val="20"/>
                <w:szCs w:val="20"/>
              </w:rPr>
              <w:t>Bristol-Myers Squibb Australia Pty Ltd</w:t>
            </w:r>
          </w:p>
        </w:tc>
      </w:tr>
      <w:tr w:rsidR="00C25C15"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10745M</w:t>
            </w:r>
          </w:p>
        </w:tc>
        <w:tc>
          <w:tcPr>
            <w:tcW w:w="1729"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976D76">
              <w:rPr>
                <w:rFonts w:ascii="Calibri" w:eastAsia="Times New Roman" w:hAnsi="Calibri" w:cs="Times New Roman"/>
                <w:color w:val="000000"/>
                <w:sz w:val="20"/>
                <w:szCs w:val="20"/>
              </w:rPr>
              <w:t>Max amt: 360 mg</w:t>
            </w:r>
          </w:p>
        </w:tc>
        <w:tc>
          <w:tcPr>
            <w:tcW w:w="897"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jc w:val="right"/>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11</w:t>
            </w:r>
          </w:p>
        </w:tc>
        <w:tc>
          <w:tcPr>
            <w:tcW w:w="1466" w:type="dxa"/>
            <w:tcBorders>
              <w:top w:val="nil"/>
              <w:left w:val="nil"/>
              <w:bottom w:val="single" w:sz="4" w:space="0" w:color="auto"/>
              <w:right w:val="single" w:sz="4" w:space="0" w:color="auto"/>
            </w:tcBorders>
            <w:shd w:val="clear" w:color="auto" w:fill="auto"/>
            <w:noWrap/>
            <w:vAlign w:val="center"/>
          </w:tcPr>
          <w:p w:rsidR="00C25C15" w:rsidRDefault="00C25C15" w:rsidP="00C25C1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DPMA</w:t>
            </w:r>
          </w:p>
          <w:p w:rsidR="00C25C15" w:rsidRPr="001E3E0A" w:rsidRDefault="00C25C15" w:rsidP="00C25C15">
            <w:pPr>
              <w:spacing w:after="0"/>
              <w:rPr>
                <w:rFonts w:ascii="Calibri" w:eastAsia="Times New Roman" w:hAnsi="Calibri" w:cs="Times New Roman"/>
                <w:color w:val="000000"/>
                <w:sz w:val="20"/>
                <w:szCs w:val="20"/>
              </w:rPr>
            </w:pPr>
            <w:r w:rsidRPr="00C25C15">
              <w:rPr>
                <w:rFonts w:ascii="Calibri" w:eastAsia="Times New Roman" w:hAnsi="Calibri" w:cs="Times New Roman"/>
                <w:color w:val="000000"/>
                <w:sz w:val="20"/>
                <w:szCs w:val="20"/>
              </w:rPr>
              <w:t>$7560.13</w:t>
            </w:r>
          </w:p>
        </w:tc>
        <w:tc>
          <w:tcPr>
            <w:tcW w:w="3525"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Nivolumab, Injection concentrate for I.V. infusion 100 mg in 10 mL</w:t>
            </w:r>
          </w:p>
        </w:tc>
        <w:tc>
          <w:tcPr>
            <w:tcW w:w="5402"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 xml:space="preserve">Opdivo, </w:t>
            </w:r>
            <w:r w:rsidRPr="00CE191E">
              <w:rPr>
                <w:rFonts w:ascii="Calibri" w:eastAsia="Times New Roman" w:hAnsi="Calibri" w:cs="Times New Roman"/>
                <w:color w:val="000000"/>
                <w:sz w:val="20"/>
                <w:szCs w:val="20"/>
              </w:rPr>
              <w:t>Bristol-Myers Squibb Australia Pty Ltd</w:t>
            </w:r>
          </w:p>
        </w:tc>
      </w:tr>
      <w:tr w:rsidR="00C25C15"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10748Q</w:t>
            </w:r>
          </w:p>
        </w:tc>
        <w:tc>
          <w:tcPr>
            <w:tcW w:w="1729"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02CD3">
              <w:rPr>
                <w:rFonts w:ascii="Calibri" w:eastAsia="Times New Roman" w:hAnsi="Calibri" w:cs="Times New Roman"/>
                <w:color w:val="000000"/>
                <w:sz w:val="20"/>
                <w:szCs w:val="20"/>
              </w:rPr>
              <w:t>Max amt: 360 mg</w:t>
            </w:r>
          </w:p>
        </w:tc>
        <w:tc>
          <w:tcPr>
            <w:tcW w:w="897"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jc w:val="right"/>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11</w:t>
            </w:r>
          </w:p>
        </w:tc>
        <w:tc>
          <w:tcPr>
            <w:tcW w:w="1466" w:type="dxa"/>
            <w:tcBorders>
              <w:top w:val="nil"/>
              <w:left w:val="nil"/>
              <w:bottom w:val="single" w:sz="4" w:space="0" w:color="auto"/>
              <w:right w:val="single" w:sz="4" w:space="0" w:color="auto"/>
            </w:tcBorders>
            <w:shd w:val="clear" w:color="auto" w:fill="auto"/>
            <w:noWrap/>
            <w:vAlign w:val="center"/>
          </w:tcPr>
          <w:p w:rsidR="00C25C15" w:rsidRDefault="00C25C15" w:rsidP="00C25C1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DPMA</w:t>
            </w:r>
          </w:p>
          <w:p w:rsidR="00C25C15" w:rsidRPr="001E3E0A" w:rsidRDefault="00C25C15" w:rsidP="001E3E0A">
            <w:pPr>
              <w:spacing w:after="0"/>
              <w:rPr>
                <w:rFonts w:ascii="Calibri" w:eastAsia="Times New Roman" w:hAnsi="Calibri" w:cs="Times New Roman"/>
                <w:color w:val="000000"/>
                <w:sz w:val="20"/>
                <w:szCs w:val="20"/>
              </w:rPr>
            </w:pPr>
            <w:r w:rsidRPr="00C25C15">
              <w:rPr>
                <w:rFonts w:ascii="Calibri" w:eastAsia="Times New Roman" w:hAnsi="Calibri" w:cs="Times New Roman"/>
                <w:color w:val="000000"/>
                <w:sz w:val="20"/>
                <w:szCs w:val="20"/>
              </w:rPr>
              <w:t>$7703.43</w:t>
            </w:r>
          </w:p>
        </w:tc>
        <w:tc>
          <w:tcPr>
            <w:tcW w:w="3525"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Nivolumab, Injection concentrate for I.V. infusion 100 mg in 10 mL</w:t>
            </w:r>
          </w:p>
        </w:tc>
        <w:tc>
          <w:tcPr>
            <w:tcW w:w="5402"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 xml:space="preserve">Opdivo, </w:t>
            </w:r>
            <w:r w:rsidRPr="00CE191E">
              <w:rPr>
                <w:rFonts w:ascii="Calibri" w:eastAsia="Times New Roman" w:hAnsi="Calibri" w:cs="Times New Roman"/>
                <w:color w:val="000000"/>
                <w:sz w:val="20"/>
                <w:szCs w:val="20"/>
              </w:rPr>
              <w:t>Bristol-Myers Squibb Australia Pty Ltd</w:t>
            </w:r>
          </w:p>
        </w:tc>
      </w:tr>
      <w:tr w:rsidR="00C25C15"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10748Q</w:t>
            </w:r>
          </w:p>
        </w:tc>
        <w:tc>
          <w:tcPr>
            <w:tcW w:w="1729"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02CD3">
              <w:rPr>
                <w:rFonts w:ascii="Calibri" w:eastAsia="Times New Roman" w:hAnsi="Calibri" w:cs="Times New Roman"/>
                <w:color w:val="000000"/>
                <w:sz w:val="20"/>
                <w:szCs w:val="20"/>
              </w:rPr>
              <w:t>Max amt: 360 mg</w:t>
            </w:r>
          </w:p>
        </w:tc>
        <w:tc>
          <w:tcPr>
            <w:tcW w:w="897"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jc w:val="right"/>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11</w:t>
            </w:r>
          </w:p>
        </w:tc>
        <w:tc>
          <w:tcPr>
            <w:tcW w:w="1466" w:type="dxa"/>
            <w:tcBorders>
              <w:top w:val="nil"/>
              <w:left w:val="nil"/>
              <w:bottom w:val="single" w:sz="4" w:space="0" w:color="auto"/>
              <w:right w:val="single" w:sz="4" w:space="0" w:color="auto"/>
            </w:tcBorders>
            <w:shd w:val="clear" w:color="auto" w:fill="auto"/>
            <w:noWrap/>
            <w:vAlign w:val="center"/>
          </w:tcPr>
          <w:p w:rsidR="00C25C15" w:rsidRDefault="00C25C15" w:rsidP="00C25C1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DPMA</w:t>
            </w:r>
          </w:p>
          <w:p w:rsidR="00C25C15" w:rsidRPr="001E3E0A" w:rsidRDefault="00C25C15" w:rsidP="00C25C15">
            <w:pPr>
              <w:spacing w:after="0"/>
              <w:rPr>
                <w:rFonts w:ascii="Calibri" w:eastAsia="Times New Roman" w:hAnsi="Calibri" w:cs="Times New Roman"/>
                <w:color w:val="000000"/>
                <w:sz w:val="20"/>
                <w:szCs w:val="20"/>
              </w:rPr>
            </w:pPr>
            <w:r w:rsidRPr="00C25C15">
              <w:rPr>
                <w:rFonts w:ascii="Calibri" w:eastAsia="Times New Roman" w:hAnsi="Calibri" w:cs="Times New Roman"/>
                <w:color w:val="000000"/>
                <w:sz w:val="20"/>
                <w:szCs w:val="20"/>
              </w:rPr>
              <w:t>$7703.43</w:t>
            </w:r>
          </w:p>
        </w:tc>
        <w:tc>
          <w:tcPr>
            <w:tcW w:w="3525"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Nivolumab, Injection concentrate for I.V. infusion 40 mg in 4 mL</w:t>
            </w:r>
          </w:p>
        </w:tc>
        <w:tc>
          <w:tcPr>
            <w:tcW w:w="5402"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 xml:space="preserve">Opdivo, </w:t>
            </w:r>
            <w:r w:rsidRPr="00CE191E">
              <w:rPr>
                <w:rFonts w:ascii="Calibri" w:eastAsia="Times New Roman" w:hAnsi="Calibri" w:cs="Times New Roman"/>
                <w:color w:val="000000"/>
                <w:sz w:val="20"/>
                <w:szCs w:val="20"/>
              </w:rPr>
              <w:t>Bristol-Myers Squibb Australia Pty Ltd</w:t>
            </w:r>
          </w:p>
        </w:tc>
      </w:tr>
      <w:tr w:rsidR="00C25C15"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10764M</w:t>
            </w:r>
          </w:p>
        </w:tc>
        <w:tc>
          <w:tcPr>
            <w:tcW w:w="1729"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4568C8">
              <w:rPr>
                <w:rFonts w:ascii="Calibri" w:eastAsia="Times New Roman" w:hAnsi="Calibri" w:cs="Times New Roman"/>
                <w:color w:val="000000"/>
                <w:sz w:val="20"/>
                <w:szCs w:val="20"/>
              </w:rPr>
              <w:t>Max amt: 360 mg</w:t>
            </w:r>
          </w:p>
        </w:tc>
        <w:tc>
          <w:tcPr>
            <w:tcW w:w="897"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jc w:val="right"/>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8</w:t>
            </w:r>
          </w:p>
        </w:tc>
        <w:tc>
          <w:tcPr>
            <w:tcW w:w="1466" w:type="dxa"/>
            <w:tcBorders>
              <w:top w:val="nil"/>
              <w:left w:val="nil"/>
              <w:bottom w:val="single" w:sz="4" w:space="0" w:color="auto"/>
              <w:right w:val="single" w:sz="4" w:space="0" w:color="auto"/>
            </w:tcBorders>
            <w:shd w:val="clear" w:color="auto" w:fill="auto"/>
            <w:noWrap/>
            <w:vAlign w:val="center"/>
          </w:tcPr>
          <w:p w:rsidR="00C25C15" w:rsidRDefault="00C25C15" w:rsidP="00C25C1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DPMA</w:t>
            </w:r>
          </w:p>
          <w:p w:rsidR="00C25C15" w:rsidRPr="001E3E0A" w:rsidRDefault="00C25C15" w:rsidP="001E3E0A">
            <w:pPr>
              <w:spacing w:after="0"/>
              <w:rPr>
                <w:rFonts w:ascii="Calibri" w:eastAsia="Times New Roman" w:hAnsi="Calibri" w:cs="Times New Roman"/>
                <w:color w:val="000000"/>
                <w:sz w:val="20"/>
                <w:szCs w:val="20"/>
              </w:rPr>
            </w:pPr>
            <w:r w:rsidRPr="00C25C15">
              <w:rPr>
                <w:rFonts w:ascii="Calibri" w:eastAsia="Times New Roman" w:hAnsi="Calibri" w:cs="Times New Roman"/>
                <w:color w:val="000000"/>
                <w:sz w:val="20"/>
                <w:szCs w:val="20"/>
              </w:rPr>
              <w:lastRenderedPageBreak/>
              <w:t>$7560.13</w:t>
            </w:r>
          </w:p>
        </w:tc>
        <w:tc>
          <w:tcPr>
            <w:tcW w:w="3525"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lastRenderedPageBreak/>
              <w:t xml:space="preserve">Nivolumab, Injection concentrate for I.V. </w:t>
            </w:r>
            <w:r w:rsidRPr="00CE78EA">
              <w:rPr>
                <w:rFonts w:ascii="Calibri" w:eastAsia="Times New Roman" w:hAnsi="Calibri" w:cs="Times New Roman"/>
                <w:color w:val="000000"/>
                <w:sz w:val="20"/>
                <w:szCs w:val="20"/>
              </w:rPr>
              <w:lastRenderedPageBreak/>
              <w:t>infusion 40 mg in 4 mL</w:t>
            </w:r>
          </w:p>
        </w:tc>
        <w:tc>
          <w:tcPr>
            <w:tcW w:w="5402"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lastRenderedPageBreak/>
              <w:t xml:space="preserve">Opdivo, </w:t>
            </w:r>
            <w:r w:rsidRPr="00CE191E">
              <w:rPr>
                <w:rFonts w:ascii="Calibri" w:eastAsia="Times New Roman" w:hAnsi="Calibri" w:cs="Times New Roman"/>
                <w:color w:val="000000"/>
                <w:sz w:val="20"/>
                <w:szCs w:val="20"/>
              </w:rPr>
              <w:t>Bristol-Myers Squibb Australia Pty Ltd</w:t>
            </w:r>
          </w:p>
        </w:tc>
      </w:tr>
      <w:tr w:rsidR="00C25C15"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lastRenderedPageBreak/>
              <w:t>10764M</w:t>
            </w:r>
          </w:p>
        </w:tc>
        <w:tc>
          <w:tcPr>
            <w:tcW w:w="1729"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4568C8">
              <w:rPr>
                <w:rFonts w:ascii="Calibri" w:eastAsia="Times New Roman" w:hAnsi="Calibri" w:cs="Times New Roman"/>
                <w:color w:val="000000"/>
                <w:sz w:val="20"/>
                <w:szCs w:val="20"/>
              </w:rPr>
              <w:t>Max amt: 360 mg</w:t>
            </w:r>
          </w:p>
        </w:tc>
        <w:tc>
          <w:tcPr>
            <w:tcW w:w="897"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jc w:val="right"/>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8</w:t>
            </w:r>
          </w:p>
        </w:tc>
        <w:tc>
          <w:tcPr>
            <w:tcW w:w="1466" w:type="dxa"/>
            <w:tcBorders>
              <w:top w:val="nil"/>
              <w:left w:val="nil"/>
              <w:bottom w:val="single" w:sz="4" w:space="0" w:color="auto"/>
              <w:right w:val="single" w:sz="4" w:space="0" w:color="auto"/>
            </w:tcBorders>
            <w:shd w:val="clear" w:color="auto" w:fill="auto"/>
            <w:noWrap/>
            <w:vAlign w:val="center"/>
          </w:tcPr>
          <w:p w:rsidR="00C25C15" w:rsidRDefault="00C25C15" w:rsidP="00C25C1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DPMA</w:t>
            </w:r>
          </w:p>
          <w:p w:rsidR="00C25C15" w:rsidRPr="001E3E0A" w:rsidRDefault="00C25C15" w:rsidP="00C25C15">
            <w:pPr>
              <w:spacing w:after="0"/>
              <w:rPr>
                <w:rFonts w:ascii="Calibri" w:eastAsia="Times New Roman" w:hAnsi="Calibri" w:cs="Times New Roman"/>
                <w:color w:val="000000"/>
                <w:sz w:val="20"/>
                <w:szCs w:val="20"/>
              </w:rPr>
            </w:pPr>
            <w:r w:rsidRPr="00C25C15">
              <w:rPr>
                <w:rFonts w:ascii="Calibri" w:eastAsia="Times New Roman" w:hAnsi="Calibri" w:cs="Times New Roman"/>
                <w:color w:val="000000"/>
                <w:sz w:val="20"/>
                <w:szCs w:val="20"/>
              </w:rPr>
              <w:t>$7560.13</w:t>
            </w:r>
          </w:p>
        </w:tc>
        <w:tc>
          <w:tcPr>
            <w:tcW w:w="3525"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Nivolumab, Injection concentrate for I.V. infusion 100 mg in 10 mL</w:t>
            </w:r>
          </w:p>
        </w:tc>
        <w:tc>
          <w:tcPr>
            <w:tcW w:w="5402"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 xml:space="preserve">Opdivo, </w:t>
            </w:r>
            <w:r w:rsidRPr="00CE191E">
              <w:rPr>
                <w:rFonts w:ascii="Calibri" w:eastAsia="Times New Roman" w:hAnsi="Calibri" w:cs="Times New Roman"/>
                <w:color w:val="000000"/>
                <w:sz w:val="20"/>
                <w:szCs w:val="20"/>
              </w:rPr>
              <w:t>Bristol-Myers Squibb Australia Pty Ltd</w:t>
            </w:r>
          </w:p>
        </w:tc>
      </w:tr>
      <w:tr w:rsidR="00C25C15"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10775D</w:t>
            </w:r>
          </w:p>
        </w:tc>
        <w:tc>
          <w:tcPr>
            <w:tcW w:w="1729"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27582C">
              <w:rPr>
                <w:rFonts w:ascii="Calibri" w:eastAsia="Times New Roman" w:hAnsi="Calibri" w:cs="Times New Roman"/>
                <w:color w:val="000000"/>
                <w:sz w:val="20"/>
                <w:szCs w:val="20"/>
              </w:rPr>
              <w:t>Max amt: 360 mg</w:t>
            </w:r>
          </w:p>
        </w:tc>
        <w:tc>
          <w:tcPr>
            <w:tcW w:w="897"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jc w:val="right"/>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8</w:t>
            </w:r>
          </w:p>
        </w:tc>
        <w:tc>
          <w:tcPr>
            <w:tcW w:w="1466" w:type="dxa"/>
            <w:tcBorders>
              <w:top w:val="nil"/>
              <w:left w:val="nil"/>
              <w:bottom w:val="single" w:sz="4" w:space="0" w:color="auto"/>
              <w:right w:val="single" w:sz="4" w:space="0" w:color="auto"/>
            </w:tcBorders>
            <w:shd w:val="clear" w:color="auto" w:fill="auto"/>
            <w:noWrap/>
          </w:tcPr>
          <w:p w:rsidR="00C25C15" w:rsidRDefault="00C25C15" w:rsidP="001E3E0A">
            <w:pPr>
              <w:spacing w:after="0"/>
              <w:rPr>
                <w:rFonts w:ascii="Calibri" w:eastAsia="Times New Roman" w:hAnsi="Calibri" w:cs="Times New Roman"/>
                <w:color w:val="000000"/>
                <w:sz w:val="20"/>
                <w:szCs w:val="20"/>
              </w:rPr>
            </w:pPr>
            <w:r w:rsidRPr="00C063F7">
              <w:rPr>
                <w:rFonts w:ascii="Calibri" w:eastAsia="Times New Roman" w:hAnsi="Calibri" w:cs="Times New Roman"/>
                <w:color w:val="000000"/>
                <w:sz w:val="20"/>
                <w:szCs w:val="20"/>
              </w:rPr>
              <w:t>DPMA</w:t>
            </w:r>
          </w:p>
          <w:p w:rsidR="00C25C15" w:rsidRPr="001E3E0A" w:rsidRDefault="00C25C15" w:rsidP="001E3E0A">
            <w:pPr>
              <w:spacing w:after="0"/>
              <w:rPr>
                <w:rFonts w:ascii="Calibri" w:eastAsia="Times New Roman" w:hAnsi="Calibri" w:cs="Times New Roman"/>
                <w:color w:val="000000"/>
                <w:sz w:val="20"/>
                <w:szCs w:val="20"/>
              </w:rPr>
            </w:pPr>
            <w:r w:rsidRPr="00C25C15">
              <w:rPr>
                <w:rFonts w:ascii="Calibri" w:eastAsia="Times New Roman" w:hAnsi="Calibri" w:cs="Times New Roman"/>
                <w:color w:val="000000"/>
                <w:sz w:val="20"/>
                <w:szCs w:val="20"/>
              </w:rPr>
              <w:t>$7703.43</w:t>
            </w:r>
          </w:p>
        </w:tc>
        <w:tc>
          <w:tcPr>
            <w:tcW w:w="3525"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Nivolumab, Injection concentrate for I.V. infusion 100 mg in 10 mL</w:t>
            </w:r>
          </w:p>
        </w:tc>
        <w:tc>
          <w:tcPr>
            <w:tcW w:w="5402"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 xml:space="preserve">Opdivo, </w:t>
            </w:r>
            <w:r w:rsidRPr="00CE191E">
              <w:rPr>
                <w:rFonts w:ascii="Calibri" w:eastAsia="Times New Roman" w:hAnsi="Calibri" w:cs="Times New Roman"/>
                <w:color w:val="000000"/>
                <w:sz w:val="20"/>
                <w:szCs w:val="20"/>
              </w:rPr>
              <w:t>Bristol-Myers Squibb Australia Pty Ltd</w:t>
            </w:r>
          </w:p>
        </w:tc>
      </w:tr>
      <w:tr w:rsidR="00C25C15"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10775D</w:t>
            </w:r>
          </w:p>
        </w:tc>
        <w:tc>
          <w:tcPr>
            <w:tcW w:w="1729"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27582C">
              <w:rPr>
                <w:rFonts w:ascii="Calibri" w:eastAsia="Times New Roman" w:hAnsi="Calibri" w:cs="Times New Roman"/>
                <w:color w:val="000000"/>
                <w:sz w:val="20"/>
                <w:szCs w:val="20"/>
              </w:rPr>
              <w:t>Max amt: 360 mg</w:t>
            </w:r>
          </w:p>
        </w:tc>
        <w:tc>
          <w:tcPr>
            <w:tcW w:w="897"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jc w:val="right"/>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8</w:t>
            </w:r>
          </w:p>
        </w:tc>
        <w:tc>
          <w:tcPr>
            <w:tcW w:w="1466" w:type="dxa"/>
            <w:tcBorders>
              <w:top w:val="nil"/>
              <w:left w:val="nil"/>
              <w:bottom w:val="single" w:sz="4" w:space="0" w:color="auto"/>
              <w:right w:val="single" w:sz="4" w:space="0" w:color="auto"/>
            </w:tcBorders>
            <w:shd w:val="clear" w:color="auto" w:fill="auto"/>
            <w:noWrap/>
          </w:tcPr>
          <w:p w:rsidR="00C25C15" w:rsidRDefault="00C25C15" w:rsidP="00C25C15">
            <w:pPr>
              <w:spacing w:after="0"/>
              <w:rPr>
                <w:rFonts w:ascii="Calibri" w:eastAsia="Times New Roman" w:hAnsi="Calibri" w:cs="Times New Roman"/>
                <w:color w:val="000000"/>
                <w:sz w:val="20"/>
                <w:szCs w:val="20"/>
              </w:rPr>
            </w:pPr>
            <w:r w:rsidRPr="00C063F7">
              <w:rPr>
                <w:rFonts w:ascii="Calibri" w:eastAsia="Times New Roman" w:hAnsi="Calibri" w:cs="Times New Roman"/>
                <w:color w:val="000000"/>
                <w:sz w:val="20"/>
                <w:szCs w:val="20"/>
              </w:rPr>
              <w:t>DPMA</w:t>
            </w:r>
          </w:p>
          <w:p w:rsidR="00C25C15" w:rsidRPr="001E3E0A" w:rsidRDefault="00C25C15" w:rsidP="001E3E0A">
            <w:pPr>
              <w:spacing w:after="0"/>
              <w:rPr>
                <w:rFonts w:ascii="Calibri" w:eastAsia="Times New Roman" w:hAnsi="Calibri" w:cs="Times New Roman"/>
                <w:color w:val="000000"/>
                <w:sz w:val="20"/>
                <w:szCs w:val="20"/>
              </w:rPr>
            </w:pPr>
            <w:r w:rsidRPr="00C25C15">
              <w:rPr>
                <w:rFonts w:ascii="Calibri" w:eastAsia="Times New Roman" w:hAnsi="Calibri" w:cs="Times New Roman"/>
                <w:color w:val="000000"/>
                <w:sz w:val="20"/>
                <w:szCs w:val="20"/>
              </w:rPr>
              <w:t>$7703.43</w:t>
            </w:r>
          </w:p>
        </w:tc>
        <w:tc>
          <w:tcPr>
            <w:tcW w:w="3525"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Nivolumab, Injection concentrate for I.V. infusion 40 mg in 4 mL</w:t>
            </w:r>
          </w:p>
        </w:tc>
        <w:tc>
          <w:tcPr>
            <w:tcW w:w="5402" w:type="dxa"/>
            <w:tcBorders>
              <w:top w:val="nil"/>
              <w:left w:val="nil"/>
              <w:bottom w:val="single" w:sz="4" w:space="0" w:color="auto"/>
              <w:right w:val="single" w:sz="4" w:space="0" w:color="auto"/>
            </w:tcBorders>
            <w:shd w:val="clear" w:color="auto" w:fill="auto"/>
            <w:noWrap/>
          </w:tcPr>
          <w:p w:rsidR="00C25C15" w:rsidRPr="001E3E0A" w:rsidRDefault="00C25C15" w:rsidP="001E3E0A">
            <w:pPr>
              <w:spacing w:after="0"/>
              <w:rPr>
                <w:rFonts w:ascii="Calibri" w:eastAsia="Times New Roman" w:hAnsi="Calibri" w:cs="Times New Roman"/>
                <w:color w:val="000000"/>
                <w:sz w:val="20"/>
                <w:szCs w:val="20"/>
              </w:rPr>
            </w:pPr>
            <w:r w:rsidRPr="00CE78EA">
              <w:rPr>
                <w:rFonts w:ascii="Calibri" w:eastAsia="Times New Roman" w:hAnsi="Calibri" w:cs="Times New Roman"/>
                <w:color w:val="000000"/>
                <w:sz w:val="20"/>
                <w:szCs w:val="20"/>
              </w:rPr>
              <w:t xml:space="preserve">Opdivo, </w:t>
            </w:r>
            <w:r w:rsidRPr="00CE191E">
              <w:rPr>
                <w:rFonts w:ascii="Calibri" w:eastAsia="Times New Roman" w:hAnsi="Calibri" w:cs="Times New Roman"/>
                <w:color w:val="000000"/>
                <w:sz w:val="20"/>
                <w:szCs w:val="20"/>
              </w:rPr>
              <w:t>Bristol-Myers Squibb Australia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10424P</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amt: 240 mg</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7</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DPMA $11,428.57</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Pembrolizumab, Powder for injection 50 mg</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Keytruda, Merck Sharp &amp; Dohme (Australia)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10424P</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amt: 240 mg</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7</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DPMA $11,428.57</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Pembrolizumab, Solution concentrate for I.V. infusion 100 mg in 4 mL</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Keytruda, Merck Sharp &amp; Dohme (Australia)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10436G</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amt: 240 mg</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7</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DPMA $11,233.83</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Pembrolizumab, Solution concentrate for I.V. infusion 100 mg in 4 mL</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Keytruda, Merck Sharp &amp; Dohme (Australia)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10436G</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amt: 240 mg</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7</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DPMA $11,233.83</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Pembrolizumab, Powder for injection 50 mg</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Keytruda, Merck Sharp &amp; Dohme (Australia)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10475H</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amt: 240 mg</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5</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DPMA $11,428.57</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Pembrolizumab, Powder for injection 50 mg</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Keytruda, Merck Sharp &amp; Dohme (Australia)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10475H</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amt: 240 mg</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5</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DPMA $11,428.57</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Pembrolizumab, Solution concentrate for I.V. infusion 100 mg in 4 mL</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Keytruda, Merck Sharp &amp; Dohme (Australia)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10493G</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amt: 240 mg</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5</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DPMA $11,233.83</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Pembrolizumab, Solution concentrate for I.V. infusion 100 mg in 4 mL</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Keytruda, Merck Sharp &amp; Dohme (Australia)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10493G</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amt: 240 mg</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5</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DPMA $11,233.83</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Pembrolizumab, Powder for injection 50 mg</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Keytruda, Merck Sharp &amp; Dohme (Australia)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10382K</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units: 30</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3</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DPMQ $8,761.69</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Trametinib, Tablet 2 mg</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Mekinist, Novartis Pharmaceuticals Australia Pty Limited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10385N</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units: 90</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5</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DPMQ $6,608.62</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Trametinib, Tablet 500 micrograms</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Mekinist, Novartis Pharmaceuticals Australia Pty Limited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10403M</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units: 90</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3</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DPMQ $6,608.62</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Trametinib, Tablet 500 micrograms</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Mekinist, Novartis Pharmaceuticals Australia Pty Limited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10405P</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units: 90</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5</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DPMQ $8,761.69</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Trametinib, Tablet 2 mg</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Mekinist, Novartis Pharmaceuticals Australia Pty Limited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lastRenderedPageBreak/>
              <w:t>11076Y</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units: 224</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3</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DPMQ: $8,187.59</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Vemurafenib, Tablet 240 mg</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Zelboraf, Roche Products Pty Ltd</w:t>
            </w:r>
          </w:p>
        </w:tc>
      </w:tr>
      <w:tr w:rsidR="001E3E0A" w:rsidRPr="001E3E0A" w:rsidTr="00957A5D">
        <w:trPr>
          <w:trHeight w:val="301"/>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11081F</w:t>
            </w:r>
          </w:p>
        </w:tc>
        <w:tc>
          <w:tcPr>
            <w:tcW w:w="1729"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Max units: 224</w:t>
            </w:r>
          </w:p>
        </w:tc>
        <w:tc>
          <w:tcPr>
            <w:tcW w:w="897"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jc w:val="right"/>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5</w:t>
            </w:r>
          </w:p>
        </w:tc>
        <w:tc>
          <w:tcPr>
            <w:tcW w:w="1466"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DPMQ: $8,187.59</w:t>
            </w:r>
          </w:p>
        </w:tc>
        <w:tc>
          <w:tcPr>
            <w:tcW w:w="3525"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Vemurafenib, Tablet 240 mg</w:t>
            </w:r>
          </w:p>
        </w:tc>
        <w:tc>
          <w:tcPr>
            <w:tcW w:w="5402" w:type="dxa"/>
            <w:tcBorders>
              <w:top w:val="nil"/>
              <w:left w:val="nil"/>
              <w:bottom w:val="single" w:sz="4" w:space="0" w:color="auto"/>
              <w:right w:val="single" w:sz="4" w:space="0" w:color="auto"/>
            </w:tcBorders>
            <w:shd w:val="clear" w:color="auto" w:fill="auto"/>
            <w:noWrap/>
            <w:vAlign w:val="center"/>
            <w:hideMark/>
          </w:tcPr>
          <w:p w:rsidR="001E3E0A" w:rsidRPr="001E3E0A" w:rsidRDefault="001E3E0A" w:rsidP="001E3E0A">
            <w:pPr>
              <w:spacing w:after="0"/>
              <w:rPr>
                <w:rFonts w:ascii="Calibri" w:eastAsia="Times New Roman" w:hAnsi="Calibri" w:cs="Times New Roman"/>
                <w:color w:val="000000"/>
                <w:sz w:val="20"/>
                <w:szCs w:val="20"/>
              </w:rPr>
            </w:pPr>
            <w:r w:rsidRPr="001E3E0A">
              <w:rPr>
                <w:rFonts w:ascii="Calibri" w:eastAsia="Times New Roman" w:hAnsi="Calibri" w:cs="Times New Roman"/>
                <w:color w:val="000000"/>
                <w:sz w:val="20"/>
                <w:szCs w:val="20"/>
              </w:rPr>
              <w:t>Zelboraf, Roche Products Pty Ltd</w:t>
            </w:r>
          </w:p>
        </w:tc>
      </w:tr>
    </w:tbl>
    <w:p w:rsidR="00B748C8" w:rsidRPr="00B748C8" w:rsidRDefault="00C851D7" w:rsidP="009A537C">
      <w:pPr>
        <w:rPr>
          <w:sz w:val="20"/>
          <w:szCs w:val="20"/>
        </w:rPr>
      </w:pPr>
      <w:r w:rsidRPr="00C851D7">
        <w:rPr>
          <w:sz w:val="20"/>
          <w:szCs w:val="20"/>
        </w:rPr>
        <w:t>Source: Schedule of Pharmaceutical Benefits, March 2018.</w:t>
      </w:r>
    </w:p>
    <w:p w:rsidR="00336816" w:rsidRDefault="00336816" w:rsidP="00B748C8">
      <w:pPr>
        <w:spacing w:after="0"/>
        <w:rPr>
          <w:sz w:val="28"/>
        </w:rPr>
      </w:pPr>
    </w:p>
    <w:p w:rsidR="004A635A" w:rsidRDefault="004A635A" w:rsidP="00B748C8">
      <w:pPr>
        <w:spacing w:after="0"/>
        <w:sectPr w:rsidR="004A635A" w:rsidSect="00957A5D">
          <w:pgSz w:w="16838" w:h="11906" w:orient="landscape"/>
          <w:pgMar w:top="1588" w:right="1644" w:bottom="1361" w:left="1644" w:header="709" w:footer="709" w:gutter="0"/>
          <w:cols w:space="708"/>
          <w:docGrid w:linePitch="360"/>
        </w:sectPr>
      </w:pPr>
    </w:p>
    <w:p w:rsidR="00957A5D" w:rsidRDefault="004A635A" w:rsidP="00B748C8">
      <w:pPr>
        <w:spacing w:after="0"/>
        <w:rPr>
          <w:sz w:val="28"/>
        </w:rPr>
      </w:pPr>
      <w:r>
        <w:rPr>
          <w:b/>
          <w:sz w:val="28"/>
        </w:rPr>
        <w:lastRenderedPageBreak/>
        <w:t>Appendix 2: Illustration of methods used to identify co-administration</w:t>
      </w:r>
    </w:p>
    <w:p w:rsidR="004A635A" w:rsidRDefault="004A635A" w:rsidP="00B748C8">
      <w:pPr>
        <w:spacing w:after="0"/>
        <w:rPr>
          <w:sz w:val="28"/>
        </w:rPr>
      </w:pPr>
    </w:p>
    <w:p w:rsidR="004A635A" w:rsidRPr="004A635A" w:rsidRDefault="004A635A" w:rsidP="004A635A">
      <w:pPr>
        <w:pStyle w:val="ListParagraph"/>
        <w:numPr>
          <w:ilvl w:val="0"/>
          <w:numId w:val="17"/>
        </w:numPr>
        <w:spacing w:after="0"/>
        <w:rPr>
          <w:b/>
        </w:rPr>
      </w:pPr>
      <w:r w:rsidRPr="004A635A">
        <w:rPr>
          <w:b/>
        </w:rPr>
        <w:t xml:space="preserve">Co-administered </w:t>
      </w:r>
      <w:r w:rsidR="0073674F">
        <w:rPr>
          <w:b/>
        </w:rPr>
        <w:t>of BRAF and MEK inhibitor drugs</w:t>
      </w:r>
    </w:p>
    <w:p w:rsidR="00256026" w:rsidRDefault="00256026" w:rsidP="004A635A">
      <w:pPr>
        <w:spacing w:after="0"/>
        <w:rPr>
          <w:sz w:val="28"/>
        </w:rPr>
      </w:pPr>
    </w:p>
    <w:p w:rsidR="00256026" w:rsidRDefault="00325E9E" w:rsidP="004A635A">
      <w:pPr>
        <w:spacing w:after="0"/>
      </w:pPr>
      <w:r>
        <w:t xml:space="preserve">The number of coverage days for a prescription for a BRAF inhibitor was assumed to be 28 days, which was the </w:t>
      </w:r>
      <w:r w:rsidR="00F96561">
        <w:t xml:space="preserve">median time between </w:t>
      </w:r>
      <w:r>
        <w:t>supplies</w:t>
      </w:r>
      <w:r w:rsidR="00F96561">
        <w:t xml:space="preserve"> for</w:t>
      </w:r>
      <w:r>
        <w:t xml:space="preserve"> the BRAF inhibitors</w:t>
      </w:r>
      <w:r w:rsidR="00F96561">
        <w:t xml:space="preserve">. </w:t>
      </w:r>
      <w:r w:rsidR="000153FC">
        <w:t>The BRAF inhibitors were</w:t>
      </w:r>
      <w:r>
        <w:t xml:space="preserve"> assumed to be co-administered </w:t>
      </w:r>
      <w:r w:rsidR="0073674F">
        <w:t xml:space="preserve">with a MEK inhibitor </w:t>
      </w:r>
      <w:r>
        <w:t xml:space="preserve">if </w:t>
      </w:r>
      <w:r w:rsidR="00E36588">
        <w:t xml:space="preserve">there was an overlap in the coverage days from </w:t>
      </w:r>
      <w:r w:rsidR="000153FC">
        <w:t>the date</w:t>
      </w:r>
      <w:r w:rsidR="00E36588">
        <w:t xml:space="preserve"> each BRAF drug was dispensed. The overlap period included a lookback period of 28 days and look forward period of 28 days. The method is illustrated in the following example.</w:t>
      </w:r>
    </w:p>
    <w:p w:rsidR="00E36588" w:rsidRDefault="00E36588" w:rsidP="004A635A">
      <w:pPr>
        <w:spacing w:after="0"/>
      </w:pPr>
    </w:p>
    <w:p w:rsidR="00256026" w:rsidRDefault="00704D7D" w:rsidP="004A635A">
      <w:pPr>
        <w:spacing w:after="0"/>
      </w:pPr>
      <w:r>
        <w:t>A patient’s first claim for a BRAF inhibitor is for dabrafenib. The patient receives a subsequent claim for trametinib</w:t>
      </w:r>
      <w:r w:rsidR="003F553F">
        <w:t xml:space="preserve"> which occurs within 28 days from</w:t>
      </w:r>
      <w:r>
        <w:t xml:space="preserve"> the date that the first claim for dabrafenib was dispensed. As the prescription coverage days for dabrafenib and trametinib overlap, these drugs are assumed to be co-administered. The patient has a second claim for dabrafenib. A look back period of 28 days is applied which detects an overlap between the first claim for trametinib and the second claim for dabrafenib. A look forward period identifies a second claim for trametinib which falls within the standard coverage days for the second prescription for dabrafenib. This is </w:t>
      </w:r>
      <w:r w:rsidR="003F553F">
        <w:t>classified</w:t>
      </w:r>
      <w:r>
        <w:t xml:space="preserve"> as an ongoing co-administration of dabrafenib and trametinib for the patient.</w:t>
      </w:r>
    </w:p>
    <w:p w:rsidR="003E428D" w:rsidRDefault="003E428D" w:rsidP="004A635A">
      <w:pPr>
        <w:spacing w:after="0"/>
      </w:pPr>
    </w:p>
    <w:p w:rsidR="003E428D" w:rsidRPr="00704D7D" w:rsidRDefault="003E428D" w:rsidP="004A635A">
      <w:pPr>
        <w:spacing w:after="0"/>
      </w:pPr>
      <w:r>
        <w:rPr>
          <w:noProof/>
        </w:rPr>
        <w:drawing>
          <wp:inline distT="0" distB="0" distL="0" distR="0" wp14:anchorId="05B63B6F" wp14:editId="3B12BEE2">
            <wp:extent cx="6572250" cy="2190750"/>
            <wp:effectExtent l="0" t="0" r="0" b="0"/>
            <wp:docPr id="6" name="Picture 6" descr="Figure showing method to identify coadministration of BRAF and MEK inihibitors" title="Diagram coadministration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572250" cy="2190750"/>
                    </a:xfrm>
                    <a:prstGeom prst="rect">
                      <a:avLst/>
                    </a:prstGeom>
                    <a:noFill/>
                    <a:ln>
                      <a:noFill/>
                    </a:ln>
                  </pic:spPr>
                </pic:pic>
              </a:graphicData>
            </a:graphic>
          </wp:inline>
        </w:drawing>
      </w:r>
    </w:p>
    <w:p w:rsidR="004A635A" w:rsidRDefault="004A635A" w:rsidP="00B748C8">
      <w:pPr>
        <w:spacing w:after="0"/>
      </w:pPr>
    </w:p>
    <w:p w:rsidR="00256026" w:rsidRPr="004A635A" w:rsidRDefault="00256026" w:rsidP="00256026">
      <w:pPr>
        <w:pStyle w:val="ListParagraph"/>
        <w:numPr>
          <w:ilvl w:val="0"/>
          <w:numId w:val="17"/>
        </w:numPr>
        <w:spacing w:after="0"/>
        <w:rPr>
          <w:b/>
        </w:rPr>
      </w:pPr>
      <w:r>
        <w:rPr>
          <w:b/>
        </w:rPr>
        <w:lastRenderedPageBreak/>
        <w:t>Investigation of co-administration of immunotherapy</w:t>
      </w:r>
    </w:p>
    <w:p w:rsidR="00256026" w:rsidRDefault="00256026" w:rsidP="00B748C8">
      <w:pPr>
        <w:spacing w:after="0"/>
      </w:pPr>
    </w:p>
    <w:p w:rsidR="007D39A4" w:rsidRDefault="00981DA5" w:rsidP="00B748C8">
      <w:pPr>
        <w:spacing w:after="0"/>
      </w:pPr>
      <w:r>
        <w:t>The median time between supplies was 21 days for ipilimumab and pembrolizumab and 14 days for nivolumab. This was consistent with the recommended time between administrations in the product information for each drug.</w:t>
      </w:r>
      <w:r w:rsidR="005658F1">
        <w:t xml:space="preserve"> </w:t>
      </w:r>
      <w:r w:rsidR="00894C44">
        <w:t>It was</w:t>
      </w:r>
      <w:r w:rsidR="007D39A4">
        <w:t xml:space="preserve"> assumed that a typical prescription for an immunotherapy covers a period of 21 days of treatment from the time a prescription is dispensed. </w:t>
      </w:r>
      <w:r w:rsidR="00745CCB">
        <w:t xml:space="preserve">For each claim for an immunotherapy, a lookback and look forward period of 21 days was done from the date of dispensing. If another immunotherapy was dispensed within the lookback or look forward periods, it was identified as a potential co-administered drug. </w:t>
      </w:r>
      <w:r w:rsidR="00D134C1">
        <w:t xml:space="preserve">Immunotherapies were only </w:t>
      </w:r>
      <w:r w:rsidR="004B4864">
        <w:t>considered</w:t>
      </w:r>
      <w:r w:rsidR="00D134C1">
        <w:t xml:space="preserve"> to be co-administered if there was more than one instance where each drug was dispensed within the coverage days of the other drug. That is, if there was an established pattern of co-prescribing. </w:t>
      </w:r>
    </w:p>
    <w:p w:rsidR="007D39A4" w:rsidRDefault="007D39A4" w:rsidP="00B748C8">
      <w:pPr>
        <w:spacing w:after="0"/>
      </w:pPr>
    </w:p>
    <w:p w:rsidR="00F72B1B" w:rsidRDefault="0075594C" w:rsidP="00B748C8">
      <w:pPr>
        <w:spacing w:after="0"/>
      </w:pPr>
      <w:r>
        <w:t xml:space="preserve">In the following example, a patient initiates on ipilimumab as their first PBS subsidised immunotherapy. The patient gets a supply of nivolumab </w:t>
      </w:r>
      <w:r w:rsidR="007D39A4">
        <w:t xml:space="preserve">within 21 days of their first claim for </w:t>
      </w:r>
      <w:r>
        <w:t>ipilimumab</w:t>
      </w:r>
      <w:r w:rsidR="007D39A4">
        <w:t xml:space="preserve">. </w:t>
      </w:r>
      <w:r>
        <w:t xml:space="preserve"> </w:t>
      </w:r>
      <w:r w:rsidR="007D39A4">
        <w:t>This could represent a switch in therapy r</w:t>
      </w:r>
      <w:r w:rsidR="00176349">
        <w:t xml:space="preserve">ather than a co-supply, so the first claim for nivolumab is </w:t>
      </w:r>
      <w:r w:rsidR="007D39A4">
        <w:t xml:space="preserve">not counted as potential co-administration. The patient gets further supplies of ipilimumab and nivolumab within the </w:t>
      </w:r>
      <w:r w:rsidR="004B4864">
        <w:t xml:space="preserve">expected </w:t>
      </w:r>
      <w:r w:rsidR="007D39A4">
        <w:t xml:space="preserve">coverage days for </w:t>
      </w:r>
      <w:r w:rsidR="004B4864">
        <w:t xml:space="preserve">a prescription for </w:t>
      </w:r>
      <w:r w:rsidR="007D39A4">
        <w:t xml:space="preserve">each drug. This is assumed to </w:t>
      </w:r>
      <w:r w:rsidR="00176349">
        <w:t xml:space="preserve">represent </w:t>
      </w:r>
      <w:r w:rsidR="007D39A4">
        <w:t xml:space="preserve">co-administration </w:t>
      </w:r>
      <w:r w:rsidR="00176349">
        <w:t xml:space="preserve">of the immunotherapies </w:t>
      </w:r>
      <w:r w:rsidR="007D39A4">
        <w:t xml:space="preserve">starting </w:t>
      </w:r>
      <w:r w:rsidR="00176349">
        <w:t>from the date</w:t>
      </w:r>
      <w:r w:rsidR="003B77E0">
        <w:t xml:space="preserve"> of the supply for the second claim for nivolumab. </w:t>
      </w:r>
    </w:p>
    <w:p w:rsidR="00BC5F3F" w:rsidRDefault="00BC5F3F" w:rsidP="00B748C8">
      <w:pPr>
        <w:spacing w:after="0"/>
      </w:pPr>
    </w:p>
    <w:p w:rsidR="00BC5F3F" w:rsidRDefault="00BC5F3F" w:rsidP="00B748C8">
      <w:pPr>
        <w:spacing w:after="0"/>
      </w:pPr>
      <w:r>
        <w:rPr>
          <w:noProof/>
        </w:rPr>
        <w:drawing>
          <wp:inline distT="0" distB="0" distL="0" distR="0">
            <wp:extent cx="6448425" cy="1781175"/>
            <wp:effectExtent l="0" t="0" r="9525" b="9525"/>
            <wp:docPr id="7" name="Picture 7" descr="Figure showing method to find coadministration of immunotherapies." title="Diagram coadministration of immun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448425" cy="1781175"/>
                    </a:xfrm>
                    <a:prstGeom prst="rect">
                      <a:avLst/>
                    </a:prstGeom>
                    <a:noFill/>
                    <a:ln>
                      <a:noFill/>
                    </a:ln>
                  </pic:spPr>
                </pic:pic>
              </a:graphicData>
            </a:graphic>
          </wp:inline>
        </w:drawing>
      </w:r>
    </w:p>
    <w:p w:rsidR="00A16D8E" w:rsidRDefault="00A16D8E" w:rsidP="00BC5F3F">
      <w:pPr>
        <w:spacing w:after="0"/>
      </w:pPr>
    </w:p>
    <w:p w:rsidR="004A635A" w:rsidRPr="0033504C" w:rsidRDefault="004A635A" w:rsidP="00B748C8">
      <w:pPr>
        <w:spacing w:after="0"/>
      </w:pPr>
    </w:p>
    <w:sectPr w:rsidR="004A635A" w:rsidRPr="0033504C" w:rsidSect="00957A5D">
      <w:pgSz w:w="16838" w:h="11906" w:orient="landscape"/>
      <w:pgMar w:top="1588" w:right="1644" w:bottom="1361"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958" w:rsidRDefault="00944958" w:rsidP="00A35800">
      <w:r>
        <w:separator/>
      </w:r>
    </w:p>
  </w:endnote>
  <w:endnote w:type="continuationSeparator" w:id="0">
    <w:p w:rsidR="00944958" w:rsidRDefault="00944958"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0"/>
    <w:family w:val="auto"/>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58" w:rsidRDefault="00944958"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44958" w:rsidRDefault="00944958"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178723"/>
      <w:docPartObj>
        <w:docPartGallery w:val="Page Numbers (Top of Page)"/>
        <w:docPartUnique/>
      </w:docPartObj>
    </w:sdtPr>
    <w:sdtEndPr/>
    <w:sdtContent>
      <w:p w:rsidR="00944958" w:rsidRPr="000E72C6" w:rsidRDefault="00944958" w:rsidP="003317D3">
        <w:pPr>
          <w:pStyle w:val="Footer"/>
          <w:jc w:val="center"/>
          <w:rPr>
            <w:i/>
            <w:sz w:val="20"/>
          </w:rPr>
        </w:pPr>
        <w:r>
          <w:rPr>
            <w:i/>
            <w:sz w:val="20"/>
          </w:rPr>
          <w:t>Public Release Document, May 2018 DUSC Meeting</w:t>
        </w:r>
      </w:p>
      <w:p w:rsidR="00944958" w:rsidRDefault="00944958" w:rsidP="00EF6D89">
        <w:pPr>
          <w:pStyle w:val="Footer"/>
          <w:jc w:val="cente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8A587A">
          <w:rPr>
            <w:bCs/>
            <w:i/>
            <w:noProof/>
            <w:sz w:val="20"/>
          </w:rPr>
          <w:t>43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8A587A">
          <w:rPr>
            <w:bCs/>
            <w:i/>
            <w:noProof/>
            <w:sz w:val="20"/>
          </w:rPr>
          <w:t>43</w:t>
        </w:r>
        <w:r w:rsidRPr="00DD188C">
          <w:rPr>
            <w:bCs/>
            <w:i/>
            <w:sz w:val="20"/>
          </w:rPr>
          <w:fldChar w:fldCharType="end"/>
        </w:r>
      </w:p>
    </w:sdtContent>
  </w:sdt>
  <w:p w:rsidR="00944958" w:rsidRDefault="009449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58" w:rsidRDefault="00944958" w:rsidP="007A5733">
    <w:pPr>
      <w:pStyle w:val="Footer"/>
      <w:jc w:val="center"/>
      <w:rPr>
        <w:rStyle w:val="PageNumber"/>
      </w:rPr>
    </w:pPr>
    <w:r>
      <w:rPr>
        <w:rStyle w:val="PageNumber"/>
      </w:rPr>
      <w:t>Committee-in-Confidence</w:t>
    </w:r>
  </w:p>
  <w:p w:rsidR="00944958" w:rsidRDefault="00944958"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958" w:rsidRDefault="00944958" w:rsidP="00A35800">
      <w:r>
        <w:separator/>
      </w:r>
    </w:p>
  </w:footnote>
  <w:footnote w:type="continuationSeparator" w:id="0">
    <w:p w:rsidR="00944958" w:rsidRDefault="00944958" w:rsidP="00A35800">
      <w:r>
        <w:continuationSeparator/>
      </w:r>
    </w:p>
  </w:footnote>
  <w:footnote w:id="1">
    <w:p w:rsidR="00944958" w:rsidRDefault="00944958">
      <w:pPr>
        <w:pStyle w:val="FootnoteText"/>
      </w:pPr>
      <w:r>
        <w:rPr>
          <w:rStyle w:val="FootnoteReference"/>
        </w:rPr>
        <w:footnoteRef/>
      </w:r>
      <w:r>
        <w:t xml:space="preserve"> Cancer Council of Australia. Accessed on 16 April 2018 at: </w:t>
      </w:r>
      <w:r w:rsidRPr="00193169">
        <w:t>https://wiki.cancer.org.au</w:t>
      </w:r>
    </w:p>
  </w:footnote>
  <w:footnote w:id="2">
    <w:p w:rsidR="00944958" w:rsidRDefault="00944958">
      <w:pPr>
        <w:pStyle w:val="FootnoteText"/>
      </w:pPr>
      <w:r>
        <w:rPr>
          <w:rStyle w:val="FootnoteReference"/>
        </w:rPr>
        <w:footnoteRef/>
      </w:r>
      <w:r>
        <w:t xml:space="preserve"> </w:t>
      </w:r>
      <w:hyperlink r:id="rId1" w:history="1">
        <w:r w:rsidRPr="00B23793">
          <w:rPr>
            <w:rStyle w:val="Hyperlink"/>
            <w:rFonts w:cs="Arial"/>
            <w:shd w:val="clear" w:color="auto" w:fill="FFFFFF"/>
          </w:rPr>
          <w:t>Public Summary Document, ipilimumab, November 2012 PBAC meeting</w:t>
        </w:r>
      </w:hyperlink>
    </w:p>
  </w:footnote>
  <w:footnote w:id="3">
    <w:p w:rsidR="00944958" w:rsidRDefault="00944958">
      <w:pPr>
        <w:pStyle w:val="FootnoteText"/>
      </w:pPr>
      <w:r>
        <w:rPr>
          <w:rStyle w:val="FootnoteReference"/>
        </w:rPr>
        <w:footnoteRef/>
      </w:r>
      <w:r>
        <w:t xml:space="preserve"> </w:t>
      </w:r>
      <w:hyperlink r:id="rId2" w:history="1">
        <w:r w:rsidRPr="0063782D">
          <w:rPr>
            <w:rStyle w:val="Hyperlink"/>
          </w:rPr>
          <w:t>Publi</w:t>
        </w:r>
        <w:r>
          <w:rPr>
            <w:rStyle w:val="Hyperlink"/>
          </w:rPr>
          <w:t>c Summary Document for the August</w:t>
        </w:r>
        <w:r w:rsidRPr="0063782D">
          <w:rPr>
            <w:rStyle w:val="Hyperlink"/>
          </w:rPr>
          <w:t xml:space="preserve"> 2013 MSAC meeting</w:t>
        </w:r>
      </w:hyperlink>
      <w:r>
        <w:t>.</w:t>
      </w:r>
    </w:p>
  </w:footnote>
  <w:footnote w:id="4">
    <w:p w:rsidR="00944958" w:rsidRDefault="00944958">
      <w:pPr>
        <w:pStyle w:val="FootnoteText"/>
      </w:pPr>
      <w:r>
        <w:rPr>
          <w:rStyle w:val="FootnoteReference"/>
        </w:rPr>
        <w:footnoteRef/>
      </w:r>
      <w:r>
        <w:t xml:space="preserve"> </w:t>
      </w:r>
      <w:hyperlink r:id="rId3" w:history="1">
        <w:r w:rsidRPr="0056440A">
          <w:rPr>
            <w:rStyle w:val="Hyperlink"/>
          </w:rPr>
          <w:t>Public Summary Document for the July 2012 PBAC meeting</w:t>
        </w:r>
      </w:hyperlink>
      <w:r>
        <w:t>.</w:t>
      </w:r>
    </w:p>
  </w:footnote>
  <w:footnote w:id="5">
    <w:p w:rsidR="00944958" w:rsidRDefault="00944958">
      <w:pPr>
        <w:pStyle w:val="FootnoteText"/>
      </w:pPr>
      <w:r>
        <w:rPr>
          <w:rStyle w:val="FootnoteReference"/>
        </w:rPr>
        <w:footnoteRef/>
      </w:r>
      <w:r>
        <w:t xml:space="preserve"> </w:t>
      </w:r>
      <w:hyperlink r:id="rId4" w:history="1">
        <w:r w:rsidRPr="0063782D">
          <w:rPr>
            <w:rStyle w:val="Hyperlink"/>
          </w:rPr>
          <w:t>Publi</w:t>
        </w:r>
        <w:r>
          <w:rPr>
            <w:rStyle w:val="Hyperlink"/>
          </w:rPr>
          <w:t>c Summary Document for the August</w:t>
        </w:r>
        <w:r w:rsidRPr="0063782D">
          <w:rPr>
            <w:rStyle w:val="Hyperlink"/>
          </w:rPr>
          <w:t xml:space="preserve"> 2013 MSAC meeting</w:t>
        </w:r>
      </w:hyperlink>
      <w:r>
        <w:t>.</w:t>
      </w:r>
    </w:p>
  </w:footnote>
  <w:footnote w:id="6">
    <w:p w:rsidR="00944958" w:rsidRDefault="00944958">
      <w:pPr>
        <w:pStyle w:val="FootnoteText"/>
      </w:pPr>
      <w:r>
        <w:rPr>
          <w:rStyle w:val="FootnoteReference"/>
        </w:rPr>
        <w:footnoteRef/>
      </w:r>
      <w:r>
        <w:t xml:space="preserve"> </w:t>
      </w:r>
      <w:hyperlink r:id="rId5" w:history="1">
        <w:r w:rsidRPr="006338A7">
          <w:rPr>
            <w:rStyle w:val="Hyperlink"/>
            <w:rFonts w:ascii="Calibri" w:eastAsia="MS Mincho" w:hAnsi="Calibri" w:cs="Times New Roman"/>
          </w:rPr>
          <w:t>Public Summary Document, pembrolizumab, March 2015</w:t>
        </w:r>
      </w:hyperlink>
      <w:r>
        <w:rPr>
          <w:rFonts w:ascii="Calibri" w:eastAsia="MS Mincho" w:hAnsi="Calibri" w:cs="Times New Roman"/>
        </w:rPr>
        <w:t>, p29</w:t>
      </w:r>
    </w:p>
  </w:footnote>
  <w:footnote w:id="7">
    <w:p w:rsidR="00944958" w:rsidRDefault="00944958" w:rsidP="000D6D11">
      <w:pPr>
        <w:pStyle w:val="FootnoteText"/>
      </w:pPr>
      <w:r>
        <w:rPr>
          <w:rStyle w:val="FootnoteReference"/>
        </w:rPr>
        <w:footnoteRef/>
      </w:r>
      <w:r>
        <w:t xml:space="preserve"> </w:t>
      </w:r>
      <w:hyperlink r:id="rId6" w:history="1">
        <w:r w:rsidRPr="0063782D">
          <w:rPr>
            <w:rStyle w:val="Hyperlink"/>
          </w:rPr>
          <w:t>Publi</w:t>
        </w:r>
        <w:r>
          <w:rPr>
            <w:rStyle w:val="Hyperlink"/>
          </w:rPr>
          <w:t>c Summary Document for the August</w:t>
        </w:r>
        <w:r w:rsidRPr="0063782D">
          <w:rPr>
            <w:rStyle w:val="Hyperlink"/>
          </w:rPr>
          <w:t xml:space="preserve"> 2013 MSAC meeting</w:t>
        </w:r>
      </w:hyperlink>
      <w:r>
        <w:t>.</w:t>
      </w:r>
    </w:p>
  </w:footnote>
  <w:footnote w:id="8">
    <w:p w:rsidR="00944958" w:rsidRDefault="00944958" w:rsidP="006D6C24">
      <w:pPr>
        <w:pStyle w:val="FootnoteText"/>
      </w:pPr>
      <w:r>
        <w:rPr>
          <w:rStyle w:val="FootnoteReference"/>
        </w:rPr>
        <w:footnoteRef/>
      </w:r>
      <w:r>
        <w:t xml:space="preserve"> </w:t>
      </w:r>
      <w:hyperlink r:id="rId7" w:history="1">
        <w:r w:rsidRPr="009F19A7">
          <w:rPr>
            <w:rStyle w:val="Hyperlink"/>
            <w:rFonts w:ascii="Calibri" w:hAnsi="Calibri"/>
          </w:rPr>
          <w:t>Public Release Document, October 2015 DUSC review</w:t>
        </w:r>
      </w:hyperlink>
      <w:r>
        <w:rPr>
          <w:rFonts w:ascii="Calibri" w:hAnsi="Calibri"/>
          <w:color w:val="000000"/>
        </w:rPr>
        <w:t>, p16.</w:t>
      </w:r>
    </w:p>
  </w:footnote>
  <w:footnote w:id="9">
    <w:p w:rsidR="00944958" w:rsidRDefault="00944958" w:rsidP="006D6C24">
      <w:pPr>
        <w:pStyle w:val="FootnoteText"/>
      </w:pPr>
      <w:r>
        <w:rPr>
          <w:rStyle w:val="FootnoteReference"/>
        </w:rPr>
        <w:footnoteRef/>
      </w:r>
      <w:r>
        <w:t xml:space="preserve"> </w:t>
      </w:r>
      <w:hyperlink r:id="rId8" w:history="1">
        <w:r w:rsidRPr="00052BB3">
          <w:rPr>
            <w:rStyle w:val="Hyperlink"/>
            <w:rFonts w:ascii="Calibri" w:hAnsi="Calibri"/>
          </w:rPr>
          <w:t>Public Summary Document for the July 2016 meeting</w:t>
        </w:r>
      </w:hyperlink>
    </w:p>
  </w:footnote>
  <w:footnote w:id="10">
    <w:p w:rsidR="00944958" w:rsidRDefault="00944958" w:rsidP="006D6C24">
      <w:pPr>
        <w:pStyle w:val="FootnoteText"/>
      </w:pPr>
      <w:r>
        <w:rPr>
          <w:rStyle w:val="FootnoteReference"/>
        </w:rPr>
        <w:footnoteRef/>
      </w:r>
      <w:r>
        <w:t xml:space="preserve"> </w:t>
      </w:r>
      <w:hyperlink r:id="rId9" w:history="1">
        <w:r w:rsidRPr="0073398B">
          <w:rPr>
            <w:rStyle w:val="Hyperlink"/>
          </w:rPr>
          <w:t>Public Release Document. Ipilimumab and dabrafenib: Predicted vs. actual analysis. October 2015</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36E4"/>
    <w:multiLevelType w:val="hybridMultilevel"/>
    <w:tmpl w:val="E172737C"/>
    <w:lvl w:ilvl="0" w:tplc="C14AE0FC">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7584C5F"/>
    <w:multiLevelType w:val="hybridMultilevel"/>
    <w:tmpl w:val="CC10FC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056285F"/>
    <w:multiLevelType w:val="hybridMultilevel"/>
    <w:tmpl w:val="22BCE6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1A72EB6"/>
    <w:multiLevelType w:val="hybridMultilevel"/>
    <w:tmpl w:val="90D82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72D35B2"/>
    <w:multiLevelType w:val="hybridMultilevel"/>
    <w:tmpl w:val="579A0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8C00823"/>
    <w:multiLevelType w:val="hybridMultilevel"/>
    <w:tmpl w:val="0E8A32BA"/>
    <w:lvl w:ilvl="0" w:tplc="1AB87698">
      <w:start w:val="1"/>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ACF108D"/>
    <w:multiLevelType w:val="hybridMultilevel"/>
    <w:tmpl w:val="6CAED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C7D6CDD"/>
    <w:multiLevelType w:val="multilevel"/>
    <w:tmpl w:val="327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2828A6"/>
    <w:multiLevelType w:val="hybridMultilevel"/>
    <w:tmpl w:val="228A94FC"/>
    <w:lvl w:ilvl="0" w:tplc="C14AE0FC">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B403CAC"/>
    <w:multiLevelType w:val="hybridMultilevel"/>
    <w:tmpl w:val="85BCE1B8"/>
    <w:lvl w:ilvl="0" w:tplc="C14AE0FC">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BA368A0"/>
    <w:multiLevelType w:val="hybridMultilevel"/>
    <w:tmpl w:val="0FC43D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04A5D85"/>
    <w:multiLevelType w:val="hybridMultilevel"/>
    <w:tmpl w:val="4D2CFDFE"/>
    <w:lvl w:ilvl="0" w:tplc="693211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A900734"/>
    <w:multiLevelType w:val="hybridMultilevel"/>
    <w:tmpl w:val="4D2CFDFE"/>
    <w:lvl w:ilvl="0" w:tplc="693211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64456D1A"/>
    <w:multiLevelType w:val="hybridMultilevel"/>
    <w:tmpl w:val="A46A29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6C507F67"/>
    <w:multiLevelType w:val="hybridMultilevel"/>
    <w:tmpl w:val="3B00DF12"/>
    <w:lvl w:ilvl="0" w:tplc="2FE864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6CC64549"/>
    <w:multiLevelType w:val="hybridMultilevel"/>
    <w:tmpl w:val="E520BB8A"/>
    <w:lvl w:ilvl="0" w:tplc="3820A720">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2880EB7"/>
    <w:multiLevelType w:val="hybridMultilevel"/>
    <w:tmpl w:val="7D164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84D033C"/>
    <w:multiLevelType w:val="multilevel"/>
    <w:tmpl w:val="A1C23C80"/>
    <w:lvl w:ilvl="0">
      <w:start w:val="1"/>
      <w:numFmt w:val="decimal"/>
      <w:pStyle w:val="PBACHeading1"/>
      <w:lvlText w:val="%1"/>
      <w:lvlJc w:val="left"/>
      <w:pPr>
        <w:ind w:left="720" w:hanging="720"/>
      </w:pPr>
      <w:rPr>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9E33B70"/>
    <w:multiLevelType w:val="hybridMultilevel"/>
    <w:tmpl w:val="F44E1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7BC805E4"/>
    <w:multiLevelType w:val="hybridMultilevel"/>
    <w:tmpl w:val="4F388E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CDE32E8"/>
    <w:multiLevelType w:val="hybridMultilevel"/>
    <w:tmpl w:val="43B4E3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7D586D1C"/>
    <w:multiLevelType w:val="hybridMultilevel"/>
    <w:tmpl w:val="0E1248B2"/>
    <w:lvl w:ilvl="0" w:tplc="601EB6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5"/>
  </w:num>
  <w:num w:numId="4">
    <w:abstractNumId w:val="8"/>
  </w:num>
  <w:num w:numId="5">
    <w:abstractNumId w:val="4"/>
  </w:num>
  <w:num w:numId="6">
    <w:abstractNumId w:val="1"/>
  </w:num>
  <w:num w:numId="7">
    <w:abstractNumId w:val="12"/>
  </w:num>
  <w:num w:numId="8">
    <w:abstractNumId w:val="20"/>
  </w:num>
  <w:num w:numId="9">
    <w:abstractNumId w:val="7"/>
  </w:num>
  <w:num w:numId="10">
    <w:abstractNumId w:val="18"/>
  </w:num>
  <w:num w:numId="11">
    <w:abstractNumId w:val="23"/>
  </w:num>
  <w:num w:numId="12">
    <w:abstractNumId w:val="21"/>
  </w:num>
  <w:num w:numId="13">
    <w:abstractNumId w:val="11"/>
  </w:num>
  <w:num w:numId="14">
    <w:abstractNumId w:val="14"/>
  </w:num>
  <w:num w:numId="15">
    <w:abstractNumId w:val="16"/>
  </w:num>
  <w:num w:numId="16">
    <w:abstractNumId w:val="10"/>
  </w:num>
  <w:num w:numId="17">
    <w:abstractNumId w:val="17"/>
  </w:num>
  <w:num w:numId="18">
    <w:abstractNumId w:val="6"/>
  </w:num>
  <w:num w:numId="19">
    <w:abstractNumId w:val="2"/>
  </w:num>
  <w:num w:numId="20">
    <w:abstractNumId w:val="22"/>
  </w:num>
  <w:num w:numId="21">
    <w:abstractNumId w:val="3"/>
  </w:num>
  <w:num w:numId="22">
    <w:abstractNumId w:val="0"/>
  </w:num>
  <w:num w:numId="23">
    <w:abstractNumId w:val="24"/>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56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0545"/>
    <w:rsid w:val="0000365B"/>
    <w:rsid w:val="0000458A"/>
    <w:rsid w:val="00007D48"/>
    <w:rsid w:val="00007E85"/>
    <w:rsid w:val="00010387"/>
    <w:rsid w:val="00010473"/>
    <w:rsid w:val="000107E1"/>
    <w:rsid w:val="00013465"/>
    <w:rsid w:val="000142C6"/>
    <w:rsid w:val="00014EF1"/>
    <w:rsid w:val="000153FC"/>
    <w:rsid w:val="00016D15"/>
    <w:rsid w:val="000170EA"/>
    <w:rsid w:val="00017517"/>
    <w:rsid w:val="0001799E"/>
    <w:rsid w:val="00017EFB"/>
    <w:rsid w:val="0002091E"/>
    <w:rsid w:val="00021522"/>
    <w:rsid w:val="00022558"/>
    <w:rsid w:val="000226B3"/>
    <w:rsid w:val="00023AF4"/>
    <w:rsid w:val="00023BBD"/>
    <w:rsid w:val="00023D0E"/>
    <w:rsid w:val="00024549"/>
    <w:rsid w:val="00027EC3"/>
    <w:rsid w:val="00030D64"/>
    <w:rsid w:val="00031F20"/>
    <w:rsid w:val="000327D6"/>
    <w:rsid w:val="00032992"/>
    <w:rsid w:val="00032B04"/>
    <w:rsid w:val="00032B13"/>
    <w:rsid w:val="00033882"/>
    <w:rsid w:val="00033922"/>
    <w:rsid w:val="00033E19"/>
    <w:rsid w:val="00034BA0"/>
    <w:rsid w:val="00034F96"/>
    <w:rsid w:val="00035017"/>
    <w:rsid w:val="00037305"/>
    <w:rsid w:val="0003777D"/>
    <w:rsid w:val="000405EF"/>
    <w:rsid w:val="00040786"/>
    <w:rsid w:val="00040850"/>
    <w:rsid w:val="00040BCD"/>
    <w:rsid w:val="00041AC1"/>
    <w:rsid w:val="000424EF"/>
    <w:rsid w:val="00042D85"/>
    <w:rsid w:val="000431D6"/>
    <w:rsid w:val="00043910"/>
    <w:rsid w:val="00043BB5"/>
    <w:rsid w:val="00043E7B"/>
    <w:rsid w:val="0004496F"/>
    <w:rsid w:val="00045E87"/>
    <w:rsid w:val="0004662E"/>
    <w:rsid w:val="00046EA2"/>
    <w:rsid w:val="00047458"/>
    <w:rsid w:val="00047E42"/>
    <w:rsid w:val="0005046E"/>
    <w:rsid w:val="000505D6"/>
    <w:rsid w:val="000521B0"/>
    <w:rsid w:val="00052779"/>
    <w:rsid w:val="00053552"/>
    <w:rsid w:val="00053884"/>
    <w:rsid w:val="000542E4"/>
    <w:rsid w:val="000544B6"/>
    <w:rsid w:val="00054EFA"/>
    <w:rsid w:val="00055819"/>
    <w:rsid w:val="00055CF2"/>
    <w:rsid w:val="00055DA3"/>
    <w:rsid w:val="000576CB"/>
    <w:rsid w:val="00057739"/>
    <w:rsid w:val="00057EDB"/>
    <w:rsid w:val="000600E9"/>
    <w:rsid w:val="0006046F"/>
    <w:rsid w:val="000604AF"/>
    <w:rsid w:val="00060E5A"/>
    <w:rsid w:val="0006145A"/>
    <w:rsid w:val="000629E8"/>
    <w:rsid w:val="00062B96"/>
    <w:rsid w:val="00063804"/>
    <w:rsid w:val="0006395E"/>
    <w:rsid w:val="00063FA5"/>
    <w:rsid w:val="00064D95"/>
    <w:rsid w:val="000650ED"/>
    <w:rsid w:val="00065CC8"/>
    <w:rsid w:val="0006715F"/>
    <w:rsid w:val="00067C61"/>
    <w:rsid w:val="00067FA0"/>
    <w:rsid w:val="000700ED"/>
    <w:rsid w:val="000706C3"/>
    <w:rsid w:val="00070C7B"/>
    <w:rsid w:val="00070D66"/>
    <w:rsid w:val="00070F7F"/>
    <w:rsid w:val="000711EA"/>
    <w:rsid w:val="00071E89"/>
    <w:rsid w:val="00072C99"/>
    <w:rsid w:val="000732F7"/>
    <w:rsid w:val="0007345C"/>
    <w:rsid w:val="00073A57"/>
    <w:rsid w:val="00073A87"/>
    <w:rsid w:val="00076886"/>
    <w:rsid w:val="00077343"/>
    <w:rsid w:val="0007760A"/>
    <w:rsid w:val="00081992"/>
    <w:rsid w:val="00081A9F"/>
    <w:rsid w:val="000820FC"/>
    <w:rsid w:val="0008474A"/>
    <w:rsid w:val="00085018"/>
    <w:rsid w:val="00086641"/>
    <w:rsid w:val="00086843"/>
    <w:rsid w:val="00086C11"/>
    <w:rsid w:val="00087B79"/>
    <w:rsid w:val="00090236"/>
    <w:rsid w:val="0009092B"/>
    <w:rsid w:val="00090B7C"/>
    <w:rsid w:val="00091065"/>
    <w:rsid w:val="000912CC"/>
    <w:rsid w:val="000917FC"/>
    <w:rsid w:val="00092727"/>
    <w:rsid w:val="000930C3"/>
    <w:rsid w:val="000930CE"/>
    <w:rsid w:val="0009403B"/>
    <w:rsid w:val="000946D0"/>
    <w:rsid w:val="00094877"/>
    <w:rsid w:val="00094DCF"/>
    <w:rsid w:val="000955FE"/>
    <w:rsid w:val="00095695"/>
    <w:rsid w:val="00096583"/>
    <w:rsid w:val="00096871"/>
    <w:rsid w:val="00096A51"/>
    <w:rsid w:val="000976F2"/>
    <w:rsid w:val="00097BCA"/>
    <w:rsid w:val="000A0776"/>
    <w:rsid w:val="000A1F24"/>
    <w:rsid w:val="000A2297"/>
    <w:rsid w:val="000A2317"/>
    <w:rsid w:val="000A3CB7"/>
    <w:rsid w:val="000A3CF7"/>
    <w:rsid w:val="000A41AA"/>
    <w:rsid w:val="000A58CC"/>
    <w:rsid w:val="000A6459"/>
    <w:rsid w:val="000A6CFD"/>
    <w:rsid w:val="000A6E6C"/>
    <w:rsid w:val="000B0982"/>
    <w:rsid w:val="000B12F8"/>
    <w:rsid w:val="000B19CC"/>
    <w:rsid w:val="000B1FB6"/>
    <w:rsid w:val="000B290F"/>
    <w:rsid w:val="000B371C"/>
    <w:rsid w:val="000B3DC2"/>
    <w:rsid w:val="000B3E6B"/>
    <w:rsid w:val="000B51A8"/>
    <w:rsid w:val="000B635F"/>
    <w:rsid w:val="000B6F4B"/>
    <w:rsid w:val="000B740C"/>
    <w:rsid w:val="000B796C"/>
    <w:rsid w:val="000B7C66"/>
    <w:rsid w:val="000C217D"/>
    <w:rsid w:val="000C23BB"/>
    <w:rsid w:val="000C424A"/>
    <w:rsid w:val="000C45A4"/>
    <w:rsid w:val="000C46BB"/>
    <w:rsid w:val="000C4D9D"/>
    <w:rsid w:val="000C6074"/>
    <w:rsid w:val="000C6188"/>
    <w:rsid w:val="000C7C4B"/>
    <w:rsid w:val="000C7D8B"/>
    <w:rsid w:val="000D1348"/>
    <w:rsid w:val="000D13E7"/>
    <w:rsid w:val="000D215B"/>
    <w:rsid w:val="000D4173"/>
    <w:rsid w:val="000D4866"/>
    <w:rsid w:val="000D4AC6"/>
    <w:rsid w:val="000D61AC"/>
    <w:rsid w:val="000D67F8"/>
    <w:rsid w:val="000D6C9B"/>
    <w:rsid w:val="000D6D11"/>
    <w:rsid w:val="000D7352"/>
    <w:rsid w:val="000D736B"/>
    <w:rsid w:val="000D7DBF"/>
    <w:rsid w:val="000E0359"/>
    <w:rsid w:val="000E2361"/>
    <w:rsid w:val="000E2A22"/>
    <w:rsid w:val="000E2DD8"/>
    <w:rsid w:val="000E318F"/>
    <w:rsid w:val="000E3827"/>
    <w:rsid w:val="000E3B62"/>
    <w:rsid w:val="000E485D"/>
    <w:rsid w:val="000E496B"/>
    <w:rsid w:val="000E68BE"/>
    <w:rsid w:val="000E6E37"/>
    <w:rsid w:val="000E72C6"/>
    <w:rsid w:val="000E75DA"/>
    <w:rsid w:val="000F0564"/>
    <w:rsid w:val="000F0779"/>
    <w:rsid w:val="000F1893"/>
    <w:rsid w:val="000F2A80"/>
    <w:rsid w:val="000F2D8C"/>
    <w:rsid w:val="000F2F51"/>
    <w:rsid w:val="000F3869"/>
    <w:rsid w:val="000F4470"/>
    <w:rsid w:val="000F4C73"/>
    <w:rsid w:val="000F5484"/>
    <w:rsid w:val="000F7395"/>
    <w:rsid w:val="001001F8"/>
    <w:rsid w:val="00100B6B"/>
    <w:rsid w:val="001027A6"/>
    <w:rsid w:val="00103552"/>
    <w:rsid w:val="001036B0"/>
    <w:rsid w:val="0010628D"/>
    <w:rsid w:val="0010713A"/>
    <w:rsid w:val="001075A1"/>
    <w:rsid w:val="001129C8"/>
    <w:rsid w:val="001134DC"/>
    <w:rsid w:val="00113CF8"/>
    <w:rsid w:val="00113D74"/>
    <w:rsid w:val="00117C5C"/>
    <w:rsid w:val="00117D3C"/>
    <w:rsid w:val="00117DE9"/>
    <w:rsid w:val="00120AA2"/>
    <w:rsid w:val="00120E8A"/>
    <w:rsid w:val="0012165B"/>
    <w:rsid w:val="00121C0D"/>
    <w:rsid w:val="00121E41"/>
    <w:rsid w:val="00122768"/>
    <w:rsid w:val="0012340D"/>
    <w:rsid w:val="00125489"/>
    <w:rsid w:val="0012556E"/>
    <w:rsid w:val="00125740"/>
    <w:rsid w:val="001310AE"/>
    <w:rsid w:val="0013136B"/>
    <w:rsid w:val="0013255C"/>
    <w:rsid w:val="00133595"/>
    <w:rsid w:val="0013628F"/>
    <w:rsid w:val="001366A5"/>
    <w:rsid w:val="001379CF"/>
    <w:rsid w:val="00137CC2"/>
    <w:rsid w:val="001405BA"/>
    <w:rsid w:val="00140AE3"/>
    <w:rsid w:val="00141A75"/>
    <w:rsid w:val="001420B3"/>
    <w:rsid w:val="00142648"/>
    <w:rsid w:val="00142D30"/>
    <w:rsid w:val="00143594"/>
    <w:rsid w:val="00144FE1"/>
    <w:rsid w:val="00145960"/>
    <w:rsid w:val="001460C4"/>
    <w:rsid w:val="001465E5"/>
    <w:rsid w:val="00146E3F"/>
    <w:rsid w:val="00146F65"/>
    <w:rsid w:val="00150529"/>
    <w:rsid w:val="0015057E"/>
    <w:rsid w:val="00150643"/>
    <w:rsid w:val="001506A0"/>
    <w:rsid w:val="00150A98"/>
    <w:rsid w:val="00151EF1"/>
    <w:rsid w:val="00151F17"/>
    <w:rsid w:val="00154D2B"/>
    <w:rsid w:val="00155368"/>
    <w:rsid w:val="0015553D"/>
    <w:rsid w:val="001559F8"/>
    <w:rsid w:val="0015691C"/>
    <w:rsid w:val="001570BB"/>
    <w:rsid w:val="00157878"/>
    <w:rsid w:val="00157BD6"/>
    <w:rsid w:val="00161843"/>
    <w:rsid w:val="0016187C"/>
    <w:rsid w:val="00161A08"/>
    <w:rsid w:val="001621F7"/>
    <w:rsid w:val="001624D7"/>
    <w:rsid w:val="00162780"/>
    <w:rsid w:val="00162A2B"/>
    <w:rsid w:val="001638AE"/>
    <w:rsid w:val="00164068"/>
    <w:rsid w:val="00166193"/>
    <w:rsid w:val="00166E6D"/>
    <w:rsid w:val="00167CF3"/>
    <w:rsid w:val="00171A5F"/>
    <w:rsid w:val="001733B2"/>
    <w:rsid w:val="0017395B"/>
    <w:rsid w:val="00173A6A"/>
    <w:rsid w:val="0017456B"/>
    <w:rsid w:val="00175CFD"/>
    <w:rsid w:val="001760D0"/>
    <w:rsid w:val="00176349"/>
    <w:rsid w:val="0017659C"/>
    <w:rsid w:val="00177B86"/>
    <w:rsid w:val="00177ECE"/>
    <w:rsid w:val="001802C4"/>
    <w:rsid w:val="001802C7"/>
    <w:rsid w:val="00180798"/>
    <w:rsid w:val="00180D9D"/>
    <w:rsid w:val="00181AFB"/>
    <w:rsid w:val="00181BDF"/>
    <w:rsid w:val="00181D0B"/>
    <w:rsid w:val="0018206C"/>
    <w:rsid w:val="00182585"/>
    <w:rsid w:val="00182998"/>
    <w:rsid w:val="00183158"/>
    <w:rsid w:val="00183573"/>
    <w:rsid w:val="001838F5"/>
    <w:rsid w:val="00184D08"/>
    <w:rsid w:val="00186F76"/>
    <w:rsid w:val="00186FCF"/>
    <w:rsid w:val="001878D1"/>
    <w:rsid w:val="001903FE"/>
    <w:rsid w:val="0019087F"/>
    <w:rsid w:val="00191182"/>
    <w:rsid w:val="00191650"/>
    <w:rsid w:val="001920BB"/>
    <w:rsid w:val="00192BE6"/>
    <w:rsid w:val="00193169"/>
    <w:rsid w:val="00193982"/>
    <w:rsid w:val="00195114"/>
    <w:rsid w:val="00195C9B"/>
    <w:rsid w:val="0019664D"/>
    <w:rsid w:val="00196D1C"/>
    <w:rsid w:val="0019756E"/>
    <w:rsid w:val="001A132D"/>
    <w:rsid w:val="001A14E4"/>
    <w:rsid w:val="001A205F"/>
    <w:rsid w:val="001A2658"/>
    <w:rsid w:val="001A275E"/>
    <w:rsid w:val="001A33F9"/>
    <w:rsid w:val="001A4F25"/>
    <w:rsid w:val="001A5F71"/>
    <w:rsid w:val="001A6103"/>
    <w:rsid w:val="001A672C"/>
    <w:rsid w:val="001A782D"/>
    <w:rsid w:val="001A7BB1"/>
    <w:rsid w:val="001B0871"/>
    <w:rsid w:val="001B2B31"/>
    <w:rsid w:val="001B4495"/>
    <w:rsid w:val="001B47B1"/>
    <w:rsid w:val="001B4BF1"/>
    <w:rsid w:val="001B56A5"/>
    <w:rsid w:val="001B5B66"/>
    <w:rsid w:val="001B5D37"/>
    <w:rsid w:val="001B618C"/>
    <w:rsid w:val="001B791B"/>
    <w:rsid w:val="001B7B1B"/>
    <w:rsid w:val="001B7CE2"/>
    <w:rsid w:val="001C0FC8"/>
    <w:rsid w:val="001C1DF4"/>
    <w:rsid w:val="001C24C7"/>
    <w:rsid w:val="001C2940"/>
    <w:rsid w:val="001C34F2"/>
    <w:rsid w:val="001C4016"/>
    <w:rsid w:val="001C4563"/>
    <w:rsid w:val="001C548D"/>
    <w:rsid w:val="001C59EA"/>
    <w:rsid w:val="001C5E77"/>
    <w:rsid w:val="001C697F"/>
    <w:rsid w:val="001C6A5D"/>
    <w:rsid w:val="001D26AB"/>
    <w:rsid w:val="001D3528"/>
    <w:rsid w:val="001D41DC"/>
    <w:rsid w:val="001D4F90"/>
    <w:rsid w:val="001D5341"/>
    <w:rsid w:val="001D605B"/>
    <w:rsid w:val="001D6947"/>
    <w:rsid w:val="001D7193"/>
    <w:rsid w:val="001E1C4D"/>
    <w:rsid w:val="001E1D8C"/>
    <w:rsid w:val="001E2003"/>
    <w:rsid w:val="001E24F8"/>
    <w:rsid w:val="001E31A6"/>
    <w:rsid w:val="001E3E0A"/>
    <w:rsid w:val="001E42C7"/>
    <w:rsid w:val="001E4CAB"/>
    <w:rsid w:val="001E4ECC"/>
    <w:rsid w:val="001E5373"/>
    <w:rsid w:val="001E5752"/>
    <w:rsid w:val="001E5FAC"/>
    <w:rsid w:val="001E63CC"/>
    <w:rsid w:val="001E64A5"/>
    <w:rsid w:val="001E72E0"/>
    <w:rsid w:val="001F05E7"/>
    <w:rsid w:val="001F0A4E"/>
    <w:rsid w:val="001F0A84"/>
    <w:rsid w:val="001F12DC"/>
    <w:rsid w:val="001F13EA"/>
    <w:rsid w:val="001F1A98"/>
    <w:rsid w:val="001F2B6C"/>
    <w:rsid w:val="001F2F3E"/>
    <w:rsid w:val="001F36F7"/>
    <w:rsid w:val="001F3E6B"/>
    <w:rsid w:val="001F4906"/>
    <w:rsid w:val="001F4C66"/>
    <w:rsid w:val="001F4D26"/>
    <w:rsid w:val="001F57E5"/>
    <w:rsid w:val="001F59CC"/>
    <w:rsid w:val="001F607F"/>
    <w:rsid w:val="001F77DE"/>
    <w:rsid w:val="001F7C4A"/>
    <w:rsid w:val="002004B2"/>
    <w:rsid w:val="002005D9"/>
    <w:rsid w:val="0020215C"/>
    <w:rsid w:val="00202D5E"/>
    <w:rsid w:val="00203A10"/>
    <w:rsid w:val="00203AC8"/>
    <w:rsid w:val="00203E42"/>
    <w:rsid w:val="00204293"/>
    <w:rsid w:val="00205275"/>
    <w:rsid w:val="002052D0"/>
    <w:rsid w:val="0020578A"/>
    <w:rsid w:val="002063B5"/>
    <w:rsid w:val="00206D6D"/>
    <w:rsid w:val="002072A7"/>
    <w:rsid w:val="00207631"/>
    <w:rsid w:val="002078CE"/>
    <w:rsid w:val="00207ADE"/>
    <w:rsid w:val="00207F0A"/>
    <w:rsid w:val="00207F0B"/>
    <w:rsid w:val="0021035D"/>
    <w:rsid w:val="00210ADF"/>
    <w:rsid w:val="00211BBF"/>
    <w:rsid w:val="00212757"/>
    <w:rsid w:val="00212EDC"/>
    <w:rsid w:val="002131F6"/>
    <w:rsid w:val="00214013"/>
    <w:rsid w:val="00214CB8"/>
    <w:rsid w:val="00214D49"/>
    <w:rsid w:val="002160F5"/>
    <w:rsid w:val="00216BEC"/>
    <w:rsid w:val="00217ACF"/>
    <w:rsid w:val="00217F54"/>
    <w:rsid w:val="002203A4"/>
    <w:rsid w:val="00220DD4"/>
    <w:rsid w:val="00220DEA"/>
    <w:rsid w:val="00220FC1"/>
    <w:rsid w:val="00221379"/>
    <w:rsid w:val="002220AB"/>
    <w:rsid w:val="00222161"/>
    <w:rsid w:val="00222389"/>
    <w:rsid w:val="00222C81"/>
    <w:rsid w:val="00222E9A"/>
    <w:rsid w:val="00223161"/>
    <w:rsid w:val="0022327C"/>
    <w:rsid w:val="0022368B"/>
    <w:rsid w:val="002239DE"/>
    <w:rsid w:val="002239F4"/>
    <w:rsid w:val="002242E9"/>
    <w:rsid w:val="00224F07"/>
    <w:rsid w:val="002254CF"/>
    <w:rsid w:val="00225E31"/>
    <w:rsid w:val="002276B4"/>
    <w:rsid w:val="0023179D"/>
    <w:rsid w:val="00232F58"/>
    <w:rsid w:val="0023503D"/>
    <w:rsid w:val="00235084"/>
    <w:rsid w:val="002358C9"/>
    <w:rsid w:val="00235C42"/>
    <w:rsid w:val="00235C6B"/>
    <w:rsid w:val="00236970"/>
    <w:rsid w:val="002369BB"/>
    <w:rsid w:val="00237825"/>
    <w:rsid w:val="0024376B"/>
    <w:rsid w:val="00243C81"/>
    <w:rsid w:val="00243F43"/>
    <w:rsid w:val="002444A7"/>
    <w:rsid w:val="00244D73"/>
    <w:rsid w:val="00245079"/>
    <w:rsid w:val="002453EC"/>
    <w:rsid w:val="00245543"/>
    <w:rsid w:val="002455C3"/>
    <w:rsid w:val="0024592C"/>
    <w:rsid w:val="002459A6"/>
    <w:rsid w:val="00245B43"/>
    <w:rsid w:val="00246F60"/>
    <w:rsid w:val="00247669"/>
    <w:rsid w:val="00247719"/>
    <w:rsid w:val="00247974"/>
    <w:rsid w:val="00247AA3"/>
    <w:rsid w:val="002505E6"/>
    <w:rsid w:val="00250FB8"/>
    <w:rsid w:val="00251424"/>
    <w:rsid w:val="00253117"/>
    <w:rsid w:val="002537E6"/>
    <w:rsid w:val="0025389D"/>
    <w:rsid w:val="00254622"/>
    <w:rsid w:val="00254893"/>
    <w:rsid w:val="00254E02"/>
    <w:rsid w:val="002554B0"/>
    <w:rsid w:val="00255F8C"/>
    <w:rsid w:val="00256026"/>
    <w:rsid w:val="00256DA7"/>
    <w:rsid w:val="00261B1B"/>
    <w:rsid w:val="00261BC9"/>
    <w:rsid w:val="00261DB3"/>
    <w:rsid w:val="00261FBB"/>
    <w:rsid w:val="0026249E"/>
    <w:rsid w:val="0026265F"/>
    <w:rsid w:val="00263559"/>
    <w:rsid w:val="00264623"/>
    <w:rsid w:val="00264C13"/>
    <w:rsid w:val="00264E59"/>
    <w:rsid w:val="002659F2"/>
    <w:rsid w:val="00265B53"/>
    <w:rsid w:val="00266E41"/>
    <w:rsid w:val="00266E72"/>
    <w:rsid w:val="00266F1D"/>
    <w:rsid w:val="00267A43"/>
    <w:rsid w:val="00267AD6"/>
    <w:rsid w:val="0027032F"/>
    <w:rsid w:val="00270746"/>
    <w:rsid w:val="00270DE3"/>
    <w:rsid w:val="00270F94"/>
    <w:rsid w:val="0027154D"/>
    <w:rsid w:val="002724A0"/>
    <w:rsid w:val="00273D6F"/>
    <w:rsid w:val="00274A03"/>
    <w:rsid w:val="00274A09"/>
    <w:rsid w:val="00274F0D"/>
    <w:rsid w:val="00275146"/>
    <w:rsid w:val="0027600E"/>
    <w:rsid w:val="00277D3C"/>
    <w:rsid w:val="00281B76"/>
    <w:rsid w:val="00281C67"/>
    <w:rsid w:val="00282F79"/>
    <w:rsid w:val="0028440B"/>
    <w:rsid w:val="002846A9"/>
    <w:rsid w:val="00284EAD"/>
    <w:rsid w:val="002856F0"/>
    <w:rsid w:val="00286A82"/>
    <w:rsid w:val="00286C3A"/>
    <w:rsid w:val="002871AE"/>
    <w:rsid w:val="00287214"/>
    <w:rsid w:val="0029021E"/>
    <w:rsid w:val="002905FC"/>
    <w:rsid w:val="00290756"/>
    <w:rsid w:val="00290D46"/>
    <w:rsid w:val="00290E56"/>
    <w:rsid w:val="002922EF"/>
    <w:rsid w:val="002926FB"/>
    <w:rsid w:val="002930F5"/>
    <w:rsid w:val="002940B1"/>
    <w:rsid w:val="00294AC7"/>
    <w:rsid w:val="002955D1"/>
    <w:rsid w:val="00296A52"/>
    <w:rsid w:val="00296C0D"/>
    <w:rsid w:val="00297109"/>
    <w:rsid w:val="002976F1"/>
    <w:rsid w:val="0029797C"/>
    <w:rsid w:val="002A0482"/>
    <w:rsid w:val="002A06B7"/>
    <w:rsid w:val="002A1281"/>
    <w:rsid w:val="002A1D27"/>
    <w:rsid w:val="002A2172"/>
    <w:rsid w:val="002A2372"/>
    <w:rsid w:val="002A45C8"/>
    <w:rsid w:val="002A4C8C"/>
    <w:rsid w:val="002A516F"/>
    <w:rsid w:val="002A54D8"/>
    <w:rsid w:val="002A5D66"/>
    <w:rsid w:val="002A6454"/>
    <w:rsid w:val="002A658C"/>
    <w:rsid w:val="002A6ADC"/>
    <w:rsid w:val="002B1E9B"/>
    <w:rsid w:val="002B1FA6"/>
    <w:rsid w:val="002B3C8E"/>
    <w:rsid w:val="002B6527"/>
    <w:rsid w:val="002C1256"/>
    <w:rsid w:val="002C168E"/>
    <w:rsid w:val="002C2FFC"/>
    <w:rsid w:val="002C33EB"/>
    <w:rsid w:val="002C362F"/>
    <w:rsid w:val="002C4116"/>
    <w:rsid w:val="002C4D1E"/>
    <w:rsid w:val="002C570A"/>
    <w:rsid w:val="002C66AB"/>
    <w:rsid w:val="002C6B39"/>
    <w:rsid w:val="002C6E0C"/>
    <w:rsid w:val="002C79CA"/>
    <w:rsid w:val="002D144A"/>
    <w:rsid w:val="002D266E"/>
    <w:rsid w:val="002D43F1"/>
    <w:rsid w:val="002D44C4"/>
    <w:rsid w:val="002D4723"/>
    <w:rsid w:val="002D5CC4"/>
    <w:rsid w:val="002D6367"/>
    <w:rsid w:val="002D73DB"/>
    <w:rsid w:val="002D7C4A"/>
    <w:rsid w:val="002E0351"/>
    <w:rsid w:val="002E1913"/>
    <w:rsid w:val="002E19A3"/>
    <w:rsid w:val="002E1C0F"/>
    <w:rsid w:val="002E1CF6"/>
    <w:rsid w:val="002E20C0"/>
    <w:rsid w:val="002E212B"/>
    <w:rsid w:val="002E3337"/>
    <w:rsid w:val="002E3464"/>
    <w:rsid w:val="002E4F0F"/>
    <w:rsid w:val="002E602D"/>
    <w:rsid w:val="002E63BE"/>
    <w:rsid w:val="002E6612"/>
    <w:rsid w:val="002E6633"/>
    <w:rsid w:val="002E6D03"/>
    <w:rsid w:val="002E78F2"/>
    <w:rsid w:val="002F169A"/>
    <w:rsid w:val="002F38F1"/>
    <w:rsid w:val="002F4430"/>
    <w:rsid w:val="002F4472"/>
    <w:rsid w:val="002F49A8"/>
    <w:rsid w:val="002F4A75"/>
    <w:rsid w:val="002F5180"/>
    <w:rsid w:val="002F52B5"/>
    <w:rsid w:val="002F55D8"/>
    <w:rsid w:val="002F5E66"/>
    <w:rsid w:val="002F61CA"/>
    <w:rsid w:val="002F6C1A"/>
    <w:rsid w:val="002F6C74"/>
    <w:rsid w:val="002F702A"/>
    <w:rsid w:val="002F72FF"/>
    <w:rsid w:val="002F786E"/>
    <w:rsid w:val="003000BA"/>
    <w:rsid w:val="0030010D"/>
    <w:rsid w:val="003006E7"/>
    <w:rsid w:val="003012D8"/>
    <w:rsid w:val="003023F4"/>
    <w:rsid w:val="00302A1A"/>
    <w:rsid w:val="00304D4F"/>
    <w:rsid w:val="00304EFC"/>
    <w:rsid w:val="00306573"/>
    <w:rsid w:val="00306F94"/>
    <w:rsid w:val="0030706F"/>
    <w:rsid w:val="00307452"/>
    <w:rsid w:val="003105ED"/>
    <w:rsid w:val="00310690"/>
    <w:rsid w:val="00310A2D"/>
    <w:rsid w:val="003111EB"/>
    <w:rsid w:val="00311B7A"/>
    <w:rsid w:val="00311BB1"/>
    <w:rsid w:val="00311C87"/>
    <w:rsid w:val="0031205A"/>
    <w:rsid w:val="00313F05"/>
    <w:rsid w:val="003144D8"/>
    <w:rsid w:val="003145C0"/>
    <w:rsid w:val="0031483C"/>
    <w:rsid w:val="00315A2D"/>
    <w:rsid w:val="00316AD4"/>
    <w:rsid w:val="00316D40"/>
    <w:rsid w:val="00316E82"/>
    <w:rsid w:val="0031713B"/>
    <w:rsid w:val="00317878"/>
    <w:rsid w:val="00317A36"/>
    <w:rsid w:val="003204E6"/>
    <w:rsid w:val="003209B8"/>
    <w:rsid w:val="0032125D"/>
    <w:rsid w:val="00321E84"/>
    <w:rsid w:val="00322619"/>
    <w:rsid w:val="00323643"/>
    <w:rsid w:val="00323BDB"/>
    <w:rsid w:val="00323F67"/>
    <w:rsid w:val="003241D9"/>
    <w:rsid w:val="00324A93"/>
    <w:rsid w:val="00325833"/>
    <w:rsid w:val="00325DED"/>
    <w:rsid w:val="00325E9E"/>
    <w:rsid w:val="00327AF5"/>
    <w:rsid w:val="003310CA"/>
    <w:rsid w:val="003317D3"/>
    <w:rsid w:val="003317D9"/>
    <w:rsid w:val="0033185F"/>
    <w:rsid w:val="00331BCA"/>
    <w:rsid w:val="00332A6C"/>
    <w:rsid w:val="00332CBE"/>
    <w:rsid w:val="00333815"/>
    <w:rsid w:val="00333BCC"/>
    <w:rsid w:val="00334D81"/>
    <w:rsid w:val="0033504C"/>
    <w:rsid w:val="00336816"/>
    <w:rsid w:val="00336B1A"/>
    <w:rsid w:val="00337013"/>
    <w:rsid w:val="003370D0"/>
    <w:rsid w:val="00337355"/>
    <w:rsid w:val="003402E4"/>
    <w:rsid w:val="00340583"/>
    <w:rsid w:val="00340F95"/>
    <w:rsid w:val="003426A1"/>
    <w:rsid w:val="00343097"/>
    <w:rsid w:val="0034447C"/>
    <w:rsid w:val="00344601"/>
    <w:rsid w:val="00345B6C"/>
    <w:rsid w:val="00346495"/>
    <w:rsid w:val="00347022"/>
    <w:rsid w:val="00347481"/>
    <w:rsid w:val="00347BCF"/>
    <w:rsid w:val="00350195"/>
    <w:rsid w:val="003505DA"/>
    <w:rsid w:val="00352A11"/>
    <w:rsid w:val="003531ED"/>
    <w:rsid w:val="00354F19"/>
    <w:rsid w:val="00356D50"/>
    <w:rsid w:val="00357004"/>
    <w:rsid w:val="0035759B"/>
    <w:rsid w:val="00357D6E"/>
    <w:rsid w:val="00360A8A"/>
    <w:rsid w:val="00360B9A"/>
    <w:rsid w:val="003615A9"/>
    <w:rsid w:val="00361B85"/>
    <w:rsid w:val="00362C54"/>
    <w:rsid w:val="00363B63"/>
    <w:rsid w:val="0036451C"/>
    <w:rsid w:val="00365660"/>
    <w:rsid w:val="00366D78"/>
    <w:rsid w:val="00367637"/>
    <w:rsid w:val="0037053A"/>
    <w:rsid w:val="00370D52"/>
    <w:rsid w:val="00371C3E"/>
    <w:rsid w:val="0037245F"/>
    <w:rsid w:val="0037340A"/>
    <w:rsid w:val="00375776"/>
    <w:rsid w:val="00376049"/>
    <w:rsid w:val="00376950"/>
    <w:rsid w:val="00376BE7"/>
    <w:rsid w:val="00376C86"/>
    <w:rsid w:val="00377E39"/>
    <w:rsid w:val="00380BDD"/>
    <w:rsid w:val="0038106A"/>
    <w:rsid w:val="003812F0"/>
    <w:rsid w:val="00382386"/>
    <w:rsid w:val="0038272E"/>
    <w:rsid w:val="00382F44"/>
    <w:rsid w:val="00383795"/>
    <w:rsid w:val="003846BE"/>
    <w:rsid w:val="003846D2"/>
    <w:rsid w:val="00385B7B"/>
    <w:rsid w:val="00385DAE"/>
    <w:rsid w:val="00386E68"/>
    <w:rsid w:val="00387562"/>
    <w:rsid w:val="00387842"/>
    <w:rsid w:val="00387EB2"/>
    <w:rsid w:val="0039017F"/>
    <w:rsid w:val="00390621"/>
    <w:rsid w:val="0039078F"/>
    <w:rsid w:val="00390B50"/>
    <w:rsid w:val="00390F39"/>
    <w:rsid w:val="003924FB"/>
    <w:rsid w:val="003927F4"/>
    <w:rsid w:val="00392FE0"/>
    <w:rsid w:val="00394AEE"/>
    <w:rsid w:val="00394CD8"/>
    <w:rsid w:val="0039633E"/>
    <w:rsid w:val="0039668B"/>
    <w:rsid w:val="00396FF8"/>
    <w:rsid w:val="00397E7E"/>
    <w:rsid w:val="00397FAF"/>
    <w:rsid w:val="003A00FD"/>
    <w:rsid w:val="003A07FF"/>
    <w:rsid w:val="003A16D6"/>
    <w:rsid w:val="003A36AF"/>
    <w:rsid w:val="003A3F39"/>
    <w:rsid w:val="003A53DB"/>
    <w:rsid w:val="003A5D37"/>
    <w:rsid w:val="003A627B"/>
    <w:rsid w:val="003A68BA"/>
    <w:rsid w:val="003A69C8"/>
    <w:rsid w:val="003A726D"/>
    <w:rsid w:val="003B0604"/>
    <w:rsid w:val="003B0CDE"/>
    <w:rsid w:val="003B20F1"/>
    <w:rsid w:val="003B2A1E"/>
    <w:rsid w:val="003B2EB3"/>
    <w:rsid w:val="003B30A4"/>
    <w:rsid w:val="003B3E58"/>
    <w:rsid w:val="003B44B0"/>
    <w:rsid w:val="003B4C36"/>
    <w:rsid w:val="003B4E39"/>
    <w:rsid w:val="003B4EC9"/>
    <w:rsid w:val="003B4EF5"/>
    <w:rsid w:val="003B51CA"/>
    <w:rsid w:val="003B5250"/>
    <w:rsid w:val="003B553C"/>
    <w:rsid w:val="003B56C2"/>
    <w:rsid w:val="003B77E0"/>
    <w:rsid w:val="003B7F13"/>
    <w:rsid w:val="003C1CFD"/>
    <w:rsid w:val="003C200E"/>
    <w:rsid w:val="003C2D98"/>
    <w:rsid w:val="003C3B3B"/>
    <w:rsid w:val="003C4C20"/>
    <w:rsid w:val="003C68AB"/>
    <w:rsid w:val="003C70C4"/>
    <w:rsid w:val="003C7BD3"/>
    <w:rsid w:val="003C7D19"/>
    <w:rsid w:val="003D0AFD"/>
    <w:rsid w:val="003D0F1D"/>
    <w:rsid w:val="003D1635"/>
    <w:rsid w:val="003D27F3"/>
    <w:rsid w:val="003D27F6"/>
    <w:rsid w:val="003D2D12"/>
    <w:rsid w:val="003D3A96"/>
    <w:rsid w:val="003D3B9C"/>
    <w:rsid w:val="003D4030"/>
    <w:rsid w:val="003D4E6A"/>
    <w:rsid w:val="003D5336"/>
    <w:rsid w:val="003D5AC3"/>
    <w:rsid w:val="003D5F85"/>
    <w:rsid w:val="003D64F4"/>
    <w:rsid w:val="003E0A58"/>
    <w:rsid w:val="003E2B76"/>
    <w:rsid w:val="003E3242"/>
    <w:rsid w:val="003E400B"/>
    <w:rsid w:val="003E428D"/>
    <w:rsid w:val="003E4473"/>
    <w:rsid w:val="003E46E4"/>
    <w:rsid w:val="003E4F33"/>
    <w:rsid w:val="003E4F50"/>
    <w:rsid w:val="003E5F37"/>
    <w:rsid w:val="003E67FA"/>
    <w:rsid w:val="003E6A86"/>
    <w:rsid w:val="003E770F"/>
    <w:rsid w:val="003F0501"/>
    <w:rsid w:val="003F0594"/>
    <w:rsid w:val="003F06D0"/>
    <w:rsid w:val="003F0CC8"/>
    <w:rsid w:val="003F0F6F"/>
    <w:rsid w:val="003F25C2"/>
    <w:rsid w:val="003F2792"/>
    <w:rsid w:val="003F4029"/>
    <w:rsid w:val="003F553F"/>
    <w:rsid w:val="003F58C1"/>
    <w:rsid w:val="003F59D6"/>
    <w:rsid w:val="004011D7"/>
    <w:rsid w:val="0040173D"/>
    <w:rsid w:val="00401B5E"/>
    <w:rsid w:val="00401F4B"/>
    <w:rsid w:val="00402362"/>
    <w:rsid w:val="00403A07"/>
    <w:rsid w:val="0040483A"/>
    <w:rsid w:val="00404B0D"/>
    <w:rsid w:val="00404F03"/>
    <w:rsid w:val="004055EF"/>
    <w:rsid w:val="004056A8"/>
    <w:rsid w:val="00405708"/>
    <w:rsid w:val="00405976"/>
    <w:rsid w:val="00405D37"/>
    <w:rsid w:val="00406171"/>
    <w:rsid w:val="00406653"/>
    <w:rsid w:val="00410E99"/>
    <w:rsid w:val="00412051"/>
    <w:rsid w:val="00412926"/>
    <w:rsid w:val="00412F3B"/>
    <w:rsid w:val="004134DC"/>
    <w:rsid w:val="00414555"/>
    <w:rsid w:val="00415C01"/>
    <w:rsid w:val="00416476"/>
    <w:rsid w:val="0041660F"/>
    <w:rsid w:val="00416C79"/>
    <w:rsid w:val="00417C3C"/>
    <w:rsid w:val="0042115C"/>
    <w:rsid w:val="00422CB2"/>
    <w:rsid w:val="00422E26"/>
    <w:rsid w:val="004230A7"/>
    <w:rsid w:val="0042332A"/>
    <w:rsid w:val="00423B94"/>
    <w:rsid w:val="00424994"/>
    <w:rsid w:val="00424A31"/>
    <w:rsid w:val="00424E39"/>
    <w:rsid w:val="00425506"/>
    <w:rsid w:val="0042645D"/>
    <w:rsid w:val="00426877"/>
    <w:rsid w:val="0042712A"/>
    <w:rsid w:val="0042750B"/>
    <w:rsid w:val="0043041D"/>
    <w:rsid w:val="00430A4C"/>
    <w:rsid w:val="004315F3"/>
    <w:rsid w:val="004339E3"/>
    <w:rsid w:val="00435419"/>
    <w:rsid w:val="00435A01"/>
    <w:rsid w:val="004363FB"/>
    <w:rsid w:val="0043750C"/>
    <w:rsid w:val="00437A8E"/>
    <w:rsid w:val="0044168A"/>
    <w:rsid w:val="004418DC"/>
    <w:rsid w:val="00441BD5"/>
    <w:rsid w:val="00442110"/>
    <w:rsid w:val="00442812"/>
    <w:rsid w:val="00442B3B"/>
    <w:rsid w:val="00442DB6"/>
    <w:rsid w:val="00443776"/>
    <w:rsid w:val="0044767C"/>
    <w:rsid w:val="00447B06"/>
    <w:rsid w:val="00447B39"/>
    <w:rsid w:val="00450FB3"/>
    <w:rsid w:val="00451AC6"/>
    <w:rsid w:val="004526E3"/>
    <w:rsid w:val="004534DC"/>
    <w:rsid w:val="0045390A"/>
    <w:rsid w:val="0045450D"/>
    <w:rsid w:val="0045465B"/>
    <w:rsid w:val="004548E6"/>
    <w:rsid w:val="004552F6"/>
    <w:rsid w:val="00457823"/>
    <w:rsid w:val="0046106A"/>
    <w:rsid w:val="004618F4"/>
    <w:rsid w:val="00461D51"/>
    <w:rsid w:val="0046319F"/>
    <w:rsid w:val="0046330A"/>
    <w:rsid w:val="00463731"/>
    <w:rsid w:val="00463D55"/>
    <w:rsid w:val="0046400A"/>
    <w:rsid w:val="00464262"/>
    <w:rsid w:val="00464E11"/>
    <w:rsid w:val="00465067"/>
    <w:rsid w:val="00467B25"/>
    <w:rsid w:val="004703E6"/>
    <w:rsid w:val="00470A6E"/>
    <w:rsid w:val="00471458"/>
    <w:rsid w:val="00471EFC"/>
    <w:rsid w:val="00472090"/>
    <w:rsid w:val="004729F8"/>
    <w:rsid w:val="00472A4C"/>
    <w:rsid w:val="00473D35"/>
    <w:rsid w:val="00473F15"/>
    <w:rsid w:val="0047427B"/>
    <w:rsid w:val="00475146"/>
    <w:rsid w:val="00475E30"/>
    <w:rsid w:val="00476049"/>
    <w:rsid w:val="00476915"/>
    <w:rsid w:val="00476AB0"/>
    <w:rsid w:val="004805E3"/>
    <w:rsid w:val="00481108"/>
    <w:rsid w:val="00481901"/>
    <w:rsid w:val="004825ED"/>
    <w:rsid w:val="00483568"/>
    <w:rsid w:val="00483AA7"/>
    <w:rsid w:val="0048515A"/>
    <w:rsid w:val="004851A7"/>
    <w:rsid w:val="00485661"/>
    <w:rsid w:val="00485B29"/>
    <w:rsid w:val="00487A0F"/>
    <w:rsid w:val="00487D62"/>
    <w:rsid w:val="0049042B"/>
    <w:rsid w:val="00490B9D"/>
    <w:rsid w:val="004930A1"/>
    <w:rsid w:val="004933F6"/>
    <w:rsid w:val="00493B6F"/>
    <w:rsid w:val="00494FA0"/>
    <w:rsid w:val="00495473"/>
    <w:rsid w:val="004954BE"/>
    <w:rsid w:val="004968B2"/>
    <w:rsid w:val="00496DAA"/>
    <w:rsid w:val="00497034"/>
    <w:rsid w:val="00497A75"/>
    <w:rsid w:val="00497FDF"/>
    <w:rsid w:val="004A0B69"/>
    <w:rsid w:val="004A0E0B"/>
    <w:rsid w:val="004A1037"/>
    <w:rsid w:val="004A12F4"/>
    <w:rsid w:val="004A163C"/>
    <w:rsid w:val="004A1FF1"/>
    <w:rsid w:val="004A2C8A"/>
    <w:rsid w:val="004A3172"/>
    <w:rsid w:val="004A458E"/>
    <w:rsid w:val="004A5500"/>
    <w:rsid w:val="004A57C8"/>
    <w:rsid w:val="004A5DAD"/>
    <w:rsid w:val="004A635A"/>
    <w:rsid w:val="004A7910"/>
    <w:rsid w:val="004B0335"/>
    <w:rsid w:val="004B1B8C"/>
    <w:rsid w:val="004B23E7"/>
    <w:rsid w:val="004B303B"/>
    <w:rsid w:val="004B306F"/>
    <w:rsid w:val="004B339D"/>
    <w:rsid w:val="004B476F"/>
    <w:rsid w:val="004B4864"/>
    <w:rsid w:val="004B59E3"/>
    <w:rsid w:val="004B70EA"/>
    <w:rsid w:val="004C0503"/>
    <w:rsid w:val="004C13C0"/>
    <w:rsid w:val="004C17DE"/>
    <w:rsid w:val="004C30EA"/>
    <w:rsid w:val="004C3186"/>
    <w:rsid w:val="004C3261"/>
    <w:rsid w:val="004C330F"/>
    <w:rsid w:val="004C3763"/>
    <w:rsid w:val="004C3AB1"/>
    <w:rsid w:val="004C456D"/>
    <w:rsid w:val="004C5042"/>
    <w:rsid w:val="004C5045"/>
    <w:rsid w:val="004C51A5"/>
    <w:rsid w:val="004C7481"/>
    <w:rsid w:val="004D0687"/>
    <w:rsid w:val="004D0E4C"/>
    <w:rsid w:val="004D0FB6"/>
    <w:rsid w:val="004D1CD3"/>
    <w:rsid w:val="004D1DA0"/>
    <w:rsid w:val="004D3842"/>
    <w:rsid w:val="004D3ADF"/>
    <w:rsid w:val="004D5415"/>
    <w:rsid w:val="004D5D37"/>
    <w:rsid w:val="004D5D3E"/>
    <w:rsid w:val="004D676A"/>
    <w:rsid w:val="004D7C32"/>
    <w:rsid w:val="004E0CA0"/>
    <w:rsid w:val="004E0DDB"/>
    <w:rsid w:val="004E143C"/>
    <w:rsid w:val="004E1F9F"/>
    <w:rsid w:val="004E2471"/>
    <w:rsid w:val="004E3B9F"/>
    <w:rsid w:val="004E3CD6"/>
    <w:rsid w:val="004E4422"/>
    <w:rsid w:val="004E49BC"/>
    <w:rsid w:val="004E68F7"/>
    <w:rsid w:val="004E71B4"/>
    <w:rsid w:val="004E748B"/>
    <w:rsid w:val="004F056A"/>
    <w:rsid w:val="004F06F9"/>
    <w:rsid w:val="004F0CE9"/>
    <w:rsid w:val="004F0DE9"/>
    <w:rsid w:val="004F3441"/>
    <w:rsid w:val="004F3D7C"/>
    <w:rsid w:val="004F525C"/>
    <w:rsid w:val="004F6044"/>
    <w:rsid w:val="004F685B"/>
    <w:rsid w:val="004F691C"/>
    <w:rsid w:val="004F7541"/>
    <w:rsid w:val="004F7823"/>
    <w:rsid w:val="0050023F"/>
    <w:rsid w:val="00500C53"/>
    <w:rsid w:val="0050103C"/>
    <w:rsid w:val="00503998"/>
    <w:rsid w:val="00503B8D"/>
    <w:rsid w:val="00505D8E"/>
    <w:rsid w:val="0050623B"/>
    <w:rsid w:val="0050630D"/>
    <w:rsid w:val="00506DF2"/>
    <w:rsid w:val="005075D0"/>
    <w:rsid w:val="00510406"/>
    <w:rsid w:val="00510B0D"/>
    <w:rsid w:val="00510B81"/>
    <w:rsid w:val="00511F7F"/>
    <w:rsid w:val="00512119"/>
    <w:rsid w:val="00512A10"/>
    <w:rsid w:val="00513383"/>
    <w:rsid w:val="00513F18"/>
    <w:rsid w:val="00514DFD"/>
    <w:rsid w:val="00516365"/>
    <w:rsid w:val="005167C3"/>
    <w:rsid w:val="00516DEA"/>
    <w:rsid w:val="00517C4A"/>
    <w:rsid w:val="0052098E"/>
    <w:rsid w:val="0052116D"/>
    <w:rsid w:val="005216AF"/>
    <w:rsid w:val="00523181"/>
    <w:rsid w:val="0052331A"/>
    <w:rsid w:val="00523942"/>
    <w:rsid w:val="00524474"/>
    <w:rsid w:val="00524D13"/>
    <w:rsid w:val="005256C7"/>
    <w:rsid w:val="00525B84"/>
    <w:rsid w:val="00525C26"/>
    <w:rsid w:val="005261FD"/>
    <w:rsid w:val="0052694A"/>
    <w:rsid w:val="00526DD4"/>
    <w:rsid w:val="005308A9"/>
    <w:rsid w:val="005309C7"/>
    <w:rsid w:val="00530B6E"/>
    <w:rsid w:val="00531EDF"/>
    <w:rsid w:val="005324A4"/>
    <w:rsid w:val="005339F6"/>
    <w:rsid w:val="00534E9D"/>
    <w:rsid w:val="005353AC"/>
    <w:rsid w:val="005360C9"/>
    <w:rsid w:val="0053618C"/>
    <w:rsid w:val="00536E34"/>
    <w:rsid w:val="00537CB8"/>
    <w:rsid w:val="005406F7"/>
    <w:rsid w:val="00540904"/>
    <w:rsid w:val="00540B05"/>
    <w:rsid w:val="005418D5"/>
    <w:rsid w:val="00542AC0"/>
    <w:rsid w:val="00543E68"/>
    <w:rsid w:val="00546E31"/>
    <w:rsid w:val="00547211"/>
    <w:rsid w:val="00547FE5"/>
    <w:rsid w:val="00550B39"/>
    <w:rsid w:val="0055132F"/>
    <w:rsid w:val="005515E8"/>
    <w:rsid w:val="005521A2"/>
    <w:rsid w:val="005523C4"/>
    <w:rsid w:val="0055395D"/>
    <w:rsid w:val="00554A6F"/>
    <w:rsid w:val="005551F4"/>
    <w:rsid w:val="00555D06"/>
    <w:rsid w:val="005626F8"/>
    <w:rsid w:val="0056302B"/>
    <w:rsid w:val="00563D3E"/>
    <w:rsid w:val="005641D7"/>
    <w:rsid w:val="0056440A"/>
    <w:rsid w:val="005647F1"/>
    <w:rsid w:val="00565150"/>
    <w:rsid w:val="0056545C"/>
    <w:rsid w:val="005658F1"/>
    <w:rsid w:val="00565D9A"/>
    <w:rsid w:val="00566F44"/>
    <w:rsid w:val="00566FB1"/>
    <w:rsid w:val="0057051A"/>
    <w:rsid w:val="005705FC"/>
    <w:rsid w:val="00570BEC"/>
    <w:rsid w:val="005715BF"/>
    <w:rsid w:val="00572E37"/>
    <w:rsid w:val="00574732"/>
    <w:rsid w:val="00576137"/>
    <w:rsid w:val="00576B18"/>
    <w:rsid w:val="00576DDA"/>
    <w:rsid w:val="00577A79"/>
    <w:rsid w:val="005821DB"/>
    <w:rsid w:val="0058257A"/>
    <w:rsid w:val="00582E3A"/>
    <w:rsid w:val="005830C3"/>
    <w:rsid w:val="00583517"/>
    <w:rsid w:val="00583E0E"/>
    <w:rsid w:val="00584490"/>
    <w:rsid w:val="00586881"/>
    <w:rsid w:val="00587724"/>
    <w:rsid w:val="00587CB8"/>
    <w:rsid w:val="005903B2"/>
    <w:rsid w:val="00591512"/>
    <w:rsid w:val="005928C7"/>
    <w:rsid w:val="00592CD9"/>
    <w:rsid w:val="0059320A"/>
    <w:rsid w:val="0059427C"/>
    <w:rsid w:val="00594F10"/>
    <w:rsid w:val="00595299"/>
    <w:rsid w:val="00595FDA"/>
    <w:rsid w:val="005A02CD"/>
    <w:rsid w:val="005A090E"/>
    <w:rsid w:val="005A18A1"/>
    <w:rsid w:val="005A2683"/>
    <w:rsid w:val="005A3D31"/>
    <w:rsid w:val="005A4A83"/>
    <w:rsid w:val="005A4D63"/>
    <w:rsid w:val="005A4E87"/>
    <w:rsid w:val="005A7ADC"/>
    <w:rsid w:val="005B1152"/>
    <w:rsid w:val="005B13DC"/>
    <w:rsid w:val="005B17BB"/>
    <w:rsid w:val="005B2627"/>
    <w:rsid w:val="005B2D91"/>
    <w:rsid w:val="005B345B"/>
    <w:rsid w:val="005B4092"/>
    <w:rsid w:val="005B411C"/>
    <w:rsid w:val="005B48B4"/>
    <w:rsid w:val="005B4C81"/>
    <w:rsid w:val="005B6B4B"/>
    <w:rsid w:val="005B6C5C"/>
    <w:rsid w:val="005C08FD"/>
    <w:rsid w:val="005C2567"/>
    <w:rsid w:val="005C2721"/>
    <w:rsid w:val="005C373D"/>
    <w:rsid w:val="005C3F28"/>
    <w:rsid w:val="005C47B6"/>
    <w:rsid w:val="005C51C3"/>
    <w:rsid w:val="005C55CC"/>
    <w:rsid w:val="005C5CA6"/>
    <w:rsid w:val="005C5FDA"/>
    <w:rsid w:val="005C6661"/>
    <w:rsid w:val="005C6E3B"/>
    <w:rsid w:val="005C7759"/>
    <w:rsid w:val="005C7FC5"/>
    <w:rsid w:val="005D1E4D"/>
    <w:rsid w:val="005D2DCF"/>
    <w:rsid w:val="005D3ED9"/>
    <w:rsid w:val="005D474B"/>
    <w:rsid w:val="005D5043"/>
    <w:rsid w:val="005D50C6"/>
    <w:rsid w:val="005D6995"/>
    <w:rsid w:val="005D732B"/>
    <w:rsid w:val="005D7888"/>
    <w:rsid w:val="005E085C"/>
    <w:rsid w:val="005E0A8C"/>
    <w:rsid w:val="005E147D"/>
    <w:rsid w:val="005E22C2"/>
    <w:rsid w:val="005E2803"/>
    <w:rsid w:val="005E31AA"/>
    <w:rsid w:val="005E3802"/>
    <w:rsid w:val="005E4337"/>
    <w:rsid w:val="005E4575"/>
    <w:rsid w:val="005E4C05"/>
    <w:rsid w:val="005E4F28"/>
    <w:rsid w:val="005E57BB"/>
    <w:rsid w:val="005E5B44"/>
    <w:rsid w:val="005E67FF"/>
    <w:rsid w:val="005E716B"/>
    <w:rsid w:val="005E722C"/>
    <w:rsid w:val="005E7A15"/>
    <w:rsid w:val="005F0017"/>
    <w:rsid w:val="005F051C"/>
    <w:rsid w:val="005F1704"/>
    <w:rsid w:val="005F1A12"/>
    <w:rsid w:val="005F2627"/>
    <w:rsid w:val="005F351A"/>
    <w:rsid w:val="005F3F6E"/>
    <w:rsid w:val="005F6FA8"/>
    <w:rsid w:val="005F75E9"/>
    <w:rsid w:val="006014A7"/>
    <w:rsid w:val="006014F1"/>
    <w:rsid w:val="006020FB"/>
    <w:rsid w:val="00603B3A"/>
    <w:rsid w:val="00604BCA"/>
    <w:rsid w:val="0060590E"/>
    <w:rsid w:val="00606073"/>
    <w:rsid w:val="00606549"/>
    <w:rsid w:val="00606817"/>
    <w:rsid w:val="0060692B"/>
    <w:rsid w:val="006073E3"/>
    <w:rsid w:val="006077B5"/>
    <w:rsid w:val="00610154"/>
    <w:rsid w:val="006112A7"/>
    <w:rsid w:val="00611DBB"/>
    <w:rsid w:val="006130AE"/>
    <w:rsid w:val="0061357B"/>
    <w:rsid w:val="0061417B"/>
    <w:rsid w:val="006148A8"/>
    <w:rsid w:val="0061494E"/>
    <w:rsid w:val="00614A7D"/>
    <w:rsid w:val="00616C0D"/>
    <w:rsid w:val="00616CD9"/>
    <w:rsid w:val="00617DEE"/>
    <w:rsid w:val="0062032B"/>
    <w:rsid w:val="006205AF"/>
    <w:rsid w:val="00621709"/>
    <w:rsid w:val="0062291F"/>
    <w:rsid w:val="00622970"/>
    <w:rsid w:val="00624BF4"/>
    <w:rsid w:val="006253B5"/>
    <w:rsid w:val="006262D5"/>
    <w:rsid w:val="00626514"/>
    <w:rsid w:val="00630601"/>
    <w:rsid w:val="00630902"/>
    <w:rsid w:val="006314AE"/>
    <w:rsid w:val="0063212C"/>
    <w:rsid w:val="00632A79"/>
    <w:rsid w:val="006331ED"/>
    <w:rsid w:val="006338A7"/>
    <w:rsid w:val="006339DD"/>
    <w:rsid w:val="00633A1E"/>
    <w:rsid w:val="00634206"/>
    <w:rsid w:val="0063508E"/>
    <w:rsid w:val="0063536C"/>
    <w:rsid w:val="00635787"/>
    <w:rsid w:val="0063631C"/>
    <w:rsid w:val="00636518"/>
    <w:rsid w:val="00636E01"/>
    <w:rsid w:val="00636FB7"/>
    <w:rsid w:val="0063757B"/>
    <w:rsid w:val="006377CE"/>
    <w:rsid w:val="0063782D"/>
    <w:rsid w:val="00637CA9"/>
    <w:rsid w:val="00637CB8"/>
    <w:rsid w:val="00642049"/>
    <w:rsid w:val="006425FA"/>
    <w:rsid w:val="00645883"/>
    <w:rsid w:val="00646E63"/>
    <w:rsid w:val="00647056"/>
    <w:rsid w:val="006473AB"/>
    <w:rsid w:val="0064759A"/>
    <w:rsid w:val="006502EB"/>
    <w:rsid w:val="006505DB"/>
    <w:rsid w:val="006505E7"/>
    <w:rsid w:val="0065089F"/>
    <w:rsid w:val="00651961"/>
    <w:rsid w:val="00652797"/>
    <w:rsid w:val="00652861"/>
    <w:rsid w:val="006537D9"/>
    <w:rsid w:val="00654CEF"/>
    <w:rsid w:val="00655F61"/>
    <w:rsid w:val="00656998"/>
    <w:rsid w:val="0065715C"/>
    <w:rsid w:val="0065771F"/>
    <w:rsid w:val="00662C53"/>
    <w:rsid w:val="00662FF8"/>
    <w:rsid w:val="0066354B"/>
    <w:rsid w:val="00664663"/>
    <w:rsid w:val="00664775"/>
    <w:rsid w:val="00664A48"/>
    <w:rsid w:val="006652E6"/>
    <w:rsid w:val="00665723"/>
    <w:rsid w:val="00665DEF"/>
    <w:rsid w:val="00666106"/>
    <w:rsid w:val="006661EC"/>
    <w:rsid w:val="006663EC"/>
    <w:rsid w:val="006671B9"/>
    <w:rsid w:val="00667574"/>
    <w:rsid w:val="006677D4"/>
    <w:rsid w:val="0066797A"/>
    <w:rsid w:val="006705A6"/>
    <w:rsid w:val="006716E4"/>
    <w:rsid w:val="00671825"/>
    <w:rsid w:val="00672CBB"/>
    <w:rsid w:val="00673DE6"/>
    <w:rsid w:val="006750D1"/>
    <w:rsid w:val="00675330"/>
    <w:rsid w:val="006758BB"/>
    <w:rsid w:val="00675BB1"/>
    <w:rsid w:val="00676EA2"/>
    <w:rsid w:val="00676FEC"/>
    <w:rsid w:val="006775F1"/>
    <w:rsid w:val="00680275"/>
    <w:rsid w:val="00680F8F"/>
    <w:rsid w:val="006812BD"/>
    <w:rsid w:val="00682DD0"/>
    <w:rsid w:val="00683323"/>
    <w:rsid w:val="00683C24"/>
    <w:rsid w:val="006840EE"/>
    <w:rsid w:val="006846CD"/>
    <w:rsid w:val="00684A10"/>
    <w:rsid w:val="00685BF7"/>
    <w:rsid w:val="006863E3"/>
    <w:rsid w:val="0068749B"/>
    <w:rsid w:val="0068798F"/>
    <w:rsid w:val="00691302"/>
    <w:rsid w:val="0069167F"/>
    <w:rsid w:val="00691C31"/>
    <w:rsid w:val="00691C8E"/>
    <w:rsid w:val="006920AC"/>
    <w:rsid w:val="006921C8"/>
    <w:rsid w:val="00692433"/>
    <w:rsid w:val="00692AA7"/>
    <w:rsid w:val="00693368"/>
    <w:rsid w:val="00693643"/>
    <w:rsid w:val="00693DDE"/>
    <w:rsid w:val="006942AC"/>
    <w:rsid w:val="00694D83"/>
    <w:rsid w:val="00695B03"/>
    <w:rsid w:val="00695F49"/>
    <w:rsid w:val="006971B3"/>
    <w:rsid w:val="00697442"/>
    <w:rsid w:val="00697666"/>
    <w:rsid w:val="006977B5"/>
    <w:rsid w:val="00697FEC"/>
    <w:rsid w:val="006A175F"/>
    <w:rsid w:val="006A2A44"/>
    <w:rsid w:val="006A3F3F"/>
    <w:rsid w:val="006A44F5"/>
    <w:rsid w:val="006A4C98"/>
    <w:rsid w:val="006A4F90"/>
    <w:rsid w:val="006A5620"/>
    <w:rsid w:val="006A56E9"/>
    <w:rsid w:val="006A5FD5"/>
    <w:rsid w:val="006A620B"/>
    <w:rsid w:val="006A652A"/>
    <w:rsid w:val="006A6870"/>
    <w:rsid w:val="006A7229"/>
    <w:rsid w:val="006B02BB"/>
    <w:rsid w:val="006B0BA2"/>
    <w:rsid w:val="006B0FE3"/>
    <w:rsid w:val="006B1358"/>
    <w:rsid w:val="006B2591"/>
    <w:rsid w:val="006B27B1"/>
    <w:rsid w:val="006B3076"/>
    <w:rsid w:val="006B4537"/>
    <w:rsid w:val="006B54F3"/>
    <w:rsid w:val="006B5C35"/>
    <w:rsid w:val="006B5F85"/>
    <w:rsid w:val="006B5FB0"/>
    <w:rsid w:val="006B6929"/>
    <w:rsid w:val="006B709B"/>
    <w:rsid w:val="006B7F48"/>
    <w:rsid w:val="006C02BF"/>
    <w:rsid w:val="006C17A6"/>
    <w:rsid w:val="006C1B98"/>
    <w:rsid w:val="006C2591"/>
    <w:rsid w:val="006C2A6E"/>
    <w:rsid w:val="006C2D4C"/>
    <w:rsid w:val="006C3486"/>
    <w:rsid w:val="006C418C"/>
    <w:rsid w:val="006C43C4"/>
    <w:rsid w:val="006C54AF"/>
    <w:rsid w:val="006C5F61"/>
    <w:rsid w:val="006C74E3"/>
    <w:rsid w:val="006D1849"/>
    <w:rsid w:val="006D19F7"/>
    <w:rsid w:val="006D227B"/>
    <w:rsid w:val="006D27C5"/>
    <w:rsid w:val="006D3E1A"/>
    <w:rsid w:val="006D46C9"/>
    <w:rsid w:val="006D6601"/>
    <w:rsid w:val="006D69E2"/>
    <w:rsid w:val="006D6C24"/>
    <w:rsid w:val="006D749A"/>
    <w:rsid w:val="006D7A62"/>
    <w:rsid w:val="006D7B29"/>
    <w:rsid w:val="006E0181"/>
    <w:rsid w:val="006E1580"/>
    <w:rsid w:val="006E179A"/>
    <w:rsid w:val="006E1A58"/>
    <w:rsid w:val="006E20AB"/>
    <w:rsid w:val="006E2775"/>
    <w:rsid w:val="006E34E5"/>
    <w:rsid w:val="006E42A0"/>
    <w:rsid w:val="006F0045"/>
    <w:rsid w:val="006F09E8"/>
    <w:rsid w:val="006F11A8"/>
    <w:rsid w:val="006F24FE"/>
    <w:rsid w:val="006F2D20"/>
    <w:rsid w:val="006F33D0"/>
    <w:rsid w:val="006F3419"/>
    <w:rsid w:val="006F3CB4"/>
    <w:rsid w:val="006F496E"/>
    <w:rsid w:val="006F4B13"/>
    <w:rsid w:val="006F4C22"/>
    <w:rsid w:val="006F541F"/>
    <w:rsid w:val="006F6A31"/>
    <w:rsid w:val="006F72FB"/>
    <w:rsid w:val="006F735E"/>
    <w:rsid w:val="006F7468"/>
    <w:rsid w:val="006F7862"/>
    <w:rsid w:val="006F7AD0"/>
    <w:rsid w:val="0070097A"/>
    <w:rsid w:val="00700C0E"/>
    <w:rsid w:val="0070160B"/>
    <w:rsid w:val="00701803"/>
    <w:rsid w:val="00702902"/>
    <w:rsid w:val="00703BB3"/>
    <w:rsid w:val="00704B8A"/>
    <w:rsid w:val="00704D7D"/>
    <w:rsid w:val="0070516A"/>
    <w:rsid w:val="00705DAD"/>
    <w:rsid w:val="00707457"/>
    <w:rsid w:val="00710529"/>
    <w:rsid w:val="007115E6"/>
    <w:rsid w:val="00711A2B"/>
    <w:rsid w:val="00711A75"/>
    <w:rsid w:val="00712DFC"/>
    <w:rsid w:val="0071385F"/>
    <w:rsid w:val="00713DCE"/>
    <w:rsid w:val="00715154"/>
    <w:rsid w:val="007155F0"/>
    <w:rsid w:val="007173BC"/>
    <w:rsid w:val="00717630"/>
    <w:rsid w:val="00717DDE"/>
    <w:rsid w:val="00720021"/>
    <w:rsid w:val="00720083"/>
    <w:rsid w:val="0072063B"/>
    <w:rsid w:val="00720A3D"/>
    <w:rsid w:val="0072105E"/>
    <w:rsid w:val="00721717"/>
    <w:rsid w:val="00722045"/>
    <w:rsid w:val="00722D77"/>
    <w:rsid w:val="0072331C"/>
    <w:rsid w:val="00724065"/>
    <w:rsid w:val="007247B9"/>
    <w:rsid w:val="00724B51"/>
    <w:rsid w:val="00724C84"/>
    <w:rsid w:val="00727D85"/>
    <w:rsid w:val="007304CD"/>
    <w:rsid w:val="00730D1C"/>
    <w:rsid w:val="00732B11"/>
    <w:rsid w:val="00732E1B"/>
    <w:rsid w:val="0073398B"/>
    <w:rsid w:val="007346C7"/>
    <w:rsid w:val="00735154"/>
    <w:rsid w:val="007353FA"/>
    <w:rsid w:val="00735B94"/>
    <w:rsid w:val="00735EAF"/>
    <w:rsid w:val="00736041"/>
    <w:rsid w:val="0073616A"/>
    <w:rsid w:val="00736195"/>
    <w:rsid w:val="0073674F"/>
    <w:rsid w:val="00737AB3"/>
    <w:rsid w:val="007408BB"/>
    <w:rsid w:val="007408C7"/>
    <w:rsid w:val="007411C5"/>
    <w:rsid w:val="007415C6"/>
    <w:rsid w:val="0074228C"/>
    <w:rsid w:val="00743A29"/>
    <w:rsid w:val="00744181"/>
    <w:rsid w:val="00744BBE"/>
    <w:rsid w:val="00745554"/>
    <w:rsid w:val="007458D0"/>
    <w:rsid w:val="00745AD3"/>
    <w:rsid w:val="00745CCB"/>
    <w:rsid w:val="007465DA"/>
    <w:rsid w:val="00750088"/>
    <w:rsid w:val="00750135"/>
    <w:rsid w:val="00752C7F"/>
    <w:rsid w:val="007530CD"/>
    <w:rsid w:val="00754851"/>
    <w:rsid w:val="00754BE2"/>
    <w:rsid w:val="0075514A"/>
    <w:rsid w:val="0075594C"/>
    <w:rsid w:val="00755FAE"/>
    <w:rsid w:val="00756276"/>
    <w:rsid w:val="00763DEE"/>
    <w:rsid w:val="00763EF2"/>
    <w:rsid w:val="0076430B"/>
    <w:rsid w:val="0076544F"/>
    <w:rsid w:val="00765A21"/>
    <w:rsid w:val="007671DE"/>
    <w:rsid w:val="00767FE8"/>
    <w:rsid w:val="00770434"/>
    <w:rsid w:val="0077079D"/>
    <w:rsid w:val="007708F3"/>
    <w:rsid w:val="007710C1"/>
    <w:rsid w:val="007718CA"/>
    <w:rsid w:val="00771CB0"/>
    <w:rsid w:val="00772660"/>
    <w:rsid w:val="007727F9"/>
    <w:rsid w:val="007730CC"/>
    <w:rsid w:val="007732D5"/>
    <w:rsid w:val="00773BC6"/>
    <w:rsid w:val="0077434D"/>
    <w:rsid w:val="007743FD"/>
    <w:rsid w:val="007757F7"/>
    <w:rsid w:val="00775AAD"/>
    <w:rsid w:val="00775B54"/>
    <w:rsid w:val="00776598"/>
    <w:rsid w:val="00776747"/>
    <w:rsid w:val="00776A2B"/>
    <w:rsid w:val="00777704"/>
    <w:rsid w:val="00777812"/>
    <w:rsid w:val="00780466"/>
    <w:rsid w:val="00781861"/>
    <w:rsid w:val="00782905"/>
    <w:rsid w:val="007859AC"/>
    <w:rsid w:val="00785C83"/>
    <w:rsid w:val="007864F9"/>
    <w:rsid w:val="00786912"/>
    <w:rsid w:val="00787CA5"/>
    <w:rsid w:val="00790D6B"/>
    <w:rsid w:val="00792200"/>
    <w:rsid w:val="00792948"/>
    <w:rsid w:val="00792B49"/>
    <w:rsid w:val="0079345F"/>
    <w:rsid w:val="0079393C"/>
    <w:rsid w:val="0079419C"/>
    <w:rsid w:val="00794554"/>
    <w:rsid w:val="00795315"/>
    <w:rsid w:val="00795F3B"/>
    <w:rsid w:val="00795FAD"/>
    <w:rsid w:val="00796CDD"/>
    <w:rsid w:val="00796E84"/>
    <w:rsid w:val="00797462"/>
    <w:rsid w:val="007A01CC"/>
    <w:rsid w:val="007A1137"/>
    <w:rsid w:val="007A2165"/>
    <w:rsid w:val="007A2201"/>
    <w:rsid w:val="007A3ADE"/>
    <w:rsid w:val="007A43B9"/>
    <w:rsid w:val="007A56E8"/>
    <w:rsid w:val="007A5733"/>
    <w:rsid w:val="007A5774"/>
    <w:rsid w:val="007A5781"/>
    <w:rsid w:val="007A63BB"/>
    <w:rsid w:val="007A6C2B"/>
    <w:rsid w:val="007A787F"/>
    <w:rsid w:val="007A7CC8"/>
    <w:rsid w:val="007B003F"/>
    <w:rsid w:val="007B1C8B"/>
    <w:rsid w:val="007B228D"/>
    <w:rsid w:val="007B25CD"/>
    <w:rsid w:val="007B30DD"/>
    <w:rsid w:val="007B3674"/>
    <w:rsid w:val="007B4E60"/>
    <w:rsid w:val="007C0C59"/>
    <w:rsid w:val="007C16F0"/>
    <w:rsid w:val="007C249A"/>
    <w:rsid w:val="007C306A"/>
    <w:rsid w:val="007C36F0"/>
    <w:rsid w:val="007C4AC2"/>
    <w:rsid w:val="007C4C45"/>
    <w:rsid w:val="007C5015"/>
    <w:rsid w:val="007C5178"/>
    <w:rsid w:val="007C6C74"/>
    <w:rsid w:val="007C6F8F"/>
    <w:rsid w:val="007C74B5"/>
    <w:rsid w:val="007D1C5D"/>
    <w:rsid w:val="007D1F85"/>
    <w:rsid w:val="007D20BC"/>
    <w:rsid w:val="007D2214"/>
    <w:rsid w:val="007D2972"/>
    <w:rsid w:val="007D39A4"/>
    <w:rsid w:val="007D7755"/>
    <w:rsid w:val="007D7BB7"/>
    <w:rsid w:val="007E0209"/>
    <w:rsid w:val="007E0B2A"/>
    <w:rsid w:val="007E0EBE"/>
    <w:rsid w:val="007E282D"/>
    <w:rsid w:val="007E35A7"/>
    <w:rsid w:val="007E584C"/>
    <w:rsid w:val="007E5AAB"/>
    <w:rsid w:val="007E5DC3"/>
    <w:rsid w:val="007F0352"/>
    <w:rsid w:val="007F0BC5"/>
    <w:rsid w:val="007F0D2B"/>
    <w:rsid w:val="007F153A"/>
    <w:rsid w:val="007F1648"/>
    <w:rsid w:val="007F1B8A"/>
    <w:rsid w:val="007F20F2"/>
    <w:rsid w:val="007F2865"/>
    <w:rsid w:val="007F3929"/>
    <w:rsid w:val="007F46E8"/>
    <w:rsid w:val="007F4BF0"/>
    <w:rsid w:val="007F4E80"/>
    <w:rsid w:val="007F52EE"/>
    <w:rsid w:val="007F6193"/>
    <w:rsid w:val="007F6342"/>
    <w:rsid w:val="007F6645"/>
    <w:rsid w:val="007F684F"/>
    <w:rsid w:val="007F6B63"/>
    <w:rsid w:val="007F77F3"/>
    <w:rsid w:val="007F7C55"/>
    <w:rsid w:val="0080023E"/>
    <w:rsid w:val="008011D1"/>
    <w:rsid w:val="008016CE"/>
    <w:rsid w:val="008018A1"/>
    <w:rsid w:val="00801C12"/>
    <w:rsid w:val="00801E74"/>
    <w:rsid w:val="0080485E"/>
    <w:rsid w:val="00806D69"/>
    <w:rsid w:val="0080721F"/>
    <w:rsid w:val="00807582"/>
    <w:rsid w:val="00811136"/>
    <w:rsid w:val="00811227"/>
    <w:rsid w:val="008122E0"/>
    <w:rsid w:val="00812614"/>
    <w:rsid w:val="00812747"/>
    <w:rsid w:val="00812A38"/>
    <w:rsid w:val="0081408B"/>
    <w:rsid w:val="008142B4"/>
    <w:rsid w:val="00814B2A"/>
    <w:rsid w:val="00814C3E"/>
    <w:rsid w:val="0081501E"/>
    <w:rsid w:val="0081581A"/>
    <w:rsid w:val="00816D2F"/>
    <w:rsid w:val="00820024"/>
    <w:rsid w:val="00820F39"/>
    <w:rsid w:val="00820FE3"/>
    <w:rsid w:val="0082152C"/>
    <w:rsid w:val="0082198F"/>
    <w:rsid w:val="00822A8B"/>
    <w:rsid w:val="0082345F"/>
    <w:rsid w:val="00823809"/>
    <w:rsid w:val="00823F6C"/>
    <w:rsid w:val="00824288"/>
    <w:rsid w:val="008242DC"/>
    <w:rsid w:val="00824D0F"/>
    <w:rsid w:val="00824F67"/>
    <w:rsid w:val="0082671A"/>
    <w:rsid w:val="00826A10"/>
    <w:rsid w:val="00826D77"/>
    <w:rsid w:val="008272E1"/>
    <w:rsid w:val="00830DF0"/>
    <w:rsid w:val="00831594"/>
    <w:rsid w:val="00831ACE"/>
    <w:rsid w:val="00831DC8"/>
    <w:rsid w:val="00831F9A"/>
    <w:rsid w:val="00832043"/>
    <w:rsid w:val="00832324"/>
    <w:rsid w:val="008324C8"/>
    <w:rsid w:val="008325E8"/>
    <w:rsid w:val="00832605"/>
    <w:rsid w:val="0083366A"/>
    <w:rsid w:val="00834C0F"/>
    <w:rsid w:val="00835337"/>
    <w:rsid w:val="008356BD"/>
    <w:rsid w:val="0083640C"/>
    <w:rsid w:val="00836E23"/>
    <w:rsid w:val="00840258"/>
    <w:rsid w:val="0084047F"/>
    <w:rsid w:val="008408A6"/>
    <w:rsid w:val="00840E22"/>
    <w:rsid w:val="00841151"/>
    <w:rsid w:val="00841D0D"/>
    <w:rsid w:val="008423B9"/>
    <w:rsid w:val="00842EF5"/>
    <w:rsid w:val="008432E8"/>
    <w:rsid w:val="00844329"/>
    <w:rsid w:val="008444C8"/>
    <w:rsid w:val="008446F3"/>
    <w:rsid w:val="008451FC"/>
    <w:rsid w:val="0084542A"/>
    <w:rsid w:val="00846508"/>
    <w:rsid w:val="008469CD"/>
    <w:rsid w:val="00846CB9"/>
    <w:rsid w:val="00846D63"/>
    <w:rsid w:val="00846DCD"/>
    <w:rsid w:val="00847A91"/>
    <w:rsid w:val="008504FF"/>
    <w:rsid w:val="00851D85"/>
    <w:rsid w:val="00853B27"/>
    <w:rsid w:val="00854529"/>
    <w:rsid w:val="008568DA"/>
    <w:rsid w:val="00856A78"/>
    <w:rsid w:val="00857E61"/>
    <w:rsid w:val="00860009"/>
    <w:rsid w:val="0086092F"/>
    <w:rsid w:val="008609E5"/>
    <w:rsid w:val="00860CCB"/>
    <w:rsid w:val="0086176A"/>
    <w:rsid w:val="00862759"/>
    <w:rsid w:val="0086283D"/>
    <w:rsid w:val="008635C0"/>
    <w:rsid w:val="0086477B"/>
    <w:rsid w:val="00865A21"/>
    <w:rsid w:val="008666B9"/>
    <w:rsid w:val="00866723"/>
    <w:rsid w:val="008668AA"/>
    <w:rsid w:val="00866940"/>
    <w:rsid w:val="00867B7D"/>
    <w:rsid w:val="008709B6"/>
    <w:rsid w:val="00870ADE"/>
    <w:rsid w:val="0087252A"/>
    <w:rsid w:val="008732C0"/>
    <w:rsid w:val="008740A3"/>
    <w:rsid w:val="008740D0"/>
    <w:rsid w:val="00874CB7"/>
    <w:rsid w:val="00874EEB"/>
    <w:rsid w:val="00875FA8"/>
    <w:rsid w:val="008774D4"/>
    <w:rsid w:val="00877B65"/>
    <w:rsid w:val="008805CA"/>
    <w:rsid w:val="008809B5"/>
    <w:rsid w:val="00881527"/>
    <w:rsid w:val="0088155B"/>
    <w:rsid w:val="00882986"/>
    <w:rsid w:val="00882BCA"/>
    <w:rsid w:val="008830B0"/>
    <w:rsid w:val="00886D15"/>
    <w:rsid w:val="00886EF0"/>
    <w:rsid w:val="00887674"/>
    <w:rsid w:val="00891B1D"/>
    <w:rsid w:val="00891FC5"/>
    <w:rsid w:val="0089297B"/>
    <w:rsid w:val="00892F35"/>
    <w:rsid w:val="00892F82"/>
    <w:rsid w:val="00893426"/>
    <w:rsid w:val="00893625"/>
    <w:rsid w:val="00893CFB"/>
    <w:rsid w:val="0089482C"/>
    <w:rsid w:val="00894C44"/>
    <w:rsid w:val="008951AB"/>
    <w:rsid w:val="00895294"/>
    <w:rsid w:val="00895EE6"/>
    <w:rsid w:val="00895FC2"/>
    <w:rsid w:val="00896544"/>
    <w:rsid w:val="0089727F"/>
    <w:rsid w:val="008A37E9"/>
    <w:rsid w:val="008A420A"/>
    <w:rsid w:val="008A544C"/>
    <w:rsid w:val="008A587A"/>
    <w:rsid w:val="008A6A7D"/>
    <w:rsid w:val="008A7C75"/>
    <w:rsid w:val="008B0504"/>
    <w:rsid w:val="008B0522"/>
    <w:rsid w:val="008B14F8"/>
    <w:rsid w:val="008B2B97"/>
    <w:rsid w:val="008B5D27"/>
    <w:rsid w:val="008B616B"/>
    <w:rsid w:val="008B6319"/>
    <w:rsid w:val="008B6461"/>
    <w:rsid w:val="008B6561"/>
    <w:rsid w:val="008B6D20"/>
    <w:rsid w:val="008C14E7"/>
    <w:rsid w:val="008C1719"/>
    <w:rsid w:val="008C1A88"/>
    <w:rsid w:val="008C255F"/>
    <w:rsid w:val="008C36CA"/>
    <w:rsid w:val="008C37E4"/>
    <w:rsid w:val="008C4EBC"/>
    <w:rsid w:val="008C55C3"/>
    <w:rsid w:val="008C5AA2"/>
    <w:rsid w:val="008C77CE"/>
    <w:rsid w:val="008C78EB"/>
    <w:rsid w:val="008D0772"/>
    <w:rsid w:val="008D090B"/>
    <w:rsid w:val="008D11AC"/>
    <w:rsid w:val="008D1CC6"/>
    <w:rsid w:val="008D3F73"/>
    <w:rsid w:val="008D46C3"/>
    <w:rsid w:val="008D46E1"/>
    <w:rsid w:val="008D4F2B"/>
    <w:rsid w:val="008D64E9"/>
    <w:rsid w:val="008D7043"/>
    <w:rsid w:val="008D732F"/>
    <w:rsid w:val="008D7E18"/>
    <w:rsid w:val="008E017E"/>
    <w:rsid w:val="008E0EC8"/>
    <w:rsid w:val="008E26DE"/>
    <w:rsid w:val="008E3A43"/>
    <w:rsid w:val="008E3A4B"/>
    <w:rsid w:val="008E3F8C"/>
    <w:rsid w:val="008E45E2"/>
    <w:rsid w:val="008E58AD"/>
    <w:rsid w:val="008F119A"/>
    <w:rsid w:val="008F3732"/>
    <w:rsid w:val="008F395B"/>
    <w:rsid w:val="008F5914"/>
    <w:rsid w:val="008F5B45"/>
    <w:rsid w:val="008F78B0"/>
    <w:rsid w:val="00901CE4"/>
    <w:rsid w:val="00902FD0"/>
    <w:rsid w:val="0090388A"/>
    <w:rsid w:val="00903C06"/>
    <w:rsid w:val="009053D3"/>
    <w:rsid w:val="0090621A"/>
    <w:rsid w:val="009067BF"/>
    <w:rsid w:val="0090691F"/>
    <w:rsid w:val="00907514"/>
    <w:rsid w:val="0091039C"/>
    <w:rsid w:val="0091044E"/>
    <w:rsid w:val="00910866"/>
    <w:rsid w:val="0091097C"/>
    <w:rsid w:val="00910FB7"/>
    <w:rsid w:val="009126DE"/>
    <w:rsid w:val="00912B58"/>
    <w:rsid w:val="00912D67"/>
    <w:rsid w:val="00913910"/>
    <w:rsid w:val="009145EB"/>
    <w:rsid w:val="00914A30"/>
    <w:rsid w:val="00914E74"/>
    <w:rsid w:val="00915377"/>
    <w:rsid w:val="009155FE"/>
    <w:rsid w:val="00916066"/>
    <w:rsid w:val="00917080"/>
    <w:rsid w:val="00920013"/>
    <w:rsid w:val="009202DF"/>
    <w:rsid w:val="00922C34"/>
    <w:rsid w:val="00922D46"/>
    <w:rsid w:val="00923447"/>
    <w:rsid w:val="00923BDD"/>
    <w:rsid w:val="00924216"/>
    <w:rsid w:val="00924FB5"/>
    <w:rsid w:val="009261AF"/>
    <w:rsid w:val="009266DB"/>
    <w:rsid w:val="00927EB3"/>
    <w:rsid w:val="009310E7"/>
    <w:rsid w:val="0093111F"/>
    <w:rsid w:val="00931D3C"/>
    <w:rsid w:val="009323F5"/>
    <w:rsid w:val="009325FD"/>
    <w:rsid w:val="009326AF"/>
    <w:rsid w:val="00932AA6"/>
    <w:rsid w:val="00933956"/>
    <w:rsid w:val="0093474D"/>
    <w:rsid w:val="009348EC"/>
    <w:rsid w:val="00935071"/>
    <w:rsid w:val="00935689"/>
    <w:rsid w:val="00935A59"/>
    <w:rsid w:val="00936601"/>
    <w:rsid w:val="00937244"/>
    <w:rsid w:val="00937BD6"/>
    <w:rsid w:val="009400E3"/>
    <w:rsid w:val="0094032E"/>
    <w:rsid w:val="00942E96"/>
    <w:rsid w:val="009430CA"/>
    <w:rsid w:val="009430CC"/>
    <w:rsid w:val="00943F63"/>
    <w:rsid w:val="00944137"/>
    <w:rsid w:val="0094434A"/>
    <w:rsid w:val="009447F6"/>
    <w:rsid w:val="00944958"/>
    <w:rsid w:val="00944E7B"/>
    <w:rsid w:val="0094532C"/>
    <w:rsid w:val="00945A3E"/>
    <w:rsid w:val="00945DD1"/>
    <w:rsid w:val="0095038F"/>
    <w:rsid w:val="00950434"/>
    <w:rsid w:val="00950B50"/>
    <w:rsid w:val="00951BCE"/>
    <w:rsid w:val="00952A62"/>
    <w:rsid w:val="0095303B"/>
    <w:rsid w:val="0095474B"/>
    <w:rsid w:val="00955680"/>
    <w:rsid w:val="009560A2"/>
    <w:rsid w:val="00956946"/>
    <w:rsid w:val="00957A5D"/>
    <w:rsid w:val="00960C94"/>
    <w:rsid w:val="009612B7"/>
    <w:rsid w:val="009633BB"/>
    <w:rsid w:val="009635BF"/>
    <w:rsid w:val="0096423A"/>
    <w:rsid w:val="00964451"/>
    <w:rsid w:val="00964543"/>
    <w:rsid w:val="00966065"/>
    <w:rsid w:val="0096615C"/>
    <w:rsid w:val="00966214"/>
    <w:rsid w:val="009663B6"/>
    <w:rsid w:val="00966AC5"/>
    <w:rsid w:val="00967553"/>
    <w:rsid w:val="00967796"/>
    <w:rsid w:val="00967856"/>
    <w:rsid w:val="00967C74"/>
    <w:rsid w:val="00970091"/>
    <w:rsid w:val="00970CAA"/>
    <w:rsid w:val="009718D7"/>
    <w:rsid w:val="00972E2F"/>
    <w:rsid w:val="00972ED1"/>
    <w:rsid w:val="009730C8"/>
    <w:rsid w:val="00973793"/>
    <w:rsid w:val="00973BD2"/>
    <w:rsid w:val="00973DF2"/>
    <w:rsid w:val="009747EF"/>
    <w:rsid w:val="00974A47"/>
    <w:rsid w:val="0097602E"/>
    <w:rsid w:val="00977BAF"/>
    <w:rsid w:val="00977CD2"/>
    <w:rsid w:val="00980286"/>
    <w:rsid w:val="00981082"/>
    <w:rsid w:val="00981155"/>
    <w:rsid w:val="00981DA5"/>
    <w:rsid w:val="009835C9"/>
    <w:rsid w:val="00984709"/>
    <w:rsid w:val="00984BA5"/>
    <w:rsid w:val="00985778"/>
    <w:rsid w:val="009865D8"/>
    <w:rsid w:val="009869E8"/>
    <w:rsid w:val="009873C5"/>
    <w:rsid w:val="009902CD"/>
    <w:rsid w:val="00990BA4"/>
    <w:rsid w:val="00990C02"/>
    <w:rsid w:val="00990DCF"/>
    <w:rsid w:val="0099148C"/>
    <w:rsid w:val="0099152F"/>
    <w:rsid w:val="0099168D"/>
    <w:rsid w:val="0099189E"/>
    <w:rsid w:val="00991AC1"/>
    <w:rsid w:val="0099205B"/>
    <w:rsid w:val="00993056"/>
    <w:rsid w:val="009937C4"/>
    <w:rsid w:val="00994EE5"/>
    <w:rsid w:val="00995E12"/>
    <w:rsid w:val="00996847"/>
    <w:rsid w:val="00996B64"/>
    <w:rsid w:val="00997A43"/>
    <w:rsid w:val="009A0EB6"/>
    <w:rsid w:val="009A1AEE"/>
    <w:rsid w:val="009A2A03"/>
    <w:rsid w:val="009A2E84"/>
    <w:rsid w:val="009A35E2"/>
    <w:rsid w:val="009A3A73"/>
    <w:rsid w:val="009A41EE"/>
    <w:rsid w:val="009A4CD6"/>
    <w:rsid w:val="009A537C"/>
    <w:rsid w:val="009A5550"/>
    <w:rsid w:val="009A617A"/>
    <w:rsid w:val="009A6C3E"/>
    <w:rsid w:val="009A6E99"/>
    <w:rsid w:val="009A78A3"/>
    <w:rsid w:val="009A7DCA"/>
    <w:rsid w:val="009B015E"/>
    <w:rsid w:val="009B0BA1"/>
    <w:rsid w:val="009B112E"/>
    <w:rsid w:val="009B1161"/>
    <w:rsid w:val="009B2046"/>
    <w:rsid w:val="009B21DF"/>
    <w:rsid w:val="009B23F2"/>
    <w:rsid w:val="009B244D"/>
    <w:rsid w:val="009B45DF"/>
    <w:rsid w:val="009B4D09"/>
    <w:rsid w:val="009B5E7B"/>
    <w:rsid w:val="009B77D6"/>
    <w:rsid w:val="009C02FC"/>
    <w:rsid w:val="009C0541"/>
    <w:rsid w:val="009C0886"/>
    <w:rsid w:val="009C19EE"/>
    <w:rsid w:val="009C1DB8"/>
    <w:rsid w:val="009C2579"/>
    <w:rsid w:val="009C28D0"/>
    <w:rsid w:val="009C35F2"/>
    <w:rsid w:val="009C39C4"/>
    <w:rsid w:val="009C3E15"/>
    <w:rsid w:val="009C4EF6"/>
    <w:rsid w:val="009C7782"/>
    <w:rsid w:val="009D0678"/>
    <w:rsid w:val="009D0CB0"/>
    <w:rsid w:val="009D0EDF"/>
    <w:rsid w:val="009D1ED5"/>
    <w:rsid w:val="009D2599"/>
    <w:rsid w:val="009D26F5"/>
    <w:rsid w:val="009D3C6B"/>
    <w:rsid w:val="009D4193"/>
    <w:rsid w:val="009D4C13"/>
    <w:rsid w:val="009D5935"/>
    <w:rsid w:val="009D6449"/>
    <w:rsid w:val="009D695C"/>
    <w:rsid w:val="009D6E10"/>
    <w:rsid w:val="009D7393"/>
    <w:rsid w:val="009D73B5"/>
    <w:rsid w:val="009D75A8"/>
    <w:rsid w:val="009E13F0"/>
    <w:rsid w:val="009E15BD"/>
    <w:rsid w:val="009E1A6B"/>
    <w:rsid w:val="009E21A7"/>
    <w:rsid w:val="009E226A"/>
    <w:rsid w:val="009E251D"/>
    <w:rsid w:val="009E2D88"/>
    <w:rsid w:val="009E30FA"/>
    <w:rsid w:val="009E36D5"/>
    <w:rsid w:val="009E5B7A"/>
    <w:rsid w:val="009E6105"/>
    <w:rsid w:val="009E625D"/>
    <w:rsid w:val="009E63CC"/>
    <w:rsid w:val="009E66CE"/>
    <w:rsid w:val="009E75AD"/>
    <w:rsid w:val="009F0501"/>
    <w:rsid w:val="009F195F"/>
    <w:rsid w:val="009F2651"/>
    <w:rsid w:val="009F3120"/>
    <w:rsid w:val="009F3ABC"/>
    <w:rsid w:val="009F4799"/>
    <w:rsid w:val="009F528D"/>
    <w:rsid w:val="009F603A"/>
    <w:rsid w:val="00A002AF"/>
    <w:rsid w:val="00A00F7A"/>
    <w:rsid w:val="00A021F9"/>
    <w:rsid w:val="00A02EA2"/>
    <w:rsid w:val="00A031FC"/>
    <w:rsid w:val="00A03908"/>
    <w:rsid w:val="00A04819"/>
    <w:rsid w:val="00A052E3"/>
    <w:rsid w:val="00A0556E"/>
    <w:rsid w:val="00A05651"/>
    <w:rsid w:val="00A064B9"/>
    <w:rsid w:val="00A07C8D"/>
    <w:rsid w:val="00A103ED"/>
    <w:rsid w:val="00A112DA"/>
    <w:rsid w:val="00A128AC"/>
    <w:rsid w:val="00A1359E"/>
    <w:rsid w:val="00A13998"/>
    <w:rsid w:val="00A13C60"/>
    <w:rsid w:val="00A14C98"/>
    <w:rsid w:val="00A15079"/>
    <w:rsid w:val="00A15134"/>
    <w:rsid w:val="00A15B29"/>
    <w:rsid w:val="00A16D8E"/>
    <w:rsid w:val="00A16E95"/>
    <w:rsid w:val="00A174D1"/>
    <w:rsid w:val="00A17A3E"/>
    <w:rsid w:val="00A17A69"/>
    <w:rsid w:val="00A17F5B"/>
    <w:rsid w:val="00A20B45"/>
    <w:rsid w:val="00A211AC"/>
    <w:rsid w:val="00A21797"/>
    <w:rsid w:val="00A2300F"/>
    <w:rsid w:val="00A23131"/>
    <w:rsid w:val="00A23E18"/>
    <w:rsid w:val="00A25288"/>
    <w:rsid w:val="00A25CDB"/>
    <w:rsid w:val="00A27602"/>
    <w:rsid w:val="00A278FD"/>
    <w:rsid w:val="00A27A81"/>
    <w:rsid w:val="00A313CF"/>
    <w:rsid w:val="00A31837"/>
    <w:rsid w:val="00A31C6E"/>
    <w:rsid w:val="00A31E66"/>
    <w:rsid w:val="00A32236"/>
    <w:rsid w:val="00A32EDF"/>
    <w:rsid w:val="00A332E7"/>
    <w:rsid w:val="00A334C8"/>
    <w:rsid w:val="00A3399E"/>
    <w:rsid w:val="00A33EBB"/>
    <w:rsid w:val="00A34056"/>
    <w:rsid w:val="00A341A3"/>
    <w:rsid w:val="00A343B1"/>
    <w:rsid w:val="00A356AA"/>
    <w:rsid w:val="00A35800"/>
    <w:rsid w:val="00A36926"/>
    <w:rsid w:val="00A37B35"/>
    <w:rsid w:val="00A37D49"/>
    <w:rsid w:val="00A37E5D"/>
    <w:rsid w:val="00A40628"/>
    <w:rsid w:val="00A40F5A"/>
    <w:rsid w:val="00A410BA"/>
    <w:rsid w:val="00A41592"/>
    <w:rsid w:val="00A41A45"/>
    <w:rsid w:val="00A42433"/>
    <w:rsid w:val="00A43096"/>
    <w:rsid w:val="00A435FD"/>
    <w:rsid w:val="00A4475F"/>
    <w:rsid w:val="00A44C0A"/>
    <w:rsid w:val="00A44F18"/>
    <w:rsid w:val="00A454B7"/>
    <w:rsid w:val="00A46BB4"/>
    <w:rsid w:val="00A51EB5"/>
    <w:rsid w:val="00A5201F"/>
    <w:rsid w:val="00A52918"/>
    <w:rsid w:val="00A52951"/>
    <w:rsid w:val="00A52F40"/>
    <w:rsid w:val="00A53AA4"/>
    <w:rsid w:val="00A53D94"/>
    <w:rsid w:val="00A547B3"/>
    <w:rsid w:val="00A55CF4"/>
    <w:rsid w:val="00A56D48"/>
    <w:rsid w:val="00A5780F"/>
    <w:rsid w:val="00A6189B"/>
    <w:rsid w:val="00A62ED6"/>
    <w:rsid w:val="00A63E84"/>
    <w:rsid w:val="00A6403D"/>
    <w:rsid w:val="00A664E5"/>
    <w:rsid w:val="00A67F69"/>
    <w:rsid w:val="00A70E82"/>
    <w:rsid w:val="00A71434"/>
    <w:rsid w:val="00A7161F"/>
    <w:rsid w:val="00A72196"/>
    <w:rsid w:val="00A72893"/>
    <w:rsid w:val="00A72AED"/>
    <w:rsid w:val="00A73C0B"/>
    <w:rsid w:val="00A74F7B"/>
    <w:rsid w:val="00A7644F"/>
    <w:rsid w:val="00A77627"/>
    <w:rsid w:val="00A811C4"/>
    <w:rsid w:val="00A811DD"/>
    <w:rsid w:val="00A81EB1"/>
    <w:rsid w:val="00A8227D"/>
    <w:rsid w:val="00A82D60"/>
    <w:rsid w:val="00A83E22"/>
    <w:rsid w:val="00A84CAD"/>
    <w:rsid w:val="00A862B2"/>
    <w:rsid w:val="00A9002A"/>
    <w:rsid w:val="00A90651"/>
    <w:rsid w:val="00A90D52"/>
    <w:rsid w:val="00A90E50"/>
    <w:rsid w:val="00A914B0"/>
    <w:rsid w:val="00A91BD5"/>
    <w:rsid w:val="00A92C38"/>
    <w:rsid w:val="00A9347C"/>
    <w:rsid w:val="00A9494C"/>
    <w:rsid w:val="00A95377"/>
    <w:rsid w:val="00A954A1"/>
    <w:rsid w:val="00A95977"/>
    <w:rsid w:val="00A95FA5"/>
    <w:rsid w:val="00A96D60"/>
    <w:rsid w:val="00A96D92"/>
    <w:rsid w:val="00A975D4"/>
    <w:rsid w:val="00A97B7C"/>
    <w:rsid w:val="00A97BED"/>
    <w:rsid w:val="00A97C89"/>
    <w:rsid w:val="00AA0096"/>
    <w:rsid w:val="00AA0B3C"/>
    <w:rsid w:val="00AA3062"/>
    <w:rsid w:val="00AA382E"/>
    <w:rsid w:val="00AA5DF9"/>
    <w:rsid w:val="00AA6207"/>
    <w:rsid w:val="00AA6AD9"/>
    <w:rsid w:val="00AB0947"/>
    <w:rsid w:val="00AB1699"/>
    <w:rsid w:val="00AB18F4"/>
    <w:rsid w:val="00AB199C"/>
    <w:rsid w:val="00AB225F"/>
    <w:rsid w:val="00AB34AF"/>
    <w:rsid w:val="00AB3733"/>
    <w:rsid w:val="00AB389F"/>
    <w:rsid w:val="00AB3AD5"/>
    <w:rsid w:val="00AB3E50"/>
    <w:rsid w:val="00AB5221"/>
    <w:rsid w:val="00AB588C"/>
    <w:rsid w:val="00AB7220"/>
    <w:rsid w:val="00AB7897"/>
    <w:rsid w:val="00AC09E1"/>
    <w:rsid w:val="00AC0CC9"/>
    <w:rsid w:val="00AC0D01"/>
    <w:rsid w:val="00AC0E62"/>
    <w:rsid w:val="00AC2381"/>
    <w:rsid w:val="00AC2E65"/>
    <w:rsid w:val="00AC4233"/>
    <w:rsid w:val="00AC4529"/>
    <w:rsid w:val="00AC5054"/>
    <w:rsid w:val="00AC6385"/>
    <w:rsid w:val="00AC7988"/>
    <w:rsid w:val="00AC7989"/>
    <w:rsid w:val="00AD0A7C"/>
    <w:rsid w:val="00AD122F"/>
    <w:rsid w:val="00AD206A"/>
    <w:rsid w:val="00AD401A"/>
    <w:rsid w:val="00AD40ED"/>
    <w:rsid w:val="00AD4970"/>
    <w:rsid w:val="00AD6FCD"/>
    <w:rsid w:val="00AD744C"/>
    <w:rsid w:val="00AD7AA8"/>
    <w:rsid w:val="00AD7FD5"/>
    <w:rsid w:val="00AE0B22"/>
    <w:rsid w:val="00AE1672"/>
    <w:rsid w:val="00AE1B8E"/>
    <w:rsid w:val="00AE301B"/>
    <w:rsid w:val="00AE3FD0"/>
    <w:rsid w:val="00AE4574"/>
    <w:rsid w:val="00AE4BAC"/>
    <w:rsid w:val="00AE75BA"/>
    <w:rsid w:val="00AF126D"/>
    <w:rsid w:val="00AF2F3A"/>
    <w:rsid w:val="00AF3117"/>
    <w:rsid w:val="00AF494C"/>
    <w:rsid w:val="00AF4B4D"/>
    <w:rsid w:val="00AF4C52"/>
    <w:rsid w:val="00AF5D95"/>
    <w:rsid w:val="00AF5EB1"/>
    <w:rsid w:val="00AF67EF"/>
    <w:rsid w:val="00B001DB"/>
    <w:rsid w:val="00B0066E"/>
    <w:rsid w:val="00B02E37"/>
    <w:rsid w:val="00B034FC"/>
    <w:rsid w:val="00B0408F"/>
    <w:rsid w:val="00B05310"/>
    <w:rsid w:val="00B1025A"/>
    <w:rsid w:val="00B10A0B"/>
    <w:rsid w:val="00B11CFA"/>
    <w:rsid w:val="00B1224E"/>
    <w:rsid w:val="00B128EA"/>
    <w:rsid w:val="00B12E05"/>
    <w:rsid w:val="00B14D4C"/>
    <w:rsid w:val="00B1522D"/>
    <w:rsid w:val="00B15553"/>
    <w:rsid w:val="00B1558F"/>
    <w:rsid w:val="00B156C9"/>
    <w:rsid w:val="00B16554"/>
    <w:rsid w:val="00B1734F"/>
    <w:rsid w:val="00B17777"/>
    <w:rsid w:val="00B210AD"/>
    <w:rsid w:val="00B21D3A"/>
    <w:rsid w:val="00B23793"/>
    <w:rsid w:val="00B2604A"/>
    <w:rsid w:val="00B267EA"/>
    <w:rsid w:val="00B3063B"/>
    <w:rsid w:val="00B309A3"/>
    <w:rsid w:val="00B30BCE"/>
    <w:rsid w:val="00B30BE9"/>
    <w:rsid w:val="00B30D85"/>
    <w:rsid w:val="00B30F1A"/>
    <w:rsid w:val="00B319EC"/>
    <w:rsid w:val="00B32119"/>
    <w:rsid w:val="00B3256A"/>
    <w:rsid w:val="00B33E38"/>
    <w:rsid w:val="00B3539A"/>
    <w:rsid w:val="00B35A4A"/>
    <w:rsid w:val="00B35E5C"/>
    <w:rsid w:val="00B36308"/>
    <w:rsid w:val="00B37451"/>
    <w:rsid w:val="00B375B3"/>
    <w:rsid w:val="00B40109"/>
    <w:rsid w:val="00B406F9"/>
    <w:rsid w:val="00B41692"/>
    <w:rsid w:val="00B42345"/>
    <w:rsid w:val="00B43963"/>
    <w:rsid w:val="00B43E10"/>
    <w:rsid w:val="00B443CF"/>
    <w:rsid w:val="00B44440"/>
    <w:rsid w:val="00B448F4"/>
    <w:rsid w:val="00B44A0B"/>
    <w:rsid w:val="00B44A58"/>
    <w:rsid w:val="00B453CF"/>
    <w:rsid w:val="00B454FB"/>
    <w:rsid w:val="00B458A4"/>
    <w:rsid w:val="00B45968"/>
    <w:rsid w:val="00B46CDD"/>
    <w:rsid w:val="00B46FAD"/>
    <w:rsid w:val="00B473A1"/>
    <w:rsid w:val="00B474A0"/>
    <w:rsid w:val="00B4755C"/>
    <w:rsid w:val="00B475BA"/>
    <w:rsid w:val="00B47F7D"/>
    <w:rsid w:val="00B501F3"/>
    <w:rsid w:val="00B5024A"/>
    <w:rsid w:val="00B50275"/>
    <w:rsid w:val="00B50518"/>
    <w:rsid w:val="00B51BB9"/>
    <w:rsid w:val="00B52289"/>
    <w:rsid w:val="00B523E1"/>
    <w:rsid w:val="00B52687"/>
    <w:rsid w:val="00B53305"/>
    <w:rsid w:val="00B535D3"/>
    <w:rsid w:val="00B53901"/>
    <w:rsid w:val="00B54A6E"/>
    <w:rsid w:val="00B54C1A"/>
    <w:rsid w:val="00B55EAA"/>
    <w:rsid w:val="00B56ACB"/>
    <w:rsid w:val="00B605E3"/>
    <w:rsid w:val="00B61AAD"/>
    <w:rsid w:val="00B61C76"/>
    <w:rsid w:val="00B62033"/>
    <w:rsid w:val="00B62353"/>
    <w:rsid w:val="00B624E0"/>
    <w:rsid w:val="00B6320D"/>
    <w:rsid w:val="00B63989"/>
    <w:rsid w:val="00B63FD7"/>
    <w:rsid w:val="00B641D7"/>
    <w:rsid w:val="00B65959"/>
    <w:rsid w:val="00B65ECF"/>
    <w:rsid w:val="00B66CFF"/>
    <w:rsid w:val="00B66ED7"/>
    <w:rsid w:val="00B67DB1"/>
    <w:rsid w:val="00B67FE1"/>
    <w:rsid w:val="00B71258"/>
    <w:rsid w:val="00B73AA8"/>
    <w:rsid w:val="00B74419"/>
    <w:rsid w:val="00B748C8"/>
    <w:rsid w:val="00B74E8C"/>
    <w:rsid w:val="00B7592C"/>
    <w:rsid w:val="00B75DE0"/>
    <w:rsid w:val="00B75E43"/>
    <w:rsid w:val="00B75FA5"/>
    <w:rsid w:val="00B76625"/>
    <w:rsid w:val="00B76BF9"/>
    <w:rsid w:val="00B771E2"/>
    <w:rsid w:val="00B80518"/>
    <w:rsid w:val="00B806F0"/>
    <w:rsid w:val="00B816D9"/>
    <w:rsid w:val="00B8218A"/>
    <w:rsid w:val="00B85D31"/>
    <w:rsid w:val="00B90BD5"/>
    <w:rsid w:val="00B90BE8"/>
    <w:rsid w:val="00B91154"/>
    <w:rsid w:val="00B9120F"/>
    <w:rsid w:val="00B91335"/>
    <w:rsid w:val="00B9216C"/>
    <w:rsid w:val="00B921BC"/>
    <w:rsid w:val="00B924A4"/>
    <w:rsid w:val="00B92873"/>
    <w:rsid w:val="00B9298B"/>
    <w:rsid w:val="00B92CF7"/>
    <w:rsid w:val="00B93359"/>
    <w:rsid w:val="00B934E1"/>
    <w:rsid w:val="00B93809"/>
    <w:rsid w:val="00B9413D"/>
    <w:rsid w:val="00B94780"/>
    <w:rsid w:val="00B94FF4"/>
    <w:rsid w:val="00B96E99"/>
    <w:rsid w:val="00B97D4D"/>
    <w:rsid w:val="00BA000C"/>
    <w:rsid w:val="00BA05B9"/>
    <w:rsid w:val="00BA0824"/>
    <w:rsid w:val="00BA0D20"/>
    <w:rsid w:val="00BA2287"/>
    <w:rsid w:val="00BA29C8"/>
    <w:rsid w:val="00BA2B86"/>
    <w:rsid w:val="00BA3981"/>
    <w:rsid w:val="00BA4523"/>
    <w:rsid w:val="00BA476B"/>
    <w:rsid w:val="00BA4858"/>
    <w:rsid w:val="00BA6A1A"/>
    <w:rsid w:val="00BB0D1A"/>
    <w:rsid w:val="00BB0E4B"/>
    <w:rsid w:val="00BB1461"/>
    <w:rsid w:val="00BB1D3B"/>
    <w:rsid w:val="00BB2282"/>
    <w:rsid w:val="00BC0247"/>
    <w:rsid w:val="00BC0CC4"/>
    <w:rsid w:val="00BC0FC8"/>
    <w:rsid w:val="00BC18E3"/>
    <w:rsid w:val="00BC205D"/>
    <w:rsid w:val="00BC35ED"/>
    <w:rsid w:val="00BC378E"/>
    <w:rsid w:val="00BC5066"/>
    <w:rsid w:val="00BC5F3F"/>
    <w:rsid w:val="00BC662F"/>
    <w:rsid w:val="00BC6D82"/>
    <w:rsid w:val="00BC79CB"/>
    <w:rsid w:val="00BC7D05"/>
    <w:rsid w:val="00BD04A7"/>
    <w:rsid w:val="00BD20F2"/>
    <w:rsid w:val="00BD2392"/>
    <w:rsid w:val="00BD2565"/>
    <w:rsid w:val="00BD3BDF"/>
    <w:rsid w:val="00BD3D34"/>
    <w:rsid w:val="00BD4C53"/>
    <w:rsid w:val="00BD5168"/>
    <w:rsid w:val="00BD5348"/>
    <w:rsid w:val="00BD558B"/>
    <w:rsid w:val="00BD5B0B"/>
    <w:rsid w:val="00BD7A99"/>
    <w:rsid w:val="00BE1402"/>
    <w:rsid w:val="00BE205A"/>
    <w:rsid w:val="00BE212D"/>
    <w:rsid w:val="00BE222C"/>
    <w:rsid w:val="00BE22D9"/>
    <w:rsid w:val="00BE3802"/>
    <w:rsid w:val="00BE3CE0"/>
    <w:rsid w:val="00BE47B2"/>
    <w:rsid w:val="00BE56C7"/>
    <w:rsid w:val="00BE5B54"/>
    <w:rsid w:val="00BE5E3A"/>
    <w:rsid w:val="00BE6AA2"/>
    <w:rsid w:val="00BF238E"/>
    <w:rsid w:val="00BF27E7"/>
    <w:rsid w:val="00BF2BA1"/>
    <w:rsid w:val="00BF2F4A"/>
    <w:rsid w:val="00BF3AC8"/>
    <w:rsid w:val="00BF3C7D"/>
    <w:rsid w:val="00BF3E12"/>
    <w:rsid w:val="00BF423C"/>
    <w:rsid w:val="00BF4398"/>
    <w:rsid w:val="00BF5070"/>
    <w:rsid w:val="00BF544D"/>
    <w:rsid w:val="00BF5468"/>
    <w:rsid w:val="00BF60CF"/>
    <w:rsid w:val="00BF71E0"/>
    <w:rsid w:val="00C00004"/>
    <w:rsid w:val="00C0076F"/>
    <w:rsid w:val="00C00825"/>
    <w:rsid w:val="00C01AFB"/>
    <w:rsid w:val="00C0301C"/>
    <w:rsid w:val="00C0310F"/>
    <w:rsid w:val="00C032D9"/>
    <w:rsid w:val="00C036E2"/>
    <w:rsid w:val="00C04C79"/>
    <w:rsid w:val="00C050B6"/>
    <w:rsid w:val="00C05D26"/>
    <w:rsid w:val="00C05FC0"/>
    <w:rsid w:val="00C07A56"/>
    <w:rsid w:val="00C1010C"/>
    <w:rsid w:val="00C10567"/>
    <w:rsid w:val="00C10F12"/>
    <w:rsid w:val="00C10FF9"/>
    <w:rsid w:val="00C113B1"/>
    <w:rsid w:val="00C11914"/>
    <w:rsid w:val="00C122DD"/>
    <w:rsid w:val="00C12379"/>
    <w:rsid w:val="00C1274E"/>
    <w:rsid w:val="00C12C49"/>
    <w:rsid w:val="00C1300F"/>
    <w:rsid w:val="00C15DFB"/>
    <w:rsid w:val="00C163E8"/>
    <w:rsid w:val="00C171F3"/>
    <w:rsid w:val="00C17581"/>
    <w:rsid w:val="00C203DE"/>
    <w:rsid w:val="00C2144F"/>
    <w:rsid w:val="00C21A3D"/>
    <w:rsid w:val="00C225F9"/>
    <w:rsid w:val="00C22A6D"/>
    <w:rsid w:val="00C239EE"/>
    <w:rsid w:val="00C245EA"/>
    <w:rsid w:val="00C24C73"/>
    <w:rsid w:val="00C250F4"/>
    <w:rsid w:val="00C2547D"/>
    <w:rsid w:val="00C256F6"/>
    <w:rsid w:val="00C25C15"/>
    <w:rsid w:val="00C26338"/>
    <w:rsid w:val="00C276EB"/>
    <w:rsid w:val="00C3097E"/>
    <w:rsid w:val="00C314B2"/>
    <w:rsid w:val="00C31F44"/>
    <w:rsid w:val="00C33952"/>
    <w:rsid w:val="00C33A4D"/>
    <w:rsid w:val="00C33D48"/>
    <w:rsid w:val="00C357B9"/>
    <w:rsid w:val="00C35BE2"/>
    <w:rsid w:val="00C35CF6"/>
    <w:rsid w:val="00C35ECC"/>
    <w:rsid w:val="00C361A8"/>
    <w:rsid w:val="00C36230"/>
    <w:rsid w:val="00C37113"/>
    <w:rsid w:val="00C3717E"/>
    <w:rsid w:val="00C378BD"/>
    <w:rsid w:val="00C41246"/>
    <w:rsid w:val="00C4279A"/>
    <w:rsid w:val="00C43400"/>
    <w:rsid w:val="00C4384B"/>
    <w:rsid w:val="00C43DDA"/>
    <w:rsid w:val="00C44453"/>
    <w:rsid w:val="00C44AD9"/>
    <w:rsid w:val="00C45626"/>
    <w:rsid w:val="00C45E5F"/>
    <w:rsid w:val="00C45EB4"/>
    <w:rsid w:val="00C46291"/>
    <w:rsid w:val="00C46872"/>
    <w:rsid w:val="00C46AD2"/>
    <w:rsid w:val="00C46BA7"/>
    <w:rsid w:val="00C47C5B"/>
    <w:rsid w:val="00C47D28"/>
    <w:rsid w:val="00C50530"/>
    <w:rsid w:val="00C51819"/>
    <w:rsid w:val="00C532E2"/>
    <w:rsid w:val="00C53791"/>
    <w:rsid w:val="00C54737"/>
    <w:rsid w:val="00C557D6"/>
    <w:rsid w:val="00C562C2"/>
    <w:rsid w:val="00C56DA8"/>
    <w:rsid w:val="00C57460"/>
    <w:rsid w:val="00C57519"/>
    <w:rsid w:val="00C60379"/>
    <w:rsid w:val="00C604FE"/>
    <w:rsid w:val="00C6078E"/>
    <w:rsid w:val="00C60914"/>
    <w:rsid w:val="00C61706"/>
    <w:rsid w:val="00C63412"/>
    <w:rsid w:val="00C64D56"/>
    <w:rsid w:val="00C65125"/>
    <w:rsid w:val="00C6536B"/>
    <w:rsid w:val="00C653BE"/>
    <w:rsid w:val="00C66951"/>
    <w:rsid w:val="00C6725A"/>
    <w:rsid w:val="00C673CE"/>
    <w:rsid w:val="00C70343"/>
    <w:rsid w:val="00C70495"/>
    <w:rsid w:val="00C70641"/>
    <w:rsid w:val="00C7078A"/>
    <w:rsid w:val="00C70B75"/>
    <w:rsid w:val="00C714D0"/>
    <w:rsid w:val="00C72EFA"/>
    <w:rsid w:val="00C738E0"/>
    <w:rsid w:val="00C73A18"/>
    <w:rsid w:val="00C762C3"/>
    <w:rsid w:val="00C76B1B"/>
    <w:rsid w:val="00C77D43"/>
    <w:rsid w:val="00C81586"/>
    <w:rsid w:val="00C83782"/>
    <w:rsid w:val="00C83F6B"/>
    <w:rsid w:val="00C840BF"/>
    <w:rsid w:val="00C851D7"/>
    <w:rsid w:val="00C85DC4"/>
    <w:rsid w:val="00C86AD7"/>
    <w:rsid w:val="00C905CC"/>
    <w:rsid w:val="00C90AF0"/>
    <w:rsid w:val="00C90CC8"/>
    <w:rsid w:val="00C90CCF"/>
    <w:rsid w:val="00C90EF4"/>
    <w:rsid w:val="00C9147D"/>
    <w:rsid w:val="00C92E29"/>
    <w:rsid w:val="00C94C11"/>
    <w:rsid w:val="00C94F80"/>
    <w:rsid w:val="00C9543E"/>
    <w:rsid w:val="00C9693E"/>
    <w:rsid w:val="00C97274"/>
    <w:rsid w:val="00C975FA"/>
    <w:rsid w:val="00C979D4"/>
    <w:rsid w:val="00C97CA8"/>
    <w:rsid w:val="00CA015A"/>
    <w:rsid w:val="00CA0339"/>
    <w:rsid w:val="00CA13C1"/>
    <w:rsid w:val="00CA16D4"/>
    <w:rsid w:val="00CA2FCA"/>
    <w:rsid w:val="00CA38EA"/>
    <w:rsid w:val="00CA4B0D"/>
    <w:rsid w:val="00CA4D16"/>
    <w:rsid w:val="00CA59E9"/>
    <w:rsid w:val="00CA62BB"/>
    <w:rsid w:val="00CB0B80"/>
    <w:rsid w:val="00CB1D9E"/>
    <w:rsid w:val="00CB3D96"/>
    <w:rsid w:val="00CB51DE"/>
    <w:rsid w:val="00CB5A0E"/>
    <w:rsid w:val="00CB5A86"/>
    <w:rsid w:val="00CB5AB0"/>
    <w:rsid w:val="00CB5DBE"/>
    <w:rsid w:val="00CB67D5"/>
    <w:rsid w:val="00CB688D"/>
    <w:rsid w:val="00CB7E40"/>
    <w:rsid w:val="00CC12FF"/>
    <w:rsid w:val="00CC1AA3"/>
    <w:rsid w:val="00CC1CBB"/>
    <w:rsid w:val="00CC2C29"/>
    <w:rsid w:val="00CC46AB"/>
    <w:rsid w:val="00CC6E76"/>
    <w:rsid w:val="00CC7238"/>
    <w:rsid w:val="00CC784B"/>
    <w:rsid w:val="00CC7F23"/>
    <w:rsid w:val="00CD0268"/>
    <w:rsid w:val="00CD03EE"/>
    <w:rsid w:val="00CD11E9"/>
    <w:rsid w:val="00CD1407"/>
    <w:rsid w:val="00CD2BC4"/>
    <w:rsid w:val="00CD3137"/>
    <w:rsid w:val="00CD3587"/>
    <w:rsid w:val="00CD4486"/>
    <w:rsid w:val="00CD476B"/>
    <w:rsid w:val="00CD4914"/>
    <w:rsid w:val="00CD4D35"/>
    <w:rsid w:val="00CD5975"/>
    <w:rsid w:val="00CD5C74"/>
    <w:rsid w:val="00CE0196"/>
    <w:rsid w:val="00CE07CA"/>
    <w:rsid w:val="00CE0AAE"/>
    <w:rsid w:val="00CE1EF8"/>
    <w:rsid w:val="00CE1F0A"/>
    <w:rsid w:val="00CE3644"/>
    <w:rsid w:val="00CE3779"/>
    <w:rsid w:val="00CE3C78"/>
    <w:rsid w:val="00CE47D7"/>
    <w:rsid w:val="00CE5095"/>
    <w:rsid w:val="00CE6B5E"/>
    <w:rsid w:val="00CE78EA"/>
    <w:rsid w:val="00CE7C7C"/>
    <w:rsid w:val="00CE7FFC"/>
    <w:rsid w:val="00CF082B"/>
    <w:rsid w:val="00CF207B"/>
    <w:rsid w:val="00CF2116"/>
    <w:rsid w:val="00CF2CDE"/>
    <w:rsid w:val="00CF3A1F"/>
    <w:rsid w:val="00CF3DE1"/>
    <w:rsid w:val="00CF459E"/>
    <w:rsid w:val="00CF5444"/>
    <w:rsid w:val="00CF59BE"/>
    <w:rsid w:val="00CF5E22"/>
    <w:rsid w:val="00CF5ED0"/>
    <w:rsid w:val="00CF642A"/>
    <w:rsid w:val="00CF714F"/>
    <w:rsid w:val="00CF7C35"/>
    <w:rsid w:val="00D00217"/>
    <w:rsid w:val="00D006A5"/>
    <w:rsid w:val="00D00EB8"/>
    <w:rsid w:val="00D010D9"/>
    <w:rsid w:val="00D02EBE"/>
    <w:rsid w:val="00D03E2B"/>
    <w:rsid w:val="00D04375"/>
    <w:rsid w:val="00D0508F"/>
    <w:rsid w:val="00D06A44"/>
    <w:rsid w:val="00D06A56"/>
    <w:rsid w:val="00D07C26"/>
    <w:rsid w:val="00D07CC2"/>
    <w:rsid w:val="00D07F2C"/>
    <w:rsid w:val="00D10DA6"/>
    <w:rsid w:val="00D115DE"/>
    <w:rsid w:val="00D1253A"/>
    <w:rsid w:val="00D134C1"/>
    <w:rsid w:val="00D13B55"/>
    <w:rsid w:val="00D146FC"/>
    <w:rsid w:val="00D151EB"/>
    <w:rsid w:val="00D152FB"/>
    <w:rsid w:val="00D15780"/>
    <w:rsid w:val="00D15E0B"/>
    <w:rsid w:val="00D20615"/>
    <w:rsid w:val="00D20ACD"/>
    <w:rsid w:val="00D21CB1"/>
    <w:rsid w:val="00D21ED9"/>
    <w:rsid w:val="00D22272"/>
    <w:rsid w:val="00D226D2"/>
    <w:rsid w:val="00D22CB5"/>
    <w:rsid w:val="00D2338B"/>
    <w:rsid w:val="00D23450"/>
    <w:rsid w:val="00D234C4"/>
    <w:rsid w:val="00D23BB2"/>
    <w:rsid w:val="00D24FE4"/>
    <w:rsid w:val="00D25DE9"/>
    <w:rsid w:val="00D25E14"/>
    <w:rsid w:val="00D264E4"/>
    <w:rsid w:val="00D27281"/>
    <w:rsid w:val="00D2797B"/>
    <w:rsid w:val="00D300E0"/>
    <w:rsid w:val="00D305FE"/>
    <w:rsid w:val="00D3092F"/>
    <w:rsid w:val="00D30EC1"/>
    <w:rsid w:val="00D32001"/>
    <w:rsid w:val="00D3286A"/>
    <w:rsid w:val="00D32CE8"/>
    <w:rsid w:val="00D345A7"/>
    <w:rsid w:val="00D34E93"/>
    <w:rsid w:val="00D3584D"/>
    <w:rsid w:val="00D36AED"/>
    <w:rsid w:val="00D371F2"/>
    <w:rsid w:val="00D374CD"/>
    <w:rsid w:val="00D40088"/>
    <w:rsid w:val="00D40D25"/>
    <w:rsid w:val="00D41531"/>
    <w:rsid w:val="00D41E18"/>
    <w:rsid w:val="00D42080"/>
    <w:rsid w:val="00D43327"/>
    <w:rsid w:val="00D4472F"/>
    <w:rsid w:val="00D452C0"/>
    <w:rsid w:val="00D45538"/>
    <w:rsid w:val="00D46968"/>
    <w:rsid w:val="00D47E8C"/>
    <w:rsid w:val="00D47F83"/>
    <w:rsid w:val="00D5027E"/>
    <w:rsid w:val="00D516B4"/>
    <w:rsid w:val="00D531B7"/>
    <w:rsid w:val="00D54389"/>
    <w:rsid w:val="00D5494B"/>
    <w:rsid w:val="00D57114"/>
    <w:rsid w:val="00D57DBE"/>
    <w:rsid w:val="00D60145"/>
    <w:rsid w:val="00D63E24"/>
    <w:rsid w:val="00D6439E"/>
    <w:rsid w:val="00D650CE"/>
    <w:rsid w:val="00D657F0"/>
    <w:rsid w:val="00D664CD"/>
    <w:rsid w:val="00D67363"/>
    <w:rsid w:val="00D67759"/>
    <w:rsid w:val="00D700AC"/>
    <w:rsid w:val="00D70958"/>
    <w:rsid w:val="00D712F2"/>
    <w:rsid w:val="00D71719"/>
    <w:rsid w:val="00D7262A"/>
    <w:rsid w:val="00D72BFE"/>
    <w:rsid w:val="00D72C97"/>
    <w:rsid w:val="00D72F74"/>
    <w:rsid w:val="00D7350F"/>
    <w:rsid w:val="00D7360F"/>
    <w:rsid w:val="00D73669"/>
    <w:rsid w:val="00D739AE"/>
    <w:rsid w:val="00D73D29"/>
    <w:rsid w:val="00D74202"/>
    <w:rsid w:val="00D74518"/>
    <w:rsid w:val="00D74815"/>
    <w:rsid w:val="00D75855"/>
    <w:rsid w:val="00D75B5A"/>
    <w:rsid w:val="00D75E3F"/>
    <w:rsid w:val="00D766B5"/>
    <w:rsid w:val="00D768CF"/>
    <w:rsid w:val="00D77246"/>
    <w:rsid w:val="00D776DA"/>
    <w:rsid w:val="00D77738"/>
    <w:rsid w:val="00D8048A"/>
    <w:rsid w:val="00D80D34"/>
    <w:rsid w:val="00D81802"/>
    <w:rsid w:val="00D81BDA"/>
    <w:rsid w:val="00D81E4E"/>
    <w:rsid w:val="00D82814"/>
    <w:rsid w:val="00D82BDE"/>
    <w:rsid w:val="00D82BF3"/>
    <w:rsid w:val="00D84124"/>
    <w:rsid w:val="00D84532"/>
    <w:rsid w:val="00D8500E"/>
    <w:rsid w:val="00D8518A"/>
    <w:rsid w:val="00D86081"/>
    <w:rsid w:val="00D873CA"/>
    <w:rsid w:val="00D8758B"/>
    <w:rsid w:val="00D87AE2"/>
    <w:rsid w:val="00D904BF"/>
    <w:rsid w:val="00D9058D"/>
    <w:rsid w:val="00D90866"/>
    <w:rsid w:val="00D9111E"/>
    <w:rsid w:val="00D923C5"/>
    <w:rsid w:val="00D93C34"/>
    <w:rsid w:val="00D942B3"/>
    <w:rsid w:val="00D94863"/>
    <w:rsid w:val="00D9516A"/>
    <w:rsid w:val="00D95A00"/>
    <w:rsid w:val="00D96246"/>
    <w:rsid w:val="00D97159"/>
    <w:rsid w:val="00D9791C"/>
    <w:rsid w:val="00DA13B2"/>
    <w:rsid w:val="00DA1504"/>
    <w:rsid w:val="00DA2550"/>
    <w:rsid w:val="00DA2A20"/>
    <w:rsid w:val="00DA2A95"/>
    <w:rsid w:val="00DA469D"/>
    <w:rsid w:val="00DA54E0"/>
    <w:rsid w:val="00DA7D09"/>
    <w:rsid w:val="00DB05F7"/>
    <w:rsid w:val="00DB0B8D"/>
    <w:rsid w:val="00DB0D5F"/>
    <w:rsid w:val="00DB1041"/>
    <w:rsid w:val="00DB2AEA"/>
    <w:rsid w:val="00DB40E0"/>
    <w:rsid w:val="00DB4481"/>
    <w:rsid w:val="00DB4AF3"/>
    <w:rsid w:val="00DB557C"/>
    <w:rsid w:val="00DB6A3E"/>
    <w:rsid w:val="00DC19A3"/>
    <w:rsid w:val="00DC1D65"/>
    <w:rsid w:val="00DC2630"/>
    <w:rsid w:val="00DC3354"/>
    <w:rsid w:val="00DC3666"/>
    <w:rsid w:val="00DC3B0B"/>
    <w:rsid w:val="00DC3D52"/>
    <w:rsid w:val="00DC4565"/>
    <w:rsid w:val="00DC49E9"/>
    <w:rsid w:val="00DC55E4"/>
    <w:rsid w:val="00DC57E2"/>
    <w:rsid w:val="00DC7457"/>
    <w:rsid w:val="00DC7D71"/>
    <w:rsid w:val="00DC7F15"/>
    <w:rsid w:val="00DD06D2"/>
    <w:rsid w:val="00DD0DF2"/>
    <w:rsid w:val="00DD138A"/>
    <w:rsid w:val="00DD188C"/>
    <w:rsid w:val="00DD1FB4"/>
    <w:rsid w:val="00DD29A3"/>
    <w:rsid w:val="00DD3DBF"/>
    <w:rsid w:val="00DD413F"/>
    <w:rsid w:val="00DD48EE"/>
    <w:rsid w:val="00DD4A93"/>
    <w:rsid w:val="00DD54BB"/>
    <w:rsid w:val="00DD5D97"/>
    <w:rsid w:val="00DD5DE7"/>
    <w:rsid w:val="00DD729E"/>
    <w:rsid w:val="00DD78BF"/>
    <w:rsid w:val="00DE0B96"/>
    <w:rsid w:val="00DE10B9"/>
    <w:rsid w:val="00DE12A9"/>
    <w:rsid w:val="00DE2E49"/>
    <w:rsid w:val="00DE498A"/>
    <w:rsid w:val="00DE4FA2"/>
    <w:rsid w:val="00DE56B9"/>
    <w:rsid w:val="00DF0B13"/>
    <w:rsid w:val="00DF2051"/>
    <w:rsid w:val="00DF2B34"/>
    <w:rsid w:val="00DF2EB8"/>
    <w:rsid w:val="00DF318F"/>
    <w:rsid w:val="00DF397B"/>
    <w:rsid w:val="00DF4A94"/>
    <w:rsid w:val="00DF4F0C"/>
    <w:rsid w:val="00DF4FA0"/>
    <w:rsid w:val="00DF5443"/>
    <w:rsid w:val="00DF5516"/>
    <w:rsid w:val="00DF5C22"/>
    <w:rsid w:val="00DF6003"/>
    <w:rsid w:val="00DF6D54"/>
    <w:rsid w:val="00DF791F"/>
    <w:rsid w:val="00DF7CB8"/>
    <w:rsid w:val="00E00095"/>
    <w:rsid w:val="00E01EEA"/>
    <w:rsid w:val="00E0232B"/>
    <w:rsid w:val="00E0235A"/>
    <w:rsid w:val="00E0347B"/>
    <w:rsid w:val="00E04553"/>
    <w:rsid w:val="00E045BD"/>
    <w:rsid w:val="00E04843"/>
    <w:rsid w:val="00E066C3"/>
    <w:rsid w:val="00E10CDD"/>
    <w:rsid w:val="00E10D8C"/>
    <w:rsid w:val="00E11872"/>
    <w:rsid w:val="00E12B76"/>
    <w:rsid w:val="00E12D44"/>
    <w:rsid w:val="00E1353A"/>
    <w:rsid w:val="00E13FF8"/>
    <w:rsid w:val="00E15179"/>
    <w:rsid w:val="00E1564B"/>
    <w:rsid w:val="00E15E1D"/>
    <w:rsid w:val="00E17BB3"/>
    <w:rsid w:val="00E17E35"/>
    <w:rsid w:val="00E20228"/>
    <w:rsid w:val="00E208A0"/>
    <w:rsid w:val="00E2170B"/>
    <w:rsid w:val="00E21C5D"/>
    <w:rsid w:val="00E22164"/>
    <w:rsid w:val="00E22675"/>
    <w:rsid w:val="00E23158"/>
    <w:rsid w:val="00E2370D"/>
    <w:rsid w:val="00E240FF"/>
    <w:rsid w:val="00E24AAE"/>
    <w:rsid w:val="00E24E20"/>
    <w:rsid w:val="00E25B49"/>
    <w:rsid w:val="00E2661F"/>
    <w:rsid w:val="00E27148"/>
    <w:rsid w:val="00E272C7"/>
    <w:rsid w:val="00E273D7"/>
    <w:rsid w:val="00E279DC"/>
    <w:rsid w:val="00E302BA"/>
    <w:rsid w:val="00E3069D"/>
    <w:rsid w:val="00E30865"/>
    <w:rsid w:val="00E3338A"/>
    <w:rsid w:val="00E347A6"/>
    <w:rsid w:val="00E36588"/>
    <w:rsid w:val="00E366AD"/>
    <w:rsid w:val="00E371EA"/>
    <w:rsid w:val="00E3756D"/>
    <w:rsid w:val="00E37AF3"/>
    <w:rsid w:val="00E37BD4"/>
    <w:rsid w:val="00E41089"/>
    <w:rsid w:val="00E41B9E"/>
    <w:rsid w:val="00E427FD"/>
    <w:rsid w:val="00E428D5"/>
    <w:rsid w:val="00E4314E"/>
    <w:rsid w:val="00E4406B"/>
    <w:rsid w:val="00E4444A"/>
    <w:rsid w:val="00E454FE"/>
    <w:rsid w:val="00E45A6A"/>
    <w:rsid w:val="00E467C1"/>
    <w:rsid w:val="00E51A34"/>
    <w:rsid w:val="00E52698"/>
    <w:rsid w:val="00E52943"/>
    <w:rsid w:val="00E540BD"/>
    <w:rsid w:val="00E54429"/>
    <w:rsid w:val="00E554D3"/>
    <w:rsid w:val="00E5598B"/>
    <w:rsid w:val="00E56A38"/>
    <w:rsid w:val="00E579A0"/>
    <w:rsid w:val="00E629EB"/>
    <w:rsid w:val="00E62C36"/>
    <w:rsid w:val="00E63754"/>
    <w:rsid w:val="00E64429"/>
    <w:rsid w:val="00E65849"/>
    <w:rsid w:val="00E65D49"/>
    <w:rsid w:val="00E661C2"/>
    <w:rsid w:val="00E665BA"/>
    <w:rsid w:val="00E66704"/>
    <w:rsid w:val="00E669B1"/>
    <w:rsid w:val="00E677A7"/>
    <w:rsid w:val="00E677DD"/>
    <w:rsid w:val="00E678DE"/>
    <w:rsid w:val="00E70273"/>
    <w:rsid w:val="00E70935"/>
    <w:rsid w:val="00E7217B"/>
    <w:rsid w:val="00E72D02"/>
    <w:rsid w:val="00E72FE8"/>
    <w:rsid w:val="00E734A0"/>
    <w:rsid w:val="00E7487F"/>
    <w:rsid w:val="00E7535A"/>
    <w:rsid w:val="00E7594B"/>
    <w:rsid w:val="00E77162"/>
    <w:rsid w:val="00E80349"/>
    <w:rsid w:val="00E80671"/>
    <w:rsid w:val="00E8268B"/>
    <w:rsid w:val="00E826BD"/>
    <w:rsid w:val="00E828BE"/>
    <w:rsid w:val="00E83EDF"/>
    <w:rsid w:val="00E85EB1"/>
    <w:rsid w:val="00E86ADA"/>
    <w:rsid w:val="00E87A91"/>
    <w:rsid w:val="00E87AD5"/>
    <w:rsid w:val="00E90708"/>
    <w:rsid w:val="00E90991"/>
    <w:rsid w:val="00E91661"/>
    <w:rsid w:val="00E9176C"/>
    <w:rsid w:val="00E92776"/>
    <w:rsid w:val="00E938D1"/>
    <w:rsid w:val="00E9397C"/>
    <w:rsid w:val="00E93FEE"/>
    <w:rsid w:val="00E945BE"/>
    <w:rsid w:val="00E94FBC"/>
    <w:rsid w:val="00E95DFE"/>
    <w:rsid w:val="00E9616A"/>
    <w:rsid w:val="00E963DA"/>
    <w:rsid w:val="00E96FCC"/>
    <w:rsid w:val="00E979CA"/>
    <w:rsid w:val="00E97B93"/>
    <w:rsid w:val="00E97CDC"/>
    <w:rsid w:val="00EA0B00"/>
    <w:rsid w:val="00EA0ED0"/>
    <w:rsid w:val="00EA1447"/>
    <w:rsid w:val="00EA17A9"/>
    <w:rsid w:val="00EA248A"/>
    <w:rsid w:val="00EA3E53"/>
    <w:rsid w:val="00EA436C"/>
    <w:rsid w:val="00EA5380"/>
    <w:rsid w:val="00EA5704"/>
    <w:rsid w:val="00EA5CDE"/>
    <w:rsid w:val="00EA60B5"/>
    <w:rsid w:val="00EA7433"/>
    <w:rsid w:val="00EA7CF7"/>
    <w:rsid w:val="00EB00D5"/>
    <w:rsid w:val="00EB0205"/>
    <w:rsid w:val="00EB0DA8"/>
    <w:rsid w:val="00EB0E91"/>
    <w:rsid w:val="00EB1410"/>
    <w:rsid w:val="00EB297C"/>
    <w:rsid w:val="00EB2BCE"/>
    <w:rsid w:val="00EB349A"/>
    <w:rsid w:val="00EB4688"/>
    <w:rsid w:val="00EB65CE"/>
    <w:rsid w:val="00EB6A37"/>
    <w:rsid w:val="00EB6C07"/>
    <w:rsid w:val="00EB6D57"/>
    <w:rsid w:val="00EC0143"/>
    <w:rsid w:val="00EC028D"/>
    <w:rsid w:val="00EC0E0E"/>
    <w:rsid w:val="00EC1AAF"/>
    <w:rsid w:val="00EC1D5F"/>
    <w:rsid w:val="00EC1EB0"/>
    <w:rsid w:val="00EC24E3"/>
    <w:rsid w:val="00EC35A5"/>
    <w:rsid w:val="00EC37FA"/>
    <w:rsid w:val="00EC38BF"/>
    <w:rsid w:val="00EC3FDB"/>
    <w:rsid w:val="00EC4440"/>
    <w:rsid w:val="00EC55DA"/>
    <w:rsid w:val="00EC5F38"/>
    <w:rsid w:val="00EC77FF"/>
    <w:rsid w:val="00EC79A1"/>
    <w:rsid w:val="00EC7C0C"/>
    <w:rsid w:val="00ED11F8"/>
    <w:rsid w:val="00ED137C"/>
    <w:rsid w:val="00ED4D64"/>
    <w:rsid w:val="00ED4E63"/>
    <w:rsid w:val="00ED5952"/>
    <w:rsid w:val="00ED633B"/>
    <w:rsid w:val="00ED6398"/>
    <w:rsid w:val="00ED673D"/>
    <w:rsid w:val="00ED6BB6"/>
    <w:rsid w:val="00EE161B"/>
    <w:rsid w:val="00EE2BBB"/>
    <w:rsid w:val="00EE4122"/>
    <w:rsid w:val="00EE478C"/>
    <w:rsid w:val="00EE504A"/>
    <w:rsid w:val="00EE52C2"/>
    <w:rsid w:val="00EE589A"/>
    <w:rsid w:val="00EE5A17"/>
    <w:rsid w:val="00EF04FA"/>
    <w:rsid w:val="00EF0A4E"/>
    <w:rsid w:val="00EF1379"/>
    <w:rsid w:val="00EF1CBD"/>
    <w:rsid w:val="00EF1EF6"/>
    <w:rsid w:val="00EF2067"/>
    <w:rsid w:val="00EF2D40"/>
    <w:rsid w:val="00EF34F9"/>
    <w:rsid w:val="00EF3C7C"/>
    <w:rsid w:val="00EF3CAC"/>
    <w:rsid w:val="00EF3FA5"/>
    <w:rsid w:val="00EF6B62"/>
    <w:rsid w:val="00EF6D89"/>
    <w:rsid w:val="00EF7982"/>
    <w:rsid w:val="00F01D5A"/>
    <w:rsid w:val="00F01FF1"/>
    <w:rsid w:val="00F02B18"/>
    <w:rsid w:val="00F04214"/>
    <w:rsid w:val="00F042AA"/>
    <w:rsid w:val="00F04E2E"/>
    <w:rsid w:val="00F06B45"/>
    <w:rsid w:val="00F07227"/>
    <w:rsid w:val="00F074A8"/>
    <w:rsid w:val="00F07897"/>
    <w:rsid w:val="00F10826"/>
    <w:rsid w:val="00F112E2"/>
    <w:rsid w:val="00F1132C"/>
    <w:rsid w:val="00F123DC"/>
    <w:rsid w:val="00F1331C"/>
    <w:rsid w:val="00F136CD"/>
    <w:rsid w:val="00F13A3F"/>
    <w:rsid w:val="00F13F0E"/>
    <w:rsid w:val="00F148B7"/>
    <w:rsid w:val="00F14D8C"/>
    <w:rsid w:val="00F15BE6"/>
    <w:rsid w:val="00F15DD5"/>
    <w:rsid w:val="00F163FB"/>
    <w:rsid w:val="00F168A3"/>
    <w:rsid w:val="00F16EDC"/>
    <w:rsid w:val="00F17D4B"/>
    <w:rsid w:val="00F212BA"/>
    <w:rsid w:val="00F21FD1"/>
    <w:rsid w:val="00F225F6"/>
    <w:rsid w:val="00F22EE1"/>
    <w:rsid w:val="00F23139"/>
    <w:rsid w:val="00F235FC"/>
    <w:rsid w:val="00F23849"/>
    <w:rsid w:val="00F23B7E"/>
    <w:rsid w:val="00F23E74"/>
    <w:rsid w:val="00F24F57"/>
    <w:rsid w:val="00F25788"/>
    <w:rsid w:val="00F25B3F"/>
    <w:rsid w:val="00F266A2"/>
    <w:rsid w:val="00F26D15"/>
    <w:rsid w:val="00F271CA"/>
    <w:rsid w:val="00F271F2"/>
    <w:rsid w:val="00F27C4F"/>
    <w:rsid w:val="00F30666"/>
    <w:rsid w:val="00F3110F"/>
    <w:rsid w:val="00F3394C"/>
    <w:rsid w:val="00F343CD"/>
    <w:rsid w:val="00F347B0"/>
    <w:rsid w:val="00F3552C"/>
    <w:rsid w:val="00F358D7"/>
    <w:rsid w:val="00F366FA"/>
    <w:rsid w:val="00F367A8"/>
    <w:rsid w:val="00F37441"/>
    <w:rsid w:val="00F37445"/>
    <w:rsid w:val="00F40096"/>
    <w:rsid w:val="00F40280"/>
    <w:rsid w:val="00F4032D"/>
    <w:rsid w:val="00F41895"/>
    <w:rsid w:val="00F41B66"/>
    <w:rsid w:val="00F437E8"/>
    <w:rsid w:val="00F43F4D"/>
    <w:rsid w:val="00F44119"/>
    <w:rsid w:val="00F4412D"/>
    <w:rsid w:val="00F4442C"/>
    <w:rsid w:val="00F451E5"/>
    <w:rsid w:val="00F45CC6"/>
    <w:rsid w:val="00F46CCF"/>
    <w:rsid w:val="00F4739C"/>
    <w:rsid w:val="00F5098A"/>
    <w:rsid w:val="00F5109C"/>
    <w:rsid w:val="00F51170"/>
    <w:rsid w:val="00F5219E"/>
    <w:rsid w:val="00F53018"/>
    <w:rsid w:val="00F531FE"/>
    <w:rsid w:val="00F53F53"/>
    <w:rsid w:val="00F5432C"/>
    <w:rsid w:val="00F54359"/>
    <w:rsid w:val="00F547FD"/>
    <w:rsid w:val="00F54B1D"/>
    <w:rsid w:val="00F553AC"/>
    <w:rsid w:val="00F55926"/>
    <w:rsid w:val="00F55F92"/>
    <w:rsid w:val="00F56811"/>
    <w:rsid w:val="00F5767C"/>
    <w:rsid w:val="00F57784"/>
    <w:rsid w:val="00F57B7F"/>
    <w:rsid w:val="00F57DEF"/>
    <w:rsid w:val="00F603F9"/>
    <w:rsid w:val="00F606F8"/>
    <w:rsid w:val="00F608E5"/>
    <w:rsid w:val="00F60B17"/>
    <w:rsid w:val="00F623AC"/>
    <w:rsid w:val="00F62DE2"/>
    <w:rsid w:val="00F63D88"/>
    <w:rsid w:val="00F6441B"/>
    <w:rsid w:val="00F64851"/>
    <w:rsid w:val="00F64D7F"/>
    <w:rsid w:val="00F6566E"/>
    <w:rsid w:val="00F65CE0"/>
    <w:rsid w:val="00F66CD5"/>
    <w:rsid w:val="00F67A9A"/>
    <w:rsid w:val="00F67F48"/>
    <w:rsid w:val="00F70F4E"/>
    <w:rsid w:val="00F72B1B"/>
    <w:rsid w:val="00F72B5B"/>
    <w:rsid w:val="00F72C54"/>
    <w:rsid w:val="00F72EC6"/>
    <w:rsid w:val="00F73113"/>
    <w:rsid w:val="00F7382F"/>
    <w:rsid w:val="00F74339"/>
    <w:rsid w:val="00F755E8"/>
    <w:rsid w:val="00F758AC"/>
    <w:rsid w:val="00F75FC4"/>
    <w:rsid w:val="00F76DD9"/>
    <w:rsid w:val="00F77491"/>
    <w:rsid w:val="00F779B1"/>
    <w:rsid w:val="00F80F28"/>
    <w:rsid w:val="00F82508"/>
    <w:rsid w:val="00F8287A"/>
    <w:rsid w:val="00F83D24"/>
    <w:rsid w:val="00F83DFA"/>
    <w:rsid w:val="00F840E5"/>
    <w:rsid w:val="00F847D3"/>
    <w:rsid w:val="00F851BC"/>
    <w:rsid w:val="00F857EF"/>
    <w:rsid w:val="00F85981"/>
    <w:rsid w:val="00F85ACD"/>
    <w:rsid w:val="00F86F93"/>
    <w:rsid w:val="00F87263"/>
    <w:rsid w:val="00F8787F"/>
    <w:rsid w:val="00F87D71"/>
    <w:rsid w:val="00F90042"/>
    <w:rsid w:val="00F90C78"/>
    <w:rsid w:val="00F90CC4"/>
    <w:rsid w:val="00F90DFA"/>
    <w:rsid w:val="00F9220E"/>
    <w:rsid w:val="00F927FA"/>
    <w:rsid w:val="00F928B7"/>
    <w:rsid w:val="00F93077"/>
    <w:rsid w:val="00F93725"/>
    <w:rsid w:val="00F9391C"/>
    <w:rsid w:val="00F93AA0"/>
    <w:rsid w:val="00F96561"/>
    <w:rsid w:val="00F965AB"/>
    <w:rsid w:val="00F979C4"/>
    <w:rsid w:val="00FA0497"/>
    <w:rsid w:val="00FA06E3"/>
    <w:rsid w:val="00FA1AE6"/>
    <w:rsid w:val="00FA219F"/>
    <w:rsid w:val="00FA2332"/>
    <w:rsid w:val="00FA34A5"/>
    <w:rsid w:val="00FA3929"/>
    <w:rsid w:val="00FA45BD"/>
    <w:rsid w:val="00FA468D"/>
    <w:rsid w:val="00FA4890"/>
    <w:rsid w:val="00FA566F"/>
    <w:rsid w:val="00FA6F05"/>
    <w:rsid w:val="00FA782A"/>
    <w:rsid w:val="00FB04A6"/>
    <w:rsid w:val="00FB0D91"/>
    <w:rsid w:val="00FB12E4"/>
    <w:rsid w:val="00FB23BA"/>
    <w:rsid w:val="00FB2851"/>
    <w:rsid w:val="00FB287C"/>
    <w:rsid w:val="00FB3104"/>
    <w:rsid w:val="00FB317B"/>
    <w:rsid w:val="00FB369E"/>
    <w:rsid w:val="00FB4EC5"/>
    <w:rsid w:val="00FB6451"/>
    <w:rsid w:val="00FB7195"/>
    <w:rsid w:val="00FB77FA"/>
    <w:rsid w:val="00FB780E"/>
    <w:rsid w:val="00FB7C4B"/>
    <w:rsid w:val="00FC0D96"/>
    <w:rsid w:val="00FC2180"/>
    <w:rsid w:val="00FC2802"/>
    <w:rsid w:val="00FC2DA8"/>
    <w:rsid w:val="00FC31F1"/>
    <w:rsid w:val="00FC3BDC"/>
    <w:rsid w:val="00FC3C70"/>
    <w:rsid w:val="00FC438C"/>
    <w:rsid w:val="00FC4A73"/>
    <w:rsid w:val="00FC559C"/>
    <w:rsid w:val="00FC5908"/>
    <w:rsid w:val="00FC5A84"/>
    <w:rsid w:val="00FC5FEB"/>
    <w:rsid w:val="00FC7E0B"/>
    <w:rsid w:val="00FC7F0D"/>
    <w:rsid w:val="00FD0FD5"/>
    <w:rsid w:val="00FD1730"/>
    <w:rsid w:val="00FD1931"/>
    <w:rsid w:val="00FD1AAF"/>
    <w:rsid w:val="00FD2361"/>
    <w:rsid w:val="00FD36DD"/>
    <w:rsid w:val="00FD4615"/>
    <w:rsid w:val="00FD5652"/>
    <w:rsid w:val="00FD6082"/>
    <w:rsid w:val="00FD6D4A"/>
    <w:rsid w:val="00FD7343"/>
    <w:rsid w:val="00FD7360"/>
    <w:rsid w:val="00FD7FC5"/>
    <w:rsid w:val="00FE0362"/>
    <w:rsid w:val="00FE1273"/>
    <w:rsid w:val="00FE162A"/>
    <w:rsid w:val="00FE228A"/>
    <w:rsid w:val="00FE3342"/>
    <w:rsid w:val="00FE3E0F"/>
    <w:rsid w:val="00FE44BA"/>
    <w:rsid w:val="00FE4E57"/>
    <w:rsid w:val="00FE4F83"/>
    <w:rsid w:val="00FE540E"/>
    <w:rsid w:val="00FE5CE1"/>
    <w:rsid w:val="00FE645A"/>
    <w:rsid w:val="00FE6E90"/>
    <w:rsid w:val="00FF1635"/>
    <w:rsid w:val="00FF26C1"/>
    <w:rsid w:val="00FF289E"/>
    <w:rsid w:val="00FF412B"/>
    <w:rsid w:val="00FF6102"/>
    <w:rsid w:val="00FF72D5"/>
    <w:rsid w:val="00FF78B9"/>
    <w:rsid w:val="00FF7BF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6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nhideWhenUsed/>
    <w:rsid w:val="008142B4"/>
    <w:pPr>
      <w:spacing w:after="0"/>
    </w:pPr>
    <w:rPr>
      <w:sz w:val="18"/>
      <w:szCs w:val="20"/>
    </w:rPr>
  </w:style>
  <w:style w:type="character" w:customStyle="1" w:styleId="FootnoteTextChar">
    <w:name w:val="Footnote Text Char"/>
    <w:basedOn w:val="DefaultParagraphFont"/>
    <w:link w:val="FootnoteText"/>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qFormat/>
    <w:rsid w:val="003402E4"/>
    <w:pPr>
      <w:ind w:left="720"/>
      <w:contextualSpacing/>
    </w:pPr>
  </w:style>
  <w:style w:type="character" w:styleId="Hyperlink">
    <w:name w:val="Hyperlink"/>
    <w:basedOn w:val="DefaultParagraphFont"/>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NormalWeb">
    <w:name w:val="Normal (Web)"/>
    <w:basedOn w:val="Normal"/>
    <w:uiPriority w:val="99"/>
    <w:semiHidden/>
    <w:unhideWhenUsed/>
    <w:rsid w:val="00B93809"/>
    <w:pPr>
      <w:spacing w:before="100" w:beforeAutospacing="1" w:after="100" w:afterAutospacing="1"/>
    </w:pPr>
    <w:rPr>
      <w:rFonts w:ascii="Times New Roman" w:eastAsia="Times New Roman" w:hAnsi="Times New Roman" w:cs="Times New Roman"/>
    </w:rPr>
  </w:style>
  <w:style w:type="character" w:customStyle="1" w:styleId="item-code2">
    <w:name w:val="item-code2"/>
    <w:basedOn w:val="DefaultParagraphFont"/>
    <w:rsid w:val="00C9693E"/>
    <w:rPr>
      <w:vanish w:val="0"/>
      <w:webHidden w:val="0"/>
      <w:specVanish w:val="0"/>
    </w:rPr>
  </w:style>
  <w:style w:type="character" w:styleId="Emphasis">
    <w:name w:val="Emphasis"/>
    <w:basedOn w:val="DefaultParagraphFont"/>
    <w:uiPriority w:val="20"/>
    <w:qFormat/>
    <w:rsid w:val="00E65849"/>
    <w:rPr>
      <w:i/>
      <w:iCs/>
    </w:rPr>
  </w:style>
  <w:style w:type="paragraph" w:customStyle="1" w:styleId="PBACHeading1">
    <w:name w:val="PBAC Heading 1"/>
    <w:qFormat/>
    <w:rsid w:val="008568DA"/>
    <w:pPr>
      <w:numPr>
        <w:numId w:val="8"/>
      </w:numPr>
      <w:spacing w:after="0" w:line="240" w:lineRule="auto"/>
    </w:pPr>
    <w:rPr>
      <w:rFonts w:ascii="Arial" w:eastAsia="Times New Roman" w:hAnsi="Arial" w:cs="Arial"/>
      <w:b/>
      <w:snapToGrid w:val="0"/>
      <w:lang w:eastAsia="en-US"/>
    </w:rPr>
  </w:style>
  <w:style w:type="character" w:customStyle="1" w:styleId="ListParagraphChar">
    <w:name w:val="List Paragraph Char"/>
    <w:basedOn w:val="DefaultParagraphFont"/>
    <w:link w:val="ListParagraph"/>
    <w:uiPriority w:val="72"/>
    <w:rsid w:val="008568DA"/>
    <w:rPr>
      <w:sz w:val="24"/>
      <w:szCs w:val="24"/>
    </w:rPr>
  </w:style>
  <w:style w:type="character" w:customStyle="1" w:styleId="tgc">
    <w:name w:val="_tgc"/>
    <w:basedOn w:val="DefaultParagraphFont"/>
    <w:rsid w:val="00834C0F"/>
  </w:style>
  <w:style w:type="character" w:customStyle="1" w:styleId="st1">
    <w:name w:val="st1"/>
    <w:basedOn w:val="DefaultParagraphFont"/>
    <w:rsid w:val="00824D0F"/>
  </w:style>
  <w:style w:type="character" w:styleId="FollowedHyperlink">
    <w:name w:val="FollowedHyperlink"/>
    <w:basedOn w:val="DefaultParagraphFont"/>
    <w:uiPriority w:val="99"/>
    <w:semiHidden/>
    <w:unhideWhenUsed/>
    <w:rsid w:val="007C24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nhideWhenUsed/>
    <w:rsid w:val="008142B4"/>
    <w:pPr>
      <w:spacing w:after="0"/>
    </w:pPr>
    <w:rPr>
      <w:sz w:val="18"/>
      <w:szCs w:val="20"/>
    </w:rPr>
  </w:style>
  <w:style w:type="character" w:customStyle="1" w:styleId="FootnoteTextChar">
    <w:name w:val="Footnote Text Char"/>
    <w:basedOn w:val="DefaultParagraphFont"/>
    <w:link w:val="FootnoteText"/>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qFormat/>
    <w:rsid w:val="003402E4"/>
    <w:pPr>
      <w:ind w:left="720"/>
      <w:contextualSpacing/>
    </w:pPr>
  </w:style>
  <w:style w:type="character" w:styleId="Hyperlink">
    <w:name w:val="Hyperlink"/>
    <w:basedOn w:val="DefaultParagraphFont"/>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NormalWeb">
    <w:name w:val="Normal (Web)"/>
    <w:basedOn w:val="Normal"/>
    <w:uiPriority w:val="99"/>
    <w:semiHidden/>
    <w:unhideWhenUsed/>
    <w:rsid w:val="00B93809"/>
    <w:pPr>
      <w:spacing w:before="100" w:beforeAutospacing="1" w:after="100" w:afterAutospacing="1"/>
    </w:pPr>
    <w:rPr>
      <w:rFonts w:ascii="Times New Roman" w:eastAsia="Times New Roman" w:hAnsi="Times New Roman" w:cs="Times New Roman"/>
    </w:rPr>
  </w:style>
  <w:style w:type="character" w:customStyle="1" w:styleId="item-code2">
    <w:name w:val="item-code2"/>
    <w:basedOn w:val="DefaultParagraphFont"/>
    <w:rsid w:val="00C9693E"/>
    <w:rPr>
      <w:vanish w:val="0"/>
      <w:webHidden w:val="0"/>
      <w:specVanish w:val="0"/>
    </w:rPr>
  </w:style>
  <w:style w:type="character" w:styleId="Emphasis">
    <w:name w:val="Emphasis"/>
    <w:basedOn w:val="DefaultParagraphFont"/>
    <w:uiPriority w:val="20"/>
    <w:qFormat/>
    <w:rsid w:val="00E65849"/>
    <w:rPr>
      <w:i/>
      <w:iCs/>
    </w:rPr>
  </w:style>
  <w:style w:type="paragraph" w:customStyle="1" w:styleId="PBACHeading1">
    <w:name w:val="PBAC Heading 1"/>
    <w:qFormat/>
    <w:rsid w:val="008568DA"/>
    <w:pPr>
      <w:numPr>
        <w:numId w:val="8"/>
      </w:numPr>
      <w:spacing w:after="0" w:line="240" w:lineRule="auto"/>
    </w:pPr>
    <w:rPr>
      <w:rFonts w:ascii="Arial" w:eastAsia="Times New Roman" w:hAnsi="Arial" w:cs="Arial"/>
      <w:b/>
      <w:snapToGrid w:val="0"/>
      <w:lang w:eastAsia="en-US"/>
    </w:rPr>
  </w:style>
  <w:style w:type="character" w:customStyle="1" w:styleId="ListParagraphChar">
    <w:name w:val="List Paragraph Char"/>
    <w:basedOn w:val="DefaultParagraphFont"/>
    <w:link w:val="ListParagraph"/>
    <w:uiPriority w:val="72"/>
    <w:rsid w:val="008568DA"/>
    <w:rPr>
      <w:sz w:val="24"/>
      <w:szCs w:val="24"/>
    </w:rPr>
  </w:style>
  <w:style w:type="character" w:customStyle="1" w:styleId="tgc">
    <w:name w:val="_tgc"/>
    <w:basedOn w:val="DefaultParagraphFont"/>
    <w:rsid w:val="00834C0F"/>
  </w:style>
  <w:style w:type="character" w:customStyle="1" w:styleId="st1">
    <w:name w:val="st1"/>
    <w:basedOn w:val="DefaultParagraphFont"/>
    <w:rsid w:val="00824D0F"/>
  </w:style>
  <w:style w:type="character" w:styleId="FollowedHyperlink">
    <w:name w:val="FollowedHyperlink"/>
    <w:basedOn w:val="DefaultParagraphFont"/>
    <w:uiPriority w:val="99"/>
    <w:semiHidden/>
    <w:unhideWhenUsed/>
    <w:rsid w:val="007C24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5113">
      <w:bodyDiv w:val="1"/>
      <w:marLeft w:val="0"/>
      <w:marRight w:val="0"/>
      <w:marTop w:val="0"/>
      <w:marBottom w:val="0"/>
      <w:divBdr>
        <w:top w:val="none" w:sz="0" w:space="0" w:color="auto"/>
        <w:left w:val="none" w:sz="0" w:space="0" w:color="auto"/>
        <w:bottom w:val="none" w:sz="0" w:space="0" w:color="auto"/>
        <w:right w:val="none" w:sz="0" w:space="0" w:color="auto"/>
      </w:divBdr>
    </w:div>
    <w:div w:id="49303135">
      <w:bodyDiv w:val="1"/>
      <w:marLeft w:val="0"/>
      <w:marRight w:val="0"/>
      <w:marTop w:val="0"/>
      <w:marBottom w:val="0"/>
      <w:divBdr>
        <w:top w:val="none" w:sz="0" w:space="0" w:color="auto"/>
        <w:left w:val="none" w:sz="0" w:space="0" w:color="auto"/>
        <w:bottom w:val="none" w:sz="0" w:space="0" w:color="auto"/>
        <w:right w:val="none" w:sz="0" w:space="0" w:color="auto"/>
      </w:divBdr>
    </w:div>
    <w:div w:id="218444461">
      <w:bodyDiv w:val="1"/>
      <w:marLeft w:val="0"/>
      <w:marRight w:val="0"/>
      <w:marTop w:val="0"/>
      <w:marBottom w:val="0"/>
      <w:divBdr>
        <w:top w:val="none" w:sz="0" w:space="0" w:color="auto"/>
        <w:left w:val="none" w:sz="0" w:space="0" w:color="auto"/>
        <w:bottom w:val="none" w:sz="0" w:space="0" w:color="auto"/>
        <w:right w:val="none" w:sz="0" w:space="0" w:color="auto"/>
      </w:divBdr>
    </w:div>
    <w:div w:id="225409876">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78373140">
      <w:bodyDiv w:val="1"/>
      <w:marLeft w:val="0"/>
      <w:marRight w:val="0"/>
      <w:marTop w:val="0"/>
      <w:marBottom w:val="0"/>
      <w:divBdr>
        <w:top w:val="none" w:sz="0" w:space="0" w:color="auto"/>
        <w:left w:val="none" w:sz="0" w:space="0" w:color="auto"/>
        <w:bottom w:val="none" w:sz="0" w:space="0" w:color="auto"/>
        <w:right w:val="none" w:sz="0" w:space="0" w:color="auto"/>
      </w:divBdr>
    </w:div>
    <w:div w:id="659112932">
      <w:bodyDiv w:val="1"/>
      <w:marLeft w:val="0"/>
      <w:marRight w:val="0"/>
      <w:marTop w:val="0"/>
      <w:marBottom w:val="0"/>
      <w:divBdr>
        <w:top w:val="none" w:sz="0" w:space="0" w:color="auto"/>
        <w:left w:val="none" w:sz="0" w:space="0" w:color="auto"/>
        <w:bottom w:val="none" w:sz="0" w:space="0" w:color="auto"/>
        <w:right w:val="none" w:sz="0" w:space="0" w:color="auto"/>
      </w:divBdr>
    </w:div>
    <w:div w:id="804356024">
      <w:bodyDiv w:val="1"/>
      <w:marLeft w:val="0"/>
      <w:marRight w:val="0"/>
      <w:marTop w:val="0"/>
      <w:marBottom w:val="0"/>
      <w:divBdr>
        <w:top w:val="none" w:sz="0" w:space="0" w:color="auto"/>
        <w:left w:val="none" w:sz="0" w:space="0" w:color="auto"/>
        <w:bottom w:val="none" w:sz="0" w:space="0" w:color="auto"/>
        <w:right w:val="none" w:sz="0" w:space="0" w:color="auto"/>
      </w:divBdr>
    </w:div>
    <w:div w:id="912424111">
      <w:bodyDiv w:val="1"/>
      <w:marLeft w:val="0"/>
      <w:marRight w:val="0"/>
      <w:marTop w:val="0"/>
      <w:marBottom w:val="0"/>
      <w:divBdr>
        <w:top w:val="none" w:sz="0" w:space="0" w:color="auto"/>
        <w:left w:val="none" w:sz="0" w:space="0" w:color="auto"/>
        <w:bottom w:val="none" w:sz="0" w:space="0" w:color="auto"/>
        <w:right w:val="none" w:sz="0" w:space="0" w:color="auto"/>
      </w:divBdr>
    </w:div>
    <w:div w:id="962269717">
      <w:bodyDiv w:val="1"/>
      <w:marLeft w:val="0"/>
      <w:marRight w:val="0"/>
      <w:marTop w:val="0"/>
      <w:marBottom w:val="0"/>
      <w:divBdr>
        <w:top w:val="none" w:sz="0" w:space="0" w:color="auto"/>
        <w:left w:val="none" w:sz="0" w:space="0" w:color="auto"/>
        <w:bottom w:val="none" w:sz="0" w:space="0" w:color="auto"/>
        <w:right w:val="none" w:sz="0" w:space="0" w:color="auto"/>
      </w:divBdr>
    </w:div>
    <w:div w:id="984428900">
      <w:bodyDiv w:val="1"/>
      <w:marLeft w:val="0"/>
      <w:marRight w:val="0"/>
      <w:marTop w:val="0"/>
      <w:marBottom w:val="0"/>
      <w:divBdr>
        <w:top w:val="none" w:sz="0" w:space="0" w:color="auto"/>
        <w:left w:val="none" w:sz="0" w:space="0" w:color="auto"/>
        <w:bottom w:val="none" w:sz="0" w:space="0" w:color="auto"/>
        <w:right w:val="none" w:sz="0" w:space="0" w:color="auto"/>
      </w:divBdr>
    </w:div>
    <w:div w:id="1047992582">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66557091">
      <w:bodyDiv w:val="1"/>
      <w:marLeft w:val="0"/>
      <w:marRight w:val="0"/>
      <w:marTop w:val="0"/>
      <w:marBottom w:val="0"/>
      <w:divBdr>
        <w:top w:val="none" w:sz="0" w:space="0" w:color="auto"/>
        <w:left w:val="none" w:sz="0" w:space="0" w:color="auto"/>
        <w:bottom w:val="none" w:sz="0" w:space="0" w:color="auto"/>
        <w:right w:val="none" w:sz="0" w:space="0" w:color="auto"/>
      </w:divBdr>
    </w:div>
    <w:div w:id="1176725585">
      <w:bodyDiv w:val="1"/>
      <w:marLeft w:val="0"/>
      <w:marRight w:val="0"/>
      <w:marTop w:val="0"/>
      <w:marBottom w:val="0"/>
      <w:divBdr>
        <w:top w:val="none" w:sz="0" w:space="0" w:color="auto"/>
        <w:left w:val="none" w:sz="0" w:space="0" w:color="auto"/>
        <w:bottom w:val="none" w:sz="0" w:space="0" w:color="auto"/>
        <w:right w:val="none" w:sz="0" w:space="0" w:color="auto"/>
      </w:divBdr>
    </w:div>
    <w:div w:id="1287354105">
      <w:bodyDiv w:val="1"/>
      <w:marLeft w:val="0"/>
      <w:marRight w:val="0"/>
      <w:marTop w:val="0"/>
      <w:marBottom w:val="0"/>
      <w:divBdr>
        <w:top w:val="none" w:sz="0" w:space="0" w:color="auto"/>
        <w:left w:val="none" w:sz="0" w:space="0" w:color="auto"/>
        <w:bottom w:val="none" w:sz="0" w:space="0" w:color="auto"/>
        <w:right w:val="none" w:sz="0" w:space="0" w:color="auto"/>
      </w:divBdr>
    </w:div>
    <w:div w:id="1329138352">
      <w:bodyDiv w:val="1"/>
      <w:marLeft w:val="0"/>
      <w:marRight w:val="0"/>
      <w:marTop w:val="0"/>
      <w:marBottom w:val="0"/>
      <w:divBdr>
        <w:top w:val="none" w:sz="0" w:space="0" w:color="auto"/>
        <w:left w:val="none" w:sz="0" w:space="0" w:color="auto"/>
        <w:bottom w:val="none" w:sz="0" w:space="0" w:color="auto"/>
        <w:right w:val="none" w:sz="0" w:space="0" w:color="auto"/>
      </w:divBdr>
    </w:div>
    <w:div w:id="1404372847">
      <w:bodyDiv w:val="1"/>
      <w:marLeft w:val="0"/>
      <w:marRight w:val="0"/>
      <w:marTop w:val="0"/>
      <w:marBottom w:val="0"/>
      <w:divBdr>
        <w:top w:val="none" w:sz="0" w:space="0" w:color="auto"/>
        <w:left w:val="none" w:sz="0" w:space="0" w:color="auto"/>
        <w:bottom w:val="none" w:sz="0" w:space="0" w:color="auto"/>
        <w:right w:val="none" w:sz="0" w:space="0" w:color="auto"/>
      </w:divBdr>
    </w:div>
    <w:div w:id="1495998059">
      <w:bodyDiv w:val="1"/>
      <w:marLeft w:val="0"/>
      <w:marRight w:val="0"/>
      <w:marTop w:val="0"/>
      <w:marBottom w:val="0"/>
      <w:divBdr>
        <w:top w:val="none" w:sz="0" w:space="0" w:color="auto"/>
        <w:left w:val="none" w:sz="0" w:space="0" w:color="auto"/>
        <w:bottom w:val="none" w:sz="0" w:space="0" w:color="auto"/>
        <w:right w:val="none" w:sz="0" w:space="0" w:color="auto"/>
      </w:divBdr>
    </w:div>
    <w:div w:id="1535921550">
      <w:bodyDiv w:val="1"/>
      <w:marLeft w:val="120"/>
      <w:marRight w:val="120"/>
      <w:marTop w:val="0"/>
      <w:marBottom w:val="0"/>
      <w:divBdr>
        <w:top w:val="none" w:sz="0" w:space="0" w:color="auto"/>
        <w:left w:val="none" w:sz="0" w:space="0" w:color="auto"/>
        <w:bottom w:val="none" w:sz="0" w:space="0" w:color="auto"/>
        <w:right w:val="none" w:sz="0" w:space="0" w:color="auto"/>
      </w:divBdr>
    </w:div>
    <w:div w:id="1661884605">
      <w:bodyDiv w:val="1"/>
      <w:marLeft w:val="0"/>
      <w:marRight w:val="0"/>
      <w:marTop w:val="0"/>
      <w:marBottom w:val="0"/>
      <w:divBdr>
        <w:top w:val="none" w:sz="0" w:space="0" w:color="auto"/>
        <w:left w:val="none" w:sz="0" w:space="0" w:color="auto"/>
        <w:bottom w:val="none" w:sz="0" w:space="0" w:color="auto"/>
        <w:right w:val="none" w:sz="0" w:space="0" w:color="auto"/>
      </w:divBdr>
    </w:div>
    <w:div w:id="1855995840">
      <w:bodyDiv w:val="1"/>
      <w:marLeft w:val="0"/>
      <w:marRight w:val="0"/>
      <w:marTop w:val="0"/>
      <w:marBottom w:val="0"/>
      <w:divBdr>
        <w:top w:val="none" w:sz="0" w:space="0" w:color="auto"/>
        <w:left w:val="none" w:sz="0" w:space="0" w:color="auto"/>
        <w:bottom w:val="none" w:sz="0" w:space="0" w:color="auto"/>
        <w:right w:val="none" w:sz="0" w:space="0" w:color="auto"/>
      </w:divBdr>
    </w:div>
    <w:div w:id="200523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gov.au/medicine/item/11074w" TargetMode="External"/><Relationship Id="rId18" Type="http://schemas.openxmlformats.org/officeDocument/2006/relationships/hyperlink" Target="http://www.pbs.gov.au/medicine/item/10003l" TargetMode="External"/><Relationship Id="rId26" Type="http://schemas.openxmlformats.org/officeDocument/2006/relationships/hyperlink" Target="http://www.pbs.gov.au/medicine/item/10764m" TargetMode="External"/><Relationship Id="rId39" Type="http://schemas.openxmlformats.org/officeDocument/2006/relationships/hyperlink" Target="file:///\\central.health\DFSGroupData\Sites\CO1\CO\PBD\PEB\EVAL\DUSC\DUSC%20Documents\Predicted%20vs%20actual%20usage\pbs.gov.au" TargetMode="External"/><Relationship Id="rId21" Type="http://schemas.openxmlformats.org/officeDocument/2006/relationships/hyperlink" Target="http://www.pbs.gov.au/medicine/item/2638w" TargetMode="External"/><Relationship Id="rId34" Type="http://schemas.openxmlformats.org/officeDocument/2006/relationships/hyperlink" Target="http://www.pbs.gov.au/medicine/item/10382k" TargetMode="External"/><Relationship Id="rId42" Type="http://schemas.openxmlformats.org/officeDocument/2006/relationships/hyperlink" Target="http://www.pbs.gov.au/info/industry/listing/elements/pbac-meetings/psd/2014-11/trametinib-psd-11-2014" TargetMode="External"/><Relationship Id="rId47" Type="http://schemas.openxmlformats.org/officeDocument/2006/relationships/hyperlink" Target="http://www.pbs.gov.au/info/industry/listing/elements/pbac-meetings/psd/2016-03/cobimetinib-vemurafenib-zelboraf-psd-03-2016" TargetMode="External"/><Relationship Id="rId50" Type="http://schemas.openxmlformats.org/officeDocument/2006/relationships/hyperlink" Target="http://www.pbs.gov.au/info/industry/listing/elements/pbac-meetings/psd/2012-11/ipilimumab" TargetMode="External"/><Relationship Id="rId55" Type="http://schemas.openxmlformats.org/officeDocument/2006/relationships/hyperlink" Target="http://www.pbs.gov.au/info/industry/listing/elements/pbac-meetings/psd/2016-03/pembrolizumab-keytruda-psd-03-2016" TargetMode="External"/><Relationship Id="rId63" Type="http://schemas.openxmlformats.org/officeDocument/2006/relationships/footer" Target="footer3.xml"/><Relationship Id="rId68" Type="http://schemas.openxmlformats.org/officeDocument/2006/relationships/image" Target="media/image5.png"/><Relationship Id="rId76" Type="http://schemas.openxmlformats.org/officeDocument/2006/relationships/hyperlink" Target="http://www.pbs.gov.au/info/industry/listing/elements/pbac-meetings/psd/2012-07/vemurafenib" TargetMode="External"/><Relationship Id="rId7" Type="http://schemas.openxmlformats.org/officeDocument/2006/relationships/footnotes" Target="footnotes.xml"/><Relationship Id="rId71"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pbs.gov.au/medicine/item/2846t" TargetMode="External"/><Relationship Id="rId29" Type="http://schemas.openxmlformats.org/officeDocument/2006/relationships/hyperlink" Target="http://www.pbs.gov.au/medicine/item/10475h" TargetMode="External"/><Relationship Id="rId11" Type="http://schemas.openxmlformats.org/officeDocument/2006/relationships/hyperlink" Target="http://www.tga.gov.au/consumers/information-medicines-cmi.htm" TargetMode="External"/><Relationship Id="rId24" Type="http://schemas.openxmlformats.org/officeDocument/2006/relationships/hyperlink" Target="http://www.pbs.gov.au/medicine/item/10764m" TargetMode="External"/><Relationship Id="rId32" Type="http://schemas.openxmlformats.org/officeDocument/2006/relationships/hyperlink" Target="http://www.pbs.gov.au/medicine/item/10436g" TargetMode="External"/><Relationship Id="rId37" Type="http://schemas.openxmlformats.org/officeDocument/2006/relationships/hyperlink" Target="http://www.pbs.gov.au/medicine/item/11076y" TargetMode="External"/><Relationship Id="rId40" Type="http://schemas.openxmlformats.org/officeDocument/2006/relationships/hyperlink" Target="http://www.pbs.gov.au/info/industry/listing/elements/pbac-meetings/psd/2013-03/dabrafenib" TargetMode="External"/><Relationship Id="rId45" Type="http://schemas.openxmlformats.org/officeDocument/2006/relationships/hyperlink" Target="http://www.pbs.gov.au/info/industry/listing/elements/pbac-meetings/psd/2016-07/trametinib-psd-july-2016" TargetMode="External"/><Relationship Id="rId53" Type="http://schemas.openxmlformats.org/officeDocument/2006/relationships/hyperlink" Target="http://www.pbs.gov.au/info/industry/listing/elements/pbac-meetings/psd/2015-11/nivolumab-opdivo-psd-11-2015" TargetMode="External"/><Relationship Id="rId58" Type="http://schemas.openxmlformats.org/officeDocument/2006/relationships/hyperlink" Target="http://www.pbs.gov.au/info/industry/listing/participants/public-release-docs/ipilimumab-dabrafenib-dusc-prd-2015-10-abstract" TargetMode="External"/><Relationship Id="rId66" Type="http://schemas.openxmlformats.org/officeDocument/2006/relationships/image" Target="media/image3.png"/><Relationship Id="rId74" Type="http://schemas.openxmlformats.org/officeDocument/2006/relationships/hyperlink" Target="http://www.pbs.gov.au/info/industry/listing/elements/pbac-meetings/psd/2013-03/dabrafenib"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footer" Target="footer1.xml"/><Relationship Id="rId10" Type="http://schemas.openxmlformats.org/officeDocument/2006/relationships/hyperlink" Target="http://tga.gov.au/hp/information-medicines-pi.htm" TargetMode="External"/><Relationship Id="rId19" Type="http://schemas.openxmlformats.org/officeDocument/2006/relationships/hyperlink" Target="http://www.pbs.gov.au/medicine/item/2638w" TargetMode="External"/><Relationship Id="rId31" Type="http://schemas.openxmlformats.org/officeDocument/2006/relationships/hyperlink" Target="http://www.pbs.gov.au/medicine/item/10424p" TargetMode="External"/><Relationship Id="rId44" Type="http://schemas.openxmlformats.org/officeDocument/2006/relationships/hyperlink" Target="http://www.pbs.gov.au/info/industry/listing/elements/pbac-meetings/psd/2014-11/trametinib-psd-11-2014" TargetMode="External"/><Relationship Id="rId52" Type="http://schemas.openxmlformats.org/officeDocument/2006/relationships/hyperlink" Target="http://www.pbs.gov.au/info/industry/listing/elements/pbac-meetings/psd/2015-07/nivolumab-opdivo-psd-july-2015" TargetMode="External"/><Relationship Id="rId60" Type="http://schemas.openxmlformats.org/officeDocument/2006/relationships/hyperlink" Target="http://medicarestatistics.humanservices.gov.au/statistics/mbs_item.jsp" TargetMode="External"/><Relationship Id="rId65" Type="http://schemas.openxmlformats.org/officeDocument/2006/relationships/image" Target="media/image2.png"/><Relationship Id="rId73" Type="http://schemas.openxmlformats.org/officeDocument/2006/relationships/hyperlink" Target="http://medicarestatistics.humanservices.gov.au/statistics/mbs_item.jsp" TargetMode="External"/><Relationship Id="rId78"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hyperlink" Target="https://www.tga.gov.au/australian-register-therapeutic-goods" TargetMode="External"/><Relationship Id="rId14" Type="http://schemas.openxmlformats.org/officeDocument/2006/relationships/hyperlink" Target="http://www.pbs.gov.au/medicine/item/11075x" TargetMode="External"/><Relationship Id="rId22" Type="http://schemas.openxmlformats.org/officeDocument/2006/relationships/hyperlink" Target="http://www.pbs.gov.au/medicine/item/2641b" TargetMode="External"/><Relationship Id="rId27" Type="http://schemas.openxmlformats.org/officeDocument/2006/relationships/hyperlink" Target="http://www.pbs.gov.au/medicine/item/10745m" TargetMode="External"/><Relationship Id="rId30" Type="http://schemas.openxmlformats.org/officeDocument/2006/relationships/hyperlink" Target="http://www.pbs.gov.au/medicine/item/10493g" TargetMode="External"/><Relationship Id="rId35" Type="http://schemas.openxmlformats.org/officeDocument/2006/relationships/hyperlink" Target="http://www.pbs.gov.au/medicine/item/10385n" TargetMode="External"/><Relationship Id="rId43" Type="http://schemas.openxmlformats.org/officeDocument/2006/relationships/hyperlink" Target="http://www.pbs.gov.au/info/industry/listing/elements/pbac-meetings/psd/2014-03/trametinib" TargetMode="External"/><Relationship Id="rId48" Type="http://schemas.openxmlformats.org/officeDocument/2006/relationships/hyperlink" Target="http://www.pbs.gov.au/info/industry/listing/elements/pbac-meetings/psd/2011-07/pbac-psd-ipilimumab-july11" TargetMode="External"/><Relationship Id="rId56" Type="http://schemas.openxmlformats.org/officeDocument/2006/relationships/hyperlink" Target="http://www.pbs.gov.au/info/industry/listing/elements/pbac-meetings/psd/2016-11/pembrolizumab-melanoma-psd-november-2016" TargetMode="External"/><Relationship Id="rId64" Type="http://schemas.openxmlformats.org/officeDocument/2006/relationships/image" Target="media/image1.png"/><Relationship Id="rId69" Type="http://schemas.openxmlformats.org/officeDocument/2006/relationships/image" Target="media/image6.png"/><Relationship Id="rId77" Type="http://schemas.openxmlformats.org/officeDocument/2006/relationships/image" Target="media/image10.png"/><Relationship Id="rId8" Type="http://schemas.openxmlformats.org/officeDocument/2006/relationships/endnotes" Target="endnotes.xml"/><Relationship Id="rId51" Type="http://schemas.openxmlformats.org/officeDocument/2006/relationships/hyperlink" Target="http://www.pbs.gov.au/info/industry/listing/elements/pbac-meetings/psd/2016-07/ipilimumab-psd-july-2016" TargetMode="External"/><Relationship Id="rId72" Type="http://schemas.openxmlformats.org/officeDocument/2006/relationships/image" Target="media/image9.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hyperlink" Target="http://www.pbs.gov.au/medicine/item/2954l" TargetMode="External"/><Relationship Id="rId25" Type="http://schemas.openxmlformats.org/officeDocument/2006/relationships/hyperlink" Target="http://www.pbs.gov.au/medicine/item/10775d" TargetMode="External"/><Relationship Id="rId33" Type="http://schemas.openxmlformats.org/officeDocument/2006/relationships/hyperlink" Target="http://www.pbs.gov.au/medicine/item/10403m" TargetMode="External"/><Relationship Id="rId38" Type="http://schemas.openxmlformats.org/officeDocument/2006/relationships/hyperlink" Target="http://www.pbs.gov.au/medicine/item/11081f" TargetMode="External"/><Relationship Id="rId46" Type="http://schemas.openxmlformats.org/officeDocument/2006/relationships/hyperlink" Target="http://www.pbs.gov.au/info/industry/listing/elements/pbac-meetings/psd/2015-11/dabrafenib-tafinlar-and-trametinib-mekinist-psd-11-2015" TargetMode="External"/><Relationship Id="rId59" Type="http://schemas.openxmlformats.org/officeDocument/2006/relationships/hyperlink" Target="http://www.pbs.gov.au/info/industry/listing/elements/pbac-meetings/pbac-outcomes/recommendations-pbac-november-2015" TargetMode="External"/><Relationship Id="rId67" Type="http://schemas.openxmlformats.org/officeDocument/2006/relationships/image" Target="media/image4.png"/><Relationship Id="rId20" Type="http://schemas.openxmlformats.org/officeDocument/2006/relationships/hyperlink" Target="http://www.pbs.gov.au/medicine/item/2641b" TargetMode="External"/><Relationship Id="rId41" Type="http://schemas.openxmlformats.org/officeDocument/2006/relationships/hyperlink" Target="http://www.pbs.gov.au/info/industry/listing/elements/pbac-meetings/psd/2013-07/dabrafenib" TargetMode="External"/><Relationship Id="rId54" Type="http://schemas.openxmlformats.org/officeDocument/2006/relationships/hyperlink" Target="http://www.pbs.gov.au/info/industry/listing/elements/pbac-meetings/psd/2015-03/pembrolizumab-keytruda-psd-03-2015" TargetMode="External"/><Relationship Id="rId62" Type="http://schemas.openxmlformats.org/officeDocument/2006/relationships/footer" Target="footer2.xml"/><Relationship Id="rId70" Type="http://schemas.openxmlformats.org/officeDocument/2006/relationships/image" Target="media/image7.png"/><Relationship Id="rId75" Type="http://schemas.openxmlformats.org/officeDocument/2006/relationships/hyperlink" Target="http://www.pbs.gov.au/info/industry/listing/elements/pbac-meetings/psd/2015-03/pembrolizumab-keytruda-psd-03-201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bs.gov.au/medicine/item/2963y" TargetMode="External"/><Relationship Id="rId23" Type="http://schemas.openxmlformats.org/officeDocument/2006/relationships/hyperlink" Target="http://www.pbs.gov.au/medicine/item/10775d" TargetMode="External"/><Relationship Id="rId28" Type="http://schemas.openxmlformats.org/officeDocument/2006/relationships/hyperlink" Target="http://www.pbs.gov.au/medicine/item/10748q" TargetMode="External"/><Relationship Id="rId36" Type="http://schemas.openxmlformats.org/officeDocument/2006/relationships/hyperlink" Target="http://www.pbs.gov.au/medicine/item/10405p" TargetMode="External"/><Relationship Id="rId49" Type="http://schemas.openxmlformats.org/officeDocument/2006/relationships/hyperlink" Target="http://www.pbs.gov.au/info/industry/listing/elements/pbac-meetings/psd/2012-03/ipilimumab" TargetMode="External"/><Relationship Id="rId57" Type="http://schemas.openxmlformats.org/officeDocument/2006/relationships/hyperlink" Target="http://www.pbs.gov.au/industry/listing/elements/pbac-meetings/pbac-outcomes/2018-03/positive-recommendations-03-2018.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bs.gov.au/info/industry/listing/elements/pbac-meetings/psd/2016-07/ipilimumab-psd-july-2016" TargetMode="External"/><Relationship Id="rId3" Type="http://schemas.openxmlformats.org/officeDocument/2006/relationships/hyperlink" Target="http://www.pbs.gov.au/info/industry/listing/elements/pbac-meetings/psd/2012-07/vemurafenib" TargetMode="External"/><Relationship Id="rId7" Type="http://schemas.openxmlformats.org/officeDocument/2006/relationships/hyperlink" Target="http://www.pbs.gov.au/info/industry/listing/participants/public-release-docs/2015-10/ipilimumab-dabrafenib-dusc-prd-2015-10-abstract" TargetMode="External"/><Relationship Id="rId2" Type="http://schemas.openxmlformats.org/officeDocument/2006/relationships/hyperlink" Target="http://www.msac.gov.au/internet/msac/publishing.nsf/Content/DBE91D7AA74C5A3ECA25801000123B96/$File/1207-FinalPSD-Aug2013.PDF" TargetMode="External"/><Relationship Id="rId1" Type="http://schemas.openxmlformats.org/officeDocument/2006/relationships/hyperlink" Target="http://www.pbs.gov.au/info/industry/listing/elements/pbac-meetings/psd/2012-11/ipilimumab" TargetMode="External"/><Relationship Id="rId6" Type="http://schemas.openxmlformats.org/officeDocument/2006/relationships/hyperlink" Target="http://www.msac.gov.au/internet/msac/publishing.nsf/Content/DBE91D7AA74C5A3ECA25801000123B96/$File/1207-FinalPSD-Aug2013.PDF" TargetMode="External"/><Relationship Id="rId5" Type="http://schemas.openxmlformats.org/officeDocument/2006/relationships/hyperlink" Target="http://www.pbs.gov.au/info/industry/listing/elements/pbac-meetings/psd/2015-03/pembrolizumab-keytruda-psd-03-2015" TargetMode="External"/><Relationship Id="rId4" Type="http://schemas.openxmlformats.org/officeDocument/2006/relationships/hyperlink" Target="http://www.msac.gov.au/internet/msac/publishing.nsf/Content/DBE91D7AA74C5A3ECA25801000123B96/$File/1207-FinalPSD-Aug2013.PDF" TargetMode="External"/><Relationship Id="rId9" Type="http://schemas.openxmlformats.org/officeDocument/2006/relationships/hyperlink" Target="http://www.pbs.gov.au/info/industry/listing/participants/public-release-docs/2015-10/ipilimumab-dabrafenib-dusc-prd-2015-10-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A96D0-10D1-48D7-A3A8-8E43E2AF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14184</Words>
  <Characters>80851</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2018-10-09T22:38:00Z</dcterms:created>
  <dcterms:modified xsi:type="dcterms:W3CDTF">2018-10-12T00:35:00Z</dcterms:modified>
</cp:coreProperties>
</file>