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B15E13" w:rsidP="00F73113">
      <w:pPr>
        <w:pStyle w:val="Title"/>
      </w:pPr>
      <w:r>
        <w:t>Ranibizumab and aflibercept</w:t>
      </w:r>
      <w:r w:rsidR="001C4016">
        <w:t>: a</w:t>
      </w:r>
      <w:r w:rsidR="00935689">
        <w:t xml:space="preserve">nalysis </w:t>
      </w:r>
      <w:r>
        <w:t>of use for AMD, DMO, BRVO and CRVO</w:t>
      </w:r>
    </w:p>
    <w:p w:rsidR="00736041" w:rsidRDefault="009053D3" w:rsidP="00F73113">
      <w:pPr>
        <w:pStyle w:val="Title2"/>
      </w:pPr>
      <w:bookmarkStart w:id="0" w:name="_Toc513038001"/>
      <w:r>
        <w:t>D</w:t>
      </w:r>
      <w:r w:rsidR="00832324" w:rsidRPr="0063631C">
        <w:t xml:space="preserve">rug utilisation sub-committee </w:t>
      </w:r>
      <w:r w:rsidR="00832324">
        <w:t>(DUSC)</w:t>
      </w:r>
      <w:bookmarkEnd w:id="0"/>
    </w:p>
    <w:p w:rsidR="009053D3" w:rsidRPr="00F73113" w:rsidRDefault="00472AAE" w:rsidP="00F73113">
      <w:pPr>
        <w:pStyle w:val="Meetingdate"/>
      </w:pPr>
      <w:r>
        <w:t>May</w:t>
      </w:r>
      <w:r w:rsidR="00B15E13">
        <w:t xml:space="preserve"> 2018</w:t>
      </w:r>
    </w:p>
    <w:p w:rsidR="005C6661" w:rsidRPr="00CF5E22" w:rsidRDefault="005C6661" w:rsidP="00CF5E22">
      <w:pPr>
        <w:pStyle w:val="Heading2"/>
      </w:pPr>
      <w:bookmarkStart w:id="1" w:name="_Toc513038002"/>
      <w:r w:rsidRPr="00CF5E22">
        <w:t>Abstract</w:t>
      </w:r>
      <w:bookmarkEnd w:id="1"/>
    </w:p>
    <w:p w:rsidR="005C6661" w:rsidRPr="00CF5E22" w:rsidRDefault="005C6661" w:rsidP="00CF5E22">
      <w:pPr>
        <w:pStyle w:val="Heading3"/>
      </w:pPr>
      <w:bookmarkStart w:id="2" w:name="_Toc513038003"/>
      <w:r w:rsidRPr="00CF5E22">
        <w:t>Purpose</w:t>
      </w:r>
      <w:bookmarkEnd w:id="2"/>
    </w:p>
    <w:p w:rsidR="00E172E2" w:rsidRDefault="00E172E2" w:rsidP="00E172E2">
      <w:r>
        <w:t xml:space="preserve">To assess the utilisation of PBS listed medicines for age related macular degeneration (AMD), diabetic macular oedema (DMO), branch retinal </w:t>
      </w:r>
      <w:r w:rsidR="00427F72">
        <w:t xml:space="preserve">vein </w:t>
      </w:r>
      <w:r>
        <w:t>occlusion (BRVO) and central</w:t>
      </w:r>
      <w:r w:rsidRPr="00D01B0E">
        <w:t xml:space="preserve"> </w:t>
      </w:r>
      <w:r>
        <w:t xml:space="preserve">retinal </w:t>
      </w:r>
      <w:r w:rsidR="00427F72">
        <w:t xml:space="preserve">vein </w:t>
      </w:r>
      <w:r>
        <w:t>occlusion (CRVO).</w:t>
      </w:r>
    </w:p>
    <w:p w:rsidR="002D144A" w:rsidRDefault="00320629" w:rsidP="00CF5E22">
      <w:pPr>
        <w:pStyle w:val="Heading3"/>
      </w:pPr>
      <w:bookmarkStart w:id="3" w:name="_Toc513038004"/>
      <w:r>
        <w:t>L</w:t>
      </w:r>
      <w:r w:rsidR="002D144A">
        <w:t>isting on the P</w:t>
      </w:r>
      <w:r w:rsidR="00A95FA5">
        <w:t xml:space="preserve">harmaceutical </w:t>
      </w:r>
      <w:r w:rsidR="002D144A">
        <w:t>B</w:t>
      </w:r>
      <w:r w:rsidR="00A95FA5">
        <w:t xml:space="preserve">enefits </w:t>
      </w:r>
      <w:r w:rsidR="002D144A">
        <w:t>S</w:t>
      </w:r>
      <w:r w:rsidR="00A95FA5">
        <w:t>cheme (PBS)</w:t>
      </w:r>
      <w:bookmarkEnd w:id="3"/>
    </w:p>
    <w:tbl>
      <w:tblPr>
        <w:tblStyle w:val="TableGrid"/>
        <w:tblW w:w="9180" w:type="dxa"/>
        <w:tblLook w:val="04A0" w:firstRow="1" w:lastRow="0" w:firstColumn="1" w:lastColumn="0" w:noHBand="0" w:noVBand="1"/>
        <w:tblCaption w:val="PBS listing dates"/>
        <w:tblDescription w:val="Summary of listings for ranibizumab and aflibercept"/>
      </w:tblPr>
      <w:tblGrid>
        <w:gridCol w:w="1809"/>
        <w:gridCol w:w="5529"/>
        <w:gridCol w:w="1842"/>
      </w:tblGrid>
      <w:tr w:rsidR="00E172E2" w:rsidRPr="0046246A" w:rsidTr="00E172E2">
        <w:trPr>
          <w:tblHeader/>
        </w:trPr>
        <w:tc>
          <w:tcPr>
            <w:tcW w:w="1809" w:type="dxa"/>
            <w:shd w:val="clear" w:color="auto" w:fill="BFBFBF" w:themeFill="background1" w:themeFillShade="BF"/>
          </w:tcPr>
          <w:p w:rsidR="00E172E2" w:rsidRPr="0046246A" w:rsidRDefault="00E172E2" w:rsidP="00D93564">
            <w:pPr>
              <w:pStyle w:val="Tableheading"/>
              <w:keepNext/>
              <w:rPr>
                <w:sz w:val="20"/>
                <w:szCs w:val="20"/>
              </w:rPr>
            </w:pPr>
          </w:p>
        </w:tc>
        <w:tc>
          <w:tcPr>
            <w:tcW w:w="5529" w:type="dxa"/>
            <w:shd w:val="clear" w:color="auto" w:fill="BFBFBF" w:themeFill="background1" w:themeFillShade="BF"/>
          </w:tcPr>
          <w:p w:rsidR="00E172E2" w:rsidRPr="0046246A" w:rsidRDefault="00E172E2" w:rsidP="00D93564">
            <w:pPr>
              <w:pStyle w:val="Tableheading"/>
              <w:keepNext/>
              <w:rPr>
                <w:sz w:val="20"/>
                <w:szCs w:val="20"/>
              </w:rPr>
            </w:pPr>
            <w:r w:rsidRPr="00E172E2">
              <w:rPr>
                <w:sz w:val="20"/>
                <w:szCs w:val="20"/>
              </w:rPr>
              <w:t>Abridged restriction</w:t>
            </w:r>
          </w:p>
        </w:tc>
        <w:tc>
          <w:tcPr>
            <w:tcW w:w="1842" w:type="dxa"/>
            <w:shd w:val="clear" w:color="auto" w:fill="BFBFBF" w:themeFill="background1" w:themeFillShade="BF"/>
          </w:tcPr>
          <w:p w:rsidR="00E172E2" w:rsidRPr="0046246A" w:rsidRDefault="00E172E2" w:rsidP="00D93564">
            <w:pPr>
              <w:pStyle w:val="Tableheading"/>
              <w:keepNext/>
              <w:rPr>
                <w:sz w:val="20"/>
                <w:szCs w:val="20"/>
              </w:rPr>
            </w:pPr>
            <w:r w:rsidRPr="0046246A">
              <w:rPr>
                <w:sz w:val="20"/>
                <w:szCs w:val="20"/>
              </w:rPr>
              <w:t>Date listed</w:t>
            </w:r>
          </w:p>
        </w:tc>
      </w:tr>
      <w:tr w:rsidR="00E172E2" w:rsidTr="00E172E2">
        <w:tc>
          <w:tcPr>
            <w:tcW w:w="1809" w:type="dxa"/>
          </w:tcPr>
          <w:p w:rsidR="00E172E2" w:rsidRPr="006258C7" w:rsidRDefault="00E172E2" w:rsidP="00D93564">
            <w:pPr>
              <w:keepNext/>
              <w:rPr>
                <w:rFonts w:cs="Calibri"/>
                <w:color w:val="000000"/>
                <w:sz w:val="20"/>
                <w:szCs w:val="20"/>
              </w:rPr>
            </w:pPr>
            <w:r w:rsidRPr="006258C7">
              <w:rPr>
                <w:rFonts w:cs="Calibri"/>
                <w:color w:val="000000"/>
                <w:sz w:val="20"/>
                <w:szCs w:val="20"/>
              </w:rPr>
              <w:t>Ranibizumab</w:t>
            </w:r>
          </w:p>
        </w:tc>
        <w:tc>
          <w:tcPr>
            <w:tcW w:w="5529" w:type="dxa"/>
            <w:shd w:val="clear" w:color="auto" w:fill="auto"/>
          </w:tcPr>
          <w:p w:rsidR="00E172E2" w:rsidRPr="006258C7" w:rsidRDefault="001133CC" w:rsidP="001133CC">
            <w:pPr>
              <w:keepNext/>
              <w:rPr>
                <w:rFonts w:cs="Calibri"/>
                <w:color w:val="000000"/>
                <w:sz w:val="20"/>
                <w:szCs w:val="20"/>
              </w:rPr>
            </w:pPr>
            <w:r w:rsidRPr="001133CC">
              <w:rPr>
                <w:rFonts w:cs="Calibri"/>
                <w:color w:val="000000"/>
                <w:sz w:val="20"/>
                <w:szCs w:val="20"/>
              </w:rPr>
              <w:t xml:space="preserve">Subfoveal choroidal neovascularisation (CNV) </w:t>
            </w:r>
            <w:r w:rsidR="00E172E2">
              <w:rPr>
                <w:rFonts w:cs="Calibri"/>
                <w:color w:val="000000"/>
                <w:sz w:val="20"/>
                <w:szCs w:val="20"/>
              </w:rPr>
              <w:t xml:space="preserve">due to </w:t>
            </w:r>
            <w:r w:rsidRPr="001133CC">
              <w:rPr>
                <w:rFonts w:cs="Calibri"/>
                <w:color w:val="000000"/>
                <w:sz w:val="20"/>
                <w:szCs w:val="20"/>
              </w:rPr>
              <w:t>age-related macular degeneration (AMD)</w:t>
            </w:r>
            <w:r w:rsidR="00E172E2" w:rsidRPr="006258C7">
              <w:rPr>
                <w:rFonts w:cs="Calibri"/>
                <w:color w:val="000000"/>
                <w:sz w:val="20"/>
                <w:szCs w:val="20"/>
              </w:rPr>
              <w:t>.</w:t>
            </w:r>
          </w:p>
        </w:tc>
        <w:tc>
          <w:tcPr>
            <w:tcW w:w="1842" w:type="dxa"/>
            <w:shd w:val="clear" w:color="auto" w:fill="auto"/>
          </w:tcPr>
          <w:p w:rsidR="00E172E2" w:rsidRPr="006258C7" w:rsidRDefault="00E172E2" w:rsidP="00D93564">
            <w:pPr>
              <w:keepNext/>
              <w:rPr>
                <w:rFonts w:cs="Calibri"/>
                <w:color w:val="000000"/>
                <w:sz w:val="20"/>
                <w:szCs w:val="20"/>
              </w:rPr>
            </w:pPr>
            <w:r w:rsidRPr="006258C7">
              <w:rPr>
                <w:rFonts w:cs="Calibri"/>
                <w:color w:val="000000"/>
                <w:sz w:val="20"/>
                <w:szCs w:val="20"/>
              </w:rPr>
              <w:t>1 August 2007</w:t>
            </w:r>
          </w:p>
        </w:tc>
      </w:tr>
      <w:tr w:rsidR="00E172E2" w:rsidTr="00E172E2">
        <w:tc>
          <w:tcPr>
            <w:tcW w:w="1809" w:type="dxa"/>
          </w:tcPr>
          <w:p w:rsidR="00E172E2" w:rsidRPr="006258C7" w:rsidRDefault="00E172E2" w:rsidP="00D93564">
            <w:pPr>
              <w:keepNext/>
              <w:rPr>
                <w:rFonts w:cs="Calibri"/>
                <w:color w:val="000000"/>
                <w:sz w:val="20"/>
                <w:szCs w:val="20"/>
              </w:rPr>
            </w:pPr>
            <w:r w:rsidRPr="006258C7">
              <w:rPr>
                <w:rFonts w:cs="Calibri"/>
                <w:color w:val="000000"/>
                <w:sz w:val="20"/>
                <w:szCs w:val="20"/>
              </w:rPr>
              <w:t>Aflibercept</w:t>
            </w:r>
          </w:p>
        </w:tc>
        <w:tc>
          <w:tcPr>
            <w:tcW w:w="5529" w:type="dxa"/>
            <w:shd w:val="clear" w:color="auto" w:fill="auto"/>
          </w:tcPr>
          <w:p w:rsidR="00E172E2" w:rsidRPr="006258C7" w:rsidRDefault="00E172E2" w:rsidP="001133CC">
            <w:pPr>
              <w:keepNext/>
              <w:rPr>
                <w:rFonts w:cs="Calibri"/>
                <w:color w:val="000000"/>
                <w:sz w:val="20"/>
                <w:szCs w:val="20"/>
              </w:rPr>
            </w:pPr>
            <w:r>
              <w:rPr>
                <w:rFonts w:cs="Calibri"/>
                <w:color w:val="000000"/>
                <w:sz w:val="20"/>
                <w:szCs w:val="20"/>
              </w:rPr>
              <w:t>CNV</w:t>
            </w:r>
            <w:r w:rsidRPr="006258C7">
              <w:rPr>
                <w:rFonts w:cs="Calibri"/>
                <w:color w:val="000000"/>
                <w:sz w:val="20"/>
                <w:szCs w:val="20"/>
              </w:rPr>
              <w:t xml:space="preserve"> </w:t>
            </w:r>
            <w:r w:rsidR="001133CC">
              <w:rPr>
                <w:rFonts w:cs="Calibri"/>
                <w:color w:val="000000"/>
                <w:sz w:val="20"/>
                <w:szCs w:val="20"/>
              </w:rPr>
              <w:t>due to AMD</w:t>
            </w:r>
            <w:r w:rsidRPr="006258C7">
              <w:rPr>
                <w:rFonts w:cs="Calibri"/>
                <w:color w:val="000000"/>
                <w:sz w:val="20"/>
                <w:szCs w:val="20"/>
              </w:rPr>
              <w:t>.</w:t>
            </w:r>
          </w:p>
        </w:tc>
        <w:tc>
          <w:tcPr>
            <w:tcW w:w="1842" w:type="dxa"/>
            <w:shd w:val="clear" w:color="auto" w:fill="auto"/>
          </w:tcPr>
          <w:p w:rsidR="00E172E2" w:rsidRPr="006258C7" w:rsidRDefault="00E172E2" w:rsidP="00D93564">
            <w:pPr>
              <w:keepNext/>
              <w:rPr>
                <w:rFonts w:cs="Calibri"/>
                <w:color w:val="000000"/>
                <w:sz w:val="20"/>
                <w:szCs w:val="20"/>
              </w:rPr>
            </w:pPr>
            <w:r w:rsidRPr="006258C7">
              <w:rPr>
                <w:rFonts w:cs="Calibri"/>
                <w:color w:val="000000"/>
                <w:sz w:val="20"/>
                <w:szCs w:val="20"/>
              </w:rPr>
              <w:t>1 December 2012</w:t>
            </w:r>
          </w:p>
        </w:tc>
      </w:tr>
      <w:tr w:rsidR="00E172E2" w:rsidTr="00E172E2">
        <w:tc>
          <w:tcPr>
            <w:tcW w:w="1809" w:type="dxa"/>
          </w:tcPr>
          <w:p w:rsidR="00E172E2" w:rsidRPr="006258C7" w:rsidRDefault="00E172E2" w:rsidP="00D93564">
            <w:pPr>
              <w:rPr>
                <w:rFonts w:cs="Calibri"/>
                <w:color w:val="000000"/>
                <w:sz w:val="20"/>
                <w:szCs w:val="20"/>
              </w:rPr>
            </w:pPr>
            <w:r w:rsidRPr="006258C7">
              <w:rPr>
                <w:rFonts w:cs="Calibri"/>
                <w:color w:val="000000"/>
                <w:sz w:val="20"/>
                <w:szCs w:val="20"/>
              </w:rPr>
              <w:t>Ranibizumab</w:t>
            </w:r>
          </w:p>
        </w:tc>
        <w:tc>
          <w:tcPr>
            <w:tcW w:w="5529" w:type="dxa"/>
            <w:shd w:val="clear" w:color="auto" w:fill="auto"/>
          </w:tcPr>
          <w:p w:rsidR="00E172E2" w:rsidRPr="006258C7" w:rsidRDefault="001133CC" w:rsidP="001133CC">
            <w:pPr>
              <w:rPr>
                <w:rFonts w:cs="Calibri"/>
                <w:color w:val="000000"/>
                <w:sz w:val="20"/>
                <w:szCs w:val="20"/>
              </w:rPr>
            </w:pPr>
            <w:r>
              <w:rPr>
                <w:rFonts w:cs="Calibri"/>
                <w:color w:val="000000"/>
                <w:sz w:val="20"/>
                <w:szCs w:val="20"/>
              </w:rPr>
              <w:t>Visual</w:t>
            </w:r>
            <w:r w:rsidR="00E172E2" w:rsidRPr="006258C7">
              <w:rPr>
                <w:rFonts w:cs="Calibri"/>
                <w:color w:val="000000"/>
                <w:sz w:val="20"/>
                <w:szCs w:val="20"/>
              </w:rPr>
              <w:t xml:space="preserve"> impairment due to </w:t>
            </w:r>
            <w:r w:rsidRPr="001133CC">
              <w:rPr>
                <w:rFonts w:cs="Calibri"/>
                <w:color w:val="000000"/>
                <w:sz w:val="20"/>
                <w:szCs w:val="20"/>
              </w:rPr>
              <w:t xml:space="preserve">macular oedema </w:t>
            </w:r>
            <w:r>
              <w:rPr>
                <w:rFonts w:cs="Calibri"/>
                <w:color w:val="000000"/>
                <w:sz w:val="20"/>
                <w:szCs w:val="20"/>
              </w:rPr>
              <w:t>(</w:t>
            </w:r>
            <w:r w:rsidR="00E172E2">
              <w:rPr>
                <w:rFonts w:cs="Calibri"/>
                <w:color w:val="000000"/>
                <w:sz w:val="20"/>
                <w:szCs w:val="20"/>
              </w:rPr>
              <w:t>MO</w:t>
            </w:r>
            <w:r>
              <w:rPr>
                <w:rFonts w:cs="Calibri"/>
                <w:color w:val="000000"/>
                <w:sz w:val="20"/>
                <w:szCs w:val="20"/>
              </w:rPr>
              <w:t>)</w:t>
            </w:r>
            <w:r w:rsidR="00E172E2">
              <w:rPr>
                <w:rFonts w:cs="Calibri"/>
                <w:color w:val="000000"/>
                <w:sz w:val="20"/>
                <w:szCs w:val="20"/>
              </w:rPr>
              <w:t xml:space="preserve"> </w:t>
            </w:r>
            <w:r w:rsidR="00E172E2" w:rsidRPr="006258C7">
              <w:rPr>
                <w:rFonts w:cs="Calibri"/>
                <w:color w:val="000000"/>
                <w:sz w:val="20"/>
                <w:szCs w:val="20"/>
              </w:rPr>
              <w:t>secondary to</w:t>
            </w:r>
            <w:r>
              <w:rPr>
                <w:rFonts w:cs="Calibri"/>
                <w:color w:val="000000"/>
                <w:sz w:val="20"/>
                <w:szCs w:val="20"/>
              </w:rPr>
              <w:t xml:space="preserve"> b</w:t>
            </w:r>
            <w:r w:rsidRPr="001133CC">
              <w:rPr>
                <w:rFonts w:cs="Calibri"/>
                <w:color w:val="000000"/>
                <w:sz w:val="20"/>
                <w:szCs w:val="20"/>
              </w:rPr>
              <w:t>ranch retinal vein occlusion</w:t>
            </w:r>
            <w:r>
              <w:rPr>
                <w:rFonts w:cs="Calibri"/>
                <w:color w:val="000000"/>
                <w:sz w:val="20"/>
                <w:szCs w:val="20"/>
              </w:rPr>
              <w:t xml:space="preserve"> (BVRO) and central</w:t>
            </w:r>
            <w:r w:rsidRPr="001133CC">
              <w:rPr>
                <w:rFonts w:cs="Calibri"/>
                <w:color w:val="000000"/>
                <w:sz w:val="20"/>
                <w:szCs w:val="20"/>
              </w:rPr>
              <w:t xml:space="preserve"> retinal vein occlusion</w:t>
            </w:r>
            <w:r>
              <w:rPr>
                <w:rFonts w:cs="Calibri"/>
                <w:color w:val="000000"/>
                <w:sz w:val="20"/>
                <w:szCs w:val="20"/>
              </w:rPr>
              <w:t xml:space="preserve"> (CRVO)</w:t>
            </w:r>
            <w:r w:rsidR="00E172E2" w:rsidRPr="006258C7">
              <w:rPr>
                <w:rFonts w:cs="Calibri"/>
                <w:color w:val="000000"/>
                <w:sz w:val="20"/>
                <w:szCs w:val="20"/>
              </w:rPr>
              <w:t>.</w:t>
            </w:r>
            <w:r w:rsidR="00E172E2" w:rsidRPr="006258C7">
              <w:t xml:space="preserve">  </w:t>
            </w:r>
          </w:p>
        </w:tc>
        <w:tc>
          <w:tcPr>
            <w:tcW w:w="1842" w:type="dxa"/>
            <w:shd w:val="clear" w:color="auto" w:fill="auto"/>
          </w:tcPr>
          <w:p w:rsidR="00E172E2" w:rsidRPr="006258C7" w:rsidRDefault="00E172E2" w:rsidP="00D93564">
            <w:pPr>
              <w:rPr>
                <w:rFonts w:cs="Calibri"/>
                <w:color w:val="000000"/>
                <w:sz w:val="20"/>
                <w:szCs w:val="20"/>
              </w:rPr>
            </w:pPr>
            <w:r w:rsidRPr="006258C7">
              <w:rPr>
                <w:rFonts w:cs="Calibri"/>
                <w:color w:val="000000"/>
                <w:sz w:val="20"/>
                <w:szCs w:val="20"/>
              </w:rPr>
              <w:t>1 July 2015</w:t>
            </w:r>
          </w:p>
        </w:tc>
      </w:tr>
      <w:tr w:rsidR="00E172E2" w:rsidTr="00E172E2">
        <w:tc>
          <w:tcPr>
            <w:tcW w:w="1809" w:type="dxa"/>
          </w:tcPr>
          <w:p w:rsidR="00E172E2" w:rsidRPr="006258C7" w:rsidRDefault="00E172E2" w:rsidP="00D93564">
            <w:pPr>
              <w:rPr>
                <w:rFonts w:cs="Calibri"/>
                <w:color w:val="000000"/>
                <w:sz w:val="20"/>
                <w:szCs w:val="20"/>
              </w:rPr>
            </w:pPr>
            <w:r w:rsidRPr="006258C7">
              <w:rPr>
                <w:rFonts w:cs="Calibri"/>
                <w:color w:val="000000"/>
                <w:sz w:val="20"/>
                <w:szCs w:val="20"/>
              </w:rPr>
              <w:t>Ranibizumab</w:t>
            </w:r>
          </w:p>
        </w:tc>
        <w:tc>
          <w:tcPr>
            <w:tcW w:w="5529" w:type="dxa"/>
            <w:shd w:val="clear" w:color="auto" w:fill="auto"/>
          </w:tcPr>
          <w:p w:rsidR="00E172E2" w:rsidRPr="006258C7" w:rsidRDefault="001133CC" w:rsidP="001133CC">
            <w:pPr>
              <w:rPr>
                <w:rFonts w:cs="Calibri"/>
                <w:color w:val="000000"/>
                <w:sz w:val="20"/>
                <w:szCs w:val="20"/>
              </w:rPr>
            </w:pPr>
            <w:r>
              <w:rPr>
                <w:rFonts w:cs="Calibri"/>
                <w:color w:val="000000"/>
                <w:sz w:val="20"/>
                <w:szCs w:val="20"/>
              </w:rPr>
              <w:t>V</w:t>
            </w:r>
            <w:r w:rsidR="00E172E2" w:rsidRPr="006258C7">
              <w:rPr>
                <w:rFonts w:cs="Calibri"/>
                <w:color w:val="000000"/>
                <w:sz w:val="20"/>
                <w:szCs w:val="20"/>
              </w:rPr>
              <w:t xml:space="preserve">isual impairment due to </w:t>
            </w:r>
            <w:r>
              <w:rPr>
                <w:rFonts w:cs="Calibri"/>
                <w:color w:val="000000"/>
                <w:sz w:val="20"/>
                <w:szCs w:val="20"/>
              </w:rPr>
              <w:t>d</w:t>
            </w:r>
            <w:r w:rsidRPr="001133CC">
              <w:rPr>
                <w:rFonts w:cs="Calibri"/>
                <w:color w:val="000000"/>
                <w:sz w:val="20"/>
                <w:szCs w:val="20"/>
              </w:rPr>
              <w:t>iabetic macular oedema (DMO)</w:t>
            </w:r>
            <w:r w:rsidR="00E172E2" w:rsidRPr="006258C7">
              <w:rPr>
                <w:rFonts w:cs="Calibri"/>
                <w:color w:val="000000"/>
                <w:sz w:val="20"/>
                <w:szCs w:val="20"/>
              </w:rPr>
              <w:t>.</w:t>
            </w:r>
          </w:p>
        </w:tc>
        <w:tc>
          <w:tcPr>
            <w:tcW w:w="1842" w:type="dxa"/>
            <w:shd w:val="clear" w:color="auto" w:fill="auto"/>
          </w:tcPr>
          <w:p w:rsidR="00E172E2" w:rsidRPr="006258C7" w:rsidRDefault="00E172E2" w:rsidP="00D93564">
            <w:pPr>
              <w:rPr>
                <w:rFonts w:cs="Calibri"/>
                <w:color w:val="000000"/>
                <w:sz w:val="20"/>
                <w:szCs w:val="20"/>
              </w:rPr>
            </w:pPr>
            <w:r w:rsidRPr="006258C7">
              <w:rPr>
                <w:rFonts w:cs="Calibri"/>
                <w:color w:val="000000"/>
                <w:sz w:val="20"/>
                <w:szCs w:val="20"/>
              </w:rPr>
              <w:t>1 July 2015</w:t>
            </w:r>
          </w:p>
        </w:tc>
      </w:tr>
      <w:tr w:rsidR="00E172E2" w:rsidTr="00E172E2">
        <w:tc>
          <w:tcPr>
            <w:tcW w:w="1809" w:type="dxa"/>
          </w:tcPr>
          <w:p w:rsidR="00E172E2" w:rsidRPr="006258C7" w:rsidRDefault="00E172E2" w:rsidP="00D93564">
            <w:pPr>
              <w:rPr>
                <w:rFonts w:cs="Calibri"/>
                <w:color w:val="000000"/>
                <w:sz w:val="20"/>
                <w:szCs w:val="20"/>
              </w:rPr>
            </w:pPr>
            <w:r w:rsidRPr="006258C7">
              <w:rPr>
                <w:rFonts w:cs="Calibri"/>
                <w:color w:val="000000"/>
                <w:sz w:val="20"/>
                <w:szCs w:val="20"/>
              </w:rPr>
              <w:t>Aflibercept</w:t>
            </w:r>
          </w:p>
        </w:tc>
        <w:tc>
          <w:tcPr>
            <w:tcW w:w="5529" w:type="dxa"/>
            <w:shd w:val="clear" w:color="auto" w:fill="auto"/>
          </w:tcPr>
          <w:p w:rsidR="00E172E2" w:rsidRPr="006258C7" w:rsidRDefault="001133CC" w:rsidP="001133CC">
            <w:pPr>
              <w:rPr>
                <w:rFonts w:cs="Calibri"/>
                <w:color w:val="000000"/>
                <w:sz w:val="20"/>
                <w:szCs w:val="20"/>
              </w:rPr>
            </w:pPr>
            <w:r>
              <w:rPr>
                <w:rFonts w:ascii="Calibri" w:hAnsi="Calibri"/>
                <w:sz w:val="20"/>
              </w:rPr>
              <w:t>Visual</w:t>
            </w:r>
            <w:r w:rsidRPr="006258C7">
              <w:rPr>
                <w:rFonts w:ascii="Calibri" w:hAnsi="Calibri"/>
                <w:sz w:val="20"/>
              </w:rPr>
              <w:t xml:space="preserve"> impairment </w:t>
            </w:r>
            <w:r w:rsidR="00E172E2" w:rsidRPr="006258C7">
              <w:rPr>
                <w:rFonts w:cs="Calibri"/>
                <w:color w:val="000000"/>
                <w:sz w:val="20"/>
                <w:szCs w:val="20"/>
              </w:rPr>
              <w:t>due to</w:t>
            </w:r>
            <w:r w:rsidR="00E172E2">
              <w:rPr>
                <w:rFonts w:cs="Calibri"/>
                <w:color w:val="000000"/>
                <w:sz w:val="20"/>
                <w:szCs w:val="20"/>
              </w:rPr>
              <w:t xml:space="preserve"> </w:t>
            </w:r>
            <w:r w:rsidR="00E172E2" w:rsidRPr="006258C7">
              <w:rPr>
                <w:rFonts w:cs="Calibri"/>
                <w:color w:val="000000"/>
                <w:sz w:val="20"/>
                <w:szCs w:val="20"/>
              </w:rPr>
              <w:t>DM</w:t>
            </w:r>
            <w:r w:rsidR="00E172E2">
              <w:rPr>
                <w:rFonts w:cs="Calibri"/>
                <w:color w:val="000000"/>
                <w:sz w:val="20"/>
                <w:szCs w:val="20"/>
              </w:rPr>
              <w:t>O</w:t>
            </w:r>
            <w:r w:rsidR="00E172E2" w:rsidRPr="006258C7">
              <w:rPr>
                <w:rFonts w:cs="Calibri"/>
                <w:color w:val="000000"/>
                <w:sz w:val="20"/>
                <w:szCs w:val="20"/>
              </w:rPr>
              <w:t>.</w:t>
            </w:r>
            <w:r w:rsidR="00E172E2" w:rsidRPr="006258C7">
              <w:t xml:space="preserve">  </w:t>
            </w:r>
          </w:p>
        </w:tc>
        <w:tc>
          <w:tcPr>
            <w:tcW w:w="1842" w:type="dxa"/>
            <w:shd w:val="clear" w:color="auto" w:fill="auto"/>
          </w:tcPr>
          <w:p w:rsidR="00E172E2" w:rsidRPr="006258C7" w:rsidRDefault="00E172E2" w:rsidP="00D93564">
            <w:pPr>
              <w:rPr>
                <w:rFonts w:cs="Calibri"/>
                <w:color w:val="000000"/>
                <w:sz w:val="20"/>
                <w:szCs w:val="20"/>
              </w:rPr>
            </w:pPr>
            <w:r w:rsidRPr="006258C7">
              <w:rPr>
                <w:rFonts w:cs="Calibri"/>
                <w:color w:val="000000"/>
                <w:sz w:val="20"/>
                <w:szCs w:val="20"/>
              </w:rPr>
              <w:t>1 October 2015</w:t>
            </w:r>
          </w:p>
        </w:tc>
      </w:tr>
      <w:tr w:rsidR="00E172E2" w:rsidTr="00E172E2">
        <w:tc>
          <w:tcPr>
            <w:tcW w:w="1809" w:type="dxa"/>
          </w:tcPr>
          <w:p w:rsidR="00E172E2" w:rsidRPr="006258C7" w:rsidRDefault="00E172E2" w:rsidP="00D93564">
            <w:pPr>
              <w:rPr>
                <w:rFonts w:cs="Calibri"/>
                <w:color w:val="000000"/>
                <w:sz w:val="20"/>
                <w:szCs w:val="20"/>
              </w:rPr>
            </w:pPr>
            <w:r w:rsidRPr="006258C7">
              <w:rPr>
                <w:rFonts w:cs="Calibri"/>
                <w:color w:val="000000"/>
                <w:sz w:val="20"/>
                <w:szCs w:val="20"/>
              </w:rPr>
              <w:t>Aflibercept</w:t>
            </w:r>
          </w:p>
        </w:tc>
        <w:tc>
          <w:tcPr>
            <w:tcW w:w="5529" w:type="dxa"/>
            <w:shd w:val="clear" w:color="auto" w:fill="auto"/>
          </w:tcPr>
          <w:p w:rsidR="00E172E2" w:rsidRPr="006258C7" w:rsidRDefault="001133CC" w:rsidP="00270452">
            <w:pPr>
              <w:rPr>
                <w:rFonts w:cs="Calibri"/>
                <w:color w:val="000000"/>
                <w:sz w:val="20"/>
                <w:szCs w:val="20"/>
              </w:rPr>
            </w:pPr>
            <w:r>
              <w:rPr>
                <w:rFonts w:cs="Calibri"/>
                <w:color w:val="000000"/>
                <w:sz w:val="20"/>
                <w:szCs w:val="20"/>
              </w:rPr>
              <w:t>Visual</w:t>
            </w:r>
            <w:r w:rsidRPr="006258C7">
              <w:rPr>
                <w:rFonts w:cs="Calibri"/>
                <w:color w:val="000000"/>
                <w:sz w:val="20"/>
                <w:szCs w:val="20"/>
              </w:rPr>
              <w:t xml:space="preserve"> impairment due to </w:t>
            </w:r>
            <w:r w:rsidRPr="001133CC">
              <w:rPr>
                <w:rFonts w:cs="Calibri"/>
                <w:color w:val="000000"/>
                <w:sz w:val="20"/>
                <w:szCs w:val="20"/>
              </w:rPr>
              <w:t>macular oedema</w:t>
            </w:r>
            <w:r w:rsidR="00E172E2" w:rsidRPr="006258C7">
              <w:rPr>
                <w:rFonts w:cs="Calibri"/>
                <w:color w:val="000000"/>
                <w:sz w:val="20"/>
                <w:szCs w:val="20"/>
              </w:rPr>
              <w:t xml:space="preserve"> </w:t>
            </w:r>
            <w:r w:rsidR="00270452">
              <w:rPr>
                <w:rFonts w:cs="Calibri"/>
                <w:color w:val="000000"/>
                <w:sz w:val="20"/>
                <w:szCs w:val="20"/>
              </w:rPr>
              <w:t>secondary</w:t>
            </w:r>
            <w:r w:rsidR="00E172E2" w:rsidRPr="006258C7">
              <w:rPr>
                <w:rFonts w:cs="Calibri"/>
                <w:color w:val="000000"/>
                <w:sz w:val="20"/>
                <w:szCs w:val="20"/>
              </w:rPr>
              <w:t xml:space="preserve"> to CRVO.</w:t>
            </w:r>
          </w:p>
        </w:tc>
        <w:tc>
          <w:tcPr>
            <w:tcW w:w="1842" w:type="dxa"/>
            <w:shd w:val="clear" w:color="auto" w:fill="auto"/>
          </w:tcPr>
          <w:p w:rsidR="00E172E2" w:rsidRPr="006258C7" w:rsidRDefault="00E172E2" w:rsidP="00D93564">
            <w:pPr>
              <w:rPr>
                <w:rFonts w:cs="Calibri"/>
                <w:color w:val="000000"/>
                <w:sz w:val="20"/>
                <w:szCs w:val="20"/>
              </w:rPr>
            </w:pPr>
            <w:r w:rsidRPr="006258C7">
              <w:rPr>
                <w:rFonts w:cs="Calibri"/>
                <w:color w:val="000000"/>
                <w:sz w:val="20"/>
                <w:szCs w:val="20"/>
              </w:rPr>
              <w:t>1 October 2015</w:t>
            </w:r>
          </w:p>
        </w:tc>
      </w:tr>
      <w:tr w:rsidR="00E172E2" w:rsidTr="00E172E2">
        <w:tc>
          <w:tcPr>
            <w:tcW w:w="1809" w:type="dxa"/>
          </w:tcPr>
          <w:p w:rsidR="00E172E2" w:rsidRPr="006258C7" w:rsidRDefault="00E172E2" w:rsidP="00D93564">
            <w:pPr>
              <w:rPr>
                <w:rFonts w:cs="Calibri"/>
                <w:color w:val="000000"/>
                <w:sz w:val="20"/>
                <w:szCs w:val="20"/>
              </w:rPr>
            </w:pPr>
            <w:r w:rsidRPr="006258C7">
              <w:rPr>
                <w:rFonts w:cs="Calibri"/>
                <w:color w:val="000000"/>
                <w:sz w:val="20"/>
                <w:szCs w:val="20"/>
              </w:rPr>
              <w:t>Aflibercept</w:t>
            </w:r>
          </w:p>
        </w:tc>
        <w:tc>
          <w:tcPr>
            <w:tcW w:w="5529" w:type="dxa"/>
            <w:shd w:val="clear" w:color="auto" w:fill="auto"/>
          </w:tcPr>
          <w:p w:rsidR="00E172E2" w:rsidRPr="006258C7" w:rsidRDefault="001133CC" w:rsidP="00D93564">
            <w:pPr>
              <w:rPr>
                <w:rFonts w:cs="Calibri"/>
                <w:color w:val="000000"/>
                <w:sz w:val="20"/>
                <w:szCs w:val="20"/>
              </w:rPr>
            </w:pPr>
            <w:r>
              <w:rPr>
                <w:rFonts w:cs="Calibri"/>
                <w:color w:val="000000"/>
                <w:sz w:val="20"/>
                <w:szCs w:val="20"/>
              </w:rPr>
              <w:t>Visual</w:t>
            </w:r>
            <w:r w:rsidRPr="006258C7">
              <w:rPr>
                <w:rFonts w:cs="Calibri"/>
                <w:color w:val="000000"/>
                <w:sz w:val="20"/>
                <w:szCs w:val="20"/>
              </w:rPr>
              <w:t xml:space="preserve"> impairment due to </w:t>
            </w:r>
            <w:r w:rsidRPr="001133CC">
              <w:rPr>
                <w:rFonts w:cs="Calibri"/>
                <w:color w:val="000000"/>
                <w:sz w:val="20"/>
                <w:szCs w:val="20"/>
              </w:rPr>
              <w:t>macular oedema</w:t>
            </w:r>
            <w:r w:rsidR="00E172E2" w:rsidRPr="006258C7">
              <w:rPr>
                <w:rFonts w:cs="Calibri"/>
                <w:color w:val="000000"/>
                <w:sz w:val="20"/>
                <w:szCs w:val="20"/>
              </w:rPr>
              <w:t xml:space="preserve"> secondary to BRVO.</w:t>
            </w:r>
            <w:r w:rsidR="00E172E2" w:rsidRPr="006258C7">
              <w:t xml:space="preserve">  </w:t>
            </w:r>
          </w:p>
        </w:tc>
        <w:tc>
          <w:tcPr>
            <w:tcW w:w="1842" w:type="dxa"/>
            <w:shd w:val="clear" w:color="auto" w:fill="auto"/>
          </w:tcPr>
          <w:p w:rsidR="00E172E2" w:rsidRPr="006258C7" w:rsidRDefault="00E172E2" w:rsidP="00D93564">
            <w:pPr>
              <w:rPr>
                <w:rFonts w:cs="Calibri"/>
                <w:color w:val="000000"/>
                <w:sz w:val="20"/>
                <w:szCs w:val="20"/>
              </w:rPr>
            </w:pPr>
            <w:r w:rsidRPr="006258C7">
              <w:rPr>
                <w:rFonts w:cs="Calibri"/>
                <w:color w:val="000000"/>
                <w:sz w:val="20"/>
                <w:szCs w:val="20"/>
              </w:rPr>
              <w:t>1 December 2016</w:t>
            </w:r>
          </w:p>
        </w:tc>
      </w:tr>
      <w:tr w:rsidR="00E172E2" w:rsidTr="00E172E2">
        <w:tc>
          <w:tcPr>
            <w:tcW w:w="1809" w:type="dxa"/>
          </w:tcPr>
          <w:p w:rsidR="00E172E2" w:rsidRPr="006258C7" w:rsidRDefault="00E172E2" w:rsidP="00D93564">
            <w:pPr>
              <w:rPr>
                <w:rFonts w:ascii="Calibri" w:hAnsi="Calibri"/>
                <w:sz w:val="20"/>
              </w:rPr>
            </w:pPr>
            <w:r w:rsidRPr="006258C7">
              <w:rPr>
                <w:rFonts w:ascii="Calibri" w:hAnsi="Calibri"/>
                <w:sz w:val="20"/>
              </w:rPr>
              <w:t>Dexamethasone</w:t>
            </w:r>
            <w:r>
              <w:rPr>
                <w:rFonts w:ascii="Calibri" w:hAnsi="Calibri"/>
                <w:sz w:val="20"/>
              </w:rPr>
              <w:t xml:space="preserve"> implant</w:t>
            </w:r>
          </w:p>
        </w:tc>
        <w:tc>
          <w:tcPr>
            <w:tcW w:w="5529" w:type="dxa"/>
            <w:shd w:val="clear" w:color="auto" w:fill="auto"/>
          </w:tcPr>
          <w:p w:rsidR="00E172E2" w:rsidRPr="006258C7" w:rsidRDefault="001133CC" w:rsidP="006B3995">
            <w:pPr>
              <w:rPr>
                <w:rFonts w:ascii="Calibri" w:hAnsi="Calibri" w:cs="Calibri"/>
                <w:color w:val="000000"/>
                <w:sz w:val="20"/>
                <w:szCs w:val="20"/>
              </w:rPr>
            </w:pPr>
            <w:r>
              <w:rPr>
                <w:rFonts w:ascii="Calibri" w:hAnsi="Calibri"/>
                <w:sz w:val="20"/>
              </w:rPr>
              <w:t>Visual</w:t>
            </w:r>
            <w:r w:rsidR="00E172E2" w:rsidRPr="006258C7">
              <w:rPr>
                <w:rFonts w:ascii="Calibri" w:hAnsi="Calibri"/>
                <w:sz w:val="20"/>
              </w:rPr>
              <w:t xml:space="preserve"> impairment due to</w:t>
            </w:r>
            <w:r w:rsidR="00E172E2">
              <w:rPr>
                <w:rFonts w:ascii="Calibri" w:hAnsi="Calibri"/>
                <w:sz w:val="20"/>
              </w:rPr>
              <w:t xml:space="preserve"> DMO</w:t>
            </w:r>
            <w:r w:rsidR="006B3995">
              <w:rPr>
                <w:rFonts w:ascii="Calibri" w:hAnsi="Calibri"/>
                <w:sz w:val="20"/>
              </w:rPr>
              <w:t xml:space="preserve"> for patients unsuitable for, contraindicated to, or who have failed VEGF inhibitors</w:t>
            </w:r>
            <w:r w:rsidR="00E172E2" w:rsidRPr="006258C7">
              <w:rPr>
                <w:rFonts w:ascii="Calibri" w:hAnsi="Calibri"/>
                <w:sz w:val="20"/>
              </w:rPr>
              <w:t>.</w:t>
            </w:r>
          </w:p>
        </w:tc>
        <w:tc>
          <w:tcPr>
            <w:tcW w:w="1842" w:type="dxa"/>
            <w:shd w:val="clear" w:color="auto" w:fill="auto"/>
          </w:tcPr>
          <w:p w:rsidR="00E172E2" w:rsidRPr="006258C7" w:rsidRDefault="00E172E2" w:rsidP="00D93564">
            <w:pPr>
              <w:rPr>
                <w:rFonts w:cs="Calibri"/>
                <w:color w:val="000000"/>
                <w:sz w:val="20"/>
                <w:szCs w:val="20"/>
              </w:rPr>
            </w:pPr>
            <w:r w:rsidRPr="006258C7">
              <w:rPr>
                <w:rFonts w:cs="Calibri"/>
                <w:color w:val="000000"/>
                <w:sz w:val="20"/>
                <w:szCs w:val="20"/>
              </w:rPr>
              <w:t>1 November 2016</w:t>
            </w:r>
          </w:p>
        </w:tc>
      </w:tr>
    </w:tbl>
    <w:p w:rsidR="005C6661" w:rsidRDefault="005C6661" w:rsidP="00E172E2">
      <w:pPr>
        <w:pStyle w:val="Heading3"/>
      </w:pPr>
      <w:bookmarkStart w:id="4" w:name="_Toc513038005"/>
      <w:r>
        <w:t>Data Source /</w:t>
      </w:r>
      <w:r w:rsidR="00E172E2">
        <w:t xml:space="preserve"> M</w:t>
      </w:r>
      <w:r>
        <w:t>ethodology</w:t>
      </w:r>
      <w:bookmarkEnd w:id="4"/>
    </w:p>
    <w:p w:rsidR="005C6661" w:rsidRDefault="00E172E2" w:rsidP="005C6661">
      <w:pPr>
        <w:pStyle w:val="NoSpacing"/>
      </w:pPr>
      <w:r>
        <w:t>Data were extracted from the Department of Human Services (DHS) Medicare Pharmacy Claims database for the period August 2007 to December 2017, inclusive.</w:t>
      </w:r>
    </w:p>
    <w:p w:rsidR="005C6661" w:rsidRDefault="005C6661" w:rsidP="00CF5E22">
      <w:pPr>
        <w:pStyle w:val="Heading3"/>
      </w:pPr>
      <w:bookmarkStart w:id="5" w:name="_Toc513038006"/>
      <w:r>
        <w:t>Key Findings</w:t>
      </w:r>
      <w:bookmarkEnd w:id="5"/>
    </w:p>
    <w:p w:rsidR="005C6661" w:rsidRDefault="001133CC" w:rsidP="005C6661">
      <w:pPr>
        <w:pStyle w:val="NoSpacing"/>
        <w:numPr>
          <w:ilvl w:val="0"/>
          <w:numId w:val="1"/>
        </w:numPr>
      </w:pPr>
      <w:r>
        <w:t>The</w:t>
      </w:r>
      <w:r w:rsidRPr="004602F3">
        <w:t xml:space="preserve"> </w:t>
      </w:r>
      <w:r>
        <w:t xml:space="preserve">overall use of </w:t>
      </w:r>
      <w:r w:rsidRPr="004602F3">
        <w:t>ranibizumab and aflibercept</w:t>
      </w:r>
      <w:r>
        <w:t xml:space="preserve"> increase</w:t>
      </w:r>
      <w:r w:rsidR="00270452">
        <w:t>d</w:t>
      </w:r>
      <w:r>
        <w:t xml:space="preserve"> following the listings of DMO and RVO, but the </w:t>
      </w:r>
      <w:r w:rsidRPr="004602F3">
        <w:t>majority of use of ranibizumab and aflibercept is for AMD</w:t>
      </w:r>
      <w:r>
        <w:t>.</w:t>
      </w:r>
    </w:p>
    <w:p w:rsidR="00D009EB" w:rsidRDefault="00D009EB" w:rsidP="005C6661">
      <w:pPr>
        <w:pStyle w:val="NoSpacing"/>
        <w:numPr>
          <w:ilvl w:val="0"/>
          <w:numId w:val="1"/>
        </w:numPr>
      </w:pPr>
      <w:r>
        <w:t>Use of medicines for AMD continue</w:t>
      </w:r>
      <w:r w:rsidR="00270452">
        <w:t>s</w:t>
      </w:r>
      <w:r>
        <w:t xml:space="preserve"> to grow</w:t>
      </w:r>
      <w:r w:rsidR="0036605B">
        <w:t xml:space="preserve"> because of the ageing population and high rates of treatment continuation</w:t>
      </w:r>
      <w:r>
        <w:t>. I</w:t>
      </w:r>
      <w:r w:rsidRPr="001133CC">
        <w:t>n 2017 50,964 patients were treated for AMD</w:t>
      </w:r>
      <w:r>
        <w:t>.</w:t>
      </w:r>
      <w:r w:rsidR="002A58ED">
        <w:t xml:space="preserve"> </w:t>
      </w:r>
      <w:r w:rsidR="00A01A5C">
        <w:t>T</w:t>
      </w:r>
      <w:r w:rsidR="002A58ED" w:rsidRPr="0045228F">
        <w:t xml:space="preserve">he mean age of patients initiating ranibizumab or aflibercept </w:t>
      </w:r>
      <w:r w:rsidR="002A58ED">
        <w:t xml:space="preserve">for AMD </w:t>
      </w:r>
      <w:r w:rsidR="002A58ED" w:rsidRPr="0045228F">
        <w:t>was 79</w:t>
      </w:r>
      <w:r w:rsidR="00270452">
        <w:t> years</w:t>
      </w:r>
      <w:r w:rsidR="002A58ED" w:rsidRPr="0045228F">
        <w:t>.</w:t>
      </w:r>
    </w:p>
    <w:p w:rsidR="001133CC" w:rsidRDefault="002A58ED" w:rsidP="001133CC">
      <w:pPr>
        <w:pStyle w:val="NoSpacing"/>
        <w:numPr>
          <w:ilvl w:val="0"/>
          <w:numId w:val="1"/>
        </w:numPr>
      </w:pPr>
      <w:r>
        <w:t>In 2017</w:t>
      </w:r>
      <w:r w:rsidR="003E700B">
        <w:t>,</w:t>
      </w:r>
      <w:r w:rsidR="001133CC" w:rsidRPr="001133CC">
        <w:t xml:space="preserve"> 11,137</w:t>
      </w:r>
      <w:r>
        <w:t xml:space="preserve"> patients were treated</w:t>
      </w:r>
      <w:r w:rsidR="001133CC" w:rsidRPr="001133CC">
        <w:t xml:space="preserve"> for DMO</w:t>
      </w:r>
      <w:r w:rsidR="003E700B">
        <w:t xml:space="preserve"> with VEGF inhibitors</w:t>
      </w:r>
      <w:r w:rsidR="001133CC" w:rsidRPr="001133CC">
        <w:t>.</w:t>
      </w:r>
      <w:r w:rsidRPr="002A58ED">
        <w:t xml:space="preserve"> </w:t>
      </w:r>
      <w:r w:rsidR="003E700B">
        <w:t>Use of medicines for DMO has been lower than expected</w:t>
      </w:r>
      <w:r w:rsidR="00A85FD0">
        <w:t xml:space="preserve"> because the number of treated patients and the </w:t>
      </w:r>
      <w:r w:rsidR="00A85FD0">
        <w:lastRenderedPageBreak/>
        <w:t>number of injections per patient were overestimated</w:t>
      </w:r>
      <w:r w:rsidR="003E700B">
        <w:t xml:space="preserve">. </w:t>
      </w:r>
      <w:r>
        <w:t xml:space="preserve">The mean age of patients </w:t>
      </w:r>
      <w:r w:rsidRPr="0045228F">
        <w:t xml:space="preserve">initiating ranibizumab or aflibercept </w:t>
      </w:r>
      <w:r>
        <w:t xml:space="preserve">for DMO </w:t>
      </w:r>
      <w:r w:rsidRPr="0045228F">
        <w:t xml:space="preserve">was </w:t>
      </w:r>
      <w:r>
        <w:t>64</w:t>
      </w:r>
      <w:r w:rsidR="00270452">
        <w:t> years</w:t>
      </w:r>
      <w:r w:rsidRPr="0045228F">
        <w:t>.</w:t>
      </w:r>
    </w:p>
    <w:p w:rsidR="0045228F" w:rsidRDefault="0045228F" w:rsidP="002A58ED">
      <w:pPr>
        <w:pStyle w:val="NoSpacing"/>
        <w:numPr>
          <w:ilvl w:val="0"/>
          <w:numId w:val="1"/>
        </w:numPr>
      </w:pPr>
      <w:r>
        <w:t>In 2017</w:t>
      </w:r>
      <w:r w:rsidR="003E700B">
        <w:t>,</w:t>
      </w:r>
      <w:r>
        <w:t xml:space="preserve"> 995 patients were supplied 2,197 dexamethasone implants</w:t>
      </w:r>
      <w:r w:rsidR="003E700B">
        <w:t xml:space="preserve"> for DMO</w:t>
      </w:r>
      <w:r>
        <w:t xml:space="preserve">. </w:t>
      </w:r>
      <w:r w:rsidR="002A58ED" w:rsidRPr="002A58ED">
        <w:t>Dex</w:t>
      </w:r>
      <w:r w:rsidR="002A58ED">
        <w:t>amethasone implant</w:t>
      </w:r>
      <w:r w:rsidR="002A58ED" w:rsidRPr="002A58ED">
        <w:t xml:space="preserve"> is restricted to use in patients who are unsuitable for, contraindicated to, or who have failed VEGF inhibitors. </w:t>
      </w:r>
      <w:r w:rsidR="00270452">
        <w:t>About hal</w:t>
      </w:r>
      <w:r w:rsidR="002A58ED" w:rsidRPr="002A58ED">
        <w:t xml:space="preserve">f </w:t>
      </w:r>
      <w:r w:rsidR="00270452">
        <w:t xml:space="preserve">of </w:t>
      </w:r>
      <w:r w:rsidR="002A58ED" w:rsidRPr="002A58ED">
        <w:t>patients supplied dexamethasone in 2017 had previously received ranibizumab and/or aflibercept</w:t>
      </w:r>
      <w:r w:rsidR="00E21D5C">
        <w:t>.</w:t>
      </w:r>
    </w:p>
    <w:p w:rsidR="000355FB" w:rsidRDefault="003E700B" w:rsidP="003E700B">
      <w:pPr>
        <w:pStyle w:val="NoSpacing"/>
        <w:numPr>
          <w:ilvl w:val="0"/>
          <w:numId w:val="1"/>
        </w:numPr>
      </w:pPr>
      <w:r w:rsidRPr="005F36A9">
        <w:t xml:space="preserve">In 2017, 10,781 patients were treated for RVO. </w:t>
      </w:r>
      <w:r w:rsidR="002A58ED" w:rsidRPr="005F36A9">
        <w:t>Use of medicines for RVO is higher than expected</w:t>
      </w:r>
      <w:r w:rsidR="00A85FD0" w:rsidRPr="005F36A9">
        <w:t xml:space="preserve"> because the number of treated patients and continuation rates were underestimated. The average number of injections per patient </w:t>
      </w:r>
      <w:r w:rsidR="005F36A9" w:rsidRPr="005F36A9">
        <w:t>however has been</w:t>
      </w:r>
      <w:r w:rsidR="00A85FD0" w:rsidRPr="005F36A9">
        <w:t xml:space="preserve"> lower than expected</w:t>
      </w:r>
      <w:r w:rsidR="002A58ED" w:rsidRPr="005F36A9">
        <w:t xml:space="preserve">. </w:t>
      </w:r>
      <w:r w:rsidR="000447D4" w:rsidRPr="005F36A9">
        <w:t>T</w:t>
      </w:r>
      <w:r w:rsidR="002A58ED" w:rsidRPr="005F36A9">
        <w:t>he mean age of patients initiating ranibizumab or aflibercept for RVO</w:t>
      </w:r>
      <w:r w:rsidR="002A58ED">
        <w:t xml:space="preserve"> </w:t>
      </w:r>
      <w:r w:rsidR="002A58ED" w:rsidRPr="0045228F">
        <w:t xml:space="preserve">was </w:t>
      </w:r>
      <w:r w:rsidR="002A58ED">
        <w:t>73</w:t>
      </w:r>
      <w:r w:rsidR="000447D4">
        <w:t> years</w:t>
      </w:r>
      <w:r w:rsidR="002A58ED" w:rsidRPr="0045228F">
        <w:t>.</w:t>
      </w:r>
      <w:r w:rsidR="000355FB" w:rsidRPr="000355FB">
        <w:t xml:space="preserve"> </w:t>
      </w:r>
      <w:r w:rsidR="000355FB">
        <w:t>Continuation rates and the number of injections per person are similar for BRVO and CRVO.</w:t>
      </w:r>
    </w:p>
    <w:p w:rsidR="005661B7" w:rsidRPr="005F36A9" w:rsidRDefault="005661B7" w:rsidP="002A58ED">
      <w:pPr>
        <w:pStyle w:val="NoSpacing"/>
        <w:numPr>
          <w:ilvl w:val="0"/>
          <w:numId w:val="1"/>
        </w:numPr>
      </w:pPr>
      <w:r w:rsidRPr="005F36A9">
        <w:t>A high proportion (</w:t>
      </w:r>
      <w:r w:rsidR="00553511" w:rsidRPr="005F36A9">
        <w:t>39</w:t>
      </w:r>
      <w:r w:rsidRPr="005F36A9">
        <w:t>%) of patients commencing PBS subsidised treatment for RVO had pr</w:t>
      </w:r>
      <w:r w:rsidR="003E700B" w:rsidRPr="005F36A9">
        <w:t xml:space="preserve">evious </w:t>
      </w:r>
      <w:r w:rsidR="00FC6B8F" w:rsidRPr="005F36A9">
        <w:t>or sub</w:t>
      </w:r>
      <w:bookmarkStart w:id="6" w:name="_GoBack"/>
      <w:bookmarkEnd w:id="6"/>
      <w:r w:rsidR="00FC6B8F" w:rsidRPr="005F36A9">
        <w:t xml:space="preserve">sequent </w:t>
      </w:r>
      <w:r w:rsidRPr="005F36A9">
        <w:t xml:space="preserve">PBS </w:t>
      </w:r>
      <w:r w:rsidR="003E700B" w:rsidRPr="005F36A9">
        <w:t>prescriptions</w:t>
      </w:r>
      <w:r w:rsidRPr="005F36A9">
        <w:t xml:space="preserve"> for AMD and/or DMO. This was not anticipated. </w:t>
      </w:r>
      <w:r w:rsidR="003E700B" w:rsidRPr="005F36A9">
        <w:t>It is p</w:t>
      </w:r>
      <w:r w:rsidRPr="005F36A9">
        <w:t xml:space="preserve">ossible </w:t>
      </w:r>
      <w:r w:rsidR="003E700B" w:rsidRPr="005F36A9">
        <w:t xml:space="preserve">that there may have been some </w:t>
      </w:r>
      <w:r w:rsidRPr="005F36A9">
        <w:t xml:space="preserve">use </w:t>
      </w:r>
      <w:r w:rsidR="003E700B" w:rsidRPr="005F36A9">
        <w:t xml:space="preserve">of ranibizumab or aflibercept </w:t>
      </w:r>
      <w:r w:rsidRPr="005F36A9">
        <w:t>for RVO outside of the restrictions before it was listed.</w:t>
      </w:r>
    </w:p>
    <w:p w:rsidR="002A58ED" w:rsidRDefault="002A58ED" w:rsidP="002A58ED">
      <w:pPr>
        <w:pStyle w:val="NoSpacing"/>
        <w:numPr>
          <w:ilvl w:val="0"/>
          <w:numId w:val="1"/>
        </w:numPr>
      </w:pPr>
      <w:r>
        <w:t xml:space="preserve">The number of injections per patient </w:t>
      </w:r>
      <w:r w:rsidR="00C550D1">
        <w:t>is</w:t>
      </w:r>
      <w:r>
        <w:t xml:space="preserve"> similar </w:t>
      </w:r>
      <w:r w:rsidR="00853611">
        <w:t>whether</w:t>
      </w:r>
      <w:r>
        <w:t xml:space="preserve"> aflibercept </w:t>
      </w:r>
      <w:r w:rsidR="00853611">
        <w:t>or</w:t>
      </w:r>
      <w:r>
        <w:t xml:space="preserve"> ranibizumab i</w:t>
      </w:r>
      <w:r w:rsidR="00853611">
        <w:t>s used for</w:t>
      </w:r>
      <w:r>
        <w:t xml:space="preserve"> AMD, DMO </w:t>
      </w:r>
      <w:r w:rsidR="00853611">
        <w:t>or</w:t>
      </w:r>
      <w:r>
        <w:t xml:space="preserve"> RVO, consistent with the PBAC’s consideration</w:t>
      </w:r>
      <w:r w:rsidRPr="002A58ED">
        <w:t xml:space="preserve"> that the</w:t>
      </w:r>
      <w:r w:rsidR="00853611">
        <w:t xml:space="preserve">se medicines should be priced on an </w:t>
      </w:r>
      <w:r w:rsidRPr="002A58ED">
        <w:t>injection: injection basis</w:t>
      </w:r>
      <w:r>
        <w:t>.</w:t>
      </w:r>
    </w:p>
    <w:p w:rsidR="001133CC" w:rsidRDefault="00A54D8C" w:rsidP="001133CC">
      <w:pPr>
        <w:pStyle w:val="NoSpacing"/>
        <w:numPr>
          <w:ilvl w:val="0"/>
          <w:numId w:val="1"/>
        </w:numPr>
      </w:pPr>
      <w:r>
        <w:t>Consistent with the disease aetiology, t</w:t>
      </w:r>
      <w:r w:rsidR="001133CC">
        <w:t>he proportion of bilateral treatment is highe</w:t>
      </w:r>
      <w:r>
        <w:t>r</w:t>
      </w:r>
      <w:r w:rsidR="001133CC">
        <w:t xml:space="preserve"> for DMO than for AMD</w:t>
      </w:r>
      <w:r w:rsidR="00852067">
        <w:t xml:space="preserve">, </w:t>
      </w:r>
      <w:r>
        <w:t>and very low in RVO. F</w:t>
      </w:r>
      <w:r w:rsidR="00852067">
        <w:t xml:space="preserve">or DMO approximately 30% of prescriptions are supplied with a quantity of two </w:t>
      </w:r>
      <w:r>
        <w:t>indicating bilateral treatment</w:t>
      </w:r>
      <w:r w:rsidR="00852067">
        <w:t>. For AMD approximately 10% of prescriptions are supplied with a quantity of two.</w:t>
      </w:r>
    </w:p>
    <w:p w:rsidR="00852067" w:rsidRDefault="00852067" w:rsidP="00311052">
      <w:pPr>
        <w:pStyle w:val="NoSpacing"/>
        <w:ind w:left="360"/>
      </w:pPr>
    </w:p>
    <w:p w:rsidR="0045228F" w:rsidRPr="001133CC" w:rsidRDefault="0045228F" w:rsidP="00D93564">
      <w:pPr>
        <w:pStyle w:val="NoSpacing"/>
      </w:pPr>
    </w:p>
    <w:p w:rsidR="00BB0D1A" w:rsidRDefault="00BB0D1A">
      <w:pPr>
        <w:spacing w:line="276" w:lineRule="auto"/>
        <w:rPr>
          <w:rFonts w:eastAsiaTheme="majorEastAsia" w:cstheme="majorBidi"/>
          <w:b/>
          <w:bCs/>
          <w:sz w:val="32"/>
          <w:szCs w:val="26"/>
        </w:rPr>
      </w:pPr>
      <w:r>
        <w:br w:type="page"/>
      </w:r>
    </w:p>
    <w:bookmarkStart w:id="7" w:name="_Toc513038007" w:displacedByCustomXml="next"/>
    <w:sdt>
      <w:sdtPr>
        <w:rPr>
          <w:rFonts w:eastAsiaTheme="minorEastAsia" w:cstheme="minorBidi"/>
          <w:b w:val="0"/>
          <w:bCs w:val="0"/>
          <w:sz w:val="24"/>
          <w:szCs w:val="24"/>
        </w:rPr>
        <w:id w:val="1486361349"/>
        <w:docPartObj>
          <w:docPartGallery w:val="Table of Contents"/>
          <w:docPartUnique/>
        </w:docPartObj>
      </w:sdtPr>
      <w:sdtEndPr>
        <w:rPr>
          <w:noProof/>
        </w:rPr>
      </w:sdtEndPr>
      <w:sdtContent>
        <w:p w:rsidR="00D83094" w:rsidRPr="00D83094" w:rsidRDefault="00D83094" w:rsidP="00D83094">
          <w:pPr>
            <w:pStyle w:val="Title2"/>
          </w:pPr>
          <w:r w:rsidRPr="00D83094">
            <w:t>Contents</w:t>
          </w:r>
          <w:bookmarkEnd w:id="7"/>
        </w:p>
        <w:p w:rsidR="004135D4" w:rsidRDefault="004135D4">
          <w:pPr>
            <w:pStyle w:val="TOC1"/>
            <w:tabs>
              <w:tab w:val="right" w:leader="dot" w:pos="8947"/>
            </w:tabs>
            <w:rPr>
              <w:noProof/>
              <w:sz w:val="22"/>
              <w:szCs w:val="22"/>
            </w:rPr>
          </w:pPr>
          <w:r w:rsidRPr="005E775B">
            <w:rPr>
              <w:noProof/>
            </w:rPr>
            <w:t>Drug utilisation sub-committee (DUSC)</w:t>
          </w:r>
          <w:r>
            <w:rPr>
              <w:noProof/>
              <w:webHidden/>
            </w:rPr>
            <w:tab/>
            <w:t>1</w:t>
          </w:r>
        </w:p>
        <w:p w:rsidR="004135D4" w:rsidRDefault="004135D4">
          <w:pPr>
            <w:pStyle w:val="TOC2"/>
            <w:tabs>
              <w:tab w:val="right" w:leader="dot" w:pos="8947"/>
            </w:tabs>
            <w:rPr>
              <w:noProof/>
              <w:sz w:val="22"/>
              <w:szCs w:val="22"/>
            </w:rPr>
          </w:pPr>
          <w:r w:rsidRPr="005E775B">
            <w:rPr>
              <w:noProof/>
            </w:rPr>
            <w:t>Abstract</w:t>
          </w:r>
          <w:r>
            <w:rPr>
              <w:noProof/>
              <w:webHidden/>
            </w:rPr>
            <w:tab/>
            <w:t>1</w:t>
          </w:r>
        </w:p>
        <w:p w:rsidR="004135D4" w:rsidRDefault="004135D4">
          <w:pPr>
            <w:pStyle w:val="TOC3"/>
            <w:tabs>
              <w:tab w:val="right" w:leader="dot" w:pos="8947"/>
            </w:tabs>
            <w:rPr>
              <w:noProof/>
              <w:sz w:val="22"/>
              <w:szCs w:val="22"/>
            </w:rPr>
          </w:pPr>
          <w:r w:rsidRPr="005E775B">
            <w:rPr>
              <w:noProof/>
            </w:rPr>
            <w:t>Purpose</w:t>
          </w:r>
          <w:r>
            <w:rPr>
              <w:noProof/>
              <w:webHidden/>
            </w:rPr>
            <w:tab/>
            <w:t>1</w:t>
          </w:r>
        </w:p>
        <w:p w:rsidR="004135D4" w:rsidRDefault="004135D4">
          <w:pPr>
            <w:pStyle w:val="TOC3"/>
            <w:tabs>
              <w:tab w:val="right" w:leader="dot" w:pos="8947"/>
            </w:tabs>
            <w:rPr>
              <w:noProof/>
              <w:sz w:val="22"/>
              <w:szCs w:val="22"/>
            </w:rPr>
          </w:pPr>
          <w:r w:rsidRPr="005E775B">
            <w:rPr>
              <w:noProof/>
            </w:rPr>
            <w:t>Listing on the Pharmaceutical Benefits Scheme (PBS)</w:t>
          </w:r>
          <w:r>
            <w:rPr>
              <w:noProof/>
              <w:webHidden/>
            </w:rPr>
            <w:tab/>
            <w:t>1</w:t>
          </w:r>
        </w:p>
        <w:p w:rsidR="004135D4" w:rsidRDefault="004135D4">
          <w:pPr>
            <w:pStyle w:val="TOC3"/>
            <w:tabs>
              <w:tab w:val="right" w:leader="dot" w:pos="8947"/>
            </w:tabs>
            <w:rPr>
              <w:noProof/>
              <w:sz w:val="22"/>
              <w:szCs w:val="22"/>
            </w:rPr>
          </w:pPr>
          <w:r w:rsidRPr="005E775B">
            <w:rPr>
              <w:noProof/>
            </w:rPr>
            <w:t>Data Source / Methodology</w:t>
          </w:r>
          <w:r>
            <w:rPr>
              <w:noProof/>
              <w:webHidden/>
            </w:rPr>
            <w:tab/>
            <w:t>1</w:t>
          </w:r>
        </w:p>
        <w:p w:rsidR="004135D4" w:rsidRDefault="004135D4">
          <w:pPr>
            <w:pStyle w:val="TOC3"/>
            <w:tabs>
              <w:tab w:val="right" w:leader="dot" w:pos="8947"/>
            </w:tabs>
            <w:rPr>
              <w:noProof/>
              <w:sz w:val="22"/>
              <w:szCs w:val="22"/>
            </w:rPr>
          </w:pPr>
          <w:r w:rsidRPr="005E775B">
            <w:rPr>
              <w:noProof/>
            </w:rPr>
            <w:t>Key Findings</w:t>
          </w:r>
          <w:r>
            <w:rPr>
              <w:noProof/>
              <w:webHidden/>
            </w:rPr>
            <w:tab/>
            <w:t>1</w:t>
          </w:r>
        </w:p>
        <w:p w:rsidR="004135D4" w:rsidRDefault="004135D4">
          <w:pPr>
            <w:pStyle w:val="TOC1"/>
            <w:tabs>
              <w:tab w:val="right" w:leader="dot" w:pos="8947"/>
            </w:tabs>
            <w:rPr>
              <w:noProof/>
              <w:sz w:val="22"/>
              <w:szCs w:val="22"/>
            </w:rPr>
          </w:pPr>
          <w:r w:rsidRPr="005E775B">
            <w:rPr>
              <w:noProof/>
            </w:rPr>
            <w:t>Contents</w:t>
          </w:r>
          <w:r>
            <w:rPr>
              <w:noProof/>
              <w:webHidden/>
            </w:rPr>
            <w:tab/>
            <w:t>3</w:t>
          </w:r>
        </w:p>
        <w:p w:rsidR="004135D4" w:rsidRDefault="004135D4">
          <w:pPr>
            <w:pStyle w:val="TOC1"/>
            <w:tabs>
              <w:tab w:val="right" w:leader="dot" w:pos="8947"/>
            </w:tabs>
            <w:rPr>
              <w:noProof/>
              <w:sz w:val="22"/>
              <w:szCs w:val="22"/>
            </w:rPr>
          </w:pPr>
          <w:r w:rsidRPr="005E775B">
            <w:rPr>
              <w:noProof/>
            </w:rPr>
            <w:t>Purpose of analysis</w:t>
          </w:r>
          <w:r>
            <w:rPr>
              <w:noProof/>
              <w:webHidden/>
            </w:rPr>
            <w:tab/>
            <w:t>5</w:t>
          </w:r>
        </w:p>
        <w:p w:rsidR="004135D4" w:rsidRDefault="004135D4">
          <w:pPr>
            <w:pStyle w:val="TOC1"/>
            <w:tabs>
              <w:tab w:val="right" w:leader="dot" w:pos="8947"/>
            </w:tabs>
            <w:rPr>
              <w:noProof/>
              <w:sz w:val="22"/>
              <w:szCs w:val="22"/>
            </w:rPr>
          </w:pPr>
          <w:r w:rsidRPr="005E775B">
            <w:rPr>
              <w:noProof/>
            </w:rPr>
            <w:t>Background</w:t>
          </w:r>
          <w:r>
            <w:rPr>
              <w:noProof/>
              <w:webHidden/>
            </w:rPr>
            <w:tab/>
            <w:t>5</w:t>
          </w:r>
        </w:p>
        <w:p w:rsidR="004135D4" w:rsidRDefault="004135D4">
          <w:pPr>
            <w:pStyle w:val="TOC2"/>
            <w:tabs>
              <w:tab w:val="right" w:leader="dot" w:pos="8947"/>
            </w:tabs>
            <w:rPr>
              <w:noProof/>
              <w:sz w:val="22"/>
              <w:szCs w:val="22"/>
            </w:rPr>
          </w:pPr>
          <w:r w:rsidRPr="005E775B">
            <w:rPr>
              <w:noProof/>
            </w:rPr>
            <w:t>Clinical situation</w:t>
          </w:r>
          <w:r>
            <w:rPr>
              <w:noProof/>
              <w:webHidden/>
            </w:rPr>
            <w:tab/>
            <w:t>5</w:t>
          </w:r>
        </w:p>
        <w:p w:rsidR="004135D4" w:rsidRDefault="004135D4">
          <w:pPr>
            <w:pStyle w:val="TOC3"/>
            <w:tabs>
              <w:tab w:val="right" w:leader="dot" w:pos="8947"/>
            </w:tabs>
            <w:rPr>
              <w:noProof/>
              <w:sz w:val="22"/>
              <w:szCs w:val="22"/>
            </w:rPr>
          </w:pPr>
          <w:r w:rsidRPr="005E775B">
            <w:rPr>
              <w:noProof/>
            </w:rPr>
            <w:t>Subfoveal choroidal neovascularisation from age-related macular degeneration</w:t>
          </w:r>
          <w:r>
            <w:rPr>
              <w:noProof/>
              <w:webHidden/>
            </w:rPr>
            <w:tab/>
            <w:t>5</w:t>
          </w:r>
        </w:p>
        <w:p w:rsidR="004135D4" w:rsidRDefault="004135D4">
          <w:pPr>
            <w:pStyle w:val="TOC3"/>
            <w:tabs>
              <w:tab w:val="right" w:leader="dot" w:pos="8947"/>
            </w:tabs>
            <w:rPr>
              <w:noProof/>
              <w:sz w:val="22"/>
              <w:szCs w:val="22"/>
            </w:rPr>
          </w:pPr>
          <w:r w:rsidRPr="005E775B">
            <w:rPr>
              <w:noProof/>
            </w:rPr>
            <w:t>Macular oedema</w:t>
          </w:r>
          <w:r>
            <w:rPr>
              <w:noProof/>
              <w:webHidden/>
            </w:rPr>
            <w:tab/>
            <w:t>6</w:t>
          </w:r>
        </w:p>
        <w:p w:rsidR="004135D4" w:rsidRDefault="004135D4">
          <w:pPr>
            <w:pStyle w:val="TOC2"/>
            <w:tabs>
              <w:tab w:val="right" w:leader="dot" w:pos="8947"/>
            </w:tabs>
            <w:rPr>
              <w:noProof/>
              <w:sz w:val="22"/>
              <w:szCs w:val="22"/>
            </w:rPr>
          </w:pPr>
          <w:r w:rsidRPr="005E775B">
            <w:rPr>
              <w:noProof/>
            </w:rPr>
            <w:t>Pharmacology</w:t>
          </w:r>
          <w:r>
            <w:rPr>
              <w:noProof/>
              <w:webHidden/>
            </w:rPr>
            <w:tab/>
            <w:t>7</w:t>
          </w:r>
        </w:p>
        <w:p w:rsidR="004135D4" w:rsidRDefault="004135D4">
          <w:pPr>
            <w:pStyle w:val="TOC2"/>
            <w:tabs>
              <w:tab w:val="right" w:leader="dot" w:pos="8947"/>
            </w:tabs>
            <w:rPr>
              <w:noProof/>
              <w:sz w:val="22"/>
              <w:szCs w:val="22"/>
            </w:rPr>
          </w:pPr>
          <w:r w:rsidRPr="005E775B">
            <w:rPr>
              <w:noProof/>
            </w:rPr>
            <w:t>Therapeutic Goods Administration (TGA) approved indications</w:t>
          </w:r>
          <w:r>
            <w:rPr>
              <w:noProof/>
              <w:webHidden/>
            </w:rPr>
            <w:tab/>
            <w:t>8</w:t>
          </w:r>
        </w:p>
        <w:p w:rsidR="004135D4" w:rsidRDefault="004135D4">
          <w:pPr>
            <w:pStyle w:val="TOC2"/>
            <w:tabs>
              <w:tab w:val="right" w:leader="dot" w:pos="8947"/>
            </w:tabs>
            <w:rPr>
              <w:noProof/>
              <w:sz w:val="22"/>
              <w:szCs w:val="22"/>
            </w:rPr>
          </w:pPr>
          <w:r w:rsidRPr="005E775B">
            <w:rPr>
              <w:noProof/>
            </w:rPr>
            <w:t>Dosage and administration</w:t>
          </w:r>
          <w:r>
            <w:rPr>
              <w:noProof/>
              <w:webHidden/>
            </w:rPr>
            <w:tab/>
            <w:t>8</w:t>
          </w:r>
        </w:p>
        <w:p w:rsidR="004135D4" w:rsidRDefault="004135D4">
          <w:pPr>
            <w:pStyle w:val="TOC2"/>
            <w:tabs>
              <w:tab w:val="right" w:leader="dot" w:pos="8947"/>
            </w:tabs>
            <w:rPr>
              <w:noProof/>
              <w:sz w:val="22"/>
              <w:szCs w:val="22"/>
            </w:rPr>
          </w:pPr>
          <w:r w:rsidRPr="005E775B">
            <w:rPr>
              <w:noProof/>
            </w:rPr>
            <w:t>PBS listing details (as at 1 February 2018)</w:t>
          </w:r>
          <w:r>
            <w:rPr>
              <w:noProof/>
              <w:webHidden/>
            </w:rPr>
            <w:tab/>
            <w:t>10</w:t>
          </w:r>
        </w:p>
        <w:p w:rsidR="004135D4" w:rsidRDefault="004135D4">
          <w:pPr>
            <w:pStyle w:val="TOC3"/>
            <w:tabs>
              <w:tab w:val="right" w:leader="dot" w:pos="8947"/>
            </w:tabs>
            <w:rPr>
              <w:noProof/>
              <w:sz w:val="22"/>
              <w:szCs w:val="22"/>
            </w:rPr>
          </w:pPr>
          <w:r w:rsidRPr="005E775B">
            <w:rPr>
              <w:noProof/>
            </w:rPr>
            <w:t>Restriction</w:t>
          </w:r>
          <w:r>
            <w:rPr>
              <w:noProof/>
              <w:webHidden/>
            </w:rPr>
            <w:tab/>
            <w:t>11</w:t>
          </w:r>
        </w:p>
        <w:p w:rsidR="004135D4" w:rsidRDefault="004135D4">
          <w:pPr>
            <w:pStyle w:val="TOC3"/>
            <w:tabs>
              <w:tab w:val="right" w:leader="dot" w:pos="8947"/>
            </w:tabs>
            <w:rPr>
              <w:noProof/>
              <w:sz w:val="22"/>
              <w:szCs w:val="22"/>
            </w:rPr>
          </w:pPr>
          <w:r w:rsidRPr="005E775B">
            <w:rPr>
              <w:noProof/>
            </w:rPr>
            <w:t>Date of first listing on PBS</w:t>
          </w:r>
          <w:r>
            <w:rPr>
              <w:noProof/>
              <w:webHidden/>
            </w:rPr>
            <w:tab/>
            <w:t>12</w:t>
          </w:r>
        </w:p>
        <w:p w:rsidR="004135D4" w:rsidRDefault="004135D4">
          <w:pPr>
            <w:pStyle w:val="TOC3"/>
            <w:tabs>
              <w:tab w:val="right" w:leader="dot" w:pos="8947"/>
            </w:tabs>
            <w:rPr>
              <w:noProof/>
              <w:sz w:val="22"/>
              <w:szCs w:val="22"/>
            </w:rPr>
          </w:pPr>
          <w:r w:rsidRPr="005E775B">
            <w:rPr>
              <w:noProof/>
            </w:rPr>
            <w:t>Changes/additions to listing</w:t>
          </w:r>
          <w:r>
            <w:rPr>
              <w:noProof/>
              <w:webHidden/>
            </w:rPr>
            <w:tab/>
            <w:t>12</w:t>
          </w:r>
        </w:p>
        <w:p w:rsidR="004135D4" w:rsidRDefault="004135D4">
          <w:pPr>
            <w:pStyle w:val="TOC2"/>
            <w:tabs>
              <w:tab w:val="right" w:leader="dot" w:pos="8947"/>
            </w:tabs>
            <w:rPr>
              <w:noProof/>
              <w:sz w:val="22"/>
              <w:szCs w:val="22"/>
            </w:rPr>
          </w:pPr>
          <w:r w:rsidRPr="005E775B">
            <w:rPr>
              <w:noProof/>
            </w:rPr>
            <w:t>Relevant aspects of consideration by the Pharmaceutical Benefits Advisory Committee (PBAC)</w:t>
          </w:r>
          <w:r>
            <w:rPr>
              <w:noProof/>
              <w:webHidden/>
            </w:rPr>
            <w:tab/>
            <w:t>13</w:t>
          </w:r>
        </w:p>
        <w:p w:rsidR="004135D4" w:rsidRDefault="004135D4">
          <w:pPr>
            <w:pStyle w:val="TOC3"/>
            <w:tabs>
              <w:tab w:val="right" w:leader="dot" w:pos="8947"/>
            </w:tabs>
            <w:rPr>
              <w:noProof/>
              <w:sz w:val="22"/>
              <w:szCs w:val="22"/>
            </w:rPr>
          </w:pPr>
          <w:r w:rsidRPr="005E775B">
            <w:rPr>
              <w:noProof/>
            </w:rPr>
            <w:t>Subfoveal choroidal neovascularisation (CNV)</w:t>
          </w:r>
          <w:r>
            <w:rPr>
              <w:noProof/>
              <w:webHidden/>
            </w:rPr>
            <w:tab/>
            <w:t>13</w:t>
          </w:r>
        </w:p>
        <w:p w:rsidR="004135D4" w:rsidRDefault="004135D4">
          <w:pPr>
            <w:pStyle w:val="TOC3"/>
            <w:tabs>
              <w:tab w:val="right" w:leader="dot" w:pos="8947"/>
            </w:tabs>
            <w:rPr>
              <w:noProof/>
              <w:sz w:val="22"/>
              <w:szCs w:val="22"/>
            </w:rPr>
          </w:pPr>
          <w:r w:rsidRPr="005E775B">
            <w:rPr>
              <w:noProof/>
            </w:rPr>
            <w:t>Diabetic macular oedema</w:t>
          </w:r>
          <w:r>
            <w:rPr>
              <w:noProof/>
              <w:webHidden/>
            </w:rPr>
            <w:tab/>
            <w:t>14</w:t>
          </w:r>
        </w:p>
        <w:p w:rsidR="004135D4" w:rsidRDefault="004135D4">
          <w:pPr>
            <w:pStyle w:val="TOC3"/>
            <w:tabs>
              <w:tab w:val="right" w:leader="dot" w:pos="8947"/>
            </w:tabs>
            <w:rPr>
              <w:noProof/>
              <w:sz w:val="22"/>
              <w:szCs w:val="22"/>
            </w:rPr>
          </w:pPr>
          <w:r w:rsidRPr="005E775B">
            <w:rPr>
              <w:noProof/>
            </w:rPr>
            <w:t>Macular oedema secondary to retinal vein occlusion</w:t>
          </w:r>
          <w:r>
            <w:rPr>
              <w:noProof/>
              <w:webHidden/>
            </w:rPr>
            <w:tab/>
            <w:t>14</w:t>
          </w:r>
        </w:p>
        <w:p w:rsidR="004135D4" w:rsidRDefault="004135D4">
          <w:pPr>
            <w:pStyle w:val="TOC2"/>
            <w:tabs>
              <w:tab w:val="right" w:leader="dot" w:pos="8947"/>
            </w:tabs>
            <w:rPr>
              <w:noProof/>
              <w:sz w:val="22"/>
              <w:szCs w:val="22"/>
            </w:rPr>
          </w:pPr>
          <w:r w:rsidRPr="005E775B">
            <w:rPr>
              <w:noProof/>
            </w:rPr>
            <w:t>Approach taken to estimate utilisation</w:t>
          </w:r>
          <w:r>
            <w:rPr>
              <w:noProof/>
              <w:webHidden/>
            </w:rPr>
            <w:tab/>
            <w:t>15</w:t>
          </w:r>
        </w:p>
        <w:p w:rsidR="004135D4" w:rsidRDefault="004135D4">
          <w:pPr>
            <w:pStyle w:val="TOC2"/>
            <w:tabs>
              <w:tab w:val="right" w:leader="dot" w:pos="8947"/>
            </w:tabs>
            <w:rPr>
              <w:noProof/>
              <w:sz w:val="22"/>
              <w:szCs w:val="22"/>
            </w:rPr>
          </w:pPr>
          <w:r w:rsidRPr="005E775B">
            <w:rPr>
              <w:noProof/>
            </w:rPr>
            <w:t>Previous reviews by the DUSC</w:t>
          </w:r>
          <w:r>
            <w:rPr>
              <w:noProof/>
              <w:webHidden/>
            </w:rPr>
            <w:tab/>
            <w:t>15</w:t>
          </w:r>
        </w:p>
        <w:p w:rsidR="004135D4" w:rsidRDefault="004135D4">
          <w:pPr>
            <w:pStyle w:val="TOC1"/>
            <w:tabs>
              <w:tab w:val="right" w:leader="dot" w:pos="8947"/>
            </w:tabs>
            <w:rPr>
              <w:noProof/>
              <w:sz w:val="22"/>
              <w:szCs w:val="22"/>
            </w:rPr>
          </w:pPr>
          <w:r w:rsidRPr="005E775B">
            <w:rPr>
              <w:noProof/>
            </w:rPr>
            <w:t>Methods</w:t>
          </w:r>
          <w:r>
            <w:rPr>
              <w:noProof/>
              <w:webHidden/>
            </w:rPr>
            <w:tab/>
            <w:t>17</w:t>
          </w:r>
        </w:p>
        <w:p w:rsidR="004135D4" w:rsidRDefault="004135D4">
          <w:pPr>
            <w:pStyle w:val="TOC3"/>
            <w:tabs>
              <w:tab w:val="right" w:leader="dot" w:pos="8947"/>
            </w:tabs>
            <w:rPr>
              <w:noProof/>
              <w:sz w:val="22"/>
              <w:szCs w:val="22"/>
            </w:rPr>
          </w:pPr>
          <w:r w:rsidRPr="005E775B">
            <w:rPr>
              <w:noProof/>
            </w:rPr>
            <w:t>Indication matching</w:t>
          </w:r>
          <w:r>
            <w:rPr>
              <w:noProof/>
              <w:webHidden/>
            </w:rPr>
            <w:tab/>
            <w:t>18</w:t>
          </w:r>
        </w:p>
        <w:p w:rsidR="004135D4" w:rsidRDefault="004135D4">
          <w:pPr>
            <w:pStyle w:val="TOC3"/>
            <w:tabs>
              <w:tab w:val="right" w:leader="dot" w:pos="8947"/>
            </w:tabs>
            <w:rPr>
              <w:noProof/>
              <w:sz w:val="22"/>
              <w:szCs w:val="22"/>
            </w:rPr>
          </w:pPr>
          <w:r w:rsidRPr="005E775B">
            <w:rPr>
              <w:noProof/>
            </w:rPr>
            <w:t>Overall Utilisation</w:t>
          </w:r>
          <w:r>
            <w:rPr>
              <w:noProof/>
              <w:webHidden/>
            </w:rPr>
            <w:tab/>
            <w:t>18</w:t>
          </w:r>
        </w:p>
        <w:p w:rsidR="004135D4" w:rsidRDefault="004135D4">
          <w:pPr>
            <w:pStyle w:val="TOC3"/>
            <w:tabs>
              <w:tab w:val="right" w:leader="dot" w:pos="8947"/>
            </w:tabs>
            <w:rPr>
              <w:noProof/>
              <w:sz w:val="22"/>
              <w:szCs w:val="22"/>
            </w:rPr>
          </w:pPr>
          <w:r w:rsidRPr="005E775B">
            <w:rPr>
              <w:noProof/>
            </w:rPr>
            <w:t>Patient characteristics</w:t>
          </w:r>
          <w:r>
            <w:rPr>
              <w:noProof/>
              <w:webHidden/>
            </w:rPr>
            <w:tab/>
            <w:t>18</w:t>
          </w:r>
        </w:p>
        <w:p w:rsidR="004135D4" w:rsidRDefault="004135D4">
          <w:pPr>
            <w:pStyle w:val="TOC3"/>
            <w:tabs>
              <w:tab w:val="right" w:leader="dot" w:pos="8947"/>
            </w:tabs>
            <w:rPr>
              <w:noProof/>
              <w:sz w:val="22"/>
              <w:szCs w:val="22"/>
            </w:rPr>
          </w:pPr>
          <w:r w:rsidRPr="005E775B">
            <w:rPr>
              <w:noProof/>
            </w:rPr>
            <w:t>Number of injections per patient</w:t>
          </w:r>
          <w:r>
            <w:rPr>
              <w:noProof/>
              <w:webHidden/>
            </w:rPr>
            <w:tab/>
            <w:t>19</w:t>
          </w:r>
        </w:p>
        <w:p w:rsidR="004135D4" w:rsidRDefault="004135D4">
          <w:pPr>
            <w:pStyle w:val="TOC1"/>
            <w:tabs>
              <w:tab w:val="right" w:leader="dot" w:pos="8947"/>
            </w:tabs>
            <w:rPr>
              <w:noProof/>
              <w:sz w:val="22"/>
              <w:szCs w:val="22"/>
            </w:rPr>
          </w:pPr>
          <w:r w:rsidRPr="005E775B">
            <w:rPr>
              <w:noProof/>
            </w:rPr>
            <w:t>Results</w:t>
          </w:r>
          <w:r>
            <w:rPr>
              <w:noProof/>
              <w:webHidden/>
            </w:rPr>
            <w:tab/>
            <w:t>20</w:t>
          </w:r>
        </w:p>
        <w:p w:rsidR="004135D4" w:rsidRDefault="004135D4">
          <w:pPr>
            <w:pStyle w:val="TOC2"/>
            <w:tabs>
              <w:tab w:val="right" w:leader="dot" w:pos="8947"/>
            </w:tabs>
            <w:rPr>
              <w:noProof/>
              <w:sz w:val="22"/>
              <w:szCs w:val="22"/>
            </w:rPr>
          </w:pPr>
          <w:r w:rsidRPr="005E775B">
            <w:rPr>
              <w:noProof/>
            </w:rPr>
            <w:t>Analysis of ranibizumab and aflibercept for AMD</w:t>
          </w:r>
          <w:r>
            <w:rPr>
              <w:noProof/>
              <w:webHidden/>
            </w:rPr>
            <w:tab/>
            <w:t>20</w:t>
          </w:r>
        </w:p>
        <w:p w:rsidR="004135D4" w:rsidRDefault="004135D4">
          <w:pPr>
            <w:pStyle w:val="TOC3"/>
            <w:tabs>
              <w:tab w:val="right" w:leader="dot" w:pos="8947"/>
            </w:tabs>
            <w:rPr>
              <w:noProof/>
              <w:sz w:val="22"/>
              <w:szCs w:val="22"/>
            </w:rPr>
          </w:pPr>
          <w:r w:rsidRPr="005E775B">
            <w:rPr>
              <w:noProof/>
            </w:rPr>
            <w:lastRenderedPageBreak/>
            <w:t>Injections per patient and continuation rates</w:t>
          </w:r>
          <w:r>
            <w:rPr>
              <w:noProof/>
              <w:webHidden/>
            </w:rPr>
            <w:tab/>
            <w:t>21</w:t>
          </w:r>
        </w:p>
        <w:p w:rsidR="004135D4" w:rsidRDefault="004135D4">
          <w:pPr>
            <w:pStyle w:val="TOC3"/>
            <w:tabs>
              <w:tab w:val="right" w:leader="dot" w:pos="8947"/>
            </w:tabs>
            <w:rPr>
              <w:noProof/>
              <w:sz w:val="22"/>
              <w:szCs w:val="22"/>
            </w:rPr>
          </w:pPr>
          <w:r w:rsidRPr="005E775B">
            <w:rPr>
              <w:noProof/>
            </w:rPr>
            <w:t>Number of injections per patient by medicine</w:t>
          </w:r>
          <w:r>
            <w:rPr>
              <w:noProof/>
              <w:webHidden/>
            </w:rPr>
            <w:tab/>
            <w:t>23</w:t>
          </w:r>
        </w:p>
        <w:p w:rsidR="004135D4" w:rsidRDefault="004135D4">
          <w:pPr>
            <w:pStyle w:val="TOC3"/>
            <w:tabs>
              <w:tab w:val="right" w:leader="dot" w:pos="8947"/>
            </w:tabs>
            <w:rPr>
              <w:noProof/>
              <w:sz w:val="22"/>
              <w:szCs w:val="22"/>
            </w:rPr>
          </w:pPr>
          <w:r w:rsidRPr="005E775B">
            <w:rPr>
              <w:noProof/>
            </w:rPr>
            <w:t>Proportion of use for bilateral treatment</w:t>
          </w:r>
          <w:r>
            <w:rPr>
              <w:noProof/>
              <w:webHidden/>
            </w:rPr>
            <w:tab/>
            <w:t>24</w:t>
          </w:r>
        </w:p>
        <w:p w:rsidR="004135D4" w:rsidRDefault="004135D4">
          <w:pPr>
            <w:pStyle w:val="TOC2"/>
            <w:tabs>
              <w:tab w:val="right" w:leader="dot" w:pos="8947"/>
            </w:tabs>
            <w:rPr>
              <w:noProof/>
              <w:sz w:val="22"/>
              <w:szCs w:val="22"/>
            </w:rPr>
          </w:pPr>
          <w:r w:rsidRPr="005E775B">
            <w:rPr>
              <w:noProof/>
            </w:rPr>
            <w:t>Analysis of medicines for DMO</w:t>
          </w:r>
          <w:r>
            <w:rPr>
              <w:noProof/>
              <w:webHidden/>
            </w:rPr>
            <w:tab/>
            <w:t>30</w:t>
          </w:r>
        </w:p>
        <w:p w:rsidR="004135D4" w:rsidRDefault="004135D4">
          <w:pPr>
            <w:pStyle w:val="TOC3"/>
            <w:tabs>
              <w:tab w:val="right" w:leader="dot" w:pos="8947"/>
            </w:tabs>
            <w:rPr>
              <w:noProof/>
              <w:sz w:val="22"/>
              <w:szCs w:val="22"/>
            </w:rPr>
          </w:pPr>
          <w:r w:rsidRPr="005E775B">
            <w:rPr>
              <w:noProof/>
            </w:rPr>
            <w:t>Injections per patient and continuation rates</w:t>
          </w:r>
          <w:r>
            <w:rPr>
              <w:noProof/>
              <w:webHidden/>
            </w:rPr>
            <w:tab/>
            <w:t>31</w:t>
          </w:r>
        </w:p>
        <w:p w:rsidR="004135D4" w:rsidRDefault="004135D4">
          <w:pPr>
            <w:pStyle w:val="TOC3"/>
            <w:tabs>
              <w:tab w:val="right" w:leader="dot" w:pos="8947"/>
            </w:tabs>
            <w:rPr>
              <w:noProof/>
              <w:sz w:val="22"/>
              <w:szCs w:val="22"/>
            </w:rPr>
          </w:pPr>
          <w:r w:rsidRPr="005E775B">
            <w:rPr>
              <w:noProof/>
            </w:rPr>
            <w:t>Number of injections per patient by medicine</w:t>
          </w:r>
          <w:r>
            <w:rPr>
              <w:noProof/>
              <w:webHidden/>
            </w:rPr>
            <w:tab/>
            <w:t>32</w:t>
          </w:r>
        </w:p>
        <w:p w:rsidR="004135D4" w:rsidRDefault="004135D4">
          <w:pPr>
            <w:pStyle w:val="TOC3"/>
            <w:tabs>
              <w:tab w:val="right" w:leader="dot" w:pos="8947"/>
            </w:tabs>
            <w:rPr>
              <w:noProof/>
              <w:sz w:val="22"/>
              <w:szCs w:val="22"/>
            </w:rPr>
          </w:pPr>
          <w:r w:rsidRPr="005E775B">
            <w:rPr>
              <w:noProof/>
            </w:rPr>
            <w:t>Proportion of use for bilateral treatment</w:t>
          </w:r>
          <w:r>
            <w:rPr>
              <w:noProof/>
              <w:webHidden/>
            </w:rPr>
            <w:tab/>
            <w:t>33</w:t>
          </w:r>
        </w:p>
        <w:p w:rsidR="004135D4" w:rsidRDefault="004135D4">
          <w:pPr>
            <w:pStyle w:val="TOC3"/>
            <w:tabs>
              <w:tab w:val="right" w:leader="dot" w:pos="8947"/>
            </w:tabs>
            <w:rPr>
              <w:noProof/>
              <w:sz w:val="22"/>
              <w:szCs w:val="22"/>
            </w:rPr>
          </w:pPr>
          <w:r w:rsidRPr="005E775B">
            <w:rPr>
              <w:noProof/>
            </w:rPr>
            <w:t>Age and state/territory of treated patients</w:t>
          </w:r>
          <w:r>
            <w:rPr>
              <w:noProof/>
              <w:webHidden/>
            </w:rPr>
            <w:tab/>
            <w:t>33</w:t>
          </w:r>
        </w:p>
        <w:p w:rsidR="004135D4" w:rsidRDefault="004135D4">
          <w:pPr>
            <w:pStyle w:val="TOC3"/>
            <w:tabs>
              <w:tab w:val="right" w:leader="dot" w:pos="8947"/>
            </w:tabs>
            <w:rPr>
              <w:noProof/>
              <w:sz w:val="22"/>
              <w:szCs w:val="22"/>
            </w:rPr>
          </w:pPr>
          <w:r w:rsidRPr="005E775B">
            <w:rPr>
              <w:noProof/>
            </w:rPr>
            <w:t>Dexamethasone for DMO</w:t>
          </w:r>
          <w:r>
            <w:rPr>
              <w:noProof/>
              <w:webHidden/>
            </w:rPr>
            <w:tab/>
            <w:t>35</w:t>
          </w:r>
        </w:p>
        <w:p w:rsidR="004135D4" w:rsidRDefault="004135D4">
          <w:pPr>
            <w:pStyle w:val="TOC2"/>
            <w:tabs>
              <w:tab w:val="right" w:leader="dot" w:pos="8947"/>
            </w:tabs>
            <w:rPr>
              <w:noProof/>
              <w:sz w:val="22"/>
              <w:szCs w:val="22"/>
            </w:rPr>
          </w:pPr>
          <w:r w:rsidRPr="005E775B">
            <w:rPr>
              <w:noProof/>
            </w:rPr>
            <w:t>Analysis of ranibizumab and aflibercept for RVO</w:t>
          </w:r>
          <w:r>
            <w:rPr>
              <w:noProof/>
              <w:webHidden/>
            </w:rPr>
            <w:tab/>
            <w:t>38</w:t>
          </w:r>
        </w:p>
        <w:p w:rsidR="004135D4" w:rsidRDefault="004135D4">
          <w:pPr>
            <w:pStyle w:val="TOC3"/>
            <w:tabs>
              <w:tab w:val="right" w:leader="dot" w:pos="8947"/>
            </w:tabs>
            <w:rPr>
              <w:noProof/>
              <w:sz w:val="22"/>
              <w:szCs w:val="22"/>
            </w:rPr>
          </w:pPr>
          <w:r w:rsidRPr="005E775B">
            <w:rPr>
              <w:noProof/>
            </w:rPr>
            <w:t>Injections per patient and continuation rates</w:t>
          </w:r>
          <w:r>
            <w:rPr>
              <w:noProof/>
              <w:webHidden/>
            </w:rPr>
            <w:tab/>
            <w:t>39</w:t>
          </w:r>
        </w:p>
        <w:p w:rsidR="004135D4" w:rsidRDefault="004135D4">
          <w:pPr>
            <w:pStyle w:val="TOC3"/>
            <w:tabs>
              <w:tab w:val="right" w:leader="dot" w:pos="8947"/>
            </w:tabs>
            <w:rPr>
              <w:noProof/>
              <w:sz w:val="22"/>
              <w:szCs w:val="22"/>
            </w:rPr>
          </w:pPr>
          <w:r w:rsidRPr="005E775B">
            <w:rPr>
              <w:noProof/>
            </w:rPr>
            <w:t>Number of injections per patient by medicine</w:t>
          </w:r>
          <w:r>
            <w:rPr>
              <w:noProof/>
              <w:webHidden/>
            </w:rPr>
            <w:tab/>
            <w:t>40</w:t>
          </w:r>
        </w:p>
        <w:p w:rsidR="004135D4" w:rsidRDefault="004135D4">
          <w:pPr>
            <w:pStyle w:val="TOC3"/>
            <w:tabs>
              <w:tab w:val="right" w:leader="dot" w:pos="8947"/>
            </w:tabs>
            <w:rPr>
              <w:noProof/>
              <w:sz w:val="22"/>
              <w:szCs w:val="22"/>
            </w:rPr>
          </w:pPr>
          <w:r w:rsidRPr="005E775B">
            <w:rPr>
              <w:noProof/>
            </w:rPr>
            <w:t>Proportion of use for bilateral treatment</w:t>
          </w:r>
          <w:r>
            <w:rPr>
              <w:noProof/>
              <w:webHidden/>
            </w:rPr>
            <w:tab/>
            <w:t>41</w:t>
          </w:r>
        </w:p>
        <w:p w:rsidR="004135D4" w:rsidRDefault="004135D4">
          <w:pPr>
            <w:pStyle w:val="TOC3"/>
            <w:tabs>
              <w:tab w:val="right" w:leader="dot" w:pos="8947"/>
            </w:tabs>
            <w:rPr>
              <w:noProof/>
              <w:sz w:val="22"/>
              <w:szCs w:val="22"/>
            </w:rPr>
          </w:pPr>
          <w:r w:rsidRPr="005E775B">
            <w:rPr>
              <w:noProof/>
            </w:rPr>
            <w:t>Age and state/territory of treated patients</w:t>
          </w:r>
          <w:r>
            <w:rPr>
              <w:noProof/>
              <w:webHidden/>
            </w:rPr>
            <w:tab/>
            <w:t>41</w:t>
          </w:r>
        </w:p>
        <w:p w:rsidR="004135D4" w:rsidRDefault="004135D4">
          <w:pPr>
            <w:pStyle w:val="TOC2"/>
            <w:tabs>
              <w:tab w:val="right" w:leader="dot" w:pos="8947"/>
            </w:tabs>
            <w:rPr>
              <w:noProof/>
              <w:sz w:val="22"/>
              <w:szCs w:val="22"/>
            </w:rPr>
          </w:pPr>
          <w:r w:rsidRPr="005E775B">
            <w:rPr>
              <w:noProof/>
            </w:rPr>
            <w:t>Patients treated for more than one indication</w:t>
          </w:r>
          <w:r>
            <w:rPr>
              <w:noProof/>
              <w:webHidden/>
            </w:rPr>
            <w:tab/>
            <w:t>44</w:t>
          </w:r>
        </w:p>
        <w:p w:rsidR="004135D4" w:rsidRDefault="004135D4">
          <w:pPr>
            <w:pStyle w:val="TOC2"/>
            <w:tabs>
              <w:tab w:val="right" w:leader="dot" w:pos="8947"/>
            </w:tabs>
            <w:rPr>
              <w:noProof/>
              <w:sz w:val="22"/>
              <w:szCs w:val="22"/>
            </w:rPr>
          </w:pPr>
          <w:r w:rsidRPr="005E775B">
            <w:rPr>
              <w:noProof/>
            </w:rPr>
            <w:t>Overall utilisation</w:t>
          </w:r>
          <w:r>
            <w:rPr>
              <w:noProof/>
              <w:webHidden/>
            </w:rPr>
            <w:tab/>
            <w:t>45</w:t>
          </w:r>
        </w:p>
        <w:p w:rsidR="004135D4" w:rsidRDefault="004135D4">
          <w:pPr>
            <w:pStyle w:val="TOC3"/>
            <w:tabs>
              <w:tab w:val="right" w:leader="dot" w:pos="8947"/>
            </w:tabs>
            <w:rPr>
              <w:noProof/>
              <w:sz w:val="22"/>
              <w:szCs w:val="22"/>
            </w:rPr>
          </w:pPr>
          <w:r w:rsidRPr="005E775B">
            <w:rPr>
              <w:noProof/>
            </w:rPr>
            <w:t>Proportion of use for bilateral treatment</w:t>
          </w:r>
          <w:r>
            <w:rPr>
              <w:noProof/>
              <w:webHidden/>
            </w:rPr>
            <w:tab/>
            <w:t>48</w:t>
          </w:r>
        </w:p>
        <w:p w:rsidR="004135D4" w:rsidRDefault="004135D4">
          <w:pPr>
            <w:pStyle w:val="TOC2"/>
            <w:tabs>
              <w:tab w:val="right" w:leader="dot" w:pos="8947"/>
            </w:tabs>
            <w:rPr>
              <w:noProof/>
              <w:sz w:val="22"/>
              <w:szCs w:val="22"/>
            </w:rPr>
          </w:pPr>
          <w:r w:rsidRPr="005E775B">
            <w:rPr>
              <w:noProof/>
            </w:rPr>
            <w:t>Risk sharing agreements and expenditure</w:t>
          </w:r>
          <w:r>
            <w:rPr>
              <w:noProof/>
              <w:webHidden/>
            </w:rPr>
            <w:tab/>
            <w:t>48</w:t>
          </w:r>
        </w:p>
        <w:p w:rsidR="004135D4" w:rsidRDefault="004135D4">
          <w:pPr>
            <w:pStyle w:val="TOC2"/>
            <w:tabs>
              <w:tab w:val="right" w:leader="dot" w:pos="8947"/>
            </w:tabs>
            <w:rPr>
              <w:noProof/>
              <w:sz w:val="22"/>
              <w:szCs w:val="22"/>
            </w:rPr>
          </w:pPr>
          <w:r w:rsidRPr="005E775B">
            <w:rPr>
              <w:noProof/>
            </w:rPr>
            <w:t>Analysis of actual versus predicted utilisation</w:t>
          </w:r>
          <w:r>
            <w:rPr>
              <w:noProof/>
              <w:webHidden/>
            </w:rPr>
            <w:tab/>
            <w:t>50</w:t>
          </w:r>
        </w:p>
        <w:p w:rsidR="004135D4" w:rsidRDefault="004135D4">
          <w:pPr>
            <w:pStyle w:val="TOC3"/>
            <w:tabs>
              <w:tab w:val="right" w:leader="dot" w:pos="8947"/>
            </w:tabs>
            <w:rPr>
              <w:noProof/>
              <w:sz w:val="22"/>
              <w:szCs w:val="22"/>
            </w:rPr>
          </w:pPr>
          <w:r w:rsidRPr="005E775B">
            <w:rPr>
              <w:noProof/>
            </w:rPr>
            <w:t>Ranibizumab – DMO</w:t>
          </w:r>
          <w:r>
            <w:rPr>
              <w:noProof/>
              <w:webHidden/>
            </w:rPr>
            <w:tab/>
            <w:t>50</w:t>
          </w:r>
        </w:p>
        <w:p w:rsidR="004135D4" w:rsidRDefault="004135D4">
          <w:pPr>
            <w:pStyle w:val="TOC3"/>
            <w:tabs>
              <w:tab w:val="right" w:leader="dot" w:pos="8947"/>
            </w:tabs>
            <w:rPr>
              <w:noProof/>
              <w:sz w:val="22"/>
              <w:szCs w:val="22"/>
            </w:rPr>
          </w:pPr>
          <w:r w:rsidRPr="005E775B">
            <w:rPr>
              <w:noProof/>
            </w:rPr>
            <w:t>Aflibercept - DMO</w:t>
          </w:r>
          <w:r>
            <w:rPr>
              <w:noProof/>
              <w:webHidden/>
            </w:rPr>
            <w:tab/>
            <w:t>53</w:t>
          </w:r>
        </w:p>
        <w:p w:rsidR="004135D4" w:rsidRDefault="004135D4">
          <w:pPr>
            <w:pStyle w:val="TOC3"/>
            <w:tabs>
              <w:tab w:val="right" w:leader="dot" w:pos="8947"/>
            </w:tabs>
            <w:rPr>
              <w:noProof/>
              <w:sz w:val="22"/>
              <w:szCs w:val="22"/>
            </w:rPr>
          </w:pPr>
          <w:r w:rsidRPr="005E775B">
            <w:rPr>
              <w:noProof/>
            </w:rPr>
            <w:t>Dexamethasone – DMO</w:t>
          </w:r>
          <w:r>
            <w:rPr>
              <w:noProof/>
              <w:webHidden/>
            </w:rPr>
            <w:tab/>
            <w:t>54</w:t>
          </w:r>
        </w:p>
        <w:p w:rsidR="004135D4" w:rsidRDefault="004135D4">
          <w:pPr>
            <w:pStyle w:val="TOC3"/>
            <w:tabs>
              <w:tab w:val="right" w:leader="dot" w:pos="8947"/>
            </w:tabs>
            <w:rPr>
              <w:noProof/>
              <w:sz w:val="22"/>
              <w:szCs w:val="22"/>
            </w:rPr>
          </w:pPr>
          <w:r w:rsidRPr="005E775B">
            <w:rPr>
              <w:noProof/>
            </w:rPr>
            <w:t>Ranibizumab - RVO</w:t>
          </w:r>
          <w:r>
            <w:rPr>
              <w:noProof/>
              <w:webHidden/>
            </w:rPr>
            <w:tab/>
            <w:t>55</w:t>
          </w:r>
        </w:p>
        <w:p w:rsidR="004135D4" w:rsidRDefault="004135D4">
          <w:pPr>
            <w:pStyle w:val="TOC3"/>
            <w:tabs>
              <w:tab w:val="right" w:leader="dot" w:pos="8947"/>
            </w:tabs>
            <w:rPr>
              <w:noProof/>
              <w:sz w:val="22"/>
              <w:szCs w:val="22"/>
            </w:rPr>
          </w:pPr>
          <w:r w:rsidRPr="005E775B">
            <w:rPr>
              <w:noProof/>
            </w:rPr>
            <w:t>Aflibercept - RVO</w:t>
          </w:r>
          <w:r>
            <w:rPr>
              <w:noProof/>
              <w:webHidden/>
            </w:rPr>
            <w:tab/>
            <w:t>57</w:t>
          </w:r>
        </w:p>
        <w:p w:rsidR="004135D4" w:rsidRDefault="004135D4">
          <w:pPr>
            <w:pStyle w:val="TOC1"/>
            <w:tabs>
              <w:tab w:val="right" w:leader="dot" w:pos="8947"/>
            </w:tabs>
            <w:rPr>
              <w:noProof/>
              <w:sz w:val="22"/>
              <w:szCs w:val="22"/>
            </w:rPr>
          </w:pPr>
          <w:r w:rsidRPr="005E775B">
            <w:rPr>
              <w:noProof/>
            </w:rPr>
            <w:t>Discussion</w:t>
          </w:r>
          <w:r>
            <w:rPr>
              <w:noProof/>
              <w:webHidden/>
            </w:rPr>
            <w:tab/>
            <w:t>60</w:t>
          </w:r>
        </w:p>
        <w:p w:rsidR="004135D4" w:rsidRDefault="004135D4">
          <w:pPr>
            <w:pStyle w:val="TOC1"/>
            <w:tabs>
              <w:tab w:val="right" w:leader="dot" w:pos="8947"/>
            </w:tabs>
            <w:rPr>
              <w:noProof/>
              <w:sz w:val="22"/>
              <w:szCs w:val="22"/>
            </w:rPr>
          </w:pPr>
          <w:r w:rsidRPr="005E775B">
            <w:rPr>
              <w:noProof/>
            </w:rPr>
            <w:t>References</w:t>
          </w:r>
          <w:r>
            <w:rPr>
              <w:noProof/>
              <w:webHidden/>
            </w:rPr>
            <w:tab/>
            <w:t>62</w:t>
          </w:r>
        </w:p>
        <w:p w:rsidR="004135D4" w:rsidRDefault="004135D4">
          <w:pPr>
            <w:pStyle w:val="TOC1"/>
            <w:tabs>
              <w:tab w:val="right" w:leader="dot" w:pos="8947"/>
            </w:tabs>
            <w:rPr>
              <w:noProof/>
              <w:sz w:val="22"/>
              <w:szCs w:val="22"/>
            </w:rPr>
          </w:pPr>
          <w:r w:rsidRPr="005E775B">
            <w:rPr>
              <w:noProof/>
            </w:rPr>
            <w:t>Appendix A</w:t>
          </w:r>
          <w:r>
            <w:rPr>
              <w:noProof/>
              <w:webHidden/>
            </w:rPr>
            <w:tab/>
            <w:t>64</w:t>
          </w:r>
        </w:p>
        <w:p w:rsidR="004135D4" w:rsidRDefault="004135D4">
          <w:pPr>
            <w:pStyle w:val="TOC2"/>
            <w:tabs>
              <w:tab w:val="right" w:leader="dot" w:pos="8947"/>
            </w:tabs>
            <w:rPr>
              <w:noProof/>
              <w:sz w:val="22"/>
              <w:szCs w:val="22"/>
            </w:rPr>
          </w:pPr>
          <w:r w:rsidRPr="005E775B">
            <w:rPr>
              <w:noProof/>
            </w:rPr>
            <w:t>Approach taken to estimate utilisation</w:t>
          </w:r>
          <w:r>
            <w:rPr>
              <w:noProof/>
              <w:webHidden/>
            </w:rPr>
            <w:tab/>
            <w:t>64</w:t>
          </w:r>
        </w:p>
        <w:p w:rsidR="00D83094" w:rsidRDefault="008853FB"/>
      </w:sdtContent>
    </w:sdt>
    <w:p w:rsidR="006021F8" w:rsidRDefault="006021F8">
      <w:pPr>
        <w:spacing w:line="276" w:lineRule="auto"/>
        <w:rPr>
          <w:rFonts w:eastAsiaTheme="majorEastAsia" w:cstheme="majorBidi"/>
          <w:b/>
          <w:bCs/>
          <w:sz w:val="32"/>
          <w:szCs w:val="32"/>
        </w:rPr>
      </w:pPr>
      <w:r>
        <w:br w:type="page"/>
      </w:r>
    </w:p>
    <w:p w:rsidR="00E677DD" w:rsidRPr="00CF5E22" w:rsidRDefault="00E677DD" w:rsidP="00CF5E22">
      <w:pPr>
        <w:pStyle w:val="Heading1"/>
      </w:pPr>
      <w:bookmarkStart w:id="8" w:name="_Toc513038008"/>
      <w:r w:rsidRPr="00CF5E22">
        <w:lastRenderedPageBreak/>
        <w:t xml:space="preserve">Purpose of </w:t>
      </w:r>
      <w:r w:rsidR="00D151EB" w:rsidRPr="00CF5E22">
        <w:t>analysis</w:t>
      </w:r>
      <w:bookmarkEnd w:id="8"/>
    </w:p>
    <w:p w:rsidR="00D01B0E" w:rsidRDefault="00D01B0E" w:rsidP="00D01B0E">
      <w:r>
        <w:t xml:space="preserve">To assess the utilisation of PBS listed medicines for age related macular degeneration (AMD), diabetic macular oedema (DMO), branch retinal </w:t>
      </w:r>
      <w:r w:rsidR="00B8292A">
        <w:t xml:space="preserve">vein </w:t>
      </w:r>
      <w:r>
        <w:t>occlusion (BRVO) and central</w:t>
      </w:r>
      <w:r w:rsidRPr="00D01B0E">
        <w:t xml:space="preserve"> </w:t>
      </w:r>
      <w:r>
        <w:t>retinal</w:t>
      </w:r>
      <w:r w:rsidR="00B8292A">
        <w:t xml:space="preserve"> vein</w:t>
      </w:r>
      <w:r>
        <w:t xml:space="preserve"> occlusion (CRVO).</w:t>
      </w:r>
    </w:p>
    <w:p w:rsidR="006537D9" w:rsidRPr="005E22C2" w:rsidRDefault="00736041" w:rsidP="00CF5E22">
      <w:pPr>
        <w:pStyle w:val="Heading1"/>
      </w:pPr>
      <w:bookmarkStart w:id="9" w:name="_Toc513038009"/>
      <w:r w:rsidRPr="005E22C2">
        <w:t>Background</w:t>
      </w:r>
      <w:bookmarkEnd w:id="9"/>
    </w:p>
    <w:p w:rsidR="00EE2BBB" w:rsidRPr="007247B9" w:rsidRDefault="00EE2BBB" w:rsidP="00EE2BBB">
      <w:pPr>
        <w:pStyle w:val="Heading2"/>
      </w:pPr>
      <w:bookmarkStart w:id="10" w:name="_Toc513038010"/>
      <w:r w:rsidRPr="007247B9">
        <w:t>Clinical situation</w:t>
      </w:r>
      <w:bookmarkEnd w:id="10"/>
    </w:p>
    <w:p w:rsidR="001556DB" w:rsidRDefault="001556DB" w:rsidP="001556DB">
      <w:pPr>
        <w:pStyle w:val="NormalWeb"/>
        <w:shd w:val="clear" w:color="auto" w:fill="FFFFFF"/>
        <w:rPr>
          <w:rFonts w:asciiTheme="minorHAnsi" w:eastAsiaTheme="minorEastAsia" w:hAnsiTheme="minorHAnsi" w:cstheme="minorBidi"/>
        </w:rPr>
      </w:pPr>
      <w:r>
        <w:rPr>
          <w:rFonts w:asciiTheme="minorHAnsi" w:eastAsiaTheme="minorEastAsia" w:hAnsiTheme="minorHAnsi" w:cstheme="minorBidi"/>
        </w:rPr>
        <w:t>Vision can be affected by the development of abnormal blood vessels within the retina of the eye. The retina is a thin layer of tissue at the back of the eye which receives light that has been focussed on its surface by the lens of the eye. The purpose of the retina is to convert the light it receives into neural signals to the brain for visual recognition. The</w:t>
      </w:r>
      <w:r w:rsidRPr="00A22E4D">
        <w:rPr>
          <w:rFonts w:asciiTheme="minorHAnsi" w:eastAsiaTheme="minorEastAsia" w:hAnsiTheme="minorHAnsi" w:cstheme="minorBidi"/>
        </w:rPr>
        <w:t xml:space="preserve"> central portion</w:t>
      </w:r>
      <w:r>
        <w:rPr>
          <w:rFonts w:asciiTheme="minorHAnsi" w:eastAsiaTheme="minorEastAsia" w:hAnsiTheme="minorHAnsi" w:cstheme="minorBidi"/>
        </w:rPr>
        <w:t xml:space="preserve"> of the retina</w:t>
      </w:r>
      <w:r w:rsidRPr="00A22E4D">
        <w:rPr>
          <w:rFonts w:asciiTheme="minorHAnsi" w:eastAsiaTheme="minorEastAsia" w:hAnsiTheme="minorHAnsi" w:cstheme="minorBidi"/>
        </w:rPr>
        <w:t>, known as the macula, is responsible for focusing central vision in the eye</w:t>
      </w:r>
      <w:r>
        <w:rPr>
          <w:rFonts w:asciiTheme="minorHAnsi" w:eastAsiaTheme="minorEastAsia" w:hAnsiTheme="minorHAnsi" w:cstheme="minorBidi"/>
        </w:rPr>
        <w:t xml:space="preserve"> so that objects can be seen in fine detail.</w:t>
      </w:r>
    </w:p>
    <w:p w:rsidR="001556DB" w:rsidRDefault="001556DB" w:rsidP="001556DB">
      <w:pPr>
        <w:pStyle w:val="NormalWeb"/>
        <w:shd w:val="clear" w:color="auto" w:fill="FFFFFF"/>
        <w:rPr>
          <w:rFonts w:asciiTheme="minorHAnsi" w:eastAsiaTheme="minorEastAsia" w:hAnsiTheme="minorHAnsi" w:cstheme="minorBidi"/>
        </w:rPr>
      </w:pPr>
      <w:r>
        <w:rPr>
          <w:rFonts w:asciiTheme="minorHAnsi" w:eastAsiaTheme="minorEastAsia" w:hAnsiTheme="minorHAnsi" w:cstheme="minorBidi"/>
        </w:rPr>
        <w:t xml:space="preserve">The medicines examined in this review are used for the treatment of the following eye disorders which are caused by abnormal vasculature in the retina: (1) </w:t>
      </w:r>
      <w:r w:rsidRPr="008F194A">
        <w:rPr>
          <w:rFonts w:asciiTheme="minorHAnsi" w:eastAsiaTheme="minorEastAsia" w:hAnsiTheme="minorHAnsi" w:cstheme="minorBidi"/>
        </w:rPr>
        <w:t>subfoveal choroidal neovascularisation; (2) macular oedema secondary to retinal vein occlusion</w:t>
      </w:r>
      <w:r>
        <w:rPr>
          <w:rFonts w:asciiTheme="minorHAnsi" w:eastAsiaTheme="minorEastAsia" w:hAnsiTheme="minorHAnsi" w:cstheme="minorBidi"/>
        </w:rPr>
        <w:t xml:space="preserve"> (RVO)</w:t>
      </w:r>
      <w:r w:rsidRPr="008F194A">
        <w:rPr>
          <w:rFonts w:asciiTheme="minorHAnsi" w:eastAsiaTheme="minorEastAsia" w:hAnsiTheme="minorHAnsi" w:cstheme="minorBidi"/>
        </w:rPr>
        <w:t>; and (3) diabetic macular oedema</w:t>
      </w:r>
      <w:r>
        <w:rPr>
          <w:rFonts w:asciiTheme="minorHAnsi" w:eastAsiaTheme="minorEastAsia" w:hAnsiTheme="minorHAnsi" w:cstheme="minorBidi"/>
        </w:rPr>
        <w:t xml:space="preserve"> (DMO)</w:t>
      </w:r>
      <w:r w:rsidRPr="008F194A">
        <w:rPr>
          <w:rFonts w:asciiTheme="minorHAnsi" w:eastAsiaTheme="minorEastAsia" w:hAnsiTheme="minorHAnsi" w:cstheme="minorBidi"/>
        </w:rPr>
        <w:t xml:space="preserve">. </w:t>
      </w:r>
      <w:r>
        <w:rPr>
          <w:rFonts w:asciiTheme="minorHAnsi" w:eastAsiaTheme="minorEastAsia" w:hAnsiTheme="minorHAnsi" w:cstheme="minorBidi"/>
        </w:rPr>
        <w:t>Each disease is discussed in turn below.</w:t>
      </w:r>
    </w:p>
    <w:p w:rsidR="001556DB" w:rsidRDefault="001556DB" w:rsidP="00965111">
      <w:pPr>
        <w:pStyle w:val="Heading3"/>
      </w:pPr>
      <w:bookmarkStart w:id="11" w:name="_Toc513038011"/>
      <w:r w:rsidRPr="001C278E">
        <w:t>Subfoveal choroidal neovascularisation</w:t>
      </w:r>
      <w:r>
        <w:t xml:space="preserve"> from age-related macular degeneration</w:t>
      </w:r>
      <w:bookmarkEnd w:id="11"/>
    </w:p>
    <w:p w:rsidR="001556DB" w:rsidRDefault="001556DB" w:rsidP="001556DB">
      <w:pPr>
        <w:pStyle w:val="NormalWeb"/>
        <w:shd w:val="clear" w:color="auto" w:fill="FFFFFF"/>
        <w:rPr>
          <w:rFonts w:asciiTheme="minorHAnsi" w:eastAsiaTheme="minorEastAsia" w:hAnsiTheme="minorHAnsi" w:cstheme="minorBidi"/>
        </w:rPr>
      </w:pPr>
      <w:r>
        <w:rPr>
          <w:rFonts w:asciiTheme="minorHAnsi" w:eastAsiaTheme="minorEastAsia" w:hAnsiTheme="minorHAnsi" w:cstheme="minorBidi"/>
        </w:rPr>
        <w:t xml:space="preserve">AMD manifests as two forms: </w:t>
      </w:r>
      <w:r w:rsidRPr="004F46FC">
        <w:rPr>
          <w:rFonts w:asciiTheme="minorHAnsi" w:eastAsiaTheme="minorEastAsia" w:hAnsiTheme="minorHAnsi" w:cstheme="minorBidi"/>
        </w:rPr>
        <w:t>non</w:t>
      </w:r>
      <w:r w:rsidRPr="004F46FC">
        <w:rPr>
          <w:rFonts w:asciiTheme="minorHAnsi" w:eastAsiaTheme="minorEastAsia" w:hAnsiTheme="minorHAnsi" w:cstheme="minorBidi"/>
        </w:rPr>
        <w:noBreakHyphen/>
        <w:t>exudative or atrophic (dry)</w:t>
      </w:r>
      <w:r>
        <w:rPr>
          <w:rFonts w:asciiTheme="minorHAnsi" w:eastAsiaTheme="minorEastAsia" w:hAnsiTheme="minorHAnsi" w:cstheme="minorBidi"/>
        </w:rPr>
        <w:t>;</w:t>
      </w:r>
      <w:r w:rsidRPr="004F46FC">
        <w:rPr>
          <w:rFonts w:asciiTheme="minorHAnsi" w:eastAsiaTheme="minorEastAsia" w:hAnsiTheme="minorHAnsi" w:cstheme="minorBidi"/>
        </w:rPr>
        <w:t xml:space="preserve"> and exudative or neovascular (wet)</w:t>
      </w:r>
      <w:r>
        <w:rPr>
          <w:rFonts w:asciiTheme="minorHAnsi" w:eastAsiaTheme="minorEastAsia" w:hAnsiTheme="minorHAnsi" w:cstheme="minorBidi"/>
        </w:rPr>
        <w:t xml:space="preserve">. Wet AMD is relevant to the drugs included in this review and occurs in around </w:t>
      </w:r>
      <w:r w:rsidRPr="00690166">
        <w:rPr>
          <w:rFonts w:asciiTheme="minorHAnsi" w:eastAsiaTheme="minorEastAsia" w:hAnsiTheme="minorHAnsi" w:cstheme="minorBidi"/>
        </w:rPr>
        <w:t xml:space="preserve">10-15% of overall AMD cases. In </w:t>
      </w:r>
      <w:r>
        <w:rPr>
          <w:rFonts w:asciiTheme="minorHAnsi" w:eastAsiaTheme="minorEastAsia" w:hAnsiTheme="minorHAnsi" w:cstheme="minorBidi"/>
        </w:rPr>
        <w:t>wet AMD,</w:t>
      </w:r>
      <w:r w:rsidRPr="00690166">
        <w:rPr>
          <w:rFonts w:asciiTheme="minorHAnsi" w:eastAsiaTheme="minorEastAsia" w:hAnsiTheme="minorHAnsi" w:cstheme="minorBidi"/>
        </w:rPr>
        <w:t xml:space="preserve"> abnormal blood vessels (</w:t>
      </w:r>
      <w:r>
        <w:rPr>
          <w:rFonts w:asciiTheme="minorHAnsi" w:eastAsiaTheme="minorEastAsia" w:hAnsiTheme="minorHAnsi" w:cstheme="minorBidi"/>
        </w:rPr>
        <w:t>called choroidal neovascularis</w:t>
      </w:r>
      <w:r w:rsidRPr="00690166">
        <w:rPr>
          <w:rFonts w:asciiTheme="minorHAnsi" w:eastAsiaTheme="minorEastAsia" w:hAnsiTheme="minorHAnsi" w:cstheme="minorBidi"/>
        </w:rPr>
        <w:t xml:space="preserve">ation or CNV) grow </w:t>
      </w:r>
      <w:r>
        <w:rPr>
          <w:rFonts w:asciiTheme="minorHAnsi" w:eastAsiaTheme="minorEastAsia" w:hAnsiTheme="minorHAnsi" w:cstheme="minorBidi"/>
        </w:rPr>
        <w:t>beneath</w:t>
      </w:r>
      <w:r w:rsidRPr="00690166">
        <w:rPr>
          <w:rFonts w:asciiTheme="minorHAnsi" w:eastAsiaTheme="minorEastAsia" w:hAnsiTheme="minorHAnsi" w:cstheme="minorBidi"/>
        </w:rPr>
        <w:t xml:space="preserve"> the retina and macula. </w:t>
      </w:r>
      <w:r>
        <w:rPr>
          <w:rFonts w:asciiTheme="minorHAnsi" w:eastAsiaTheme="minorEastAsia" w:hAnsiTheme="minorHAnsi" w:cstheme="minorBidi"/>
        </w:rPr>
        <w:t>The macula normally lies in a flat position. When the</w:t>
      </w:r>
      <w:r w:rsidRPr="00690166">
        <w:rPr>
          <w:rFonts w:asciiTheme="minorHAnsi" w:eastAsiaTheme="minorEastAsia" w:hAnsiTheme="minorHAnsi" w:cstheme="minorBidi"/>
        </w:rPr>
        <w:t xml:space="preserve"> new blood vessels bleed and leak fluid, </w:t>
      </w:r>
      <w:r>
        <w:rPr>
          <w:rFonts w:asciiTheme="minorHAnsi" w:eastAsiaTheme="minorEastAsia" w:hAnsiTheme="minorHAnsi" w:cstheme="minorBidi"/>
        </w:rPr>
        <w:t>this causes</w:t>
      </w:r>
      <w:r w:rsidRPr="00690166">
        <w:rPr>
          <w:rFonts w:asciiTheme="minorHAnsi" w:eastAsiaTheme="minorEastAsia" w:hAnsiTheme="minorHAnsi" w:cstheme="minorBidi"/>
        </w:rPr>
        <w:t xml:space="preserve"> the macula to </w:t>
      </w:r>
      <w:r>
        <w:rPr>
          <w:rFonts w:asciiTheme="minorHAnsi" w:eastAsiaTheme="minorEastAsia" w:hAnsiTheme="minorHAnsi" w:cstheme="minorBidi"/>
        </w:rPr>
        <w:t>swell</w:t>
      </w:r>
      <w:r w:rsidRPr="00690166">
        <w:rPr>
          <w:rFonts w:asciiTheme="minorHAnsi" w:eastAsiaTheme="minorEastAsia" w:hAnsiTheme="minorHAnsi" w:cstheme="minorBidi"/>
        </w:rPr>
        <w:t xml:space="preserve"> </w:t>
      </w:r>
      <w:r>
        <w:rPr>
          <w:rFonts w:asciiTheme="minorHAnsi" w:eastAsiaTheme="minorEastAsia" w:hAnsiTheme="minorHAnsi" w:cstheme="minorBidi"/>
        </w:rPr>
        <w:t>which distorts</w:t>
      </w:r>
      <w:r w:rsidRPr="00690166">
        <w:rPr>
          <w:rFonts w:asciiTheme="minorHAnsi" w:eastAsiaTheme="minorEastAsia" w:hAnsiTheme="minorHAnsi" w:cstheme="minorBidi"/>
        </w:rPr>
        <w:t xml:space="preserve"> central vision.</w:t>
      </w:r>
      <w:r>
        <w:rPr>
          <w:rFonts w:asciiTheme="minorHAnsi" w:eastAsiaTheme="minorEastAsia" w:hAnsiTheme="minorHAnsi" w:cstheme="minorBidi"/>
        </w:rPr>
        <w:t xml:space="preserve"> </w:t>
      </w:r>
      <w:r w:rsidRPr="00706C95">
        <w:rPr>
          <w:rFonts w:asciiTheme="minorHAnsi" w:eastAsiaTheme="minorEastAsia" w:hAnsiTheme="minorHAnsi" w:cstheme="minorBidi"/>
        </w:rPr>
        <w:t xml:space="preserve">CNV lesions are classified </w:t>
      </w:r>
      <w:r>
        <w:rPr>
          <w:rFonts w:asciiTheme="minorHAnsi" w:eastAsiaTheme="minorEastAsia" w:hAnsiTheme="minorHAnsi" w:cstheme="minorBidi"/>
        </w:rPr>
        <w:t>based on their</w:t>
      </w:r>
      <w:r w:rsidRPr="00706C95">
        <w:rPr>
          <w:rFonts w:asciiTheme="minorHAnsi" w:eastAsiaTheme="minorEastAsia" w:hAnsiTheme="minorHAnsi" w:cstheme="minorBidi"/>
        </w:rPr>
        <w:t xml:space="preserve"> location relative to the fovea. The fovea is the </w:t>
      </w:r>
      <w:r>
        <w:rPr>
          <w:rFonts w:asciiTheme="minorHAnsi" w:eastAsiaTheme="minorEastAsia" w:hAnsiTheme="minorHAnsi" w:cstheme="minorBidi"/>
        </w:rPr>
        <w:t>central area</w:t>
      </w:r>
      <w:r w:rsidRPr="00706C95">
        <w:rPr>
          <w:rFonts w:asciiTheme="minorHAnsi" w:eastAsiaTheme="minorEastAsia" w:hAnsiTheme="minorHAnsi" w:cstheme="minorBidi"/>
        </w:rPr>
        <w:t xml:space="preserve"> of the macula and </w:t>
      </w:r>
      <w:r>
        <w:rPr>
          <w:rFonts w:asciiTheme="minorHAnsi" w:eastAsiaTheme="minorEastAsia" w:hAnsiTheme="minorHAnsi" w:cstheme="minorBidi"/>
        </w:rPr>
        <w:t xml:space="preserve">provides </w:t>
      </w:r>
      <w:r w:rsidRPr="00706C95">
        <w:rPr>
          <w:rFonts w:asciiTheme="minorHAnsi" w:eastAsiaTheme="minorEastAsia" w:hAnsiTheme="minorHAnsi" w:cstheme="minorBidi"/>
        </w:rPr>
        <w:t xml:space="preserve">the sharpest vision. CNV lesions </w:t>
      </w:r>
      <w:r>
        <w:rPr>
          <w:rFonts w:asciiTheme="minorHAnsi" w:eastAsiaTheme="minorEastAsia" w:hAnsiTheme="minorHAnsi" w:cstheme="minorBidi"/>
        </w:rPr>
        <w:t xml:space="preserve">are described as subfoveal if they </w:t>
      </w:r>
      <w:r w:rsidRPr="00706C95">
        <w:rPr>
          <w:rFonts w:asciiTheme="minorHAnsi" w:eastAsiaTheme="minorEastAsia" w:hAnsiTheme="minorHAnsi" w:cstheme="minorBidi"/>
        </w:rPr>
        <w:t xml:space="preserve">are </w:t>
      </w:r>
      <w:r>
        <w:rPr>
          <w:rFonts w:asciiTheme="minorHAnsi" w:eastAsiaTheme="minorEastAsia" w:hAnsiTheme="minorHAnsi" w:cstheme="minorBidi"/>
        </w:rPr>
        <w:t xml:space="preserve">located </w:t>
      </w:r>
      <w:r w:rsidRPr="00706C95">
        <w:rPr>
          <w:rFonts w:asciiTheme="minorHAnsi" w:eastAsiaTheme="minorEastAsia" w:hAnsiTheme="minorHAnsi" w:cstheme="minorBidi"/>
        </w:rPr>
        <w:t xml:space="preserve">directly </w:t>
      </w:r>
      <w:r>
        <w:rPr>
          <w:rFonts w:asciiTheme="minorHAnsi" w:eastAsiaTheme="minorEastAsia" w:hAnsiTheme="minorHAnsi" w:cstheme="minorBidi"/>
        </w:rPr>
        <w:t>below</w:t>
      </w:r>
      <w:r w:rsidRPr="00706C95">
        <w:rPr>
          <w:rFonts w:asciiTheme="minorHAnsi" w:eastAsiaTheme="minorEastAsia" w:hAnsiTheme="minorHAnsi" w:cstheme="minorBidi"/>
        </w:rPr>
        <w:t xml:space="preserve"> the fovea.</w:t>
      </w:r>
    </w:p>
    <w:p w:rsidR="001556DB" w:rsidRDefault="007E1BC3" w:rsidP="001556DB">
      <w:pPr>
        <w:pStyle w:val="NormalWeb"/>
        <w:shd w:val="clear" w:color="auto" w:fill="FFFFFF"/>
        <w:rPr>
          <w:rFonts w:asciiTheme="minorHAnsi" w:eastAsiaTheme="minorEastAsia" w:hAnsiTheme="minorHAnsi" w:cstheme="minorBidi"/>
        </w:rPr>
      </w:pPr>
      <w:r>
        <w:rPr>
          <w:rFonts w:asciiTheme="minorHAnsi" w:eastAsiaTheme="minorEastAsia" w:hAnsiTheme="minorHAnsi" w:cstheme="minorBidi"/>
        </w:rPr>
        <w:t xml:space="preserve">There </w:t>
      </w:r>
      <w:r w:rsidR="00533C14">
        <w:rPr>
          <w:rFonts w:asciiTheme="minorHAnsi" w:eastAsiaTheme="minorEastAsia" w:hAnsiTheme="minorHAnsi" w:cstheme="minorBidi"/>
        </w:rPr>
        <w:t>are</w:t>
      </w:r>
      <w:r>
        <w:rPr>
          <w:rFonts w:asciiTheme="minorHAnsi" w:eastAsiaTheme="minorEastAsia" w:hAnsiTheme="minorHAnsi" w:cstheme="minorBidi"/>
        </w:rPr>
        <w:t xml:space="preserve"> no specific Australian </w:t>
      </w:r>
      <w:r w:rsidR="00F802CC">
        <w:rPr>
          <w:rFonts w:asciiTheme="minorHAnsi" w:eastAsiaTheme="minorEastAsia" w:hAnsiTheme="minorHAnsi" w:cstheme="minorBidi"/>
        </w:rPr>
        <w:t xml:space="preserve">clinical </w:t>
      </w:r>
      <w:r>
        <w:rPr>
          <w:rFonts w:asciiTheme="minorHAnsi" w:eastAsiaTheme="minorEastAsia" w:hAnsiTheme="minorHAnsi" w:cstheme="minorBidi"/>
        </w:rPr>
        <w:t>guidelines identified for the treatmen</w:t>
      </w:r>
      <w:r w:rsidR="00CA6D48">
        <w:rPr>
          <w:rFonts w:asciiTheme="minorHAnsi" w:eastAsiaTheme="minorEastAsia" w:hAnsiTheme="minorHAnsi" w:cstheme="minorBidi"/>
        </w:rPr>
        <w:t>t</w:t>
      </w:r>
      <w:r>
        <w:rPr>
          <w:rFonts w:asciiTheme="minorHAnsi" w:eastAsiaTheme="minorEastAsia" w:hAnsiTheme="minorHAnsi" w:cstheme="minorBidi"/>
        </w:rPr>
        <w:t xml:space="preserve"> of AMD. </w:t>
      </w:r>
      <w:r w:rsidR="001556DB">
        <w:rPr>
          <w:rFonts w:asciiTheme="minorHAnsi" w:eastAsiaTheme="minorEastAsia" w:hAnsiTheme="minorHAnsi" w:cstheme="minorBidi"/>
        </w:rPr>
        <w:t>The standard of therapy to treat subfoveal choroidal neovascularisation is anti-VEGF drugs (Horton and Guly, 2017</w:t>
      </w:r>
      <w:r w:rsidR="00CA6D48">
        <w:rPr>
          <w:rFonts w:asciiTheme="minorHAnsi" w:eastAsiaTheme="minorEastAsia" w:hAnsiTheme="minorHAnsi" w:cstheme="minorBidi"/>
        </w:rPr>
        <w:t>; NICE 2018</w:t>
      </w:r>
      <w:r w:rsidR="001556DB">
        <w:rPr>
          <w:rFonts w:asciiTheme="minorHAnsi" w:eastAsiaTheme="minorEastAsia" w:hAnsiTheme="minorHAnsi" w:cstheme="minorBidi"/>
        </w:rPr>
        <w:t xml:space="preserve">), including ranibizumab and aflibercept. Bevacizumab is an anti-VEGF drug which is sometimes used to treat AMD, but its use for this condition is ‘off-label’ as it is not registered in Australia to treat AMD. The anti-VEGF drugs are administered as </w:t>
      </w:r>
      <w:r w:rsidR="0064564E">
        <w:rPr>
          <w:rFonts w:asciiTheme="minorHAnsi" w:eastAsiaTheme="minorEastAsia" w:hAnsiTheme="minorHAnsi" w:cstheme="minorBidi"/>
        </w:rPr>
        <w:t>a</w:t>
      </w:r>
      <w:r w:rsidR="001556DB">
        <w:rPr>
          <w:rFonts w:asciiTheme="minorHAnsi" w:eastAsiaTheme="minorEastAsia" w:hAnsiTheme="minorHAnsi" w:cstheme="minorBidi"/>
        </w:rPr>
        <w:t>n injection into the vitreous of the eye under a local anaesthetic. For further details on the mechanism of action of anti-VEGFs, refer to the ‘Pharmacology’ section below.</w:t>
      </w:r>
    </w:p>
    <w:p w:rsidR="001556DB" w:rsidRDefault="001556DB" w:rsidP="001556DB">
      <w:pPr>
        <w:pStyle w:val="NormalWeb"/>
        <w:shd w:val="clear" w:color="auto" w:fill="FFFFFF"/>
        <w:rPr>
          <w:rFonts w:asciiTheme="minorHAnsi" w:eastAsiaTheme="minorEastAsia" w:hAnsiTheme="minorHAnsi" w:cstheme="minorBidi"/>
        </w:rPr>
      </w:pPr>
      <w:r>
        <w:rPr>
          <w:rFonts w:asciiTheme="minorHAnsi" w:eastAsiaTheme="minorEastAsia" w:hAnsiTheme="minorHAnsi" w:cstheme="minorBidi"/>
        </w:rPr>
        <w:t>Other less commonly use</w:t>
      </w:r>
      <w:r w:rsidR="004A0FE3">
        <w:rPr>
          <w:rFonts w:asciiTheme="minorHAnsi" w:eastAsiaTheme="minorEastAsia" w:hAnsiTheme="minorHAnsi" w:cstheme="minorBidi"/>
        </w:rPr>
        <w:t>d therapies</w:t>
      </w:r>
      <w:r>
        <w:rPr>
          <w:rFonts w:asciiTheme="minorHAnsi" w:eastAsiaTheme="minorEastAsia" w:hAnsiTheme="minorHAnsi" w:cstheme="minorBidi"/>
        </w:rPr>
        <w:t xml:space="preserve"> for wet AMD include laser photocoagulation and photodynamic therapy (Bunting and Guymer, 2012). Laser photocoagulation involves ablating blood vessels with a thermal laser and is used in regions away from the fovea. It is </w:t>
      </w:r>
      <w:r>
        <w:rPr>
          <w:rFonts w:asciiTheme="minorHAnsi" w:eastAsiaTheme="minorEastAsia" w:hAnsiTheme="minorHAnsi" w:cstheme="minorBidi"/>
        </w:rPr>
        <w:lastRenderedPageBreak/>
        <w:t>not suitable to treat lesions in the fovea because it can also damage the retina overlying the treated blood vessels. Photodynamic therapy is used for subfoveal neovascular AMD. A photosensitive drug, verteporfin, is intravenously infused which accumulates in the target blood vessels. A non-thermal, low energy laser is applied to the affected region of the retina. This causes the selective thrombotic closure in the abnormal blood vessels. However the effect of photodynamic therapy is only temporary requiring regular re-treatment (Bunting and Guymer, 2012).</w:t>
      </w:r>
      <w:r w:rsidR="0064564E">
        <w:rPr>
          <w:rFonts w:asciiTheme="minorHAnsi" w:eastAsiaTheme="minorEastAsia" w:hAnsiTheme="minorHAnsi" w:cstheme="minorBidi"/>
        </w:rPr>
        <w:t xml:space="preserve"> Verteporfin is PBS subsidised for CNV due to macular degeneration but it</w:t>
      </w:r>
      <w:r w:rsidR="004E1C61">
        <w:rPr>
          <w:rFonts w:asciiTheme="minorHAnsi" w:eastAsiaTheme="minorEastAsia" w:hAnsiTheme="minorHAnsi" w:cstheme="minorBidi"/>
        </w:rPr>
        <w:t xml:space="preserve"> is</w:t>
      </w:r>
      <w:r w:rsidR="0064564E">
        <w:rPr>
          <w:rFonts w:asciiTheme="minorHAnsi" w:eastAsiaTheme="minorEastAsia" w:hAnsiTheme="minorHAnsi" w:cstheme="minorBidi"/>
        </w:rPr>
        <w:t xml:space="preserve"> not included in this review as its use is low (77 prescriptions in 2017)</w:t>
      </w:r>
      <w:r w:rsidR="00571343">
        <w:rPr>
          <w:rFonts w:asciiTheme="minorHAnsi" w:eastAsiaTheme="minorEastAsia" w:hAnsiTheme="minorHAnsi" w:cstheme="minorBidi"/>
        </w:rPr>
        <w:t>.</w:t>
      </w:r>
      <w:r w:rsidR="00571343">
        <w:rPr>
          <w:rStyle w:val="FootnoteReference"/>
          <w:rFonts w:asciiTheme="minorHAnsi" w:eastAsiaTheme="minorEastAsia" w:hAnsiTheme="minorHAnsi" w:cstheme="minorBidi"/>
        </w:rPr>
        <w:footnoteReference w:id="1"/>
      </w:r>
    </w:p>
    <w:p w:rsidR="00F802CC" w:rsidRPr="00786F5B" w:rsidRDefault="00413B3E" w:rsidP="007D0502">
      <w:pPr>
        <w:pStyle w:val="NormalWeb"/>
        <w:shd w:val="clear" w:color="auto" w:fill="FFFFFF"/>
        <w:spacing w:before="0" w:beforeAutospacing="0" w:after="200" w:afterAutospacing="0"/>
        <w:rPr>
          <w:rFonts w:asciiTheme="minorHAnsi" w:eastAsiaTheme="minorEastAsia" w:hAnsiTheme="minorHAnsi" w:cstheme="minorBidi"/>
        </w:rPr>
      </w:pPr>
      <w:r>
        <w:rPr>
          <w:rFonts w:asciiTheme="minorHAnsi" w:eastAsiaTheme="minorEastAsia" w:hAnsiTheme="minorHAnsi" w:cstheme="minorBidi"/>
        </w:rPr>
        <w:t xml:space="preserve">For wet AMD, adjunctive therapy with corticosteroids to an anti-VEGF is not recommended (NICE 2018). </w:t>
      </w:r>
      <w:r w:rsidR="007D0502">
        <w:rPr>
          <w:rFonts w:asciiTheme="minorHAnsi" w:eastAsiaTheme="minorEastAsia" w:hAnsiTheme="minorHAnsi" w:cstheme="minorBidi"/>
        </w:rPr>
        <w:t>Consideration should be given to</w:t>
      </w:r>
      <w:r w:rsidR="0059707C">
        <w:rPr>
          <w:rFonts w:asciiTheme="minorHAnsi" w:eastAsiaTheme="minorEastAsia" w:hAnsiTheme="minorHAnsi" w:cstheme="minorBidi"/>
        </w:rPr>
        <w:t>:</w:t>
      </w:r>
      <w:r w:rsidR="007D0502">
        <w:rPr>
          <w:rFonts w:asciiTheme="minorHAnsi" w:eastAsiaTheme="minorEastAsia" w:hAnsiTheme="minorHAnsi" w:cstheme="minorBidi"/>
        </w:rPr>
        <w:t xml:space="preserve"> </w:t>
      </w:r>
      <w:r w:rsidR="007D0502" w:rsidRPr="007D0502">
        <w:rPr>
          <w:rFonts w:asciiTheme="minorHAnsi" w:eastAsiaTheme="minorEastAsia" w:hAnsiTheme="minorHAnsi" w:cstheme="minorBidi"/>
        </w:rPr>
        <w:t>s</w:t>
      </w:r>
      <w:r w:rsidR="004959CD" w:rsidRPr="007D0502">
        <w:rPr>
          <w:rFonts w:asciiTheme="minorHAnsi" w:eastAsiaTheme="minorEastAsia" w:hAnsiTheme="minorHAnsi" w:cstheme="minorBidi"/>
        </w:rPr>
        <w:t xml:space="preserve">witching anti-VEGF for wet AMD </w:t>
      </w:r>
      <w:r w:rsidR="007D0502" w:rsidRPr="007D0502">
        <w:rPr>
          <w:rFonts w:asciiTheme="minorHAnsi" w:eastAsiaTheme="minorEastAsia" w:hAnsiTheme="minorHAnsi" w:cstheme="minorBidi"/>
        </w:rPr>
        <w:t xml:space="preserve">if there are practical reasons for doing so </w:t>
      </w:r>
      <w:r w:rsidR="004959CD" w:rsidRPr="007D0502">
        <w:rPr>
          <w:rFonts w:asciiTheme="minorHAnsi" w:eastAsiaTheme="minorEastAsia" w:hAnsiTheme="minorHAnsi" w:cstheme="minorBidi"/>
        </w:rPr>
        <w:t xml:space="preserve">this may have </w:t>
      </w:r>
      <w:r w:rsidR="007D0502" w:rsidRPr="007D0502">
        <w:rPr>
          <w:rFonts w:asciiTheme="minorHAnsi" w:eastAsiaTheme="minorEastAsia" w:hAnsiTheme="minorHAnsi" w:cstheme="minorBidi"/>
        </w:rPr>
        <w:t>limited</w:t>
      </w:r>
      <w:r w:rsidR="004959CD" w:rsidRPr="007D0502">
        <w:rPr>
          <w:rFonts w:asciiTheme="minorHAnsi" w:eastAsiaTheme="minorEastAsia" w:hAnsiTheme="minorHAnsi" w:cstheme="minorBidi"/>
        </w:rPr>
        <w:t xml:space="preserve"> clinical benefits</w:t>
      </w:r>
      <w:r w:rsidR="007D0502" w:rsidRPr="007D0502">
        <w:rPr>
          <w:rFonts w:asciiTheme="minorHAnsi" w:eastAsiaTheme="minorEastAsia" w:hAnsiTheme="minorHAnsi" w:cstheme="minorBidi"/>
        </w:rPr>
        <w:t xml:space="preserve">; observation without anti-VEGF treatment if the disease appears stable; stopping anti-VEGF treatment if the eye develops severe, progressive loss of visual acuity despite treatment; and stopping anti-VEGF treatment if the eye develops late AMD (wet inactive) with no prospect of functional improvement </w:t>
      </w:r>
      <w:r w:rsidR="007D0502">
        <w:rPr>
          <w:rFonts w:asciiTheme="minorHAnsi" w:eastAsiaTheme="minorEastAsia" w:hAnsiTheme="minorHAnsi" w:cstheme="minorBidi"/>
        </w:rPr>
        <w:t>(NICE 2018).</w:t>
      </w:r>
      <w:r w:rsidR="007D0502" w:rsidRPr="007D0502">
        <w:rPr>
          <w:rFonts w:asciiTheme="minorHAnsi" w:eastAsiaTheme="minorEastAsia" w:hAnsiTheme="minorHAnsi" w:cstheme="minorBidi"/>
        </w:rPr>
        <w:t xml:space="preserve"> </w:t>
      </w:r>
      <w:r w:rsidR="007D0502">
        <w:rPr>
          <w:rFonts w:asciiTheme="minorHAnsi" w:eastAsiaTheme="minorEastAsia" w:hAnsiTheme="minorHAnsi" w:cstheme="minorBidi"/>
        </w:rPr>
        <w:t xml:space="preserve"> </w:t>
      </w:r>
    </w:p>
    <w:p w:rsidR="001556DB" w:rsidRDefault="001556DB" w:rsidP="00965111">
      <w:pPr>
        <w:pStyle w:val="Heading3"/>
      </w:pPr>
      <w:bookmarkStart w:id="12" w:name="_Toc513038012"/>
      <w:r w:rsidRPr="000F693A">
        <w:t>M</w:t>
      </w:r>
      <w:r>
        <w:t>acular oedema</w:t>
      </w:r>
      <w:bookmarkEnd w:id="12"/>
    </w:p>
    <w:p w:rsidR="001556DB" w:rsidRDefault="001556DB" w:rsidP="001556DB">
      <w:pPr>
        <w:pStyle w:val="NormalWeb"/>
        <w:shd w:val="clear" w:color="auto" w:fill="FFFFFF"/>
        <w:spacing w:before="0" w:beforeAutospacing="0" w:after="200" w:afterAutospacing="0"/>
        <w:rPr>
          <w:rFonts w:asciiTheme="minorHAnsi" w:eastAsiaTheme="minorEastAsia" w:hAnsiTheme="minorHAnsi" w:cstheme="minorBidi"/>
        </w:rPr>
      </w:pPr>
      <w:r w:rsidRPr="00E704F9">
        <w:rPr>
          <w:rFonts w:asciiTheme="minorHAnsi" w:eastAsiaTheme="minorEastAsia" w:hAnsiTheme="minorHAnsi" w:cstheme="minorBidi"/>
        </w:rPr>
        <w:t xml:space="preserve">The build-up of fluid in </w:t>
      </w:r>
      <w:r>
        <w:rPr>
          <w:rFonts w:asciiTheme="minorHAnsi" w:eastAsiaTheme="minorEastAsia" w:hAnsiTheme="minorHAnsi" w:cstheme="minorBidi"/>
        </w:rPr>
        <w:t xml:space="preserve">the </w:t>
      </w:r>
      <w:r w:rsidRPr="00E704F9">
        <w:rPr>
          <w:rFonts w:asciiTheme="minorHAnsi" w:eastAsiaTheme="minorEastAsia" w:hAnsiTheme="minorHAnsi" w:cstheme="minorBidi"/>
        </w:rPr>
        <w:t>macula, called macula</w:t>
      </w:r>
      <w:r>
        <w:rPr>
          <w:rFonts w:asciiTheme="minorHAnsi" w:eastAsiaTheme="minorEastAsia" w:hAnsiTheme="minorHAnsi" w:cstheme="minorBidi"/>
        </w:rPr>
        <w:t>r</w:t>
      </w:r>
      <w:r w:rsidRPr="00E704F9">
        <w:rPr>
          <w:rFonts w:asciiTheme="minorHAnsi" w:eastAsiaTheme="minorEastAsia" w:hAnsiTheme="minorHAnsi" w:cstheme="minorBidi"/>
        </w:rPr>
        <w:t xml:space="preserve"> oedema, causes the macula to thicken and swell leading to a distortion in vision.</w:t>
      </w:r>
      <w:r>
        <w:rPr>
          <w:rFonts w:asciiTheme="minorHAnsi" w:eastAsiaTheme="minorEastAsia" w:hAnsiTheme="minorHAnsi" w:cstheme="minorBidi"/>
        </w:rPr>
        <w:t xml:space="preserve"> Common causes of macular oedema include </w:t>
      </w:r>
      <w:r w:rsidR="00163DEB">
        <w:rPr>
          <w:rFonts w:asciiTheme="minorHAnsi" w:eastAsiaTheme="minorEastAsia" w:hAnsiTheme="minorHAnsi" w:cstheme="minorBidi"/>
        </w:rPr>
        <w:t xml:space="preserve">diabetes and </w:t>
      </w:r>
      <w:r>
        <w:rPr>
          <w:rFonts w:asciiTheme="minorHAnsi" w:eastAsiaTheme="minorEastAsia" w:hAnsiTheme="minorHAnsi" w:cstheme="minorBidi"/>
        </w:rPr>
        <w:t xml:space="preserve">retinal vein occlusion (RVO). </w:t>
      </w:r>
    </w:p>
    <w:p w:rsidR="00163DEB" w:rsidRDefault="00163DEB" w:rsidP="00163DEB">
      <w:r>
        <w:t>High blood glucose levels caused by diabetes can cause damage to the blood vessels in the retina, a condition called diabetic retinopathy. The two main mechanisms involved are: (1) an impairment of the ability of small blood vessels to regulate the amount of blood passing through them. An excess in blood volumes results in mechanical injury to the vessels causing the leakage of blood; and (2) excess glucose is metabolised to form biochemicals (“glucose metabolites”). This may promote the growth of abnormal blood vessels by binding to proteins in parts of eye to make them function abnormally. The damaged vessels can lead to a significant amount of bleeding into the eye.</w:t>
      </w:r>
    </w:p>
    <w:p w:rsidR="00163DEB" w:rsidRDefault="00163DEB" w:rsidP="00163DEB">
      <w:r>
        <w:t>Anti-VEGF drugs are considered to be first-line therapy for DMO (The Royal College of Ophthalmologists, 2015; EURETINA guidelines 2017). Laser therapy was previously the standard of care for DMO prior to the availability of anti-VEGF drugs. However laser treatment is now regarded as more harmful than drug therapy (EURETINA guidelines 2017). The dexamethasone corticosteroid implant is also recommended in clinical guidelines to treat DMO, and may be more appropriate than alternative therapies in patients who have had a recent cardiovascular event or who would prefer to not have monthly injections (The Royal College of Ophthalmologists, 2015).</w:t>
      </w:r>
    </w:p>
    <w:p w:rsidR="001556DB" w:rsidRDefault="001556DB" w:rsidP="001556DB">
      <w:r w:rsidRPr="003B6F90">
        <w:t xml:space="preserve">RVO </w:t>
      </w:r>
      <w:r>
        <w:t>involves a</w:t>
      </w:r>
      <w:r w:rsidRPr="003B6F90">
        <w:t xml:space="preserve"> blockage of the vessel which drains blood out of the retina</w:t>
      </w:r>
      <w:r>
        <w:t xml:space="preserve">. This causes </w:t>
      </w:r>
      <w:r w:rsidRPr="003B6F90">
        <w:t xml:space="preserve">increased pressure within the blood vessel </w:t>
      </w:r>
      <w:r>
        <w:t>resulting in</w:t>
      </w:r>
      <w:r w:rsidRPr="003B6F90">
        <w:t xml:space="preserve"> blood and fluid </w:t>
      </w:r>
      <w:r>
        <w:t>leaking</w:t>
      </w:r>
      <w:r w:rsidRPr="003B6F90">
        <w:t xml:space="preserve"> </w:t>
      </w:r>
      <w:r>
        <w:t xml:space="preserve">from the vessel </w:t>
      </w:r>
      <w:r w:rsidRPr="003B6F90">
        <w:t>into the ret</w:t>
      </w:r>
      <w:r>
        <w:t xml:space="preserve">ina and macula. The build-up of fluid in macula, called macula oedema, </w:t>
      </w:r>
      <w:r>
        <w:lastRenderedPageBreak/>
        <w:t>causes the macula to thicken and swell leading to a distortion in vision. Retinal vein occlusions are referred to as central retinal vein occlusion (CRVO) when the blockage is in the main retinal vein. Blockages within the smaller branch veins are classified as branch retinal vein occlusion (BRVO).</w:t>
      </w:r>
      <w:r w:rsidR="00F53795">
        <w:t xml:space="preserve"> </w:t>
      </w:r>
      <w:r w:rsidR="00823C67">
        <w:t xml:space="preserve">In the majority of cases, ischaemic CRVO does not improve without treatment (Shah, 2012). </w:t>
      </w:r>
      <w:r w:rsidR="00851BFE">
        <w:t xml:space="preserve">BRVO can spontaneously resolve and </w:t>
      </w:r>
      <w:r w:rsidR="00FB1D9D">
        <w:t>a patient may be observed to allow for this before initiating therapy (Shah, 2012).</w:t>
      </w:r>
    </w:p>
    <w:p w:rsidR="001556DB" w:rsidRDefault="00733EDF" w:rsidP="001556DB">
      <w:pPr>
        <w:autoSpaceDE w:val="0"/>
        <w:autoSpaceDN w:val="0"/>
        <w:adjustRightInd w:val="0"/>
      </w:pPr>
      <w:r>
        <w:t>The main treatment</w:t>
      </w:r>
      <w:r w:rsidR="00FC2509">
        <w:t>s</w:t>
      </w:r>
      <w:r>
        <w:t xml:space="preserve"> for macular oedema due to RVO are the a</w:t>
      </w:r>
      <w:r w:rsidR="001556DB">
        <w:t>nti-VEGF drugs (</w:t>
      </w:r>
      <w:r w:rsidR="001556DB" w:rsidRPr="007E1E2E">
        <w:t>Sivaprasad et</w:t>
      </w:r>
      <w:r w:rsidR="00FC2509">
        <w:t> </w:t>
      </w:r>
      <w:r w:rsidR="001556DB" w:rsidRPr="007E1E2E">
        <w:t>al., 2015</w:t>
      </w:r>
      <w:r w:rsidR="009211CB">
        <w:t xml:space="preserve">; The Royal College of </w:t>
      </w:r>
      <w:r w:rsidR="00FC2509">
        <w:t>Ophthalmologists</w:t>
      </w:r>
      <w:r w:rsidR="009211CB">
        <w:t>, 2015</w:t>
      </w:r>
      <w:r w:rsidR="001556DB">
        <w:t>).  Laser photocoagulation has been shown to have a potential role for BRVO but not for CRVO. Treatment with c</w:t>
      </w:r>
      <w:r w:rsidR="001556DB" w:rsidRPr="00101C04">
        <w:t>orticosteroids improve</w:t>
      </w:r>
      <w:r w:rsidR="009A3ED0">
        <w:t>s</w:t>
      </w:r>
      <w:r w:rsidR="001556DB" w:rsidRPr="00101C04">
        <w:t xml:space="preserve"> visual acuity from RVO-related macular oedema but their use is associated with serious ocular side effects, including secondary glaucoma and the formation of cataracts</w:t>
      </w:r>
      <w:r w:rsidR="001556DB">
        <w:t xml:space="preserve"> (</w:t>
      </w:r>
      <w:r w:rsidR="001556DB" w:rsidRPr="007E1E2E">
        <w:t>Sivaprasad et</w:t>
      </w:r>
      <w:r w:rsidR="00FC2509">
        <w:t> </w:t>
      </w:r>
      <w:r w:rsidR="001556DB" w:rsidRPr="007E1E2E">
        <w:t>al., 2015</w:t>
      </w:r>
      <w:r w:rsidR="001556DB">
        <w:t>)</w:t>
      </w:r>
      <w:r w:rsidR="001556DB" w:rsidRPr="007E1E2E">
        <w:t xml:space="preserve">. </w:t>
      </w:r>
      <w:r w:rsidR="001F0BEC">
        <w:t>The PBAC considered an application to list dexamethasone implant on the PBS for RVO at the March 2018 meeting.</w:t>
      </w:r>
      <w:r w:rsidR="00886EFB">
        <w:t xml:space="preserve"> See ‘Relevant aspects of</w:t>
      </w:r>
      <w:r w:rsidR="00886EFB" w:rsidRPr="005E22C2">
        <w:t xml:space="preserve"> consideration</w:t>
      </w:r>
      <w:r w:rsidR="00886EFB">
        <w:t xml:space="preserve"> by the Pharmaceutical Benefits Advisory Committee’ section for further information.</w:t>
      </w:r>
    </w:p>
    <w:p w:rsidR="003F6FB0" w:rsidRDefault="003F6FB0" w:rsidP="003F6FB0">
      <w:r>
        <w:t>Switching between anti-VEGF agents and between dexamethasone and an anti-VEGF agent to treat macular oedema is recommended in guidelines (The Royal College of Ophthalmologists, 2015). However, the longer-term outcomes of combination or sequential treatment of anti-VEGF agents and dexamethasone are unknown (The Royal College of Ophthalmologists, 2015).</w:t>
      </w:r>
    </w:p>
    <w:p w:rsidR="007247B9" w:rsidRDefault="007247B9" w:rsidP="001556DB">
      <w:pPr>
        <w:pStyle w:val="Heading2"/>
        <w:keepNext/>
      </w:pPr>
      <w:bookmarkStart w:id="13" w:name="_Toc513038013"/>
      <w:r>
        <w:t>Pharmacology</w:t>
      </w:r>
      <w:bookmarkEnd w:id="13"/>
    </w:p>
    <w:p w:rsidR="001556DB" w:rsidRDefault="001556DB" w:rsidP="001556DB">
      <w:r>
        <w:t xml:space="preserve">Vascular endothelial growth factor (VEGF) promotes the formation of new blood cells. VEGF also binds to tyrosine kinase receptors on endothelial cells causing vascular leakage. </w:t>
      </w:r>
    </w:p>
    <w:p w:rsidR="001556DB" w:rsidRPr="00A82082" w:rsidRDefault="001556DB" w:rsidP="001556DB">
      <w:r w:rsidRPr="00A82082">
        <w:t>Aflibercept and ranibizumab bind to VEGF to prevent the interaction of VEGF with its receptors on the surface of endothelial cells. Aflibercept and ranibizumab act to reduce the formation of new blood cells, the proliferation of endothelial cells and vascular leakage.</w:t>
      </w:r>
    </w:p>
    <w:p w:rsidR="001556DB" w:rsidRDefault="001556DB" w:rsidP="001556DB">
      <w:r w:rsidRPr="00A82082">
        <w:t xml:space="preserve">The </w:t>
      </w:r>
      <w:r w:rsidR="007A3AF7">
        <w:t xml:space="preserve">World Health Organization </w:t>
      </w:r>
      <w:r w:rsidRPr="00A82082">
        <w:t>A</w:t>
      </w:r>
      <w:r w:rsidR="007A3AF7">
        <w:t xml:space="preserve">natomical </w:t>
      </w:r>
      <w:r w:rsidRPr="00A82082">
        <w:t>T</w:t>
      </w:r>
      <w:r w:rsidR="007A3AF7">
        <w:t xml:space="preserve">herapeutic </w:t>
      </w:r>
      <w:r w:rsidRPr="00A82082">
        <w:t>C</w:t>
      </w:r>
      <w:r w:rsidR="007A3AF7">
        <w:t xml:space="preserve">hemical (ATC) classification </w:t>
      </w:r>
      <w:r w:rsidRPr="00A82082">
        <w:t xml:space="preserve">codes for aflibercept and ranibizumab </w:t>
      </w:r>
      <w:r w:rsidR="007A3AF7">
        <w:t>administered into the eye ar</w:t>
      </w:r>
      <w:r w:rsidR="007A3AF7" w:rsidRPr="00A82082">
        <w:t xml:space="preserve">e </w:t>
      </w:r>
      <w:r w:rsidRPr="00A82082">
        <w:t>S01LA05 and S01LA04, respectively.</w:t>
      </w:r>
      <w:r w:rsidR="00B144AC">
        <w:rPr>
          <w:rStyle w:val="FootnoteReference"/>
        </w:rPr>
        <w:footnoteReference w:id="2"/>
      </w:r>
      <w:r w:rsidRPr="00A82082">
        <w:t xml:space="preserve"> </w:t>
      </w:r>
    </w:p>
    <w:p w:rsidR="001556DB" w:rsidRDefault="001556DB" w:rsidP="001556DB">
      <w:r>
        <w:t xml:space="preserve">Dexamethasone is a potent corticosteroid which is implanted in the vitreous of the eye. The implant is made of a biodegradable polymer which gradually disintegrates over several months into carbon dioxide and water as dexamethasone is released (Yonegawa and Wolfe, 2015). </w:t>
      </w:r>
      <w:r w:rsidRPr="003B2F62">
        <w:t>The biologic action of corticosteroids includes the down regulation of VEGF. As such, dexamethasone has antiangiogenic (i.e. inhibits the formation of new blood cells) and anti</w:t>
      </w:r>
      <w:r w:rsidR="001D760F">
        <w:noBreakHyphen/>
      </w:r>
      <w:r w:rsidRPr="003B2F62">
        <w:t xml:space="preserve">vascular permeability effects </w:t>
      </w:r>
      <w:r>
        <w:t>(Yonegawa and Wolfe, 2015).</w:t>
      </w:r>
    </w:p>
    <w:p w:rsidR="001556DB" w:rsidRDefault="001556DB" w:rsidP="001556DB">
      <w:r w:rsidRPr="00A82082">
        <w:t>The ATC</w:t>
      </w:r>
      <w:r>
        <w:t xml:space="preserve"> code</w:t>
      </w:r>
      <w:r w:rsidRPr="00A82082">
        <w:t xml:space="preserve"> for </w:t>
      </w:r>
      <w:r>
        <w:t>dexamethasone</w:t>
      </w:r>
      <w:r w:rsidR="007A3AF7">
        <w:t xml:space="preserve"> administered into the eye</w:t>
      </w:r>
      <w:r>
        <w:t xml:space="preserve"> is </w:t>
      </w:r>
      <w:r w:rsidRPr="00AC0DD9">
        <w:t>S01BA01</w:t>
      </w:r>
      <w:r>
        <w:t>.</w:t>
      </w:r>
      <w:r w:rsidR="00B144AC">
        <w:rPr>
          <w:rStyle w:val="FootnoteReference"/>
        </w:rPr>
        <w:footnoteReference w:id="3"/>
      </w:r>
    </w:p>
    <w:p w:rsidR="001420B3" w:rsidRPr="005E22C2" w:rsidRDefault="00A52918" w:rsidP="00526401">
      <w:pPr>
        <w:pStyle w:val="Heading2"/>
        <w:keepNext/>
      </w:pPr>
      <w:bookmarkStart w:id="14" w:name="_Toc513038014"/>
      <w:r w:rsidRPr="00A52918">
        <w:lastRenderedPageBreak/>
        <w:t xml:space="preserve">Therapeutic Goods Administration </w:t>
      </w:r>
      <w:r>
        <w:t>(</w:t>
      </w:r>
      <w:r w:rsidR="001420B3" w:rsidRPr="005E22C2">
        <w:t>TGA</w:t>
      </w:r>
      <w:r>
        <w:t>)</w:t>
      </w:r>
      <w:r w:rsidR="001420B3" w:rsidRPr="005E22C2">
        <w:t xml:space="preserve"> approved </w:t>
      </w:r>
      <w:r w:rsidR="001420B3">
        <w:t>i</w:t>
      </w:r>
      <w:r w:rsidR="001420B3" w:rsidRPr="005E22C2">
        <w:t>ndications</w:t>
      </w:r>
      <w:bookmarkEnd w:id="14"/>
    </w:p>
    <w:p w:rsidR="003F714C" w:rsidRPr="001F2E26" w:rsidRDefault="003F714C" w:rsidP="00526401">
      <w:pPr>
        <w:pStyle w:val="Tabletitle"/>
        <w:keepNext/>
      </w:pPr>
      <w:r>
        <w:t xml:space="preserve">Table </w:t>
      </w:r>
      <w:r>
        <w:rPr>
          <w:noProof/>
        </w:rPr>
        <w:t>1</w:t>
      </w:r>
      <w:r>
        <w:t xml:space="preserve">: </w:t>
      </w:r>
      <w:r w:rsidRPr="001F2E26">
        <w:t>TGA approved indications</w:t>
      </w:r>
      <w:r w:rsidR="002C14EC">
        <w:t xml:space="preserve"> (abridged)</w:t>
      </w:r>
    </w:p>
    <w:tbl>
      <w:tblPr>
        <w:tblStyle w:val="TableGrid"/>
        <w:tblW w:w="9180" w:type="dxa"/>
        <w:tblLook w:val="04A0" w:firstRow="1" w:lastRow="0" w:firstColumn="1" w:lastColumn="0" w:noHBand="0" w:noVBand="1"/>
        <w:tblCaption w:val="TGA approved indications"/>
        <w:tblDescription w:val="Ranibizumab is TGA approved for neovascular (wet) age-related macular degeneration, visual impairment due to diabetic macular oedema, visual impariment due to macular oedema secondary to RVO and visual impariment due to CNV secondary to pathologic myopia. Aflibercept is not TGA  approved for visual impariment due to CNV secondary to pathologic myopia. Verteporfin is only TGA approved for neovascular (wet) age-related macular degeneration."/>
      </w:tblPr>
      <w:tblGrid>
        <w:gridCol w:w="4795"/>
        <w:gridCol w:w="1412"/>
        <w:gridCol w:w="1405"/>
        <w:gridCol w:w="1568"/>
      </w:tblGrid>
      <w:tr w:rsidR="00526401" w:rsidRPr="0069151D" w:rsidTr="00526401">
        <w:trPr>
          <w:tblHeader/>
        </w:trPr>
        <w:tc>
          <w:tcPr>
            <w:tcW w:w="4928" w:type="dxa"/>
            <w:shd w:val="clear" w:color="auto" w:fill="BFBFBF" w:themeFill="background1" w:themeFillShade="BF"/>
          </w:tcPr>
          <w:p w:rsidR="00526401" w:rsidRPr="0069151D" w:rsidRDefault="00526401" w:rsidP="00526401">
            <w:pPr>
              <w:pStyle w:val="Tableheading"/>
              <w:keepNext/>
              <w:rPr>
                <w:sz w:val="20"/>
                <w:szCs w:val="20"/>
              </w:rPr>
            </w:pPr>
          </w:p>
        </w:tc>
        <w:tc>
          <w:tcPr>
            <w:tcW w:w="1417" w:type="dxa"/>
            <w:shd w:val="clear" w:color="auto" w:fill="BFBFBF" w:themeFill="background1" w:themeFillShade="BF"/>
          </w:tcPr>
          <w:p w:rsidR="00526401" w:rsidRPr="0069151D" w:rsidRDefault="00526401" w:rsidP="00526401">
            <w:pPr>
              <w:pStyle w:val="Tableheading"/>
              <w:keepNext/>
              <w:rPr>
                <w:sz w:val="20"/>
                <w:szCs w:val="20"/>
              </w:rPr>
            </w:pPr>
            <w:r w:rsidRPr="0069151D">
              <w:rPr>
                <w:sz w:val="20"/>
                <w:szCs w:val="20"/>
              </w:rPr>
              <w:t>Ranibizumab</w:t>
            </w:r>
          </w:p>
        </w:tc>
        <w:tc>
          <w:tcPr>
            <w:tcW w:w="1417" w:type="dxa"/>
            <w:shd w:val="clear" w:color="auto" w:fill="BFBFBF" w:themeFill="background1" w:themeFillShade="BF"/>
          </w:tcPr>
          <w:p w:rsidR="00526401" w:rsidRPr="0069151D" w:rsidRDefault="00526401" w:rsidP="00526401">
            <w:pPr>
              <w:pStyle w:val="Tableheading"/>
              <w:keepNext/>
              <w:rPr>
                <w:sz w:val="20"/>
                <w:szCs w:val="20"/>
              </w:rPr>
            </w:pPr>
            <w:r w:rsidRPr="0069151D">
              <w:rPr>
                <w:sz w:val="20"/>
                <w:szCs w:val="20"/>
              </w:rPr>
              <w:t>Aflibercept</w:t>
            </w:r>
          </w:p>
        </w:tc>
        <w:tc>
          <w:tcPr>
            <w:tcW w:w="1418" w:type="dxa"/>
            <w:shd w:val="clear" w:color="auto" w:fill="BFBFBF" w:themeFill="background1" w:themeFillShade="BF"/>
          </w:tcPr>
          <w:p w:rsidR="00526401" w:rsidRDefault="00526401" w:rsidP="00526401">
            <w:pPr>
              <w:pStyle w:val="Tableheading"/>
              <w:keepNext/>
              <w:rPr>
                <w:sz w:val="20"/>
                <w:szCs w:val="20"/>
              </w:rPr>
            </w:pPr>
            <w:r>
              <w:rPr>
                <w:sz w:val="20"/>
                <w:szCs w:val="20"/>
              </w:rPr>
              <w:t>Dexamethasone</w:t>
            </w:r>
          </w:p>
          <w:p w:rsidR="00526401" w:rsidRPr="0069151D" w:rsidRDefault="00526401" w:rsidP="00526401">
            <w:pPr>
              <w:pStyle w:val="Tableheading"/>
              <w:keepNext/>
              <w:rPr>
                <w:sz w:val="20"/>
                <w:szCs w:val="20"/>
              </w:rPr>
            </w:pPr>
            <w:r>
              <w:rPr>
                <w:sz w:val="20"/>
                <w:szCs w:val="20"/>
              </w:rPr>
              <w:t>Implant</w:t>
            </w:r>
          </w:p>
        </w:tc>
      </w:tr>
      <w:tr w:rsidR="00526401" w:rsidRPr="003F714C" w:rsidTr="00526401">
        <w:tc>
          <w:tcPr>
            <w:tcW w:w="4928" w:type="dxa"/>
          </w:tcPr>
          <w:p w:rsidR="00526401" w:rsidRPr="00D01515" w:rsidRDefault="00526401" w:rsidP="00BA5241">
            <w:pPr>
              <w:pStyle w:val="Tablewriting"/>
            </w:pPr>
            <w:r w:rsidRPr="00D01515">
              <w:t>Neovascular (wet) age-related macular degeneration</w:t>
            </w:r>
          </w:p>
        </w:tc>
        <w:tc>
          <w:tcPr>
            <w:tcW w:w="1417" w:type="dxa"/>
            <w:vAlign w:val="center"/>
          </w:tcPr>
          <w:p w:rsidR="00526401" w:rsidRPr="00D01515" w:rsidRDefault="00526401" w:rsidP="00BA5241">
            <w:pPr>
              <w:jc w:val="center"/>
              <w:rPr>
                <w:sz w:val="28"/>
                <w:szCs w:val="28"/>
              </w:rPr>
            </w:pPr>
            <w:r w:rsidRPr="00D01515">
              <w:rPr>
                <w:sz w:val="28"/>
                <w:szCs w:val="28"/>
              </w:rPr>
              <w:sym w:font="Wingdings" w:char="F0FC"/>
            </w:r>
          </w:p>
        </w:tc>
        <w:tc>
          <w:tcPr>
            <w:tcW w:w="1417" w:type="dxa"/>
            <w:vAlign w:val="center"/>
          </w:tcPr>
          <w:p w:rsidR="00526401" w:rsidRPr="00D01515" w:rsidRDefault="00526401" w:rsidP="00BA5241">
            <w:pPr>
              <w:jc w:val="center"/>
            </w:pPr>
            <w:r w:rsidRPr="00D01515">
              <w:rPr>
                <w:sz w:val="28"/>
                <w:szCs w:val="28"/>
              </w:rPr>
              <w:sym w:font="Wingdings" w:char="F0FC"/>
            </w:r>
          </w:p>
        </w:tc>
        <w:tc>
          <w:tcPr>
            <w:tcW w:w="1418" w:type="dxa"/>
            <w:vAlign w:val="center"/>
          </w:tcPr>
          <w:p w:rsidR="00526401" w:rsidRPr="00D01515" w:rsidRDefault="00526401" w:rsidP="00526401">
            <w:pPr>
              <w:jc w:val="center"/>
              <w:rPr>
                <w:sz w:val="28"/>
                <w:szCs w:val="28"/>
              </w:rPr>
            </w:pPr>
          </w:p>
        </w:tc>
      </w:tr>
      <w:tr w:rsidR="00526401" w:rsidRPr="003F714C" w:rsidTr="00526401">
        <w:tc>
          <w:tcPr>
            <w:tcW w:w="4928" w:type="dxa"/>
          </w:tcPr>
          <w:p w:rsidR="00526401" w:rsidRPr="00D01515" w:rsidRDefault="00526401" w:rsidP="00BA5241">
            <w:pPr>
              <w:pStyle w:val="Tablewriting"/>
            </w:pPr>
            <w:r w:rsidRPr="00D01515">
              <w:t>Visual impairment due to diabetic macular oedema</w:t>
            </w:r>
          </w:p>
        </w:tc>
        <w:tc>
          <w:tcPr>
            <w:tcW w:w="1417" w:type="dxa"/>
            <w:vAlign w:val="center"/>
          </w:tcPr>
          <w:p w:rsidR="00526401" w:rsidRPr="00D01515" w:rsidRDefault="00526401" w:rsidP="00BA5241">
            <w:pPr>
              <w:jc w:val="center"/>
            </w:pPr>
            <w:r w:rsidRPr="00D01515">
              <w:rPr>
                <w:sz w:val="28"/>
                <w:szCs w:val="28"/>
              </w:rPr>
              <w:sym w:font="Wingdings" w:char="F0FC"/>
            </w:r>
          </w:p>
        </w:tc>
        <w:tc>
          <w:tcPr>
            <w:tcW w:w="1417" w:type="dxa"/>
            <w:vAlign w:val="center"/>
          </w:tcPr>
          <w:p w:rsidR="00526401" w:rsidRPr="00D01515" w:rsidRDefault="00526401" w:rsidP="00BA5241">
            <w:pPr>
              <w:jc w:val="center"/>
            </w:pPr>
            <w:r w:rsidRPr="00D01515">
              <w:rPr>
                <w:sz w:val="28"/>
                <w:szCs w:val="28"/>
              </w:rPr>
              <w:sym w:font="Wingdings" w:char="F0FC"/>
            </w:r>
          </w:p>
        </w:tc>
        <w:tc>
          <w:tcPr>
            <w:tcW w:w="1418" w:type="dxa"/>
            <w:vAlign w:val="center"/>
          </w:tcPr>
          <w:p w:rsidR="00526401" w:rsidRPr="00D01515" w:rsidRDefault="00526401" w:rsidP="00526401">
            <w:pPr>
              <w:jc w:val="center"/>
              <w:rPr>
                <w:sz w:val="28"/>
                <w:szCs w:val="28"/>
              </w:rPr>
            </w:pPr>
            <w:r w:rsidRPr="00D01515">
              <w:rPr>
                <w:sz w:val="28"/>
                <w:szCs w:val="28"/>
              </w:rPr>
              <w:sym w:font="Wingdings" w:char="F0FC"/>
            </w:r>
          </w:p>
        </w:tc>
      </w:tr>
      <w:tr w:rsidR="00526401" w:rsidRPr="003F714C" w:rsidTr="00526401">
        <w:tc>
          <w:tcPr>
            <w:tcW w:w="4928" w:type="dxa"/>
          </w:tcPr>
          <w:p w:rsidR="00526401" w:rsidRPr="00D01515" w:rsidRDefault="00526401" w:rsidP="00D01515">
            <w:pPr>
              <w:pStyle w:val="Tablewriting"/>
            </w:pPr>
            <w:r w:rsidRPr="00D01515">
              <w:t xml:space="preserve">Visual impairment due to macular oedema secondary to </w:t>
            </w:r>
            <w:r>
              <w:t>retinal vein occlusion</w:t>
            </w:r>
          </w:p>
        </w:tc>
        <w:tc>
          <w:tcPr>
            <w:tcW w:w="1417" w:type="dxa"/>
            <w:vAlign w:val="center"/>
          </w:tcPr>
          <w:p w:rsidR="00526401" w:rsidRPr="00D01515" w:rsidRDefault="00526401" w:rsidP="00BA5241">
            <w:pPr>
              <w:jc w:val="center"/>
            </w:pPr>
            <w:r w:rsidRPr="00D01515">
              <w:rPr>
                <w:sz w:val="28"/>
                <w:szCs w:val="28"/>
              </w:rPr>
              <w:sym w:font="Wingdings" w:char="F0FC"/>
            </w:r>
          </w:p>
        </w:tc>
        <w:tc>
          <w:tcPr>
            <w:tcW w:w="1417" w:type="dxa"/>
            <w:vAlign w:val="center"/>
          </w:tcPr>
          <w:p w:rsidR="00526401" w:rsidRPr="00D01515" w:rsidRDefault="00526401" w:rsidP="00BA5241">
            <w:pPr>
              <w:jc w:val="center"/>
            </w:pPr>
            <w:r w:rsidRPr="00D01515">
              <w:rPr>
                <w:sz w:val="28"/>
                <w:szCs w:val="28"/>
              </w:rPr>
              <w:sym w:font="Wingdings" w:char="F0FC"/>
            </w:r>
          </w:p>
        </w:tc>
        <w:tc>
          <w:tcPr>
            <w:tcW w:w="1418" w:type="dxa"/>
            <w:vAlign w:val="center"/>
          </w:tcPr>
          <w:p w:rsidR="00526401" w:rsidRPr="00D01515" w:rsidRDefault="00526401" w:rsidP="00526401">
            <w:pPr>
              <w:jc w:val="center"/>
              <w:rPr>
                <w:sz w:val="28"/>
                <w:szCs w:val="28"/>
              </w:rPr>
            </w:pPr>
            <w:r w:rsidRPr="00D01515">
              <w:rPr>
                <w:sz w:val="28"/>
                <w:szCs w:val="28"/>
              </w:rPr>
              <w:sym w:font="Wingdings" w:char="F0FC"/>
            </w:r>
          </w:p>
        </w:tc>
      </w:tr>
      <w:tr w:rsidR="00526401" w:rsidRPr="00953CD4" w:rsidDel="000A2D1D" w:rsidTr="00526401">
        <w:tc>
          <w:tcPr>
            <w:tcW w:w="4928" w:type="dxa"/>
          </w:tcPr>
          <w:p w:rsidR="00526401" w:rsidRPr="00D01515" w:rsidRDefault="00526401" w:rsidP="00BA5241">
            <w:pPr>
              <w:pStyle w:val="Tablewriting"/>
            </w:pPr>
            <w:r w:rsidRPr="00D01515">
              <w:t>Visual impairment due to choroidal neovascularisation</w:t>
            </w:r>
          </w:p>
        </w:tc>
        <w:tc>
          <w:tcPr>
            <w:tcW w:w="1417" w:type="dxa"/>
            <w:vAlign w:val="center"/>
          </w:tcPr>
          <w:p w:rsidR="00526401" w:rsidRPr="00D01515" w:rsidRDefault="00526401" w:rsidP="00BA5241">
            <w:pPr>
              <w:jc w:val="center"/>
              <w:rPr>
                <w:sz w:val="28"/>
                <w:szCs w:val="28"/>
              </w:rPr>
            </w:pPr>
            <w:r w:rsidRPr="00D01515">
              <w:rPr>
                <w:sz w:val="28"/>
                <w:szCs w:val="28"/>
              </w:rPr>
              <w:sym w:font="Wingdings" w:char="F0FC"/>
            </w:r>
          </w:p>
        </w:tc>
        <w:tc>
          <w:tcPr>
            <w:tcW w:w="1417" w:type="dxa"/>
            <w:vAlign w:val="center"/>
          </w:tcPr>
          <w:p w:rsidR="00526401" w:rsidRPr="00D01515" w:rsidRDefault="00526401" w:rsidP="00BA5241">
            <w:pPr>
              <w:jc w:val="center"/>
            </w:pPr>
          </w:p>
        </w:tc>
        <w:tc>
          <w:tcPr>
            <w:tcW w:w="1418" w:type="dxa"/>
            <w:vAlign w:val="center"/>
          </w:tcPr>
          <w:p w:rsidR="00526401" w:rsidRPr="00D01515" w:rsidRDefault="00526401" w:rsidP="00526401">
            <w:pPr>
              <w:jc w:val="center"/>
            </w:pPr>
          </w:p>
        </w:tc>
      </w:tr>
      <w:tr w:rsidR="00526401" w:rsidRPr="00953CD4" w:rsidDel="000A2D1D" w:rsidTr="00526401">
        <w:tc>
          <w:tcPr>
            <w:tcW w:w="4928" w:type="dxa"/>
          </w:tcPr>
          <w:p w:rsidR="00526401" w:rsidRPr="00D01515" w:rsidDel="000A2D1D" w:rsidRDefault="00526401" w:rsidP="00BA5241">
            <w:pPr>
              <w:pStyle w:val="Tablewriting"/>
            </w:pPr>
            <w:r w:rsidRPr="00D01515">
              <w:t>Visual impairment due to choroidal neovascularisation secondary to pathologic myopia</w:t>
            </w:r>
          </w:p>
        </w:tc>
        <w:tc>
          <w:tcPr>
            <w:tcW w:w="1417" w:type="dxa"/>
            <w:vAlign w:val="center"/>
          </w:tcPr>
          <w:p w:rsidR="00526401" w:rsidRPr="00D01515" w:rsidDel="000A2D1D" w:rsidRDefault="00526401" w:rsidP="00BA5241">
            <w:pPr>
              <w:jc w:val="center"/>
              <w:rPr>
                <w:sz w:val="28"/>
                <w:szCs w:val="28"/>
              </w:rPr>
            </w:pPr>
            <w:r w:rsidRPr="00D01515">
              <w:rPr>
                <w:sz w:val="28"/>
                <w:szCs w:val="28"/>
              </w:rPr>
              <w:sym w:font="Wingdings" w:char="F0FC"/>
            </w:r>
          </w:p>
        </w:tc>
        <w:tc>
          <w:tcPr>
            <w:tcW w:w="1417" w:type="dxa"/>
            <w:vAlign w:val="center"/>
          </w:tcPr>
          <w:p w:rsidR="00526401" w:rsidRPr="00D01515" w:rsidDel="000A2D1D" w:rsidRDefault="00526401" w:rsidP="00BA5241">
            <w:pPr>
              <w:jc w:val="center"/>
            </w:pPr>
          </w:p>
        </w:tc>
        <w:tc>
          <w:tcPr>
            <w:tcW w:w="1418" w:type="dxa"/>
            <w:vAlign w:val="center"/>
          </w:tcPr>
          <w:p w:rsidR="00526401" w:rsidRPr="00D01515" w:rsidDel="000A2D1D" w:rsidRDefault="00526401" w:rsidP="00526401">
            <w:pPr>
              <w:jc w:val="center"/>
            </w:pPr>
          </w:p>
        </w:tc>
      </w:tr>
      <w:tr w:rsidR="00526401" w:rsidRPr="00953CD4" w:rsidDel="000A2D1D" w:rsidTr="00526401">
        <w:tc>
          <w:tcPr>
            <w:tcW w:w="4928" w:type="dxa"/>
          </w:tcPr>
          <w:p w:rsidR="00526401" w:rsidRPr="00D01515" w:rsidRDefault="00526401" w:rsidP="00BA5241">
            <w:pPr>
              <w:pStyle w:val="Tablewriting"/>
            </w:pPr>
            <w:r>
              <w:t xml:space="preserve">Visual impairment due to </w:t>
            </w:r>
            <w:r w:rsidRPr="00D01515">
              <w:t>myopic choroidal neovascularisation</w:t>
            </w:r>
          </w:p>
        </w:tc>
        <w:tc>
          <w:tcPr>
            <w:tcW w:w="1417" w:type="dxa"/>
            <w:vAlign w:val="center"/>
          </w:tcPr>
          <w:p w:rsidR="00526401" w:rsidRPr="00D01515" w:rsidRDefault="00526401" w:rsidP="00BA5241">
            <w:pPr>
              <w:jc w:val="center"/>
              <w:rPr>
                <w:sz w:val="28"/>
                <w:szCs w:val="28"/>
              </w:rPr>
            </w:pPr>
          </w:p>
        </w:tc>
        <w:tc>
          <w:tcPr>
            <w:tcW w:w="1417" w:type="dxa"/>
            <w:vAlign w:val="center"/>
          </w:tcPr>
          <w:p w:rsidR="00526401" w:rsidRPr="00D01515" w:rsidRDefault="00526401" w:rsidP="00BA5241">
            <w:pPr>
              <w:jc w:val="center"/>
            </w:pPr>
            <w:r w:rsidRPr="00D01515">
              <w:rPr>
                <w:sz w:val="28"/>
                <w:szCs w:val="28"/>
              </w:rPr>
              <w:sym w:font="Wingdings" w:char="F0FC"/>
            </w:r>
          </w:p>
        </w:tc>
        <w:tc>
          <w:tcPr>
            <w:tcW w:w="1418" w:type="dxa"/>
            <w:vAlign w:val="center"/>
          </w:tcPr>
          <w:p w:rsidR="00526401" w:rsidRPr="00D01515" w:rsidRDefault="00526401" w:rsidP="00526401">
            <w:pPr>
              <w:jc w:val="center"/>
              <w:rPr>
                <w:sz w:val="28"/>
                <w:szCs w:val="28"/>
              </w:rPr>
            </w:pPr>
          </w:p>
        </w:tc>
      </w:tr>
      <w:tr w:rsidR="00526401" w:rsidRPr="00953CD4" w:rsidDel="000A2D1D" w:rsidTr="00526401">
        <w:tc>
          <w:tcPr>
            <w:tcW w:w="4928" w:type="dxa"/>
          </w:tcPr>
          <w:p w:rsidR="00526401" w:rsidRDefault="00526401" w:rsidP="00BA5241">
            <w:pPr>
              <w:pStyle w:val="Tablewriting"/>
            </w:pPr>
            <w:r w:rsidRPr="00526401">
              <w:t>Non-infectious uveitis affecting t</w:t>
            </w:r>
            <w:r>
              <w:t>he posterior segment of the eye</w:t>
            </w:r>
          </w:p>
        </w:tc>
        <w:tc>
          <w:tcPr>
            <w:tcW w:w="1417" w:type="dxa"/>
            <w:vAlign w:val="center"/>
          </w:tcPr>
          <w:p w:rsidR="00526401" w:rsidRPr="00D01515" w:rsidRDefault="00526401" w:rsidP="00BA5241">
            <w:pPr>
              <w:jc w:val="center"/>
              <w:rPr>
                <w:sz w:val="28"/>
                <w:szCs w:val="28"/>
              </w:rPr>
            </w:pPr>
          </w:p>
        </w:tc>
        <w:tc>
          <w:tcPr>
            <w:tcW w:w="1417" w:type="dxa"/>
            <w:vAlign w:val="center"/>
          </w:tcPr>
          <w:p w:rsidR="00526401" w:rsidRPr="00D01515" w:rsidRDefault="00526401" w:rsidP="00BA5241">
            <w:pPr>
              <w:jc w:val="center"/>
              <w:rPr>
                <w:sz w:val="28"/>
                <w:szCs w:val="28"/>
              </w:rPr>
            </w:pPr>
          </w:p>
        </w:tc>
        <w:tc>
          <w:tcPr>
            <w:tcW w:w="1418" w:type="dxa"/>
            <w:vAlign w:val="center"/>
          </w:tcPr>
          <w:p w:rsidR="00526401" w:rsidRPr="00D01515" w:rsidRDefault="00526401" w:rsidP="00526401">
            <w:pPr>
              <w:jc w:val="center"/>
              <w:rPr>
                <w:sz w:val="28"/>
                <w:szCs w:val="28"/>
              </w:rPr>
            </w:pPr>
            <w:r w:rsidRPr="00D01515">
              <w:rPr>
                <w:sz w:val="28"/>
                <w:szCs w:val="28"/>
              </w:rPr>
              <w:sym w:font="Wingdings" w:char="F0FC"/>
            </w:r>
          </w:p>
        </w:tc>
      </w:tr>
    </w:tbl>
    <w:p w:rsidR="001420B3" w:rsidRDefault="003F714C" w:rsidP="00A35800">
      <w:r w:rsidRPr="003F714C">
        <w:rPr>
          <w:sz w:val="20"/>
          <w:szCs w:val="20"/>
          <w:vertAlign w:val="superscript"/>
        </w:rPr>
        <w:t xml:space="preserve">a </w:t>
      </w:r>
      <w:r w:rsidRPr="003F714C">
        <w:rPr>
          <w:sz w:val="20"/>
          <w:szCs w:val="20"/>
        </w:rPr>
        <w:t>subfoveal choroidal neovascularisation due to AMD or caused by other macular disease.</w:t>
      </w:r>
      <w:r w:rsidRPr="003F714C">
        <w:rPr>
          <w:sz w:val="20"/>
          <w:szCs w:val="20"/>
          <w:highlight w:val="magenta"/>
        </w:rPr>
        <w:br/>
      </w:r>
      <w:r w:rsidRPr="003F714C">
        <w:rPr>
          <w:sz w:val="20"/>
          <w:szCs w:val="20"/>
        </w:rPr>
        <w:t>Source: Lucentis (ranibizumab) Australian approved product information. North Ryde: Novartis Pharmaceuticals Australia Pty Limited. Approved 27 February 2007, last updated 30 January 2015</w:t>
      </w:r>
      <w:r w:rsidR="00E72E25">
        <w:rPr>
          <w:sz w:val="20"/>
          <w:szCs w:val="20"/>
        </w:rPr>
        <w:t>.</w:t>
      </w:r>
      <w:r w:rsidRPr="003F714C">
        <w:rPr>
          <w:sz w:val="20"/>
          <w:szCs w:val="20"/>
        </w:rPr>
        <w:br/>
        <w:t>Eylea (aflibercept) Australian approved product information. Pymble: Bayer Australia Ltd. Approved 7 March 2012, last updated 15 April 2015</w:t>
      </w:r>
      <w:r w:rsidR="00E72E25">
        <w:rPr>
          <w:sz w:val="20"/>
          <w:szCs w:val="20"/>
        </w:rPr>
        <w:t>.</w:t>
      </w:r>
    </w:p>
    <w:p w:rsidR="006B709B" w:rsidRDefault="006B709B" w:rsidP="001556DB">
      <w:pPr>
        <w:pStyle w:val="Heading2"/>
        <w:keepNext/>
      </w:pPr>
      <w:bookmarkStart w:id="15" w:name="_Toc513038015"/>
      <w:r>
        <w:t>Dosage and administration</w:t>
      </w:r>
      <w:bookmarkEnd w:id="15"/>
    </w:p>
    <w:p w:rsidR="007A3AF7" w:rsidRPr="005C2E6F" w:rsidRDefault="005C2E6F" w:rsidP="00C13B9C">
      <w:r>
        <w:t>The recommended dose and administration for ranibizumab</w:t>
      </w:r>
      <w:r w:rsidR="00E72E25">
        <w:t>, aflibercept</w:t>
      </w:r>
      <w:r>
        <w:t xml:space="preserve"> </w:t>
      </w:r>
      <w:r w:rsidR="00E72E25">
        <w:t xml:space="preserve">and dexamethasone </w:t>
      </w:r>
      <w:r>
        <w:t xml:space="preserve">by their listed indications are summarised in Table 2. For each indication, the </w:t>
      </w:r>
      <w:r w:rsidR="00EA29D7">
        <w:t xml:space="preserve">current </w:t>
      </w:r>
      <w:r>
        <w:t>recommended frequency of administration for aflibercept and ranibizumab are the same.</w:t>
      </w:r>
    </w:p>
    <w:p w:rsidR="003F714C" w:rsidRPr="00E01E0B" w:rsidRDefault="003F714C" w:rsidP="003F714C">
      <w:pPr>
        <w:pStyle w:val="Tabletitle"/>
      </w:pPr>
      <w:r w:rsidRPr="002B67ED">
        <w:t xml:space="preserve">Table </w:t>
      </w:r>
      <w:r>
        <w:rPr>
          <w:noProof/>
        </w:rPr>
        <w:t>2</w:t>
      </w:r>
      <w:r w:rsidRPr="002B67ED">
        <w:t xml:space="preserve">: Dosage and administration </w:t>
      </w:r>
      <w:r w:rsidR="001556DB" w:rsidRPr="001128F4">
        <w:t>of ranibizumab, aflibercept and dexamethasone</w:t>
      </w:r>
      <w:r w:rsidR="001556DB">
        <w:t xml:space="preserve"> implant</w:t>
      </w:r>
    </w:p>
    <w:tbl>
      <w:tblPr>
        <w:tblStyle w:val="TableGrid"/>
        <w:tblpPr w:leftFromText="180" w:rightFromText="180" w:vertAnchor="text" w:tblpY="1"/>
        <w:tblOverlap w:val="never"/>
        <w:tblW w:w="0" w:type="auto"/>
        <w:tblLook w:val="04A0" w:firstRow="1" w:lastRow="0" w:firstColumn="1" w:lastColumn="0" w:noHBand="0" w:noVBand="1"/>
        <w:tblCaption w:val="Table 2"/>
        <w:tblDescription w:val="Dose and administration summary for aflibercept, ranibizumab and dexamethasone"/>
      </w:tblPr>
      <w:tblGrid>
        <w:gridCol w:w="9173"/>
      </w:tblGrid>
      <w:tr w:rsidR="001556DB" w:rsidTr="00F75F1A">
        <w:trPr>
          <w:tblHeader/>
        </w:trPr>
        <w:tc>
          <w:tcPr>
            <w:tcW w:w="9173" w:type="dxa"/>
            <w:shd w:val="clear" w:color="auto" w:fill="BFBFBF" w:themeFill="background1" w:themeFillShade="BF"/>
          </w:tcPr>
          <w:p w:rsidR="001556DB" w:rsidRPr="0015385E" w:rsidRDefault="001556DB" w:rsidP="00F75F1A">
            <w:pPr>
              <w:pStyle w:val="Tablewriting"/>
              <w:rPr>
                <w:b/>
                <w:highlight w:val="yellow"/>
                <w:vertAlign w:val="superscript"/>
              </w:rPr>
            </w:pPr>
            <w:r w:rsidRPr="00296000">
              <w:rPr>
                <w:b/>
              </w:rPr>
              <w:t>Ranibizumab</w:t>
            </w:r>
            <w:r>
              <w:rPr>
                <w:b/>
              </w:rPr>
              <w:t xml:space="preserve"> (Lucentis), Novartis Pharmaceuticals Australia Pty Ltd</w:t>
            </w:r>
            <w:r w:rsidR="0015385E">
              <w:rPr>
                <w:b/>
                <w:vertAlign w:val="superscript"/>
              </w:rPr>
              <w:t>1</w:t>
            </w:r>
          </w:p>
        </w:tc>
      </w:tr>
      <w:tr w:rsidR="001556DB" w:rsidTr="00F75F1A">
        <w:tc>
          <w:tcPr>
            <w:tcW w:w="9173" w:type="dxa"/>
          </w:tcPr>
          <w:p w:rsidR="001556DB" w:rsidRPr="00296000" w:rsidRDefault="001556DB" w:rsidP="00F75F1A">
            <w:pPr>
              <w:pStyle w:val="Tablewriting"/>
              <w:rPr>
                <w:b/>
                <w:u w:val="single"/>
              </w:rPr>
            </w:pPr>
            <w:r>
              <w:rPr>
                <w:b/>
                <w:u w:val="single"/>
              </w:rPr>
              <w:t>D</w:t>
            </w:r>
            <w:r w:rsidRPr="00296000">
              <w:rPr>
                <w:b/>
                <w:u w:val="single"/>
              </w:rPr>
              <w:t>ose</w:t>
            </w:r>
          </w:p>
          <w:p w:rsidR="001556DB" w:rsidRDefault="001556DB" w:rsidP="00F75F1A">
            <w:pPr>
              <w:pStyle w:val="Tablewriting"/>
            </w:pPr>
            <w:r w:rsidRPr="001914C2">
              <w:t>Recommended dose is 0.5 mg given as a single intravitreal injection. The maximal dose (0.5 mg) should not be exceeded.</w:t>
            </w:r>
          </w:p>
          <w:p w:rsidR="001556DB" w:rsidRDefault="001556DB" w:rsidP="00F75F1A">
            <w:pPr>
              <w:pStyle w:val="Tablewriting"/>
              <w:rPr>
                <w:b/>
                <w:u w:val="single"/>
              </w:rPr>
            </w:pPr>
            <w:r w:rsidRPr="00296000">
              <w:rPr>
                <w:b/>
                <w:u w:val="single"/>
              </w:rPr>
              <w:t>Frequency of administration</w:t>
            </w:r>
          </w:p>
          <w:p w:rsidR="001556DB" w:rsidRPr="00296000" w:rsidRDefault="001556DB" w:rsidP="00F75F1A">
            <w:pPr>
              <w:pStyle w:val="Tablewriting"/>
              <w:rPr>
                <w:b/>
                <w:u w:val="single"/>
              </w:rPr>
            </w:pPr>
            <w:r w:rsidRPr="001914C2">
              <w:t>The interval between two doses injected into the same eye should be at least four weeks.</w:t>
            </w:r>
            <w:r>
              <w:t xml:space="preserve"> The frequency of administration varies by indication.</w:t>
            </w:r>
          </w:p>
          <w:p w:rsidR="001556DB" w:rsidRPr="00B7377E" w:rsidRDefault="001556DB" w:rsidP="00F75F1A">
            <w:pPr>
              <w:pStyle w:val="Tablewriting"/>
              <w:rPr>
                <w:b/>
                <w:i/>
                <w:vertAlign w:val="superscript"/>
              </w:rPr>
            </w:pPr>
            <w:r w:rsidRPr="00296000">
              <w:rPr>
                <w:b/>
                <w:i/>
              </w:rPr>
              <w:t>Neovascular (wet) age-related macular degeneration</w:t>
            </w:r>
            <w:r w:rsidR="00B7377E">
              <w:rPr>
                <w:b/>
                <w:i/>
                <w:vertAlign w:val="superscript"/>
              </w:rPr>
              <w:t>2</w:t>
            </w:r>
          </w:p>
          <w:p w:rsidR="001556DB" w:rsidRPr="0015385E" w:rsidRDefault="001556DB" w:rsidP="00F75F1A">
            <w:pPr>
              <w:pStyle w:val="Tablewriting"/>
              <w:rPr>
                <w:vertAlign w:val="superscript"/>
              </w:rPr>
            </w:pPr>
            <w:r>
              <w:t>Initiated with one</w:t>
            </w:r>
            <w:r w:rsidRPr="001914C2">
              <w:t xml:space="preserve"> injection per month for three consecutive months, followed by one injection every two months. The dosing interval can be extended up to every three months when optimal visual acuity is achieved.</w:t>
            </w:r>
          </w:p>
          <w:p w:rsidR="001556DB" w:rsidRPr="00296000" w:rsidRDefault="001556DB" w:rsidP="00F75F1A">
            <w:pPr>
              <w:pStyle w:val="Tablewriting"/>
              <w:rPr>
                <w:b/>
                <w:i/>
              </w:rPr>
            </w:pPr>
            <w:r w:rsidRPr="00296000">
              <w:rPr>
                <w:b/>
                <w:i/>
              </w:rPr>
              <w:t>Central retinal vein occlusion and branch retinal vein occlusion</w:t>
            </w:r>
          </w:p>
          <w:p w:rsidR="001556DB" w:rsidRDefault="001556DB" w:rsidP="00F75F1A">
            <w:pPr>
              <w:pStyle w:val="Tablewriting"/>
            </w:pPr>
            <w:r w:rsidRPr="00D22684">
              <w:t>Initiated with one injection per month for three consecutive months. After the first three monthly injections, the treatment interval may be adjusted based on visual and/or anatomic outcomes.</w:t>
            </w:r>
          </w:p>
          <w:p w:rsidR="001556DB" w:rsidRPr="00296000" w:rsidRDefault="001556DB" w:rsidP="00F75F1A">
            <w:pPr>
              <w:pStyle w:val="Tablewriting"/>
              <w:rPr>
                <w:b/>
                <w:i/>
              </w:rPr>
            </w:pPr>
            <w:r w:rsidRPr="00296000">
              <w:rPr>
                <w:b/>
                <w:i/>
              </w:rPr>
              <w:lastRenderedPageBreak/>
              <w:t>Diabetic macular oedema</w:t>
            </w:r>
          </w:p>
          <w:p w:rsidR="001556DB" w:rsidRPr="00296000" w:rsidRDefault="001556DB" w:rsidP="00F75F1A">
            <w:pPr>
              <w:pStyle w:val="Tablewriting"/>
            </w:pPr>
            <w:r w:rsidRPr="0099596D">
              <w:t>Initiated as one injection per month for five consecutive months, then one injection every two months. After the first 12 months, the treatment interval may be adjusted based on visual and/or anatomic outcomes.</w:t>
            </w:r>
          </w:p>
        </w:tc>
      </w:tr>
      <w:tr w:rsidR="001556DB" w:rsidTr="00F75F1A">
        <w:tc>
          <w:tcPr>
            <w:tcW w:w="9173" w:type="dxa"/>
            <w:shd w:val="clear" w:color="auto" w:fill="BFBFBF" w:themeFill="background1" w:themeFillShade="BF"/>
          </w:tcPr>
          <w:p w:rsidR="001556DB" w:rsidRPr="0015385E" w:rsidRDefault="001556DB" w:rsidP="00F75F1A">
            <w:pPr>
              <w:pStyle w:val="Tablewriting"/>
              <w:rPr>
                <w:vertAlign w:val="superscript"/>
              </w:rPr>
            </w:pPr>
            <w:r w:rsidRPr="003A2EA3">
              <w:rPr>
                <w:b/>
              </w:rPr>
              <w:lastRenderedPageBreak/>
              <w:t>Aflibercept (Eylea), Bayer Australia Ltd</w:t>
            </w:r>
            <w:r w:rsidR="0015385E">
              <w:rPr>
                <w:b/>
                <w:vertAlign w:val="superscript"/>
              </w:rPr>
              <w:t>3</w:t>
            </w:r>
          </w:p>
        </w:tc>
      </w:tr>
      <w:tr w:rsidR="001556DB" w:rsidTr="00F75F1A">
        <w:tc>
          <w:tcPr>
            <w:tcW w:w="9173" w:type="dxa"/>
          </w:tcPr>
          <w:p w:rsidR="001556DB" w:rsidRPr="00F82707" w:rsidRDefault="001556DB" w:rsidP="00F75F1A">
            <w:pPr>
              <w:pStyle w:val="Tablewriting"/>
              <w:rPr>
                <w:b/>
                <w:u w:val="single"/>
              </w:rPr>
            </w:pPr>
            <w:r w:rsidRPr="00F82707">
              <w:rPr>
                <w:b/>
                <w:u w:val="single"/>
              </w:rPr>
              <w:t>Dose</w:t>
            </w:r>
          </w:p>
          <w:p w:rsidR="001556DB" w:rsidRDefault="001556DB" w:rsidP="00F75F1A">
            <w:pPr>
              <w:pStyle w:val="Tablewriting"/>
            </w:pPr>
            <w:r w:rsidRPr="001914C2">
              <w:t xml:space="preserve">Recommended dose </w:t>
            </w:r>
            <w:r>
              <w:t>is 2</w:t>
            </w:r>
            <w:r w:rsidRPr="001914C2">
              <w:t xml:space="preserve"> mg given as a single intravitreal injection. </w:t>
            </w:r>
          </w:p>
          <w:p w:rsidR="001556DB" w:rsidRPr="00F82707" w:rsidRDefault="001556DB" w:rsidP="00F75F1A">
            <w:pPr>
              <w:pStyle w:val="Tablewriting"/>
              <w:rPr>
                <w:b/>
                <w:u w:val="single"/>
              </w:rPr>
            </w:pPr>
            <w:r w:rsidRPr="00296000">
              <w:rPr>
                <w:b/>
                <w:u w:val="single"/>
              </w:rPr>
              <w:t>Frequency of administration</w:t>
            </w:r>
          </w:p>
          <w:p w:rsidR="001556DB" w:rsidRDefault="001556DB" w:rsidP="00F75F1A">
            <w:pPr>
              <w:pStyle w:val="Tablewriting"/>
            </w:pPr>
            <w:r w:rsidRPr="001914C2">
              <w:t xml:space="preserve">The interval between two doses injected into the same eye should be </w:t>
            </w:r>
            <w:r>
              <w:t>not be shorter than one month</w:t>
            </w:r>
            <w:r w:rsidRPr="001914C2">
              <w:t>.</w:t>
            </w:r>
          </w:p>
          <w:p w:rsidR="001556DB" w:rsidRPr="00296000" w:rsidRDefault="001556DB" w:rsidP="00F75F1A">
            <w:pPr>
              <w:pStyle w:val="Tablewriting"/>
              <w:rPr>
                <w:b/>
                <w:i/>
              </w:rPr>
            </w:pPr>
            <w:r w:rsidRPr="00296000">
              <w:rPr>
                <w:b/>
                <w:i/>
              </w:rPr>
              <w:t>Neovascular (wet) age-related macular degeneration</w:t>
            </w:r>
          </w:p>
          <w:p w:rsidR="001556DB" w:rsidRDefault="001556DB" w:rsidP="00F75F1A">
            <w:pPr>
              <w:pStyle w:val="Tablewriting"/>
            </w:pPr>
            <w:r>
              <w:t>Initiated with one injection per month for three consecutive months, then one injection every two months. The dosing interval can be extended up to every three months.</w:t>
            </w:r>
          </w:p>
          <w:p w:rsidR="001556DB" w:rsidRPr="00296000" w:rsidRDefault="001556DB" w:rsidP="00F75F1A">
            <w:pPr>
              <w:pStyle w:val="Tablewriting"/>
              <w:rPr>
                <w:b/>
                <w:i/>
              </w:rPr>
            </w:pPr>
            <w:r w:rsidRPr="00296000">
              <w:rPr>
                <w:b/>
                <w:i/>
              </w:rPr>
              <w:t>Central retinal vein occlusion and branch retinal vein occlusion</w:t>
            </w:r>
          </w:p>
          <w:p w:rsidR="001556DB" w:rsidRDefault="001556DB" w:rsidP="00F75F1A">
            <w:pPr>
              <w:pStyle w:val="Tablewriting"/>
            </w:pPr>
            <w:r>
              <w:t>Initiated with one injection per month for three consecutive months. After the first three monthly injections, the treatment interval may be adjusted based on visual and/or anatomic outcomes.</w:t>
            </w:r>
          </w:p>
          <w:p w:rsidR="001556DB" w:rsidRPr="00296000" w:rsidRDefault="001556DB" w:rsidP="00F75F1A">
            <w:pPr>
              <w:pStyle w:val="Tablewriting"/>
              <w:rPr>
                <w:b/>
                <w:i/>
              </w:rPr>
            </w:pPr>
            <w:r w:rsidRPr="00296000">
              <w:rPr>
                <w:b/>
                <w:i/>
              </w:rPr>
              <w:t>Diabetic macular oedema</w:t>
            </w:r>
          </w:p>
          <w:p w:rsidR="001556DB" w:rsidRPr="00296000" w:rsidRDefault="001556DB" w:rsidP="00F75F1A">
            <w:pPr>
              <w:pStyle w:val="Tablewriting"/>
            </w:pPr>
            <w:r>
              <w:t>Initiated with one injection per month for five consecutive months, then one injection every two months. After the first 12 months, the treatment interval may be adjusted based on visual and/or anatomic outcomes.</w:t>
            </w:r>
          </w:p>
        </w:tc>
      </w:tr>
      <w:tr w:rsidR="001556DB" w:rsidTr="00F75F1A">
        <w:tc>
          <w:tcPr>
            <w:tcW w:w="9173" w:type="dxa"/>
            <w:shd w:val="clear" w:color="auto" w:fill="BFBFBF" w:themeFill="background1" w:themeFillShade="BF"/>
          </w:tcPr>
          <w:p w:rsidR="001556DB" w:rsidRPr="00D63B3E" w:rsidRDefault="001556DB" w:rsidP="00F75F1A">
            <w:pPr>
              <w:pStyle w:val="Tablewriting"/>
              <w:rPr>
                <w:b/>
                <w:vertAlign w:val="superscript"/>
              </w:rPr>
            </w:pPr>
            <w:r w:rsidRPr="00D95B29">
              <w:rPr>
                <w:b/>
              </w:rPr>
              <w:t>Dexamethasone</w:t>
            </w:r>
            <w:r>
              <w:rPr>
                <w:b/>
              </w:rPr>
              <w:t xml:space="preserve"> (Ozurdex), Allergan Australia Pty Limited</w:t>
            </w:r>
            <w:r w:rsidR="0015385E">
              <w:rPr>
                <w:b/>
                <w:vertAlign w:val="superscript"/>
              </w:rPr>
              <w:t>4</w:t>
            </w:r>
          </w:p>
        </w:tc>
      </w:tr>
      <w:tr w:rsidR="001556DB" w:rsidTr="00F75F1A">
        <w:tc>
          <w:tcPr>
            <w:tcW w:w="9173" w:type="dxa"/>
          </w:tcPr>
          <w:p w:rsidR="001556DB" w:rsidRPr="00F82707" w:rsidRDefault="001556DB" w:rsidP="00F75F1A">
            <w:pPr>
              <w:pStyle w:val="Tablewriting"/>
              <w:rPr>
                <w:b/>
                <w:u w:val="single"/>
              </w:rPr>
            </w:pPr>
            <w:r w:rsidRPr="00F82707">
              <w:rPr>
                <w:b/>
                <w:u w:val="single"/>
              </w:rPr>
              <w:t>Dose</w:t>
            </w:r>
          </w:p>
          <w:p w:rsidR="001556DB" w:rsidRDefault="001556DB" w:rsidP="00F75F1A">
            <w:pPr>
              <w:pStyle w:val="Tablewriting"/>
            </w:pPr>
            <w:r>
              <w:t>Recommended dose is 700 micrograms per eye. This is the entire contents of the single use Ozdurex device.</w:t>
            </w:r>
          </w:p>
          <w:p w:rsidR="001556DB" w:rsidRPr="00F82707" w:rsidRDefault="001556DB" w:rsidP="00F75F1A">
            <w:pPr>
              <w:pStyle w:val="Tablewriting"/>
              <w:rPr>
                <w:b/>
                <w:u w:val="single"/>
              </w:rPr>
            </w:pPr>
            <w:r w:rsidRPr="00296000">
              <w:rPr>
                <w:b/>
                <w:u w:val="single"/>
              </w:rPr>
              <w:t>Frequency of administration</w:t>
            </w:r>
          </w:p>
          <w:p w:rsidR="001556DB" w:rsidRDefault="001556DB" w:rsidP="00F75F1A">
            <w:pPr>
              <w:pStyle w:val="Tablewriting"/>
            </w:pPr>
            <w:r>
              <w:t>Administration in both eyes on the same day is not recommended.</w:t>
            </w:r>
          </w:p>
          <w:p w:rsidR="001556DB" w:rsidRPr="00296000" w:rsidRDefault="001556DB" w:rsidP="00F75F1A">
            <w:pPr>
              <w:pStyle w:val="Tablewriting"/>
              <w:rPr>
                <w:b/>
                <w:i/>
              </w:rPr>
            </w:pPr>
            <w:r w:rsidRPr="00296000">
              <w:rPr>
                <w:b/>
                <w:i/>
              </w:rPr>
              <w:t>Diabetic macular oedema</w:t>
            </w:r>
          </w:p>
          <w:p w:rsidR="001556DB" w:rsidRPr="00296000" w:rsidRDefault="001556DB" w:rsidP="00F75F1A">
            <w:pPr>
              <w:pStyle w:val="Tablewriting"/>
            </w:pPr>
            <w:r>
              <w:t>A six monthly dosing interval was used in in the pivotal clinical trials. In clinical trials, most retreatments were administered between 5 and 7 months after a prior treatment. There is no experience of the efficacy and safety of repeat administrations beyond 7 implants.</w:t>
            </w:r>
          </w:p>
        </w:tc>
      </w:tr>
    </w:tbl>
    <w:p w:rsidR="0015385E" w:rsidRDefault="003F714C" w:rsidP="009A658A">
      <w:pPr>
        <w:pStyle w:val="Notes"/>
        <w:spacing w:after="0"/>
      </w:pPr>
      <w:r>
        <w:t xml:space="preserve">Source: </w:t>
      </w:r>
    </w:p>
    <w:p w:rsidR="0015385E" w:rsidRDefault="0015385E" w:rsidP="009A658A">
      <w:pPr>
        <w:pStyle w:val="Notes"/>
        <w:spacing w:after="0"/>
      </w:pPr>
      <w:r>
        <w:rPr>
          <w:vertAlign w:val="superscript"/>
        </w:rPr>
        <w:t xml:space="preserve">1 </w:t>
      </w:r>
      <w:r w:rsidR="003F714C">
        <w:t xml:space="preserve">Lucentis (ranibizumab) Australian approved product information. North Ryde: Novartis Pharmaceuticals Australia Pty Limited. Approved 27 February 2007, last updated </w:t>
      </w:r>
      <w:r w:rsidR="00A253BF">
        <w:t>22 August 2017</w:t>
      </w:r>
      <w:r w:rsidR="009A658A">
        <w:t>.</w:t>
      </w:r>
    </w:p>
    <w:p w:rsidR="003F714C" w:rsidRPr="001F2E26" w:rsidRDefault="0015385E" w:rsidP="003F714C">
      <w:pPr>
        <w:pStyle w:val="Notes"/>
      </w:pPr>
      <w:r>
        <w:rPr>
          <w:vertAlign w:val="superscript"/>
        </w:rPr>
        <w:t>2</w:t>
      </w:r>
      <w:r>
        <w:t xml:space="preserve"> </w:t>
      </w:r>
      <w:r w:rsidR="004F69B7">
        <w:t xml:space="preserve">At the time of first listing, </w:t>
      </w:r>
      <w:r w:rsidR="00111AC2">
        <w:t>the Product Information</w:t>
      </w:r>
      <w:r w:rsidR="004F69B7">
        <w:t xml:space="preserve"> recommended that ranibizumab be given as a monthly injection.</w:t>
      </w:r>
      <w:r w:rsidR="00A6181F">
        <w:t xml:space="preserve"> Former versions of the</w:t>
      </w:r>
      <w:r w:rsidR="004F69B7">
        <w:t xml:space="preserve"> Product Information noted that after the first three injections, the frequency of injections could be reduced to one injection every 3 months if monthly injections were not feasible. </w:t>
      </w:r>
      <w:r w:rsidR="003F714C">
        <w:br/>
      </w:r>
      <w:r>
        <w:rPr>
          <w:vertAlign w:val="superscript"/>
        </w:rPr>
        <w:t xml:space="preserve">3 </w:t>
      </w:r>
      <w:r w:rsidR="003F714C">
        <w:t xml:space="preserve">Eylea (aflibercept) Australian approved product information. </w:t>
      </w:r>
      <w:r w:rsidR="003F714C" w:rsidRPr="00E53CC2">
        <w:t>Pymble</w:t>
      </w:r>
      <w:r w:rsidR="003F714C">
        <w:t xml:space="preserve">: </w:t>
      </w:r>
      <w:r w:rsidR="003F714C" w:rsidRPr="00E53CC2">
        <w:t>Bayer Australia Ltd</w:t>
      </w:r>
      <w:r w:rsidR="003F714C">
        <w:t xml:space="preserve">. Approved </w:t>
      </w:r>
      <w:r w:rsidR="003F714C" w:rsidRPr="00E53CC2">
        <w:t>7 March 2012</w:t>
      </w:r>
      <w:r w:rsidR="003F714C">
        <w:t xml:space="preserve">, last updated </w:t>
      </w:r>
      <w:r w:rsidR="00A253BF">
        <w:t>13 July 2016</w:t>
      </w:r>
      <w:r>
        <w:t>.</w:t>
      </w:r>
      <w:r w:rsidR="00C20A10">
        <w:br/>
      </w:r>
      <w:r>
        <w:rPr>
          <w:vertAlign w:val="superscript"/>
        </w:rPr>
        <w:t xml:space="preserve">4 </w:t>
      </w:r>
      <w:r w:rsidR="00C20A10" w:rsidRPr="00C20A10">
        <w:t>Ozurdex® (dexamethasone implant), Australian Approved Product Information. Gordon NSW: Allergan Australia Pty Ltd. Approved 4 June 2015, updated 6 June 2017.</w:t>
      </w:r>
    </w:p>
    <w:p w:rsidR="00F17D4B" w:rsidRPr="002F61CA" w:rsidRDefault="00F17D4B" w:rsidP="00F17D4B">
      <w:r w:rsidRPr="002F61CA">
        <w:t xml:space="preserve">The current Product Information (PI) and Consumer Medicine Information (CMI) are available from </w:t>
      </w:r>
      <w:r w:rsidRPr="005E775B">
        <w:t>the TGA (Product Information)</w:t>
      </w:r>
      <w:r>
        <w:t xml:space="preserve"> and </w:t>
      </w:r>
      <w:r w:rsidRPr="005E775B">
        <w:t>the TGA (Consumer Medicines Information)</w:t>
      </w:r>
      <w:r>
        <w:t>.</w:t>
      </w:r>
    </w:p>
    <w:p w:rsidR="00403745" w:rsidRDefault="00403745">
      <w:pPr>
        <w:spacing w:line="276" w:lineRule="auto"/>
        <w:rPr>
          <w:b/>
          <w:sz w:val="28"/>
        </w:rPr>
      </w:pPr>
      <w:r>
        <w:br w:type="page"/>
      </w:r>
    </w:p>
    <w:p w:rsidR="00DF0B13" w:rsidRPr="007247B9" w:rsidDel="00EE2BBB" w:rsidRDefault="00DF0B13" w:rsidP="00CF5E22">
      <w:pPr>
        <w:pStyle w:val="Heading2"/>
      </w:pPr>
      <w:bookmarkStart w:id="16" w:name="_Toc513038016"/>
      <w:r w:rsidRPr="007247B9" w:rsidDel="00EE2BBB">
        <w:lastRenderedPageBreak/>
        <w:t>PBS listing details</w:t>
      </w:r>
      <w:r w:rsidR="00D151EB" w:rsidDel="00EE2BBB">
        <w:t xml:space="preserve"> (as at </w:t>
      </w:r>
      <w:r w:rsidR="003F714C">
        <w:t xml:space="preserve">1 </w:t>
      </w:r>
      <w:r w:rsidR="00647520">
        <w:t>February 2018</w:t>
      </w:r>
      <w:r w:rsidR="003F714C">
        <w:t>)</w:t>
      </w:r>
      <w:bookmarkEnd w:id="16"/>
    </w:p>
    <w:p w:rsidR="003F714C" w:rsidRPr="00E01E0B" w:rsidRDefault="003F714C" w:rsidP="003F714C">
      <w:pPr>
        <w:pStyle w:val="Tabletitle"/>
      </w:pPr>
      <w:r w:rsidRPr="00E01E0B">
        <w:t xml:space="preserve">Table </w:t>
      </w:r>
      <w:r>
        <w:t>3</w:t>
      </w:r>
      <w:r w:rsidRPr="00E01E0B">
        <w:t xml:space="preserve">: PBS listing of </w:t>
      </w:r>
      <w:r>
        <w:t>ranibizumab</w:t>
      </w:r>
    </w:p>
    <w:tbl>
      <w:tblPr>
        <w:tblStyle w:val="TableGrid"/>
        <w:tblW w:w="9180" w:type="dxa"/>
        <w:tblLayout w:type="fixed"/>
        <w:tblLook w:val="04A0" w:firstRow="1" w:lastRow="0" w:firstColumn="1" w:lastColumn="0" w:noHBand="0" w:noVBand="1"/>
        <w:tblCaption w:val="PBS listing of ranibizumab"/>
        <w:tblDescription w:val="Ranibizumab is available as a 2.3 mg of ranibizumab in 0.23 mL solution for intravitreal injection, and a pre-filled syringe containing 1.65 mg of ranibizuamb in 0.165mL solution"/>
      </w:tblPr>
      <w:tblGrid>
        <w:gridCol w:w="969"/>
        <w:gridCol w:w="2400"/>
        <w:gridCol w:w="1134"/>
        <w:gridCol w:w="850"/>
        <w:gridCol w:w="851"/>
        <w:gridCol w:w="1275"/>
        <w:gridCol w:w="1701"/>
      </w:tblGrid>
      <w:tr w:rsidR="007E5DDB" w:rsidRPr="0069151D" w:rsidTr="003E7E26">
        <w:trPr>
          <w:cantSplit/>
          <w:trHeight w:val="694"/>
          <w:tblHeader/>
        </w:trPr>
        <w:tc>
          <w:tcPr>
            <w:tcW w:w="969" w:type="dxa"/>
            <w:shd w:val="clear" w:color="auto" w:fill="BFBFBF" w:themeFill="background1" w:themeFillShade="BF"/>
          </w:tcPr>
          <w:p w:rsidR="007E5DDB" w:rsidRPr="0069151D" w:rsidRDefault="007E5DDB" w:rsidP="00BA5241">
            <w:pPr>
              <w:pStyle w:val="Tableheading"/>
              <w:rPr>
                <w:sz w:val="20"/>
                <w:szCs w:val="20"/>
              </w:rPr>
            </w:pPr>
            <w:r w:rsidRPr="0069151D">
              <w:rPr>
                <w:sz w:val="20"/>
                <w:szCs w:val="20"/>
              </w:rPr>
              <w:t>Item</w:t>
            </w:r>
          </w:p>
        </w:tc>
        <w:tc>
          <w:tcPr>
            <w:tcW w:w="2400" w:type="dxa"/>
            <w:shd w:val="clear" w:color="auto" w:fill="BFBFBF" w:themeFill="background1" w:themeFillShade="BF"/>
          </w:tcPr>
          <w:p w:rsidR="007E5DDB" w:rsidRPr="0069151D" w:rsidRDefault="007E5DDB" w:rsidP="00BA5241">
            <w:pPr>
              <w:pStyle w:val="Tableheading"/>
              <w:rPr>
                <w:sz w:val="20"/>
                <w:szCs w:val="20"/>
              </w:rPr>
            </w:pPr>
            <w:r w:rsidRPr="0069151D">
              <w:rPr>
                <w:sz w:val="20"/>
                <w:szCs w:val="20"/>
              </w:rPr>
              <w:t>Name, form &amp; strength, pack size</w:t>
            </w:r>
          </w:p>
        </w:tc>
        <w:tc>
          <w:tcPr>
            <w:tcW w:w="1134" w:type="dxa"/>
            <w:shd w:val="clear" w:color="auto" w:fill="BFBFBF" w:themeFill="background1" w:themeFillShade="BF"/>
          </w:tcPr>
          <w:p w:rsidR="007E5DDB" w:rsidRPr="0069151D" w:rsidRDefault="003E7E26" w:rsidP="00BA5241">
            <w:pPr>
              <w:pStyle w:val="Tableheading"/>
              <w:rPr>
                <w:sz w:val="20"/>
                <w:szCs w:val="20"/>
              </w:rPr>
            </w:pPr>
            <w:r>
              <w:rPr>
                <w:sz w:val="20"/>
                <w:szCs w:val="20"/>
              </w:rPr>
              <w:t>Indications</w:t>
            </w:r>
          </w:p>
        </w:tc>
        <w:tc>
          <w:tcPr>
            <w:tcW w:w="850" w:type="dxa"/>
            <w:shd w:val="clear" w:color="auto" w:fill="BFBFBF" w:themeFill="background1" w:themeFillShade="BF"/>
          </w:tcPr>
          <w:p w:rsidR="007E5DDB" w:rsidRPr="0069151D" w:rsidRDefault="007E5DDB" w:rsidP="00BA5241">
            <w:pPr>
              <w:pStyle w:val="Tableheading"/>
              <w:rPr>
                <w:sz w:val="20"/>
                <w:szCs w:val="20"/>
              </w:rPr>
            </w:pPr>
            <w:r w:rsidRPr="0069151D">
              <w:rPr>
                <w:sz w:val="20"/>
                <w:szCs w:val="20"/>
              </w:rPr>
              <w:t xml:space="preserve">Max. quant. </w:t>
            </w:r>
          </w:p>
        </w:tc>
        <w:tc>
          <w:tcPr>
            <w:tcW w:w="851" w:type="dxa"/>
            <w:shd w:val="clear" w:color="auto" w:fill="BFBFBF" w:themeFill="background1" w:themeFillShade="BF"/>
          </w:tcPr>
          <w:p w:rsidR="007E5DDB" w:rsidRPr="0069151D" w:rsidRDefault="007E5DDB" w:rsidP="00BA5241">
            <w:pPr>
              <w:pStyle w:val="Tableheading"/>
              <w:rPr>
                <w:sz w:val="20"/>
                <w:szCs w:val="20"/>
              </w:rPr>
            </w:pPr>
            <w:r w:rsidRPr="0069151D">
              <w:rPr>
                <w:sz w:val="20"/>
                <w:szCs w:val="20"/>
              </w:rPr>
              <w:t xml:space="preserve">Rpts </w:t>
            </w:r>
          </w:p>
        </w:tc>
        <w:tc>
          <w:tcPr>
            <w:tcW w:w="1275" w:type="dxa"/>
            <w:shd w:val="clear" w:color="auto" w:fill="BFBFBF" w:themeFill="background1" w:themeFillShade="BF"/>
          </w:tcPr>
          <w:p w:rsidR="007E5DDB" w:rsidRPr="0069151D" w:rsidRDefault="007E5DDB" w:rsidP="00BA5241">
            <w:pPr>
              <w:pStyle w:val="Tableheading"/>
              <w:rPr>
                <w:sz w:val="20"/>
                <w:szCs w:val="20"/>
              </w:rPr>
            </w:pPr>
            <w:r w:rsidRPr="0069151D">
              <w:rPr>
                <w:sz w:val="20"/>
                <w:szCs w:val="20"/>
              </w:rPr>
              <w:t>DPMQ</w:t>
            </w:r>
          </w:p>
        </w:tc>
        <w:tc>
          <w:tcPr>
            <w:tcW w:w="1701" w:type="dxa"/>
            <w:shd w:val="clear" w:color="auto" w:fill="BFBFBF" w:themeFill="background1" w:themeFillShade="BF"/>
          </w:tcPr>
          <w:p w:rsidR="007E5DDB" w:rsidRPr="0069151D" w:rsidRDefault="007E5DDB" w:rsidP="00BA5241">
            <w:pPr>
              <w:pStyle w:val="Tableheading"/>
              <w:rPr>
                <w:sz w:val="20"/>
                <w:szCs w:val="20"/>
              </w:rPr>
            </w:pPr>
            <w:r w:rsidRPr="0069151D">
              <w:rPr>
                <w:sz w:val="20"/>
                <w:szCs w:val="20"/>
              </w:rPr>
              <w:t>Brand name and manufacturer</w:t>
            </w:r>
          </w:p>
        </w:tc>
      </w:tr>
      <w:tr w:rsidR="007E5DDB" w:rsidRPr="00E01E0B" w:rsidTr="003E7E26">
        <w:trPr>
          <w:cantSplit/>
          <w:trHeight w:val="552"/>
          <w:tblHeader/>
        </w:trPr>
        <w:tc>
          <w:tcPr>
            <w:tcW w:w="969" w:type="dxa"/>
            <w:shd w:val="clear" w:color="auto" w:fill="auto"/>
          </w:tcPr>
          <w:p w:rsidR="007E5DDB" w:rsidRPr="00E01E0B" w:rsidRDefault="007E5DDB" w:rsidP="00BA5241">
            <w:pPr>
              <w:pStyle w:val="Tablewriting"/>
            </w:pPr>
            <w:r w:rsidRPr="002A570C">
              <w:t>1382R</w:t>
            </w:r>
          </w:p>
        </w:tc>
        <w:tc>
          <w:tcPr>
            <w:tcW w:w="2400" w:type="dxa"/>
            <w:shd w:val="clear" w:color="auto" w:fill="auto"/>
          </w:tcPr>
          <w:p w:rsidR="007E5DDB" w:rsidRPr="00E01E0B" w:rsidRDefault="007E5DDB" w:rsidP="00BA5241">
            <w:pPr>
              <w:pStyle w:val="Tablewriting"/>
            </w:pPr>
            <w:r w:rsidRPr="002A570C">
              <w:t>ranibizumab 2.3 mg/0.23 mL injection, 1 x 0.23 mL vial</w:t>
            </w:r>
          </w:p>
        </w:tc>
        <w:tc>
          <w:tcPr>
            <w:tcW w:w="1134" w:type="dxa"/>
          </w:tcPr>
          <w:p w:rsidR="007E5DDB" w:rsidRDefault="003E7E26" w:rsidP="00BA5241">
            <w:pPr>
              <w:pStyle w:val="Tablewriting"/>
              <w:jc w:val="center"/>
            </w:pPr>
            <w:r>
              <w:t>AMD BRVO CRVO</w:t>
            </w:r>
          </w:p>
        </w:tc>
        <w:tc>
          <w:tcPr>
            <w:tcW w:w="850" w:type="dxa"/>
            <w:shd w:val="clear" w:color="auto" w:fill="auto"/>
          </w:tcPr>
          <w:p w:rsidR="007E5DDB" w:rsidRPr="00E01E0B" w:rsidRDefault="007E5DDB" w:rsidP="00BA5241">
            <w:pPr>
              <w:pStyle w:val="Tablewriting"/>
              <w:jc w:val="center"/>
            </w:pPr>
            <w:r>
              <w:t>1</w:t>
            </w:r>
          </w:p>
        </w:tc>
        <w:tc>
          <w:tcPr>
            <w:tcW w:w="851" w:type="dxa"/>
            <w:shd w:val="clear" w:color="auto" w:fill="auto"/>
          </w:tcPr>
          <w:p w:rsidR="007E5DDB" w:rsidRPr="00E01E0B" w:rsidRDefault="007E5DDB" w:rsidP="00BA5241">
            <w:pPr>
              <w:pStyle w:val="Tablewriting"/>
              <w:jc w:val="center"/>
            </w:pPr>
            <w:r>
              <w:t>2</w:t>
            </w:r>
          </w:p>
        </w:tc>
        <w:tc>
          <w:tcPr>
            <w:tcW w:w="1275" w:type="dxa"/>
            <w:shd w:val="clear" w:color="auto" w:fill="auto"/>
          </w:tcPr>
          <w:p w:rsidR="007E5DDB" w:rsidRPr="00E01E0B" w:rsidRDefault="007E5DDB" w:rsidP="00BA5241">
            <w:pPr>
              <w:pStyle w:val="Tablewriting"/>
            </w:pPr>
            <w:r w:rsidRPr="002A570C">
              <w:t>$</w:t>
            </w:r>
            <w:r w:rsidRPr="00A92076">
              <w:t>1149.44</w:t>
            </w:r>
            <w:r>
              <w:t>*</w:t>
            </w:r>
          </w:p>
        </w:tc>
        <w:tc>
          <w:tcPr>
            <w:tcW w:w="1701" w:type="dxa"/>
            <w:vMerge w:val="restart"/>
            <w:shd w:val="clear" w:color="auto" w:fill="auto"/>
            <w:vAlign w:val="center"/>
          </w:tcPr>
          <w:p w:rsidR="007E5DDB" w:rsidRDefault="007E5DDB" w:rsidP="00A92076">
            <w:pPr>
              <w:pStyle w:val="Tablewriting"/>
            </w:pPr>
            <w:r w:rsidRPr="002A570C">
              <w:t>Lucentis</w:t>
            </w:r>
          </w:p>
          <w:p w:rsidR="007E5DDB" w:rsidRPr="00E01E0B" w:rsidRDefault="007E5DDB" w:rsidP="00A92076">
            <w:pPr>
              <w:pStyle w:val="Tablewriting"/>
            </w:pPr>
            <w:r w:rsidRPr="002A570C">
              <w:t>Novartis Pharmaceuticals Australia Pty Limited</w:t>
            </w:r>
          </w:p>
        </w:tc>
      </w:tr>
      <w:tr w:rsidR="007E5DDB" w:rsidRPr="00E01E0B" w:rsidTr="003E7E26">
        <w:trPr>
          <w:cantSplit/>
          <w:trHeight w:val="552"/>
          <w:tblHeader/>
        </w:trPr>
        <w:tc>
          <w:tcPr>
            <w:tcW w:w="969" w:type="dxa"/>
            <w:shd w:val="clear" w:color="auto" w:fill="auto"/>
          </w:tcPr>
          <w:p w:rsidR="007E5DDB" w:rsidRPr="002A570C" w:rsidRDefault="007E5DDB" w:rsidP="00BA5241">
            <w:pPr>
              <w:pStyle w:val="Tablewriting"/>
            </w:pPr>
            <w:r>
              <w:t>10138N</w:t>
            </w:r>
          </w:p>
        </w:tc>
        <w:tc>
          <w:tcPr>
            <w:tcW w:w="2400" w:type="dxa"/>
            <w:shd w:val="clear" w:color="auto" w:fill="auto"/>
          </w:tcPr>
          <w:p w:rsidR="007E5DDB" w:rsidRPr="002A570C" w:rsidRDefault="007E5DDB" w:rsidP="00BA5241">
            <w:pPr>
              <w:pStyle w:val="Tablewriting"/>
            </w:pPr>
            <w:r w:rsidRPr="00E51BEC">
              <w:t>ranibizumab 1.65 mg/0.165 mL injection, 1 x 0.165 mL syringe</w:t>
            </w:r>
          </w:p>
        </w:tc>
        <w:tc>
          <w:tcPr>
            <w:tcW w:w="1134" w:type="dxa"/>
          </w:tcPr>
          <w:p w:rsidR="007E5DDB" w:rsidRDefault="003E7E26" w:rsidP="003E7E26">
            <w:pPr>
              <w:pStyle w:val="Tablewriting"/>
              <w:jc w:val="center"/>
            </w:pPr>
            <w:r>
              <w:t>AMD BRVO CRVO</w:t>
            </w:r>
          </w:p>
        </w:tc>
        <w:tc>
          <w:tcPr>
            <w:tcW w:w="850" w:type="dxa"/>
            <w:shd w:val="clear" w:color="auto" w:fill="auto"/>
          </w:tcPr>
          <w:p w:rsidR="007E5DDB" w:rsidRDefault="007E5DDB" w:rsidP="00BA5241">
            <w:pPr>
              <w:pStyle w:val="Tablewriting"/>
              <w:jc w:val="center"/>
            </w:pPr>
            <w:r>
              <w:t>1</w:t>
            </w:r>
          </w:p>
        </w:tc>
        <w:tc>
          <w:tcPr>
            <w:tcW w:w="851" w:type="dxa"/>
            <w:shd w:val="clear" w:color="auto" w:fill="auto"/>
          </w:tcPr>
          <w:p w:rsidR="007E5DDB" w:rsidRDefault="007E5DDB" w:rsidP="00BA5241">
            <w:pPr>
              <w:pStyle w:val="Tablewriting"/>
              <w:jc w:val="center"/>
            </w:pPr>
            <w:r>
              <w:t>2</w:t>
            </w:r>
          </w:p>
        </w:tc>
        <w:tc>
          <w:tcPr>
            <w:tcW w:w="1275" w:type="dxa"/>
            <w:shd w:val="clear" w:color="auto" w:fill="auto"/>
          </w:tcPr>
          <w:p w:rsidR="007E5DDB" w:rsidRPr="002A570C" w:rsidRDefault="007E5DDB" w:rsidP="00BA5241">
            <w:pPr>
              <w:pStyle w:val="Tablewriting"/>
            </w:pPr>
            <w:r w:rsidRPr="002A570C">
              <w:t>$</w:t>
            </w:r>
            <w:r w:rsidRPr="00A92076">
              <w:t>1149.44</w:t>
            </w:r>
            <w:r>
              <w:t>*</w:t>
            </w:r>
          </w:p>
        </w:tc>
        <w:tc>
          <w:tcPr>
            <w:tcW w:w="1701" w:type="dxa"/>
            <w:vMerge/>
            <w:shd w:val="clear" w:color="auto" w:fill="auto"/>
          </w:tcPr>
          <w:p w:rsidR="007E5DDB" w:rsidRPr="002A570C" w:rsidRDefault="007E5DDB" w:rsidP="00BA5241">
            <w:pPr>
              <w:pStyle w:val="Tablewriting"/>
            </w:pPr>
          </w:p>
        </w:tc>
      </w:tr>
      <w:tr w:rsidR="007E5DDB" w:rsidRPr="00E01E0B" w:rsidTr="003E7E26">
        <w:trPr>
          <w:cantSplit/>
          <w:trHeight w:val="552"/>
          <w:tblHeader/>
        </w:trPr>
        <w:tc>
          <w:tcPr>
            <w:tcW w:w="969" w:type="dxa"/>
            <w:shd w:val="clear" w:color="auto" w:fill="auto"/>
          </w:tcPr>
          <w:p w:rsidR="007E5DDB" w:rsidRDefault="007E5DDB" w:rsidP="00BA5241">
            <w:pPr>
              <w:pStyle w:val="Tablewriting"/>
            </w:pPr>
            <w:r w:rsidRPr="00A92076">
              <w:t>10374B</w:t>
            </w:r>
          </w:p>
        </w:tc>
        <w:tc>
          <w:tcPr>
            <w:tcW w:w="2400" w:type="dxa"/>
            <w:shd w:val="clear" w:color="auto" w:fill="auto"/>
          </w:tcPr>
          <w:p w:rsidR="007E5DDB" w:rsidRPr="00E51BEC" w:rsidRDefault="007E5DDB" w:rsidP="00BA5241">
            <w:pPr>
              <w:pStyle w:val="Tablewriting"/>
            </w:pPr>
            <w:r w:rsidRPr="00E51BEC">
              <w:t>ranibizumab 1.65 mg/0.165 mL injection, 1 x 0.165 mL syringe</w:t>
            </w:r>
          </w:p>
        </w:tc>
        <w:tc>
          <w:tcPr>
            <w:tcW w:w="1134" w:type="dxa"/>
          </w:tcPr>
          <w:p w:rsidR="007E5DDB" w:rsidRDefault="003E7E26" w:rsidP="00BA5241">
            <w:pPr>
              <w:pStyle w:val="Tablewriting"/>
              <w:jc w:val="center"/>
            </w:pPr>
            <w:r>
              <w:t>DMO</w:t>
            </w:r>
          </w:p>
        </w:tc>
        <w:tc>
          <w:tcPr>
            <w:tcW w:w="850" w:type="dxa"/>
            <w:shd w:val="clear" w:color="auto" w:fill="auto"/>
          </w:tcPr>
          <w:p w:rsidR="007E5DDB" w:rsidRDefault="007E5DDB" w:rsidP="00BA5241">
            <w:pPr>
              <w:pStyle w:val="Tablewriting"/>
              <w:jc w:val="center"/>
            </w:pPr>
            <w:r>
              <w:t>1</w:t>
            </w:r>
          </w:p>
        </w:tc>
        <w:tc>
          <w:tcPr>
            <w:tcW w:w="851" w:type="dxa"/>
            <w:shd w:val="clear" w:color="auto" w:fill="auto"/>
          </w:tcPr>
          <w:p w:rsidR="007E5DDB" w:rsidRDefault="007E5DDB" w:rsidP="00BA5241">
            <w:pPr>
              <w:pStyle w:val="Tablewriting"/>
              <w:jc w:val="center"/>
            </w:pPr>
            <w:r>
              <w:t>5</w:t>
            </w:r>
          </w:p>
        </w:tc>
        <w:tc>
          <w:tcPr>
            <w:tcW w:w="1275" w:type="dxa"/>
            <w:shd w:val="clear" w:color="auto" w:fill="auto"/>
          </w:tcPr>
          <w:p w:rsidR="007E5DDB" w:rsidRPr="00E51BEC" w:rsidRDefault="007E5DDB" w:rsidP="00BA5241">
            <w:pPr>
              <w:pStyle w:val="Tablewriting"/>
            </w:pPr>
            <w:r w:rsidRPr="002A570C">
              <w:t>$</w:t>
            </w:r>
            <w:r w:rsidRPr="00A92076">
              <w:t>1149.44</w:t>
            </w:r>
            <w:r>
              <w:t>*</w:t>
            </w:r>
          </w:p>
        </w:tc>
        <w:tc>
          <w:tcPr>
            <w:tcW w:w="1701" w:type="dxa"/>
            <w:vMerge/>
            <w:shd w:val="clear" w:color="auto" w:fill="auto"/>
          </w:tcPr>
          <w:p w:rsidR="007E5DDB" w:rsidRPr="002A570C" w:rsidRDefault="007E5DDB" w:rsidP="00BA5241">
            <w:pPr>
              <w:pStyle w:val="Tablewriting"/>
            </w:pPr>
          </w:p>
        </w:tc>
      </w:tr>
      <w:tr w:rsidR="007E5DDB" w:rsidRPr="00E01E0B" w:rsidTr="003E7E26">
        <w:trPr>
          <w:cantSplit/>
          <w:trHeight w:val="552"/>
          <w:tblHeader/>
        </w:trPr>
        <w:tc>
          <w:tcPr>
            <w:tcW w:w="969" w:type="dxa"/>
            <w:shd w:val="clear" w:color="auto" w:fill="auto"/>
          </w:tcPr>
          <w:p w:rsidR="007E5DDB" w:rsidRDefault="007E5DDB" w:rsidP="00BA5241">
            <w:pPr>
              <w:pStyle w:val="Tablewriting"/>
            </w:pPr>
            <w:r w:rsidRPr="00A92076">
              <w:t>10373Y</w:t>
            </w:r>
          </w:p>
        </w:tc>
        <w:tc>
          <w:tcPr>
            <w:tcW w:w="2400" w:type="dxa"/>
            <w:shd w:val="clear" w:color="auto" w:fill="auto"/>
          </w:tcPr>
          <w:p w:rsidR="007E5DDB" w:rsidRPr="00E51BEC" w:rsidRDefault="007E5DDB" w:rsidP="00BA5241">
            <w:pPr>
              <w:pStyle w:val="Tablewriting"/>
            </w:pPr>
            <w:r w:rsidRPr="002A570C">
              <w:t>ranibizumab 2.3 mg/0.23 mL injection, 1 x 0.23 mL vial</w:t>
            </w:r>
          </w:p>
        </w:tc>
        <w:tc>
          <w:tcPr>
            <w:tcW w:w="1134" w:type="dxa"/>
          </w:tcPr>
          <w:p w:rsidR="007E5DDB" w:rsidRDefault="003E7E26" w:rsidP="00BA5241">
            <w:pPr>
              <w:pStyle w:val="Tablewriting"/>
              <w:jc w:val="center"/>
            </w:pPr>
            <w:r>
              <w:t>DMO</w:t>
            </w:r>
          </w:p>
        </w:tc>
        <w:tc>
          <w:tcPr>
            <w:tcW w:w="850" w:type="dxa"/>
            <w:shd w:val="clear" w:color="auto" w:fill="auto"/>
          </w:tcPr>
          <w:p w:rsidR="007E5DDB" w:rsidRDefault="007E5DDB" w:rsidP="00BA5241">
            <w:pPr>
              <w:pStyle w:val="Tablewriting"/>
              <w:jc w:val="center"/>
            </w:pPr>
            <w:r>
              <w:t>1</w:t>
            </w:r>
          </w:p>
        </w:tc>
        <w:tc>
          <w:tcPr>
            <w:tcW w:w="851" w:type="dxa"/>
            <w:shd w:val="clear" w:color="auto" w:fill="auto"/>
          </w:tcPr>
          <w:p w:rsidR="007E5DDB" w:rsidRDefault="007E5DDB" w:rsidP="00BA5241">
            <w:pPr>
              <w:pStyle w:val="Tablewriting"/>
              <w:jc w:val="center"/>
            </w:pPr>
            <w:r>
              <w:t>5</w:t>
            </w:r>
          </w:p>
        </w:tc>
        <w:tc>
          <w:tcPr>
            <w:tcW w:w="1275" w:type="dxa"/>
            <w:shd w:val="clear" w:color="auto" w:fill="auto"/>
          </w:tcPr>
          <w:p w:rsidR="007E5DDB" w:rsidRPr="00E51BEC" w:rsidRDefault="007E5DDB" w:rsidP="00BA5241">
            <w:pPr>
              <w:pStyle w:val="Tablewriting"/>
            </w:pPr>
            <w:r w:rsidRPr="002A570C">
              <w:t>$</w:t>
            </w:r>
            <w:r w:rsidRPr="00A92076">
              <w:t>1149.44</w:t>
            </w:r>
            <w:r>
              <w:t>*</w:t>
            </w:r>
          </w:p>
        </w:tc>
        <w:tc>
          <w:tcPr>
            <w:tcW w:w="1701" w:type="dxa"/>
            <w:vMerge/>
            <w:shd w:val="clear" w:color="auto" w:fill="auto"/>
          </w:tcPr>
          <w:p w:rsidR="007E5DDB" w:rsidRPr="002A570C" w:rsidRDefault="007E5DDB" w:rsidP="00BA5241">
            <w:pPr>
              <w:pStyle w:val="Tablewriting"/>
            </w:pPr>
          </w:p>
        </w:tc>
      </w:tr>
    </w:tbl>
    <w:p w:rsidR="003F714C" w:rsidRPr="00E01E0B" w:rsidRDefault="003F714C" w:rsidP="003F714C">
      <w:pPr>
        <w:pStyle w:val="Notes"/>
      </w:pPr>
      <w:r w:rsidRPr="00B81846">
        <w:t>*special pricing arrangement applies</w:t>
      </w:r>
      <w:r w:rsidRPr="00B81846">
        <w:br/>
      </w:r>
      <w:r w:rsidRPr="001E23C5">
        <w:t>Source: http://www.pbs.gov.au/medicine/item/10138N-1382R</w:t>
      </w:r>
    </w:p>
    <w:p w:rsidR="003F714C" w:rsidRPr="001420B3" w:rsidRDefault="003F714C" w:rsidP="003F714C">
      <w:pPr>
        <w:pStyle w:val="Tabletitle"/>
      </w:pPr>
      <w:r w:rsidRPr="00E01E0B">
        <w:t xml:space="preserve">Table </w:t>
      </w:r>
      <w:r>
        <w:t>4</w:t>
      </w:r>
      <w:r w:rsidRPr="00E01E0B">
        <w:t xml:space="preserve">: PBS listing of </w:t>
      </w:r>
      <w:r>
        <w:t>aflibercept</w:t>
      </w:r>
    </w:p>
    <w:tbl>
      <w:tblPr>
        <w:tblStyle w:val="TableGrid"/>
        <w:tblW w:w="9180" w:type="dxa"/>
        <w:tblLayout w:type="fixed"/>
        <w:tblLook w:val="04A0" w:firstRow="1" w:lastRow="0" w:firstColumn="1" w:lastColumn="0" w:noHBand="0" w:noVBand="1"/>
        <w:tblCaption w:val="PBS listing of aflibercept"/>
        <w:tblDescription w:val="aflibercept is available as a vial containing 4 mg of aflibercept in 0.1 mL"/>
      </w:tblPr>
      <w:tblGrid>
        <w:gridCol w:w="969"/>
        <w:gridCol w:w="2400"/>
        <w:gridCol w:w="1134"/>
        <w:gridCol w:w="850"/>
        <w:gridCol w:w="851"/>
        <w:gridCol w:w="1275"/>
        <w:gridCol w:w="1701"/>
      </w:tblGrid>
      <w:tr w:rsidR="003E7E26" w:rsidRPr="0069151D" w:rsidTr="003E7E26">
        <w:trPr>
          <w:trHeight w:val="694"/>
          <w:tblHeader/>
        </w:trPr>
        <w:tc>
          <w:tcPr>
            <w:tcW w:w="969" w:type="dxa"/>
            <w:shd w:val="clear" w:color="auto" w:fill="BFBFBF" w:themeFill="background1" w:themeFillShade="BF"/>
          </w:tcPr>
          <w:p w:rsidR="003E7E26" w:rsidRPr="0069151D" w:rsidRDefault="003E7E26" w:rsidP="00BA5241">
            <w:pPr>
              <w:pStyle w:val="Tableheading"/>
              <w:rPr>
                <w:sz w:val="20"/>
                <w:szCs w:val="20"/>
              </w:rPr>
            </w:pPr>
            <w:r w:rsidRPr="0069151D">
              <w:rPr>
                <w:sz w:val="20"/>
                <w:szCs w:val="20"/>
              </w:rPr>
              <w:t>Item</w:t>
            </w:r>
          </w:p>
        </w:tc>
        <w:tc>
          <w:tcPr>
            <w:tcW w:w="2400" w:type="dxa"/>
            <w:shd w:val="clear" w:color="auto" w:fill="BFBFBF" w:themeFill="background1" w:themeFillShade="BF"/>
          </w:tcPr>
          <w:p w:rsidR="003E7E26" w:rsidRPr="0069151D" w:rsidRDefault="003E7E26" w:rsidP="00BA5241">
            <w:pPr>
              <w:pStyle w:val="Tableheading"/>
              <w:rPr>
                <w:sz w:val="20"/>
                <w:szCs w:val="20"/>
              </w:rPr>
            </w:pPr>
            <w:r w:rsidRPr="0069151D">
              <w:rPr>
                <w:sz w:val="20"/>
                <w:szCs w:val="20"/>
              </w:rPr>
              <w:t>Name, form &amp; strength, pack size</w:t>
            </w:r>
          </w:p>
        </w:tc>
        <w:tc>
          <w:tcPr>
            <w:tcW w:w="1134" w:type="dxa"/>
            <w:shd w:val="clear" w:color="auto" w:fill="BFBFBF" w:themeFill="background1" w:themeFillShade="BF"/>
          </w:tcPr>
          <w:p w:rsidR="003E7E26" w:rsidRPr="0069151D" w:rsidRDefault="003E7E26" w:rsidP="00BA5241">
            <w:pPr>
              <w:pStyle w:val="Tableheading"/>
              <w:rPr>
                <w:sz w:val="20"/>
                <w:szCs w:val="20"/>
              </w:rPr>
            </w:pPr>
            <w:r>
              <w:rPr>
                <w:sz w:val="20"/>
                <w:szCs w:val="20"/>
              </w:rPr>
              <w:t>Indications</w:t>
            </w:r>
          </w:p>
        </w:tc>
        <w:tc>
          <w:tcPr>
            <w:tcW w:w="850" w:type="dxa"/>
            <w:shd w:val="clear" w:color="auto" w:fill="BFBFBF" w:themeFill="background1" w:themeFillShade="BF"/>
          </w:tcPr>
          <w:p w:rsidR="003E7E26" w:rsidRPr="0069151D" w:rsidRDefault="003E7E26" w:rsidP="00BA5241">
            <w:pPr>
              <w:pStyle w:val="Tableheading"/>
              <w:rPr>
                <w:sz w:val="20"/>
                <w:szCs w:val="20"/>
              </w:rPr>
            </w:pPr>
            <w:r w:rsidRPr="0069151D">
              <w:rPr>
                <w:sz w:val="20"/>
                <w:szCs w:val="20"/>
              </w:rPr>
              <w:t xml:space="preserve">Max. quant. </w:t>
            </w:r>
          </w:p>
        </w:tc>
        <w:tc>
          <w:tcPr>
            <w:tcW w:w="851" w:type="dxa"/>
            <w:shd w:val="clear" w:color="auto" w:fill="BFBFBF" w:themeFill="background1" w:themeFillShade="BF"/>
          </w:tcPr>
          <w:p w:rsidR="003E7E26" w:rsidRPr="0069151D" w:rsidRDefault="003E7E26" w:rsidP="00BA5241">
            <w:pPr>
              <w:pStyle w:val="Tableheading"/>
              <w:rPr>
                <w:sz w:val="20"/>
                <w:szCs w:val="20"/>
              </w:rPr>
            </w:pPr>
            <w:r w:rsidRPr="0069151D">
              <w:rPr>
                <w:sz w:val="20"/>
                <w:szCs w:val="20"/>
              </w:rPr>
              <w:t xml:space="preserve">Rpts </w:t>
            </w:r>
          </w:p>
        </w:tc>
        <w:tc>
          <w:tcPr>
            <w:tcW w:w="1275" w:type="dxa"/>
            <w:shd w:val="clear" w:color="auto" w:fill="BFBFBF" w:themeFill="background1" w:themeFillShade="BF"/>
          </w:tcPr>
          <w:p w:rsidR="003E7E26" w:rsidRPr="0069151D" w:rsidRDefault="003E7E26" w:rsidP="00BA5241">
            <w:pPr>
              <w:pStyle w:val="Tableheading"/>
              <w:rPr>
                <w:sz w:val="20"/>
                <w:szCs w:val="20"/>
              </w:rPr>
            </w:pPr>
            <w:r w:rsidRPr="0069151D">
              <w:rPr>
                <w:sz w:val="20"/>
                <w:szCs w:val="20"/>
              </w:rPr>
              <w:t>DPMQ</w:t>
            </w:r>
          </w:p>
        </w:tc>
        <w:tc>
          <w:tcPr>
            <w:tcW w:w="1701" w:type="dxa"/>
            <w:shd w:val="clear" w:color="auto" w:fill="BFBFBF" w:themeFill="background1" w:themeFillShade="BF"/>
          </w:tcPr>
          <w:p w:rsidR="003E7E26" w:rsidRPr="0069151D" w:rsidRDefault="003E7E26" w:rsidP="00BA5241">
            <w:pPr>
              <w:pStyle w:val="Tableheading"/>
              <w:rPr>
                <w:sz w:val="20"/>
                <w:szCs w:val="20"/>
              </w:rPr>
            </w:pPr>
            <w:r w:rsidRPr="0069151D">
              <w:rPr>
                <w:sz w:val="20"/>
                <w:szCs w:val="20"/>
              </w:rPr>
              <w:t>Brand name and manufacturer</w:t>
            </w:r>
          </w:p>
        </w:tc>
      </w:tr>
      <w:tr w:rsidR="003E7E26" w:rsidRPr="00A35800" w:rsidTr="003E7E26">
        <w:trPr>
          <w:trHeight w:val="552"/>
          <w:tblHeader/>
        </w:trPr>
        <w:tc>
          <w:tcPr>
            <w:tcW w:w="969" w:type="dxa"/>
            <w:shd w:val="clear" w:color="auto" w:fill="auto"/>
          </w:tcPr>
          <w:p w:rsidR="003E7E26" w:rsidRPr="00A35800" w:rsidRDefault="003E7E26" w:rsidP="00BA5241">
            <w:pPr>
              <w:pStyle w:val="Tablewriting"/>
            </w:pPr>
            <w:r>
              <w:t>2168D</w:t>
            </w:r>
          </w:p>
        </w:tc>
        <w:tc>
          <w:tcPr>
            <w:tcW w:w="2400" w:type="dxa"/>
            <w:shd w:val="clear" w:color="auto" w:fill="auto"/>
          </w:tcPr>
          <w:p w:rsidR="003E7E26" w:rsidRPr="00A35800" w:rsidRDefault="003E7E26" w:rsidP="00BA5241">
            <w:pPr>
              <w:pStyle w:val="Tablewriting"/>
            </w:pPr>
            <w:r w:rsidRPr="002A570C">
              <w:t>aflibercept 4 mg/0.1 mL injection, 1 x 0.1 mL vial</w:t>
            </w:r>
          </w:p>
        </w:tc>
        <w:tc>
          <w:tcPr>
            <w:tcW w:w="1134" w:type="dxa"/>
          </w:tcPr>
          <w:p w:rsidR="003E7E26" w:rsidRDefault="003E7E26" w:rsidP="00BA5241">
            <w:pPr>
              <w:pStyle w:val="Tablewriting"/>
              <w:jc w:val="center"/>
            </w:pPr>
            <w:r>
              <w:t>AMD BRVO CRVO</w:t>
            </w:r>
          </w:p>
        </w:tc>
        <w:tc>
          <w:tcPr>
            <w:tcW w:w="850" w:type="dxa"/>
            <w:shd w:val="clear" w:color="auto" w:fill="auto"/>
          </w:tcPr>
          <w:p w:rsidR="003E7E26" w:rsidRPr="00A35800" w:rsidRDefault="003E7E26" w:rsidP="00BA5241">
            <w:pPr>
              <w:pStyle w:val="Tablewriting"/>
              <w:jc w:val="center"/>
            </w:pPr>
            <w:r>
              <w:t>1</w:t>
            </w:r>
          </w:p>
        </w:tc>
        <w:tc>
          <w:tcPr>
            <w:tcW w:w="851" w:type="dxa"/>
            <w:shd w:val="clear" w:color="auto" w:fill="auto"/>
          </w:tcPr>
          <w:p w:rsidR="003E7E26" w:rsidRPr="00A35800" w:rsidRDefault="003E7E26" w:rsidP="00BA5241">
            <w:pPr>
              <w:pStyle w:val="Tablewriting"/>
              <w:jc w:val="center"/>
            </w:pPr>
            <w:r>
              <w:t>2</w:t>
            </w:r>
          </w:p>
        </w:tc>
        <w:tc>
          <w:tcPr>
            <w:tcW w:w="1275" w:type="dxa"/>
            <w:shd w:val="clear" w:color="auto" w:fill="auto"/>
          </w:tcPr>
          <w:p w:rsidR="003E7E26" w:rsidRPr="00A35800" w:rsidRDefault="003E7E26" w:rsidP="00BA5241">
            <w:pPr>
              <w:pStyle w:val="Tablewriting"/>
            </w:pPr>
            <w:r w:rsidRPr="002A570C">
              <w:t>$</w:t>
            </w:r>
            <w:r w:rsidRPr="00A92076">
              <w:t>1149.44</w:t>
            </w:r>
            <w:r>
              <w:t>*</w:t>
            </w:r>
          </w:p>
        </w:tc>
        <w:tc>
          <w:tcPr>
            <w:tcW w:w="1701" w:type="dxa"/>
            <w:vMerge w:val="restart"/>
            <w:shd w:val="clear" w:color="auto" w:fill="auto"/>
            <w:vAlign w:val="center"/>
          </w:tcPr>
          <w:p w:rsidR="003E7E26" w:rsidRDefault="003E7E26" w:rsidP="00A92076">
            <w:pPr>
              <w:pStyle w:val="Tablewriting"/>
            </w:pPr>
            <w:r>
              <w:t>Eylea</w:t>
            </w:r>
          </w:p>
          <w:p w:rsidR="003E7E26" w:rsidRPr="00A35800" w:rsidRDefault="003E7E26" w:rsidP="00A92076">
            <w:pPr>
              <w:pStyle w:val="Tablewriting"/>
            </w:pPr>
            <w:r w:rsidRPr="002A570C">
              <w:t>Bayer Australia Ltd</w:t>
            </w:r>
          </w:p>
        </w:tc>
      </w:tr>
      <w:tr w:rsidR="003E7E26" w:rsidRPr="00A35800" w:rsidTr="003E7E26">
        <w:trPr>
          <w:trHeight w:val="552"/>
          <w:tblHeader/>
        </w:trPr>
        <w:tc>
          <w:tcPr>
            <w:tcW w:w="969" w:type="dxa"/>
            <w:shd w:val="clear" w:color="auto" w:fill="auto"/>
          </w:tcPr>
          <w:p w:rsidR="003E7E26" w:rsidRDefault="003E7E26" w:rsidP="00BA5241">
            <w:pPr>
              <w:pStyle w:val="Tablewriting"/>
            </w:pPr>
            <w:r w:rsidRPr="00A92076">
              <w:t>10505X</w:t>
            </w:r>
          </w:p>
        </w:tc>
        <w:tc>
          <w:tcPr>
            <w:tcW w:w="2400" w:type="dxa"/>
            <w:shd w:val="clear" w:color="auto" w:fill="auto"/>
          </w:tcPr>
          <w:p w:rsidR="003E7E26" w:rsidRPr="002A570C" w:rsidRDefault="003E7E26" w:rsidP="00BA5241">
            <w:pPr>
              <w:pStyle w:val="Tablewriting"/>
            </w:pPr>
            <w:r w:rsidRPr="00A92076">
              <w:t>aflibercept 4 mg/0.1 mL injection, 0.1 mL vial</w:t>
            </w:r>
          </w:p>
        </w:tc>
        <w:tc>
          <w:tcPr>
            <w:tcW w:w="1134" w:type="dxa"/>
          </w:tcPr>
          <w:p w:rsidR="003E7E26" w:rsidRDefault="003E7E26" w:rsidP="00BA5241">
            <w:pPr>
              <w:pStyle w:val="Tablewriting"/>
              <w:jc w:val="center"/>
            </w:pPr>
            <w:r>
              <w:t>DMO</w:t>
            </w:r>
          </w:p>
        </w:tc>
        <w:tc>
          <w:tcPr>
            <w:tcW w:w="850" w:type="dxa"/>
            <w:shd w:val="clear" w:color="auto" w:fill="auto"/>
          </w:tcPr>
          <w:p w:rsidR="003E7E26" w:rsidRDefault="003E7E26" w:rsidP="00BA5241">
            <w:pPr>
              <w:pStyle w:val="Tablewriting"/>
              <w:jc w:val="center"/>
            </w:pPr>
            <w:r>
              <w:t>1</w:t>
            </w:r>
          </w:p>
        </w:tc>
        <w:tc>
          <w:tcPr>
            <w:tcW w:w="851" w:type="dxa"/>
            <w:shd w:val="clear" w:color="auto" w:fill="auto"/>
          </w:tcPr>
          <w:p w:rsidR="003E7E26" w:rsidRDefault="003E7E26" w:rsidP="00BA5241">
            <w:pPr>
              <w:pStyle w:val="Tablewriting"/>
              <w:jc w:val="center"/>
            </w:pPr>
            <w:r>
              <w:t>5</w:t>
            </w:r>
          </w:p>
        </w:tc>
        <w:tc>
          <w:tcPr>
            <w:tcW w:w="1275" w:type="dxa"/>
            <w:shd w:val="clear" w:color="auto" w:fill="auto"/>
          </w:tcPr>
          <w:p w:rsidR="003E7E26" w:rsidRPr="002A570C" w:rsidRDefault="003E7E26" w:rsidP="00BA5241">
            <w:pPr>
              <w:pStyle w:val="Tablewriting"/>
            </w:pPr>
            <w:r w:rsidRPr="002A570C">
              <w:t>$</w:t>
            </w:r>
            <w:r w:rsidRPr="00A92076">
              <w:t>1149.44</w:t>
            </w:r>
            <w:r>
              <w:t>*</w:t>
            </w:r>
          </w:p>
        </w:tc>
        <w:tc>
          <w:tcPr>
            <w:tcW w:w="1701" w:type="dxa"/>
            <w:vMerge/>
            <w:shd w:val="clear" w:color="auto" w:fill="auto"/>
          </w:tcPr>
          <w:p w:rsidR="003E7E26" w:rsidRDefault="003E7E26" w:rsidP="00BA5241">
            <w:pPr>
              <w:pStyle w:val="Tablewriting"/>
            </w:pPr>
          </w:p>
        </w:tc>
      </w:tr>
    </w:tbl>
    <w:p w:rsidR="003F714C" w:rsidRDefault="003F714C" w:rsidP="003F714C">
      <w:pPr>
        <w:pStyle w:val="Notes"/>
      </w:pPr>
      <w:r w:rsidRPr="00B81846">
        <w:t>*special pricing arrangement applies</w:t>
      </w:r>
      <w:r w:rsidRPr="00B81846">
        <w:br/>
      </w:r>
      <w:r w:rsidRPr="001E23C5">
        <w:t xml:space="preserve">Source: </w:t>
      </w:r>
      <w:r w:rsidR="00230000" w:rsidRPr="005E775B">
        <w:t>http://www.pbs.gov.au/medicine/item/2168D</w:t>
      </w:r>
    </w:p>
    <w:p w:rsidR="00230000" w:rsidRPr="001420B3" w:rsidRDefault="00230000" w:rsidP="00230000">
      <w:pPr>
        <w:pStyle w:val="Tabletitle"/>
      </w:pPr>
      <w:r w:rsidRPr="00E01E0B">
        <w:t xml:space="preserve">Table </w:t>
      </w:r>
      <w:r>
        <w:t>5</w:t>
      </w:r>
      <w:r w:rsidRPr="00E01E0B">
        <w:t xml:space="preserve">: PBS listing of </w:t>
      </w:r>
      <w:r>
        <w:t>dexamethasone implant</w:t>
      </w:r>
    </w:p>
    <w:tbl>
      <w:tblPr>
        <w:tblStyle w:val="TableGrid"/>
        <w:tblW w:w="9180" w:type="dxa"/>
        <w:tblLayout w:type="fixed"/>
        <w:tblLook w:val="04A0" w:firstRow="1" w:lastRow="0" w:firstColumn="1" w:lastColumn="0" w:noHBand="0" w:noVBand="1"/>
        <w:tblCaption w:val="PBS listing of dexamethasone"/>
        <w:tblDescription w:val="Listed form and strength for dexamethasone"/>
      </w:tblPr>
      <w:tblGrid>
        <w:gridCol w:w="969"/>
        <w:gridCol w:w="2400"/>
        <w:gridCol w:w="1134"/>
        <w:gridCol w:w="850"/>
        <w:gridCol w:w="851"/>
        <w:gridCol w:w="1275"/>
        <w:gridCol w:w="1701"/>
      </w:tblGrid>
      <w:tr w:rsidR="003E7E26" w:rsidRPr="0069151D" w:rsidTr="003E7E26">
        <w:trPr>
          <w:trHeight w:val="694"/>
          <w:tblHeader/>
        </w:trPr>
        <w:tc>
          <w:tcPr>
            <w:tcW w:w="969" w:type="dxa"/>
            <w:shd w:val="clear" w:color="auto" w:fill="BFBFBF" w:themeFill="background1" w:themeFillShade="BF"/>
          </w:tcPr>
          <w:p w:rsidR="003E7E26" w:rsidRPr="0069151D" w:rsidRDefault="003E7E26" w:rsidP="00B91555">
            <w:pPr>
              <w:pStyle w:val="Tableheading"/>
              <w:rPr>
                <w:sz w:val="20"/>
                <w:szCs w:val="20"/>
              </w:rPr>
            </w:pPr>
            <w:r w:rsidRPr="0069151D">
              <w:rPr>
                <w:sz w:val="20"/>
                <w:szCs w:val="20"/>
              </w:rPr>
              <w:t>Item</w:t>
            </w:r>
          </w:p>
        </w:tc>
        <w:tc>
          <w:tcPr>
            <w:tcW w:w="2400" w:type="dxa"/>
            <w:shd w:val="clear" w:color="auto" w:fill="BFBFBF" w:themeFill="background1" w:themeFillShade="BF"/>
          </w:tcPr>
          <w:p w:rsidR="003E7E26" w:rsidRPr="0069151D" w:rsidRDefault="003E7E26" w:rsidP="00B91555">
            <w:pPr>
              <w:pStyle w:val="Tableheading"/>
              <w:rPr>
                <w:sz w:val="20"/>
                <w:szCs w:val="20"/>
              </w:rPr>
            </w:pPr>
            <w:r w:rsidRPr="0069151D">
              <w:rPr>
                <w:sz w:val="20"/>
                <w:szCs w:val="20"/>
              </w:rPr>
              <w:t>Name, form &amp; strength, pack size</w:t>
            </w:r>
          </w:p>
        </w:tc>
        <w:tc>
          <w:tcPr>
            <w:tcW w:w="1134" w:type="dxa"/>
            <w:shd w:val="clear" w:color="auto" w:fill="BFBFBF" w:themeFill="background1" w:themeFillShade="BF"/>
          </w:tcPr>
          <w:p w:rsidR="003E7E26" w:rsidRPr="0069151D" w:rsidRDefault="003E7E26" w:rsidP="00B91555">
            <w:pPr>
              <w:pStyle w:val="Tableheading"/>
              <w:rPr>
                <w:sz w:val="20"/>
                <w:szCs w:val="20"/>
              </w:rPr>
            </w:pPr>
            <w:r>
              <w:rPr>
                <w:sz w:val="20"/>
                <w:szCs w:val="20"/>
              </w:rPr>
              <w:t>Indications</w:t>
            </w:r>
          </w:p>
        </w:tc>
        <w:tc>
          <w:tcPr>
            <w:tcW w:w="850" w:type="dxa"/>
            <w:shd w:val="clear" w:color="auto" w:fill="BFBFBF" w:themeFill="background1" w:themeFillShade="BF"/>
          </w:tcPr>
          <w:p w:rsidR="003E7E26" w:rsidRPr="0069151D" w:rsidRDefault="003E7E26" w:rsidP="00B91555">
            <w:pPr>
              <w:pStyle w:val="Tableheading"/>
              <w:rPr>
                <w:sz w:val="20"/>
                <w:szCs w:val="20"/>
              </w:rPr>
            </w:pPr>
            <w:r w:rsidRPr="0069151D">
              <w:rPr>
                <w:sz w:val="20"/>
                <w:szCs w:val="20"/>
              </w:rPr>
              <w:t xml:space="preserve">Max. quant. </w:t>
            </w:r>
          </w:p>
        </w:tc>
        <w:tc>
          <w:tcPr>
            <w:tcW w:w="851" w:type="dxa"/>
            <w:shd w:val="clear" w:color="auto" w:fill="BFBFBF" w:themeFill="background1" w:themeFillShade="BF"/>
          </w:tcPr>
          <w:p w:rsidR="003E7E26" w:rsidRPr="0069151D" w:rsidRDefault="003E7E26" w:rsidP="00B91555">
            <w:pPr>
              <w:pStyle w:val="Tableheading"/>
              <w:rPr>
                <w:sz w:val="20"/>
                <w:szCs w:val="20"/>
              </w:rPr>
            </w:pPr>
            <w:r w:rsidRPr="0069151D">
              <w:rPr>
                <w:sz w:val="20"/>
                <w:szCs w:val="20"/>
              </w:rPr>
              <w:t xml:space="preserve">Rpts </w:t>
            </w:r>
          </w:p>
        </w:tc>
        <w:tc>
          <w:tcPr>
            <w:tcW w:w="1275" w:type="dxa"/>
            <w:shd w:val="clear" w:color="auto" w:fill="BFBFBF" w:themeFill="background1" w:themeFillShade="BF"/>
          </w:tcPr>
          <w:p w:rsidR="003E7E26" w:rsidRPr="0069151D" w:rsidRDefault="003E7E26" w:rsidP="00B91555">
            <w:pPr>
              <w:pStyle w:val="Tableheading"/>
              <w:rPr>
                <w:sz w:val="20"/>
                <w:szCs w:val="20"/>
              </w:rPr>
            </w:pPr>
            <w:r w:rsidRPr="0069151D">
              <w:rPr>
                <w:sz w:val="20"/>
                <w:szCs w:val="20"/>
              </w:rPr>
              <w:t>DPMQ</w:t>
            </w:r>
          </w:p>
        </w:tc>
        <w:tc>
          <w:tcPr>
            <w:tcW w:w="1701" w:type="dxa"/>
            <w:shd w:val="clear" w:color="auto" w:fill="BFBFBF" w:themeFill="background1" w:themeFillShade="BF"/>
          </w:tcPr>
          <w:p w:rsidR="003E7E26" w:rsidRPr="0069151D" w:rsidRDefault="003E7E26" w:rsidP="00B91555">
            <w:pPr>
              <w:pStyle w:val="Tableheading"/>
              <w:rPr>
                <w:sz w:val="20"/>
                <w:szCs w:val="20"/>
              </w:rPr>
            </w:pPr>
            <w:r w:rsidRPr="0069151D">
              <w:rPr>
                <w:sz w:val="20"/>
                <w:szCs w:val="20"/>
              </w:rPr>
              <w:t>Brand name and manufacturer</w:t>
            </w:r>
          </w:p>
        </w:tc>
      </w:tr>
      <w:tr w:rsidR="003E7E26" w:rsidRPr="00A35800" w:rsidTr="003E7E26">
        <w:trPr>
          <w:trHeight w:val="552"/>
          <w:tblHeader/>
        </w:trPr>
        <w:tc>
          <w:tcPr>
            <w:tcW w:w="969" w:type="dxa"/>
            <w:shd w:val="clear" w:color="auto" w:fill="auto"/>
          </w:tcPr>
          <w:p w:rsidR="003E7E26" w:rsidRPr="00A35800" w:rsidRDefault="003E7E26" w:rsidP="00B91555">
            <w:pPr>
              <w:pStyle w:val="Tablewriting"/>
            </w:pPr>
            <w:r w:rsidRPr="00230000">
              <w:t>10943Y</w:t>
            </w:r>
          </w:p>
        </w:tc>
        <w:tc>
          <w:tcPr>
            <w:tcW w:w="2400" w:type="dxa"/>
            <w:shd w:val="clear" w:color="auto" w:fill="auto"/>
          </w:tcPr>
          <w:p w:rsidR="003E7E26" w:rsidRPr="00A35800" w:rsidRDefault="003E7E26" w:rsidP="00B91555">
            <w:pPr>
              <w:pStyle w:val="Tablewriting"/>
            </w:pPr>
            <w:r w:rsidRPr="00230000">
              <w:t>dexamethasone 700 microgram implant</w:t>
            </w:r>
            <w:r>
              <w:t>, 1</w:t>
            </w:r>
          </w:p>
        </w:tc>
        <w:tc>
          <w:tcPr>
            <w:tcW w:w="1134" w:type="dxa"/>
          </w:tcPr>
          <w:p w:rsidR="003E7E26" w:rsidRDefault="003E7E26" w:rsidP="00B91555">
            <w:pPr>
              <w:pStyle w:val="Tablewriting"/>
              <w:jc w:val="center"/>
            </w:pPr>
            <w:r>
              <w:t>DMO</w:t>
            </w:r>
          </w:p>
        </w:tc>
        <w:tc>
          <w:tcPr>
            <w:tcW w:w="850" w:type="dxa"/>
            <w:shd w:val="clear" w:color="auto" w:fill="auto"/>
          </w:tcPr>
          <w:p w:rsidR="003E7E26" w:rsidRPr="00A35800" w:rsidRDefault="003E7E26" w:rsidP="00B91555">
            <w:pPr>
              <w:pStyle w:val="Tablewriting"/>
              <w:jc w:val="center"/>
            </w:pPr>
            <w:r>
              <w:t>1</w:t>
            </w:r>
          </w:p>
        </w:tc>
        <w:tc>
          <w:tcPr>
            <w:tcW w:w="851" w:type="dxa"/>
            <w:shd w:val="clear" w:color="auto" w:fill="auto"/>
          </w:tcPr>
          <w:p w:rsidR="003E7E26" w:rsidRPr="00A35800" w:rsidRDefault="003E7E26" w:rsidP="00B91555">
            <w:pPr>
              <w:pStyle w:val="Tablewriting"/>
              <w:jc w:val="center"/>
            </w:pPr>
            <w:r>
              <w:t>1</w:t>
            </w:r>
          </w:p>
        </w:tc>
        <w:tc>
          <w:tcPr>
            <w:tcW w:w="1275" w:type="dxa"/>
            <w:shd w:val="clear" w:color="auto" w:fill="auto"/>
          </w:tcPr>
          <w:p w:rsidR="003E7E26" w:rsidRPr="00A35800" w:rsidRDefault="003E7E26" w:rsidP="00B91555">
            <w:pPr>
              <w:pStyle w:val="Tablewriting"/>
            </w:pPr>
            <w:r w:rsidRPr="00230000">
              <w:t>$1354.79</w:t>
            </w:r>
            <w:r>
              <w:t>*</w:t>
            </w:r>
          </w:p>
        </w:tc>
        <w:tc>
          <w:tcPr>
            <w:tcW w:w="1701" w:type="dxa"/>
            <w:shd w:val="clear" w:color="auto" w:fill="auto"/>
            <w:vAlign w:val="center"/>
          </w:tcPr>
          <w:p w:rsidR="003E7E26" w:rsidRDefault="003E7E26" w:rsidP="00B91555">
            <w:pPr>
              <w:pStyle w:val="Tablewriting"/>
            </w:pPr>
            <w:r w:rsidRPr="00230000">
              <w:t>Ozurdex</w:t>
            </w:r>
          </w:p>
          <w:p w:rsidR="003E7E26" w:rsidRPr="00A35800" w:rsidRDefault="003E7E26" w:rsidP="00B91555">
            <w:pPr>
              <w:pStyle w:val="Tablewriting"/>
            </w:pPr>
            <w:r w:rsidRPr="00230000">
              <w:t>Allergan Australia Pty Limited</w:t>
            </w:r>
          </w:p>
        </w:tc>
      </w:tr>
    </w:tbl>
    <w:p w:rsidR="00230000" w:rsidRDefault="00230000" w:rsidP="00230000">
      <w:pPr>
        <w:pStyle w:val="Notes"/>
      </w:pPr>
      <w:r w:rsidRPr="00B81846">
        <w:t>*special pricing arrangement applies</w:t>
      </w:r>
      <w:r w:rsidRPr="00B81846">
        <w:br/>
      </w:r>
      <w:r w:rsidRPr="001E23C5">
        <w:t xml:space="preserve">Source: </w:t>
      </w:r>
      <w:r w:rsidR="003E7E26" w:rsidRPr="005E775B">
        <w:t>http://www.pbs.gov.au/medicine/item/10943Y</w:t>
      </w:r>
      <w:r w:rsidR="003E7E26">
        <w:t xml:space="preserve"> </w:t>
      </w:r>
    </w:p>
    <w:p w:rsidR="00230000" w:rsidRDefault="00230000" w:rsidP="003F714C">
      <w:pPr>
        <w:pStyle w:val="Notes"/>
      </w:pPr>
    </w:p>
    <w:p w:rsidR="00DA3663" w:rsidRDefault="00DA3663">
      <w:pPr>
        <w:spacing w:line="276" w:lineRule="auto"/>
        <w:rPr>
          <w:b/>
          <w:i/>
          <w:szCs w:val="28"/>
        </w:rPr>
      </w:pPr>
      <w:r>
        <w:br w:type="page"/>
      </w:r>
    </w:p>
    <w:p w:rsidR="004C3186" w:rsidDel="00EE2BBB" w:rsidRDefault="004C3186" w:rsidP="001556DB">
      <w:pPr>
        <w:pStyle w:val="Heading3"/>
        <w:keepNext/>
      </w:pPr>
      <w:bookmarkStart w:id="17" w:name="_Toc513038017"/>
      <w:r w:rsidDel="00EE2BBB">
        <w:lastRenderedPageBreak/>
        <w:t>Restriction</w:t>
      </w:r>
      <w:bookmarkEnd w:id="17"/>
    </w:p>
    <w:p w:rsidR="00CA53E3" w:rsidRDefault="004C00AD" w:rsidP="00C454E3">
      <w:r>
        <w:t xml:space="preserve">Ranibizumab, </w:t>
      </w:r>
      <w:r w:rsidR="00CA53E3">
        <w:t xml:space="preserve">aflibercept </w:t>
      </w:r>
      <w:r>
        <w:t xml:space="preserve">and dexamethasone </w:t>
      </w:r>
      <w:r w:rsidR="00CA53E3">
        <w:t xml:space="preserve">are Authority Required listings. </w:t>
      </w:r>
      <w:r>
        <w:t>For all listed indications for each medicine</w:t>
      </w:r>
      <w:r w:rsidR="00CA53E3">
        <w:t>, t</w:t>
      </w:r>
      <w:r w:rsidR="00CA53E3" w:rsidRPr="00CA53E3">
        <w:t>he first authority application for each eye must be made in writing or by telephone.</w:t>
      </w:r>
      <w:r w:rsidR="00CA53E3">
        <w:t xml:space="preserve"> </w:t>
      </w:r>
      <w:r>
        <w:t>For all medicines</w:t>
      </w:r>
      <w:r w:rsidR="00CA53E3">
        <w:t>, A</w:t>
      </w:r>
      <w:r w:rsidR="00CA53E3" w:rsidRPr="00CA53E3">
        <w:t>uthority applications for continuing treatment in the same eye may be made by telephone</w:t>
      </w:r>
      <w:r w:rsidR="00CA53E3">
        <w:t xml:space="preserve">. </w:t>
      </w:r>
      <w:r w:rsidR="00D63B3E">
        <w:t xml:space="preserve">At the time of approval, the patient’s indication is recorded in the Authority database. A patient </w:t>
      </w:r>
      <w:r w:rsidR="00D63B3E" w:rsidRPr="00D63B3E">
        <w:t>must be treated by an ophthalmologist or in consultation with an ophthalmologist.</w:t>
      </w:r>
    </w:p>
    <w:p w:rsidR="001556DB" w:rsidRDefault="001556DB" w:rsidP="00C454E3">
      <w:pPr>
        <w:spacing w:after="0"/>
      </w:pPr>
      <w:r w:rsidRPr="002A570C">
        <w:t>Ranibizumab</w:t>
      </w:r>
      <w:r>
        <w:t xml:space="preserve"> and aflibercept </w:t>
      </w:r>
      <w:r w:rsidR="00CA53E3">
        <w:t>are</w:t>
      </w:r>
      <w:r w:rsidR="00C454E3">
        <w:t xml:space="preserve"> PBS</w:t>
      </w:r>
      <w:r w:rsidR="00CA53E3">
        <w:t xml:space="preserve"> listed</w:t>
      </w:r>
      <w:r>
        <w:t xml:space="preserve"> for the treatment of:</w:t>
      </w:r>
    </w:p>
    <w:p w:rsidR="001556DB" w:rsidRDefault="00C454E3" w:rsidP="001556DB">
      <w:pPr>
        <w:pStyle w:val="ListParagraph"/>
        <w:numPr>
          <w:ilvl w:val="0"/>
          <w:numId w:val="1"/>
        </w:numPr>
        <w:spacing w:after="0"/>
        <w:ind w:left="357" w:hanging="357"/>
        <w:contextualSpacing w:val="0"/>
      </w:pPr>
      <w:r>
        <w:t>S</w:t>
      </w:r>
      <w:r w:rsidRPr="00B43464">
        <w:t xml:space="preserve">ubfoveal </w:t>
      </w:r>
      <w:r w:rsidR="001556DB" w:rsidRPr="00B43464">
        <w:t>choroidal neovascularisation (CNV) due to age-related macular degeneration (AMD</w:t>
      </w:r>
      <w:r w:rsidR="00EB6F8C">
        <w:t>)</w:t>
      </w:r>
      <w:r>
        <w:t>.</w:t>
      </w:r>
    </w:p>
    <w:p w:rsidR="001556DB" w:rsidRPr="00BD091C" w:rsidRDefault="00C454E3" w:rsidP="00EA403D">
      <w:pPr>
        <w:pStyle w:val="ListParagraph"/>
        <w:numPr>
          <w:ilvl w:val="0"/>
          <w:numId w:val="1"/>
        </w:numPr>
        <w:spacing w:after="0"/>
        <w:contextualSpacing w:val="0"/>
      </w:pPr>
      <w:r>
        <w:t>B</w:t>
      </w:r>
      <w:r w:rsidR="001556DB" w:rsidRPr="00BD091C">
        <w:t>ranch retinal vein occlusion with macular oedema</w:t>
      </w:r>
      <w:r>
        <w:t>. Initiating patients</w:t>
      </w:r>
      <w:r w:rsidRPr="00C454E3">
        <w:t xml:space="preserve"> </w:t>
      </w:r>
      <w:r w:rsidR="00EA403D" w:rsidRPr="00EA403D">
        <w:t>must have visual impairment due to macular oedema secondary to BRVO,</w:t>
      </w:r>
      <w:r w:rsidR="00EA403D">
        <w:t xml:space="preserve"> and</w:t>
      </w:r>
      <w:r w:rsidR="00EA403D" w:rsidRPr="00EA403D">
        <w:t xml:space="preserve"> </w:t>
      </w:r>
      <w:r w:rsidRPr="00C454E3">
        <w:t>must have documented visual impairment defined as a best corrected visual acuity score between 73 and 20 letters based on the early treatment diabetic retinopathy study chart administered at a distance of 4 metres (approximate Snellen equivalent 20/40 to 20/400), in the eye p</w:t>
      </w:r>
      <w:r>
        <w:t>roposed for treatment.</w:t>
      </w:r>
    </w:p>
    <w:p w:rsidR="001556DB" w:rsidRPr="00BD091C" w:rsidRDefault="00C454E3" w:rsidP="00C454E3">
      <w:pPr>
        <w:pStyle w:val="ListParagraph"/>
        <w:numPr>
          <w:ilvl w:val="0"/>
          <w:numId w:val="1"/>
        </w:numPr>
        <w:spacing w:after="0"/>
        <w:contextualSpacing w:val="0"/>
      </w:pPr>
      <w:r>
        <w:t>C</w:t>
      </w:r>
      <w:r w:rsidR="001556DB" w:rsidRPr="00BD091C">
        <w:t>entral retinal vein occlusion with macular oedema</w:t>
      </w:r>
      <w:r>
        <w:t>. Initiating patients</w:t>
      </w:r>
      <w:r w:rsidRPr="00C454E3">
        <w:t xml:space="preserve"> </w:t>
      </w:r>
      <w:r w:rsidR="00EA403D" w:rsidRPr="00EA403D">
        <w:t xml:space="preserve">must have visual impairment due to macular oedema secondary to CRVO, </w:t>
      </w:r>
      <w:r w:rsidR="00EA403D">
        <w:t xml:space="preserve">and </w:t>
      </w:r>
      <w:r w:rsidRPr="00C454E3">
        <w:t>must have documented visual impairment defined as a best corrected visual acuity score between 73 and 24 letters based on the early treatment diabetic retinopathy study chart administered at a distance of 4 metres (approximate Snellen equivalent 20/40 to 20/320), in the eye proposed for treatment</w:t>
      </w:r>
      <w:r>
        <w:t>.</w:t>
      </w:r>
    </w:p>
    <w:p w:rsidR="001556DB" w:rsidRDefault="00C454E3" w:rsidP="00EA403D">
      <w:pPr>
        <w:pStyle w:val="ListParagraph"/>
        <w:numPr>
          <w:ilvl w:val="0"/>
          <w:numId w:val="1"/>
        </w:numPr>
        <w:contextualSpacing w:val="0"/>
      </w:pPr>
      <w:r>
        <w:t>D</w:t>
      </w:r>
      <w:r w:rsidR="001556DB" w:rsidRPr="00BD091C">
        <w:t>iabetic macular oedema</w:t>
      </w:r>
      <w:r>
        <w:t>. Initiating patients</w:t>
      </w:r>
      <w:r w:rsidRPr="00C454E3">
        <w:t xml:space="preserve"> </w:t>
      </w:r>
      <w:r w:rsidR="00EA403D" w:rsidRPr="00EA403D">
        <w:t>must have visual impairment due to diabetic macular oedema</w:t>
      </w:r>
      <w:r w:rsidR="00EA403D">
        <w:t>,</w:t>
      </w:r>
      <w:r w:rsidR="00EA403D" w:rsidRPr="00EA403D">
        <w:t xml:space="preserve"> </w:t>
      </w:r>
      <w:r w:rsidR="00EA403D">
        <w:t>and must have</w:t>
      </w:r>
      <w:r w:rsidRPr="00C454E3">
        <w:t xml:space="preser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r w:rsidR="001556DB" w:rsidRPr="00BD091C">
        <w:t>.</w:t>
      </w:r>
    </w:p>
    <w:p w:rsidR="001556DB" w:rsidRDefault="001556DB" w:rsidP="001556DB">
      <w:r>
        <w:t xml:space="preserve">Dexamethasone </w:t>
      </w:r>
      <w:r w:rsidR="00131290">
        <w:t>is listed for</w:t>
      </w:r>
      <w:r>
        <w:t xml:space="preserve"> diabetic macular oedema. Patients may only access dexamethasone if they are unsuitable for</w:t>
      </w:r>
      <w:r w:rsidR="003E700B">
        <w:t>,</w:t>
      </w:r>
      <w:r>
        <w:t xml:space="preserve"> or contraindicated to</w:t>
      </w:r>
      <w:r w:rsidR="003E700B">
        <w:t>,</w:t>
      </w:r>
      <w:r>
        <w:t xml:space="preserve"> treatment with VEGF inhibitors</w:t>
      </w:r>
      <w:r w:rsidR="003E700B">
        <w:t>,</w:t>
      </w:r>
      <w:r>
        <w:t xml:space="preserve"> or have failed prior treatment with VEGF inhibitors.</w:t>
      </w:r>
      <w:r w:rsidR="00C454E3">
        <w:t xml:space="preserve"> Initiating patients</w:t>
      </w:r>
      <w:r w:rsidR="00C454E3" w:rsidRPr="00C454E3">
        <w:t xml:space="preserve">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w:t>
      </w:r>
      <w:r w:rsidR="00C454E3">
        <w:t>.</w:t>
      </w:r>
    </w:p>
    <w:p w:rsidR="009D5680" w:rsidRDefault="009D5680" w:rsidP="009D5680">
      <w:r>
        <w:t>There are no continuation criteria in the PBS restrictions for any of the listed indications for patients to access continuing treatment.</w:t>
      </w:r>
    </w:p>
    <w:p w:rsidR="00C454E3" w:rsidRDefault="00C454E3" w:rsidP="00C454E3">
      <w:r>
        <w:t xml:space="preserve">For the diabetic macular oedema listings, the drugs are given either as monotherapy or in combination with laser </w:t>
      </w:r>
      <w:r w:rsidRPr="00E20725">
        <w:t>photocoagulation</w:t>
      </w:r>
      <w:r>
        <w:t>.</w:t>
      </w:r>
    </w:p>
    <w:p w:rsidR="00C454E3" w:rsidRPr="006775F1" w:rsidDel="00EE2BBB" w:rsidRDefault="00C454E3" w:rsidP="00C454E3">
      <w:r w:rsidRPr="006775F1" w:rsidDel="00EE2BBB">
        <w:t xml:space="preserve">For </w:t>
      </w:r>
      <w:r w:rsidDel="00EE2BBB">
        <w:t xml:space="preserve">details of the current PBS listing refer to the </w:t>
      </w:r>
      <w:r w:rsidRPr="005E775B" w:rsidDel="00EE2BBB">
        <w:t>PBS website</w:t>
      </w:r>
      <w:r w:rsidDel="00EE2BBB">
        <w:rPr>
          <w:rStyle w:val="Hyperlink"/>
        </w:rPr>
        <w:t>.</w:t>
      </w:r>
    </w:p>
    <w:p w:rsidR="00C454E3" w:rsidRDefault="002A4846" w:rsidP="001556DB">
      <w:r>
        <w:t xml:space="preserve">To initiate treatment for </w:t>
      </w:r>
      <w:r w:rsidR="001556DB">
        <w:t xml:space="preserve">all PBS listings of aflibercept, dexamethasone and ranibizumab, each eye condition must be diagnosed using either </w:t>
      </w:r>
      <w:r w:rsidR="001556DB" w:rsidRPr="00B43464">
        <w:t>fluorescein angiography</w:t>
      </w:r>
      <w:r w:rsidR="001556DB">
        <w:t xml:space="preserve"> or </w:t>
      </w:r>
      <w:r w:rsidR="001556DB" w:rsidRPr="00BD091C">
        <w:t xml:space="preserve">optical </w:t>
      </w:r>
      <w:r w:rsidR="001556DB" w:rsidRPr="00BD091C">
        <w:lastRenderedPageBreak/>
        <w:t>coherence tomography</w:t>
      </w:r>
      <w:r w:rsidR="001556DB">
        <w:t>.</w:t>
      </w:r>
      <w:r w:rsidR="00B95FB9">
        <w:t xml:space="preserve"> There is a specific Medicare Benefits Schedule item</w:t>
      </w:r>
      <w:r w:rsidR="0031539B">
        <w:t xml:space="preserve"> (Item 11219) </w:t>
      </w:r>
      <w:r w:rsidR="00B95FB9">
        <w:t>to claim</w:t>
      </w:r>
      <w:r w:rsidR="0031539B">
        <w:t xml:space="preserve"> for optical coherence tomography</w:t>
      </w:r>
      <w:r w:rsidR="00D91009">
        <w:t xml:space="preserve"> </w:t>
      </w:r>
      <w:r>
        <w:t xml:space="preserve">(OCT) </w:t>
      </w:r>
      <w:r w:rsidR="0031539B">
        <w:t>when</w:t>
      </w:r>
      <w:r w:rsidR="00B95FB9">
        <w:t xml:space="preserve"> this procedure is done to fulfil the requirements of the PBS restrictions.</w:t>
      </w:r>
      <w:r w:rsidR="006D0111">
        <w:t xml:space="preserve"> </w:t>
      </w:r>
      <w:r>
        <w:t xml:space="preserve">Only one MBS service for OCT can be claimed over a 12 month period.  </w:t>
      </w:r>
      <w:r w:rsidR="00D91009">
        <w:t>MBS item</w:t>
      </w:r>
      <w:r w:rsidR="006D0111">
        <w:t>s</w:t>
      </w:r>
      <w:r w:rsidR="00D91009">
        <w:t xml:space="preserve"> (Item</w:t>
      </w:r>
      <w:r w:rsidR="006D0111">
        <w:t>s</w:t>
      </w:r>
      <w:r w:rsidR="00D91009">
        <w:t xml:space="preserve"> 11215</w:t>
      </w:r>
      <w:r w:rsidR="006D0111">
        <w:t xml:space="preserve"> and 11218) are</w:t>
      </w:r>
      <w:r w:rsidR="00D91009">
        <w:t xml:space="preserve"> also available for retinal angiography.</w:t>
      </w:r>
      <w:r w:rsidR="00694750">
        <w:t xml:space="preserve"> </w:t>
      </w:r>
      <w:r w:rsidR="009D5680">
        <w:t xml:space="preserve">There </w:t>
      </w:r>
      <w:r w:rsidR="00FD4760">
        <w:t>is</w:t>
      </w:r>
      <w:r w:rsidR="009D5680">
        <w:t xml:space="preserve"> also </w:t>
      </w:r>
      <w:r w:rsidR="00FD4760">
        <w:t xml:space="preserve">a </w:t>
      </w:r>
      <w:r w:rsidR="009D5680">
        <w:t xml:space="preserve">MBS item for the </w:t>
      </w:r>
      <w:r w:rsidR="00FD4760">
        <w:t xml:space="preserve">intravitreal injection of therapeutic substances (Item 42740). </w:t>
      </w:r>
    </w:p>
    <w:p w:rsidR="009D5680" w:rsidRDefault="00FD4760" w:rsidP="001556DB">
      <w:r>
        <w:t xml:space="preserve">Further information on the MBS items can be obtained from </w:t>
      </w:r>
      <w:r w:rsidRPr="005E775B">
        <w:t>MBS Online</w:t>
      </w:r>
      <w:r>
        <w:t>.</w:t>
      </w:r>
    </w:p>
    <w:p w:rsidR="009C35F2" w:rsidRDefault="009C35F2" w:rsidP="00CF5E22">
      <w:pPr>
        <w:pStyle w:val="Heading3"/>
      </w:pPr>
      <w:bookmarkStart w:id="18" w:name="_Toc513038018"/>
      <w:r w:rsidRPr="00675BB1" w:rsidDel="00EE2BBB">
        <w:t>Date of</w:t>
      </w:r>
      <w:r w:rsidR="00205751">
        <w:t xml:space="preserve"> first</w:t>
      </w:r>
      <w:r w:rsidRPr="00675BB1" w:rsidDel="00EE2BBB">
        <w:t xml:space="preserve"> listing on PBS</w:t>
      </w:r>
      <w:bookmarkEnd w:id="18"/>
    </w:p>
    <w:p w:rsidR="003F714C" w:rsidRDefault="003F714C" w:rsidP="003F714C">
      <w:pPr>
        <w:pStyle w:val="ListParagraph"/>
        <w:numPr>
          <w:ilvl w:val="0"/>
          <w:numId w:val="4"/>
        </w:numPr>
      </w:pPr>
      <w:r>
        <w:t>Ranibizumab listed 1 August 2007</w:t>
      </w:r>
    </w:p>
    <w:p w:rsidR="003F714C" w:rsidRDefault="003F714C" w:rsidP="003F714C">
      <w:pPr>
        <w:pStyle w:val="ListParagraph"/>
        <w:numPr>
          <w:ilvl w:val="0"/>
          <w:numId w:val="4"/>
        </w:numPr>
      </w:pPr>
      <w:r>
        <w:t>Aflibercept listed 1 December 2012</w:t>
      </w:r>
    </w:p>
    <w:p w:rsidR="00230000" w:rsidRPr="002D144A" w:rsidRDefault="00230000" w:rsidP="003F714C">
      <w:pPr>
        <w:pStyle w:val="ListParagraph"/>
        <w:numPr>
          <w:ilvl w:val="0"/>
          <w:numId w:val="4"/>
        </w:numPr>
      </w:pPr>
      <w:r>
        <w:t>Dexamethasone implant listed 1 November 2016</w:t>
      </w:r>
    </w:p>
    <w:p w:rsidR="00675BB1" w:rsidRDefault="00675BB1" w:rsidP="0046246A">
      <w:pPr>
        <w:pStyle w:val="Heading3"/>
        <w:keepNext/>
      </w:pPr>
      <w:bookmarkStart w:id="19" w:name="_Toc513038019"/>
      <w:r w:rsidRPr="00675BB1" w:rsidDel="00EE2BBB">
        <w:t>Changes</w:t>
      </w:r>
      <w:r w:rsidR="00205751">
        <w:t>/additions</w:t>
      </w:r>
      <w:r w:rsidRPr="00675BB1" w:rsidDel="00EE2BBB">
        <w:t xml:space="preserve"> to listing</w:t>
      </w:r>
      <w:bookmarkEnd w:id="19"/>
    </w:p>
    <w:p w:rsidR="00403745" w:rsidRPr="00403745" w:rsidDel="00EE2BBB" w:rsidRDefault="00403745" w:rsidP="00403745">
      <w:pPr>
        <w:pStyle w:val="Tabletitle"/>
      </w:pPr>
      <w:r w:rsidRPr="00E01E0B">
        <w:t xml:space="preserve">Table </w:t>
      </w:r>
      <w:r>
        <w:t>6</w:t>
      </w:r>
      <w:r w:rsidRPr="00E01E0B">
        <w:t xml:space="preserve">: </w:t>
      </w:r>
      <w:r>
        <w:t>Changes to PBS listings of medicines for AMD, DMO and RVO</w:t>
      </w:r>
    </w:p>
    <w:tbl>
      <w:tblPr>
        <w:tblStyle w:val="TableGrid"/>
        <w:tblW w:w="0" w:type="auto"/>
        <w:tblLook w:val="04A0" w:firstRow="1" w:lastRow="0" w:firstColumn="1" w:lastColumn="0" w:noHBand="0" w:noVBand="1"/>
        <w:tblCaption w:val="Table 6"/>
        <w:tblDescription w:val="Changes to PBS listings for ranibizumab, aflibercept and dexamethasone"/>
      </w:tblPr>
      <w:tblGrid>
        <w:gridCol w:w="5778"/>
        <w:gridCol w:w="1701"/>
        <w:gridCol w:w="1694"/>
      </w:tblGrid>
      <w:tr w:rsidR="0046246A" w:rsidRPr="0046246A" w:rsidTr="0046246A">
        <w:trPr>
          <w:tblHeader/>
        </w:trPr>
        <w:tc>
          <w:tcPr>
            <w:tcW w:w="5778" w:type="dxa"/>
            <w:shd w:val="clear" w:color="auto" w:fill="BFBFBF" w:themeFill="background1" w:themeFillShade="BF"/>
          </w:tcPr>
          <w:p w:rsidR="0046246A" w:rsidRPr="0046246A" w:rsidRDefault="0046246A" w:rsidP="0046246A">
            <w:pPr>
              <w:pStyle w:val="Tableheading"/>
              <w:keepNext/>
              <w:rPr>
                <w:sz w:val="20"/>
                <w:szCs w:val="20"/>
              </w:rPr>
            </w:pPr>
            <w:r w:rsidRPr="0046246A">
              <w:rPr>
                <w:sz w:val="20"/>
                <w:szCs w:val="20"/>
              </w:rPr>
              <w:t>Listing details</w:t>
            </w:r>
          </w:p>
        </w:tc>
        <w:tc>
          <w:tcPr>
            <w:tcW w:w="1701" w:type="dxa"/>
            <w:shd w:val="clear" w:color="auto" w:fill="BFBFBF" w:themeFill="background1" w:themeFillShade="BF"/>
          </w:tcPr>
          <w:p w:rsidR="0046246A" w:rsidRPr="0046246A" w:rsidRDefault="0046246A" w:rsidP="0046246A">
            <w:pPr>
              <w:pStyle w:val="Tableheading"/>
              <w:keepNext/>
              <w:rPr>
                <w:sz w:val="20"/>
                <w:szCs w:val="20"/>
              </w:rPr>
            </w:pPr>
            <w:r w:rsidRPr="0046246A">
              <w:rPr>
                <w:sz w:val="20"/>
                <w:szCs w:val="20"/>
              </w:rPr>
              <w:t>PBAC recommendation</w:t>
            </w:r>
          </w:p>
        </w:tc>
        <w:tc>
          <w:tcPr>
            <w:tcW w:w="1694" w:type="dxa"/>
            <w:shd w:val="clear" w:color="auto" w:fill="BFBFBF" w:themeFill="background1" w:themeFillShade="BF"/>
          </w:tcPr>
          <w:p w:rsidR="0046246A" w:rsidRPr="0046246A" w:rsidRDefault="0046246A" w:rsidP="00623E7B">
            <w:pPr>
              <w:pStyle w:val="Tableheading"/>
              <w:keepNext/>
              <w:rPr>
                <w:sz w:val="20"/>
                <w:szCs w:val="20"/>
              </w:rPr>
            </w:pPr>
            <w:r w:rsidRPr="0046246A">
              <w:rPr>
                <w:sz w:val="20"/>
                <w:szCs w:val="20"/>
              </w:rPr>
              <w:t>Date listed</w:t>
            </w:r>
          </w:p>
        </w:tc>
      </w:tr>
      <w:tr w:rsidR="0046246A" w:rsidTr="007A1EF4">
        <w:tc>
          <w:tcPr>
            <w:tcW w:w="5778" w:type="dxa"/>
            <w:shd w:val="clear" w:color="auto" w:fill="auto"/>
          </w:tcPr>
          <w:p w:rsidR="0046246A" w:rsidRPr="006258C7" w:rsidRDefault="0046246A" w:rsidP="00965111">
            <w:pPr>
              <w:pStyle w:val="Tablewriting"/>
            </w:pPr>
            <w:r w:rsidRPr="006258C7">
              <w:t xml:space="preserve">Ranibizumab first listed for CNV </w:t>
            </w:r>
            <w:r w:rsidR="00623E7B">
              <w:t xml:space="preserve">due to AMD </w:t>
            </w:r>
            <w:r w:rsidRPr="006258C7">
              <w:t>as a vial presentation.</w:t>
            </w:r>
          </w:p>
        </w:tc>
        <w:tc>
          <w:tcPr>
            <w:tcW w:w="1701" w:type="dxa"/>
            <w:shd w:val="clear" w:color="auto" w:fill="auto"/>
          </w:tcPr>
          <w:p w:rsidR="0046246A" w:rsidRPr="006258C7" w:rsidRDefault="0046246A" w:rsidP="00965111">
            <w:pPr>
              <w:pStyle w:val="Tablewriting"/>
            </w:pPr>
            <w:r w:rsidRPr="006258C7">
              <w:t>March 2007</w:t>
            </w:r>
          </w:p>
        </w:tc>
        <w:tc>
          <w:tcPr>
            <w:tcW w:w="1694" w:type="dxa"/>
            <w:shd w:val="clear" w:color="auto" w:fill="auto"/>
          </w:tcPr>
          <w:p w:rsidR="0046246A" w:rsidRPr="006258C7" w:rsidRDefault="0046246A" w:rsidP="00965111">
            <w:pPr>
              <w:pStyle w:val="Tablewriting"/>
            </w:pPr>
            <w:r w:rsidRPr="006258C7">
              <w:t>1 August 2007</w:t>
            </w:r>
          </w:p>
        </w:tc>
      </w:tr>
      <w:tr w:rsidR="0046246A" w:rsidTr="007A1EF4">
        <w:tc>
          <w:tcPr>
            <w:tcW w:w="5778" w:type="dxa"/>
            <w:shd w:val="clear" w:color="auto" w:fill="auto"/>
          </w:tcPr>
          <w:p w:rsidR="0046246A" w:rsidRPr="006258C7" w:rsidRDefault="0046246A" w:rsidP="00965111">
            <w:pPr>
              <w:pStyle w:val="Tablewriting"/>
            </w:pPr>
            <w:r w:rsidRPr="006258C7">
              <w:t xml:space="preserve">Aflibercept first listed for </w:t>
            </w:r>
            <w:r w:rsidR="00D15935">
              <w:t>CNV</w:t>
            </w:r>
            <w:r w:rsidRPr="006258C7">
              <w:t xml:space="preserve"> as a vial presentation.</w:t>
            </w:r>
          </w:p>
        </w:tc>
        <w:tc>
          <w:tcPr>
            <w:tcW w:w="1701" w:type="dxa"/>
            <w:shd w:val="clear" w:color="auto" w:fill="auto"/>
          </w:tcPr>
          <w:p w:rsidR="0046246A" w:rsidRPr="006258C7" w:rsidRDefault="0046246A" w:rsidP="00965111">
            <w:pPr>
              <w:pStyle w:val="Tablewriting"/>
            </w:pPr>
            <w:r w:rsidRPr="006258C7">
              <w:t>March 2012</w:t>
            </w:r>
          </w:p>
        </w:tc>
        <w:tc>
          <w:tcPr>
            <w:tcW w:w="1694" w:type="dxa"/>
            <w:shd w:val="clear" w:color="auto" w:fill="auto"/>
          </w:tcPr>
          <w:p w:rsidR="0046246A" w:rsidRPr="006258C7" w:rsidRDefault="0046246A" w:rsidP="00965111">
            <w:pPr>
              <w:pStyle w:val="Tablewriting"/>
            </w:pPr>
            <w:r w:rsidRPr="006258C7">
              <w:t>1 December 2012</w:t>
            </w:r>
          </w:p>
        </w:tc>
      </w:tr>
      <w:tr w:rsidR="0046246A" w:rsidTr="007A1EF4">
        <w:tc>
          <w:tcPr>
            <w:tcW w:w="5778" w:type="dxa"/>
            <w:shd w:val="clear" w:color="auto" w:fill="auto"/>
          </w:tcPr>
          <w:p w:rsidR="0046246A" w:rsidRPr="006258C7" w:rsidRDefault="0046246A" w:rsidP="00965111">
            <w:pPr>
              <w:pStyle w:val="Tablewriting"/>
            </w:pPr>
            <w:r w:rsidRPr="006258C7">
              <w:t xml:space="preserve">A pre-filled syringe presentation of ranibizumab was listed for </w:t>
            </w:r>
            <w:r w:rsidR="00D15935">
              <w:t>CNV</w:t>
            </w:r>
            <w:r w:rsidR="00623E7B">
              <w:t xml:space="preserve"> due to AMD</w:t>
            </w:r>
            <w:r w:rsidRPr="006258C7">
              <w:t>.</w:t>
            </w:r>
          </w:p>
        </w:tc>
        <w:tc>
          <w:tcPr>
            <w:tcW w:w="1701" w:type="dxa"/>
            <w:shd w:val="clear" w:color="auto" w:fill="auto"/>
          </w:tcPr>
          <w:p w:rsidR="0046246A" w:rsidRPr="006258C7" w:rsidRDefault="0046246A" w:rsidP="00965111">
            <w:pPr>
              <w:pStyle w:val="Tablewriting"/>
            </w:pPr>
            <w:r w:rsidRPr="006258C7">
              <w:t>March 2014</w:t>
            </w:r>
          </w:p>
        </w:tc>
        <w:tc>
          <w:tcPr>
            <w:tcW w:w="1694" w:type="dxa"/>
            <w:shd w:val="clear" w:color="auto" w:fill="auto"/>
          </w:tcPr>
          <w:p w:rsidR="0046246A" w:rsidRPr="006258C7" w:rsidRDefault="0046246A" w:rsidP="00965111">
            <w:pPr>
              <w:pStyle w:val="Tablewriting"/>
            </w:pPr>
            <w:r w:rsidRPr="006258C7">
              <w:t>1 September 2014</w:t>
            </w:r>
          </w:p>
        </w:tc>
      </w:tr>
      <w:tr w:rsidR="0046246A" w:rsidTr="007A1EF4">
        <w:tc>
          <w:tcPr>
            <w:tcW w:w="5778" w:type="dxa"/>
            <w:shd w:val="clear" w:color="auto" w:fill="auto"/>
          </w:tcPr>
          <w:p w:rsidR="0046246A" w:rsidRPr="006258C7" w:rsidRDefault="0046246A" w:rsidP="00965111">
            <w:pPr>
              <w:pStyle w:val="Tablewriting"/>
            </w:pPr>
            <w:r w:rsidRPr="006258C7">
              <w:t xml:space="preserve">Ranibizumab first listed for visual impairment due to </w:t>
            </w:r>
            <w:r w:rsidR="00D15935">
              <w:t xml:space="preserve">MO </w:t>
            </w:r>
            <w:r w:rsidRPr="006258C7">
              <w:t xml:space="preserve">secondary to </w:t>
            </w:r>
            <w:r w:rsidR="00D15935">
              <w:t xml:space="preserve">RVO </w:t>
            </w:r>
            <w:r w:rsidRPr="006258C7">
              <w:t xml:space="preserve">(both </w:t>
            </w:r>
            <w:r w:rsidR="00D15935">
              <w:t>BRVO and CRVO</w:t>
            </w:r>
            <w:r w:rsidRPr="006258C7">
              <w:t xml:space="preserve">).  </w:t>
            </w:r>
          </w:p>
        </w:tc>
        <w:tc>
          <w:tcPr>
            <w:tcW w:w="1701" w:type="dxa"/>
            <w:shd w:val="clear" w:color="auto" w:fill="auto"/>
          </w:tcPr>
          <w:p w:rsidR="0046246A" w:rsidRPr="006258C7" w:rsidRDefault="0046246A" w:rsidP="00965111">
            <w:pPr>
              <w:pStyle w:val="Tablewriting"/>
            </w:pPr>
            <w:r w:rsidRPr="006258C7">
              <w:t>July 2014</w:t>
            </w:r>
          </w:p>
        </w:tc>
        <w:tc>
          <w:tcPr>
            <w:tcW w:w="1694" w:type="dxa"/>
            <w:shd w:val="clear" w:color="auto" w:fill="auto"/>
          </w:tcPr>
          <w:p w:rsidR="0046246A" w:rsidRPr="006258C7" w:rsidRDefault="0046246A" w:rsidP="00965111">
            <w:pPr>
              <w:pStyle w:val="Tablewriting"/>
            </w:pPr>
            <w:r w:rsidRPr="006258C7">
              <w:t>1 July 2015</w:t>
            </w:r>
          </w:p>
        </w:tc>
      </w:tr>
      <w:tr w:rsidR="0046246A" w:rsidTr="007A1EF4">
        <w:tc>
          <w:tcPr>
            <w:tcW w:w="5778" w:type="dxa"/>
            <w:shd w:val="clear" w:color="auto" w:fill="auto"/>
          </w:tcPr>
          <w:p w:rsidR="0046246A" w:rsidRPr="006258C7" w:rsidRDefault="0046246A" w:rsidP="00965111">
            <w:pPr>
              <w:pStyle w:val="Tablewriting"/>
            </w:pPr>
            <w:r w:rsidRPr="006258C7">
              <w:t xml:space="preserve">Ranibizumab first listed for visual impairment due to </w:t>
            </w:r>
            <w:r w:rsidR="00D15935">
              <w:t>DMO</w:t>
            </w:r>
            <w:r w:rsidRPr="006258C7">
              <w:t>.</w:t>
            </w:r>
          </w:p>
        </w:tc>
        <w:tc>
          <w:tcPr>
            <w:tcW w:w="1701" w:type="dxa"/>
            <w:shd w:val="clear" w:color="auto" w:fill="auto"/>
          </w:tcPr>
          <w:p w:rsidR="0046246A" w:rsidRPr="006258C7" w:rsidRDefault="0046246A" w:rsidP="00965111">
            <w:pPr>
              <w:pStyle w:val="Tablewriting"/>
            </w:pPr>
            <w:r w:rsidRPr="006258C7">
              <w:t>July 2014</w:t>
            </w:r>
          </w:p>
        </w:tc>
        <w:tc>
          <w:tcPr>
            <w:tcW w:w="1694" w:type="dxa"/>
            <w:shd w:val="clear" w:color="auto" w:fill="auto"/>
          </w:tcPr>
          <w:p w:rsidR="0046246A" w:rsidRPr="006258C7" w:rsidRDefault="0046246A" w:rsidP="00965111">
            <w:pPr>
              <w:pStyle w:val="Tablewriting"/>
            </w:pPr>
            <w:r w:rsidRPr="006258C7">
              <w:t>1 July 2015</w:t>
            </w:r>
          </w:p>
        </w:tc>
      </w:tr>
      <w:tr w:rsidR="0046246A" w:rsidTr="007A1EF4">
        <w:tc>
          <w:tcPr>
            <w:tcW w:w="5778" w:type="dxa"/>
            <w:shd w:val="clear" w:color="auto" w:fill="auto"/>
          </w:tcPr>
          <w:p w:rsidR="0046246A" w:rsidRPr="006258C7" w:rsidRDefault="0046246A" w:rsidP="00965111">
            <w:pPr>
              <w:pStyle w:val="Tablewriting"/>
            </w:pPr>
            <w:r w:rsidRPr="006258C7">
              <w:t xml:space="preserve">The ranibizumab 2.3 mg/0.23 mL solution for injection and ranibizumab 1.65 mg/0.165 mL pre-filled syringe presentations for ranibizumab were ‘a’ flagged in the Schedule (to enable pharmacists to substitute the two presentations). </w:t>
            </w:r>
          </w:p>
        </w:tc>
        <w:tc>
          <w:tcPr>
            <w:tcW w:w="1701" w:type="dxa"/>
            <w:shd w:val="clear" w:color="auto" w:fill="auto"/>
          </w:tcPr>
          <w:p w:rsidR="0046246A" w:rsidRPr="006258C7" w:rsidRDefault="0046246A" w:rsidP="00965111">
            <w:pPr>
              <w:pStyle w:val="Tablewriting"/>
            </w:pPr>
            <w:r w:rsidRPr="006258C7">
              <w:t>November 2014</w:t>
            </w:r>
          </w:p>
        </w:tc>
        <w:tc>
          <w:tcPr>
            <w:tcW w:w="1694" w:type="dxa"/>
            <w:shd w:val="clear" w:color="auto" w:fill="auto"/>
          </w:tcPr>
          <w:p w:rsidR="0046246A" w:rsidRPr="006258C7" w:rsidRDefault="0046246A" w:rsidP="00965111">
            <w:pPr>
              <w:pStyle w:val="Tablewriting"/>
            </w:pPr>
            <w:r w:rsidRPr="006258C7">
              <w:t>1 March 2015</w:t>
            </w:r>
          </w:p>
        </w:tc>
      </w:tr>
      <w:tr w:rsidR="0046246A" w:rsidTr="007A1EF4">
        <w:tc>
          <w:tcPr>
            <w:tcW w:w="5778" w:type="dxa"/>
            <w:shd w:val="clear" w:color="auto" w:fill="auto"/>
          </w:tcPr>
          <w:p w:rsidR="0046246A" w:rsidRPr="006258C7" w:rsidRDefault="0046246A" w:rsidP="00965111">
            <w:pPr>
              <w:pStyle w:val="Tablewriting"/>
            </w:pPr>
            <w:r w:rsidRPr="006258C7">
              <w:t>The listing of aflibercept was extended to include treatment of a patient with visual impairment due to</w:t>
            </w:r>
            <w:r w:rsidR="001133CC">
              <w:t xml:space="preserve"> </w:t>
            </w:r>
            <w:r w:rsidRPr="006258C7">
              <w:t>DM</w:t>
            </w:r>
            <w:r w:rsidR="003E7E26">
              <w:t>O</w:t>
            </w:r>
            <w:r w:rsidRPr="006258C7">
              <w:t xml:space="preserve">.  </w:t>
            </w:r>
          </w:p>
        </w:tc>
        <w:tc>
          <w:tcPr>
            <w:tcW w:w="1701" w:type="dxa"/>
            <w:shd w:val="clear" w:color="auto" w:fill="auto"/>
          </w:tcPr>
          <w:p w:rsidR="0046246A" w:rsidRPr="006258C7" w:rsidRDefault="0046246A" w:rsidP="00965111">
            <w:pPr>
              <w:pStyle w:val="Tablewriting"/>
            </w:pPr>
            <w:r w:rsidRPr="006258C7">
              <w:t>November 2014</w:t>
            </w:r>
          </w:p>
        </w:tc>
        <w:tc>
          <w:tcPr>
            <w:tcW w:w="1694" w:type="dxa"/>
            <w:shd w:val="clear" w:color="auto" w:fill="auto"/>
          </w:tcPr>
          <w:p w:rsidR="0046246A" w:rsidRPr="006258C7" w:rsidRDefault="0046246A" w:rsidP="00965111">
            <w:pPr>
              <w:pStyle w:val="Tablewriting"/>
            </w:pPr>
            <w:r w:rsidRPr="006258C7">
              <w:t>1 October 2015</w:t>
            </w:r>
          </w:p>
        </w:tc>
      </w:tr>
      <w:tr w:rsidR="0046246A" w:rsidTr="007A1EF4">
        <w:tc>
          <w:tcPr>
            <w:tcW w:w="5778" w:type="dxa"/>
            <w:shd w:val="clear" w:color="auto" w:fill="auto"/>
          </w:tcPr>
          <w:p w:rsidR="0046246A" w:rsidRPr="006258C7" w:rsidRDefault="0046246A" w:rsidP="00965111">
            <w:pPr>
              <w:pStyle w:val="Tablewriting"/>
            </w:pPr>
            <w:r w:rsidRPr="006258C7">
              <w:t xml:space="preserve">The listing of aflibercept was extended to include treatment of </w:t>
            </w:r>
            <w:r w:rsidR="00D15935">
              <w:t>MO</w:t>
            </w:r>
            <w:r w:rsidRPr="006258C7">
              <w:t xml:space="preserve"> due to CRVO.</w:t>
            </w:r>
          </w:p>
        </w:tc>
        <w:tc>
          <w:tcPr>
            <w:tcW w:w="1701" w:type="dxa"/>
            <w:shd w:val="clear" w:color="auto" w:fill="auto"/>
          </w:tcPr>
          <w:p w:rsidR="0046246A" w:rsidRPr="006258C7" w:rsidRDefault="0046246A" w:rsidP="00965111">
            <w:pPr>
              <w:pStyle w:val="Tablewriting"/>
            </w:pPr>
            <w:r w:rsidRPr="006258C7">
              <w:t>November 2014</w:t>
            </w:r>
          </w:p>
        </w:tc>
        <w:tc>
          <w:tcPr>
            <w:tcW w:w="1694" w:type="dxa"/>
            <w:shd w:val="clear" w:color="auto" w:fill="auto"/>
          </w:tcPr>
          <w:p w:rsidR="0046246A" w:rsidRPr="006258C7" w:rsidRDefault="0046246A" w:rsidP="00965111">
            <w:pPr>
              <w:pStyle w:val="Tablewriting"/>
            </w:pPr>
            <w:r w:rsidRPr="006258C7">
              <w:t>1 October 2015</w:t>
            </w:r>
          </w:p>
        </w:tc>
      </w:tr>
      <w:tr w:rsidR="0046246A" w:rsidTr="007A1EF4">
        <w:tc>
          <w:tcPr>
            <w:tcW w:w="5778" w:type="dxa"/>
            <w:shd w:val="clear" w:color="auto" w:fill="auto"/>
          </w:tcPr>
          <w:p w:rsidR="0046246A" w:rsidRPr="006258C7" w:rsidRDefault="0046246A" w:rsidP="00965111">
            <w:pPr>
              <w:pStyle w:val="Tablewriting"/>
            </w:pPr>
            <w:r w:rsidRPr="006258C7">
              <w:t xml:space="preserve">The listing of aflibercept was extended to include treatment of a patient with </w:t>
            </w:r>
            <w:r w:rsidR="00D15935">
              <w:t>MO</w:t>
            </w:r>
            <w:r w:rsidRPr="006258C7">
              <w:t xml:space="preserve"> secondary to BRVO.  </w:t>
            </w:r>
          </w:p>
        </w:tc>
        <w:tc>
          <w:tcPr>
            <w:tcW w:w="1701" w:type="dxa"/>
            <w:shd w:val="clear" w:color="auto" w:fill="auto"/>
          </w:tcPr>
          <w:p w:rsidR="0046246A" w:rsidRPr="006258C7" w:rsidRDefault="0046246A" w:rsidP="00965111">
            <w:pPr>
              <w:pStyle w:val="Tablewriting"/>
            </w:pPr>
            <w:r w:rsidRPr="006258C7">
              <w:t>November 2015</w:t>
            </w:r>
          </w:p>
        </w:tc>
        <w:tc>
          <w:tcPr>
            <w:tcW w:w="1694" w:type="dxa"/>
            <w:shd w:val="clear" w:color="auto" w:fill="auto"/>
          </w:tcPr>
          <w:p w:rsidR="0046246A" w:rsidRPr="006258C7" w:rsidRDefault="0046246A" w:rsidP="00965111">
            <w:pPr>
              <w:pStyle w:val="Tablewriting"/>
            </w:pPr>
            <w:r w:rsidRPr="006258C7">
              <w:t>1 December 2016</w:t>
            </w:r>
          </w:p>
        </w:tc>
      </w:tr>
      <w:tr w:rsidR="0046246A" w:rsidTr="007A1EF4">
        <w:tc>
          <w:tcPr>
            <w:tcW w:w="5778" w:type="dxa"/>
            <w:shd w:val="clear" w:color="auto" w:fill="auto"/>
          </w:tcPr>
          <w:p w:rsidR="0046246A" w:rsidRPr="006258C7" w:rsidRDefault="0046246A" w:rsidP="00965111">
            <w:pPr>
              <w:pStyle w:val="Tablewriting"/>
              <w:rPr>
                <w:rFonts w:ascii="Calibri" w:hAnsi="Calibri"/>
              </w:rPr>
            </w:pPr>
            <w:r w:rsidRPr="006258C7">
              <w:rPr>
                <w:rFonts w:ascii="Calibri" w:hAnsi="Calibri"/>
              </w:rPr>
              <w:t>Dexamethasone listed for visual impairment due to</w:t>
            </w:r>
            <w:r w:rsidR="00E172E2">
              <w:rPr>
                <w:rFonts w:ascii="Calibri" w:hAnsi="Calibri"/>
              </w:rPr>
              <w:t xml:space="preserve"> </w:t>
            </w:r>
            <w:r w:rsidR="00D15935">
              <w:rPr>
                <w:rFonts w:ascii="Calibri" w:hAnsi="Calibri"/>
              </w:rPr>
              <w:t>DMO</w:t>
            </w:r>
            <w:r w:rsidRPr="006258C7">
              <w:rPr>
                <w:rFonts w:ascii="Calibri" w:hAnsi="Calibri"/>
              </w:rPr>
              <w:t>.</w:t>
            </w:r>
          </w:p>
        </w:tc>
        <w:tc>
          <w:tcPr>
            <w:tcW w:w="1701" w:type="dxa"/>
            <w:shd w:val="clear" w:color="auto" w:fill="auto"/>
          </w:tcPr>
          <w:p w:rsidR="0046246A" w:rsidRPr="006258C7" w:rsidRDefault="0046246A" w:rsidP="00965111">
            <w:pPr>
              <w:pStyle w:val="Tablewriting"/>
            </w:pPr>
            <w:r w:rsidRPr="006258C7">
              <w:t>March 2016</w:t>
            </w:r>
          </w:p>
        </w:tc>
        <w:tc>
          <w:tcPr>
            <w:tcW w:w="1694" w:type="dxa"/>
            <w:shd w:val="clear" w:color="auto" w:fill="auto"/>
          </w:tcPr>
          <w:p w:rsidR="0046246A" w:rsidRPr="006258C7" w:rsidRDefault="0046246A" w:rsidP="00965111">
            <w:pPr>
              <w:pStyle w:val="Tablewriting"/>
            </w:pPr>
            <w:r w:rsidRPr="006258C7">
              <w:t>1 November 2016</w:t>
            </w:r>
          </w:p>
        </w:tc>
      </w:tr>
    </w:tbl>
    <w:p w:rsidR="00D15935" w:rsidRPr="00D15935" w:rsidRDefault="00D15935" w:rsidP="00BF544D">
      <w:pPr>
        <w:rPr>
          <w:sz w:val="20"/>
          <w:szCs w:val="20"/>
        </w:rPr>
      </w:pPr>
      <w:r w:rsidRPr="00D15935">
        <w:rPr>
          <w:sz w:val="20"/>
          <w:szCs w:val="20"/>
        </w:rPr>
        <w:t>Note:</w:t>
      </w:r>
      <w:r w:rsidR="00EB6F8C">
        <w:rPr>
          <w:sz w:val="20"/>
          <w:szCs w:val="20"/>
        </w:rPr>
        <w:t xml:space="preserve"> </w:t>
      </w:r>
      <w:r w:rsidRPr="00D15935">
        <w:rPr>
          <w:sz w:val="20"/>
          <w:szCs w:val="20"/>
        </w:rPr>
        <w:t xml:space="preserve">AMD, aged related macular degeneration; BRVO, branch retinal vein occlusion; CNV, </w:t>
      </w:r>
      <w:r w:rsidRPr="00D15935">
        <w:rPr>
          <w:rFonts w:cs="Calibri"/>
          <w:color w:val="000000"/>
          <w:sz w:val="20"/>
          <w:szCs w:val="20"/>
        </w:rPr>
        <w:t>subfoveal choroidal neovascularisation</w:t>
      </w:r>
      <w:r w:rsidRPr="00430A62">
        <w:rPr>
          <w:rFonts w:cs="Calibri"/>
          <w:color w:val="000000"/>
          <w:sz w:val="20"/>
          <w:szCs w:val="20"/>
        </w:rPr>
        <w:t>;</w:t>
      </w:r>
      <w:r w:rsidRPr="006D0F9D">
        <w:rPr>
          <w:rFonts w:cs="Calibri"/>
          <w:color w:val="000000"/>
          <w:sz w:val="20"/>
          <w:szCs w:val="20"/>
        </w:rPr>
        <w:t xml:space="preserve"> CRVO, central retin</w:t>
      </w:r>
      <w:r w:rsidRPr="007B2122">
        <w:rPr>
          <w:rFonts w:cs="Calibri"/>
          <w:color w:val="000000"/>
          <w:sz w:val="20"/>
          <w:szCs w:val="20"/>
        </w:rPr>
        <w:t xml:space="preserve">al vein occlusion; DMO, diabetic macular oedema; MO, macular oedema; </w:t>
      </w:r>
      <w:r w:rsidRPr="00647F29">
        <w:rPr>
          <w:rFonts w:cs="Calibri"/>
          <w:color w:val="000000"/>
          <w:sz w:val="20"/>
          <w:szCs w:val="20"/>
        </w:rPr>
        <w:t xml:space="preserve"> RVO, retinal vein occlusion</w:t>
      </w:r>
      <w:r>
        <w:rPr>
          <w:rFonts w:cs="Calibri"/>
          <w:color w:val="000000"/>
          <w:sz w:val="20"/>
          <w:szCs w:val="20"/>
        </w:rPr>
        <w:t>.</w:t>
      </w:r>
    </w:p>
    <w:p w:rsidR="00BF544D" w:rsidRPr="002F61CA" w:rsidDel="00EE2BBB" w:rsidRDefault="00BF544D" w:rsidP="00BF544D">
      <w:r w:rsidRPr="002F61CA" w:rsidDel="00EE2BBB">
        <w:t xml:space="preserve">Current PBS listing details are available from </w:t>
      </w:r>
      <w:r w:rsidDel="00EE2BBB">
        <w:t xml:space="preserve">the </w:t>
      </w:r>
      <w:r w:rsidRPr="005E775B" w:rsidDel="00EE2BBB">
        <w:t>PBS website</w:t>
      </w:r>
      <w:r w:rsidDel="00EE2BBB">
        <w:t>.</w:t>
      </w:r>
    </w:p>
    <w:p w:rsidR="00DA3663" w:rsidRDefault="00DA3663">
      <w:pPr>
        <w:spacing w:line="276" w:lineRule="auto"/>
        <w:rPr>
          <w:b/>
          <w:sz w:val="28"/>
        </w:rPr>
      </w:pPr>
      <w:r>
        <w:br w:type="page"/>
      </w:r>
    </w:p>
    <w:p w:rsidR="00736041" w:rsidRDefault="00394AEE" w:rsidP="00CF5E22">
      <w:pPr>
        <w:pStyle w:val="Heading2"/>
      </w:pPr>
      <w:bookmarkStart w:id="20" w:name="_Toc513038020"/>
      <w:r>
        <w:lastRenderedPageBreak/>
        <w:t>Relevant aspects of</w:t>
      </w:r>
      <w:r w:rsidR="00736041" w:rsidRPr="005E22C2">
        <w:t xml:space="preserve"> consideration</w:t>
      </w:r>
      <w:r>
        <w:t xml:space="preserve"> by the Pharmaceutical Benefits Advisory Committee (PBAC)</w:t>
      </w:r>
      <w:bookmarkEnd w:id="20"/>
    </w:p>
    <w:p w:rsidR="0046246A" w:rsidRPr="00242ACA" w:rsidRDefault="0046246A" w:rsidP="0046246A">
      <w:r>
        <w:t>The main recommendations made by PBAC relevant to the review are summarised below by indication.</w:t>
      </w:r>
    </w:p>
    <w:p w:rsidR="0046246A" w:rsidRPr="009C6FE0" w:rsidRDefault="0046246A" w:rsidP="00965111">
      <w:pPr>
        <w:pStyle w:val="Heading3"/>
      </w:pPr>
      <w:bookmarkStart w:id="21" w:name="_Toc513038021"/>
      <w:r w:rsidRPr="009C6FE0">
        <w:t>Subfoveal choroidal neovascularisation (CNV)</w:t>
      </w:r>
      <w:bookmarkEnd w:id="21"/>
    </w:p>
    <w:p w:rsidR="0046246A" w:rsidRDefault="0046246A" w:rsidP="0046246A">
      <w:r w:rsidRPr="00DF3334">
        <w:t xml:space="preserve">Verteporfin was the first listing </w:t>
      </w:r>
      <w:r>
        <w:t xml:space="preserve">for </w:t>
      </w:r>
      <w:r w:rsidRPr="00242ACA">
        <w:t>subfoveal choroidal neovascularisation</w:t>
      </w:r>
      <w:r>
        <w:t xml:space="preserve"> </w:t>
      </w:r>
      <w:r w:rsidRPr="009A4D7C">
        <w:t>due to age related macular degeneration</w:t>
      </w:r>
      <w:r>
        <w:t>, recommended by PBAC in November 2005. It was listed on a cost-effectiveness basis against</w:t>
      </w:r>
      <w:r w:rsidRPr="00DF3334">
        <w:t xml:space="preserve"> standard care (comprising of no treatment or watchful waiting). </w:t>
      </w:r>
      <w:r>
        <w:t>The PBAC has subsequently recommended ranibizumab (March 2007) and aflibercept (March 2012) for this indication.</w:t>
      </w:r>
    </w:p>
    <w:p w:rsidR="0046246A" w:rsidRDefault="0046246A" w:rsidP="0046246A">
      <w:r>
        <w:t xml:space="preserve">Ranibizumab was listed on a </w:t>
      </w:r>
      <w:r w:rsidRPr="00F47E3C">
        <w:t>cost-effectiveness</w:t>
      </w:r>
      <w:r>
        <w:t xml:space="preserve"> basis against verteporfin. </w:t>
      </w:r>
      <w:r w:rsidR="00430A62">
        <w:t xml:space="preserve">The listed presentation of ranibizumab was one vial containing </w:t>
      </w:r>
      <w:r w:rsidR="009541A5">
        <w:t xml:space="preserve">3.0 mg in </w:t>
      </w:r>
      <w:r w:rsidR="00051BB3" w:rsidRPr="00021126">
        <w:t>0.3</w:t>
      </w:r>
      <w:r w:rsidR="009541A5">
        <w:t xml:space="preserve"> </w:t>
      </w:r>
      <w:r w:rsidR="00051BB3" w:rsidRPr="00021126">
        <w:t>m</w:t>
      </w:r>
      <w:r w:rsidR="009541A5">
        <w:t>L</w:t>
      </w:r>
      <w:r w:rsidR="00051BB3">
        <w:t xml:space="preserve">. </w:t>
      </w:r>
      <w:r w:rsidR="00430A62">
        <w:t xml:space="preserve">The PBAC noted that there was a </w:t>
      </w:r>
      <w:r w:rsidR="00430A62" w:rsidRPr="00430A62">
        <w:t>large fill volume of the vial relative to the recommended dose (0.5 mg)</w:t>
      </w:r>
      <w:r w:rsidR="00430A62">
        <w:t xml:space="preserve"> where only around one sixth of the vial would be used</w:t>
      </w:r>
      <w:r w:rsidR="00430A62" w:rsidRPr="00430A62">
        <w:t>.</w:t>
      </w:r>
      <w:r w:rsidR="00430A62" w:rsidRPr="00A47C49">
        <w:rPr>
          <w:i/>
        </w:rPr>
        <w:t xml:space="preserve"> </w:t>
      </w:r>
      <w:r>
        <w:t>The PBAC considered that the pack size would result in a large amount of wastage and asked the sponsor to investigate the provision of a smaller pack size.</w:t>
      </w:r>
      <w:r w:rsidR="00430A62">
        <w:t xml:space="preserve"> </w:t>
      </w:r>
      <w:r w:rsidR="006D0F9D">
        <w:t xml:space="preserve">In March 2009, the PBAC recommended the listing of a lower </w:t>
      </w:r>
      <w:r w:rsidR="006D0F9D" w:rsidRPr="00F67C34">
        <w:t>fill volume of 0.23 </w:t>
      </w:r>
      <w:r w:rsidR="006D0F9D">
        <w:t>mL to</w:t>
      </w:r>
      <w:r w:rsidR="006D0F9D" w:rsidRPr="00F67C34">
        <w:t xml:space="preserve"> replace the 0.3 mL fill volume</w:t>
      </w:r>
      <w:r w:rsidR="006D0F9D">
        <w:t>. This was</w:t>
      </w:r>
      <w:r w:rsidR="006D0F9D" w:rsidRPr="00F67C34">
        <w:t xml:space="preserve"> intended to reduce wastage. </w:t>
      </w:r>
      <w:r w:rsidR="006D0F9D">
        <w:t>The 2.3</w:t>
      </w:r>
      <w:r w:rsidR="009541A5">
        <w:t xml:space="preserve"> </w:t>
      </w:r>
      <w:r w:rsidR="006D0F9D">
        <w:t>mg in 0.23 mL presentation of ranibizumab was listed from April 2009.</w:t>
      </w:r>
    </w:p>
    <w:p w:rsidR="007B2122" w:rsidRDefault="007B2122" w:rsidP="003617E7">
      <w:r>
        <w:t xml:space="preserve">Following a recommendation by PBAC in March 2014, a pre-filled syringe presentation containing 1.65 mg of ranibizumab in 0.165 mL was listed from 1 September 2014. Listing was recommended on a cost minimisation basis with the listed vial presentation. </w:t>
      </w:r>
    </w:p>
    <w:p w:rsidR="0046246A" w:rsidRPr="00A13524" w:rsidRDefault="0046246A" w:rsidP="003617E7">
      <w:r w:rsidRPr="00A72103">
        <w:t xml:space="preserve">Aflibercept was recommended on a cost-minimisation basis with ranibizumab. </w:t>
      </w:r>
      <w:r w:rsidR="00F01728">
        <w:t>The submission had based the</w:t>
      </w:r>
      <w:r w:rsidR="00F01728" w:rsidRPr="00F01728">
        <w:t xml:space="preserve"> cost minimisation analysis</w:t>
      </w:r>
      <w:r w:rsidR="00F01728">
        <w:t xml:space="preserve"> on the</w:t>
      </w:r>
      <w:r w:rsidR="00F01728" w:rsidRPr="00F01728">
        <w:t xml:space="preserve"> treatment frequency </w:t>
      </w:r>
      <w:r w:rsidR="00F01728">
        <w:t>in</w:t>
      </w:r>
      <w:r w:rsidR="00F01728" w:rsidRPr="00F01728">
        <w:t xml:space="preserve"> the Product Information for aflibercept (7 per year) and current practice based on PBS data for ranibizumab (8.8 per year).</w:t>
      </w:r>
      <w:r w:rsidR="00F01728">
        <w:t xml:space="preserve"> The PBAC considered it was uncertain whether less frequent injections would eventuate with aflibercept treatment compared to ranibizumab treatment. </w:t>
      </w:r>
      <w:r>
        <w:t>The PBAC considered that the price of aflibercept should be based on an injection: injection basis with ranibizumab with one</w:t>
      </w:r>
      <w:r w:rsidRPr="00A72103">
        <w:t xml:space="preserve"> aflibercept 2 mg injection equivalent to one ranibizumab 0.5 mg injection.</w:t>
      </w:r>
      <w:r>
        <w:t xml:space="preserve"> The PBAC noted the advice from its DUSC that approximately 20</w:t>
      </w:r>
      <w:r w:rsidR="00263CCB">
        <w:t xml:space="preserve"> percent</w:t>
      </w:r>
      <w:r>
        <w:t xml:space="preserve"> of patients were receiving bilateral treatment with</w:t>
      </w:r>
      <w:r w:rsidRPr="00A72103">
        <w:t xml:space="preserve"> ranibizumab</w:t>
      </w:r>
      <w:r>
        <w:t>. The PBAC</w:t>
      </w:r>
      <w:r w:rsidRPr="00A72103">
        <w:t xml:space="preserve"> considered that the submission’s estimate of the number of prescripti</w:t>
      </w:r>
      <w:r>
        <w:t>ons dispensed for aflibercept was</w:t>
      </w:r>
      <w:r w:rsidRPr="00A72103">
        <w:t xml:space="preserve"> like</w:t>
      </w:r>
      <w:r>
        <w:t>ly to be underestimated as it was</w:t>
      </w:r>
      <w:r w:rsidRPr="00A72103">
        <w:t xml:space="preserve"> based on single eye </w:t>
      </w:r>
      <w:r w:rsidRPr="00A13524">
        <w:t xml:space="preserve">treatment. </w:t>
      </w:r>
    </w:p>
    <w:p w:rsidR="000F3839" w:rsidRPr="00A13524" w:rsidRDefault="000F3839" w:rsidP="000F3839">
      <w:pPr>
        <w:rPr>
          <w:szCs w:val="20"/>
        </w:rPr>
      </w:pPr>
      <w:r w:rsidRPr="00A13524">
        <w:rPr>
          <w:szCs w:val="20"/>
        </w:rPr>
        <w:t xml:space="preserve">The PBAC recommended that an appropriate price and risk-share agreement be negotiated such that the listing of aflibercept would be cost-neutral to the PBS and that both ranibizumab and aflibercept should share the same cap.  </w:t>
      </w:r>
    </w:p>
    <w:p w:rsidR="0046246A" w:rsidRDefault="00647F29" w:rsidP="0046246A">
      <w:r>
        <w:t xml:space="preserve">For further details refer to </w:t>
      </w:r>
      <w:r w:rsidRPr="00F65F0D">
        <w:t>the Public Summary Document</w:t>
      </w:r>
      <w:r>
        <w:t xml:space="preserve">s from the </w:t>
      </w:r>
      <w:r w:rsidR="0046246A" w:rsidRPr="003617E7">
        <w:t>November 2011</w:t>
      </w:r>
      <w:r w:rsidR="0046246A">
        <w:t xml:space="preserve">,  </w:t>
      </w:r>
      <w:r w:rsidR="0046246A" w:rsidRPr="005E775B">
        <w:t>March 2007</w:t>
      </w:r>
      <w:r w:rsidR="0046246A">
        <w:rPr>
          <w:rStyle w:val="Hyperlink"/>
        </w:rPr>
        <w:t xml:space="preserve"> </w:t>
      </w:r>
      <w:r w:rsidR="0046246A">
        <w:t xml:space="preserve"> and </w:t>
      </w:r>
      <w:r w:rsidR="0046246A" w:rsidRPr="005E775B">
        <w:t>March 2012</w:t>
      </w:r>
      <w:r w:rsidR="0046246A">
        <w:t xml:space="preserve"> meetings. </w:t>
      </w:r>
    </w:p>
    <w:p w:rsidR="00DA3663" w:rsidRDefault="00DA3663">
      <w:pPr>
        <w:spacing w:line="276" w:lineRule="auto"/>
        <w:rPr>
          <w:b/>
          <w:i/>
          <w:szCs w:val="28"/>
        </w:rPr>
      </w:pPr>
      <w:r>
        <w:br w:type="page"/>
      </w:r>
    </w:p>
    <w:p w:rsidR="0046246A" w:rsidRDefault="0046246A" w:rsidP="00965111">
      <w:pPr>
        <w:pStyle w:val="Heading3"/>
        <w:rPr>
          <w:rFonts w:ascii="Arial" w:hAnsi="Arial" w:cs="Arial"/>
          <w:sz w:val="21"/>
          <w:szCs w:val="21"/>
        </w:rPr>
      </w:pPr>
      <w:bookmarkStart w:id="22" w:name="_Toc513038022"/>
      <w:r>
        <w:lastRenderedPageBreak/>
        <w:t>Diabetic macular oedema</w:t>
      </w:r>
      <w:bookmarkEnd w:id="22"/>
    </w:p>
    <w:p w:rsidR="0046246A" w:rsidRDefault="0046246A" w:rsidP="0046246A">
      <w:r w:rsidRPr="00880C09">
        <w:t xml:space="preserve">The PBAC recommended ranibizumab in July 2014 as the first listing to treat diabetic macular oedema on a cost-effectiveness basis against laser treatment. The PBAC noted that a </w:t>
      </w:r>
      <w:r>
        <w:t>set</w:t>
      </w:r>
      <w:r w:rsidRPr="00880C09">
        <w:t xml:space="preserve"> treatment duration was assumed in the financial estimates. However, as the requested restriction did not have a definitive stopping rule, use in practice could be longer than assumed by the submission.</w:t>
      </w:r>
      <w:r>
        <w:t xml:space="preserve"> </w:t>
      </w:r>
    </w:p>
    <w:p w:rsidR="0046246A" w:rsidRDefault="0046246A" w:rsidP="0046246A">
      <w:r>
        <w:t xml:space="preserve">Aflibercept received a recommendation from PBAC in November 2014 to treat diabetic macular oedema on a cost-minimisation basis with ranibizumab. </w:t>
      </w:r>
      <w:r w:rsidR="006D6908">
        <w:t>T</w:t>
      </w:r>
      <w:r>
        <w:t>he PBAC recommended the equi-effective doses of</w:t>
      </w:r>
      <w:r w:rsidRPr="00C867CF">
        <w:t xml:space="preserve"> aflibercept 2 mg injection </w:t>
      </w:r>
      <w:r>
        <w:t>and</w:t>
      </w:r>
      <w:r w:rsidRPr="00C867CF">
        <w:t xml:space="preserve"> </w:t>
      </w:r>
      <w:r>
        <w:t xml:space="preserve">0.5 mg ranibizumab injection and a 1:1 </w:t>
      </w:r>
      <w:r w:rsidR="0089319D">
        <w:t>injection</w:t>
      </w:r>
      <w:r>
        <w:t xml:space="preserve"> relativity between the drugs. The PBAC considered that the financial estimates presented in the submission were overestimated. This included the assumptions for the population with clinically significant macular oedema who had visual impairment and the prevalence rates for the disease.</w:t>
      </w:r>
    </w:p>
    <w:p w:rsidR="008F61F9" w:rsidRDefault="0046246A" w:rsidP="008F61F9">
      <w:r>
        <w:rPr>
          <w:bCs/>
          <w:szCs w:val="22"/>
          <w:lang w:val="en-GB"/>
        </w:rPr>
        <w:t xml:space="preserve">The </w:t>
      </w:r>
      <w:r w:rsidRPr="00F32FBD">
        <w:rPr>
          <w:bCs/>
          <w:szCs w:val="22"/>
          <w:lang w:val="en-GB"/>
        </w:rPr>
        <w:t>dexamethasone implant</w:t>
      </w:r>
      <w:r>
        <w:rPr>
          <w:bCs/>
          <w:szCs w:val="22"/>
          <w:lang w:val="en-GB"/>
        </w:rPr>
        <w:t xml:space="preserve"> was recommended by PBAC in March 2016</w:t>
      </w:r>
      <w:r w:rsidRPr="00F32FBD">
        <w:rPr>
          <w:bCs/>
          <w:szCs w:val="22"/>
          <w:lang w:val="en-GB"/>
        </w:rPr>
        <w:t xml:space="preserve"> on the basis of inferior effectiveness and inferior safety compared to ranibizumab and aflibercept</w:t>
      </w:r>
      <w:r w:rsidR="0089319D">
        <w:rPr>
          <w:bCs/>
          <w:szCs w:val="22"/>
          <w:lang w:val="en-GB"/>
        </w:rPr>
        <w:t>,</w:t>
      </w:r>
      <w:r w:rsidR="0089319D" w:rsidRPr="0089319D">
        <w:rPr>
          <w:rFonts w:ascii="Arial" w:eastAsia="Times New Roman" w:hAnsi="Arial" w:cs="Arial"/>
          <w:sz w:val="20"/>
          <w:szCs w:val="20"/>
        </w:rPr>
        <w:t xml:space="preserve"> </w:t>
      </w:r>
      <w:r w:rsidR="0089319D" w:rsidRPr="0089319D">
        <w:rPr>
          <w:bCs/>
          <w:szCs w:val="22"/>
        </w:rPr>
        <w:t>and thus on appropriately adjusted estimates of cost-effectiveness</w:t>
      </w:r>
      <w:r>
        <w:rPr>
          <w:bCs/>
          <w:szCs w:val="22"/>
          <w:lang w:val="en-GB"/>
        </w:rPr>
        <w:t xml:space="preserve">. </w:t>
      </w:r>
      <w:r w:rsidR="008F61F9">
        <w:t xml:space="preserve">The submission requested a PBS listing for patients with the same visual impairment as other DMO listings, with an additional requirement that patients must have a pseudophakic lens in the treatment eye; or be scheduled for cataract surgery. The submission suggested that this population would include those who have a contraindication to or have failed to respond to VEGF inhibitors, or where a patient may be unsuitable for treatment with VEGF inhibitors because of a likelihood of failure to attend the clinic on the number of occasions required. The final PBS restriction </w:t>
      </w:r>
      <w:r w:rsidR="00BC6A89">
        <w:t xml:space="preserve">included </w:t>
      </w:r>
      <w:r w:rsidR="008F61F9">
        <w:t>as a clinical criteria that initiating patients must have a contraindication to vascular endothelial growth factor (VEGF) inhibitors, or must be unsuitable for treatment with VEGF inhibitors, or must have failed prior treatment with VEGF inhibitors.</w:t>
      </w:r>
    </w:p>
    <w:p w:rsidR="0046246A" w:rsidRPr="00880C09" w:rsidRDefault="0046246A" w:rsidP="0046246A">
      <w:r>
        <w:rPr>
          <w:bCs/>
          <w:szCs w:val="22"/>
          <w:lang w:val="en-GB"/>
        </w:rPr>
        <w:t xml:space="preserve">The PBAC noted that there would be no cost offsets for patients unsuitable for VEGF inhibitors. As such, the PBAC considered there </w:t>
      </w:r>
      <w:r w:rsidRPr="00F32FBD">
        <w:t>would be some growth in the current market</w:t>
      </w:r>
      <w:r>
        <w:t xml:space="preserve"> rather than assuming substitution for VEGF inhibitors as the basis for claiming overall cost savings</w:t>
      </w:r>
      <w:r w:rsidRPr="00F32FBD">
        <w:t>.</w:t>
      </w:r>
      <w:r>
        <w:t xml:space="preserve"> The PBAC noted that </w:t>
      </w:r>
      <w:r w:rsidRPr="00F32FBD">
        <w:t>the financial estimat</w:t>
      </w:r>
      <w:r>
        <w:t>es were most sensitive to assumptions for the treatment</w:t>
      </w:r>
      <w:r w:rsidRPr="00F32FBD">
        <w:t xml:space="preserve"> uptake rate.</w:t>
      </w:r>
    </w:p>
    <w:p w:rsidR="0046246A" w:rsidRDefault="0046246A" w:rsidP="0046246A">
      <w:r>
        <w:t xml:space="preserve">For further details refer to </w:t>
      </w:r>
      <w:r w:rsidRPr="00F65F0D">
        <w:t>the Public Summary Document</w:t>
      </w:r>
      <w:r>
        <w:t xml:space="preserve">s from the </w:t>
      </w:r>
      <w:r w:rsidRPr="005E775B">
        <w:t>July 2014</w:t>
      </w:r>
      <w:r>
        <w:t>,</w:t>
      </w:r>
      <w:r>
        <w:br/>
      </w:r>
      <w:r w:rsidRPr="005E775B">
        <w:t>November 2014</w:t>
      </w:r>
      <w:r>
        <w:t xml:space="preserve"> and </w:t>
      </w:r>
      <w:r w:rsidRPr="005E775B">
        <w:t>March 2016</w:t>
      </w:r>
      <w:r>
        <w:t xml:space="preserve"> meetings. </w:t>
      </w:r>
    </w:p>
    <w:p w:rsidR="00295072" w:rsidRDefault="00295072" w:rsidP="00965111">
      <w:pPr>
        <w:pStyle w:val="Heading3"/>
      </w:pPr>
      <w:bookmarkStart w:id="23" w:name="_Toc513038023"/>
      <w:r>
        <w:t>M</w:t>
      </w:r>
      <w:r w:rsidRPr="00637F84">
        <w:t>acular oedema secondary to retinal vein occlusion</w:t>
      </w:r>
      <w:bookmarkEnd w:id="23"/>
    </w:p>
    <w:p w:rsidR="00295072" w:rsidRDefault="00295072" w:rsidP="00295072">
      <w:r w:rsidRPr="003C2901">
        <w:t xml:space="preserve">Ranibizumab was the first listing for the treatment of visual impairment from macular oedema secondary to </w:t>
      </w:r>
      <w:r>
        <w:t>RVO (both BRVO and CRVO)</w:t>
      </w:r>
      <w:r w:rsidRPr="003C2901">
        <w:t xml:space="preserve">. </w:t>
      </w:r>
      <w:r>
        <w:t xml:space="preserve">The PBAC recommended the listing in July 2014 on the basis of cost-effectiveness over laser treatment. It was noted that there was the potential for use beyond the requested restriction as the interpretation of a response could be higher in clinical practice compared to the clinical trials. In the RESTORE trial, treatment with ranibizumab was suspended if there was no further improvement in the Best-Corrected Visual Acuity (BCVA) letter score at the last two consecutive visits or if a </w:t>
      </w:r>
      <w:r>
        <w:lastRenderedPageBreak/>
        <w:t>BCVA score greater than or equal to 84 (Snellen equivalent  20/20) was observed at the last two consecutive visits (Mitchell et al., 2011).</w:t>
      </w:r>
    </w:p>
    <w:p w:rsidR="00295072" w:rsidRDefault="00295072" w:rsidP="00295072">
      <w:r>
        <w:t>The PBAC recommended the extension of aflibercept’s listing to treat macular oedema secondary to CRVO in November 2014 and secondary to BRVO in November 2015. These recommendations were on the basis of cost-minimisation to ranibizumab. For the CRVO submission, t</w:t>
      </w:r>
      <w:r w:rsidRPr="005F039C">
        <w:t xml:space="preserve">he PBAC </w:t>
      </w:r>
      <w:r>
        <w:t>noted</w:t>
      </w:r>
      <w:r w:rsidRPr="005F039C">
        <w:t xml:space="preserve"> that the </w:t>
      </w:r>
      <w:r>
        <w:t xml:space="preserve">estimated costs were sensitive to the </w:t>
      </w:r>
      <w:r w:rsidRPr="005F039C">
        <w:t xml:space="preserve">estimated number of </w:t>
      </w:r>
      <w:r>
        <w:t>injections per patient per year. While the TGA Product Information had</w:t>
      </w:r>
      <w:r w:rsidRPr="005F039C">
        <w:t xml:space="preserve"> been </w:t>
      </w:r>
      <w:r>
        <w:t>revised</w:t>
      </w:r>
      <w:r w:rsidRPr="005F039C">
        <w:t xml:space="preserve"> to reduce the number of monthly injections from six to three in the loading dose phase, </w:t>
      </w:r>
      <w:r>
        <w:t xml:space="preserve">the PBAC considered that </w:t>
      </w:r>
      <w:r w:rsidRPr="005F039C">
        <w:t>re-injections after three months remain</w:t>
      </w:r>
      <w:r>
        <w:t>ed</w:t>
      </w:r>
      <w:r w:rsidRPr="005F039C">
        <w:t xml:space="preserve"> a source of uncertainty </w:t>
      </w:r>
      <w:r>
        <w:t>because of a</w:t>
      </w:r>
      <w:r w:rsidRPr="005F039C">
        <w:t xml:space="preserve"> lack of new sources of evidence.</w:t>
      </w:r>
      <w:r>
        <w:t xml:space="preserve"> For the CRVO and BRVO listings, the PBAC recommended </w:t>
      </w:r>
      <w:r w:rsidRPr="00C867CF">
        <w:t>a 1:1 dose relativity to ranibizumab</w:t>
      </w:r>
      <w:r>
        <w:t xml:space="preserve"> with the equi-effective doses of</w:t>
      </w:r>
      <w:r w:rsidRPr="00C867CF">
        <w:t xml:space="preserve"> aflibercept 2 mg injection </w:t>
      </w:r>
      <w:r>
        <w:t>and</w:t>
      </w:r>
      <w:r w:rsidRPr="00C867CF">
        <w:t xml:space="preserve"> </w:t>
      </w:r>
      <w:r>
        <w:t>0.5 mg ranibizumab injection.</w:t>
      </w:r>
    </w:p>
    <w:p w:rsidR="00295072" w:rsidRDefault="00295072" w:rsidP="00295072">
      <w:r>
        <w:t xml:space="preserve">For further details refer to </w:t>
      </w:r>
      <w:r w:rsidRPr="00F65F0D">
        <w:t>the Public Summary Document</w:t>
      </w:r>
      <w:r>
        <w:t xml:space="preserve">s from the </w:t>
      </w:r>
      <w:r w:rsidRPr="005E775B">
        <w:t>July 2014</w:t>
      </w:r>
      <w:r>
        <w:t xml:space="preserve"> and </w:t>
      </w:r>
      <w:r w:rsidRPr="005E775B">
        <w:t>November 2014</w:t>
      </w:r>
      <w:r>
        <w:t xml:space="preserve"> and </w:t>
      </w:r>
      <w:r w:rsidRPr="005E775B">
        <w:t>November 2015</w:t>
      </w:r>
      <w:r>
        <w:t xml:space="preserve"> meetings. </w:t>
      </w:r>
    </w:p>
    <w:p w:rsidR="00295072" w:rsidRPr="00D03D49" w:rsidRDefault="00295072" w:rsidP="00295072">
      <w:r>
        <w:t xml:space="preserve">At the March 2018 meeting, the </w:t>
      </w:r>
      <w:r w:rsidRPr="00D03D49">
        <w:t>PBAC recommended extending the listing of dexamethasone implant for patients with RVO who have failed or are contraindicated to VEGF inhibitors. Th</w:t>
      </w:r>
      <w:r>
        <w:t>e</w:t>
      </w:r>
      <w:r w:rsidRPr="00D03D49">
        <w:t xml:space="preserve"> recommendation was based on clinical need, acceptable clinical effectiveness compared to placebo, and the broader context of the existing listing of dexamethasone for diabetic macular oedema. The clinical trial data for dexamethasone implant compared with placebo showed a modestly improved benefit with dexamethasone implant for some patients (a difference of between 6 to 9 gain in letters in best corrected visual acuity over placebo at 2 months), with the efficacy of the dexamethasone implant waning beyond month 3. </w:t>
      </w:r>
    </w:p>
    <w:p w:rsidR="00295072" w:rsidRPr="00D03D49" w:rsidRDefault="00295072" w:rsidP="00295072">
      <w:r w:rsidRPr="00D03D49">
        <w:t>The PBAC did not recommend extending the listing to patients with RVO who are considered ‘unsuitable’ for VEGF inhibitors, due to the ambiguity of the proposed restriction wording leading to potential use of an inferior and more harmful therapy than a VEGF inhibitor, based primarily on convenience. The clinical need for an alternative therapy for patients who may respond to a VEGF inhibitor but in whom monthly injections may be difficult, was not adequately supported to make available a sub-optimal therapy for a generally short-term condition.</w:t>
      </w:r>
    </w:p>
    <w:p w:rsidR="000F2F51" w:rsidRDefault="00ED633B" w:rsidP="00CF5E22">
      <w:pPr>
        <w:pStyle w:val="Heading2"/>
      </w:pPr>
      <w:bookmarkStart w:id="24" w:name="_Toc513038024"/>
      <w:r>
        <w:t>A</w:t>
      </w:r>
      <w:r w:rsidR="000F2F51">
        <w:t xml:space="preserve">pproach </w:t>
      </w:r>
      <w:r>
        <w:t xml:space="preserve">taken to </w:t>
      </w:r>
      <w:r w:rsidR="000F2F51">
        <w:t>estimat</w:t>
      </w:r>
      <w:r>
        <w:t>e</w:t>
      </w:r>
      <w:r w:rsidR="000F2F51">
        <w:t xml:space="preserve"> utilisation</w:t>
      </w:r>
      <w:bookmarkEnd w:id="24"/>
    </w:p>
    <w:p w:rsidR="009C31E7" w:rsidRPr="00AF2C41" w:rsidRDefault="009C31E7" w:rsidP="009C31E7">
      <w:r w:rsidRPr="00AF2C41">
        <w:t>The approach taken to estimate utilisation for the AMD submissions to the PBAC are summarised in Appendix A. The approach taken to estimate utilisation for the DMO and RVO submissions to the PBAC are summarised in the ‘Analysis of actual versus predicted utilisation’ section later in the report.</w:t>
      </w:r>
    </w:p>
    <w:p w:rsidR="00094DCF" w:rsidRDefault="00ED633B" w:rsidP="00CF5E22">
      <w:pPr>
        <w:pStyle w:val="Heading2"/>
      </w:pPr>
      <w:bookmarkStart w:id="25" w:name="_Toc513038025"/>
      <w:r>
        <w:t xml:space="preserve">Previous reviews by </w:t>
      </w:r>
      <w:r w:rsidR="00177B86">
        <w:t xml:space="preserve">the </w:t>
      </w:r>
      <w:r>
        <w:t>DUSC</w:t>
      </w:r>
      <w:bookmarkEnd w:id="25"/>
    </w:p>
    <w:p w:rsidR="002F10C9" w:rsidRPr="009F29EB" w:rsidRDefault="002F10C9" w:rsidP="002F10C9">
      <w:r w:rsidRPr="009F29EB">
        <w:t xml:space="preserve">A predicted versus actual analysis of ranibizumab considered by DUSC in June 2009 found that the actual numbers of patients receiving ranibizumab were greater than estimated but the number of  prescriptions/injections supplied and R/PBS benefits paid during the first year of listing were lower than estimated. </w:t>
      </w:r>
    </w:p>
    <w:p w:rsidR="002F10C9" w:rsidRPr="00963617" w:rsidRDefault="002F10C9" w:rsidP="002F10C9">
      <w:r w:rsidRPr="009F29EB">
        <w:lastRenderedPageBreak/>
        <w:t xml:space="preserve">A subsequent analysis of ranibizumab, considered by DUSC in February 2012, found that patterns of treatment did not match to the suggested once monthly treatment recommendation. The average number of prescriptions per patient in their first twelve months of treatment was lower than expected, but was increasing over time. In a cohort commencing </w:t>
      </w:r>
      <w:r>
        <w:t>in August 2007 each patient had on average 5.84 prescriptions in the first 12 months and a cohort commencing in August 2010 had 7.42 in the first 12 months.</w:t>
      </w:r>
    </w:p>
    <w:p w:rsidR="002F10C9" w:rsidRDefault="002F10C9" w:rsidP="002F10C9">
      <w:r>
        <w:t>The DUSC noted that with an ageing population and the correlation between age and age related macular degeneration, the prevalence rates are likely to continue to increase and thus the number of patients treated is also likely to increase. The Committee also questioned whether the pattern of treatment varied based on age, and if more aggressive treatment protocols were used in younger patients.</w:t>
      </w:r>
    </w:p>
    <w:p w:rsidR="002F10C9" w:rsidRDefault="002F10C9" w:rsidP="002F10C9">
      <w:r>
        <w:t xml:space="preserve">This review was considered by the PBAC at its March 2012 meeting. </w:t>
      </w:r>
      <w:r w:rsidRPr="00417F40">
        <w:t xml:space="preserve">The PBAC noted that the treated prevalence of CNV-AMD is continuing to increase and patients are being treated for a longer period than expected in the original submission for ranibizumab considered by the PBAC. The number of prescriptions per patient in the first 12-months of therapy is also increasing reflecting clinician’s using more frequent administration of ranibizumab over the 4 years since listing. A response to the review provided to DUSC on behalf of retinal specialists reported that clinicians are using a “treat and extend” regimen for management of CNV-AMD which is similar to the protocol in </w:t>
      </w:r>
      <w:r>
        <w:t xml:space="preserve">the </w:t>
      </w:r>
      <w:r w:rsidRPr="00417F40">
        <w:t>CATT Trial.</w:t>
      </w:r>
    </w:p>
    <w:p w:rsidR="002F10C9" w:rsidRDefault="003F1BDF" w:rsidP="00A35800">
      <w:r>
        <w:t>In June 2015 DUSC considered an analysis of the use of r</w:t>
      </w:r>
      <w:r w:rsidRPr="003F1BDF">
        <w:t>anibizumab, aflibercept and verteporfin for age related macular degeneration (AMD), including a 24 month predicted versus actual analysis of aflibercept</w:t>
      </w:r>
      <w:r>
        <w:t>.</w:t>
      </w:r>
    </w:p>
    <w:p w:rsidR="003F1BDF" w:rsidRPr="002F10C9" w:rsidRDefault="003F1BDF" w:rsidP="00A35800">
      <w:pPr>
        <w:rPr>
          <w:highlight w:val="green"/>
        </w:rPr>
      </w:pPr>
      <w:r w:rsidRPr="003F1BDF">
        <w:t xml:space="preserve">The </w:t>
      </w:r>
      <w:r>
        <w:t xml:space="preserve">review found that the </w:t>
      </w:r>
      <w:r w:rsidRPr="003F1BDF">
        <w:t>majority of patients remain on treatment for many years and therefore the total number of patients continues to grow.  Approximately half of patients are treated for at least 4 years, and there are almost 3,000 patients who are in their seventh year of treatment.  The PBAC recommendations were based on clinical trials of one or two year duration, and a modelled economic evaluation for ranibizumab with a 5 year time horizon.  The PBS data show an average age of initiation of 80 years. DUSC noted that the average expected age of death of 84-87 years based on ABS statistics would indicate that many patients would not be treated beyond 7 years, but considered that some individuals will likely use aflibercept or ranibizumab for longer periods of time. DUSC considered that discontinuation rates have been lower than anticipated, and duration of use longer than anticipated contributing to the growth in the prevalent number of patients treated. DUSC noted advice from clinicians that there is minimal trial data to guide decisions regarding treatment cessation, but that ongoing treatment reduces disease progression as well as reducing the risk of a sudden recurrence of disease.</w:t>
      </w:r>
    </w:p>
    <w:p w:rsidR="003F1BDF" w:rsidRDefault="003F1BDF" w:rsidP="003F1BDF">
      <w:r>
        <w:t xml:space="preserve">The average number of injections per treated patient increased between 2007 and 2010. From 2011 onwards the number of injections per patient appears to have stabilised, with new patients receiving an average of 8.4 injections in their first year of treatment, and continuing patients receiving an average of 7.1 injections per year. DUSC noted that it the patterns of use evolved over several years from the time when ranibizumab was listed and </w:t>
      </w:r>
      <w:r>
        <w:lastRenderedPageBreak/>
        <w:t>considered it too early to assess whether the availability of aflibercept will change patterns of use in Australian clinical practice.</w:t>
      </w:r>
    </w:p>
    <w:p w:rsidR="003F1BDF" w:rsidRDefault="003F1BDF" w:rsidP="003F1BDF">
      <w:r>
        <w:t>The rate of bilateral treatment appears to be increasing, although there is limited information available to estimate this use. DUSC agreed that bilateral use is increasing over time based on the proportion of prescriptions with an increased maximum quantity of injections. However DUSC considered that this measure underestimates bilateral treatment as it only captures simultaneous bilateral use, whereas bilateral use may also include each eye treated consecutively or alternately. DUSC noted that ophthalmologists are required to specify which eye is being treated when seeking an authority approval to prescribe ranibizumab or aflibercept, but that these data are not readily accessible. DUSC agreed with Stakeholder views that in order to assess the true extent of bilateral treatment the dataset would need to include which eye is being treated.</w:t>
      </w:r>
    </w:p>
    <w:p w:rsidR="003F1BDF" w:rsidRDefault="003F1BDF" w:rsidP="003F1BDF">
      <w:r>
        <w:t>There was rapid uptake of aflibercept following its PBS listing, reaching approximately 50% of the AMD market within 6 months.  Aflibercept is used both in new patients and in prevalent patients who switched from ranibizumab. The number of injections of ranibizumab or aflibercept per patient appear</w:t>
      </w:r>
      <w:r w:rsidR="009355AC">
        <w:t>ed</w:t>
      </w:r>
      <w:r>
        <w:t xml:space="preserve"> to be similar. </w:t>
      </w:r>
    </w:p>
    <w:p w:rsidR="002F10C9" w:rsidRDefault="009355AC" w:rsidP="003F1BDF">
      <w:pPr>
        <w:rPr>
          <w:highlight w:val="yellow"/>
        </w:rPr>
      </w:pPr>
      <w:r>
        <w:t>DUSC anticipated that u</w:t>
      </w:r>
      <w:r w:rsidR="003F1BDF">
        <w:t>tilisation of aflibercept and ranibizumab for wet AMD will continue to increase into the future due to an ageing population, high rates of continuation on treatment and a high number of injections per patient per year. DUSC agreed that overall utilisation increases into the future are likely for these reasons. In addition, DUSC noted tha</w:t>
      </w:r>
      <w:r w:rsidR="00DA3663">
        <w:t>t utilisation is lower in some states and t</w:t>
      </w:r>
      <w:r w:rsidR="003F1BDF">
        <w:t>erritories and commented there is potential for the number of treated patients and the number of injections per patient per year to increase if capacity increases.</w:t>
      </w:r>
    </w:p>
    <w:p w:rsidR="00E371EA" w:rsidRPr="00ED633B" w:rsidRDefault="009D1ED5" w:rsidP="00A35800">
      <w:r>
        <w:t xml:space="preserve">For details of the DUSC consideration of </w:t>
      </w:r>
      <w:r w:rsidR="003F1BDF" w:rsidRPr="003F1BDF">
        <w:t xml:space="preserve">aflibercept and ranibizumab </w:t>
      </w:r>
      <w:r w:rsidR="003F1BDF">
        <w:t>for a</w:t>
      </w:r>
      <w:r w:rsidR="003F1BDF" w:rsidRPr="003F1BDF">
        <w:t>ge-related macular dege</w:t>
      </w:r>
      <w:r w:rsidR="003F1BDF">
        <w:t xml:space="preserve">neration </w:t>
      </w:r>
      <w:r>
        <w:t xml:space="preserve">refer to the </w:t>
      </w:r>
      <w:r w:rsidRPr="005E775B">
        <w:t>Public Release Document</w:t>
      </w:r>
      <w:r>
        <w:t xml:space="preserve"> from the </w:t>
      </w:r>
      <w:r w:rsidR="003F1BDF">
        <w:t>June 2015</w:t>
      </w:r>
      <w:r>
        <w:t xml:space="preserve"> DUSC meeting.</w:t>
      </w:r>
    </w:p>
    <w:p w:rsidR="00E677DD" w:rsidRPr="005E22C2" w:rsidRDefault="00E677DD" w:rsidP="00CF5E22">
      <w:pPr>
        <w:pStyle w:val="Heading1"/>
      </w:pPr>
      <w:bookmarkStart w:id="26" w:name="_Toc513038026"/>
      <w:r w:rsidRPr="005E22C2">
        <w:t>Method</w:t>
      </w:r>
      <w:r w:rsidR="001B5D37" w:rsidRPr="005E22C2">
        <w:t>s</w:t>
      </w:r>
      <w:bookmarkEnd w:id="26"/>
    </w:p>
    <w:p w:rsidR="003F3803" w:rsidRDefault="0098563B" w:rsidP="00524D13">
      <w:r>
        <w:t>PBS prescription dat</w:t>
      </w:r>
      <w:r w:rsidR="0075410E">
        <w:t xml:space="preserve">a for ranibizumab, aflibercept, </w:t>
      </w:r>
      <w:r>
        <w:t xml:space="preserve">and dexamethasone implants </w:t>
      </w:r>
      <w:r w:rsidR="0075410E">
        <w:t>from 1 </w:t>
      </w:r>
      <w:r w:rsidR="003F3803">
        <w:t xml:space="preserve">August 2007 </w:t>
      </w:r>
      <w:r>
        <w:t xml:space="preserve">to 31 </w:t>
      </w:r>
      <w:r w:rsidR="003F3803">
        <w:t>December</w:t>
      </w:r>
      <w:r>
        <w:t xml:space="preserve"> 2017 were extracted from the DHS prescription database based on the date of </w:t>
      </w:r>
      <w:r w:rsidR="003F3803">
        <w:t>dispensing</w:t>
      </w:r>
      <w:r>
        <w:t xml:space="preserve">. </w:t>
      </w:r>
      <w:r w:rsidR="003F3803">
        <w:t>The date of processing of PBS prescriptions may differ from the date of dispensing. Consequently there may be differences in data reported by date of dispensing or processing (such as that available publicly available from DHS Medicare website</w:t>
      </w:r>
      <w:r w:rsidR="003F3803">
        <w:rPr>
          <w:rStyle w:val="FootnoteReference"/>
        </w:rPr>
        <w:footnoteReference w:id="4"/>
      </w:r>
      <w:r w:rsidR="003F3803">
        <w:t>).</w:t>
      </w:r>
    </w:p>
    <w:p w:rsidR="00965111" w:rsidRDefault="003F3803" w:rsidP="00DA3663">
      <w:pPr>
        <w:rPr>
          <w:b/>
          <w:i/>
          <w:szCs w:val="28"/>
        </w:rPr>
      </w:pPr>
      <w:r>
        <w:t xml:space="preserve">PBS prescription data were used to determine the number of prescriptions supplied and to count the number of patients, both incident (new to treatment) and prevalent (number treated in each time period). </w:t>
      </w:r>
    </w:p>
    <w:p w:rsidR="003F3803" w:rsidRPr="003F3803" w:rsidRDefault="003F3803" w:rsidP="00965111">
      <w:pPr>
        <w:pStyle w:val="Heading3"/>
      </w:pPr>
      <w:bookmarkStart w:id="27" w:name="_Toc513038027"/>
      <w:r w:rsidRPr="003F3803">
        <w:lastRenderedPageBreak/>
        <w:t>Indication matching</w:t>
      </w:r>
      <w:bookmarkEnd w:id="27"/>
    </w:p>
    <w:p w:rsidR="003F3803" w:rsidRDefault="00297535" w:rsidP="00524D13">
      <w:r>
        <w:t>As some PBS item numbers cover multiple indications, t</w:t>
      </w:r>
      <w:r w:rsidR="003F3803">
        <w:t>he DHS Authority approvals data was used to match claims with indications of AMD, DMO or RVO</w:t>
      </w:r>
      <w:r w:rsidR="00A67889">
        <w:t>. Overall,</w:t>
      </w:r>
      <w:r w:rsidR="00D83094">
        <w:t xml:space="preserve"> </w:t>
      </w:r>
      <w:r w:rsidR="003F3803" w:rsidRPr="00122A1F">
        <w:t>99.63% of claims</w:t>
      </w:r>
      <w:r w:rsidR="00D83094">
        <w:t xml:space="preserve"> were matched</w:t>
      </w:r>
      <w:r w:rsidR="003F3803" w:rsidRPr="00122A1F">
        <w:t xml:space="preserve"> </w:t>
      </w:r>
      <w:r w:rsidR="003F3803">
        <w:t>with authority codes.</w:t>
      </w:r>
    </w:p>
    <w:tbl>
      <w:tblPr>
        <w:tblStyle w:val="TableGrid"/>
        <w:tblW w:w="0" w:type="auto"/>
        <w:tblLook w:val="04A0" w:firstRow="1" w:lastRow="0" w:firstColumn="1" w:lastColumn="0" w:noHBand="0" w:noVBand="1"/>
        <w:tblCaption w:val="data matching results"/>
        <w:tblDescription w:val="outcomes of data matching Authority approvals data with PBS claims data."/>
      </w:tblPr>
      <w:tblGrid>
        <w:gridCol w:w="4261"/>
        <w:gridCol w:w="4261"/>
      </w:tblGrid>
      <w:tr w:rsidR="003F3803" w:rsidRPr="00D83094" w:rsidTr="00F75F1A">
        <w:trPr>
          <w:tblHeader/>
        </w:trPr>
        <w:tc>
          <w:tcPr>
            <w:tcW w:w="4261" w:type="dxa"/>
          </w:tcPr>
          <w:p w:rsidR="003F3803" w:rsidRPr="00D83094" w:rsidRDefault="003F3803" w:rsidP="001F0BEC">
            <w:pPr>
              <w:rPr>
                <w:sz w:val="20"/>
                <w:szCs w:val="20"/>
              </w:rPr>
            </w:pPr>
            <w:r w:rsidRPr="00D83094">
              <w:rPr>
                <w:sz w:val="20"/>
                <w:szCs w:val="20"/>
              </w:rPr>
              <w:t>Matched</w:t>
            </w:r>
          </w:p>
        </w:tc>
        <w:tc>
          <w:tcPr>
            <w:tcW w:w="4261" w:type="dxa"/>
          </w:tcPr>
          <w:p w:rsidR="003F3803" w:rsidRPr="00D83094" w:rsidRDefault="003F3803" w:rsidP="001F0BEC">
            <w:pPr>
              <w:rPr>
                <w:sz w:val="20"/>
                <w:szCs w:val="20"/>
              </w:rPr>
            </w:pPr>
            <w:r w:rsidRPr="00D83094">
              <w:rPr>
                <w:sz w:val="20"/>
                <w:szCs w:val="20"/>
              </w:rPr>
              <w:t>2</w:t>
            </w:r>
            <w:r w:rsidR="00D83094" w:rsidRPr="00D83094">
              <w:rPr>
                <w:sz w:val="20"/>
                <w:szCs w:val="20"/>
              </w:rPr>
              <w:t>,</w:t>
            </w:r>
            <w:r w:rsidRPr="00D83094">
              <w:rPr>
                <w:sz w:val="20"/>
                <w:szCs w:val="20"/>
              </w:rPr>
              <w:t>114</w:t>
            </w:r>
            <w:r w:rsidR="00D83094" w:rsidRPr="00D83094">
              <w:rPr>
                <w:sz w:val="20"/>
                <w:szCs w:val="20"/>
              </w:rPr>
              <w:t>,</w:t>
            </w:r>
            <w:r w:rsidRPr="00D83094">
              <w:rPr>
                <w:sz w:val="20"/>
                <w:szCs w:val="20"/>
              </w:rPr>
              <w:t>702</w:t>
            </w:r>
          </w:p>
        </w:tc>
      </w:tr>
      <w:tr w:rsidR="003F3803" w:rsidRPr="00D83094" w:rsidTr="001F0BEC">
        <w:tc>
          <w:tcPr>
            <w:tcW w:w="4261" w:type="dxa"/>
          </w:tcPr>
          <w:p w:rsidR="003F3803" w:rsidRPr="00D83094" w:rsidRDefault="003F3803" w:rsidP="001F0BEC">
            <w:pPr>
              <w:rPr>
                <w:sz w:val="20"/>
                <w:szCs w:val="20"/>
              </w:rPr>
            </w:pPr>
            <w:r w:rsidRPr="00D83094">
              <w:rPr>
                <w:sz w:val="20"/>
                <w:szCs w:val="20"/>
              </w:rPr>
              <w:t>Not matched</w:t>
            </w:r>
          </w:p>
        </w:tc>
        <w:tc>
          <w:tcPr>
            <w:tcW w:w="4261" w:type="dxa"/>
          </w:tcPr>
          <w:p w:rsidR="003F3803" w:rsidRPr="00D83094" w:rsidRDefault="003F3803" w:rsidP="001F0BEC">
            <w:pPr>
              <w:rPr>
                <w:sz w:val="20"/>
                <w:szCs w:val="20"/>
              </w:rPr>
            </w:pPr>
            <w:r w:rsidRPr="00D83094">
              <w:rPr>
                <w:sz w:val="20"/>
                <w:szCs w:val="20"/>
              </w:rPr>
              <w:t>7</w:t>
            </w:r>
            <w:r w:rsidR="00D83094" w:rsidRPr="00D83094">
              <w:rPr>
                <w:sz w:val="20"/>
                <w:szCs w:val="20"/>
              </w:rPr>
              <w:t>,</w:t>
            </w:r>
            <w:r w:rsidRPr="00D83094">
              <w:rPr>
                <w:sz w:val="20"/>
                <w:szCs w:val="20"/>
              </w:rPr>
              <w:t>757</w:t>
            </w:r>
          </w:p>
        </w:tc>
      </w:tr>
      <w:tr w:rsidR="00D83094" w:rsidRPr="00D83094" w:rsidTr="001F0BEC">
        <w:tc>
          <w:tcPr>
            <w:tcW w:w="4261" w:type="dxa"/>
          </w:tcPr>
          <w:p w:rsidR="00D83094" w:rsidRPr="00D83094" w:rsidRDefault="00D83094" w:rsidP="001F0BEC">
            <w:pPr>
              <w:rPr>
                <w:sz w:val="20"/>
                <w:szCs w:val="20"/>
              </w:rPr>
            </w:pPr>
            <w:r>
              <w:rPr>
                <w:sz w:val="20"/>
                <w:szCs w:val="20"/>
              </w:rPr>
              <w:t>Total</w:t>
            </w:r>
            <w:r w:rsidR="008C4959">
              <w:rPr>
                <w:sz w:val="20"/>
                <w:szCs w:val="20"/>
              </w:rPr>
              <w:t xml:space="preserve"> claims since 2007</w:t>
            </w:r>
          </w:p>
        </w:tc>
        <w:tc>
          <w:tcPr>
            <w:tcW w:w="4261" w:type="dxa"/>
          </w:tcPr>
          <w:p w:rsidR="00D83094" w:rsidRPr="00D83094" w:rsidRDefault="00D83094" w:rsidP="001F0BEC">
            <w:pPr>
              <w:rPr>
                <w:sz w:val="20"/>
                <w:szCs w:val="20"/>
              </w:rPr>
            </w:pPr>
            <w:r w:rsidRPr="00D83094">
              <w:rPr>
                <w:sz w:val="20"/>
                <w:szCs w:val="20"/>
              </w:rPr>
              <w:t>2</w:t>
            </w:r>
            <w:r>
              <w:rPr>
                <w:sz w:val="20"/>
                <w:szCs w:val="20"/>
              </w:rPr>
              <w:t>,</w:t>
            </w:r>
            <w:r w:rsidRPr="00D83094">
              <w:rPr>
                <w:sz w:val="20"/>
                <w:szCs w:val="20"/>
              </w:rPr>
              <w:t>122</w:t>
            </w:r>
            <w:r>
              <w:rPr>
                <w:sz w:val="20"/>
                <w:szCs w:val="20"/>
              </w:rPr>
              <w:t>,</w:t>
            </w:r>
            <w:r w:rsidRPr="00D83094">
              <w:rPr>
                <w:sz w:val="20"/>
                <w:szCs w:val="20"/>
              </w:rPr>
              <w:t>459</w:t>
            </w:r>
          </w:p>
        </w:tc>
      </w:tr>
    </w:tbl>
    <w:p w:rsidR="003F3803" w:rsidRDefault="003F3803" w:rsidP="00524D13"/>
    <w:p w:rsidR="00B2777A" w:rsidRDefault="00D83094" w:rsidP="00B2777A">
      <w:r>
        <w:t xml:space="preserve">Of the more than 2 million </w:t>
      </w:r>
      <w:r w:rsidR="008C4959">
        <w:t xml:space="preserve">claim </w:t>
      </w:r>
      <w:r>
        <w:t xml:space="preserve">records, there were </w:t>
      </w:r>
      <w:r w:rsidR="00CA7047">
        <w:t>12,402 claims belonging to 5,063 patients with b</w:t>
      </w:r>
      <w:r w:rsidR="00B2777A">
        <w:t xml:space="preserve">lank indications due to no </w:t>
      </w:r>
      <w:r w:rsidR="00CA7047">
        <w:t>authority number or DVA authority being recorded.</w:t>
      </w:r>
    </w:p>
    <w:p w:rsidR="00B2777A" w:rsidRDefault="00B2777A" w:rsidP="00B2777A">
      <w:r>
        <w:t>Prescriptions with blank indications were assigned the indication of the majority of the prescriptions f</w:t>
      </w:r>
      <w:r w:rsidR="00D50269">
        <w:t>or that patient. There were 1,19</w:t>
      </w:r>
      <w:r>
        <w:t xml:space="preserve">6 claims belonging to 484 patients without any indication on any prescription. </w:t>
      </w:r>
      <w:r w:rsidR="00CA7047">
        <w:t xml:space="preserve">These patients are included in overall counts </w:t>
      </w:r>
      <w:r w:rsidR="003F3803">
        <w:t xml:space="preserve">of prescriptions and injections </w:t>
      </w:r>
      <w:r w:rsidR="00CA7047">
        <w:t>but not in indication specific analyses.</w:t>
      </w:r>
    </w:p>
    <w:p w:rsidR="00D83094" w:rsidRPr="00122A1F" w:rsidRDefault="00D83094" w:rsidP="00B2777A">
      <w:r>
        <w:t xml:space="preserve">For each patient, the total number of indications they have received treatment for were counted. Patients who have been treated for more than one indication </w:t>
      </w:r>
      <w:r w:rsidR="00F272CC">
        <w:t>were</w:t>
      </w:r>
      <w:r>
        <w:t xml:space="preserve"> included </w:t>
      </w:r>
      <w:r w:rsidR="00F272CC">
        <w:t xml:space="preserve">in </w:t>
      </w:r>
      <w:r>
        <w:t xml:space="preserve">counts of </w:t>
      </w:r>
      <w:r w:rsidR="00C85D14">
        <w:t xml:space="preserve">initiating and treated </w:t>
      </w:r>
      <w:r>
        <w:t>patients</w:t>
      </w:r>
      <w:r w:rsidR="00F272CC">
        <w:t xml:space="preserve"> </w:t>
      </w:r>
      <w:r>
        <w:t>for that indication</w:t>
      </w:r>
      <w:r w:rsidR="00F272CC">
        <w:t xml:space="preserve"> and </w:t>
      </w:r>
      <w:r w:rsidR="00A67889">
        <w:t xml:space="preserve">the </w:t>
      </w:r>
      <w:r w:rsidR="00F272CC">
        <w:t xml:space="preserve">predicted versus actual analyses. These patients were </w:t>
      </w:r>
      <w:r>
        <w:t xml:space="preserve">excluded from </w:t>
      </w:r>
      <w:r w:rsidR="00F272CC">
        <w:t>analyses of continuation rates, average number of injections supplied, proportion</w:t>
      </w:r>
      <w:r w:rsidR="00A67889">
        <w:t>s</w:t>
      </w:r>
      <w:r w:rsidR="00F272CC">
        <w:t xml:space="preserve"> of prescriptions with increased quantities, </w:t>
      </w:r>
      <w:r w:rsidR="00C85D14">
        <w:t>and age and geographical location of patients</w:t>
      </w:r>
      <w:r>
        <w:t>.</w:t>
      </w:r>
      <w:r w:rsidR="00957F92">
        <w:t xml:space="preserve"> Information about the number of patients who received treatment for one or more indications is provided in a later section.</w:t>
      </w:r>
    </w:p>
    <w:p w:rsidR="003F3803" w:rsidRPr="003F3803" w:rsidRDefault="003F3803" w:rsidP="00965111">
      <w:pPr>
        <w:pStyle w:val="Heading3"/>
      </w:pPr>
      <w:bookmarkStart w:id="28" w:name="_Toc513038028"/>
      <w:r w:rsidRPr="003F3803">
        <w:t>Overall Utilisation</w:t>
      </w:r>
      <w:bookmarkEnd w:id="28"/>
      <w:r w:rsidRPr="003F3803">
        <w:t xml:space="preserve"> </w:t>
      </w:r>
    </w:p>
    <w:p w:rsidR="003F3803" w:rsidRDefault="003F3803" w:rsidP="003F3803">
      <w:r>
        <w:t>The number of patients supplied ranibizumab and/or aflibercept was determined by counting the number of deidentified personal identification numbers (PINs) in the prescription data over the specified time period. Incident patients are identified by their first prescription for either ranibizumab or aflibercept, since the PBS listing of ranibizumab on 1 August 2007. A patient is assumed to remain on treatment if he or she had further prescriptions of either ranibizumab or aflibercept, no matter how much time has elapsed since the last treatment, whether the patient has been authorised for a second eye, or whether the patient has switched medicine.</w:t>
      </w:r>
    </w:p>
    <w:p w:rsidR="003F3803" w:rsidRDefault="003F3803" w:rsidP="003F3803">
      <w:r>
        <w:t xml:space="preserve">Grandfathered and incident patients are grouped in the current analysis. </w:t>
      </w:r>
    </w:p>
    <w:p w:rsidR="003F3803" w:rsidRPr="003F3803" w:rsidRDefault="003F3803" w:rsidP="00965111">
      <w:pPr>
        <w:pStyle w:val="Heading3"/>
      </w:pPr>
      <w:bookmarkStart w:id="29" w:name="_Toc513038029"/>
      <w:r w:rsidRPr="003F3803">
        <w:t>Patient characteristics</w:t>
      </w:r>
      <w:bookmarkEnd w:id="29"/>
      <w:r w:rsidRPr="003F3803">
        <w:t xml:space="preserve"> </w:t>
      </w:r>
    </w:p>
    <w:p w:rsidR="003F3803" w:rsidRDefault="003F3803" w:rsidP="003F3803">
      <w:r>
        <w:t xml:space="preserve">The characteristics of age and </w:t>
      </w:r>
      <w:r w:rsidR="00DA3663">
        <w:t>s</w:t>
      </w:r>
      <w:r>
        <w:t xml:space="preserve">tate of residence, as determined by Medicare enrolment, of patients are reported. These characteristics are identified at the initial prescription. </w:t>
      </w:r>
      <w:r w:rsidR="00536042">
        <w:t>In some analyses patient numbers have been standardised</w:t>
      </w:r>
      <w:r w:rsidR="00A67889">
        <w:t xml:space="preserve"> by population</w:t>
      </w:r>
      <w:r w:rsidR="00DA3663">
        <w:t xml:space="preserve"> to allow comparison across s</w:t>
      </w:r>
      <w:r w:rsidR="00536042">
        <w:t>tates. The estimated number of patients in the relative year has been used to allow comp</w:t>
      </w:r>
      <w:r w:rsidR="00DA3663">
        <w:t>arison through time and across s</w:t>
      </w:r>
      <w:r w:rsidR="00536042">
        <w:t>tates.</w:t>
      </w:r>
    </w:p>
    <w:p w:rsidR="003F3803" w:rsidRPr="003F3803" w:rsidRDefault="003F3803" w:rsidP="00965111">
      <w:pPr>
        <w:pStyle w:val="Heading3"/>
      </w:pPr>
      <w:bookmarkStart w:id="30" w:name="_Toc513038030"/>
      <w:r w:rsidRPr="003F3803">
        <w:lastRenderedPageBreak/>
        <w:t>Number of injections per patient</w:t>
      </w:r>
      <w:bookmarkEnd w:id="30"/>
      <w:r w:rsidRPr="003F3803">
        <w:t xml:space="preserve"> </w:t>
      </w:r>
    </w:p>
    <w:p w:rsidR="00FC6B8F" w:rsidRDefault="003F3803" w:rsidP="003F3803">
      <w:r>
        <w:t xml:space="preserve">The number of </w:t>
      </w:r>
      <w:r w:rsidR="00FC6B8F">
        <w:t xml:space="preserve">injections </w:t>
      </w:r>
      <w:r>
        <w:t>per patient per year was examined using deidentified individual patient data. The cohorts comprised patients who were supplied an initial prescription for the indication being investigated, in each calendar year. Patients’ prescription histories were followed for 12 month periods, from the date of their first supplied prescription, to the end of December 201</w:t>
      </w:r>
      <w:r w:rsidR="00FC6B8F">
        <w:t>7</w:t>
      </w:r>
      <w:r>
        <w:t xml:space="preserve">. The follow-up period varies from one year for those who initiated treatment in </w:t>
      </w:r>
      <w:r w:rsidR="00FC6B8F">
        <w:t>2016</w:t>
      </w:r>
      <w:r>
        <w:t xml:space="preserve">, to </w:t>
      </w:r>
      <w:r w:rsidR="00FC6B8F">
        <w:t xml:space="preserve">10 </w:t>
      </w:r>
      <w:r>
        <w:t xml:space="preserve">years for those who initiated in 2007. For patients initiating in </w:t>
      </w:r>
      <w:r w:rsidR="00FC6B8F">
        <w:t xml:space="preserve">2017 </w:t>
      </w:r>
      <w:r>
        <w:t xml:space="preserve">there is insufficient follow-up data to assess the number of injections supplied over a full 12 months. The injections per patient analyses are presented as mean </w:t>
      </w:r>
      <w:r w:rsidR="0053436E">
        <w:t xml:space="preserve">values </w:t>
      </w:r>
      <w:r>
        <w:t xml:space="preserve">for each available 12 month period for each cohort. </w:t>
      </w:r>
    </w:p>
    <w:p w:rsidR="00FC6B8F" w:rsidRDefault="003F3803" w:rsidP="003F3803">
      <w:r>
        <w:t xml:space="preserve">To </w:t>
      </w:r>
      <w:r w:rsidR="00FC6B8F">
        <w:t xml:space="preserve">compare </w:t>
      </w:r>
      <w:r>
        <w:t xml:space="preserve">the patterns of use </w:t>
      </w:r>
      <w:r w:rsidR="00FC6B8F">
        <w:t>of aflibercept and ranibizumab</w:t>
      </w:r>
      <w:r>
        <w:t xml:space="preserve">, </w:t>
      </w:r>
      <w:r w:rsidR="00FC6B8F">
        <w:t xml:space="preserve">an </w:t>
      </w:r>
      <w:r>
        <w:t xml:space="preserve">analysis of the cohort of patients who initiated in </w:t>
      </w:r>
      <w:r w:rsidR="00FC6B8F">
        <w:t>2015 (for AMD with 24 months follow up) and 2016 (for DMO and RVO with 12 months follow up)</w:t>
      </w:r>
      <w:r>
        <w:t xml:space="preserve"> are further examined by their initiating and subsequent drugs. </w:t>
      </w:r>
    </w:p>
    <w:p w:rsidR="003F3803" w:rsidRDefault="003F3803" w:rsidP="003F3803">
      <w:r>
        <w:t>Analyses were undertaken in SAS.</w:t>
      </w:r>
    </w:p>
    <w:p w:rsidR="00DA3663" w:rsidRDefault="00DA3663">
      <w:pPr>
        <w:spacing w:line="276" w:lineRule="auto"/>
        <w:rPr>
          <w:rFonts w:eastAsiaTheme="majorEastAsia" w:cstheme="majorBidi"/>
          <w:b/>
          <w:bCs/>
          <w:sz w:val="32"/>
          <w:szCs w:val="32"/>
        </w:rPr>
      </w:pPr>
      <w:r>
        <w:br w:type="page"/>
      </w:r>
    </w:p>
    <w:p w:rsidR="00C714D0" w:rsidRPr="005E22C2" w:rsidRDefault="00C714D0" w:rsidP="00CF5E22">
      <w:pPr>
        <w:pStyle w:val="Heading1"/>
      </w:pPr>
      <w:bookmarkStart w:id="31" w:name="_Toc513038031"/>
      <w:r w:rsidRPr="005E22C2">
        <w:lastRenderedPageBreak/>
        <w:t>Results</w:t>
      </w:r>
      <w:bookmarkEnd w:id="31"/>
    </w:p>
    <w:p w:rsidR="00972DB2" w:rsidRDefault="006A520A" w:rsidP="00E24BB4">
      <w:pPr>
        <w:pStyle w:val="Heading2"/>
      </w:pPr>
      <w:bookmarkStart w:id="32" w:name="_Toc513038032"/>
      <w:r>
        <w:t xml:space="preserve">Analysis of ranibizumab and aflibercept for </w:t>
      </w:r>
      <w:r w:rsidR="00972DB2" w:rsidRPr="00CA4D79">
        <w:t>AMD</w:t>
      </w:r>
      <w:bookmarkEnd w:id="32"/>
    </w:p>
    <w:p w:rsidR="00CA4D79" w:rsidRPr="00CA4D79" w:rsidRDefault="00CA4D79" w:rsidP="00CA4D79">
      <w:r>
        <w:t xml:space="preserve">Ranibizumab has now been listed for AMD for more than 10 years. The most recent DUSC reviews found that the </w:t>
      </w:r>
      <w:r w:rsidRPr="003F1BDF">
        <w:t xml:space="preserve">majority of patients remain on treatment for many years and </w:t>
      </w:r>
      <w:r>
        <w:t xml:space="preserve">the total number of patients on treatment </w:t>
      </w:r>
      <w:r w:rsidR="005A4D69">
        <w:t>continued to grow</w:t>
      </w:r>
      <w:r>
        <w:t>.</w:t>
      </w:r>
      <w:r w:rsidR="00A20FA0">
        <w:t xml:space="preserve"> </w:t>
      </w:r>
      <w:r w:rsidR="00823AB6">
        <w:t>The previous reviews</w:t>
      </w:r>
      <w:r w:rsidR="00A20FA0">
        <w:t xml:space="preserve"> found the average number of injections per treated patient </w:t>
      </w:r>
      <w:r w:rsidR="00823AB6">
        <w:t xml:space="preserve">had </w:t>
      </w:r>
      <w:r w:rsidR="00A20FA0">
        <w:t>increased between 2007 and 2010</w:t>
      </w:r>
      <w:r w:rsidR="005A4D69">
        <w:t xml:space="preserve"> and was stable f</w:t>
      </w:r>
      <w:r w:rsidR="00A20FA0">
        <w:t>rom 2011</w:t>
      </w:r>
      <w:r w:rsidR="00297535">
        <w:t xml:space="preserve"> to 2014</w:t>
      </w:r>
      <w:r w:rsidR="005A4D69">
        <w:t>.</w:t>
      </w:r>
    </w:p>
    <w:p w:rsidR="001D5906" w:rsidRDefault="001D5906" w:rsidP="00E76DB2">
      <w:r>
        <w:rPr>
          <w:noProof/>
        </w:rPr>
        <w:drawing>
          <wp:inline distT="0" distB="0" distL="0" distR="0" wp14:anchorId="7F939455" wp14:editId="5BAE8919">
            <wp:extent cx="5687695" cy="3733461"/>
            <wp:effectExtent l="0" t="0" r="27305" b="19685"/>
            <wp:docPr id="2" name="Chart 2" descr="Initiating and prevalent patients for AMD" title="Fig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5906" w:rsidRDefault="001D5906" w:rsidP="001D5906">
      <w:pPr>
        <w:pStyle w:val="Figuretitle"/>
      </w:pPr>
      <w:r>
        <w:t xml:space="preserve">Figure </w:t>
      </w:r>
      <w:r w:rsidR="00403745">
        <w:t>1</w:t>
      </w:r>
      <w:r>
        <w:t>: Initiating and prevalent treated patients for AMD</w:t>
      </w:r>
    </w:p>
    <w:p w:rsidR="006C603A" w:rsidRDefault="00DF474C" w:rsidP="000954D7">
      <w:r>
        <w:t>Figure 1</w:t>
      </w:r>
      <w:r w:rsidR="00CA4D79">
        <w:t xml:space="preserve"> shows the number </w:t>
      </w:r>
      <w:r w:rsidR="000954D7">
        <w:t xml:space="preserve">of AMD patients </w:t>
      </w:r>
      <w:r w:rsidR="00CA4D79">
        <w:t>initiating and treated per month</w:t>
      </w:r>
      <w:r w:rsidR="000954D7">
        <w:t xml:space="preserve">, which includes both aflibercept and ranibizumab. </w:t>
      </w:r>
      <w:r w:rsidR="00CA4D79">
        <w:t>This suggests the number of patients being treated is still growing.</w:t>
      </w:r>
    </w:p>
    <w:p w:rsidR="00CA4D79" w:rsidRDefault="00CA4D79" w:rsidP="000954D7">
      <w:r>
        <w:t xml:space="preserve">Table </w:t>
      </w:r>
      <w:r w:rsidR="00DF474C">
        <w:t>7</w:t>
      </w:r>
      <w:r>
        <w:t xml:space="preserve"> below </w:t>
      </w:r>
      <w:r w:rsidR="00A20FA0">
        <w:t>summarises these patients by year and calculates the number of injections per prevalent patient. This suggests the number of injections per patient has stabilised.</w:t>
      </w:r>
    </w:p>
    <w:p w:rsidR="00A20FA0" w:rsidRDefault="00A20FA0" w:rsidP="000954D7">
      <w:r>
        <w:t>The rate of growth of incident patients has been variable</w:t>
      </w:r>
      <w:r w:rsidR="005A4D69">
        <w:t xml:space="preserve"> and was higher in 2015 and 2016</w:t>
      </w:r>
      <w:r>
        <w:t xml:space="preserve"> </w:t>
      </w:r>
      <w:r w:rsidR="005A4D69">
        <w:t>than in previous years.</w:t>
      </w:r>
    </w:p>
    <w:p w:rsidR="00965111" w:rsidRDefault="00965111">
      <w:pPr>
        <w:spacing w:line="276" w:lineRule="auto"/>
        <w:rPr>
          <w:b/>
        </w:rPr>
      </w:pPr>
      <w:r>
        <w:br w:type="page"/>
      </w:r>
    </w:p>
    <w:p w:rsidR="00E76DB2" w:rsidRDefault="00E76DB2" w:rsidP="00D211DD">
      <w:pPr>
        <w:pStyle w:val="Tabletitle"/>
        <w:keepNext/>
      </w:pPr>
      <w:r w:rsidRPr="00972DB2">
        <w:lastRenderedPageBreak/>
        <w:t xml:space="preserve">Table </w:t>
      </w:r>
      <w:r w:rsidR="00403745">
        <w:t>7</w:t>
      </w:r>
      <w:r w:rsidRPr="00972DB2">
        <w:t xml:space="preserve">: </w:t>
      </w:r>
      <w:r w:rsidRPr="00E76DB2">
        <w:t>Summary of patients accessing treatment for AMD and number of supplied prescriptions, supplied injections and injections per patient by calendar year</w:t>
      </w:r>
    </w:p>
    <w:tbl>
      <w:tblPr>
        <w:tblW w:w="9229" w:type="dxa"/>
        <w:tblInd w:w="93" w:type="dxa"/>
        <w:tblLayout w:type="fixed"/>
        <w:tblLook w:val="04A0" w:firstRow="1" w:lastRow="0" w:firstColumn="1" w:lastColumn="0" w:noHBand="0" w:noVBand="1"/>
        <w:tblCaption w:val="Table 8"/>
        <w:tblDescription w:val="Patient continuation on treatment data."/>
      </w:tblPr>
      <w:tblGrid>
        <w:gridCol w:w="724"/>
        <w:gridCol w:w="1063"/>
        <w:gridCol w:w="1063"/>
        <w:gridCol w:w="1063"/>
        <w:gridCol w:w="1063"/>
        <w:gridCol w:w="1063"/>
        <w:gridCol w:w="1063"/>
        <w:gridCol w:w="1063"/>
        <w:gridCol w:w="1064"/>
      </w:tblGrid>
      <w:tr w:rsidR="00E76DB2" w:rsidRPr="00E76DB2" w:rsidTr="00E76DB2">
        <w:trPr>
          <w:trHeight w:val="1545"/>
        </w:trPr>
        <w:tc>
          <w:tcPr>
            <w:tcW w:w="7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Year</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New patients</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Rate of change from previous years new patients</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Prevalent patients</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Initiating patients per pop ≥65/1000</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Treated patients per pop≥65/1000</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Prescriptions supplied</w:t>
            </w:r>
          </w:p>
        </w:tc>
        <w:tc>
          <w:tcPr>
            <w:tcW w:w="1063"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Injections supplied</w:t>
            </w:r>
          </w:p>
        </w:tc>
        <w:tc>
          <w:tcPr>
            <w:tcW w:w="106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0954D7" w:rsidRPr="000954D7" w:rsidRDefault="000954D7" w:rsidP="000954D7">
            <w:pPr>
              <w:spacing w:after="0"/>
              <w:rPr>
                <w:rFonts w:ascii="Calibri" w:eastAsia="Times New Roman" w:hAnsi="Calibri" w:cs="Times New Roman"/>
                <w:b/>
                <w:color w:val="000000"/>
                <w:sz w:val="20"/>
                <w:szCs w:val="20"/>
              </w:rPr>
            </w:pPr>
            <w:r w:rsidRPr="000954D7">
              <w:rPr>
                <w:rFonts w:ascii="Calibri" w:eastAsia="Times New Roman" w:hAnsi="Calibri" w:cs="Times New Roman"/>
                <w:b/>
                <w:color w:val="000000"/>
                <w:sz w:val="20"/>
                <w:szCs w:val="20"/>
              </w:rPr>
              <w:t>Calculated injections per prevalent patient</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2007</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7,457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7,457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3.11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3.11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17,459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18,467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2.48</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2008</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8,128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9%</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14,240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3.31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5.81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59,614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63,002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4.42</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2009</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8,104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0%</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18,863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3.22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7.49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93,045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98,567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5.23</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2010</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7,625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22,801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2.95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8.81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130,739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140,163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6.15</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2011</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7,071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-7%</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26,094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2.65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9.76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160,116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172,467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6.61</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2012</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6,844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-3%</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29,234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2.48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10.61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188,042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203,768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6.97</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2013</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7,737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13%</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33,315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2.72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11.71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208,861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227,130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6.82</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2014</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7,590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36,712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2.56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12.36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229,504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250,242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6.82</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2015</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9,105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41,126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2.96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13.35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249,684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273,311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6.65</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2016</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10,743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18%</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46,910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3.37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14.72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281,176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309,370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6.59</w:t>
            </w:r>
          </w:p>
        </w:tc>
      </w:tr>
      <w:tr w:rsidR="00E76DB2" w:rsidRPr="000954D7" w:rsidTr="00E76DB2">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0954D7" w:rsidRPr="000954D7" w:rsidRDefault="000954D7" w:rsidP="000954D7">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2017</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11,453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7%</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50,964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3.47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15.44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304,952 </w:t>
            </w:r>
          </w:p>
        </w:tc>
        <w:tc>
          <w:tcPr>
            <w:tcW w:w="1063"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 xml:space="preserve"> 337,630 </w:t>
            </w:r>
          </w:p>
        </w:tc>
        <w:tc>
          <w:tcPr>
            <w:tcW w:w="1064" w:type="dxa"/>
            <w:tcBorders>
              <w:top w:val="nil"/>
              <w:left w:val="nil"/>
              <w:bottom w:val="single" w:sz="4" w:space="0" w:color="auto"/>
              <w:right w:val="single" w:sz="4" w:space="0" w:color="auto"/>
            </w:tcBorders>
            <w:shd w:val="clear" w:color="auto" w:fill="auto"/>
            <w:noWrap/>
            <w:vAlign w:val="center"/>
            <w:hideMark/>
          </w:tcPr>
          <w:p w:rsidR="000954D7" w:rsidRPr="000954D7" w:rsidRDefault="000954D7" w:rsidP="00E76DB2">
            <w:pPr>
              <w:spacing w:after="0"/>
              <w:jc w:val="right"/>
              <w:rPr>
                <w:rFonts w:ascii="Calibri" w:eastAsia="Times New Roman" w:hAnsi="Calibri" w:cs="Times New Roman"/>
                <w:color w:val="000000"/>
                <w:sz w:val="20"/>
                <w:szCs w:val="20"/>
              </w:rPr>
            </w:pPr>
            <w:r w:rsidRPr="000954D7">
              <w:rPr>
                <w:rFonts w:ascii="Calibri" w:eastAsia="Times New Roman" w:hAnsi="Calibri" w:cs="Times New Roman"/>
                <w:color w:val="000000"/>
                <w:sz w:val="20"/>
                <w:szCs w:val="20"/>
              </w:rPr>
              <w:t>6.62</w:t>
            </w:r>
          </w:p>
        </w:tc>
      </w:tr>
    </w:tbl>
    <w:p w:rsidR="006C603A" w:rsidRDefault="006C603A" w:rsidP="006C603A">
      <w:pPr>
        <w:pStyle w:val="Notes"/>
      </w:pPr>
      <w:r w:rsidRPr="003B0F92">
        <w:t xml:space="preserve">The figure for 2007 represents the first five months of listing </w:t>
      </w:r>
      <w:r w:rsidRPr="003B0F92">
        <w:br/>
        <w:t xml:space="preserve">Source: DHS Medicare Pharmacy Claims database, accessed </w:t>
      </w:r>
      <w:r>
        <w:t>March 2018</w:t>
      </w:r>
    </w:p>
    <w:p w:rsidR="003B0F92" w:rsidRPr="00691D82" w:rsidRDefault="003B0F92" w:rsidP="00965111">
      <w:pPr>
        <w:pStyle w:val="Heading3"/>
      </w:pPr>
      <w:bookmarkStart w:id="33" w:name="_Toc513038033"/>
      <w:r w:rsidRPr="00691D82">
        <w:t>Injections per patient and continuation rates</w:t>
      </w:r>
      <w:bookmarkEnd w:id="33"/>
    </w:p>
    <w:p w:rsidR="003B0F92" w:rsidRDefault="003B0F92" w:rsidP="003B0F92">
      <w:r w:rsidRPr="00776094">
        <w:t xml:space="preserve">The following tables represent the cohorts of patients who initiated in each calendar year. Individual patients were followed in 12 month periods from their initiation date. A patient is assumed to remain on treatment if he or she had further prescriptions of either ranibizumab or aflibercept, no matter how much time has elapsed since the last treatment, whether the patient has been authorised for a second eye, or whether the patient has switched medicine. </w:t>
      </w:r>
      <w:r w:rsidR="007470C8">
        <w:t>This means a patient may have experienced disease in one eye in 2007 and initiated treatment, then failed and stopped treatment for months or years, and later experienced disease in their second eye.</w:t>
      </w:r>
    </w:p>
    <w:p w:rsidR="007246C3" w:rsidRDefault="003B0F92" w:rsidP="003B0F92">
      <w:pPr>
        <w:sectPr w:rsidR="007246C3" w:rsidSect="00DD188C">
          <w:footerReference w:type="even" r:id="rId10"/>
          <w:footerReference w:type="default" r:id="rId11"/>
          <w:footerReference w:type="first" r:id="rId12"/>
          <w:pgSz w:w="11906" w:h="16838"/>
          <w:pgMar w:top="1644" w:right="1361" w:bottom="1644" w:left="1588" w:header="709" w:footer="709" w:gutter="0"/>
          <w:cols w:space="708"/>
          <w:docGrid w:linePitch="360"/>
        </w:sectPr>
      </w:pPr>
      <w:r w:rsidRPr="00776094">
        <w:t>The number of</w:t>
      </w:r>
      <w:r w:rsidR="00776094" w:rsidRPr="00776094">
        <w:t xml:space="preserve"> patients who initiated in 2017</w:t>
      </w:r>
      <w:r w:rsidRPr="00776094">
        <w:t xml:space="preserve"> is known, but there is insufficient data available to assess how many injections they received in their first full twelve months</w:t>
      </w:r>
      <w:r w:rsidR="00425385">
        <w:t xml:space="preserve"> of treatment</w:t>
      </w:r>
      <w:r w:rsidRPr="00776094">
        <w:t xml:space="preserve">. </w:t>
      </w:r>
    </w:p>
    <w:p w:rsidR="00484A43" w:rsidRPr="006276EE" w:rsidRDefault="006276EE" w:rsidP="006276EE">
      <w:pPr>
        <w:pStyle w:val="Tabletitle"/>
      </w:pPr>
      <w:r w:rsidRPr="006276EE">
        <w:lastRenderedPageBreak/>
        <w:t>Table</w:t>
      </w:r>
      <w:r w:rsidR="00403745">
        <w:t xml:space="preserve"> 8</w:t>
      </w:r>
      <w:r w:rsidRPr="006276EE">
        <w:t>: Number and percentage of patients remaining on treatment by initiating year</w:t>
      </w:r>
    </w:p>
    <w:tbl>
      <w:tblPr>
        <w:tblW w:w="11291" w:type="dxa"/>
        <w:tblInd w:w="93" w:type="dxa"/>
        <w:tblLayout w:type="fixed"/>
        <w:tblLook w:val="04A0" w:firstRow="1" w:lastRow="0" w:firstColumn="1" w:lastColumn="0" w:noHBand="0" w:noVBand="1"/>
      </w:tblPr>
      <w:tblGrid>
        <w:gridCol w:w="687"/>
        <w:gridCol w:w="767"/>
        <w:gridCol w:w="197"/>
        <w:gridCol w:w="553"/>
        <w:gridCol w:w="411"/>
        <w:gridCol w:w="339"/>
        <w:gridCol w:w="625"/>
        <w:gridCol w:w="125"/>
        <w:gridCol w:w="750"/>
        <w:gridCol w:w="89"/>
        <w:gridCol w:w="661"/>
        <w:gridCol w:w="277"/>
        <w:gridCol w:w="26"/>
        <w:gridCol w:w="447"/>
        <w:gridCol w:w="387"/>
        <w:gridCol w:w="130"/>
        <w:gridCol w:w="233"/>
        <w:gridCol w:w="731"/>
        <w:gridCol w:w="19"/>
        <w:gridCol w:w="750"/>
        <w:gridCol w:w="195"/>
        <w:gridCol w:w="263"/>
        <w:gridCol w:w="418"/>
        <w:gridCol w:w="283"/>
        <w:gridCol w:w="964"/>
        <w:gridCol w:w="964"/>
      </w:tblGrid>
      <w:tr w:rsidR="006276EE" w:rsidRPr="006F07FC" w:rsidTr="007246C3">
        <w:trPr>
          <w:gridAfter w:val="4"/>
          <w:wAfter w:w="2629" w:type="dxa"/>
          <w:trHeight w:val="300"/>
        </w:trPr>
        <w:tc>
          <w:tcPr>
            <w:tcW w:w="5481" w:type="dxa"/>
            <w:gridSpan w:val="12"/>
            <w:tcBorders>
              <w:top w:val="nil"/>
              <w:left w:val="nil"/>
              <w:bottom w:val="nil"/>
              <w:right w:val="nil"/>
            </w:tcBorders>
            <w:shd w:val="clear" w:color="auto" w:fill="auto"/>
            <w:noWrap/>
            <w:vAlign w:val="bottom"/>
            <w:hideMark/>
          </w:tcPr>
          <w:p w:rsidR="006276EE" w:rsidRPr="006F07FC" w:rsidRDefault="006276EE" w:rsidP="00280DD1">
            <w:pPr>
              <w:spacing w:after="0"/>
              <w:rPr>
                <w:rFonts w:ascii="Calibri" w:eastAsia="Times New Roman" w:hAnsi="Calibri" w:cs="Times New Roman"/>
                <w:sz w:val="22"/>
                <w:szCs w:val="22"/>
              </w:rPr>
            </w:pPr>
            <w:r w:rsidRPr="006F07FC">
              <w:rPr>
                <w:rFonts w:ascii="Calibri" w:eastAsia="Times New Roman" w:hAnsi="Calibri" w:cs="Times New Roman"/>
                <w:sz w:val="22"/>
                <w:szCs w:val="22"/>
              </w:rPr>
              <w:t>Patient numbers by initiating year and year of treatment</w:t>
            </w:r>
          </w:p>
        </w:tc>
        <w:tc>
          <w:tcPr>
            <w:tcW w:w="860" w:type="dxa"/>
            <w:gridSpan w:val="3"/>
            <w:tcBorders>
              <w:top w:val="nil"/>
              <w:left w:val="nil"/>
              <w:bottom w:val="nil"/>
              <w:right w:val="nil"/>
            </w:tcBorders>
            <w:shd w:val="clear" w:color="auto" w:fill="auto"/>
            <w:noWrap/>
            <w:vAlign w:val="bottom"/>
            <w:hideMark/>
          </w:tcPr>
          <w:p w:rsidR="006276EE" w:rsidRPr="006F07FC" w:rsidRDefault="006276EE" w:rsidP="00280DD1">
            <w:pPr>
              <w:spacing w:after="0"/>
              <w:rPr>
                <w:rFonts w:ascii="Calibri" w:eastAsia="Times New Roman" w:hAnsi="Calibri" w:cs="Times New Roman"/>
                <w:sz w:val="22"/>
                <w:szCs w:val="22"/>
              </w:rPr>
            </w:pPr>
          </w:p>
        </w:tc>
        <w:tc>
          <w:tcPr>
            <w:tcW w:w="2321" w:type="dxa"/>
            <w:gridSpan w:val="7"/>
            <w:tcBorders>
              <w:top w:val="nil"/>
              <w:left w:val="nil"/>
              <w:bottom w:val="nil"/>
              <w:right w:val="nil"/>
            </w:tcBorders>
            <w:shd w:val="clear" w:color="auto" w:fill="auto"/>
            <w:noWrap/>
            <w:vAlign w:val="bottom"/>
            <w:hideMark/>
          </w:tcPr>
          <w:p w:rsidR="006276EE" w:rsidRPr="006F07FC" w:rsidRDefault="006276EE" w:rsidP="00280DD1">
            <w:pPr>
              <w:spacing w:after="0"/>
              <w:rPr>
                <w:rFonts w:ascii="Calibri" w:eastAsia="Times New Roman" w:hAnsi="Calibri" w:cs="Times New Roman"/>
                <w:sz w:val="22"/>
                <w:szCs w:val="22"/>
              </w:rPr>
            </w:pPr>
          </w:p>
        </w:tc>
      </w:tr>
      <w:tr w:rsidR="002B05D8"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1</w:t>
            </w:r>
          </w:p>
        </w:tc>
        <w:tc>
          <w:tcPr>
            <w:tcW w:w="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2</w:t>
            </w:r>
          </w:p>
        </w:tc>
        <w:tc>
          <w:tcPr>
            <w:tcW w:w="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3</w:t>
            </w:r>
          </w:p>
        </w:tc>
        <w:tc>
          <w:tcPr>
            <w:tcW w:w="9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4</w:t>
            </w:r>
          </w:p>
        </w:tc>
        <w:tc>
          <w:tcPr>
            <w:tcW w:w="9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5</w:t>
            </w:r>
          </w:p>
        </w:tc>
        <w:tc>
          <w:tcPr>
            <w:tcW w:w="9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6</w:t>
            </w:r>
          </w:p>
        </w:tc>
        <w:tc>
          <w:tcPr>
            <w:tcW w:w="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7</w:t>
            </w:r>
          </w:p>
        </w:tc>
        <w:tc>
          <w:tcPr>
            <w:tcW w:w="9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8</w:t>
            </w:r>
          </w:p>
        </w:tc>
        <w:tc>
          <w:tcPr>
            <w:tcW w:w="9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 xml:space="preserve"> Year 9</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Year 10</w:t>
            </w:r>
          </w:p>
        </w:tc>
        <w:tc>
          <w:tcPr>
            <w:tcW w:w="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B05D8" w:rsidRPr="006276EE" w:rsidRDefault="002B05D8" w:rsidP="006276EE">
            <w:pPr>
              <w:spacing w:after="0"/>
              <w:rPr>
                <w:rFonts w:ascii="Calibri" w:eastAsia="Times New Roman" w:hAnsi="Calibri" w:cs="Times New Roman"/>
                <w:b/>
                <w:bCs/>
                <w:color w:val="000000"/>
                <w:sz w:val="20"/>
                <w:szCs w:val="20"/>
              </w:rPr>
            </w:pPr>
            <w:r w:rsidRPr="002B05D8">
              <w:rPr>
                <w:rFonts w:ascii="Calibri" w:hAnsi="Calibri"/>
                <w:b/>
                <w:bCs/>
                <w:color w:val="000000"/>
                <w:sz w:val="20"/>
                <w:szCs w:val="20"/>
              </w:rPr>
              <w:t>Year 11</w:t>
            </w: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2007</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7,457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4,853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4,270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3,883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3,578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3,262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2,932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2,641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2,335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2,055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1,566 </w:t>
            </w: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2008</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8,128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5,073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4,299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3,903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3,531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3,220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2,889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2,562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2,282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1,729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2009</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8,104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5,373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4,606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4,153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3,756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3,376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2,975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2,656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2,053 </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7,625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5,352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4,628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4,112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3,699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3,285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2,940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2,270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2011</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7,071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5,204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4,542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4,006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3,598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3,178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2,442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2012</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6,844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5,160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4,510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3,996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3,603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2,754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2013</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7,737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5,957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5,199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4,652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3,655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2014</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7,590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5,882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5,121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3,982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9,105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6,529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4,797 </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2016</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10,743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6,307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7246C3" w:rsidRPr="006276EE" w:rsidTr="007246C3">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6276EE" w:rsidRDefault="007246C3" w:rsidP="006276EE">
            <w:pPr>
              <w:spacing w:after="0"/>
              <w:rPr>
                <w:rFonts w:ascii="Calibri" w:eastAsia="Times New Roman" w:hAnsi="Calibri" w:cs="Times New Roman"/>
                <w:color w:val="000000"/>
                <w:sz w:val="20"/>
                <w:szCs w:val="20"/>
              </w:rPr>
            </w:pPr>
            <w:r w:rsidRPr="002B05D8">
              <w:rPr>
                <w:rFonts w:ascii="Calibri" w:hAnsi="Calibri"/>
                <w:color w:val="000000"/>
                <w:sz w:val="20"/>
                <w:szCs w:val="20"/>
              </w:rPr>
              <w:t>2017</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r w:rsidRPr="007246C3">
              <w:rPr>
                <w:rFonts w:ascii="Calibri" w:hAnsi="Calibri"/>
                <w:color w:val="000000"/>
                <w:sz w:val="20"/>
                <w:szCs w:val="20"/>
              </w:rPr>
              <w:t xml:space="preserve"> 11,453 </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46C3" w:rsidRPr="007246C3" w:rsidRDefault="007246C3" w:rsidP="007469B7">
            <w:pPr>
              <w:spacing w:after="0"/>
              <w:jc w:val="right"/>
              <w:rPr>
                <w:rFonts w:ascii="Calibri" w:eastAsia="Times New Roman" w:hAnsi="Calibri" w:cs="Times New Roman"/>
                <w:color w:val="000000"/>
                <w:sz w:val="20"/>
                <w:szCs w:val="20"/>
              </w:rPr>
            </w:pPr>
          </w:p>
        </w:tc>
      </w:tr>
      <w:tr w:rsidR="002B05D8" w:rsidRPr="006276EE" w:rsidTr="007246C3">
        <w:trPr>
          <w:gridAfter w:val="3"/>
          <w:wAfter w:w="2211" w:type="dxa"/>
          <w:trHeight w:val="170"/>
        </w:trPr>
        <w:tc>
          <w:tcPr>
            <w:tcW w:w="687" w:type="dxa"/>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67" w:type="dxa"/>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2"/>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2"/>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2"/>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2"/>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3"/>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3"/>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gridSpan w:val="2"/>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750" w:type="dxa"/>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c>
          <w:tcPr>
            <w:tcW w:w="876" w:type="dxa"/>
            <w:gridSpan w:val="3"/>
            <w:tcBorders>
              <w:top w:val="single" w:sz="4" w:space="0" w:color="auto"/>
              <w:left w:val="nil"/>
              <w:bottom w:val="nil"/>
              <w:right w:val="nil"/>
            </w:tcBorders>
            <w:shd w:val="clear" w:color="auto" w:fill="auto"/>
            <w:noWrap/>
            <w:vAlign w:val="bottom"/>
            <w:hideMark/>
          </w:tcPr>
          <w:p w:rsidR="002B05D8" w:rsidRPr="006276EE" w:rsidRDefault="002B05D8" w:rsidP="006276EE">
            <w:pPr>
              <w:spacing w:after="0"/>
              <w:rPr>
                <w:rFonts w:ascii="Calibri" w:eastAsia="Times New Roman" w:hAnsi="Calibri" w:cs="Times New Roman"/>
                <w:color w:val="000000"/>
                <w:sz w:val="20"/>
                <w:szCs w:val="20"/>
              </w:rPr>
            </w:pPr>
          </w:p>
        </w:tc>
      </w:tr>
      <w:tr w:rsidR="002B05D8" w:rsidRPr="006F07FC" w:rsidTr="007246C3">
        <w:trPr>
          <w:gridAfter w:val="3"/>
          <w:wAfter w:w="2211" w:type="dxa"/>
          <w:trHeight w:val="300"/>
        </w:trPr>
        <w:tc>
          <w:tcPr>
            <w:tcW w:w="9080" w:type="dxa"/>
            <w:gridSpan w:val="23"/>
            <w:tcBorders>
              <w:top w:val="nil"/>
              <w:left w:val="nil"/>
              <w:bottom w:val="single" w:sz="4" w:space="0" w:color="auto"/>
              <w:right w:val="nil"/>
            </w:tcBorders>
            <w:shd w:val="clear" w:color="auto" w:fill="auto"/>
            <w:noWrap/>
            <w:vAlign w:val="bottom"/>
            <w:hideMark/>
          </w:tcPr>
          <w:p w:rsidR="002B05D8" w:rsidRPr="006F07FC" w:rsidRDefault="002B05D8" w:rsidP="006276EE">
            <w:pPr>
              <w:spacing w:after="0"/>
              <w:rPr>
                <w:rFonts w:ascii="Calibri" w:eastAsia="Times New Roman" w:hAnsi="Calibri" w:cs="Times New Roman"/>
                <w:sz w:val="22"/>
                <w:szCs w:val="22"/>
              </w:rPr>
            </w:pPr>
            <w:r w:rsidRPr="006F07FC">
              <w:rPr>
                <w:rFonts w:ascii="Calibri" w:eastAsia="Times New Roman" w:hAnsi="Calibri" w:cs="Times New Roman"/>
                <w:sz w:val="22"/>
                <w:szCs w:val="22"/>
              </w:rPr>
              <w:t>Percentage of continuing patients from the number of initiators in year 1</w:t>
            </w:r>
          </w:p>
        </w:tc>
      </w:tr>
      <w:tr w:rsidR="002B05D8" w:rsidRPr="00A07C5F" w:rsidTr="00AA6D1D">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5D8" w:rsidRPr="00A07C5F" w:rsidRDefault="002B05D8" w:rsidP="00AA6D1D">
            <w:pPr>
              <w:spacing w:after="0"/>
              <w:jc w:val="center"/>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1</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2</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3</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4</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5</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6</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8</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9</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10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05D8" w:rsidRPr="00A07C5F" w:rsidRDefault="002B05D8" w:rsidP="00AA6D1D">
            <w:pPr>
              <w:spacing w:after="0"/>
              <w:jc w:val="center"/>
              <w:rPr>
                <w:rFonts w:ascii="Calibri" w:eastAsia="Times New Roman" w:hAnsi="Calibri" w:cs="Times New Roman"/>
                <w:color w:val="000000"/>
                <w:sz w:val="20"/>
                <w:szCs w:val="20"/>
              </w:rPr>
            </w:pPr>
            <w:r w:rsidRPr="00A07C5F">
              <w:rPr>
                <w:rFonts w:ascii="Calibri" w:hAnsi="Calibri"/>
                <w:b/>
                <w:bCs/>
                <w:color w:val="000000"/>
                <w:sz w:val="20"/>
                <w:szCs w:val="20"/>
              </w:rPr>
              <w:t>Year 11</w:t>
            </w: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2007</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52%</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48%</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44%</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39%</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35%</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28%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21%</w:t>
            </w: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2008</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62%</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53%</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48%</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43%</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36%</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32%</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28%</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21%</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2009</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66%</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51%</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46%</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42%</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33%</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25%</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70%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61%</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54%</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49%</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43%</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39%</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30%</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2011</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74%</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64%</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51%</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35%</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2012</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75%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66%</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58%</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53%</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2013</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77%</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60%</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47%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2014</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77%</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67%</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52%</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2015</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72%</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53%</w:t>
            </w: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r w:rsidR="00A07C5F" w:rsidRPr="00A07C5F" w:rsidTr="00A07C5F">
        <w:trPr>
          <w:trHeight w:val="300"/>
        </w:trPr>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C5F" w:rsidRPr="00A07C5F" w:rsidRDefault="00A07C5F" w:rsidP="00AA6D1D">
            <w:pPr>
              <w:spacing w:after="0"/>
              <w:rPr>
                <w:rFonts w:ascii="Calibri" w:eastAsia="Times New Roman" w:hAnsi="Calibri" w:cs="Times New Roman"/>
                <w:color w:val="000000"/>
                <w:sz w:val="20"/>
                <w:szCs w:val="20"/>
              </w:rPr>
            </w:pPr>
            <w:r w:rsidRPr="00A07C5F">
              <w:rPr>
                <w:rFonts w:ascii="Calibri" w:hAnsi="Calibri"/>
                <w:color w:val="000000"/>
                <w:sz w:val="20"/>
                <w:szCs w:val="20"/>
              </w:rPr>
              <w:t>2016</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100%</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C5F" w:rsidRPr="00A07C5F" w:rsidRDefault="00A07C5F" w:rsidP="00AA6D1D">
            <w:pPr>
              <w:spacing w:after="0"/>
              <w:jc w:val="right"/>
              <w:rPr>
                <w:rFonts w:ascii="Calibri" w:eastAsia="Times New Roman" w:hAnsi="Calibri" w:cs="Times New Roman"/>
                <w:color w:val="000000"/>
                <w:sz w:val="20"/>
                <w:szCs w:val="20"/>
              </w:rPr>
            </w:pPr>
            <w:r w:rsidRPr="00A07C5F">
              <w:rPr>
                <w:rFonts w:ascii="Calibri" w:hAnsi="Calibri"/>
                <w:color w:val="000000"/>
                <w:sz w:val="20"/>
                <w:szCs w:val="20"/>
              </w:rPr>
              <w:t>59%</w:t>
            </w: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C5F" w:rsidRPr="00A07C5F" w:rsidRDefault="00A07C5F" w:rsidP="00AA6D1D">
            <w:pPr>
              <w:spacing w:after="0"/>
              <w:jc w:val="right"/>
              <w:rPr>
                <w:rFonts w:ascii="Calibri" w:eastAsia="Times New Roman" w:hAnsi="Calibri" w:cs="Times New Roman"/>
                <w:color w:val="000000"/>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C5F" w:rsidRPr="00A07C5F" w:rsidRDefault="00A07C5F" w:rsidP="00AA6D1D">
            <w:pPr>
              <w:spacing w:after="0"/>
              <w:jc w:val="right"/>
              <w:rPr>
                <w:rFonts w:ascii="Calibri" w:eastAsia="Times New Roman" w:hAnsi="Calibri" w:cs="Times New Roman"/>
                <w:color w:val="000000"/>
                <w:sz w:val="20"/>
                <w:szCs w:val="20"/>
              </w:rPr>
            </w:pPr>
          </w:p>
        </w:tc>
      </w:tr>
    </w:tbl>
    <w:p w:rsidR="006276EE" w:rsidRPr="00776094" w:rsidRDefault="006276EE" w:rsidP="003B0F92"/>
    <w:p w:rsidR="007246C3" w:rsidRDefault="007246C3" w:rsidP="003B0F92">
      <w:pPr>
        <w:sectPr w:rsidR="007246C3" w:rsidSect="007246C3">
          <w:pgSz w:w="16838" w:h="11906" w:orient="landscape"/>
          <w:pgMar w:top="1588" w:right="1644" w:bottom="1361" w:left="1644" w:header="709" w:footer="709" w:gutter="0"/>
          <w:cols w:space="708"/>
          <w:docGrid w:linePitch="360"/>
        </w:sectPr>
      </w:pPr>
    </w:p>
    <w:p w:rsidR="003B0F92" w:rsidRDefault="003B0F92" w:rsidP="003B0F92">
      <w:r w:rsidRPr="00691D82">
        <w:lastRenderedPageBreak/>
        <w:t xml:space="preserve">The majority of patients continue into the second year of treatment. </w:t>
      </w:r>
      <w:r w:rsidR="0009339E">
        <w:t>Since 2011, over 70% of patients have received treatment in their second year. The exception is patients</w:t>
      </w:r>
      <w:r w:rsidR="0009339E" w:rsidRPr="0009339E">
        <w:t xml:space="preserve"> who initiated in 2016</w:t>
      </w:r>
      <w:r w:rsidR="00CE7DD4">
        <w:t xml:space="preserve"> where</w:t>
      </w:r>
      <w:r w:rsidR="0009339E">
        <w:t xml:space="preserve"> only 58.71% of patients received a treatment in 2017. The reason for this is unknown</w:t>
      </w:r>
      <w:r w:rsidR="00A516C4">
        <w:t xml:space="preserve">. </w:t>
      </w:r>
      <w:r w:rsidRPr="00691D82">
        <w:t xml:space="preserve">Continuation rates </w:t>
      </w:r>
      <w:r w:rsidR="00776094">
        <w:t xml:space="preserve">of earlier cohorts </w:t>
      </w:r>
      <w:r w:rsidRPr="00691D82">
        <w:t xml:space="preserve">in subsequent years remain high. </w:t>
      </w:r>
      <w:r w:rsidR="00334FCE">
        <w:t>The continuation rates calculated from the previous year rather than initial year are 65 to 75% from year 1 to year 2, and then around 88 to 90% in subsequent years</w:t>
      </w:r>
      <w:r w:rsidR="00896E77">
        <w:t xml:space="preserve">. </w:t>
      </w:r>
    </w:p>
    <w:p w:rsidR="003B0F92" w:rsidRPr="007469B7" w:rsidRDefault="003B0F92" w:rsidP="003B0F92">
      <w:r w:rsidRPr="007469B7">
        <w:t>The table below display</w:t>
      </w:r>
      <w:r w:rsidR="00163004">
        <w:t>s</w:t>
      </w:r>
      <w:r w:rsidRPr="007469B7">
        <w:t xml:space="preserve"> the mean number of injections of ranibizumab and aflibercept </w:t>
      </w:r>
      <w:r w:rsidR="00163004">
        <w:t xml:space="preserve">that </w:t>
      </w:r>
      <w:r w:rsidRPr="007469B7">
        <w:t>patients receive</w:t>
      </w:r>
      <w:r w:rsidR="00A516C4">
        <w:t>d</w:t>
      </w:r>
      <w:r w:rsidRPr="007469B7">
        <w:t xml:space="preserve"> in each year of treatment, by the calendar year of initiation.</w:t>
      </w:r>
    </w:p>
    <w:p w:rsidR="007469B7" w:rsidRPr="007469B7" w:rsidRDefault="00776094" w:rsidP="003B0F92">
      <w:pPr>
        <w:rPr>
          <w:b/>
        </w:rPr>
      </w:pPr>
      <w:r>
        <w:t>Patients who have been recorded as being treated for more than one indication (i.e. AMD and DMO or AMD and RVO</w:t>
      </w:r>
      <w:r w:rsidRPr="0044765C">
        <w:t>) are not included in this analysis.</w:t>
      </w:r>
    </w:p>
    <w:p w:rsidR="003B0F92" w:rsidRPr="00372A62" w:rsidRDefault="003B0F92" w:rsidP="003B0F92">
      <w:pPr>
        <w:pStyle w:val="Tabletitle"/>
      </w:pPr>
      <w:bookmarkStart w:id="34" w:name="_Ref383791174"/>
      <w:r w:rsidRPr="00372A62">
        <w:t>Table</w:t>
      </w:r>
      <w:bookmarkEnd w:id="34"/>
      <w:r w:rsidR="00CB6E36">
        <w:t xml:space="preserve"> </w:t>
      </w:r>
      <w:r w:rsidR="00403745">
        <w:t>9</w:t>
      </w:r>
      <w:r w:rsidRPr="00372A62">
        <w:t>: Average number of injections supplied in each 12 months of therapy for patients by initiating year</w:t>
      </w:r>
    </w:p>
    <w:tbl>
      <w:tblPr>
        <w:tblW w:w="93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w:tblDescription w:val="Average number of injections by initiating year"/>
      </w:tblPr>
      <w:tblGrid>
        <w:gridCol w:w="1433"/>
        <w:gridCol w:w="794"/>
        <w:gridCol w:w="794"/>
        <w:gridCol w:w="794"/>
        <w:gridCol w:w="794"/>
        <w:gridCol w:w="794"/>
        <w:gridCol w:w="794"/>
        <w:gridCol w:w="794"/>
        <w:gridCol w:w="794"/>
        <w:gridCol w:w="794"/>
        <w:gridCol w:w="794"/>
      </w:tblGrid>
      <w:tr w:rsidR="00372A62" w:rsidRPr="00372A62" w:rsidTr="00280DD1">
        <w:trPr>
          <w:trHeight w:val="255"/>
        </w:trPr>
        <w:tc>
          <w:tcPr>
            <w:tcW w:w="1433"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sz w:val="20"/>
                <w:szCs w:val="20"/>
              </w:rPr>
              <w:t> </w:t>
            </w:r>
          </w:p>
        </w:tc>
        <w:tc>
          <w:tcPr>
            <w:tcW w:w="794"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rFonts w:ascii="Calibri" w:hAnsi="Calibri"/>
                <w:bCs/>
                <w:sz w:val="20"/>
                <w:szCs w:val="20"/>
              </w:rPr>
              <w:t xml:space="preserve"> Year 1</w:t>
            </w:r>
          </w:p>
        </w:tc>
        <w:tc>
          <w:tcPr>
            <w:tcW w:w="794"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rFonts w:ascii="Calibri" w:hAnsi="Calibri"/>
                <w:bCs/>
                <w:sz w:val="20"/>
                <w:szCs w:val="20"/>
              </w:rPr>
              <w:t xml:space="preserve"> Year 2</w:t>
            </w:r>
          </w:p>
        </w:tc>
        <w:tc>
          <w:tcPr>
            <w:tcW w:w="794"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rFonts w:ascii="Calibri" w:hAnsi="Calibri"/>
                <w:bCs/>
                <w:sz w:val="20"/>
                <w:szCs w:val="20"/>
              </w:rPr>
              <w:t xml:space="preserve"> Year 3</w:t>
            </w:r>
          </w:p>
        </w:tc>
        <w:tc>
          <w:tcPr>
            <w:tcW w:w="794"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rFonts w:ascii="Calibri" w:hAnsi="Calibri"/>
                <w:bCs/>
                <w:sz w:val="20"/>
                <w:szCs w:val="20"/>
              </w:rPr>
              <w:t xml:space="preserve"> Year 4</w:t>
            </w:r>
          </w:p>
        </w:tc>
        <w:tc>
          <w:tcPr>
            <w:tcW w:w="794"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rFonts w:ascii="Calibri" w:hAnsi="Calibri"/>
                <w:bCs/>
                <w:sz w:val="20"/>
                <w:szCs w:val="20"/>
              </w:rPr>
              <w:t xml:space="preserve"> Year 5</w:t>
            </w:r>
          </w:p>
        </w:tc>
        <w:tc>
          <w:tcPr>
            <w:tcW w:w="794" w:type="dxa"/>
            <w:shd w:val="clear" w:color="auto" w:fill="BFBFBF" w:themeFill="background1" w:themeFillShade="BF"/>
            <w:noWrap/>
            <w:vAlign w:val="bottom"/>
          </w:tcPr>
          <w:p w:rsidR="00105606" w:rsidRPr="00372A62" w:rsidRDefault="00105606" w:rsidP="007A1EF4">
            <w:pPr>
              <w:pStyle w:val="Tableheading"/>
              <w:rPr>
                <w:rFonts w:eastAsia="Times New Roman" w:cs="Times New Roman"/>
                <w:sz w:val="20"/>
                <w:szCs w:val="20"/>
              </w:rPr>
            </w:pPr>
            <w:r w:rsidRPr="00372A62">
              <w:rPr>
                <w:rFonts w:ascii="Calibri" w:hAnsi="Calibri"/>
                <w:bCs/>
                <w:sz w:val="20"/>
                <w:szCs w:val="20"/>
              </w:rPr>
              <w:t xml:space="preserve"> Year 6</w:t>
            </w:r>
          </w:p>
        </w:tc>
        <w:tc>
          <w:tcPr>
            <w:tcW w:w="794" w:type="dxa"/>
            <w:shd w:val="clear" w:color="auto" w:fill="BFBFBF" w:themeFill="background1" w:themeFillShade="BF"/>
            <w:vAlign w:val="bottom"/>
          </w:tcPr>
          <w:p w:rsidR="00105606" w:rsidRPr="00372A62" w:rsidRDefault="00105606" w:rsidP="007A1EF4">
            <w:pPr>
              <w:pStyle w:val="Tableheading"/>
              <w:rPr>
                <w:sz w:val="20"/>
                <w:szCs w:val="20"/>
              </w:rPr>
            </w:pPr>
            <w:r w:rsidRPr="00372A62">
              <w:rPr>
                <w:rFonts w:ascii="Calibri" w:hAnsi="Calibri"/>
                <w:bCs/>
                <w:sz w:val="20"/>
                <w:szCs w:val="20"/>
              </w:rPr>
              <w:t xml:space="preserve"> Year 7</w:t>
            </w:r>
          </w:p>
        </w:tc>
        <w:tc>
          <w:tcPr>
            <w:tcW w:w="794" w:type="dxa"/>
            <w:shd w:val="clear" w:color="auto" w:fill="BFBFBF" w:themeFill="background1" w:themeFillShade="BF"/>
            <w:vAlign w:val="bottom"/>
          </w:tcPr>
          <w:p w:rsidR="00105606" w:rsidRPr="00372A62" w:rsidRDefault="00105606" w:rsidP="007A1EF4">
            <w:pPr>
              <w:pStyle w:val="Tableheading"/>
              <w:rPr>
                <w:sz w:val="20"/>
                <w:szCs w:val="20"/>
              </w:rPr>
            </w:pPr>
            <w:r w:rsidRPr="00372A62">
              <w:rPr>
                <w:rFonts w:ascii="Calibri" w:hAnsi="Calibri"/>
                <w:bCs/>
                <w:sz w:val="20"/>
                <w:szCs w:val="20"/>
              </w:rPr>
              <w:t xml:space="preserve"> Year 8</w:t>
            </w:r>
          </w:p>
        </w:tc>
        <w:tc>
          <w:tcPr>
            <w:tcW w:w="794" w:type="dxa"/>
            <w:shd w:val="clear" w:color="auto" w:fill="BFBFBF" w:themeFill="background1" w:themeFillShade="BF"/>
            <w:vAlign w:val="bottom"/>
          </w:tcPr>
          <w:p w:rsidR="00105606" w:rsidRPr="00372A62" w:rsidRDefault="00105606" w:rsidP="007A1EF4">
            <w:pPr>
              <w:pStyle w:val="Tableheading"/>
              <w:rPr>
                <w:sz w:val="20"/>
                <w:szCs w:val="20"/>
              </w:rPr>
            </w:pPr>
            <w:r w:rsidRPr="00372A62">
              <w:rPr>
                <w:rFonts w:ascii="Calibri" w:hAnsi="Calibri"/>
                <w:bCs/>
                <w:sz w:val="20"/>
                <w:szCs w:val="20"/>
              </w:rPr>
              <w:t xml:space="preserve"> Year 9</w:t>
            </w:r>
          </w:p>
        </w:tc>
        <w:tc>
          <w:tcPr>
            <w:tcW w:w="794" w:type="dxa"/>
            <w:shd w:val="clear" w:color="auto" w:fill="BFBFBF" w:themeFill="background1" w:themeFillShade="BF"/>
            <w:vAlign w:val="bottom"/>
          </w:tcPr>
          <w:p w:rsidR="00105606" w:rsidRPr="00372A62" w:rsidRDefault="00105606" w:rsidP="007A1EF4">
            <w:pPr>
              <w:pStyle w:val="Tableheading"/>
              <w:rPr>
                <w:sz w:val="20"/>
                <w:szCs w:val="20"/>
              </w:rPr>
            </w:pPr>
            <w:r w:rsidRPr="00372A62">
              <w:rPr>
                <w:rFonts w:ascii="Calibri" w:hAnsi="Calibri"/>
                <w:bCs/>
                <w:sz w:val="20"/>
                <w:szCs w:val="20"/>
              </w:rPr>
              <w:t>Year 10</w:t>
            </w:r>
          </w:p>
        </w:tc>
      </w:tr>
      <w:tr w:rsidR="002203D6" w:rsidRPr="00372A62" w:rsidTr="00280DD1">
        <w:trPr>
          <w:trHeight w:val="255"/>
        </w:trPr>
        <w:tc>
          <w:tcPr>
            <w:tcW w:w="1433" w:type="dxa"/>
            <w:shd w:val="clear" w:color="auto" w:fill="auto"/>
            <w:noWrap/>
            <w:vAlign w:val="bottom"/>
            <w:hideMark/>
          </w:tcPr>
          <w:p w:rsidR="002203D6" w:rsidRPr="00372A62" w:rsidRDefault="002203D6" w:rsidP="007A1EF4">
            <w:pPr>
              <w:pStyle w:val="Tablewriting"/>
              <w:rPr>
                <w:rFonts w:eastAsia="Times New Roman" w:cs="Times New Roman"/>
                <w:color w:val="auto"/>
              </w:rPr>
            </w:pPr>
            <w:r w:rsidRPr="00372A62">
              <w:rPr>
                <w:color w:val="auto"/>
              </w:rPr>
              <w:t>Initiated 2007</w:t>
            </w:r>
            <w:r w:rsidRPr="00372A62">
              <w:rPr>
                <w:color w:val="auto"/>
                <w:vertAlign w:val="superscript"/>
              </w:rPr>
              <w:t>a</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5.72</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5.95</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7.18</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7.67</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8.00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7.88</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7.67</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7.39</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7.42</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7.63</w:t>
            </w:r>
          </w:p>
        </w:tc>
      </w:tr>
      <w:tr w:rsidR="002203D6" w:rsidRPr="00372A62" w:rsidTr="00280DD1">
        <w:trPr>
          <w:trHeight w:val="255"/>
        </w:trPr>
        <w:tc>
          <w:tcPr>
            <w:tcW w:w="1433" w:type="dxa"/>
            <w:shd w:val="clear" w:color="auto" w:fill="auto"/>
            <w:noWrap/>
            <w:vAlign w:val="bottom"/>
            <w:hideMark/>
          </w:tcPr>
          <w:p w:rsidR="002203D6" w:rsidRPr="00372A62" w:rsidRDefault="002203D6" w:rsidP="007A1EF4">
            <w:pPr>
              <w:pStyle w:val="Tablewriting"/>
              <w:rPr>
                <w:rFonts w:eastAsia="Times New Roman" w:cs="Times New Roman"/>
                <w:color w:val="auto"/>
              </w:rPr>
            </w:pPr>
            <w:r w:rsidRPr="00372A62">
              <w:rPr>
                <w:color w:val="auto"/>
              </w:rPr>
              <w:t>Initiated 2008</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6.15</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6.12</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6.99</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7.38</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7.65</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7.41</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7.32</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7.20</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7.25</w:t>
            </w: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hideMark/>
          </w:tcPr>
          <w:p w:rsidR="002203D6" w:rsidRPr="00372A62" w:rsidRDefault="002203D6" w:rsidP="007A1EF4">
            <w:pPr>
              <w:pStyle w:val="Tablewriting"/>
              <w:rPr>
                <w:rFonts w:eastAsia="Times New Roman" w:cs="Times New Roman"/>
                <w:color w:val="auto"/>
              </w:rPr>
            </w:pPr>
            <w:r w:rsidRPr="00372A62">
              <w:rPr>
                <w:color w:val="auto"/>
              </w:rPr>
              <w:t>Initiated 2009</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7.26</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6.77</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7.31</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7.50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7.30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7.23</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7.38</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7.41</w:t>
            </w: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hideMark/>
          </w:tcPr>
          <w:p w:rsidR="002203D6" w:rsidRPr="00372A62" w:rsidRDefault="002203D6" w:rsidP="007A1EF4">
            <w:pPr>
              <w:pStyle w:val="Tablewriting"/>
              <w:rPr>
                <w:rFonts w:eastAsia="Times New Roman" w:cs="Times New Roman"/>
                <w:color w:val="auto"/>
              </w:rPr>
            </w:pPr>
            <w:r w:rsidRPr="00372A62">
              <w:rPr>
                <w:color w:val="auto"/>
              </w:rPr>
              <w:t>Initiated 2010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8.11</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7.20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7.41</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7.44</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7.46</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7.45</w:t>
            </w:r>
          </w:p>
        </w:tc>
        <w:tc>
          <w:tcPr>
            <w:tcW w:w="794" w:type="dxa"/>
            <w:vAlign w:val="bottom"/>
          </w:tcPr>
          <w:p w:rsidR="002203D6" w:rsidRPr="002203D6" w:rsidRDefault="002203D6" w:rsidP="007A1EF4">
            <w:pPr>
              <w:pStyle w:val="Tablewriting"/>
              <w:jc w:val="center"/>
              <w:rPr>
                <w:color w:val="auto"/>
              </w:rPr>
            </w:pPr>
            <w:r w:rsidRPr="002203D6">
              <w:rPr>
                <w:rFonts w:ascii="Calibri" w:hAnsi="Calibri"/>
              </w:rPr>
              <w:t>7.54</w:t>
            </w: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hideMark/>
          </w:tcPr>
          <w:p w:rsidR="002203D6" w:rsidRPr="00372A62" w:rsidRDefault="002203D6" w:rsidP="007A1EF4">
            <w:pPr>
              <w:pStyle w:val="Tablewriting"/>
              <w:rPr>
                <w:rFonts w:eastAsia="Times New Roman" w:cs="Times New Roman"/>
                <w:color w:val="auto"/>
              </w:rPr>
            </w:pPr>
            <w:r w:rsidRPr="00372A62">
              <w:rPr>
                <w:color w:val="auto"/>
              </w:rPr>
              <w:t>Initiated 2011</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8.35</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7.19</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7.10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7.27</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7.36</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7.38</w:t>
            </w: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105606">
        <w:trPr>
          <w:trHeight w:val="255"/>
        </w:trPr>
        <w:tc>
          <w:tcPr>
            <w:tcW w:w="1433" w:type="dxa"/>
            <w:shd w:val="clear" w:color="auto" w:fill="auto"/>
            <w:noWrap/>
            <w:vAlign w:val="bottom"/>
            <w:hideMark/>
          </w:tcPr>
          <w:p w:rsidR="002203D6" w:rsidRPr="00372A62" w:rsidRDefault="002203D6" w:rsidP="007A1EF4">
            <w:pPr>
              <w:pStyle w:val="Tablewriting"/>
              <w:rPr>
                <w:rFonts w:eastAsia="Times New Roman" w:cs="Times New Roman"/>
                <w:color w:val="auto"/>
              </w:rPr>
            </w:pPr>
            <w:r w:rsidRPr="00372A62">
              <w:rPr>
                <w:color w:val="auto"/>
              </w:rPr>
              <w:t>Initiated 2012</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8.52</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7.04</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7.11</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7.30</w:t>
            </w:r>
          </w:p>
        </w:tc>
        <w:tc>
          <w:tcPr>
            <w:tcW w:w="794" w:type="dxa"/>
            <w:shd w:val="clear" w:color="auto" w:fill="auto"/>
            <w:noWrap/>
            <w:vAlign w:val="bottom"/>
            <w:hideMark/>
          </w:tcPr>
          <w:p w:rsidR="002203D6" w:rsidRPr="002203D6" w:rsidRDefault="002203D6" w:rsidP="007A1EF4">
            <w:pPr>
              <w:pStyle w:val="Tablewriting"/>
              <w:jc w:val="center"/>
              <w:rPr>
                <w:rFonts w:eastAsia="Times New Roman" w:cs="Times New Roman"/>
                <w:color w:val="auto"/>
              </w:rPr>
            </w:pPr>
            <w:r w:rsidRPr="002203D6">
              <w:rPr>
                <w:rFonts w:ascii="Calibri" w:hAnsi="Calibri"/>
              </w:rPr>
              <w:t>7.48</w:t>
            </w:r>
          </w:p>
        </w:tc>
        <w:tc>
          <w:tcPr>
            <w:tcW w:w="794" w:type="dxa"/>
            <w:shd w:val="clear" w:color="auto" w:fill="auto"/>
            <w:noWrap/>
            <w:vAlign w:val="bottom"/>
          </w:tcPr>
          <w:p w:rsidR="002203D6" w:rsidRPr="002203D6" w:rsidRDefault="002203D6" w:rsidP="007A1EF4">
            <w:pPr>
              <w:pStyle w:val="Tablewriting"/>
              <w:jc w:val="center"/>
              <w:rPr>
                <w:rFonts w:eastAsia="Times New Roman" w:cs="Times New Roman"/>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tcPr>
          <w:p w:rsidR="002203D6" w:rsidRPr="00372A62" w:rsidRDefault="002203D6" w:rsidP="007A1EF4">
            <w:pPr>
              <w:pStyle w:val="Tablewriting"/>
              <w:rPr>
                <w:color w:val="auto"/>
              </w:rPr>
            </w:pPr>
            <w:r w:rsidRPr="00372A62">
              <w:rPr>
                <w:color w:val="auto"/>
              </w:rPr>
              <w:t>Initiated 2013</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8.33</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6.85</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7.07</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7.22</w:t>
            </w: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tcPr>
          <w:p w:rsidR="002203D6" w:rsidRPr="00372A62" w:rsidRDefault="002203D6" w:rsidP="007A1EF4">
            <w:pPr>
              <w:pStyle w:val="Tablewriting"/>
              <w:rPr>
                <w:color w:val="auto"/>
              </w:rPr>
            </w:pPr>
            <w:r w:rsidRPr="00372A62">
              <w:rPr>
                <w:color w:val="auto"/>
              </w:rPr>
              <w:t>Initiated 2014</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8.46</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6.97</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7.10</w:t>
            </w: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tcPr>
          <w:p w:rsidR="002203D6" w:rsidRPr="00372A62" w:rsidRDefault="002203D6" w:rsidP="007A1EF4">
            <w:pPr>
              <w:pStyle w:val="Tablewriting"/>
              <w:rPr>
                <w:color w:val="auto"/>
              </w:rPr>
            </w:pPr>
            <w:r w:rsidRPr="00372A62">
              <w:rPr>
                <w:color w:val="auto"/>
              </w:rPr>
              <w:t>Initiated 2015</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8.53</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7.08</w:t>
            </w: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r w:rsidR="002203D6" w:rsidRPr="00372A62" w:rsidTr="00280DD1">
        <w:trPr>
          <w:trHeight w:val="255"/>
        </w:trPr>
        <w:tc>
          <w:tcPr>
            <w:tcW w:w="1433" w:type="dxa"/>
            <w:shd w:val="clear" w:color="auto" w:fill="auto"/>
            <w:noWrap/>
            <w:vAlign w:val="bottom"/>
          </w:tcPr>
          <w:p w:rsidR="002203D6" w:rsidRPr="00372A62" w:rsidRDefault="002203D6" w:rsidP="007A1EF4">
            <w:pPr>
              <w:pStyle w:val="Tablewriting"/>
              <w:rPr>
                <w:color w:val="auto"/>
              </w:rPr>
            </w:pPr>
            <w:r w:rsidRPr="00372A62">
              <w:rPr>
                <w:color w:val="auto"/>
              </w:rPr>
              <w:t>Initiated 2016</w:t>
            </w:r>
          </w:p>
        </w:tc>
        <w:tc>
          <w:tcPr>
            <w:tcW w:w="794" w:type="dxa"/>
            <w:shd w:val="clear" w:color="auto" w:fill="auto"/>
            <w:noWrap/>
            <w:vAlign w:val="bottom"/>
          </w:tcPr>
          <w:p w:rsidR="002203D6" w:rsidRPr="002203D6" w:rsidRDefault="002203D6" w:rsidP="007A1EF4">
            <w:pPr>
              <w:pStyle w:val="Tablewriting"/>
              <w:jc w:val="center"/>
              <w:rPr>
                <w:color w:val="auto"/>
              </w:rPr>
            </w:pPr>
            <w:r w:rsidRPr="002203D6">
              <w:rPr>
                <w:rFonts w:ascii="Calibri" w:hAnsi="Calibri"/>
              </w:rPr>
              <w:t>8.40</w:t>
            </w: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shd w:val="clear" w:color="auto" w:fill="auto"/>
            <w:noWrap/>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c>
          <w:tcPr>
            <w:tcW w:w="794" w:type="dxa"/>
            <w:vAlign w:val="bottom"/>
          </w:tcPr>
          <w:p w:rsidR="002203D6" w:rsidRPr="002203D6" w:rsidRDefault="002203D6" w:rsidP="007A1EF4">
            <w:pPr>
              <w:pStyle w:val="Tablewriting"/>
              <w:jc w:val="center"/>
              <w:rPr>
                <w:color w:val="auto"/>
              </w:rPr>
            </w:pPr>
          </w:p>
        </w:tc>
      </w:tr>
    </w:tbl>
    <w:p w:rsidR="003B0F92" w:rsidRPr="00372A62" w:rsidRDefault="003B0F92" w:rsidP="003B0F92">
      <w:pPr>
        <w:pStyle w:val="Notes"/>
        <w:tabs>
          <w:tab w:val="left" w:pos="6480"/>
        </w:tabs>
        <w:rPr>
          <w:rFonts w:cs="Arial"/>
        </w:rPr>
      </w:pPr>
      <w:r w:rsidRPr="00372A62">
        <w:t>Source: DHS Medicare Pharmacy Clai</w:t>
      </w:r>
      <w:r w:rsidR="00372A62" w:rsidRPr="00372A62">
        <w:t>ms database, accessed March 2018</w:t>
      </w:r>
      <w:r w:rsidRPr="00372A62">
        <w:tab/>
      </w:r>
      <w:r w:rsidRPr="00372A62">
        <w:br/>
      </w:r>
      <w:r w:rsidRPr="00372A62">
        <w:rPr>
          <w:rFonts w:cs="Arial"/>
          <w:vertAlign w:val="superscript"/>
        </w:rPr>
        <w:t xml:space="preserve">a </w:t>
      </w:r>
      <w:r w:rsidRPr="00372A62">
        <w:rPr>
          <w:rFonts w:cs="Arial"/>
        </w:rPr>
        <w:t>This cohort may also contain some patients who were grandfathered on to ranibizumab and therefore are not initiators to the therapy.</w:t>
      </w:r>
    </w:p>
    <w:p w:rsidR="003B0F92" w:rsidRPr="001133CC" w:rsidRDefault="003B0F92" w:rsidP="003B0F92">
      <w:r w:rsidRPr="001133CC">
        <w:t xml:space="preserve">Table </w:t>
      </w:r>
      <w:r w:rsidR="00DF474C">
        <w:t>9</w:t>
      </w:r>
      <w:r w:rsidRPr="001133CC">
        <w:t xml:space="preserve"> show the number of </w:t>
      </w:r>
      <w:r w:rsidR="00823FEA">
        <w:t>injections</w:t>
      </w:r>
      <w:r w:rsidR="00823FEA" w:rsidRPr="001133CC">
        <w:t xml:space="preserve"> </w:t>
      </w:r>
      <w:r w:rsidRPr="001133CC">
        <w:t>supplied in the first 12 months of therapy now appears to be stable at around 8</w:t>
      </w:r>
      <w:r w:rsidR="00D43FE2">
        <w:t>.4</w:t>
      </w:r>
      <w:r w:rsidRPr="001133CC">
        <w:t xml:space="preserve"> prescriptions per year. </w:t>
      </w:r>
      <w:r w:rsidR="00D43FE2">
        <w:t xml:space="preserve">In </w:t>
      </w:r>
      <w:r w:rsidR="00823FEA">
        <w:t xml:space="preserve">the second year of treatment the average </w:t>
      </w:r>
      <w:r w:rsidR="00823FEA" w:rsidRPr="001133CC">
        <w:t xml:space="preserve">number of </w:t>
      </w:r>
      <w:r w:rsidR="00823FEA">
        <w:t xml:space="preserve">injections is generally lower than the first year of treatment. In </w:t>
      </w:r>
      <w:r w:rsidR="00D43FE2">
        <w:t>subsequent year</w:t>
      </w:r>
      <w:r w:rsidR="00823FEA">
        <w:t xml:space="preserve">s the average increases, </w:t>
      </w:r>
      <w:r w:rsidR="00823FEA" w:rsidRPr="00BA4691">
        <w:t>possibly because</w:t>
      </w:r>
      <w:r w:rsidR="008717B7">
        <w:t xml:space="preserve"> of the interplay between</w:t>
      </w:r>
      <w:r w:rsidR="00823FEA" w:rsidRPr="00BA4691">
        <w:t xml:space="preserve"> patients who have ceased treatment </w:t>
      </w:r>
      <w:r w:rsidR="008717B7">
        <w:t>due to non-response, have stable disease and are being observed, have developed bilateral disease and/or require ongoing monthly treatment to manage their condition.</w:t>
      </w:r>
    </w:p>
    <w:p w:rsidR="004116AF" w:rsidRDefault="004116AF" w:rsidP="00965111">
      <w:pPr>
        <w:pStyle w:val="Heading3"/>
      </w:pPr>
      <w:bookmarkStart w:id="35" w:name="_Toc513038034"/>
      <w:r w:rsidRPr="00511014">
        <w:t>Number of injections per patient</w:t>
      </w:r>
      <w:r>
        <w:t xml:space="preserve"> by medicine</w:t>
      </w:r>
      <w:bookmarkEnd w:id="35"/>
    </w:p>
    <w:p w:rsidR="0053000F" w:rsidRDefault="0051762F" w:rsidP="0053000F">
      <w:pPr>
        <w:rPr>
          <w:i/>
        </w:rPr>
      </w:pPr>
      <w:r w:rsidRPr="00A72103">
        <w:t xml:space="preserve">Aflibercept was recommended on a cost-minimisation basis with ranibizumab. </w:t>
      </w:r>
      <w:r>
        <w:t>The submission had based the</w:t>
      </w:r>
      <w:r w:rsidRPr="00F01728">
        <w:t xml:space="preserve"> cost minimisation analysis</w:t>
      </w:r>
      <w:r>
        <w:t xml:space="preserve"> on the</w:t>
      </w:r>
      <w:r w:rsidRPr="00F01728">
        <w:t xml:space="preserve"> treatment frequency </w:t>
      </w:r>
      <w:r>
        <w:t>in</w:t>
      </w:r>
      <w:r w:rsidRPr="00F01728">
        <w:t xml:space="preserve"> the Product Information for aflibercept (7 per year) and current practice based on PBS data for ranibizumab (8.8 per year).</w:t>
      </w:r>
      <w:r>
        <w:t xml:space="preserve"> The PBAC considered it was uncertain whether less frequent </w:t>
      </w:r>
      <w:r>
        <w:lastRenderedPageBreak/>
        <w:t xml:space="preserve">injections would eventuate with aflibercept treatment compared to ranibizumab treatment and recommended that the price of aflibercept be based on an injection: injection basis with ranibizumab. </w:t>
      </w:r>
      <w:r w:rsidR="0053000F">
        <w:t>An analysis in the previous DUSC review, for a cohort of patients initiating</w:t>
      </w:r>
      <w:r w:rsidR="00A43080">
        <w:t xml:space="preserve"> treatment</w:t>
      </w:r>
      <w:r w:rsidR="0053000F">
        <w:t xml:space="preserve"> </w:t>
      </w:r>
      <w:r w:rsidR="00A43080">
        <w:t xml:space="preserve">in the period </w:t>
      </w:r>
      <w:r w:rsidR="0053000F">
        <w:t>December 2012 to November 2013, found a similar mean number of injections per patient in their first 12 months of treatment irrespective of whether aflibercept or ranibizumab was used.</w:t>
      </w:r>
      <w:r w:rsidR="0053000F" w:rsidRPr="000E0722">
        <w:rPr>
          <w:i/>
        </w:rPr>
        <w:t xml:space="preserve"> </w:t>
      </w:r>
    </w:p>
    <w:p w:rsidR="004116AF" w:rsidRDefault="004116AF" w:rsidP="004116AF">
      <w:pPr>
        <w:rPr>
          <w:i/>
        </w:rPr>
      </w:pPr>
      <w:r>
        <w:t>The number of injections per patient</w:t>
      </w:r>
      <w:r w:rsidR="0053000F">
        <w:t xml:space="preserve"> by medicine </w:t>
      </w:r>
      <w:r w:rsidR="00A43080">
        <w:t xml:space="preserve">prescribed </w:t>
      </w:r>
      <w:r w:rsidR="0053000F">
        <w:t xml:space="preserve">for a more recent cohort </w:t>
      </w:r>
      <w:r w:rsidR="00A43080">
        <w:t>(initiating in</w:t>
      </w:r>
      <w:r w:rsidR="0053000F">
        <w:t xml:space="preserve"> 2015</w:t>
      </w:r>
      <w:r w:rsidR="00A43080">
        <w:t>)</w:t>
      </w:r>
      <w:r>
        <w:t xml:space="preserve"> i</w:t>
      </w:r>
      <w:r w:rsidR="00936309">
        <w:t>s presented below. The analysis compares the number of injections per patient</w:t>
      </w:r>
      <w:r w:rsidR="00936309" w:rsidRPr="00936309">
        <w:t xml:space="preserve"> </w:t>
      </w:r>
      <w:r w:rsidR="00936309">
        <w:t xml:space="preserve">in </w:t>
      </w:r>
      <w:r w:rsidR="00A43080">
        <w:t xml:space="preserve">both </w:t>
      </w:r>
      <w:r w:rsidR="00936309">
        <w:t xml:space="preserve">their first and second years of AMD treatment, by medicine </w:t>
      </w:r>
      <w:r w:rsidR="008C360F">
        <w:t>prescribed</w:t>
      </w:r>
      <w:r>
        <w:t xml:space="preserve">. </w:t>
      </w:r>
    </w:p>
    <w:p w:rsidR="004116AF" w:rsidRPr="00156F02" w:rsidRDefault="004116AF" w:rsidP="004116AF">
      <w:pPr>
        <w:pStyle w:val="Tabletitle"/>
      </w:pPr>
      <w:r>
        <w:t xml:space="preserve">Table </w:t>
      </w:r>
      <w:r w:rsidR="00403745">
        <w:t>10</w:t>
      </w:r>
      <w:r>
        <w:t xml:space="preserve">: Initiated 1 January 2015 to 31 December 2015 </w:t>
      </w:r>
    </w:p>
    <w:tbl>
      <w:tblPr>
        <w:tblW w:w="9229" w:type="dxa"/>
        <w:tblInd w:w="93" w:type="dxa"/>
        <w:tblLayout w:type="fixed"/>
        <w:tblLook w:val="04A0" w:firstRow="1" w:lastRow="0" w:firstColumn="1" w:lastColumn="0" w:noHBand="0" w:noVBand="1"/>
        <w:tblCaption w:val="Table 10"/>
        <w:tblDescription w:val="Patient initiation data by drugs received"/>
      </w:tblPr>
      <w:tblGrid>
        <w:gridCol w:w="1858"/>
        <w:gridCol w:w="1228"/>
        <w:gridCol w:w="1229"/>
        <w:gridCol w:w="1228"/>
        <w:gridCol w:w="1229"/>
        <w:gridCol w:w="1228"/>
        <w:gridCol w:w="1229"/>
      </w:tblGrid>
      <w:tr w:rsidR="004116AF" w:rsidRPr="00156F02" w:rsidTr="00A50BBF">
        <w:trPr>
          <w:trHeight w:val="255"/>
        </w:trPr>
        <w:tc>
          <w:tcPr>
            <w:tcW w:w="1858" w:type="dxa"/>
            <w:tcBorders>
              <w:top w:val="single" w:sz="4" w:space="0" w:color="auto"/>
              <w:left w:val="single" w:sz="4" w:space="0" w:color="auto"/>
              <w:bottom w:val="single" w:sz="4" w:space="0" w:color="auto"/>
              <w:right w:val="single" w:sz="4" w:space="0" w:color="auto"/>
            </w:tcBorders>
            <w:shd w:val="clear" w:color="DCE6F1" w:fill="BFBFBF"/>
            <w:noWrap/>
            <w:vAlign w:val="bottom"/>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 </w:t>
            </w:r>
          </w:p>
        </w:tc>
        <w:tc>
          <w:tcPr>
            <w:tcW w:w="3685" w:type="dxa"/>
            <w:gridSpan w:val="3"/>
            <w:tcBorders>
              <w:top w:val="single" w:sz="4" w:space="0" w:color="auto"/>
              <w:left w:val="nil"/>
              <w:bottom w:val="single" w:sz="4" w:space="0" w:color="auto"/>
              <w:right w:val="single" w:sz="4" w:space="0" w:color="auto"/>
            </w:tcBorders>
            <w:shd w:val="clear" w:color="000000" w:fill="BFBFBF"/>
            <w:vAlign w:val="bottom"/>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First 12 months of treatment</w:t>
            </w:r>
          </w:p>
        </w:tc>
        <w:tc>
          <w:tcPr>
            <w:tcW w:w="3686" w:type="dxa"/>
            <w:gridSpan w:val="3"/>
            <w:tcBorders>
              <w:top w:val="single" w:sz="4" w:space="0" w:color="auto"/>
              <w:left w:val="nil"/>
              <w:bottom w:val="single" w:sz="4" w:space="0" w:color="auto"/>
              <w:right w:val="single" w:sz="4" w:space="0" w:color="auto"/>
            </w:tcBorders>
            <w:shd w:val="clear" w:color="000000" w:fill="BFBFBF"/>
            <w:vAlign w:val="bottom"/>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12 to 24 months of treatment</w:t>
            </w:r>
          </w:p>
        </w:tc>
      </w:tr>
      <w:tr w:rsidR="004116AF" w:rsidRPr="00156F02" w:rsidTr="00A50BBF">
        <w:trPr>
          <w:trHeight w:val="1530"/>
        </w:trPr>
        <w:tc>
          <w:tcPr>
            <w:tcW w:w="1858" w:type="dxa"/>
            <w:tcBorders>
              <w:top w:val="nil"/>
              <w:left w:val="single" w:sz="4" w:space="0" w:color="auto"/>
              <w:bottom w:val="single" w:sz="4" w:space="0" w:color="auto"/>
              <w:right w:val="single" w:sz="4" w:space="0" w:color="auto"/>
            </w:tcBorders>
            <w:shd w:val="clear" w:color="000000" w:fill="BFBFBF"/>
            <w:vAlign w:val="bottom"/>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Medicines received</w:t>
            </w:r>
          </w:p>
        </w:tc>
        <w:tc>
          <w:tcPr>
            <w:tcW w:w="1228" w:type="dxa"/>
            <w:tcBorders>
              <w:top w:val="nil"/>
              <w:left w:val="nil"/>
              <w:bottom w:val="single" w:sz="4" w:space="0" w:color="auto"/>
              <w:right w:val="single" w:sz="4" w:space="0" w:color="auto"/>
            </w:tcBorders>
            <w:shd w:val="clear" w:color="000000" w:fill="BFBFBF"/>
            <w:vAlign w:val="center"/>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Number of patients new to AMD treatment (Jan 15 to Dec 15)</w:t>
            </w:r>
          </w:p>
        </w:tc>
        <w:tc>
          <w:tcPr>
            <w:tcW w:w="1229" w:type="dxa"/>
            <w:tcBorders>
              <w:top w:val="nil"/>
              <w:left w:val="nil"/>
              <w:bottom w:val="single" w:sz="4" w:space="0" w:color="auto"/>
              <w:right w:val="single" w:sz="4" w:space="0" w:color="auto"/>
            </w:tcBorders>
            <w:shd w:val="clear" w:color="000000" w:fill="BFBFBF"/>
            <w:vAlign w:val="center"/>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Mean number of injections per new patient in their first 12 months of treatment</w:t>
            </w:r>
          </w:p>
        </w:tc>
        <w:tc>
          <w:tcPr>
            <w:tcW w:w="1228" w:type="dxa"/>
            <w:tcBorders>
              <w:top w:val="nil"/>
              <w:left w:val="nil"/>
              <w:bottom w:val="nil"/>
              <w:right w:val="nil"/>
            </w:tcBorders>
            <w:shd w:val="clear" w:color="000000" w:fill="BFBFBF"/>
            <w:vAlign w:val="bottom"/>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Weighted mean number of injections</w:t>
            </w:r>
          </w:p>
        </w:tc>
        <w:tc>
          <w:tcPr>
            <w:tcW w:w="1229" w:type="dxa"/>
            <w:tcBorders>
              <w:top w:val="nil"/>
              <w:left w:val="single" w:sz="4" w:space="0" w:color="auto"/>
              <w:bottom w:val="single" w:sz="4" w:space="0" w:color="auto"/>
              <w:right w:val="single" w:sz="4" w:space="0" w:color="auto"/>
            </w:tcBorders>
            <w:shd w:val="clear" w:color="000000" w:fill="BFBFBF"/>
            <w:vAlign w:val="center"/>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Number of these patients continuing treatment in next 12 months</w:t>
            </w:r>
          </w:p>
        </w:tc>
        <w:tc>
          <w:tcPr>
            <w:tcW w:w="1228" w:type="dxa"/>
            <w:tcBorders>
              <w:top w:val="nil"/>
              <w:left w:val="nil"/>
              <w:bottom w:val="single" w:sz="4" w:space="0" w:color="auto"/>
              <w:right w:val="single" w:sz="4" w:space="0" w:color="auto"/>
            </w:tcBorders>
            <w:shd w:val="clear" w:color="000000" w:fill="BFBFBF"/>
            <w:vAlign w:val="center"/>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Mean number of injections per patient 12-24 months of treatment</w:t>
            </w:r>
          </w:p>
        </w:tc>
        <w:tc>
          <w:tcPr>
            <w:tcW w:w="1229" w:type="dxa"/>
            <w:tcBorders>
              <w:top w:val="nil"/>
              <w:left w:val="nil"/>
              <w:bottom w:val="single" w:sz="4" w:space="0" w:color="auto"/>
              <w:right w:val="single" w:sz="4" w:space="0" w:color="auto"/>
            </w:tcBorders>
            <w:shd w:val="clear" w:color="000000" w:fill="BFBFBF"/>
            <w:vAlign w:val="center"/>
            <w:hideMark/>
          </w:tcPr>
          <w:p w:rsidR="004116AF" w:rsidRPr="00156F02" w:rsidRDefault="004116AF" w:rsidP="00A50BBF">
            <w:pPr>
              <w:spacing w:after="0"/>
              <w:rPr>
                <w:rFonts w:ascii="Calibri" w:eastAsia="Times New Roman" w:hAnsi="Calibri" w:cs="Times New Roman"/>
                <w:b/>
                <w:bCs/>
                <w:color w:val="000000"/>
                <w:sz w:val="20"/>
                <w:szCs w:val="20"/>
              </w:rPr>
            </w:pPr>
            <w:r w:rsidRPr="00156F02">
              <w:rPr>
                <w:rFonts w:ascii="Calibri" w:eastAsia="Times New Roman" w:hAnsi="Calibri" w:cs="Times New Roman"/>
                <w:b/>
                <w:bCs/>
                <w:color w:val="000000"/>
                <w:sz w:val="20"/>
                <w:szCs w:val="20"/>
              </w:rPr>
              <w:t>Weighted mean number of injections</w:t>
            </w:r>
          </w:p>
        </w:tc>
      </w:tr>
      <w:tr w:rsidR="004116AF" w:rsidRPr="00156F02" w:rsidTr="00A50BBF">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116AF" w:rsidRPr="00156F02" w:rsidRDefault="004116AF" w:rsidP="00A50BBF">
            <w:pPr>
              <w:spacing w:after="0"/>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Aflibercept only</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3,635 </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8.40</w:t>
            </w:r>
          </w:p>
        </w:tc>
        <w:tc>
          <w:tcPr>
            <w:tcW w:w="1228" w:type="dxa"/>
            <w:vMerge w:val="restart"/>
            <w:tcBorders>
              <w:top w:val="single" w:sz="4" w:space="0" w:color="auto"/>
              <w:left w:val="nil"/>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8.55</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2,786 </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6.88</w:t>
            </w:r>
          </w:p>
        </w:tc>
        <w:tc>
          <w:tcPr>
            <w:tcW w:w="1229" w:type="dxa"/>
            <w:vMerge w:val="restart"/>
            <w:tcBorders>
              <w:top w:val="nil"/>
              <w:left w:val="nil"/>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7.16</w:t>
            </w:r>
          </w:p>
        </w:tc>
      </w:tr>
      <w:tr w:rsidR="004116AF" w:rsidRPr="00156F02" w:rsidTr="00A50BBF">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116AF" w:rsidRPr="00156F02" w:rsidRDefault="004116AF" w:rsidP="00A50BBF">
            <w:pPr>
              <w:spacing w:after="0"/>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Aflibercept + ranibizumab</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166 </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11.96</w:t>
            </w:r>
          </w:p>
        </w:tc>
        <w:tc>
          <w:tcPr>
            <w:tcW w:w="1228" w:type="dxa"/>
            <w:vMerge/>
            <w:tcBorders>
              <w:left w:val="nil"/>
              <w:bottom w:val="single" w:sz="4" w:space="0" w:color="auto"/>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251 </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10.25</w:t>
            </w:r>
          </w:p>
        </w:tc>
        <w:tc>
          <w:tcPr>
            <w:tcW w:w="1229" w:type="dxa"/>
            <w:vMerge/>
            <w:tcBorders>
              <w:left w:val="nil"/>
              <w:bottom w:val="single" w:sz="4" w:space="0" w:color="auto"/>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p>
        </w:tc>
      </w:tr>
      <w:tr w:rsidR="004116AF" w:rsidRPr="00156F02" w:rsidTr="00A50BBF">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116AF" w:rsidRPr="00156F02" w:rsidRDefault="004116AF" w:rsidP="00A50BBF">
            <w:pPr>
              <w:spacing w:after="0"/>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Ranibizumab only</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3,482 </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8.08</w:t>
            </w:r>
          </w:p>
        </w:tc>
        <w:tc>
          <w:tcPr>
            <w:tcW w:w="1228" w:type="dxa"/>
            <w:vMerge w:val="restart"/>
            <w:tcBorders>
              <w:top w:val="nil"/>
              <w:left w:val="nil"/>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8.48</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2,267 </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6.51</w:t>
            </w:r>
          </w:p>
        </w:tc>
        <w:tc>
          <w:tcPr>
            <w:tcW w:w="1229" w:type="dxa"/>
            <w:vMerge w:val="restart"/>
            <w:tcBorders>
              <w:top w:val="nil"/>
              <w:left w:val="nil"/>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7.03</w:t>
            </w:r>
          </w:p>
        </w:tc>
      </w:tr>
      <w:tr w:rsidR="004116AF" w:rsidRPr="00156F02" w:rsidTr="00A50BBF">
        <w:trPr>
          <w:trHeight w:val="255"/>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4116AF" w:rsidRPr="00156F02" w:rsidRDefault="004116AF" w:rsidP="00A50BBF">
            <w:pPr>
              <w:spacing w:after="0"/>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Ranibizumab + aflibercept</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567 </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10.95</w:t>
            </w:r>
          </w:p>
        </w:tc>
        <w:tc>
          <w:tcPr>
            <w:tcW w:w="1228" w:type="dxa"/>
            <w:vMerge/>
            <w:tcBorders>
              <w:left w:val="nil"/>
              <w:bottom w:val="single" w:sz="4" w:space="0" w:color="auto"/>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792 </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8.52</w:t>
            </w:r>
          </w:p>
        </w:tc>
        <w:tc>
          <w:tcPr>
            <w:tcW w:w="1229" w:type="dxa"/>
            <w:vMerge/>
            <w:tcBorders>
              <w:left w:val="nil"/>
              <w:bottom w:val="single" w:sz="4" w:space="0" w:color="auto"/>
              <w:right w:val="single" w:sz="4" w:space="0" w:color="auto"/>
            </w:tcBorders>
            <w:shd w:val="clear" w:color="auto" w:fill="auto"/>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p>
        </w:tc>
      </w:tr>
      <w:tr w:rsidR="004116AF" w:rsidRPr="00156F02" w:rsidTr="00A50BBF">
        <w:trPr>
          <w:trHeight w:val="25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4116AF" w:rsidRPr="00156F02" w:rsidRDefault="004116AF" w:rsidP="00A50BBF">
            <w:pPr>
              <w:spacing w:after="0"/>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Total</w:t>
            </w:r>
          </w:p>
        </w:tc>
        <w:tc>
          <w:tcPr>
            <w:tcW w:w="1228"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w:t>
            </w:r>
            <w:r w:rsidRPr="00CB6E36">
              <w:rPr>
                <w:rFonts w:ascii="Calibri" w:eastAsia="Times New Roman" w:hAnsi="Calibri" w:cs="Times New Roman"/>
                <w:color w:val="000000"/>
                <w:sz w:val="20"/>
                <w:szCs w:val="20"/>
              </w:rPr>
              <w:t>7,850</w:t>
            </w:r>
            <w:r w:rsidR="00412A32">
              <w:rPr>
                <w:rFonts w:ascii="Calibri" w:eastAsia="Times New Roman" w:hAnsi="Calibri" w:cs="Times New Roman"/>
                <w:color w:val="000000"/>
                <w:sz w:val="20"/>
                <w:szCs w:val="20"/>
              </w:rPr>
              <w:t>*</w:t>
            </w:r>
            <w:r w:rsidRPr="00156F02">
              <w:rPr>
                <w:rFonts w:ascii="Calibri" w:eastAsia="Times New Roman" w:hAnsi="Calibri" w:cs="Times New Roman"/>
                <w:color w:val="000000"/>
                <w:sz w:val="20"/>
                <w:szCs w:val="20"/>
              </w:rPr>
              <w:t xml:space="preserve"> </w:t>
            </w:r>
          </w:p>
        </w:tc>
        <w:tc>
          <w:tcPr>
            <w:tcW w:w="2457" w:type="dxa"/>
            <w:gridSpan w:val="2"/>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8.52  </w:t>
            </w:r>
          </w:p>
        </w:tc>
        <w:tc>
          <w:tcPr>
            <w:tcW w:w="1229" w:type="dxa"/>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 6,096 </w:t>
            </w:r>
          </w:p>
        </w:tc>
        <w:tc>
          <w:tcPr>
            <w:tcW w:w="2457" w:type="dxa"/>
            <w:gridSpan w:val="2"/>
            <w:tcBorders>
              <w:top w:val="nil"/>
              <w:left w:val="nil"/>
              <w:bottom w:val="single" w:sz="4" w:space="0" w:color="auto"/>
              <w:right w:val="single" w:sz="4" w:space="0" w:color="auto"/>
            </w:tcBorders>
            <w:shd w:val="clear" w:color="auto" w:fill="auto"/>
            <w:noWrap/>
            <w:vAlign w:val="center"/>
            <w:hideMark/>
          </w:tcPr>
          <w:p w:rsidR="004116AF" w:rsidRPr="00156F02" w:rsidRDefault="004116AF" w:rsidP="00A50BBF">
            <w:pPr>
              <w:spacing w:after="0"/>
              <w:jc w:val="right"/>
              <w:rPr>
                <w:rFonts w:ascii="Calibri" w:eastAsia="Times New Roman" w:hAnsi="Calibri" w:cs="Times New Roman"/>
                <w:color w:val="000000"/>
                <w:sz w:val="20"/>
                <w:szCs w:val="20"/>
              </w:rPr>
            </w:pPr>
            <w:r w:rsidRPr="00156F02">
              <w:rPr>
                <w:rFonts w:ascii="Calibri" w:eastAsia="Times New Roman" w:hAnsi="Calibri" w:cs="Times New Roman"/>
                <w:color w:val="000000"/>
                <w:sz w:val="20"/>
                <w:szCs w:val="20"/>
              </w:rPr>
              <w:t xml:space="preserve">7.09 </w:t>
            </w:r>
          </w:p>
        </w:tc>
      </w:tr>
    </w:tbl>
    <w:p w:rsidR="004116AF" w:rsidRDefault="00412A32" w:rsidP="00CB6E36">
      <w:pPr>
        <w:pStyle w:val="Notes"/>
      </w:pPr>
      <w:r>
        <w:t>*</w:t>
      </w:r>
      <w:r w:rsidR="00CB6E36">
        <w:t>Excludes 1,255 patients who received treatment for more than one indication.</w:t>
      </w:r>
    </w:p>
    <w:p w:rsidR="00A43080" w:rsidRDefault="00A43080" w:rsidP="004116AF">
      <w:r>
        <w:t xml:space="preserve">The number of injections per patient </w:t>
      </w:r>
      <w:r w:rsidR="00E11C45">
        <w:t xml:space="preserve">in each of the first two years of treatment </w:t>
      </w:r>
      <w:r>
        <w:t>is similar</w:t>
      </w:r>
      <w:r w:rsidR="00E11C45">
        <w:t xml:space="preserve"> whether ranibizumab or aflibercept is prescribed.</w:t>
      </w:r>
    </w:p>
    <w:p w:rsidR="004116AF" w:rsidRDefault="00E11C45" w:rsidP="004116AF">
      <w:r>
        <w:t xml:space="preserve">A small proportion (9%) of patients who initiated in 2015 switched from aflibercept to ranibizumab or vice versa. </w:t>
      </w:r>
      <w:r w:rsidR="004116AF">
        <w:t>The mean number of injections per patient i</w:t>
      </w:r>
      <w:r>
        <w:t>s higher in patients who switch</w:t>
      </w:r>
      <w:r w:rsidR="00F32E18">
        <w:t xml:space="preserve">. This is probably because </w:t>
      </w:r>
      <w:r w:rsidR="00702D69">
        <w:t xml:space="preserve">of </w:t>
      </w:r>
      <w:r w:rsidR="00F32E18">
        <w:t>an inadequate response to the first medicine</w:t>
      </w:r>
      <w:r w:rsidR="00702D69">
        <w:t xml:space="preserve"> and</w:t>
      </w:r>
      <w:r w:rsidR="006D3011">
        <w:t xml:space="preserve"> the need for more frequent injections (monthly for at least the first 3 months) when switching.</w:t>
      </w:r>
      <w:r w:rsidR="00702D69">
        <w:t xml:space="preserve"> </w:t>
      </w:r>
    </w:p>
    <w:p w:rsidR="003B0F92" w:rsidRDefault="003B0F92" w:rsidP="00965111">
      <w:pPr>
        <w:pStyle w:val="Heading3"/>
      </w:pPr>
      <w:bookmarkStart w:id="36" w:name="_Toc513038035"/>
      <w:r w:rsidRPr="009A03CF">
        <w:t>Proportion of use for bilateral treatment</w:t>
      </w:r>
      <w:bookmarkEnd w:id="36"/>
    </w:p>
    <w:p w:rsidR="00A20FA0" w:rsidRDefault="001133CC" w:rsidP="00C40F49">
      <w:r w:rsidRPr="001133CC">
        <w:t xml:space="preserve">The ranibizumab submission estimated bilateral treatment in 10% of patients, and data from DHS provided </w:t>
      </w:r>
      <w:r w:rsidR="00F90FF9">
        <w:t>for</w:t>
      </w:r>
      <w:r w:rsidRPr="001133CC">
        <w:t xml:space="preserve"> the 2012 DUSC report indicated about 20%. </w:t>
      </w:r>
      <w:r w:rsidR="00330533" w:rsidRPr="001133CC">
        <w:t>The</w:t>
      </w:r>
      <w:r w:rsidR="00A20FA0" w:rsidRPr="001133CC">
        <w:t xml:space="preserve"> 2015 </w:t>
      </w:r>
      <w:r w:rsidR="00330533" w:rsidRPr="001133CC">
        <w:t xml:space="preserve">DUSC report </w:t>
      </w:r>
      <w:r w:rsidR="00330533">
        <w:t xml:space="preserve">noted bilateral use is increasing over time based on the proportion of prescriptions with an increased maximum quantity of injections. </w:t>
      </w:r>
      <w:r w:rsidR="00A20FA0">
        <w:t xml:space="preserve">DUSC agreed </w:t>
      </w:r>
      <w:r w:rsidR="00330533">
        <w:t>but</w:t>
      </w:r>
      <w:r w:rsidR="00A20FA0">
        <w:t xml:space="preserve"> considered that this measure underestimates bilateral treatment as it only captures simultaneous bilateral use, whereas bilateral use may also include each eye treated consecutively or alternately.</w:t>
      </w:r>
    </w:p>
    <w:p w:rsidR="00C40F49" w:rsidRPr="00C40F49" w:rsidRDefault="00330533" w:rsidP="00C40F49">
      <w:r>
        <w:lastRenderedPageBreak/>
        <w:t xml:space="preserve">This analysis is updated below. </w:t>
      </w:r>
      <w:r w:rsidR="00C40F49" w:rsidRPr="00C40F49">
        <w:t>A</w:t>
      </w:r>
      <w:r w:rsidR="00C40F49">
        <w:t xml:space="preserve"> prescription with a dispensed</w:t>
      </w:r>
      <w:r w:rsidR="00C40F49" w:rsidRPr="00C40F49">
        <w:t xml:space="preserve"> quantity of two suggests the injections </w:t>
      </w:r>
      <w:r w:rsidR="00C40F49">
        <w:t xml:space="preserve">may have been </w:t>
      </w:r>
      <w:r w:rsidR="00C40F49" w:rsidRPr="00C40F49">
        <w:t xml:space="preserve">to treat both eyes at once or close together. A quantity of three or </w:t>
      </w:r>
      <w:r w:rsidR="00F90FF9">
        <w:t>more</w:t>
      </w:r>
      <w:r w:rsidR="00C40F49" w:rsidRPr="00C40F49">
        <w:t xml:space="preserve"> suggests these patients were dispensed all of the repeats at once, under regulation</w:t>
      </w:r>
      <w:r w:rsidR="00E97EA1">
        <w:t> </w:t>
      </w:r>
      <w:r w:rsidR="00C40F49" w:rsidRPr="00C40F49">
        <w:t xml:space="preserve">24. </w:t>
      </w:r>
    </w:p>
    <w:p w:rsidR="00C40F49" w:rsidRPr="00972DB2" w:rsidRDefault="00C40F49" w:rsidP="00C40F49">
      <w:pPr>
        <w:pStyle w:val="Tabletitle"/>
        <w:keepNext/>
      </w:pPr>
      <w:r w:rsidRPr="00972DB2">
        <w:t>Table</w:t>
      </w:r>
      <w:r w:rsidR="00403745">
        <w:t xml:space="preserve"> 11</w:t>
      </w:r>
      <w:r w:rsidRPr="00972DB2">
        <w:t>: Proportion of prescriptions by quantity dispensed over time</w:t>
      </w:r>
    </w:p>
    <w:tbl>
      <w:tblPr>
        <w:tblStyle w:val="TableGrid"/>
        <w:tblW w:w="4003" w:type="pct"/>
        <w:tblLook w:val="04A0" w:firstRow="1" w:lastRow="0" w:firstColumn="1" w:lastColumn="0" w:noHBand="0" w:noVBand="1"/>
        <w:tblCaption w:val="Table 11"/>
        <w:tblDescription w:val="Proportion of prescriptions by quantity dispensed"/>
      </w:tblPr>
      <w:tblGrid>
        <w:gridCol w:w="1594"/>
        <w:gridCol w:w="2092"/>
        <w:gridCol w:w="1829"/>
        <w:gridCol w:w="1829"/>
      </w:tblGrid>
      <w:tr w:rsidR="00C40F49" w:rsidRPr="006C603A" w:rsidTr="00C13B9C">
        <w:trPr>
          <w:trHeight w:val="300"/>
          <w:tblHeader/>
        </w:trPr>
        <w:tc>
          <w:tcPr>
            <w:tcW w:w="1085" w:type="pct"/>
            <w:shd w:val="clear" w:color="auto" w:fill="BFBFBF" w:themeFill="background1" w:themeFillShade="BF"/>
            <w:noWrap/>
            <w:hideMark/>
          </w:tcPr>
          <w:p w:rsidR="00C40F49" w:rsidRPr="006C603A" w:rsidRDefault="00C40F49" w:rsidP="00C40F49">
            <w:pPr>
              <w:keepNext/>
              <w:rPr>
                <w:b/>
                <w:bCs/>
                <w:sz w:val="20"/>
                <w:szCs w:val="20"/>
              </w:rPr>
            </w:pPr>
          </w:p>
        </w:tc>
        <w:tc>
          <w:tcPr>
            <w:tcW w:w="1424" w:type="pct"/>
            <w:shd w:val="clear" w:color="auto" w:fill="BFBFBF" w:themeFill="background1" w:themeFillShade="BF"/>
            <w:noWrap/>
            <w:hideMark/>
          </w:tcPr>
          <w:p w:rsidR="00C40F49" w:rsidRPr="006C603A" w:rsidRDefault="00C40F49" w:rsidP="00C40F49">
            <w:pPr>
              <w:pStyle w:val="Tableheading"/>
              <w:keepNext/>
              <w:rPr>
                <w:sz w:val="20"/>
                <w:szCs w:val="20"/>
              </w:rPr>
            </w:pPr>
            <w:r w:rsidRPr="006C603A">
              <w:rPr>
                <w:sz w:val="20"/>
                <w:szCs w:val="20"/>
              </w:rPr>
              <w:t>1</w:t>
            </w:r>
          </w:p>
        </w:tc>
        <w:tc>
          <w:tcPr>
            <w:tcW w:w="1245" w:type="pct"/>
            <w:shd w:val="clear" w:color="auto" w:fill="BFBFBF" w:themeFill="background1" w:themeFillShade="BF"/>
            <w:noWrap/>
            <w:hideMark/>
          </w:tcPr>
          <w:p w:rsidR="00C40F49" w:rsidRPr="006C603A" w:rsidRDefault="00C40F49" w:rsidP="00C40F49">
            <w:pPr>
              <w:pStyle w:val="Tableheading"/>
              <w:keepNext/>
              <w:rPr>
                <w:sz w:val="20"/>
                <w:szCs w:val="20"/>
              </w:rPr>
            </w:pPr>
            <w:r w:rsidRPr="006C603A">
              <w:rPr>
                <w:sz w:val="20"/>
                <w:szCs w:val="20"/>
              </w:rPr>
              <w:t>2</w:t>
            </w:r>
          </w:p>
        </w:tc>
        <w:tc>
          <w:tcPr>
            <w:tcW w:w="1245" w:type="pct"/>
            <w:shd w:val="clear" w:color="auto" w:fill="BFBFBF" w:themeFill="background1" w:themeFillShade="BF"/>
            <w:noWrap/>
            <w:hideMark/>
          </w:tcPr>
          <w:p w:rsidR="00C40F49" w:rsidRPr="006C603A" w:rsidRDefault="00C40F49" w:rsidP="00C40F49">
            <w:pPr>
              <w:pStyle w:val="Tableheading"/>
              <w:keepNext/>
              <w:rPr>
                <w:sz w:val="20"/>
                <w:szCs w:val="20"/>
              </w:rPr>
            </w:pPr>
            <w:r w:rsidRPr="006C603A">
              <w:rPr>
                <w:sz w:val="20"/>
                <w:szCs w:val="20"/>
              </w:rPr>
              <w:t>3 or more</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2007</w:t>
            </w:r>
          </w:p>
        </w:tc>
        <w:tc>
          <w:tcPr>
            <w:tcW w:w="1424" w:type="pct"/>
            <w:noWrap/>
            <w:hideMark/>
          </w:tcPr>
          <w:p w:rsidR="00C40F49" w:rsidRPr="006C603A" w:rsidRDefault="00C40F49" w:rsidP="00EB6F8C">
            <w:pPr>
              <w:pStyle w:val="Tablewriting"/>
              <w:jc w:val="center"/>
              <w:rPr>
                <w:color w:val="auto"/>
              </w:rPr>
            </w:pPr>
            <w:r w:rsidRPr="00AE39D4">
              <w:t>94.23%</w:t>
            </w:r>
          </w:p>
        </w:tc>
        <w:tc>
          <w:tcPr>
            <w:tcW w:w="1245" w:type="pct"/>
            <w:noWrap/>
            <w:hideMark/>
          </w:tcPr>
          <w:p w:rsidR="00C40F49" w:rsidRPr="006C603A" w:rsidRDefault="00C40F49" w:rsidP="00EB6F8C">
            <w:pPr>
              <w:pStyle w:val="Tablewriting"/>
              <w:jc w:val="center"/>
              <w:rPr>
                <w:color w:val="auto"/>
              </w:rPr>
            </w:pPr>
            <w:r w:rsidRPr="00AE39D4">
              <w:t>5.77%</w:t>
            </w:r>
          </w:p>
        </w:tc>
        <w:tc>
          <w:tcPr>
            <w:tcW w:w="1245" w:type="pct"/>
            <w:noWrap/>
            <w:hideMark/>
          </w:tcPr>
          <w:p w:rsidR="00C40F49" w:rsidRPr="006C603A" w:rsidRDefault="00C40F49" w:rsidP="00EB6F8C">
            <w:pPr>
              <w:pStyle w:val="Tablewriting"/>
              <w:jc w:val="center"/>
              <w:rPr>
                <w:color w:val="auto"/>
              </w:rPr>
            </w:pPr>
            <w:r w:rsidRPr="00AE39D4">
              <w:t>0.00%</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2008</w:t>
            </w:r>
          </w:p>
        </w:tc>
        <w:tc>
          <w:tcPr>
            <w:tcW w:w="1424" w:type="pct"/>
            <w:noWrap/>
            <w:hideMark/>
          </w:tcPr>
          <w:p w:rsidR="00C40F49" w:rsidRPr="006C603A" w:rsidRDefault="00C40F49" w:rsidP="00EB6F8C">
            <w:pPr>
              <w:pStyle w:val="Tablewriting"/>
              <w:jc w:val="center"/>
              <w:rPr>
                <w:color w:val="auto"/>
              </w:rPr>
            </w:pPr>
            <w:r w:rsidRPr="00AE39D4">
              <w:t>94.30%</w:t>
            </w:r>
          </w:p>
        </w:tc>
        <w:tc>
          <w:tcPr>
            <w:tcW w:w="1245" w:type="pct"/>
            <w:noWrap/>
            <w:hideMark/>
          </w:tcPr>
          <w:p w:rsidR="00C40F49" w:rsidRPr="006C603A" w:rsidRDefault="00C40F49" w:rsidP="00EB6F8C">
            <w:pPr>
              <w:pStyle w:val="Tablewriting"/>
              <w:jc w:val="center"/>
              <w:rPr>
                <w:color w:val="auto"/>
              </w:rPr>
            </w:pPr>
            <w:r w:rsidRPr="00AE39D4">
              <w:t>5.68%</w:t>
            </w:r>
          </w:p>
        </w:tc>
        <w:tc>
          <w:tcPr>
            <w:tcW w:w="1245" w:type="pct"/>
            <w:noWrap/>
            <w:hideMark/>
          </w:tcPr>
          <w:p w:rsidR="00C40F49" w:rsidRPr="006C603A" w:rsidRDefault="00C40F49" w:rsidP="00EB6F8C">
            <w:pPr>
              <w:pStyle w:val="Tablewriting"/>
              <w:jc w:val="center"/>
              <w:rPr>
                <w:color w:val="auto"/>
              </w:rPr>
            </w:pPr>
            <w:r w:rsidRPr="00AE39D4">
              <w:t>0.01%</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2009</w:t>
            </w:r>
          </w:p>
        </w:tc>
        <w:tc>
          <w:tcPr>
            <w:tcW w:w="1424" w:type="pct"/>
            <w:noWrap/>
            <w:hideMark/>
          </w:tcPr>
          <w:p w:rsidR="00C40F49" w:rsidRPr="006C603A" w:rsidRDefault="00C40F49" w:rsidP="00EB6F8C">
            <w:pPr>
              <w:pStyle w:val="Tablewriting"/>
              <w:jc w:val="center"/>
              <w:rPr>
                <w:color w:val="auto"/>
              </w:rPr>
            </w:pPr>
            <w:r w:rsidRPr="00AE39D4">
              <w:t>94.06%</w:t>
            </w:r>
          </w:p>
        </w:tc>
        <w:tc>
          <w:tcPr>
            <w:tcW w:w="1245" w:type="pct"/>
            <w:noWrap/>
            <w:hideMark/>
          </w:tcPr>
          <w:p w:rsidR="00C40F49" w:rsidRPr="006C603A" w:rsidRDefault="00C40F49" w:rsidP="00EB6F8C">
            <w:pPr>
              <w:pStyle w:val="Tablewriting"/>
              <w:jc w:val="center"/>
              <w:rPr>
                <w:color w:val="auto"/>
              </w:rPr>
            </w:pPr>
            <w:r w:rsidRPr="00AE39D4">
              <w:t>5.93%</w:t>
            </w:r>
          </w:p>
        </w:tc>
        <w:tc>
          <w:tcPr>
            <w:tcW w:w="1245" w:type="pct"/>
            <w:noWrap/>
            <w:hideMark/>
          </w:tcPr>
          <w:p w:rsidR="00C40F49" w:rsidRPr="006C603A" w:rsidRDefault="00C40F49" w:rsidP="00EB6F8C">
            <w:pPr>
              <w:pStyle w:val="Tablewriting"/>
              <w:jc w:val="center"/>
              <w:rPr>
                <w:color w:val="auto"/>
              </w:rPr>
            </w:pPr>
            <w:r w:rsidRPr="00AE39D4">
              <w:t>0.01%</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2010</w:t>
            </w:r>
          </w:p>
        </w:tc>
        <w:tc>
          <w:tcPr>
            <w:tcW w:w="1424" w:type="pct"/>
            <w:noWrap/>
            <w:hideMark/>
          </w:tcPr>
          <w:p w:rsidR="00C40F49" w:rsidRPr="006C603A" w:rsidRDefault="00C40F49" w:rsidP="00EB6F8C">
            <w:pPr>
              <w:pStyle w:val="Tablewriting"/>
              <w:jc w:val="center"/>
              <w:rPr>
                <w:color w:val="auto"/>
              </w:rPr>
            </w:pPr>
            <w:r w:rsidRPr="00AE39D4">
              <w:t>92.79%</w:t>
            </w:r>
          </w:p>
        </w:tc>
        <w:tc>
          <w:tcPr>
            <w:tcW w:w="1245" w:type="pct"/>
            <w:noWrap/>
            <w:hideMark/>
          </w:tcPr>
          <w:p w:rsidR="00C40F49" w:rsidRPr="006C603A" w:rsidRDefault="00C40F49" w:rsidP="00EB6F8C">
            <w:pPr>
              <w:pStyle w:val="Tablewriting"/>
              <w:jc w:val="center"/>
              <w:rPr>
                <w:color w:val="auto"/>
              </w:rPr>
            </w:pPr>
            <w:r w:rsidRPr="00AE39D4">
              <w:t>7.21%</w:t>
            </w:r>
          </w:p>
        </w:tc>
        <w:tc>
          <w:tcPr>
            <w:tcW w:w="1245" w:type="pct"/>
            <w:noWrap/>
            <w:hideMark/>
          </w:tcPr>
          <w:p w:rsidR="00C40F49" w:rsidRPr="006C603A" w:rsidRDefault="00C40F49" w:rsidP="00EB6F8C">
            <w:pPr>
              <w:pStyle w:val="Tablewriting"/>
              <w:jc w:val="center"/>
              <w:rPr>
                <w:color w:val="auto"/>
              </w:rPr>
            </w:pPr>
            <w:r w:rsidRPr="00AE39D4">
              <w:t>0.00%</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2011</w:t>
            </w:r>
          </w:p>
        </w:tc>
        <w:tc>
          <w:tcPr>
            <w:tcW w:w="1424" w:type="pct"/>
            <w:noWrap/>
            <w:hideMark/>
          </w:tcPr>
          <w:p w:rsidR="00C40F49" w:rsidRPr="006C603A" w:rsidRDefault="00C40F49" w:rsidP="00EB6F8C">
            <w:pPr>
              <w:pStyle w:val="Tablewriting"/>
              <w:jc w:val="center"/>
              <w:rPr>
                <w:color w:val="auto"/>
              </w:rPr>
            </w:pPr>
            <w:r w:rsidRPr="00AE39D4">
              <w:t>92.29%</w:t>
            </w:r>
          </w:p>
        </w:tc>
        <w:tc>
          <w:tcPr>
            <w:tcW w:w="1245" w:type="pct"/>
            <w:noWrap/>
            <w:hideMark/>
          </w:tcPr>
          <w:p w:rsidR="00C40F49" w:rsidRPr="006C603A" w:rsidRDefault="00C40F49" w:rsidP="00EB6F8C">
            <w:pPr>
              <w:pStyle w:val="Tablewriting"/>
              <w:jc w:val="center"/>
              <w:rPr>
                <w:color w:val="auto"/>
              </w:rPr>
            </w:pPr>
            <w:r w:rsidRPr="00AE39D4">
              <w:t>7.71%</w:t>
            </w:r>
          </w:p>
        </w:tc>
        <w:tc>
          <w:tcPr>
            <w:tcW w:w="1245" w:type="pct"/>
            <w:noWrap/>
            <w:hideMark/>
          </w:tcPr>
          <w:p w:rsidR="00C40F49" w:rsidRPr="006C603A" w:rsidRDefault="00C40F49" w:rsidP="00EB6F8C">
            <w:pPr>
              <w:pStyle w:val="Tablewriting"/>
              <w:jc w:val="center"/>
              <w:rPr>
                <w:color w:val="auto"/>
              </w:rPr>
            </w:pPr>
            <w:r w:rsidRPr="00AE39D4">
              <w:t>0.00%</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2012</w:t>
            </w:r>
          </w:p>
        </w:tc>
        <w:tc>
          <w:tcPr>
            <w:tcW w:w="1424" w:type="pct"/>
            <w:noWrap/>
            <w:hideMark/>
          </w:tcPr>
          <w:p w:rsidR="00C40F49" w:rsidRPr="006C603A" w:rsidRDefault="00C40F49" w:rsidP="00EB6F8C">
            <w:pPr>
              <w:pStyle w:val="Tablewriting"/>
              <w:jc w:val="center"/>
              <w:rPr>
                <w:color w:val="auto"/>
              </w:rPr>
            </w:pPr>
            <w:r w:rsidRPr="00AE39D4">
              <w:t>91.64%</w:t>
            </w:r>
          </w:p>
        </w:tc>
        <w:tc>
          <w:tcPr>
            <w:tcW w:w="1245" w:type="pct"/>
            <w:noWrap/>
            <w:hideMark/>
          </w:tcPr>
          <w:p w:rsidR="00C40F49" w:rsidRPr="006C603A" w:rsidRDefault="00C40F49" w:rsidP="00EB6F8C">
            <w:pPr>
              <w:pStyle w:val="Tablewriting"/>
              <w:jc w:val="center"/>
              <w:rPr>
                <w:color w:val="auto"/>
              </w:rPr>
            </w:pPr>
            <w:r w:rsidRPr="00AE39D4">
              <w:t>8.36%</w:t>
            </w:r>
          </w:p>
        </w:tc>
        <w:tc>
          <w:tcPr>
            <w:tcW w:w="1245" w:type="pct"/>
            <w:noWrap/>
            <w:hideMark/>
          </w:tcPr>
          <w:p w:rsidR="00C40F49" w:rsidRPr="006C603A" w:rsidRDefault="00C40F49" w:rsidP="00EB6F8C">
            <w:pPr>
              <w:pStyle w:val="Tablewriting"/>
              <w:jc w:val="center"/>
              <w:rPr>
                <w:color w:val="auto"/>
              </w:rPr>
            </w:pPr>
            <w:r w:rsidRPr="00AE39D4">
              <w:t>0.00%</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2013</w:t>
            </w:r>
          </w:p>
        </w:tc>
        <w:tc>
          <w:tcPr>
            <w:tcW w:w="1424" w:type="pct"/>
            <w:noWrap/>
            <w:hideMark/>
          </w:tcPr>
          <w:p w:rsidR="00C40F49" w:rsidRPr="006C603A" w:rsidRDefault="00C40F49" w:rsidP="00EB6F8C">
            <w:pPr>
              <w:pStyle w:val="Tablewriting"/>
              <w:jc w:val="center"/>
              <w:rPr>
                <w:color w:val="auto"/>
              </w:rPr>
            </w:pPr>
            <w:r w:rsidRPr="00AE39D4">
              <w:t>91.24%</w:t>
            </w:r>
          </w:p>
        </w:tc>
        <w:tc>
          <w:tcPr>
            <w:tcW w:w="1245" w:type="pct"/>
            <w:noWrap/>
            <w:hideMark/>
          </w:tcPr>
          <w:p w:rsidR="00C40F49" w:rsidRPr="006C603A" w:rsidRDefault="00C40F49" w:rsidP="00EB6F8C">
            <w:pPr>
              <w:pStyle w:val="Tablewriting"/>
              <w:jc w:val="center"/>
              <w:rPr>
                <w:color w:val="auto"/>
              </w:rPr>
            </w:pPr>
            <w:r w:rsidRPr="00AE39D4">
              <w:t>8.75%</w:t>
            </w:r>
          </w:p>
        </w:tc>
        <w:tc>
          <w:tcPr>
            <w:tcW w:w="1245" w:type="pct"/>
            <w:noWrap/>
            <w:hideMark/>
          </w:tcPr>
          <w:p w:rsidR="00C40F49" w:rsidRPr="006C603A" w:rsidRDefault="00C40F49" w:rsidP="00EB6F8C">
            <w:pPr>
              <w:pStyle w:val="Tablewriting"/>
              <w:jc w:val="center"/>
              <w:rPr>
                <w:color w:val="auto"/>
              </w:rPr>
            </w:pPr>
            <w:r w:rsidRPr="00AE39D4">
              <w:t>0.01%</w:t>
            </w:r>
          </w:p>
        </w:tc>
      </w:tr>
      <w:tr w:rsidR="00C40F49" w:rsidRPr="006C603A" w:rsidTr="00EB6F8C">
        <w:trPr>
          <w:trHeight w:val="300"/>
        </w:trPr>
        <w:tc>
          <w:tcPr>
            <w:tcW w:w="1085" w:type="pct"/>
            <w:noWrap/>
            <w:hideMark/>
          </w:tcPr>
          <w:p w:rsidR="00C40F49" w:rsidRPr="006C603A" w:rsidRDefault="00C40F49" w:rsidP="00EB6F8C">
            <w:pPr>
              <w:pStyle w:val="Tablewriting"/>
              <w:rPr>
                <w:color w:val="auto"/>
              </w:rPr>
            </w:pPr>
            <w:r w:rsidRPr="00AE39D4">
              <w:t>2014</w:t>
            </w:r>
          </w:p>
        </w:tc>
        <w:tc>
          <w:tcPr>
            <w:tcW w:w="1424" w:type="pct"/>
            <w:noWrap/>
            <w:hideMark/>
          </w:tcPr>
          <w:p w:rsidR="00C40F49" w:rsidRPr="006C603A" w:rsidRDefault="00C40F49" w:rsidP="00EB6F8C">
            <w:pPr>
              <w:pStyle w:val="Tablewriting"/>
              <w:jc w:val="center"/>
              <w:rPr>
                <w:color w:val="auto"/>
              </w:rPr>
            </w:pPr>
            <w:r w:rsidRPr="00AE39D4">
              <w:t>90.94%</w:t>
            </w:r>
          </w:p>
        </w:tc>
        <w:tc>
          <w:tcPr>
            <w:tcW w:w="1245" w:type="pct"/>
            <w:noWrap/>
            <w:hideMark/>
          </w:tcPr>
          <w:p w:rsidR="00C40F49" w:rsidRPr="006C603A" w:rsidRDefault="00C40F49" w:rsidP="00EB6F8C">
            <w:pPr>
              <w:pStyle w:val="Tablewriting"/>
              <w:jc w:val="center"/>
              <w:rPr>
                <w:color w:val="auto"/>
              </w:rPr>
            </w:pPr>
            <w:r w:rsidRPr="00AE39D4">
              <w:t>9.04%</w:t>
            </w:r>
          </w:p>
        </w:tc>
        <w:tc>
          <w:tcPr>
            <w:tcW w:w="1245" w:type="pct"/>
            <w:noWrap/>
            <w:hideMark/>
          </w:tcPr>
          <w:p w:rsidR="00C40F49" w:rsidRPr="006C603A" w:rsidRDefault="00C40F49" w:rsidP="00EB6F8C">
            <w:pPr>
              <w:pStyle w:val="Tablewriting"/>
              <w:jc w:val="center"/>
              <w:rPr>
                <w:color w:val="auto"/>
              </w:rPr>
            </w:pPr>
            <w:r w:rsidRPr="00AE39D4">
              <w:t>0.02%</w:t>
            </w:r>
          </w:p>
        </w:tc>
      </w:tr>
      <w:tr w:rsidR="00C40F49" w:rsidRPr="006C603A" w:rsidTr="00EB6F8C">
        <w:trPr>
          <w:trHeight w:val="300"/>
        </w:trPr>
        <w:tc>
          <w:tcPr>
            <w:tcW w:w="1085" w:type="pct"/>
            <w:noWrap/>
          </w:tcPr>
          <w:p w:rsidR="00C40F49" w:rsidRPr="006C603A" w:rsidRDefault="00C40F49" w:rsidP="00EB6F8C">
            <w:pPr>
              <w:pStyle w:val="Tablewriting"/>
              <w:rPr>
                <w:color w:val="auto"/>
              </w:rPr>
            </w:pPr>
            <w:r w:rsidRPr="00AE39D4">
              <w:t>2015</w:t>
            </w:r>
          </w:p>
        </w:tc>
        <w:tc>
          <w:tcPr>
            <w:tcW w:w="1424" w:type="pct"/>
            <w:noWrap/>
          </w:tcPr>
          <w:p w:rsidR="00C40F49" w:rsidRPr="006C603A" w:rsidRDefault="00C40F49" w:rsidP="00EB6F8C">
            <w:pPr>
              <w:pStyle w:val="Tablewriting"/>
              <w:jc w:val="center"/>
              <w:rPr>
                <w:rFonts w:ascii="Calibri" w:hAnsi="Calibri"/>
                <w:color w:val="auto"/>
              </w:rPr>
            </w:pPr>
            <w:r w:rsidRPr="00AE39D4">
              <w:t>90.54%</w:t>
            </w:r>
          </w:p>
        </w:tc>
        <w:tc>
          <w:tcPr>
            <w:tcW w:w="1245" w:type="pct"/>
            <w:noWrap/>
          </w:tcPr>
          <w:p w:rsidR="00C40F49" w:rsidRPr="006C603A" w:rsidRDefault="00C40F49" w:rsidP="00EB6F8C">
            <w:pPr>
              <w:pStyle w:val="Tablewriting"/>
              <w:jc w:val="center"/>
              <w:rPr>
                <w:rFonts w:ascii="Calibri" w:hAnsi="Calibri"/>
                <w:color w:val="auto"/>
              </w:rPr>
            </w:pPr>
            <w:r w:rsidRPr="00AE39D4">
              <w:t>9.46%</w:t>
            </w:r>
          </w:p>
        </w:tc>
        <w:tc>
          <w:tcPr>
            <w:tcW w:w="1245" w:type="pct"/>
            <w:noWrap/>
          </w:tcPr>
          <w:p w:rsidR="00C40F49" w:rsidRPr="006C603A" w:rsidRDefault="00C40F49" w:rsidP="00EB6F8C">
            <w:pPr>
              <w:pStyle w:val="Tablewriting"/>
              <w:jc w:val="center"/>
              <w:rPr>
                <w:rFonts w:ascii="Calibri" w:hAnsi="Calibri"/>
                <w:color w:val="auto"/>
              </w:rPr>
            </w:pPr>
            <w:r w:rsidRPr="00AE39D4">
              <w:t>0.00%</w:t>
            </w:r>
          </w:p>
        </w:tc>
      </w:tr>
      <w:tr w:rsidR="00C40F49" w:rsidRPr="006C603A" w:rsidTr="00EB6F8C">
        <w:trPr>
          <w:trHeight w:val="300"/>
        </w:trPr>
        <w:tc>
          <w:tcPr>
            <w:tcW w:w="1085" w:type="pct"/>
            <w:noWrap/>
          </w:tcPr>
          <w:p w:rsidR="00C40F49" w:rsidRPr="006C603A" w:rsidRDefault="00C40F49" w:rsidP="00EB6F8C">
            <w:pPr>
              <w:pStyle w:val="Tablewriting"/>
              <w:rPr>
                <w:color w:val="auto"/>
              </w:rPr>
            </w:pPr>
            <w:r w:rsidRPr="00AE39D4">
              <w:t>2016</w:t>
            </w:r>
          </w:p>
        </w:tc>
        <w:tc>
          <w:tcPr>
            <w:tcW w:w="1424" w:type="pct"/>
            <w:noWrap/>
          </w:tcPr>
          <w:p w:rsidR="00C40F49" w:rsidRPr="006C603A" w:rsidRDefault="00C40F49" w:rsidP="00EB6F8C">
            <w:pPr>
              <w:pStyle w:val="Tablewriting"/>
              <w:jc w:val="center"/>
              <w:rPr>
                <w:rFonts w:ascii="Calibri" w:hAnsi="Calibri"/>
                <w:color w:val="auto"/>
              </w:rPr>
            </w:pPr>
            <w:r w:rsidRPr="00AE39D4">
              <w:t>89.97%</w:t>
            </w:r>
          </w:p>
        </w:tc>
        <w:tc>
          <w:tcPr>
            <w:tcW w:w="1245" w:type="pct"/>
            <w:noWrap/>
          </w:tcPr>
          <w:p w:rsidR="00C40F49" w:rsidRPr="006C603A" w:rsidRDefault="00C40F49" w:rsidP="00EB6F8C">
            <w:pPr>
              <w:pStyle w:val="Tablewriting"/>
              <w:jc w:val="center"/>
              <w:rPr>
                <w:rFonts w:ascii="Calibri" w:hAnsi="Calibri"/>
                <w:color w:val="auto"/>
              </w:rPr>
            </w:pPr>
            <w:r w:rsidRPr="00AE39D4">
              <w:t>10.03%</w:t>
            </w:r>
          </w:p>
        </w:tc>
        <w:tc>
          <w:tcPr>
            <w:tcW w:w="1245" w:type="pct"/>
            <w:noWrap/>
          </w:tcPr>
          <w:p w:rsidR="00C40F49" w:rsidRPr="006C603A" w:rsidRDefault="00C40F49" w:rsidP="00EB6F8C">
            <w:pPr>
              <w:pStyle w:val="Tablewriting"/>
              <w:jc w:val="center"/>
              <w:rPr>
                <w:rFonts w:ascii="Calibri" w:hAnsi="Calibri"/>
                <w:color w:val="auto"/>
              </w:rPr>
            </w:pPr>
            <w:r w:rsidRPr="00AE39D4">
              <w:t>0.00%</w:t>
            </w:r>
          </w:p>
        </w:tc>
      </w:tr>
      <w:tr w:rsidR="00C40F49" w:rsidRPr="006C603A" w:rsidTr="00EB6F8C">
        <w:trPr>
          <w:trHeight w:val="300"/>
        </w:trPr>
        <w:tc>
          <w:tcPr>
            <w:tcW w:w="1085" w:type="pct"/>
            <w:noWrap/>
          </w:tcPr>
          <w:p w:rsidR="00C40F49" w:rsidRPr="006C603A" w:rsidRDefault="00C40F49" w:rsidP="00EB6F8C">
            <w:pPr>
              <w:pStyle w:val="Tablewriting"/>
              <w:rPr>
                <w:color w:val="auto"/>
              </w:rPr>
            </w:pPr>
            <w:r w:rsidRPr="00AE39D4">
              <w:t>2017</w:t>
            </w:r>
          </w:p>
        </w:tc>
        <w:tc>
          <w:tcPr>
            <w:tcW w:w="1424" w:type="pct"/>
            <w:noWrap/>
          </w:tcPr>
          <w:p w:rsidR="00C40F49" w:rsidRPr="006C603A" w:rsidRDefault="00C40F49" w:rsidP="00EB6F8C">
            <w:pPr>
              <w:pStyle w:val="Tablewriting"/>
              <w:jc w:val="center"/>
              <w:rPr>
                <w:rFonts w:ascii="Calibri" w:hAnsi="Calibri"/>
                <w:color w:val="auto"/>
              </w:rPr>
            </w:pPr>
            <w:r w:rsidRPr="00AE39D4">
              <w:t>89.28%</w:t>
            </w:r>
          </w:p>
        </w:tc>
        <w:tc>
          <w:tcPr>
            <w:tcW w:w="1245" w:type="pct"/>
            <w:noWrap/>
          </w:tcPr>
          <w:p w:rsidR="00C40F49" w:rsidRPr="006C603A" w:rsidRDefault="00C40F49" w:rsidP="00EB6F8C">
            <w:pPr>
              <w:pStyle w:val="Tablewriting"/>
              <w:jc w:val="center"/>
              <w:rPr>
                <w:rFonts w:ascii="Calibri" w:hAnsi="Calibri"/>
                <w:color w:val="auto"/>
              </w:rPr>
            </w:pPr>
            <w:r w:rsidRPr="00AE39D4">
              <w:t>10.71%</w:t>
            </w:r>
          </w:p>
        </w:tc>
        <w:tc>
          <w:tcPr>
            <w:tcW w:w="1245" w:type="pct"/>
            <w:noWrap/>
          </w:tcPr>
          <w:p w:rsidR="00C40F49" w:rsidRPr="006C603A" w:rsidRDefault="00C40F49" w:rsidP="00EB6F8C">
            <w:pPr>
              <w:pStyle w:val="Tablewriting"/>
              <w:jc w:val="center"/>
              <w:rPr>
                <w:rFonts w:ascii="Calibri" w:hAnsi="Calibri"/>
                <w:color w:val="auto"/>
              </w:rPr>
            </w:pPr>
            <w:r w:rsidRPr="00AE39D4">
              <w:t>0.00%</w:t>
            </w:r>
          </w:p>
        </w:tc>
      </w:tr>
    </w:tbl>
    <w:p w:rsidR="00C40F49" w:rsidRPr="00972DB2" w:rsidRDefault="00C40F49" w:rsidP="00C40F49">
      <w:pPr>
        <w:pStyle w:val="Notes"/>
      </w:pPr>
      <w:r w:rsidRPr="00972DB2">
        <w:t xml:space="preserve">Source: DHS Medicare Pharmacy Claims database, accessed </w:t>
      </w:r>
      <w:r>
        <w:t>March 2018</w:t>
      </w:r>
    </w:p>
    <w:p w:rsidR="003B0F92" w:rsidRPr="006B7B08" w:rsidRDefault="00C40F49" w:rsidP="003B0F92">
      <w:r w:rsidRPr="006B7B08">
        <w:t xml:space="preserve">Table </w:t>
      </w:r>
      <w:r w:rsidR="00DF474C">
        <w:t>11</w:t>
      </w:r>
      <w:r w:rsidR="006B7B08" w:rsidRPr="006B7B08">
        <w:t xml:space="preserve"> shows</w:t>
      </w:r>
      <w:r w:rsidR="003B0F92" w:rsidRPr="006B7B08">
        <w:t xml:space="preserve"> that the proportion of supplied injections where an increased maximum quantity was authorised </w:t>
      </w:r>
      <w:r w:rsidR="00E97EA1">
        <w:t xml:space="preserve">has </w:t>
      </w:r>
      <w:r w:rsidR="003B0F92" w:rsidRPr="006B7B08">
        <w:t>increas</w:t>
      </w:r>
      <w:r w:rsidR="00E97EA1">
        <w:t>ed</w:t>
      </w:r>
      <w:r w:rsidR="003B0F92" w:rsidRPr="006B7B08">
        <w:t xml:space="preserve"> over time. Increased maximum quantities of 2 injections are presumed to be for bilateral treatment. </w:t>
      </w:r>
    </w:p>
    <w:p w:rsidR="003B0F92" w:rsidRPr="006B7B08" w:rsidRDefault="00DF474C" w:rsidP="003B0F92">
      <w:r>
        <w:t xml:space="preserve">Table 12 </w:t>
      </w:r>
      <w:r w:rsidR="003B0F92" w:rsidRPr="006B7B08">
        <w:t>shows the calculated percentage of prescriptions that were supplied with an increased quantity</w:t>
      </w:r>
      <w:r w:rsidR="00F90FF9">
        <w:t xml:space="preserve"> of</w:t>
      </w:r>
      <w:r w:rsidR="003B0F92" w:rsidRPr="006B7B08">
        <w:t xml:space="preserve"> 2</w:t>
      </w:r>
      <w:r w:rsidR="00F90FF9">
        <w:t xml:space="preserve"> </w:t>
      </w:r>
      <w:r w:rsidR="003B0F92" w:rsidRPr="006B7B08">
        <w:t>or</w:t>
      </w:r>
      <w:r w:rsidR="00F90FF9">
        <w:t xml:space="preserve"> more,</w:t>
      </w:r>
      <w:r w:rsidR="003B0F92" w:rsidRPr="006B7B08">
        <w:t xml:space="preserve"> in each year of treatment, by the calendar year of initiation. It suggests that for patients remaining on treatment, the proportion of bilateral use within a group of initiating patients tends to increase with time. </w:t>
      </w:r>
    </w:p>
    <w:p w:rsidR="00965111" w:rsidRDefault="00965111">
      <w:pPr>
        <w:spacing w:line="276" w:lineRule="auto"/>
        <w:rPr>
          <w:b/>
        </w:rPr>
      </w:pPr>
      <w:r>
        <w:br w:type="page"/>
      </w:r>
    </w:p>
    <w:p w:rsidR="003B0F92" w:rsidRPr="009A03CF" w:rsidRDefault="00403745" w:rsidP="003B0F92">
      <w:pPr>
        <w:pStyle w:val="Tabletitle"/>
        <w:keepNext/>
      </w:pPr>
      <w:r>
        <w:lastRenderedPageBreak/>
        <w:t>Table 12</w:t>
      </w:r>
      <w:r w:rsidR="003B0F92" w:rsidRPr="009A03CF">
        <w:t>: Percentage of</w:t>
      </w:r>
      <w:r w:rsidR="00E45626">
        <w:t xml:space="preserve"> AMD</w:t>
      </w:r>
      <w:r w:rsidR="003B0F92" w:rsidRPr="009A03CF">
        <w:t xml:space="preserve"> prescriptions with an increased maximum quantity, in each year of treatment, by the calendar year of initiation</w:t>
      </w:r>
    </w:p>
    <w:tbl>
      <w:tblPr>
        <w:tblW w:w="9515" w:type="dxa"/>
        <w:tblInd w:w="93" w:type="dxa"/>
        <w:tblLayout w:type="fixed"/>
        <w:tblLook w:val="04A0" w:firstRow="1" w:lastRow="0" w:firstColumn="1" w:lastColumn="0" w:noHBand="0" w:noVBand="1"/>
        <w:tblCaption w:val="Table 13"/>
        <w:tblDescription w:val="Age by year of initiation"/>
      </w:tblPr>
      <w:tblGrid>
        <w:gridCol w:w="1575"/>
        <w:gridCol w:w="794"/>
        <w:gridCol w:w="794"/>
        <w:gridCol w:w="794"/>
        <w:gridCol w:w="794"/>
        <w:gridCol w:w="794"/>
        <w:gridCol w:w="794"/>
        <w:gridCol w:w="794"/>
        <w:gridCol w:w="794"/>
        <w:gridCol w:w="794"/>
        <w:gridCol w:w="794"/>
      </w:tblGrid>
      <w:tr w:rsidR="00F627DB" w:rsidRPr="00F627DB" w:rsidTr="00F627DB">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1</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2</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3</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4</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5</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6</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F627DB" w:rsidRPr="00F627DB" w:rsidRDefault="00F627DB" w:rsidP="007A1EF4">
            <w:pPr>
              <w:pStyle w:val="Tableheading"/>
              <w:rPr>
                <w:sz w:val="20"/>
                <w:szCs w:val="20"/>
              </w:rPr>
            </w:pPr>
            <w:r w:rsidRPr="00F627DB">
              <w:rPr>
                <w:sz w:val="20"/>
                <w:szCs w:val="20"/>
              </w:rPr>
              <w:t>7</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tcPr>
          <w:p w:rsidR="00F627DB" w:rsidRPr="00F627DB" w:rsidRDefault="00F627DB" w:rsidP="007A1EF4">
            <w:pPr>
              <w:pStyle w:val="Tableheading"/>
              <w:rPr>
                <w:sz w:val="20"/>
                <w:szCs w:val="20"/>
              </w:rPr>
            </w:pPr>
            <w:r>
              <w:rPr>
                <w:sz w:val="20"/>
                <w:szCs w:val="20"/>
              </w:rPr>
              <w:t>8</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tcPr>
          <w:p w:rsidR="00F627DB" w:rsidRPr="00F627DB" w:rsidRDefault="00F627DB" w:rsidP="007A1EF4">
            <w:pPr>
              <w:pStyle w:val="Tableheading"/>
              <w:rPr>
                <w:sz w:val="20"/>
                <w:szCs w:val="20"/>
              </w:rPr>
            </w:pPr>
            <w:r>
              <w:rPr>
                <w:sz w:val="20"/>
                <w:szCs w:val="20"/>
              </w:rPr>
              <w:t>9</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tcPr>
          <w:p w:rsidR="00F627DB" w:rsidRPr="00F627DB" w:rsidRDefault="00F627DB" w:rsidP="007A1EF4">
            <w:pPr>
              <w:pStyle w:val="Tableheading"/>
              <w:rPr>
                <w:sz w:val="20"/>
                <w:szCs w:val="20"/>
              </w:rPr>
            </w:pPr>
            <w:r>
              <w:rPr>
                <w:sz w:val="20"/>
                <w:szCs w:val="20"/>
              </w:rPr>
              <w:t>10</w:t>
            </w:r>
          </w:p>
        </w:tc>
      </w:tr>
      <w:tr w:rsidR="001837B8" w:rsidRPr="00F627DB" w:rsidTr="00F627D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2007</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6%</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8%</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r w:rsidRPr="001837B8">
              <w:rPr>
                <w:rFonts w:ascii="Calibri" w:hAnsi="Calibri"/>
              </w:rPr>
              <w:t>12%</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r w:rsidRPr="001837B8">
              <w:rPr>
                <w:rFonts w:ascii="Calibri" w:hAnsi="Calibri"/>
              </w:rPr>
              <w:t>14%</w:t>
            </w:r>
          </w:p>
        </w:tc>
      </w:tr>
      <w:tr w:rsidR="001837B8" w:rsidRPr="00F627DB" w:rsidTr="00F627D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2008</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5%</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7%</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9%</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12%</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rFonts w:eastAsia="Times New Roman" w:cs="Times New Roman"/>
                <w:color w:val="auto"/>
              </w:rPr>
            </w:pPr>
          </w:p>
        </w:tc>
      </w:tr>
      <w:tr w:rsidR="001837B8" w:rsidRPr="00F627DB" w:rsidTr="00F627D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2009</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5%</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7%</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9%</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12%</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r w:rsidRPr="001837B8">
              <w:rPr>
                <w:rFonts w:ascii="Calibri" w:hAnsi="Calibri"/>
              </w:rPr>
              <w:t>14%</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F627D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6%</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8%</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12%</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14%</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15%</w:t>
            </w: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F627DB">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2011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5%</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7%</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14%</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1837B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2012</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5%</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7%</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9%</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13%</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1837B8">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37B8" w:rsidRPr="00F627DB" w:rsidRDefault="001837B8" w:rsidP="007A1EF4">
            <w:pPr>
              <w:pStyle w:val="Tablewriting"/>
              <w:rPr>
                <w:rFonts w:eastAsia="Times New Roman" w:cs="Times New Roman"/>
                <w:b/>
                <w:color w:val="auto"/>
              </w:rPr>
            </w:pPr>
            <w:r w:rsidRPr="00F627DB">
              <w:rPr>
                <w:b/>
                <w:color w:val="auto"/>
              </w:rPr>
              <w:t>Initiated 2013</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5%</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7%</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r w:rsidRPr="001837B8">
              <w:rPr>
                <w:rFonts w:ascii="Calibri" w:hAnsi="Calibri"/>
              </w:rPr>
              <w:t>12%</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1837B8" w:rsidRPr="001837B8" w:rsidRDefault="001837B8" w:rsidP="007A1EF4">
            <w:pPr>
              <w:pStyle w:val="Tablewriting"/>
              <w:jc w:val="center"/>
              <w:rPr>
                <w:rFonts w:eastAsia="Times New Roman" w:cs="Times New Roman"/>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1837B8">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B8" w:rsidRPr="00F627DB" w:rsidRDefault="001837B8" w:rsidP="007A1EF4">
            <w:pPr>
              <w:pStyle w:val="Tablewriting"/>
              <w:rPr>
                <w:b/>
                <w:color w:val="auto"/>
              </w:rPr>
            </w:pPr>
            <w:r>
              <w:rPr>
                <w:b/>
                <w:color w:val="auto"/>
              </w:rPr>
              <w:t>Initiated 2014</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r w:rsidRPr="001837B8">
              <w:rPr>
                <w:rFonts w:ascii="Calibri" w:hAnsi="Calibri"/>
              </w:rPr>
              <w:t>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r w:rsidRPr="001837B8">
              <w:rPr>
                <w:rFonts w:ascii="Calibri" w:hAnsi="Calibri"/>
              </w:rPr>
              <w:t>7%</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r w:rsidRPr="001837B8">
              <w:rPr>
                <w:rFonts w:ascii="Calibri" w:hAnsi="Calibri"/>
              </w:rPr>
              <w:t>10%</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1837B8">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B8" w:rsidRPr="00F627DB" w:rsidRDefault="001837B8" w:rsidP="007A1EF4">
            <w:pPr>
              <w:pStyle w:val="Tablewriting"/>
              <w:rPr>
                <w:b/>
                <w:color w:val="auto"/>
              </w:rPr>
            </w:pPr>
            <w:r>
              <w:rPr>
                <w:b/>
                <w:color w:val="auto"/>
              </w:rPr>
              <w:t>Initiated 2015</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r w:rsidRPr="001837B8">
              <w:rPr>
                <w:rFonts w:ascii="Calibri" w:hAnsi="Calibri"/>
              </w:rPr>
              <w:t>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r w:rsidRPr="001837B8">
              <w:rPr>
                <w:rFonts w:ascii="Calibri" w:hAnsi="Calibri"/>
              </w:rPr>
              <w:t>8%</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r w:rsidR="001837B8" w:rsidRPr="00F627DB" w:rsidTr="001837B8">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7B8" w:rsidRPr="00F627DB" w:rsidRDefault="001837B8" w:rsidP="007A1EF4">
            <w:pPr>
              <w:pStyle w:val="Tablewriting"/>
              <w:rPr>
                <w:b/>
                <w:color w:val="auto"/>
              </w:rPr>
            </w:pPr>
            <w:r>
              <w:rPr>
                <w:b/>
                <w:color w:val="auto"/>
              </w:rPr>
              <w:t>Initiated 2016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r w:rsidRPr="001837B8">
              <w:rPr>
                <w:rFonts w:ascii="Calibri" w:hAnsi="Calibri"/>
              </w:rPr>
              <w:t>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c>
          <w:tcPr>
            <w:tcW w:w="794" w:type="dxa"/>
            <w:tcBorders>
              <w:top w:val="single" w:sz="4" w:space="0" w:color="auto"/>
              <w:left w:val="nil"/>
              <w:bottom w:val="single" w:sz="4" w:space="0" w:color="auto"/>
              <w:right w:val="single" w:sz="4" w:space="0" w:color="auto"/>
            </w:tcBorders>
            <w:vAlign w:val="bottom"/>
          </w:tcPr>
          <w:p w:rsidR="001837B8" w:rsidRPr="001837B8" w:rsidRDefault="001837B8" w:rsidP="007A1EF4">
            <w:pPr>
              <w:pStyle w:val="Tablewriting"/>
              <w:jc w:val="center"/>
              <w:rPr>
                <w:color w:val="auto"/>
              </w:rPr>
            </w:pPr>
          </w:p>
        </w:tc>
      </w:tr>
    </w:tbl>
    <w:p w:rsidR="003B0F92" w:rsidRPr="00F627DB" w:rsidRDefault="003B0F92" w:rsidP="003B0F92">
      <w:pPr>
        <w:pStyle w:val="Notes"/>
      </w:pPr>
      <w:r w:rsidRPr="00F627DB">
        <w:t xml:space="preserve">Source: DHS Medicare Pharmacy Claims database, accessed </w:t>
      </w:r>
      <w:r w:rsidR="00F627DB">
        <w:t>March 2018</w:t>
      </w:r>
    </w:p>
    <w:p w:rsidR="003B0F92" w:rsidRDefault="003B0F92" w:rsidP="003B0F92">
      <w:r w:rsidRPr="002C5BC0">
        <w:t xml:space="preserve">This is likely an underrepresentation of the total number of patients receiving bilateral </w:t>
      </w:r>
      <w:r w:rsidRPr="00E06E48">
        <w:t xml:space="preserve">treatment. Patients may have received bilateral treatment without being dispensed a quantity of two. This may include where they were treated in their second eye a few years after the first eye, if they are supplied two injections at the same time on two different prescriptions, or if their two eyes are treated on alternate months. </w:t>
      </w:r>
      <w:r w:rsidR="00E06E48" w:rsidRPr="00E06E48">
        <w:t>Additionally</w:t>
      </w:r>
      <w:r w:rsidR="00E06E48">
        <w:t>, p</w:t>
      </w:r>
      <w:r w:rsidR="00E06E48" w:rsidRPr="002C5BC0">
        <w:t xml:space="preserve">atients </w:t>
      </w:r>
      <w:r w:rsidR="00BE277C">
        <w:t xml:space="preserve">receiving treatment </w:t>
      </w:r>
      <w:r w:rsidR="00E06E48" w:rsidRPr="002C5BC0">
        <w:t xml:space="preserve">for AMD in one eye and </w:t>
      </w:r>
      <w:r w:rsidR="00BE277C">
        <w:t xml:space="preserve">DMO or RVO in the fellow eye </w:t>
      </w:r>
      <w:r w:rsidR="00E06E48" w:rsidRPr="002C5BC0">
        <w:t xml:space="preserve">are represented </w:t>
      </w:r>
      <w:r w:rsidR="00E06E48" w:rsidRPr="00F627DB">
        <w:t xml:space="preserve">once in each </w:t>
      </w:r>
      <w:r w:rsidR="00E06E48" w:rsidRPr="00BE277C">
        <w:t>indication specific dataset.</w:t>
      </w:r>
    </w:p>
    <w:p w:rsidR="00BE5732" w:rsidRDefault="00BE5732" w:rsidP="003B0F92">
      <w:r>
        <w:t xml:space="preserve">When the number of patients dispensed a quantity </w:t>
      </w:r>
      <w:r w:rsidR="00E97EA1">
        <w:t>of two or more</w:t>
      </w:r>
      <w:r>
        <w:t xml:space="preserve"> at least once in a year was analysed the results were similar. It suggested approximately 7% of patients had a quantity of more than one in 2007 and 2008, increasing to approximately 14% in 2017</w:t>
      </w:r>
      <w:r w:rsidR="00E97EA1">
        <w:t xml:space="preserve"> (data not shown)</w:t>
      </w:r>
      <w:r>
        <w:t>.</w:t>
      </w:r>
    </w:p>
    <w:p w:rsidR="003B0F92" w:rsidRPr="009A03CF" w:rsidRDefault="003B0F92" w:rsidP="003B0F92">
      <w:pPr>
        <w:rPr>
          <w:b/>
        </w:rPr>
      </w:pPr>
      <w:r w:rsidRPr="009A03CF">
        <w:rPr>
          <w:b/>
        </w:rPr>
        <w:t xml:space="preserve">Age and state/territory of treated patients </w:t>
      </w:r>
    </w:p>
    <w:p w:rsidR="0031235C" w:rsidRPr="009229AB" w:rsidRDefault="0031235C" w:rsidP="0031235C">
      <w:r>
        <w:t xml:space="preserve">Table </w:t>
      </w:r>
      <w:r w:rsidR="00DF474C">
        <w:t>13</w:t>
      </w:r>
      <w:r w:rsidRPr="009229AB">
        <w:t xml:space="preserve"> shows the average</w:t>
      </w:r>
      <w:r w:rsidR="00E97EA1">
        <w:t xml:space="preserve"> age</w:t>
      </w:r>
      <w:r w:rsidRPr="009229AB">
        <w:t xml:space="preserve"> </w:t>
      </w:r>
      <w:r w:rsidR="00F90FF9">
        <w:t>and range for</w:t>
      </w:r>
      <w:r w:rsidRPr="009229AB">
        <w:t xml:space="preserve"> new patients starting treatment with ranibizumab or aflibercept</w:t>
      </w:r>
      <w:r w:rsidR="00F90FF9">
        <w:t xml:space="preserve"> each year</w:t>
      </w:r>
      <w:r w:rsidR="00965111">
        <w:t>.</w:t>
      </w:r>
      <w:r w:rsidRPr="009229AB">
        <w:t xml:space="preserve"> </w:t>
      </w:r>
      <w:r w:rsidR="00F90FF9">
        <w:t xml:space="preserve">Figure </w:t>
      </w:r>
      <w:r w:rsidR="00DF474C">
        <w:t>2</w:t>
      </w:r>
      <w:r w:rsidR="00F90FF9">
        <w:t xml:space="preserve"> shows the distribution of ages for the 2008 and 2017 initiating cohorts.</w:t>
      </w:r>
    </w:p>
    <w:p w:rsidR="00965111" w:rsidRDefault="00965111">
      <w:pPr>
        <w:spacing w:line="276" w:lineRule="auto"/>
        <w:rPr>
          <w:b/>
        </w:rPr>
      </w:pPr>
      <w:r>
        <w:br w:type="page"/>
      </w:r>
    </w:p>
    <w:p w:rsidR="0031235C" w:rsidRDefault="0031235C" w:rsidP="0031235C">
      <w:pPr>
        <w:pStyle w:val="Tabletitle"/>
        <w:keepNext/>
      </w:pPr>
      <w:r>
        <w:lastRenderedPageBreak/>
        <w:t xml:space="preserve">Table </w:t>
      </w:r>
      <w:r w:rsidR="00403745">
        <w:t>13</w:t>
      </w:r>
      <w:r w:rsidRPr="009229AB">
        <w:t>: Age of patients receiving ranibizumab and aflibercept by year of initiation</w:t>
      </w:r>
    </w:p>
    <w:tbl>
      <w:tblPr>
        <w:tblW w:w="5340" w:type="dxa"/>
        <w:tblInd w:w="93" w:type="dxa"/>
        <w:tblLook w:val="04A0" w:firstRow="1" w:lastRow="0" w:firstColumn="1" w:lastColumn="0" w:noHBand="0" w:noVBand="1"/>
      </w:tblPr>
      <w:tblGrid>
        <w:gridCol w:w="1580"/>
        <w:gridCol w:w="1360"/>
        <w:gridCol w:w="2400"/>
      </w:tblGrid>
      <w:tr w:rsidR="0031235C" w:rsidRPr="0031235C" w:rsidTr="0031235C">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1235C" w:rsidRPr="0031235C" w:rsidRDefault="0031235C" w:rsidP="0031235C">
            <w:pPr>
              <w:spacing w:after="0"/>
              <w:jc w:val="center"/>
              <w:rPr>
                <w:rFonts w:ascii="Calibri" w:eastAsia="Times New Roman" w:hAnsi="Calibri" w:cs="Times New Roman"/>
                <w:b/>
                <w:bCs/>
                <w:sz w:val="20"/>
                <w:szCs w:val="20"/>
              </w:rPr>
            </w:pPr>
            <w:r w:rsidRPr="0031235C">
              <w:rPr>
                <w:rFonts w:ascii="Calibri" w:eastAsia="Times New Roman" w:hAnsi="Calibri" w:cs="Times New Roman"/>
                <w:b/>
                <w:bCs/>
                <w:sz w:val="20"/>
                <w:szCs w:val="20"/>
              </w:rPr>
              <w:t> </w:t>
            </w:r>
          </w:p>
        </w:tc>
        <w:tc>
          <w:tcPr>
            <w:tcW w:w="1360" w:type="dxa"/>
            <w:tcBorders>
              <w:top w:val="single" w:sz="4" w:space="0" w:color="auto"/>
              <w:left w:val="nil"/>
              <w:bottom w:val="single" w:sz="4" w:space="0" w:color="auto"/>
              <w:right w:val="single" w:sz="4" w:space="0" w:color="auto"/>
            </w:tcBorders>
            <w:shd w:val="clear" w:color="000000" w:fill="BFBFBF"/>
            <w:noWrap/>
            <w:vAlign w:val="center"/>
            <w:hideMark/>
          </w:tcPr>
          <w:p w:rsidR="0031235C" w:rsidRPr="0031235C" w:rsidRDefault="0031235C" w:rsidP="0031235C">
            <w:pPr>
              <w:spacing w:after="0"/>
              <w:jc w:val="center"/>
              <w:rPr>
                <w:rFonts w:ascii="Calibri" w:eastAsia="Times New Roman" w:hAnsi="Calibri" w:cs="Times New Roman"/>
                <w:b/>
                <w:bCs/>
                <w:sz w:val="20"/>
                <w:szCs w:val="20"/>
              </w:rPr>
            </w:pPr>
            <w:r w:rsidRPr="0031235C">
              <w:rPr>
                <w:rFonts w:ascii="Calibri" w:eastAsia="Times New Roman" w:hAnsi="Calibri" w:cs="Times New Roman"/>
                <w:b/>
                <w:bCs/>
                <w:sz w:val="20"/>
                <w:szCs w:val="20"/>
              </w:rPr>
              <w:t>Mean</w:t>
            </w:r>
          </w:p>
        </w:tc>
        <w:tc>
          <w:tcPr>
            <w:tcW w:w="2400" w:type="dxa"/>
            <w:tcBorders>
              <w:top w:val="single" w:sz="4" w:space="0" w:color="auto"/>
              <w:left w:val="nil"/>
              <w:bottom w:val="single" w:sz="4" w:space="0" w:color="auto"/>
              <w:right w:val="single" w:sz="4" w:space="0" w:color="auto"/>
            </w:tcBorders>
            <w:shd w:val="clear" w:color="000000" w:fill="BFBFBF"/>
            <w:noWrap/>
            <w:vAlign w:val="center"/>
            <w:hideMark/>
          </w:tcPr>
          <w:p w:rsidR="0031235C" w:rsidRPr="0031235C" w:rsidRDefault="0031235C" w:rsidP="0031235C">
            <w:pPr>
              <w:spacing w:after="0"/>
              <w:jc w:val="center"/>
              <w:rPr>
                <w:rFonts w:ascii="Calibri" w:eastAsia="Times New Roman" w:hAnsi="Calibri" w:cs="Times New Roman"/>
                <w:b/>
                <w:bCs/>
                <w:sz w:val="20"/>
                <w:szCs w:val="20"/>
              </w:rPr>
            </w:pPr>
            <w:r w:rsidRPr="0031235C">
              <w:rPr>
                <w:rFonts w:ascii="Calibri" w:eastAsia="Times New Roman" w:hAnsi="Calibri" w:cs="Times New Roman"/>
                <w:b/>
                <w:bCs/>
                <w:sz w:val="20"/>
                <w:szCs w:val="20"/>
              </w:rPr>
              <w:t>Range</w:t>
            </w:r>
          </w:p>
        </w:tc>
      </w:tr>
      <w:tr w:rsidR="0031235C" w:rsidRPr="0031235C" w:rsidTr="0031235C">
        <w:trPr>
          <w:trHeight w:val="300"/>
        </w:trPr>
        <w:tc>
          <w:tcPr>
            <w:tcW w:w="1580" w:type="dxa"/>
            <w:tcBorders>
              <w:top w:val="nil"/>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2007</w:t>
            </w:r>
          </w:p>
        </w:tc>
        <w:tc>
          <w:tcPr>
            <w:tcW w:w="1360" w:type="dxa"/>
            <w:tcBorders>
              <w:top w:val="nil"/>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nil"/>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33 - 102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2008</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27 - 102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2009</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41 - 102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2010</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37 - 102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2011</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28 - 102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2012</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43 - 102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2013</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49 - 103</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2014</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80</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39 - 101</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2015</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79</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20 - 102</w:t>
            </w:r>
          </w:p>
        </w:tc>
      </w:tr>
      <w:tr w:rsidR="0031235C" w:rsidRPr="0031235C" w:rsidTr="0031235C">
        <w:trPr>
          <w:trHeight w:val="300"/>
        </w:trPr>
        <w:tc>
          <w:tcPr>
            <w:tcW w:w="1580" w:type="dxa"/>
            <w:tcBorders>
              <w:top w:val="single" w:sz="4" w:space="0" w:color="auto"/>
              <w:left w:val="single" w:sz="4" w:space="0" w:color="auto"/>
              <w:bottom w:val="nil"/>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2016</w:t>
            </w:r>
          </w:p>
        </w:tc>
        <w:tc>
          <w:tcPr>
            <w:tcW w:w="136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79</w:t>
            </w:r>
          </w:p>
        </w:tc>
        <w:tc>
          <w:tcPr>
            <w:tcW w:w="2400" w:type="dxa"/>
            <w:tcBorders>
              <w:top w:val="single" w:sz="4" w:space="0" w:color="auto"/>
              <w:left w:val="nil"/>
              <w:bottom w:val="nil"/>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19 - 104</w:t>
            </w:r>
          </w:p>
        </w:tc>
      </w:tr>
      <w:tr w:rsidR="0031235C" w:rsidRPr="0031235C" w:rsidTr="0031235C">
        <w:trPr>
          <w:trHeight w:val="30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235C" w:rsidRPr="0031235C" w:rsidRDefault="0031235C" w:rsidP="0031235C">
            <w:pPr>
              <w:spacing w:after="0"/>
              <w:rPr>
                <w:rFonts w:ascii="Calibri" w:eastAsia="Times New Roman" w:hAnsi="Calibri" w:cs="Times New Roman"/>
                <w:b/>
                <w:bCs/>
                <w:sz w:val="20"/>
                <w:szCs w:val="20"/>
              </w:rPr>
            </w:pPr>
            <w:r w:rsidRPr="0031235C">
              <w:rPr>
                <w:rFonts w:ascii="Calibri" w:eastAsia="Times New Roman" w:hAnsi="Calibri" w:cs="Times New Roman"/>
                <w:b/>
                <w:bCs/>
                <w:sz w:val="20"/>
                <w:szCs w:val="20"/>
              </w:rPr>
              <w:t>Initiated 2017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79</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rsidR="0031235C" w:rsidRPr="0031235C" w:rsidRDefault="0031235C" w:rsidP="0031235C">
            <w:pPr>
              <w:spacing w:after="0"/>
              <w:jc w:val="center"/>
              <w:rPr>
                <w:rFonts w:ascii="Calibri" w:eastAsia="Times New Roman" w:hAnsi="Calibri" w:cs="Times New Roman"/>
                <w:sz w:val="20"/>
                <w:szCs w:val="20"/>
              </w:rPr>
            </w:pPr>
            <w:r w:rsidRPr="0031235C">
              <w:rPr>
                <w:rFonts w:ascii="Calibri" w:eastAsia="Times New Roman" w:hAnsi="Calibri" w:cs="Times New Roman"/>
                <w:sz w:val="20"/>
                <w:szCs w:val="20"/>
              </w:rPr>
              <w:t>20 - 104</w:t>
            </w:r>
          </w:p>
        </w:tc>
      </w:tr>
    </w:tbl>
    <w:p w:rsidR="0031235C" w:rsidRDefault="0031235C" w:rsidP="0031235C">
      <w:pPr>
        <w:pStyle w:val="Notes"/>
      </w:pPr>
      <w:r w:rsidRPr="009229AB">
        <w:t xml:space="preserve">There were </w:t>
      </w:r>
      <w:r>
        <w:t>3</w:t>
      </w:r>
      <w:r w:rsidR="00823FEA">
        <w:t>4</w:t>
      </w:r>
      <w:r w:rsidRPr="009229AB">
        <w:t xml:space="preserve"> patients excluded from this analysis as their age was missing on their first prescription.</w:t>
      </w:r>
      <w:r w:rsidRPr="009229AB">
        <w:br/>
        <w:t>Source: DHS Medicare Pharmacy Claims database, accessed March 2018</w:t>
      </w:r>
    </w:p>
    <w:p w:rsidR="00F90FF9" w:rsidRPr="009229AB" w:rsidRDefault="00F90FF9" w:rsidP="00F90FF9"/>
    <w:p w:rsidR="003B0F92" w:rsidRPr="009229AB" w:rsidRDefault="006A520A" w:rsidP="003B0F92">
      <w:pPr>
        <w:pStyle w:val="Tabletitle"/>
        <w:keepNext/>
      </w:pPr>
      <w:r>
        <w:rPr>
          <w:noProof/>
        </w:rPr>
        <w:drawing>
          <wp:inline distT="0" distB="0" distL="0" distR="0" wp14:anchorId="51CE6676" wp14:editId="763DA9A9">
            <wp:extent cx="5780315" cy="3537857"/>
            <wp:effectExtent l="0" t="0" r="11430" b="24765"/>
            <wp:docPr id="1" name="Chart 1" descr="Age at initiation in 2008 vs 2017"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EB1627">
        <w:t>Figure</w:t>
      </w:r>
      <w:r w:rsidR="003B0F92" w:rsidRPr="009229AB">
        <w:t xml:space="preserve"> </w:t>
      </w:r>
      <w:r w:rsidR="00403745">
        <w:t>2</w:t>
      </w:r>
      <w:r w:rsidR="003B0F92" w:rsidRPr="009229AB">
        <w:t xml:space="preserve">: Age of patients </w:t>
      </w:r>
      <w:r w:rsidR="00EB1627">
        <w:t>initiating</w:t>
      </w:r>
      <w:r w:rsidR="003B0F92" w:rsidRPr="009229AB">
        <w:t xml:space="preserve"> ranibizumab and aflibercept</w:t>
      </w:r>
      <w:r w:rsidR="00E45626">
        <w:t xml:space="preserve"> for AMD</w:t>
      </w:r>
      <w:r w:rsidR="003B0F92" w:rsidRPr="009229AB">
        <w:t xml:space="preserve"> </w:t>
      </w:r>
      <w:r w:rsidR="00EB1627">
        <w:t>in 2008 and 2017, showing number of patients</w:t>
      </w:r>
    </w:p>
    <w:p w:rsidR="003B0F92" w:rsidRPr="009229AB" w:rsidRDefault="00EB1627" w:rsidP="003B0F92">
      <w:pPr>
        <w:pStyle w:val="Notes"/>
      </w:pPr>
      <w:r>
        <w:t>There were 11</w:t>
      </w:r>
      <w:r w:rsidR="003B0F92" w:rsidRPr="009229AB">
        <w:t xml:space="preserve"> patients excluded from this analysis</w:t>
      </w:r>
      <w:r>
        <w:t xml:space="preserve"> (six in 2008 and five in 2017) as their age was missing</w:t>
      </w:r>
      <w:r w:rsidR="003B0F92" w:rsidRPr="009229AB">
        <w:t xml:space="preserve"> on their first prescription.</w:t>
      </w:r>
      <w:r w:rsidR="003B0F92" w:rsidRPr="009229AB">
        <w:br/>
        <w:t xml:space="preserve">Source: DHS Medicare Pharmacy Claims database, accessed </w:t>
      </w:r>
      <w:r w:rsidR="009229AB" w:rsidRPr="009229AB">
        <w:t>March 2018</w:t>
      </w:r>
    </w:p>
    <w:p w:rsidR="00BE277C" w:rsidRPr="006A520A" w:rsidRDefault="003B0F92" w:rsidP="00422275">
      <w:pPr>
        <w:rPr>
          <w:b/>
        </w:rPr>
      </w:pPr>
      <w:r w:rsidRPr="006A520A">
        <w:t>The mean age of the patient population who would receive treatment under the requested PBS indication was e</w:t>
      </w:r>
      <w:r w:rsidRPr="00D2576D">
        <w:t xml:space="preserve">xpected to be 77 to 78 years based on the clinical trial data. </w:t>
      </w:r>
      <w:r w:rsidR="00BE277C" w:rsidRPr="006A520A">
        <w:t xml:space="preserve">Prior to </w:t>
      </w:r>
      <w:r w:rsidR="00BE277C" w:rsidRPr="006A520A">
        <w:lastRenderedPageBreak/>
        <w:t>2015 the mean age of patients initiating ranibizumab or aflibercept was 80. In 2015 to 2018 the mean age of patients initiating ranibizumab or aflibercept was 79.</w:t>
      </w:r>
    </w:p>
    <w:p w:rsidR="003B0F92" w:rsidRPr="009E78A2" w:rsidRDefault="006A520A">
      <w:r>
        <w:t xml:space="preserve">Table </w:t>
      </w:r>
      <w:r w:rsidR="00DF474C">
        <w:t>14</w:t>
      </w:r>
      <w:r w:rsidR="003B0F92" w:rsidRPr="009E78A2">
        <w:t xml:space="preserve"> shows the number of people treated </w:t>
      </w:r>
      <w:r w:rsidR="000018EE">
        <w:t xml:space="preserve">per 1000 population aged over 65 in each respective year. </w:t>
      </w:r>
    </w:p>
    <w:p w:rsidR="003B0F92" w:rsidRPr="00EE0A1C" w:rsidRDefault="00403745" w:rsidP="003B0F92">
      <w:pPr>
        <w:pStyle w:val="Tabletitle"/>
      </w:pPr>
      <w:r>
        <w:t>Table 14</w:t>
      </w:r>
      <w:r w:rsidR="003B0F92" w:rsidRPr="00BE277C">
        <w:t xml:space="preserve">: </w:t>
      </w:r>
      <w:r w:rsidR="00E31C61">
        <w:t>P</w:t>
      </w:r>
      <w:r w:rsidR="003B0F92" w:rsidRPr="00BE277C">
        <w:t>atients receiving ranibizumab and aflibercept by year of</w:t>
      </w:r>
      <w:r w:rsidR="009E78A2">
        <w:t xml:space="preserve"> treatment </w:t>
      </w:r>
      <w:r w:rsidR="000018EE">
        <w:t xml:space="preserve">per </w:t>
      </w:r>
      <w:r w:rsidR="009E78A2">
        <w:t>10</w:t>
      </w:r>
      <w:r w:rsidR="003B0F92" w:rsidRPr="00EE0A1C">
        <w:t xml:space="preserve">00 population aged 65 or more </w:t>
      </w:r>
      <w:r w:rsidR="009E78A2">
        <w:t>by</w:t>
      </w:r>
      <w:r w:rsidR="003B0F92" w:rsidRPr="00EE0A1C">
        <w:t xml:space="preserve"> state</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w:tblDescription w:val="Number of injections per patient by state"/>
      </w:tblPr>
      <w:tblGrid>
        <w:gridCol w:w="1009"/>
        <w:gridCol w:w="1010"/>
        <w:gridCol w:w="1010"/>
        <w:gridCol w:w="1009"/>
        <w:gridCol w:w="1010"/>
        <w:gridCol w:w="1010"/>
        <w:gridCol w:w="1009"/>
        <w:gridCol w:w="1010"/>
        <w:gridCol w:w="1010"/>
      </w:tblGrid>
      <w:tr w:rsidR="009E78A2" w:rsidRPr="009E78A2"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Year</w:t>
            </w:r>
          </w:p>
        </w:t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ACT</w:t>
            </w:r>
          </w:p>
        </w:t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NSW</w:t>
            </w:r>
          </w:p>
        </w:tc>
        <w:tc>
          <w:tcPr>
            <w:tcW w:w="1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NT</w:t>
            </w:r>
          </w:p>
        </w:t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QLD</w:t>
            </w:r>
          </w:p>
        </w:t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SA</w:t>
            </w:r>
          </w:p>
        </w:tc>
        <w:tc>
          <w:tcPr>
            <w:tcW w:w="100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TAS</w:t>
            </w:r>
          </w:p>
        </w:t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VIC</w:t>
            </w:r>
          </w:p>
        </w:t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E78A2" w:rsidRPr="009E78A2" w:rsidRDefault="009E78A2" w:rsidP="00EE0A1C">
            <w:pPr>
              <w:pStyle w:val="Tableheading"/>
              <w:rPr>
                <w:sz w:val="20"/>
                <w:szCs w:val="20"/>
              </w:rPr>
            </w:pPr>
            <w:r w:rsidRPr="009E78A2">
              <w:rPr>
                <w:rFonts w:ascii="Calibri" w:hAnsi="Calibri"/>
                <w:bCs/>
                <w:sz w:val="20"/>
                <w:szCs w:val="20"/>
              </w:rPr>
              <w:t>WA</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2007</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6.03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4.53</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 </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3.86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2.34</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4.74</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3.16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2.60</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2008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9.59</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8.20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1.86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7.88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4.62</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8.11</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5.56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5.59</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2009</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12.03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10.40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2.93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10.15</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6.85</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10.00</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7.06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7.85</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2010</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13.72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12.51</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4.05</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11.65</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8.11</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10.94</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8.36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9.45</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2011</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15.79</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14.02</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4.72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13.09</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9.02</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13.03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8.95</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11.14</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18.83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15.31</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5.48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14.44</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9.45</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14.78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9.82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12.42</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21.09</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17.00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6.06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16.07</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10.97</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16.17</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11.10</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13.57</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2014</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24.20</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18.36</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5.96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17.00</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12.10</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17.21</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12.14</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14.50</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2015</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25.56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19.73</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7.92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17.68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12.75</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17.97</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13.13</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15.67</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26.48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21.03</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7.68</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18.97</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13.88</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19.56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14.34</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16.70</w:t>
            </w:r>
          </w:p>
        </w:tc>
      </w:tr>
      <w:tr w:rsidR="009E78A2" w:rsidRPr="00EE0A1C" w:rsidTr="00EE0A1C">
        <w:trPr>
          <w:trHeight w:val="300"/>
        </w:trPr>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2017</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28.31</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22.27</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11.22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21.02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15.18</w:t>
            </w:r>
          </w:p>
        </w:tc>
        <w:tc>
          <w:tcPr>
            <w:tcW w:w="10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21.16</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15.72</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E78A2" w:rsidRPr="009E78A2" w:rsidRDefault="009E78A2" w:rsidP="00EE0A1C">
            <w:pPr>
              <w:pStyle w:val="Tableheading"/>
              <w:rPr>
                <w:b w:val="0"/>
                <w:sz w:val="20"/>
                <w:szCs w:val="20"/>
              </w:rPr>
            </w:pPr>
            <w:r w:rsidRPr="009E78A2">
              <w:rPr>
                <w:rFonts w:ascii="Calibri" w:hAnsi="Calibri"/>
                <w:b w:val="0"/>
                <w:sz w:val="20"/>
                <w:szCs w:val="20"/>
              </w:rPr>
              <w:t>18.30</w:t>
            </w:r>
          </w:p>
        </w:tc>
      </w:tr>
    </w:tbl>
    <w:p w:rsidR="003B0F92" w:rsidRPr="00EE0A1C" w:rsidRDefault="003B0F92" w:rsidP="003B0F92">
      <w:pPr>
        <w:pStyle w:val="Notes"/>
      </w:pPr>
      <w:r w:rsidRPr="00EE0A1C">
        <w:t xml:space="preserve">Source: DHS Medicare Pharmacy Claims database, accessed </w:t>
      </w:r>
      <w:r w:rsidR="00EE0A1C">
        <w:t>March 2018</w:t>
      </w:r>
      <w:r w:rsidRPr="00EE0A1C">
        <w:br/>
        <w:t>Patients with an ‘unknown’ state are excluded</w:t>
      </w:r>
      <w:r w:rsidRPr="00EE0A1C">
        <w:br/>
      </w:r>
      <w:r w:rsidR="009E78A2">
        <w:t>Population</w:t>
      </w:r>
      <w:r w:rsidRPr="00EE0A1C">
        <w:t xml:space="preserve">: </w:t>
      </w:r>
      <w:r w:rsidR="008B71EF">
        <w:t xml:space="preserve">Australian Bureau of Statistics, </w:t>
      </w:r>
      <w:r w:rsidR="008B71EF" w:rsidRPr="008B71EF">
        <w:t>3101.0 - Australian Demographic Statistics, Jun 2017</w:t>
      </w:r>
      <w:r w:rsidR="008B71EF">
        <w:t>,</w:t>
      </w:r>
      <w:r w:rsidR="008B71EF" w:rsidRPr="008B71EF">
        <w:t xml:space="preserve"> </w:t>
      </w:r>
      <w:r w:rsidR="009E78A2" w:rsidRPr="009E78A2">
        <w:t>Estimated Resident Population By Single Year Of Age</w:t>
      </w:r>
      <w:r w:rsidR="008B71EF">
        <w:t>, Year and State</w:t>
      </w:r>
      <w:r w:rsidR="009E78A2" w:rsidRPr="009E78A2">
        <w:t>,</w:t>
      </w:r>
      <w:r w:rsidR="009E78A2">
        <w:t xml:space="preserve"> Tables 51 to 58 </w:t>
      </w:r>
      <w:r w:rsidR="009E78A2" w:rsidRPr="009E78A2">
        <w:t>http://www.abs.gov.au/AUSSTATS/abs@.nsf/DetailsPage/3101.0Jun%202017?OpenDocument</w:t>
      </w:r>
      <w:r w:rsidRPr="00EE0A1C" w:rsidDel="00CA2F60">
        <w:rPr>
          <w:rStyle w:val="CommentReference"/>
        </w:rPr>
        <w:t xml:space="preserve"> </w:t>
      </w:r>
    </w:p>
    <w:p w:rsidR="003B0F92" w:rsidRPr="008B71EF" w:rsidRDefault="003B0F92" w:rsidP="008B71EF">
      <w:r w:rsidRPr="009E78A2">
        <w:t xml:space="preserve">There are differences in treatment rates across Australia. Rates of treatment are </w:t>
      </w:r>
      <w:r w:rsidR="009E78A2">
        <w:t>still comparatively</w:t>
      </w:r>
      <w:r w:rsidRPr="009E78A2">
        <w:t xml:space="preserve"> low</w:t>
      </w:r>
      <w:r w:rsidR="009E78A2">
        <w:t>er</w:t>
      </w:r>
      <w:r w:rsidRPr="009E78A2">
        <w:t xml:space="preserve"> in the Northern Territ</w:t>
      </w:r>
      <w:r w:rsidR="008B71EF">
        <w:t xml:space="preserve">ory and highest in the ACT, NSW, </w:t>
      </w:r>
      <w:r w:rsidRPr="009E78A2">
        <w:t>Tasmania</w:t>
      </w:r>
      <w:r w:rsidR="008B71EF">
        <w:t xml:space="preserve"> and Queensland</w:t>
      </w:r>
      <w:r w:rsidRPr="009E78A2">
        <w:t>. States with a comparatively high number of people treated also tend to have the highest number of injections per patien</w:t>
      </w:r>
      <w:r w:rsidR="008B71EF">
        <w:t>t as shown in the table below.</w:t>
      </w:r>
    </w:p>
    <w:p w:rsidR="004A4541" w:rsidRDefault="004A4541">
      <w:pPr>
        <w:spacing w:line="276" w:lineRule="auto"/>
        <w:rPr>
          <w:b/>
        </w:rPr>
      </w:pPr>
      <w:r>
        <w:br w:type="page"/>
      </w:r>
    </w:p>
    <w:p w:rsidR="003B0F92" w:rsidRPr="00353F23" w:rsidRDefault="00CB6E36" w:rsidP="003B0F92">
      <w:pPr>
        <w:pStyle w:val="Tabletitle"/>
      </w:pPr>
      <w:r>
        <w:lastRenderedPageBreak/>
        <w:t xml:space="preserve">Table </w:t>
      </w:r>
      <w:r w:rsidR="00403745">
        <w:t>15</w:t>
      </w:r>
      <w:r w:rsidR="003B0F92" w:rsidRPr="00353F23">
        <w:t>: Number of injections per patient by geographical state</w:t>
      </w:r>
    </w:p>
    <w:tbl>
      <w:tblPr>
        <w:tblStyle w:val="TableGrid"/>
        <w:tblW w:w="9180" w:type="dxa"/>
        <w:tblLayout w:type="fixed"/>
        <w:tblLook w:val="04A0" w:firstRow="1" w:lastRow="0" w:firstColumn="1" w:lastColumn="0" w:noHBand="0" w:noVBand="1"/>
        <w:tblCaption w:val="Number of injections per patient by geographical state"/>
        <w:tblDescription w:val="Number of injections per patient by geographical state from 2007 to 2017. In 2017 the number of injections per patient was 6.39 in the ACT, 7.34 in NSW, 5.38 in NT, 6.51 in Queensland, 6.79 in SA, 7.64 in Tasmania, 6.10 in Victoria, and 6.56 in WA."/>
      </w:tblPr>
      <w:tblGrid>
        <w:gridCol w:w="1101"/>
        <w:gridCol w:w="1009"/>
        <w:gridCol w:w="1010"/>
        <w:gridCol w:w="1010"/>
        <w:gridCol w:w="1010"/>
        <w:gridCol w:w="1010"/>
        <w:gridCol w:w="1010"/>
        <w:gridCol w:w="1010"/>
        <w:gridCol w:w="1010"/>
      </w:tblGrid>
      <w:tr w:rsidR="009E78A2" w:rsidRPr="009E78A2" w:rsidTr="00C13B9C">
        <w:trPr>
          <w:trHeight w:val="300"/>
          <w:tblHeader/>
        </w:trPr>
        <w:tc>
          <w:tcPr>
            <w:tcW w:w="1101"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Year</w:t>
            </w:r>
          </w:p>
        </w:tc>
        <w:tc>
          <w:tcPr>
            <w:tcW w:w="1009"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ACT</w:t>
            </w:r>
          </w:p>
        </w:tc>
        <w:tc>
          <w:tcPr>
            <w:tcW w:w="1010"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NSW</w:t>
            </w:r>
          </w:p>
        </w:tc>
        <w:tc>
          <w:tcPr>
            <w:tcW w:w="1010"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NT</w:t>
            </w:r>
          </w:p>
        </w:tc>
        <w:tc>
          <w:tcPr>
            <w:tcW w:w="1010"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QLD</w:t>
            </w:r>
          </w:p>
        </w:tc>
        <w:tc>
          <w:tcPr>
            <w:tcW w:w="1010"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SA</w:t>
            </w:r>
          </w:p>
        </w:tc>
        <w:tc>
          <w:tcPr>
            <w:tcW w:w="1010"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TAS</w:t>
            </w:r>
          </w:p>
        </w:tc>
        <w:tc>
          <w:tcPr>
            <w:tcW w:w="1010" w:type="dxa"/>
            <w:shd w:val="clear" w:color="auto" w:fill="BFBFBF" w:themeFill="background1" w:themeFillShade="BF"/>
            <w:noWrap/>
            <w:vAlign w:val="center"/>
            <w:hideMark/>
          </w:tcPr>
          <w:p w:rsidR="009E78A2" w:rsidRPr="009E78A2" w:rsidRDefault="009E78A2" w:rsidP="007A1EF4">
            <w:pPr>
              <w:pStyle w:val="Tableheading"/>
            </w:pPr>
            <w:r w:rsidRPr="009E78A2">
              <w:rPr>
                <w:rFonts w:ascii="Calibri" w:hAnsi="Calibri"/>
                <w:bCs/>
                <w:sz w:val="20"/>
                <w:szCs w:val="20"/>
              </w:rPr>
              <w:t>VIC</w:t>
            </w:r>
          </w:p>
        </w:tc>
        <w:tc>
          <w:tcPr>
            <w:tcW w:w="1010" w:type="dxa"/>
            <w:shd w:val="clear" w:color="auto" w:fill="BFBFBF" w:themeFill="background1" w:themeFillShade="BF"/>
            <w:vAlign w:val="center"/>
          </w:tcPr>
          <w:p w:rsidR="009E78A2" w:rsidRPr="009E78A2" w:rsidRDefault="009E78A2" w:rsidP="007A1EF4">
            <w:pPr>
              <w:pStyle w:val="Tableheading"/>
            </w:pPr>
            <w:r w:rsidRPr="009E78A2">
              <w:rPr>
                <w:rFonts w:ascii="Calibri" w:hAnsi="Calibri"/>
                <w:bCs/>
                <w:sz w:val="20"/>
                <w:szCs w:val="20"/>
              </w:rPr>
              <w:t>WA</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2007</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2.63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2.66</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 </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2.33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2.43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2.39</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2.19</w:t>
            </w:r>
          </w:p>
        </w:tc>
        <w:tc>
          <w:tcPr>
            <w:tcW w:w="1010" w:type="dxa"/>
            <w:vAlign w:val="center"/>
          </w:tcPr>
          <w:p w:rsidR="009E78A2" w:rsidRPr="00353F23" w:rsidRDefault="009E78A2" w:rsidP="007A1EF4">
            <w:pPr>
              <w:pStyle w:val="Tablewriting"/>
              <w:jc w:val="center"/>
              <w:rPr>
                <w:color w:val="auto"/>
              </w:rPr>
            </w:pPr>
            <w:r>
              <w:rPr>
                <w:rFonts w:ascii="Calibri" w:hAnsi="Calibri"/>
              </w:rPr>
              <w:t>2.67</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2008</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5.21</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5.08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3.44</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3.77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3.97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4.22</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3.78</w:t>
            </w:r>
          </w:p>
        </w:tc>
        <w:tc>
          <w:tcPr>
            <w:tcW w:w="1010" w:type="dxa"/>
            <w:vAlign w:val="center"/>
          </w:tcPr>
          <w:p w:rsidR="009E78A2" w:rsidRPr="00353F23" w:rsidRDefault="009E78A2" w:rsidP="007A1EF4">
            <w:pPr>
              <w:pStyle w:val="Tablewriting"/>
              <w:jc w:val="center"/>
              <w:rPr>
                <w:color w:val="auto"/>
              </w:rPr>
            </w:pPr>
            <w:r>
              <w:rPr>
                <w:rFonts w:ascii="Calibri" w:hAnsi="Calibri"/>
              </w:rPr>
              <w:t>4.53</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2009</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5.68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5.89</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2.47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4.37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4.95</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5.68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4.66</w:t>
            </w:r>
          </w:p>
        </w:tc>
        <w:tc>
          <w:tcPr>
            <w:tcW w:w="1010" w:type="dxa"/>
            <w:vAlign w:val="center"/>
          </w:tcPr>
          <w:p w:rsidR="009E78A2" w:rsidRPr="00353F23" w:rsidRDefault="009E78A2" w:rsidP="007A1EF4">
            <w:pPr>
              <w:pStyle w:val="Tablewriting"/>
              <w:jc w:val="center"/>
              <w:rPr>
                <w:color w:val="auto"/>
              </w:rPr>
            </w:pPr>
            <w:r>
              <w:rPr>
                <w:rFonts w:ascii="Calibri" w:hAnsi="Calibri"/>
              </w:rPr>
              <w:t>5.29</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2010</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6.88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6.72</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3.64</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5.60</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5.92</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6.77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5.47</w:t>
            </w:r>
          </w:p>
        </w:tc>
        <w:tc>
          <w:tcPr>
            <w:tcW w:w="1010" w:type="dxa"/>
            <w:vAlign w:val="center"/>
          </w:tcPr>
          <w:p w:rsidR="009E78A2" w:rsidRPr="00353F23" w:rsidRDefault="009E78A2" w:rsidP="007A1EF4">
            <w:pPr>
              <w:pStyle w:val="Tablewriting"/>
              <w:jc w:val="center"/>
              <w:rPr>
                <w:color w:val="auto"/>
              </w:rPr>
            </w:pPr>
            <w:r>
              <w:rPr>
                <w:rFonts w:ascii="Calibri" w:hAnsi="Calibri"/>
              </w:rPr>
              <w:t>5.98</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2011</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6.88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7.25</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3.18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6.17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6.68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6.92</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5.67</w:t>
            </w:r>
          </w:p>
        </w:tc>
        <w:tc>
          <w:tcPr>
            <w:tcW w:w="1010" w:type="dxa"/>
            <w:vAlign w:val="center"/>
          </w:tcPr>
          <w:p w:rsidR="009E78A2" w:rsidRPr="00353F23" w:rsidRDefault="009E78A2" w:rsidP="007A1EF4">
            <w:pPr>
              <w:pStyle w:val="Tablewriting"/>
              <w:jc w:val="center"/>
              <w:rPr>
                <w:color w:val="auto"/>
              </w:rPr>
            </w:pPr>
            <w:r>
              <w:rPr>
                <w:rFonts w:ascii="Calibri" w:hAnsi="Calibri"/>
              </w:rPr>
              <w:t>6.34</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2012</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7.13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7.71</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4.56</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6.48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7.13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7.80</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5.84</w:t>
            </w:r>
          </w:p>
        </w:tc>
        <w:tc>
          <w:tcPr>
            <w:tcW w:w="1010" w:type="dxa"/>
            <w:vAlign w:val="center"/>
          </w:tcPr>
          <w:p w:rsidR="009E78A2" w:rsidRPr="00353F23" w:rsidRDefault="009E78A2" w:rsidP="007A1EF4">
            <w:pPr>
              <w:pStyle w:val="Tablewriting"/>
              <w:jc w:val="center"/>
              <w:rPr>
                <w:color w:val="auto"/>
              </w:rPr>
            </w:pPr>
            <w:r>
              <w:rPr>
                <w:rFonts w:ascii="Calibri" w:hAnsi="Calibri"/>
              </w:rPr>
              <w:t>6.52</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2013</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6.62</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7.43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4.90</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6.47</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6.79</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7.55</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5.81</w:t>
            </w:r>
          </w:p>
        </w:tc>
        <w:tc>
          <w:tcPr>
            <w:tcW w:w="1010" w:type="dxa"/>
            <w:vAlign w:val="center"/>
          </w:tcPr>
          <w:p w:rsidR="009E78A2" w:rsidRPr="00353F23" w:rsidRDefault="009E78A2" w:rsidP="007A1EF4">
            <w:pPr>
              <w:pStyle w:val="Tablewriting"/>
              <w:jc w:val="center"/>
              <w:rPr>
                <w:color w:val="auto"/>
              </w:rPr>
            </w:pPr>
            <w:r>
              <w:rPr>
                <w:rFonts w:ascii="Calibri" w:hAnsi="Calibri"/>
              </w:rPr>
              <w:t>6.65</w:t>
            </w:r>
          </w:p>
        </w:tc>
      </w:tr>
      <w:tr w:rsidR="009E78A2" w:rsidRPr="002448D9" w:rsidTr="007A1EF4">
        <w:trPr>
          <w:trHeight w:val="300"/>
        </w:trPr>
        <w:tc>
          <w:tcPr>
            <w:tcW w:w="1101" w:type="dxa"/>
            <w:noWrap/>
            <w:vAlign w:val="center"/>
            <w:hideMark/>
          </w:tcPr>
          <w:p w:rsidR="009E78A2" w:rsidRPr="00353F23" w:rsidRDefault="009E78A2" w:rsidP="007A1EF4">
            <w:pPr>
              <w:pStyle w:val="Tablewriting"/>
              <w:rPr>
                <w:color w:val="auto"/>
              </w:rPr>
            </w:pPr>
            <w:r>
              <w:rPr>
                <w:rFonts w:ascii="Calibri" w:hAnsi="Calibri"/>
              </w:rPr>
              <w:t>2014</w:t>
            </w:r>
          </w:p>
        </w:tc>
        <w:tc>
          <w:tcPr>
            <w:tcW w:w="1009" w:type="dxa"/>
            <w:noWrap/>
            <w:vAlign w:val="center"/>
            <w:hideMark/>
          </w:tcPr>
          <w:p w:rsidR="009E78A2" w:rsidRPr="00353F23" w:rsidRDefault="009E78A2" w:rsidP="007A1EF4">
            <w:pPr>
              <w:pStyle w:val="Tablewriting"/>
              <w:jc w:val="center"/>
              <w:rPr>
                <w:color w:val="auto"/>
              </w:rPr>
            </w:pPr>
            <w:r>
              <w:rPr>
                <w:rFonts w:ascii="Calibri" w:hAnsi="Calibri"/>
              </w:rPr>
              <w:t>6.83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7.33</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5.90</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6.45</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6.81</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7.48</w:t>
            </w:r>
          </w:p>
        </w:tc>
        <w:tc>
          <w:tcPr>
            <w:tcW w:w="1010" w:type="dxa"/>
            <w:noWrap/>
            <w:vAlign w:val="center"/>
            <w:hideMark/>
          </w:tcPr>
          <w:p w:rsidR="009E78A2" w:rsidRPr="00353F23" w:rsidRDefault="009E78A2" w:rsidP="007A1EF4">
            <w:pPr>
              <w:pStyle w:val="Tablewriting"/>
              <w:jc w:val="center"/>
              <w:rPr>
                <w:color w:val="auto"/>
              </w:rPr>
            </w:pPr>
            <w:r>
              <w:rPr>
                <w:rFonts w:ascii="Calibri" w:hAnsi="Calibri"/>
              </w:rPr>
              <w:t>6.06</w:t>
            </w:r>
          </w:p>
        </w:tc>
        <w:tc>
          <w:tcPr>
            <w:tcW w:w="1010" w:type="dxa"/>
            <w:vAlign w:val="center"/>
          </w:tcPr>
          <w:p w:rsidR="009E78A2" w:rsidRPr="00353F23" w:rsidRDefault="009E78A2" w:rsidP="007A1EF4">
            <w:pPr>
              <w:pStyle w:val="Tablewriting"/>
              <w:jc w:val="center"/>
              <w:rPr>
                <w:color w:val="auto"/>
              </w:rPr>
            </w:pPr>
            <w:r>
              <w:rPr>
                <w:rFonts w:ascii="Calibri" w:hAnsi="Calibri"/>
              </w:rPr>
              <w:t>6.51</w:t>
            </w:r>
          </w:p>
        </w:tc>
      </w:tr>
      <w:tr w:rsidR="009E78A2" w:rsidRPr="002448D9" w:rsidTr="007A1EF4">
        <w:trPr>
          <w:trHeight w:val="300"/>
        </w:trPr>
        <w:tc>
          <w:tcPr>
            <w:tcW w:w="1101" w:type="dxa"/>
            <w:noWrap/>
            <w:vAlign w:val="center"/>
          </w:tcPr>
          <w:p w:rsidR="009E78A2" w:rsidRPr="00353F23" w:rsidRDefault="009E78A2" w:rsidP="007A1EF4">
            <w:pPr>
              <w:pStyle w:val="Tablewriting"/>
              <w:rPr>
                <w:color w:val="auto"/>
              </w:rPr>
            </w:pPr>
            <w:r>
              <w:rPr>
                <w:rFonts w:ascii="Calibri" w:hAnsi="Calibri"/>
              </w:rPr>
              <w:t>2015</w:t>
            </w:r>
          </w:p>
        </w:tc>
        <w:tc>
          <w:tcPr>
            <w:tcW w:w="1009" w:type="dxa"/>
            <w:noWrap/>
            <w:vAlign w:val="center"/>
          </w:tcPr>
          <w:p w:rsidR="009E78A2" w:rsidRPr="00353F23" w:rsidRDefault="009E78A2" w:rsidP="007A1EF4">
            <w:pPr>
              <w:pStyle w:val="Tablewriting"/>
              <w:jc w:val="center"/>
              <w:rPr>
                <w:color w:val="auto"/>
              </w:rPr>
            </w:pPr>
            <w:r>
              <w:rPr>
                <w:rFonts w:ascii="Calibri" w:hAnsi="Calibri"/>
              </w:rPr>
              <w:t>6.92</w:t>
            </w:r>
          </w:p>
        </w:tc>
        <w:tc>
          <w:tcPr>
            <w:tcW w:w="1010" w:type="dxa"/>
            <w:noWrap/>
            <w:vAlign w:val="center"/>
          </w:tcPr>
          <w:p w:rsidR="009E78A2" w:rsidRPr="00353F23" w:rsidRDefault="009E78A2" w:rsidP="007A1EF4">
            <w:pPr>
              <w:pStyle w:val="Tablewriting"/>
              <w:jc w:val="center"/>
              <w:rPr>
                <w:color w:val="auto"/>
              </w:rPr>
            </w:pPr>
            <w:r>
              <w:rPr>
                <w:rFonts w:ascii="Calibri" w:hAnsi="Calibri"/>
              </w:rPr>
              <w:t>7.26</w:t>
            </w:r>
          </w:p>
        </w:tc>
        <w:tc>
          <w:tcPr>
            <w:tcW w:w="1010" w:type="dxa"/>
            <w:noWrap/>
            <w:vAlign w:val="center"/>
          </w:tcPr>
          <w:p w:rsidR="009E78A2" w:rsidRPr="00353F23" w:rsidRDefault="009E78A2" w:rsidP="007A1EF4">
            <w:pPr>
              <w:pStyle w:val="Tablewriting"/>
              <w:jc w:val="center"/>
              <w:rPr>
                <w:color w:val="auto"/>
              </w:rPr>
            </w:pPr>
            <w:r>
              <w:rPr>
                <w:rFonts w:ascii="Calibri" w:hAnsi="Calibri"/>
              </w:rPr>
              <w:t>6.55</w:t>
            </w:r>
          </w:p>
        </w:tc>
        <w:tc>
          <w:tcPr>
            <w:tcW w:w="1010" w:type="dxa"/>
            <w:noWrap/>
            <w:vAlign w:val="center"/>
          </w:tcPr>
          <w:p w:rsidR="009E78A2" w:rsidRPr="00353F23" w:rsidRDefault="009E78A2" w:rsidP="007A1EF4">
            <w:pPr>
              <w:pStyle w:val="Tablewriting"/>
              <w:jc w:val="center"/>
              <w:rPr>
                <w:color w:val="auto"/>
              </w:rPr>
            </w:pPr>
            <w:r>
              <w:rPr>
                <w:rFonts w:ascii="Calibri" w:hAnsi="Calibri"/>
              </w:rPr>
              <w:t>6.41</w:t>
            </w:r>
          </w:p>
        </w:tc>
        <w:tc>
          <w:tcPr>
            <w:tcW w:w="1010" w:type="dxa"/>
            <w:noWrap/>
            <w:vAlign w:val="center"/>
          </w:tcPr>
          <w:p w:rsidR="009E78A2" w:rsidRPr="00353F23" w:rsidRDefault="009E78A2" w:rsidP="007A1EF4">
            <w:pPr>
              <w:pStyle w:val="Tablewriting"/>
              <w:jc w:val="center"/>
              <w:rPr>
                <w:color w:val="auto"/>
              </w:rPr>
            </w:pPr>
            <w:r>
              <w:rPr>
                <w:rFonts w:ascii="Calibri" w:hAnsi="Calibri"/>
              </w:rPr>
              <w:t>6.88</w:t>
            </w:r>
          </w:p>
        </w:tc>
        <w:tc>
          <w:tcPr>
            <w:tcW w:w="1010" w:type="dxa"/>
            <w:noWrap/>
            <w:vAlign w:val="center"/>
          </w:tcPr>
          <w:p w:rsidR="009E78A2" w:rsidRPr="00353F23" w:rsidRDefault="009E78A2" w:rsidP="007A1EF4">
            <w:pPr>
              <w:pStyle w:val="Tablewriting"/>
              <w:jc w:val="center"/>
              <w:rPr>
                <w:color w:val="auto"/>
              </w:rPr>
            </w:pPr>
            <w:r>
              <w:rPr>
                <w:rFonts w:ascii="Calibri" w:hAnsi="Calibri"/>
              </w:rPr>
              <w:t>7.77</w:t>
            </w:r>
          </w:p>
        </w:tc>
        <w:tc>
          <w:tcPr>
            <w:tcW w:w="1010" w:type="dxa"/>
            <w:noWrap/>
            <w:vAlign w:val="center"/>
          </w:tcPr>
          <w:p w:rsidR="009E78A2" w:rsidRPr="00353F23" w:rsidRDefault="009E78A2" w:rsidP="007A1EF4">
            <w:pPr>
              <w:pStyle w:val="Tablewriting"/>
              <w:jc w:val="center"/>
              <w:rPr>
                <w:color w:val="auto"/>
              </w:rPr>
            </w:pPr>
            <w:r>
              <w:rPr>
                <w:rFonts w:ascii="Calibri" w:hAnsi="Calibri"/>
              </w:rPr>
              <w:t>5.99</w:t>
            </w:r>
          </w:p>
        </w:tc>
        <w:tc>
          <w:tcPr>
            <w:tcW w:w="1010" w:type="dxa"/>
            <w:vAlign w:val="center"/>
          </w:tcPr>
          <w:p w:rsidR="009E78A2" w:rsidRPr="00353F23" w:rsidRDefault="009E78A2" w:rsidP="007A1EF4">
            <w:pPr>
              <w:pStyle w:val="Tablewriting"/>
              <w:jc w:val="center"/>
              <w:rPr>
                <w:color w:val="auto"/>
              </w:rPr>
            </w:pPr>
            <w:r>
              <w:rPr>
                <w:rFonts w:ascii="Calibri" w:hAnsi="Calibri"/>
              </w:rPr>
              <w:t>6.44</w:t>
            </w:r>
          </w:p>
        </w:tc>
      </w:tr>
      <w:tr w:rsidR="009E78A2" w:rsidRPr="002448D9" w:rsidTr="007A1EF4">
        <w:trPr>
          <w:trHeight w:val="300"/>
        </w:trPr>
        <w:tc>
          <w:tcPr>
            <w:tcW w:w="1101" w:type="dxa"/>
            <w:noWrap/>
            <w:vAlign w:val="center"/>
          </w:tcPr>
          <w:p w:rsidR="009E78A2" w:rsidRPr="00353F23" w:rsidRDefault="009E78A2" w:rsidP="007A1EF4">
            <w:pPr>
              <w:pStyle w:val="Tablewriting"/>
              <w:rPr>
                <w:color w:val="auto"/>
              </w:rPr>
            </w:pPr>
            <w:r>
              <w:rPr>
                <w:rFonts w:ascii="Calibri" w:hAnsi="Calibri"/>
              </w:rPr>
              <w:t>2016</w:t>
            </w:r>
          </w:p>
        </w:tc>
        <w:tc>
          <w:tcPr>
            <w:tcW w:w="1009" w:type="dxa"/>
            <w:noWrap/>
            <w:vAlign w:val="center"/>
          </w:tcPr>
          <w:p w:rsidR="009E78A2" w:rsidRPr="00353F23" w:rsidRDefault="009E78A2" w:rsidP="007A1EF4">
            <w:pPr>
              <w:pStyle w:val="Tablewriting"/>
              <w:jc w:val="center"/>
              <w:rPr>
                <w:color w:val="auto"/>
              </w:rPr>
            </w:pPr>
            <w:r>
              <w:rPr>
                <w:rFonts w:ascii="Calibri" w:hAnsi="Calibri"/>
              </w:rPr>
              <w:t>6.67</w:t>
            </w:r>
          </w:p>
        </w:tc>
        <w:tc>
          <w:tcPr>
            <w:tcW w:w="1010" w:type="dxa"/>
            <w:noWrap/>
            <w:vAlign w:val="center"/>
          </w:tcPr>
          <w:p w:rsidR="009E78A2" w:rsidRPr="00353F23" w:rsidRDefault="009E78A2" w:rsidP="007A1EF4">
            <w:pPr>
              <w:pStyle w:val="Tablewriting"/>
              <w:jc w:val="center"/>
              <w:rPr>
                <w:color w:val="auto"/>
              </w:rPr>
            </w:pPr>
            <w:r>
              <w:rPr>
                <w:rFonts w:ascii="Calibri" w:hAnsi="Calibri"/>
              </w:rPr>
              <w:t>7.30</w:t>
            </w:r>
          </w:p>
        </w:tc>
        <w:tc>
          <w:tcPr>
            <w:tcW w:w="1010" w:type="dxa"/>
            <w:noWrap/>
            <w:vAlign w:val="center"/>
          </w:tcPr>
          <w:p w:rsidR="009E78A2" w:rsidRPr="00353F23" w:rsidRDefault="009E78A2" w:rsidP="007A1EF4">
            <w:pPr>
              <w:pStyle w:val="Tablewriting"/>
              <w:jc w:val="center"/>
              <w:rPr>
                <w:color w:val="auto"/>
              </w:rPr>
            </w:pPr>
            <w:r>
              <w:rPr>
                <w:rFonts w:ascii="Calibri" w:hAnsi="Calibri"/>
              </w:rPr>
              <w:t>6.66</w:t>
            </w:r>
          </w:p>
        </w:tc>
        <w:tc>
          <w:tcPr>
            <w:tcW w:w="1010" w:type="dxa"/>
            <w:noWrap/>
            <w:vAlign w:val="center"/>
          </w:tcPr>
          <w:p w:rsidR="009E78A2" w:rsidRPr="00353F23" w:rsidRDefault="009E78A2" w:rsidP="007A1EF4">
            <w:pPr>
              <w:pStyle w:val="Tablewriting"/>
              <w:jc w:val="center"/>
              <w:rPr>
                <w:color w:val="auto"/>
              </w:rPr>
            </w:pPr>
            <w:r>
              <w:rPr>
                <w:rFonts w:ascii="Calibri" w:hAnsi="Calibri"/>
              </w:rPr>
              <w:t>6.55</w:t>
            </w:r>
          </w:p>
        </w:tc>
        <w:tc>
          <w:tcPr>
            <w:tcW w:w="1010" w:type="dxa"/>
            <w:noWrap/>
            <w:vAlign w:val="center"/>
          </w:tcPr>
          <w:p w:rsidR="009E78A2" w:rsidRPr="00353F23" w:rsidRDefault="009E78A2" w:rsidP="007A1EF4">
            <w:pPr>
              <w:pStyle w:val="Tablewriting"/>
              <w:jc w:val="center"/>
              <w:rPr>
                <w:color w:val="auto"/>
              </w:rPr>
            </w:pPr>
            <w:r>
              <w:rPr>
                <w:rFonts w:ascii="Calibri" w:hAnsi="Calibri"/>
              </w:rPr>
              <w:t>6.79</w:t>
            </w:r>
          </w:p>
        </w:tc>
        <w:tc>
          <w:tcPr>
            <w:tcW w:w="1010" w:type="dxa"/>
            <w:noWrap/>
            <w:vAlign w:val="center"/>
          </w:tcPr>
          <w:p w:rsidR="009E78A2" w:rsidRPr="00353F23" w:rsidRDefault="009E78A2" w:rsidP="007A1EF4">
            <w:pPr>
              <w:pStyle w:val="Tablewriting"/>
              <w:jc w:val="center"/>
              <w:rPr>
                <w:color w:val="auto"/>
              </w:rPr>
            </w:pPr>
            <w:r>
              <w:rPr>
                <w:rFonts w:ascii="Calibri" w:hAnsi="Calibri"/>
              </w:rPr>
              <w:t>7.58</w:t>
            </w:r>
          </w:p>
        </w:tc>
        <w:tc>
          <w:tcPr>
            <w:tcW w:w="1010" w:type="dxa"/>
            <w:noWrap/>
            <w:vAlign w:val="center"/>
          </w:tcPr>
          <w:p w:rsidR="009E78A2" w:rsidRPr="00353F23" w:rsidRDefault="009E78A2" w:rsidP="007A1EF4">
            <w:pPr>
              <w:pStyle w:val="Tablewriting"/>
              <w:jc w:val="center"/>
              <w:rPr>
                <w:color w:val="auto"/>
              </w:rPr>
            </w:pPr>
            <w:r>
              <w:rPr>
                <w:rFonts w:ascii="Calibri" w:hAnsi="Calibri"/>
              </w:rPr>
              <w:t>6.07</w:t>
            </w:r>
          </w:p>
        </w:tc>
        <w:tc>
          <w:tcPr>
            <w:tcW w:w="1010" w:type="dxa"/>
            <w:vAlign w:val="center"/>
          </w:tcPr>
          <w:p w:rsidR="009E78A2" w:rsidRPr="00353F23" w:rsidRDefault="009E78A2" w:rsidP="007A1EF4">
            <w:pPr>
              <w:pStyle w:val="Tablewriting"/>
              <w:jc w:val="center"/>
              <w:rPr>
                <w:color w:val="auto"/>
              </w:rPr>
            </w:pPr>
            <w:r>
              <w:rPr>
                <w:rFonts w:ascii="Calibri" w:hAnsi="Calibri"/>
              </w:rPr>
              <w:t>6.45</w:t>
            </w:r>
          </w:p>
        </w:tc>
      </w:tr>
      <w:tr w:rsidR="009E78A2" w:rsidRPr="002448D9" w:rsidTr="007A1EF4">
        <w:trPr>
          <w:trHeight w:val="300"/>
        </w:trPr>
        <w:tc>
          <w:tcPr>
            <w:tcW w:w="1101" w:type="dxa"/>
            <w:noWrap/>
            <w:vAlign w:val="center"/>
          </w:tcPr>
          <w:p w:rsidR="009E78A2" w:rsidRPr="00353F23" w:rsidRDefault="009E78A2" w:rsidP="007A1EF4">
            <w:pPr>
              <w:pStyle w:val="Tablewriting"/>
              <w:rPr>
                <w:color w:val="auto"/>
              </w:rPr>
            </w:pPr>
            <w:r>
              <w:rPr>
                <w:rFonts w:ascii="Calibri" w:hAnsi="Calibri"/>
              </w:rPr>
              <w:t>2017</w:t>
            </w:r>
          </w:p>
        </w:tc>
        <w:tc>
          <w:tcPr>
            <w:tcW w:w="1009" w:type="dxa"/>
            <w:noWrap/>
            <w:vAlign w:val="center"/>
          </w:tcPr>
          <w:p w:rsidR="009E78A2" w:rsidRPr="00353F23" w:rsidRDefault="009E78A2" w:rsidP="007A1EF4">
            <w:pPr>
              <w:pStyle w:val="Tablewriting"/>
              <w:jc w:val="center"/>
              <w:rPr>
                <w:color w:val="auto"/>
              </w:rPr>
            </w:pPr>
            <w:r>
              <w:rPr>
                <w:rFonts w:ascii="Calibri" w:hAnsi="Calibri"/>
              </w:rPr>
              <w:t>6.39</w:t>
            </w:r>
          </w:p>
        </w:tc>
        <w:tc>
          <w:tcPr>
            <w:tcW w:w="1010" w:type="dxa"/>
            <w:noWrap/>
            <w:vAlign w:val="center"/>
          </w:tcPr>
          <w:p w:rsidR="009E78A2" w:rsidRPr="00353F23" w:rsidRDefault="009E78A2" w:rsidP="007A1EF4">
            <w:pPr>
              <w:pStyle w:val="Tablewriting"/>
              <w:jc w:val="center"/>
              <w:rPr>
                <w:color w:val="auto"/>
              </w:rPr>
            </w:pPr>
            <w:r>
              <w:rPr>
                <w:rFonts w:ascii="Calibri" w:hAnsi="Calibri"/>
              </w:rPr>
              <w:t>7.34</w:t>
            </w:r>
          </w:p>
        </w:tc>
        <w:tc>
          <w:tcPr>
            <w:tcW w:w="1010" w:type="dxa"/>
            <w:noWrap/>
            <w:vAlign w:val="center"/>
          </w:tcPr>
          <w:p w:rsidR="009E78A2" w:rsidRPr="00353F23" w:rsidRDefault="009E78A2" w:rsidP="007A1EF4">
            <w:pPr>
              <w:pStyle w:val="Tablewriting"/>
              <w:jc w:val="center"/>
              <w:rPr>
                <w:color w:val="auto"/>
              </w:rPr>
            </w:pPr>
            <w:r>
              <w:rPr>
                <w:rFonts w:ascii="Calibri" w:hAnsi="Calibri"/>
              </w:rPr>
              <w:t>5.38</w:t>
            </w:r>
          </w:p>
        </w:tc>
        <w:tc>
          <w:tcPr>
            <w:tcW w:w="1010" w:type="dxa"/>
            <w:noWrap/>
            <w:vAlign w:val="center"/>
          </w:tcPr>
          <w:p w:rsidR="009E78A2" w:rsidRPr="00353F23" w:rsidRDefault="009E78A2" w:rsidP="007A1EF4">
            <w:pPr>
              <w:pStyle w:val="Tablewriting"/>
              <w:jc w:val="center"/>
              <w:rPr>
                <w:color w:val="auto"/>
              </w:rPr>
            </w:pPr>
            <w:r>
              <w:rPr>
                <w:rFonts w:ascii="Calibri" w:hAnsi="Calibri"/>
              </w:rPr>
              <w:t>6.51</w:t>
            </w:r>
          </w:p>
        </w:tc>
        <w:tc>
          <w:tcPr>
            <w:tcW w:w="1010" w:type="dxa"/>
            <w:noWrap/>
            <w:vAlign w:val="center"/>
          </w:tcPr>
          <w:p w:rsidR="009E78A2" w:rsidRPr="00353F23" w:rsidRDefault="009E78A2" w:rsidP="007A1EF4">
            <w:pPr>
              <w:pStyle w:val="Tablewriting"/>
              <w:jc w:val="center"/>
              <w:rPr>
                <w:color w:val="auto"/>
              </w:rPr>
            </w:pPr>
            <w:r>
              <w:rPr>
                <w:rFonts w:ascii="Calibri" w:hAnsi="Calibri"/>
              </w:rPr>
              <w:t>6.79</w:t>
            </w:r>
          </w:p>
        </w:tc>
        <w:tc>
          <w:tcPr>
            <w:tcW w:w="1010" w:type="dxa"/>
            <w:noWrap/>
            <w:vAlign w:val="center"/>
          </w:tcPr>
          <w:p w:rsidR="009E78A2" w:rsidRPr="00353F23" w:rsidRDefault="009E78A2" w:rsidP="007A1EF4">
            <w:pPr>
              <w:pStyle w:val="Tablewriting"/>
              <w:jc w:val="center"/>
              <w:rPr>
                <w:color w:val="auto"/>
              </w:rPr>
            </w:pPr>
            <w:r>
              <w:rPr>
                <w:rFonts w:ascii="Calibri" w:hAnsi="Calibri"/>
              </w:rPr>
              <w:t>7.64</w:t>
            </w:r>
          </w:p>
        </w:tc>
        <w:tc>
          <w:tcPr>
            <w:tcW w:w="1010" w:type="dxa"/>
            <w:noWrap/>
            <w:vAlign w:val="center"/>
          </w:tcPr>
          <w:p w:rsidR="009E78A2" w:rsidRPr="00353F23" w:rsidRDefault="009E78A2" w:rsidP="007A1EF4">
            <w:pPr>
              <w:pStyle w:val="Tablewriting"/>
              <w:jc w:val="center"/>
              <w:rPr>
                <w:color w:val="auto"/>
              </w:rPr>
            </w:pPr>
            <w:r>
              <w:rPr>
                <w:rFonts w:ascii="Calibri" w:hAnsi="Calibri"/>
              </w:rPr>
              <w:t>6.10</w:t>
            </w:r>
          </w:p>
        </w:tc>
        <w:tc>
          <w:tcPr>
            <w:tcW w:w="1010" w:type="dxa"/>
            <w:vAlign w:val="center"/>
          </w:tcPr>
          <w:p w:rsidR="009E78A2" w:rsidRPr="00353F23" w:rsidRDefault="009E78A2" w:rsidP="007A1EF4">
            <w:pPr>
              <w:pStyle w:val="Tablewriting"/>
              <w:jc w:val="center"/>
              <w:rPr>
                <w:color w:val="auto"/>
              </w:rPr>
            </w:pPr>
            <w:r>
              <w:rPr>
                <w:rFonts w:ascii="Calibri" w:hAnsi="Calibri"/>
              </w:rPr>
              <w:t>6.56</w:t>
            </w:r>
          </w:p>
        </w:tc>
      </w:tr>
    </w:tbl>
    <w:p w:rsidR="003B0F92" w:rsidRPr="00353F23" w:rsidRDefault="003B0F92" w:rsidP="003B0F92">
      <w:pPr>
        <w:pStyle w:val="Notes"/>
        <w:rPr>
          <w:highlight w:val="yellow"/>
        </w:rPr>
      </w:pPr>
      <w:r w:rsidRPr="00353F23">
        <w:t xml:space="preserve">Source: DHS Medicare Pharmacy Claims database, accessed </w:t>
      </w:r>
      <w:r w:rsidR="00353F23" w:rsidRPr="00353F23">
        <w:t>March 2018</w:t>
      </w:r>
      <w:r w:rsidRPr="00353F23">
        <w:br/>
        <w:t>Patients with an ‘unknown’ state are excluded</w:t>
      </w:r>
    </w:p>
    <w:p w:rsidR="00AF2516" w:rsidRDefault="00353F23" w:rsidP="003B0F92">
      <w:r w:rsidRPr="00353F23">
        <w:t>The 2015 DUSC report suggested p</w:t>
      </w:r>
      <w:r w:rsidR="003B0F92" w:rsidRPr="00353F23">
        <w:t xml:space="preserve">ossible reasons for the different rates of treatment could include access to ophthalmologists, remoteness and awareness of the disease and its symptoms. Overall, these </w:t>
      </w:r>
      <w:r w:rsidR="00E97EA1">
        <w:t>results</w:t>
      </w:r>
      <w:r w:rsidR="003B0F92" w:rsidRPr="00353F23">
        <w:t xml:space="preserve"> suggest that treatment rates could grow much more in the future if capacity increases or access improves, particularly in Victoria, South Australia and Western </w:t>
      </w:r>
      <w:r w:rsidR="003B0F92" w:rsidRPr="00DF474C">
        <w:t>Australia.</w:t>
      </w:r>
      <w:r w:rsidRPr="00DF474C">
        <w:t xml:space="preserve"> Table </w:t>
      </w:r>
      <w:r w:rsidR="00DF474C" w:rsidRPr="00DF474C">
        <w:t>15</w:t>
      </w:r>
      <w:r>
        <w:t xml:space="preserve"> suggests this has occurred, in Victoria, South Australia, </w:t>
      </w:r>
      <w:r w:rsidRPr="00353F23">
        <w:t>Western Australia</w:t>
      </w:r>
      <w:r>
        <w:t xml:space="preserve"> and Tasmania.</w:t>
      </w:r>
    </w:p>
    <w:p w:rsidR="00D211DD" w:rsidRDefault="00D211DD">
      <w:pPr>
        <w:spacing w:line="276" w:lineRule="auto"/>
        <w:rPr>
          <w:b/>
          <w:sz w:val="28"/>
        </w:rPr>
      </w:pPr>
      <w:r>
        <w:br w:type="page"/>
      </w:r>
    </w:p>
    <w:p w:rsidR="00830F35" w:rsidRDefault="006A520A" w:rsidP="005B599B">
      <w:pPr>
        <w:pStyle w:val="Heading2"/>
      </w:pPr>
      <w:bookmarkStart w:id="37" w:name="_Toc513038036"/>
      <w:r>
        <w:lastRenderedPageBreak/>
        <w:t xml:space="preserve">Analysis of medicines for </w:t>
      </w:r>
      <w:r w:rsidR="00E03C77" w:rsidRPr="00D83094">
        <w:t>DMO</w:t>
      </w:r>
      <w:bookmarkEnd w:id="37"/>
    </w:p>
    <w:p w:rsidR="00A30680" w:rsidRDefault="00A30680" w:rsidP="00DC60B4">
      <w:r>
        <w:t>Ranibizumab was the first medicine to be PBS listed for DMO, on 1 July 2015. Aflibercept was PBS listed four months later on 1 October 2015, and dexamethasone implants were listed 1 November 2016.</w:t>
      </w:r>
    </w:p>
    <w:p w:rsidR="00DC60B4" w:rsidRDefault="00DF474C" w:rsidP="00DC60B4">
      <w:r>
        <w:t>Figure 3</w:t>
      </w:r>
      <w:r w:rsidR="00DC60B4">
        <w:t xml:space="preserve"> shows the number of patients initiating therapy for DMO.</w:t>
      </w:r>
      <w:r w:rsidR="00A30680">
        <w:t xml:space="preserve"> It suggests the number of initiating patients stabilised quickly, and the number of treated patients, although increasing, may be slowing or stabilising</w:t>
      </w:r>
      <w:r w:rsidR="00B169B6">
        <w:t xml:space="preserve">. </w:t>
      </w:r>
      <w:r w:rsidR="009A5DEE">
        <w:t xml:space="preserve">It was anticipated that there was a pool of patients awaiting treatment prior to PBS subsidy. The depletion of this pool may be a factor contributing to the plateau. </w:t>
      </w:r>
      <w:r w:rsidR="00B169B6">
        <w:t>T</w:t>
      </w:r>
      <w:r w:rsidR="007470C8">
        <w:t>he use of dexamethasone could</w:t>
      </w:r>
      <w:r w:rsidR="009A5DEE">
        <w:t xml:space="preserve"> also</w:t>
      </w:r>
      <w:r w:rsidR="007470C8">
        <w:t xml:space="preserve"> be contributing to</w:t>
      </w:r>
      <w:r w:rsidR="00547E09">
        <w:t xml:space="preserve"> this</w:t>
      </w:r>
      <w:r w:rsidR="007470C8">
        <w:t xml:space="preserve"> apparent </w:t>
      </w:r>
      <w:r w:rsidR="004E2318">
        <w:t>plateau</w:t>
      </w:r>
      <w:r w:rsidR="00547E09">
        <w:t xml:space="preserve"> in the</w:t>
      </w:r>
      <w:r w:rsidR="007470C8">
        <w:t xml:space="preserve"> numbers of </w:t>
      </w:r>
      <w:r w:rsidR="004E2318">
        <w:t xml:space="preserve">prevalent </w:t>
      </w:r>
      <w:r w:rsidR="007470C8">
        <w:t>patients treated in each calendar month</w:t>
      </w:r>
      <w:r w:rsidR="004E2318">
        <w:t xml:space="preserve"> given its less frequent administration</w:t>
      </w:r>
      <w:r w:rsidR="007470C8">
        <w:t xml:space="preserve">. </w:t>
      </w:r>
    </w:p>
    <w:p w:rsidR="00AB5D04" w:rsidRDefault="00DC60B4" w:rsidP="00852067">
      <w:r>
        <w:rPr>
          <w:noProof/>
        </w:rPr>
        <w:drawing>
          <wp:inline distT="0" distB="0" distL="0" distR="0" wp14:anchorId="36A2AEB5" wp14:editId="1A152867">
            <wp:extent cx="5687695" cy="3944927"/>
            <wp:effectExtent l="0" t="0" r="27305" b="17780"/>
            <wp:docPr id="5" name="Chart 5" descr="Initiating and prevalent patients for DMO" title="Fig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6A15" w:rsidRDefault="004D6A15" w:rsidP="004D6A15">
      <w:pPr>
        <w:pStyle w:val="Figuretitle"/>
      </w:pPr>
      <w:r>
        <w:t xml:space="preserve">Figure </w:t>
      </w:r>
      <w:r w:rsidR="00403745">
        <w:t>3</w:t>
      </w:r>
      <w:r>
        <w:t>: Initiating and prevalent treated patients for DMO</w:t>
      </w:r>
    </w:p>
    <w:p w:rsidR="00C07151" w:rsidRDefault="00C07151" w:rsidP="002E02B8">
      <w:r w:rsidRPr="00C07151">
        <w:t>Since the listing of ranibizumab a total of 13,958 patients have been dispensed a medicine for DMO, including 12,934 who have received VEGF-inhibitor/s only and 546 patients who have received both</w:t>
      </w:r>
      <w:r>
        <w:t xml:space="preserve"> a VEGF</w:t>
      </w:r>
      <w:r>
        <w:noBreakHyphen/>
        <w:t>inhibitor and dexamethasone</w:t>
      </w:r>
      <w:r w:rsidRPr="00C07151">
        <w:t xml:space="preserve">.  </w:t>
      </w:r>
    </w:p>
    <w:p w:rsidR="002E02B8" w:rsidRDefault="002E02B8" w:rsidP="002E02B8">
      <w:r>
        <w:t>A summary of the 13,480 patients who have received VEGF inhibitor</w:t>
      </w:r>
      <w:r w:rsidR="00DF474C">
        <w:t>s for DMO is provided in Table 16</w:t>
      </w:r>
      <w:r>
        <w:t xml:space="preserve">. Dexamethasone prescriptions are excluded from Table </w:t>
      </w:r>
      <w:r w:rsidR="00DF474C">
        <w:t>16</w:t>
      </w:r>
      <w:r>
        <w:t xml:space="preserve"> because of the different frequency of administration. Data on the use of dexamethasone is presented in a </w:t>
      </w:r>
      <w:r w:rsidRPr="0027774B">
        <w:t>later section.</w:t>
      </w:r>
    </w:p>
    <w:p w:rsidR="007F4BA8" w:rsidRDefault="007F4BA8" w:rsidP="007F4BA8">
      <w:pPr>
        <w:pStyle w:val="Tabletitle"/>
      </w:pPr>
      <w:r w:rsidRPr="00972DB2">
        <w:lastRenderedPageBreak/>
        <w:t xml:space="preserve">Table </w:t>
      </w:r>
      <w:r w:rsidR="00403745">
        <w:t>16</w:t>
      </w:r>
      <w:r w:rsidRPr="00972DB2">
        <w:t xml:space="preserve">: </w:t>
      </w:r>
      <w:r w:rsidRPr="00E76DB2">
        <w:t xml:space="preserve">Summary of patients accessing </w:t>
      </w:r>
      <w:r w:rsidR="00827830">
        <w:t xml:space="preserve">VEGF inhibitor </w:t>
      </w:r>
      <w:r w:rsidRPr="00E76DB2">
        <w:t xml:space="preserve">treatment for </w:t>
      </w:r>
      <w:r>
        <w:t>DMO</w:t>
      </w:r>
      <w:r w:rsidRPr="00E76DB2">
        <w:t xml:space="preserve"> and number of supplied prescriptions, supplied injections and injections per patient by calendar year</w:t>
      </w:r>
    </w:p>
    <w:tbl>
      <w:tblPr>
        <w:tblW w:w="9080" w:type="dxa"/>
        <w:tblInd w:w="93" w:type="dxa"/>
        <w:tblLayout w:type="fixed"/>
        <w:tblLook w:val="04A0" w:firstRow="1" w:lastRow="0" w:firstColumn="1" w:lastColumn="0" w:noHBand="0" w:noVBand="1"/>
        <w:tblCaption w:val="Table 16"/>
        <w:tblDescription w:val="Patient summary for VEGF therapy for DMO"/>
      </w:tblPr>
      <w:tblGrid>
        <w:gridCol w:w="803"/>
        <w:gridCol w:w="1034"/>
        <w:gridCol w:w="1035"/>
        <w:gridCol w:w="1034"/>
        <w:gridCol w:w="1035"/>
        <w:gridCol w:w="1035"/>
        <w:gridCol w:w="1034"/>
        <w:gridCol w:w="1035"/>
        <w:gridCol w:w="1035"/>
      </w:tblGrid>
      <w:tr w:rsidR="0093148A" w:rsidRPr="0093148A" w:rsidTr="0093148A">
        <w:trPr>
          <w:trHeight w:val="1545"/>
        </w:trPr>
        <w:tc>
          <w:tcPr>
            <w:tcW w:w="8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Year</w:t>
            </w:r>
          </w:p>
        </w:tc>
        <w:tc>
          <w:tcPr>
            <w:tcW w:w="10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New patients</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Rate of change from previous years new patients</w:t>
            </w:r>
          </w:p>
        </w:tc>
        <w:tc>
          <w:tcPr>
            <w:tcW w:w="10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Prevalent patients</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Initiating patients per pop ≥18/1000</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Treated patients per pop≥18/1000</w:t>
            </w:r>
          </w:p>
        </w:tc>
        <w:tc>
          <w:tcPr>
            <w:tcW w:w="10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Prescriptions supplied</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Injections supplied</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93148A" w:rsidRPr="0093148A" w:rsidRDefault="0093148A" w:rsidP="0093148A">
            <w:pPr>
              <w:spacing w:after="0"/>
              <w:rPr>
                <w:rFonts w:ascii="Calibri" w:eastAsia="Times New Roman" w:hAnsi="Calibri" w:cs="Times New Roman"/>
                <w:b/>
                <w:color w:val="000000"/>
                <w:sz w:val="20"/>
                <w:szCs w:val="20"/>
              </w:rPr>
            </w:pPr>
            <w:r w:rsidRPr="0093148A">
              <w:rPr>
                <w:rFonts w:ascii="Calibri" w:eastAsia="Times New Roman" w:hAnsi="Calibri" w:cs="Times New Roman"/>
                <w:b/>
                <w:color w:val="000000"/>
                <w:sz w:val="20"/>
                <w:szCs w:val="20"/>
              </w:rPr>
              <w:t>Calculated injections per prevalent patient</w:t>
            </w:r>
          </w:p>
        </w:tc>
      </w:tr>
      <w:tr w:rsidR="00FE3668" w:rsidRPr="0093148A" w:rsidTr="00FE3668">
        <w:trPr>
          <w:trHeight w:val="300"/>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FE3668" w:rsidRPr="0093148A" w:rsidRDefault="00FE3668" w:rsidP="0093148A">
            <w:pPr>
              <w:spacing w:after="0"/>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2015</w:t>
            </w:r>
            <w:r w:rsidRPr="00E054B1">
              <w:rPr>
                <w:rFonts w:ascii="Calibri" w:eastAsia="Times New Roman" w:hAnsi="Calibri" w:cs="Times New Roman"/>
                <w:color w:val="000000"/>
                <w:sz w:val="20"/>
                <w:szCs w:val="20"/>
                <w:vertAlign w:val="superscript"/>
              </w:rPr>
              <w:t>a</w:t>
            </w:r>
          </w:p>
        </w:tc>
        <w:tc>
          <w:tcPr>
            <w:tcW w:w="1034"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xml:space="preserve">3,990 </w:t>
            </w:r>
          </w:p>
        </w:tc>
        <w:tc>
          <w:tcPr>
            <w:tcW w:w="1035"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w:t>
            </w:r>
          </w:p>
        </w:tc>
        <w:tc>
          <w:tcPr>
            <w:tcW w:w="1034"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xml:space="preserve">3,990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93148A">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0.216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93148A">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0.216 </w:t>
            </w:r>
          </w:p>
        </w:tc>
        <w:tc>
          <w:tcPr>
            <w:tcW w:w="1034"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11,888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15,720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3.94</w:t>
            </w:r>
          </w:p>
        </w:tc>
      </w:tr>
      <w:tr w:rsidR="00FE3668" w:rsidRPr="0093148A" w:rsidTr="00FE3668">
        <w:trPr>
          <w:trHeight w:val="300"/>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FE3668" w:rsidRPr="0093148A" w:rsidRDefault="00FE3668" w:rsidP="0093148A">
            <w:pPr>
              <w:spacing w:after="0"/>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2016</w:t>
            </w:r>
          </w:p>
        </w:tc>
        <w:tc>
          <w:tcPr>
            <w:tcW w:w="1034"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xml:space="preserve">4,680 </w:t>
            </w:r>
          </w:p>
        </w:tc>
        <w:tc>
          <w:tcPr>
            <w:tcW w:w="1035"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17%</w:t>
            </w:r>
          </w:p>
        </w:tc>
        <w:tc>
          <w:tcPr>
            <w:tcW w:w="1034"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xml:space="preserve">8,248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93148A">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0.249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93148A">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0.439 </w:t>
            </w:r>
          </w:p>
        </w:tc>
        <w:tc>
          <w:tcPr>
            <w:tcW w:w="1034"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43,114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56,341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6.83</w:t>
            </w:r>
          </w:p>
        </w:tc>
      </w:tr>
      <w:tr w:rsidR="00FE3668" w:rsidRPr="0093148A" w:rsidTr="00FE3668">
        <w:trPr>
          <w:trHeight w:val="300"/>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FE3668" w:rsidRPr="0093148A" w:rsidRDefault="00FE3668" w:rsidP="0093148A">
            <w:pPr>
              <w:spacing w:after="0"/>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2017</w:t>
            </w:r>
          </w:p>
        </w:tc>
        <w:tc>
          <w:tcPr>
            <w:tcW w:w="1034"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xml:space="preserve">4,810 </w:t>
            </w:r>
          </w:p>
        </w:tc>
        <w:tc>
          <w:tcPr>
            <w:tcW w:w="1035"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3%</w:t>
            </w:r>
          </w:p>
        </w:tc>
        <w:tc>
          <w:tcPr>
            <w:tcW w:w="1034" w:type="dxa"/>
            <w:tcBorders>
              <w:top w:val="nil"/>
              <w:left w:val="nil"/>
              <w:bottom w:val="single" w:sz="4" w:space="0" w:color="auto"/>
              <w:right w:val="single" w:sz="4" w:space="0" w:color="auto"/>
            </w:tcBorders>
            <w:shd w:val="clear" w:color="auto" w:fill="auto"/>
            <w:noWrap/>
            <w:vAlign w:val="center"/>
            <w:hideMark/>
          </w:tcPr>
          <w:p w:rsidR="00FE3668" w:rsidRPr="0093148A" w:rsidRDefault="00FE3668" w:rsidP="0093148A">
            <w:pPr>
              <w:spacing w:after="0"/>
              <w:jc w:val="right"/>
              <w:rPr>
                <w:rFonts w:ascii="Calibri" w:eastAsia="Times New Roman" w:hAnsi="Calibri" w:cs="Times New Roman"/>
                <w:color w:val="000000"/>
                <w:sz w:val="20"/>
                <w:szCs w:val="20"/>
              </w:rPr>
            </w:pPr>
            <w:r w:rsidRPr="0093148A">
              <w:rPr>
                <w:rFonts w:ascii="Calibri" w:eastAsia="Times New Roman" w:hAnsi="Calibri" w:cs="Times New Roman"/>
                <w:color w:val="000000"/>
                <w:sz w:val="20"/>
                <w:szCs w:val="20"/>
              </w:rPr>
              <w:t xml:space="preserve">11,137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93148A">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0.252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93148A">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0.583 </w:t>
            </w:r>
          </w:p>
        </w:tc>
        <w:tc>
          <w:tcPr>
            <w:tcW w:w="1034"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55,193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70,408 </w:t>
            </w:r>
          </w:p>
        </w:tc>
        <w:tc>
          <w:tcPr>
            <w:tcW w:w="1035" w:type="dxa"/>
            <w:tcBorders>
              <w:top w:val="nil"/>
              <w:left w:val="nil"/>
              <w:bottom w:val="single" w:sz="4" w:space="0" w:color="auto"/>
              <w:right w:val="single" w:sz="4" w:space="0" w:color="auto"/>
            </w:tcBorders>
            <w:shd w:val="clear" w:color="auto" w:fill="auto"/>
            <w:noWrap/>
            <w:vAlign w:val="bottom"/>
            <w:hideMark/>
          </w:tcPr>
          <w:p w:rsidR="00FE3668" w:rsidRPr="0093148A" w:rsidRDefault="00FE3668" w:rsidP="00EA6A1F">
            <w:pPr>
              <w:spacing w:after="0"/>
              <w:jc w:val="right"/>
              <w:rPr>
                <w:rFonts w:ascii="Calibri" w:eastAsia="Times New Roman" w:hAnsi="Calibri" w:cs="Times New Roman"/>
                <w:color w:val="000000"/>
                <w:sz w:val="20"/>
                <w:szCs w:val="20"/>
              </w:rPr>
            </w:pPr>
            <w:r>
              <w:rPr>
                <w:rFonts w:ascii="Calibri" w:hAnsi="Calibri"/>
                <w:color w:val="000000"/>
                <w:sz w:val="20"/>
                <w:szCs w:val="20"/>
              </w:rPr>
              <w:t>6.32</w:t>
            </w:r>
          </w:p>
        </w:tc>
      </w:tr>
    </w:tbl>
    <w:p w:rsidR="00E054B1" w:rsidRDefault="006C603A" w:rsidP="006B66CF">
      <w:pPr>
        <w:pStyle w:val="Notes"/>
        <w:rPr>
          <w:rFonts w:cs="Arial"/>
        </w:rPr>
      </w:pPr>
      <w:r w:rsidRPr="004D6A15">
        <w:t>Source: DHS Medicare Pharmacy Claims database, accessed March 2018</w:t>
      </w:r>
      <w:r w:rsidR="00FE3668">
        <w:br/>
      </w:r>
      <w:r w:rsidR="006B66CF" w:rsidRPr="003B0F92">
        <w:t>The figure for 20</w:t>
      </w:r>
      <w:r w:rsidR="006B66CF">
        <w:t>15</w:t>
      </w:r>
      <w:r w:rsidR="006B66CF" w:rsidRPr="003B0F92">
        <w:t xml:space="preserve"> represents the first </w:t>
      </w:r>
      <w:r w:rsidR="006B66CF">
        <w:t>six</w:t>
      </w:r>
      <w:r w:rsidR="006B66CF" w:rsidRPr="003B0F92">
        <w:t xml:space="preserve"> months of listing </w:t>
      </w:r>
      <w:r w:rsidR="006B66CF">
        <w:t xml:space="preserve">for ranibizumab and the first </w:t>
      </w:r>
      <w:r w:rsidR="00D211DD">
        <w:t>three</w:t>
      </w:r>
      <w:r w:rsidR="006B66CF">
        <w:t xml:space="preserve"> months of listing for aflibercept</w:t>
      </w:r>
      <w:r w:rsidR="006B66CF" w:rsidRPr="003B0F92">
        <w:br/>
      </w:r>
      <w:r w:rsidR="00E054B1" w:rsidRPr="00372A62">
        <w:rPr>
          <w:rFonts w:cs="Arial"/>
          <w:vertAlign w:val="superscript"/>
        </w:rPr>
        <w:t xml:space="preserve">a </w:t>
      </w:r>
      <w:r w:rsidR="00E054B1" w:rsidRPr="00372A62">
        <w:rPr>
          <w:rFonts w:cs="Arial"/>
        </w:rPr>
        <w:t xml:space="preserve">This cohort may also contain some patients who were </w:t>
      </w:r>
      <w:r w:rsidR="009C31E7">
        <w:rPr>
          <w:rFonts w:cs="Arial"/>
        </w:rPr>
        <w:t>treated prior to</w:t>
      </w:r>
      <w:r w:rsidR="00E054B1" w:rsidRPr="00372A62">
        <w:rPr>
          <w:rFonts w:cs="Arial"/>
        </w:rPr>
        <w:t xml:space="preserve"> ranibizumab </w:t>
      </w:r>
      <w:r w:rsidR="009C31E7">
        <w:rPr>
          <w:rFonts w:cs="Arial"/>
        </w:rPr>
        <w:t xml:space="preserve">and </w:t>
      </w:r>
      <w:r w:rsidR="00E054B1">
        <w:rPr>
          <w:rFonts w:cs="Arial"/>
        </w:rPr>
        <w:t xml:space="preserve">aflibercept </w:t>
      </w:r>
      <w:r w:rsidR="009C31E7">
        <w:rPr>
          <w:rFonts w:cs="Arial"/>
        </w:rPr>
        <w:t xml:space="preserve">listing on the PBS, </w:t>
      </w:r>
      <w:r w:rsidR="00E054B1" w:rsidRPr="00372A62">
        <w:rPr>
          <w:rFonts w:cs="Arial"/>
        </w:rPr>
        <w:t>and therefore are not initiators to the therapy.</w:t>
      </w:r>
    </w:p>
    <w:p w:rsidR="00830F35" w:rsidRPr="009A03CF" w:rsidRDefault="00830F35" w:rsidP="00242301">
      <w:pPr>
        <w:pStyle w:val="Heading3"/>
      </w:pPr>
      <w:bookmarkStart w:id="38" w:name="_Toc513038037"/>
      <w:r w:rsidRPr="009A03CF">
        <w:t>Injections per patient and continuation rates</w:t>
      </w:r>
      <w:bookmarkEnd w:id="38"/>
    </w:p>
    <w:p w:rsidR="00830F35" w:rsidRPr="007F4BA8" w:rsidRDefault="00830F35" w:rsidP="00830F35">
      <w:r w:rsidRPr="007F4BA8">
        <w:t xml:space="preserve">The following tables represent the cohorts of patients who initiated in each calendar year. Individual patients were followed in 12 month periods from their initiation date. </w:t>
      </w:r>
      <w:r w:rsidR="007F4BA8" w:rsidRPr="00A50BBF">
        <w:t>This analysis includes patients treated with dexamethasone and patients who have been treated for more than one indication</w:t>
      </w:r>
      <w:r w:rsidR="007F4BA8">
        <w:t xml:space="preserve"> (i.e. DMO and AMD or DMO and RVO).</w:t>
      </w:r>
    </w:p>
    <w:p w:rsidR="00830F35" w:rsidRPr="006276EE" w:rsidRDefault="00830F35" w:rsidP="00830F35">
      <w:pPr>
        <w:pStyle w:val="Tabletitle"/>
      </w:pPr>
      <w:r w:rsidRPr="006276EE">
        <w:t>Table</w:t>
      </w:r>
      <w:r w:rsidR="007F4BA8">
        <w:t xml:space="preserve"> </w:t>
      </w:r>
      <w:r w:rsidR="00403745">
        <w:t>17</w:t>
      </w:r>
      <w:r w:rsidRPr="006276EE">
        <w:t>: Number and percentage of patients remaining on treatment by initiating year</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7 b"/>
        <w:tblDescription w:val="Proportion continuing by year"/>
      </w:tblPr>
      <w:tblGrid>
        <w:gridCol w:w="1020"/>
        <w:gridCol w:w="1020"/>
        <w:gridCol w:w="1020"/>
        <w:gridCol w:w="1020"/>
        <w:gridCol w:w="4015"/>
      </w:tblGrid>
      <w:tr w:rsidR="00F01CE4" w:rsidRPr="00922F2E" w:rsidTr="007F4BA8">
        <w:trPr>
          <w:trHeight w:val="300"/>
        </w:trPr>
        <w:tc>
          <w:tcPr>
            <w:tcW w:w="8095" w:type="dxa"/>
            <w:gridSpan w:val="5"/>
            <w:tcBorders>
              <w:top w:val="nil"/>
              <w:left w:val="nil"/>
              <w:bottom w:val="nil"/>
              <w:right w:val="nil"/>
            </w:tcBorders>
            <w:shd w:val="clear" w:color="auto" w:fill="auto"/>
            <w:noWrap/>
            <w:vAlign w:val="bottom"/>
            <w:hideMark/>
          </w:tcPr>
          <w:p w:rsidR="00F01CE4" w:rsidRPr="00922F2E" w:rsidRDefault="00F01CE4" w:rsidP="00E03C77">
            <w:pPr>
              <w:spacing w:after="0"/>
              <w:rPr>
                <w:rFonts w:ascii="Calibri" w:eastAsia="Times New Roman" w:hAnsi="Calibri" w:cs="Times New Roman"/>
                <w:sz w:val="22"/>
                <w:szCs w:val="22"/>
              </w:rPr>
            </w:pPr>
            <w:r w:rsidRPr="00922F2E">
              <w:rPr>
                <w:rFonts w:ascii="Calibri" w:eastAsia="Times New Roman" w:hAnsi="Calibri" w:cs="Times New Roman"/>
                <w:sz w:val="22"/>
                <w:szCs w:val="22"/>
              </w:rPr>
              <w:t>Patient numbers by initiating year and year of treatment</w:t>
            </w:r>
          </w:p>
        </w:tc>
      </w:tr>
      <w:tr w:rsidR="007F4BA8" w:rsidRPr="00922F2E" w:rsidTr="007F4BA8">
        <w:trPr>
          <w:gridAfter w:val="1"/>
          <w:wAfter w:w="4015" w:type="dxa"/>
          <w:trHeight w:val="300"/>
        </w:trPr>
        <w:tc>
          <w:tcPr>
            <w:tcW w:w="1020" w:type="dxa"/>
            <w:shd w:val="clear" w:color="auto" w:fill="BFBFBF" w:themeFill="background1" w:themeFillShade="BF"/>
            <w:noWrap/>
            <w:vAlign w:val="bottom"/>
          </w:tcPr>
          <w:p w:rsidR="007F4BA8" w:rsidRPr="00922F2E" w:rsidRDefault="007F4BA8" w:rsidP="00E03C77">
            <w:pPr>
              <w:spacing w:after="0"/>
              <w:rPr>
                <w:rFonts w:ascii="Calibri" w:eastAsia="Times New Roman" w:hAnsi="Calibri" w:cs="Times New Roman"/>
                <w:b/>
                <w:bCs/>
                <w:color w:val="000000"/>
                <w:sz w:val="20"/>
                <w:szCs w:val="20"/>
              </w:rPr>
            </w:pPr>
          </w:p>
        </w:tc>
        <w:tc>
          <w:tcPr>
            <w:tcW w:w="1020" w:type="dxa"/>
            <w:shd w:val="clear" w:color="auto" w:fill="BFBFBF" w:themeFill="background1" w:themeFillShade="BF"/>
            <w:noWrap/>
            <w:vAlign w:val="bottom"/>
          </w:tcPr>
          <w:p w:rsidR="007F4BA8" w:rsidRPr="00922F2E" w:rsidRDefault="007F4BA8" w:rsidP="00E03C77">
            <w:pPr>
              <w:spacing w:after="0"/>
              <w:rPr>
                <w:rFonts w:ascii="Calibri" w:eastAsia="Times New Roman" w:hAnsi="Calibri" w:cs="Times New Roman"/>
                <w:b/>
                <w:bCs/>
                <w:color w:val="000000"/>
                <w:sz w:val="20"/>
                <w:szCs w:val="20"/>
              </w:rPr>
            </w:pPr>
            <w:r w:rsidRPr="00922F2E">
              <w:rPr>
                <w:rFonts w:ascii="Calibri" w:hAnsi="Calibri"/>
                <w:b/>
                <w:bCs/>
                <w:color w:val="000000"/>
                <w:sz w:val="20"/>
                <w:szCs w:val="20"/>
              </w:rPr>
              <w:t xml:space="preserve"> Year 1</w:t>
            </w:r>
          </w:p>
        </w:tc>
        <w:tc>
          <w:tcPr>
            <w:tcW w:w="1020" w:type="dxa"/>
            <w:shd w:val="clear" w:color="auto" w:fill="BFBFBF" w:themeFill="background1" w:themeFillShade="BF"/>
            <w:noWrap/>
            <w:vAlign w:val="bottom"/>
          </w:tcPr>
          <w:p w:rsidR="007F4BA8" w:rsidRPr="00922F2E" w:rsidRDefault="007F4BA8" w:rsidP="00E03C77">
            <w:pPr>
              <w:spacing w:after="0"/>
              <w:rPr>
                <w:rFonts w:ascii="Calibri" w:eastAsia="Times New Roman" w:hAnsi="Calibri" w:cs="Times New Roman"/>
                <w:b/>
                <w:bCs/>
                <w:color w:val="000000"/>
                <w:sz w:val="20"/>
                <w:szCs w:val="20"/>
              </w:rPr>
            </w:pPr>
            <w:r w:rsidRPr="00922F2E">
              <w:rPr>
                <w:rFonts w:ascii="Calibri" w:hAnsi="Calibri"/>
                <w:b/>
                <w:bCs/>
                <w:color w:val="000000"/>
                <w:sz w:val="20"/>
                <w:szCs w:val="20"/>
              </w:rPr>
              <w:t xml:space="preserve"> Year 2</w:t>
            </w:r>
          </w:p>
        </w:tc>
        <w:tc>
          <w:tcPr>
            <w:tcW w:w="1020" w:type="dxa"/>
            <w:shd w:val="clear" w:color="auto" w:fill="BFBFBF" w:themeFill="background1" w:themeFillShade="BF"/>
            <w:noWrap/>
            <w:vAlign w:val="bottom"/>
          </w:tcPr>
          <w:p w:rsidR="007F4BA8" w:rsidRPr="00922F2E" w:rsidRDefault="007F4BA8" w:rsidP="00E03C77">
            <w:pPr>
              <w:spacing w:after="0"/>
              <w:rPr>
                <w:rFonts w:ascii="Calibri" w:eastAsia="Times New Roman" w:hAnsi="Calibri" w:cs="Times New Roman"/>
                <w:b/>
                <w:bCs/>
                <w:color w:val="000000"/>
                <w:sz w:val="20"/>
                <w:szCs w:val="20"/>
              </w:rPr>
            </w:pPr>
            <w:r w:rsidRPr="00922F2E">
              <w:rPr>
                <w:rFonts w:ascii="Calibri" w:hAnsi="Calibri"/>
                <w:b/>
                <w:bCs/>
                <w:color w:val="000000"/>
                <w:sz w:val="20"/>
                <w:szCs w:val="20"/>
              </w:rPr>
              <w:t xml:space="preserve"> Year 3</w:t>
            </w:r>
          </w:p>
        </w:tc>
      </w:tr>
      <w:tr w:rsidR="00922F2E" w:rsidRPr="00922F2E" w:rsidTr="007F4BA8">
        <w:trPr>
          <w:gridAfter w:val="1"/>
          <w:wAfter w:w="4015" w:type="dxa"/>
          <w:trHeight w:val="300"/>
        </w:trPr>
        <w:tc>
          <w:tcPr>
            <w:tcW w:w="1020" w:type="dxa"/>
            <w:shd w:val="clear" w:color="auto" w:fill="auto"/>
            <w:noWrap/>
            <w:vAlign w:val="bottom"/>
          </w:tcPr>
          <w:p w:rsidR="00922F2E" w:rsidRPr="00922F2E" w:rsidRDefault="00922F2E" w:rsidP="00E03C77">
            <w:pPr>
              <w:spacing w:after="0"/>
              <w:rPr>
                <w:rFonts w:ascii="Calibri" w:eastAsia="Times New Roman" w:hAnsi="Calibri" w:cs="Times New Roman"/>
                <w:color w:val="000000"/>
                <w:sz w:val="20"/>
                <w:szCs w:val="20"/>
              </w:rPr>
            </w:pPr>
            <w:r w:rsidRPr="00922F2E">
              <w:rPr>
                <w:rFonts w:ascii="Calibri" w:hAnsi="Calibri"/>
                <w:color w:val="000000"/>
                <w:sz w:val="20"/>
                <w:szCs w:val="20"/>
              </w:rPr>
              <w:t>2015</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 xml:space="preserve">3,990 </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 xml:space="preserve"> 2,938 </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 xml:space="preserve"> 1,751 </w:t>
            </w:r>
          </w:p>
        </w:tc>
      </w:tr>
      <w:tr w:rsidR="00922F2E" w:rsidRPr="00922F2E" w:rsidTr="007F4BA8">
        <w:trPr>
          <w:gridAfter w:val="1"/>
          <w:wAfter w:w="4015" w:type="dxa"/>
          <w:trHeight w:val="300"/>
        </w:trPr>
        <w:tc>
          <w:tcPr>
            <w:tcW w:w="1020" w:type="dxa"/>
            <w:shd w:val="clear" w:color="auto" w:fill="auto"/>
            <w:noWrap/>
            <w:vAlign w:val="bottom"/>
          </w:tcPr>
          <w:p w:rsidR="00922F2E" w:rsidRPr="00922F2E" w:rsidRDefault="00922F2E" w:rsidP="00E03C77">
            <w:pPr>
              <w:spacing w:after="0"/>
              <w:rPr>
                <w:rFonts w:ascii="Calibri" w:eastAsia="Times New Roman" w:hAnsi="Calibri" w:cs="Times New Roman"/>
                <w:color w:val="000000"/>
                <w:sz w:val="20"/>
                <w:szCs w:val="20"/>
              </w:rPr>
            </w:pPr>
            <w:r w:rsidRPr="00922F2E">
              <w:rPr>
                <w:rFonts w:ascii="Calibri" w:hAnsi="Calibri"/>
                <w:color w:val="000000"/>
                <w:sz w:val="20"/>
                <w:szCs w:val="20"/>
              </w:rPr>
              <w:t>2016</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 xml:space="preserve">4,756 </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 xml:space="preserve"> 2,470 </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p>
        </w:tc>
      </w:tr>
      <w:tr w:rsidR="00922F2E" w:rsidRPr="00922F2E" w:rsidTr="007F4BA8">
        <w:trPr>
          <w:gridAfter w:val="1"/>
          <w:wAfter w:w="4015" w:type="dxa"/>
          <w:trHeight w:val="300"/>
        </w:trPr>
        <w:tc>
          <w:tcPr>
            <w:tcW w:w="1020" w:type="dxa"/>
            <w:shd w:val="clear" w:color="auto" w:fill="auto"/>
            <w:noWrap/>
            <w:vAlign w:val="bottom"/>
          </w:tcPr>
          <w:p w:rsidR="00922F2E" w:rsidRPr="00922F2E" w:rsidRDefault="00922F2E" w:rsidP="00E03C77">
            <w:pPr>
              <w:spacing w:after="0"/>
              <w:rPr>
                <w:rFonts w:ascii="Calibri" w:eastAsia="Times New Roman" w:hAnsi="Calibri" w:cs="Times New Roman"/>
                <w:color w:val="000000"/>
                <w:sz w:val="20"/>
                <w:szCs w:val="20"/>
              </w:rPr>
            </w:pPr>
            <w:r w:rsidRPr="00922F2E">
              <w:rPr>
                <w:rFonts w:ascii="Calibri" w:hAnsi="Calibri"/>
                <w:color w:val="000000"/>
                <w:sz w:val="20"/>
                <w:szCs w:val="20"/>
              </w:rPr>
              <w:t>2017</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 xml:space="preserve">5,212 </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p>
        </w:tc>
      </w:tr>
      <w:tr w:rsidR="00830F35" w:rsidRPr="00922F2E" w:rsidTr="007F4BA8">
        <w:trPr>
          <w:trHeight w:val="300"/>
        </w:trPr>
        <w:tc>
          <w:tcPr>
            <w:tcW w:w="8095" w:type="dxa"/>
            <w:gridSpan w:val="5"/>
            <w:tcBorders>
              <w:top w:val="nil"/>
              <w:left w:val="nil"/>
              <w:bottom w:val="nil"/>
              <w:right w:val="nil"/>
            </w:tcBorders>
            <w:shd w:val="clear" w:color="auto" w:fill="auto"/>
            <w:noWrap/>
            <w:vAlign w:val="bottom"/>
            <w:hideMark/>
          </w:tcPr>
          <w:p w:rsidR="00830F35" w:rsidRPr="00922F2E" w:rsidRDefault="00830F35" w:rsidP="00E03C77">
            <w:pPr>
              <w:spacing w:after="0"/>
              <w:rPr>
                <w:rFonts w:ascii="Calibri" w:eastAsia="Times New Roman" w:hAnsi="Calibri" w:cs="Times New Roman"/>
                <w:sz w:val="22"/>
                <w:szCs w:val="22"/>
              </w:rPr>
            </w:pPr>
            <w:r w:rsidRPr="00922F2E">
              <w:rPr>
                <w:rFonts w:ascii="Calibri" w:eastAsia="Times New Roman" w:hAnsi="Calibri" w:cs="Times New Roman"/>
                <w:sz w:val="22"/>
                <w:szCs w:val="22"/>
              </w:rPr>
              <w:t>Percentage of continuing patients from the number of initiators in year 1</w:t>
            </w:r>
          </w:p>
        </w:tc>
      </w:tr>
      <w:tr w:rsidR="007F4BA8" w:rsidRPr="00922F2E" w:rsidTr="007F4BA8">
        <w:trPr>
          <w:gridAfter w:val="1"/>
          <w:wAfter w:w="4015" w:type="dxa"/>
          <w:trHeight w:val="300"/>
        </w:trPr>
        <w:tc>
          <w:tcPr>
            <w:tcW w:w="1020" w:type="dxa"/>
            <w:shd w:val="clear" w:color="auto" w:fill="BFBFBF" w:themeFill="background1" w:themeFillShade="BF"/>
            <w:noWrap/>
            <w:vAlign w:val="bottom"/>
          </w:tcPr>
          <w:p w:rsidR="007F4BA8" w:rsidRPr="00922F2E" w:rsidRDefault="007F4BA8" w:rsidP="00E03C77">
            <w:pPr>
              <w:spacing w:after="0"/>
              <w:rPr>
                <w:rFonts w:ascii="Calibri" w:eastAsia="Times New Roman" w:hAnsi="Calibri" w:cs="Times New Roman"/>
                <w:color w:val="000000"/>
                <w:sz w:val="20"/>
                <w:szCs w:val="20"/>
              </w:rPr>
            </w:pPr>
          </w:p>
        </w:tc>
        <w:tc>
          <w:tcPr>
            <w:tcW w:w="1020" w:type="dxa"/>
            <w:shd w:val="clear" w:color="auto" w:fill="BFBFBF" w:themeFill="background1" w:themeFillShade="BF"/>
            <w:noWrap/>
            <w:vAlign w:val="bottom"/>
            <w:hideMark/>
          </w:tcPr>
          <w:p w:rsidR="007F4BA8" w:rsidRPr="00922F2E" w:rsidRDefault="007F4BA8" w:rsidP="00E03C77">
            <w:pPr>
              <w:spacing w:after="0"/>
              <w:jc w:val="right"/>
              <w:rPr>
                <w:rFonts w:ascii="Calibri" w:eastAsia="Times New Roman" w:hAnsi="Calibri" w:cs="Times New Roman"/>
                <w:color w:val="000000"/>
                <w:sz w:val="20"/>
                <w:szCs w:val="20"/>
              </w:rPr>
            </w:pPr>
            <w:r w:rsidRPr="00922F2E">
              <w:rPr>
                <w:rFonts w:ascii="Calibri" w:hAnsi="Calibri"/>
                <w:b/>
                <w:bCs/>
                <w:color w:val="000000"/>
                <w:sz w:val="20"/>
                <w:szCs w:val="20"/>
              </w:rPr>
              <w:t xml:space="preserve"> Year 1</w:t>
            </w:r>
          </w:p>
        </w:tc>
        <w:tc>
          <w:tcPr>
            <w:tcW w:w="1020" w:type="dxa"/>
            <w:shd w:val="clear" w:color="auto" w:fill="BFBFBF" w:themeFill="background1" w:themeFillShade="BF"/>
            <w:noWrap/>
            <w:vAlign w:val="bottom"/>
            <w:hideMark/>
          </w:tcPr>
          <w:p w:rsidR="007F4BA8" w:rsidRPr="00922F2E" w:rsidRDefault="007F4BA8" w:rsidP="00E03C77">
            <w:pPr>
              <w:spacing w:after="0"/>
              <w:jc w:val="right"/>
              <w:rPr>
                <w:rFonts w:ascii="Calibri" w:eastAsia="Times New Roman" w:hAnsi="Calibri" w:cs="Times New Roman"/>
                <w:color w:val="000000"/>
                <w:sz w:val="20"/>
                <w:szCs w:val="20"/>
              </w:rPr>
            </w:pPr>
            <w:r w:rsidRPr="00922F2E">
              <w:rPr>
                <w:rFonts w:ascii="Calibri" w:hAnsi="Calibri"/>
                <w:b/>
                <w:bCs/>
                <w:color w:val="000000"/>
                <w:sz w:val="20"/>
                <w:szCs w:val="20"/>
              </w:rPr>
              <w:t xml:space="preserve"> Year 2</w:t>
            </w:r>
          </w:p>
        </w:tc>
        <w:tc>
          <w:tcPr>
            <w:tcW w:w="1020" w:type="dxa"/>
            <w:shd w:val="clear" w:color="auto" w:fill="BFBFBF" w:themeFill="background1" w:themeFillShade="BF"/>
            <w:noWrap/>
            <w:vAlign w:val="bottom"/>
            <w:hideMark/>
          </w:tcPr>
          <w:p w:rsidR="007F4BA8" w:rsidRPr="00922F2E" w:rsidRDefault="007F4BA8" w:rsidP="00E03C77">
            <w:pPr>
              <w:spacing w:after="0"/>
              <w:jc w:val="right"/>
              <w:rPr>
                <w:rFonts w:ascii="Calibri" w:eastAsia="Times New Roman" w:hAnsi="Calibri" w:cs="Times New Roman"/>
                <w:color w:val="000000"/>
                <w:sz w:val="20"/>
                <w:szCs w:val="20"/>
              </w:rPr>
            </w:pPr>
            <w:r w:rsidRPr="00922F2E">
              <w:rPr>
                <w:rFonts w:ascii="Calibri" w:hAnsi="Calibri"/>
                <w:b/>
                <w:bCs/>
                <w:color w:val="000000"/>
                <w:sz w:val="20"/>
                <w:szCs w:val="20"/>
              </w:rPr>
              <w:t xml:space="preserve"> Year 3</w:t>
            </w:r>
          </w:p>
        </w:tc>
      </w:tr>
      <w:tr w:rsidR="00922F2E" w:rsidRPr="00922F2E" w:rsidTr="007F4BA8">
        <w:trPr>
          <w:gridAfter w:val="1"/>
          <w:wAfter w:w="4015" w:type="dxa"/>
          <w:trHeight w:val="300"/>
        </w:trPr>
        <w:tc>
          <w:tcPr>
            <w:tcW w:w="1020" w:type="dxa"/>
            <w:shd w:val="clear" w:color="auto" w:fill="auto"/>
            <w:noWrap/>
            <w:vAlign w:val="bottom"/>
            <w:hideMark/>
          </w:tcPr>
          <w:p w:rsidR="00922F2E" w:rsidRPr="00922F2E" w:rsidRDefault="00922F2E" w:rsidP="00E03C77">
            <w:pPr>
              <w:spacing w:after="0"/>
              <w:rPr>
                <w:rFonts w:ascii="Calibri" w:eastAsia="Times New Roman" w:hAnsi="Calibri" w:cs="Times New Roman"/>
                <w:color w:val="000000"/>
                <w:sz w:val="20"/>
                <w:szCs w:val="20"/>
              </w:rPr>
            </w:pPr>
            <w:r w:rsidRPr="00922F2E">
              <w:rPr>
                <w:rFonts w:ascii="Calibri" w:hAnsi="Calibri"/>
                <w:color w:val="000000"/>
                <w:sz w:val="20"/>
                <w:szCs w:val="20"/>
              </w:rPr>
              <w:t>2015</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100.00%</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73.63%</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43.88%</w:t>
            </w:r>
          </w:p>
        </w:tc>
      </w:tr>
      <w:tr w:rsidR="00922F2E" w:rsidRPr="00922F2E" w:rsidTr="00922F2E">
        <w:trPr>
          <w:gridAfter w:val="1"/>
          <w:wAfter w:w="4015" w:type="dxa"/>
          <w:trHeight w:val="300"/>
        </w:trPr>
        <w:tc>
          <w:tcPr>
            <w:tcW w:w="1020" w:type="dxa"/>
            <w:shd w:val="clear" w:color="auto" w:fill="auto"/>
            <w:noWrap/>
            <w:vAlign w:val="bottom"/>
            <w:hideMark/>
          </w:tcPr>
          <w:p w:rsidR="00922F2E" w:rsidRPr="00922F2E" w:rsidRDefault="00922F2E" w:rsidP="00E03C77">
            <w:pPr>
              <w:spacing w:after="0"/>
              <w:rPr>
                <w:rFonts w:ascii="Calibri" w:eastAsia="Times New Roman" w:hAnsi="Calibri" w:cs="Times New Roman"/>
                <w:color w:val="000000"/>
                <w:sz w:val="20"/>
                <w:szCs w:val="20"/>
              </w:rPr>
            </w:pPr>
            <w:r w:rsidRPr="00922F2E">
              <w:rPr>
                <w:rFonts w:ascii="Calibri" w:hAnsi="Calibri"/>
                <w:color w:val="000000"/>
                <w:sz w:val="20"/>
                <w:szCs w:val="20"/>
              </w:rPr>
              <w:t>2016</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100.00%</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51.93%</w:t>
            </w: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p>
        </w:tc>
      </w:tr>
      <w:tr w:rsidR="00922F2E" w:rsidRPr="00922F2E" w:rsidTr="007F4BA8">
        <w:trPr>
          <w:gridAfter w:val="1"/>
          <w:wAfter w:w="4015" w:type="dxa"/>
          <w:trHeight w:val="300"/>
        </w:trPr>
        <w:tc>
          <w:tcPr>
            <w:tcW w:w="1020" w:type="dxa"/>
            <w:shd w:val="clear" w:color="auto" w:fill="auto"/>
            <w:noWrap/>
            <w:vAlign w:val="bottom"/>
            <w:hideMark/>
          </w:tcPr>
          <w:p w:rsidR="00922F2E" w:rsidRPr="00922F2E" w:rsidRDefault="00922F2E" w:rsidP="00E03C77">
            <w:pPr>
              <w:spacing w:after="0"/>
              <w:rPr>
                <w:rFonts w:ascii="Calibri" w:eastAsia="Times New Roman" w:hAnsi="Calibri" w:cs="Times New Roman"/>
                <w:color w:val="000000"/>
                <w:sz w:val="20"/>
                <w:szCs w:val="20"/>
              </w:rPr>
            </w:pPr>
            <w:r w:rsidRPr="00922F2E">
              <w:rPr>
                <w:rFonts w:ascii="Calibri" w:hAnsi="Calibri"/>
                <w:color w:val="000000"/>
                <w:sz w:val="20"/>
                <w:szCs w:val="20"/>
              </w:rPr>
              <w:t>2017</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r w:rsidRPr="00922F2E">
              <w:rPr>
                <w:rFonts w:ascii="Calibri" w:hAnsi="Calibri"/>
                <w:color w:val="000000"/>
                <w:sz w:val="20"/>
                <w:szCs w:val="20"/>
              </w:rPr>
              <w:t>100.00%</w:t>
            </w:r>
          </w:p>
        </w:tc>
        <w:tc>
          <w:tcPr>
            <w:tcW w:w="1020" w:type="dxa"/>
            <w:shd w:val="clear" w:color="auto" w:fill="auto"/>
            <w:noWrap/>
            <w:vAlign w:val="bottom"/>
            <w:hideMark/>
          </w:tcPr>
          <w:p w:rsidR="00922F2E" w:rsidRPr="00922F2E" w:rsidRDefault="00922F2E" w:rsidP="00E03C77">
            <w:pPr>
              <w:spacing w:after="0"/>
              <w:jc w:val="right"/>
              <w:rPr>
                <w:rFonts w:ascii="Calibri" w:eastAsia="Times New Roman" w:hAnsi="Calibri" w:cs="Times New Roman"/>
                <w:color w:val="000000"/>
                <w:sz w:val="20"/>
                <w:szCs w:val="20"/>
              </w:rPr>
            </w:pPr>
          </w:p>
        </w:tc>
        <w:tc>
          <w:tcPr>
            <w:tcW w:w="1020" w:type="dxa"/>
            <w:shd w:val="clear" w:color="auto" w:fill="auto"/>
            <w:noWrap/>
            <w:vAlign w:val="bottom"/>
          </w:tcPr>
          <w:p w:rsidR="00922F2E" w:rsidRPr="00922F2E" w:rsidRDefault="00922F2E" w:rsidP="00E03C77">
            <w:pPr>
              <w:spacing w:after="0"/>
              <w:jc w:val="right"/>
              <w:rPr>
                <w:rFonts w:ascii="Calibri" w:eastAsia="Times New Roman" w:hAnsi="Calibri" w:cs="Times New Roman"/>
                <w:color w:val="000000"/>
                <w:sz w:val="20"/>
                <w:szCs w:val="20"/>
              </w:rPr>
            </w:pPr>
          </w:p>
        </w:tc>
      </w:tr>
    </w:tbl>
    <w:p w:rsidR="00830F35" w:rsidRPr="009A03CF" w:rsidRDefault="00830F35" w:rsidP="00830F35"/>
    <w:p w:rsidR="00830F35" w:rsidRDefault="00830F35" w:rsidP="00922F2E">
      <w:r w:rsidRPr="00922F2E">
        <w:t xml:space="preserve">The majority of </w:t>
      </w:r>
      <w:r w:rsidR="0047561A">
        <w:t xml:space="preserve">DMO </w:t>
      </w:r>
      <w:r w:rsidRPr="00922F2E">
        <w:t>patients continue into the second year of treatment</w:t>
      </w:r>
      <w:r w:rsidR="00922F2E">
        <w:t xml:space="preserve">, but the continuation </w:t>
      </w:r>
      <w:r w:rsidR="00922F2E" w:rsidRPr="00922F2E">
        <w:t>rate in the third year is much lower</w:t>
      </w:r>
      <w:r w:rsidR="00B10145">
        <w:t xml:space="preserve"> based on data available since listing</w:t>
      </w:r>
      <w:r w:rsidRPr="00922F2E">
        <w:t xml:space="preserve">. </w:t>
      </w:r>
      <w:r w:rsidR="00A31AFB">
        <w:t>The group of 2015 initiators</w:t>
      </w:r>
      <w:r w:rsidR="00571C57">
        <w:t xml:space="preserve"> possibly</w:t>
      </w:r>
      <w:r w:rsidR="00A31AFB">
        <w:t xml:space="preserve"> include</w:t>
      </w:r>
      <w:r w:rsidR="00B10145">
        <w:t>s</w:t>
      </w:r>
      <w:r w:rsidR="00A31AFB">
        <w:t xml:space="preserve"> a prevalent pool</w:t>
      </w:r>
      <w:r w:rsidR="00571C57">
        <w:t xml:space="preserve"> of patients who had been treated prior to the PBS listing of ranibizumab, either with laser </w:t>
      </w:r>
      <w:r w:rsidR="00571C57" w:rsidRPr="00571C57">
        <w:t>photocoagulation</w:t>
      </w:r>
      <w:r w:rsidR="00571C57">
        <w:t>, of</w:t>
      </w:r>
      <w:r w:rsidR="0044765C">
        <w:t>f</w:t>
      </w:r>
      <w:r w:rsidR="0044765C">
        <w:noBreakHyphen/>
      </w:r>
      <w:r w:rsidR="00571C57">
        <w:t xml:space="preserve">label bevacizumab or </w:t>
      </w:r>
      <w:r w:rsidR="0044765C">
        <w:t xml:space="preserve">privately supplied </w:t>
      </w:r>
      <w:r w:rsidR="00571C57">
        <w:t>ranibizumab</w:t>
      </w:r>
      <w:r w:rsidR="0044765C">
        <w:t xml:space="preserve"> or aflibercept</w:t>
      </w:r>
      <w:r w:rsidR="00B10145">
        <w:t>. This</w:t>
      </w:r>
      <w:r w:rsidR="0044765C">
        <w:t xml:space="preserve"> may impact on continuation rates</w:t>
      </w:r>
      <w:r w:rsidR="00571C57">
        <w:t xml:space="preserve">. </w:t>
      </w:r>
    </w:p>
    <w:p w:rsidR="004A4541" w:rsidRDefault="004A4541">
      <w:pPr>
        <w:spacing w:line="276" w:lineRule="auto"/>
      </w:pPr>
      <w:r>
        <w:br w:type="page"/>
      </w:r>
    </w:p>
    <w:p w:rsidR="00922F2E" w:rsidRPr="00922F2E" w:rsidRDefault="00922F2E" w:rsidP="00922F2E">
      <w:r>
        <w:lastRenderedPageBreak/>
        <w:t>The mean number of</w:t>
      </w:r>
      <w:r w:rsidR="00B10145">
        <w:t xml:space="preserve"> VEGF inhibitor</w:t>
      </w:r>
      <w:r>
        <w:t xml:space="preserve"> injections </w:t>
      </w:r>
      <w:r w:rsidR="00B10145">
        <w:t xml:space="preserve">per patient per year is provided in Table </w:t>
      </w:r>
      <w:r w:rsidR="00DF474C">
        <w:t>18</w:t>
      </w:r>
      <w:r w:rsidR="00B10145">
        <w:t xml:space="preserve">. </w:t>
      </w:r>
      <w:r>
        <w:t xml:space="preserve"> </w:t>
      </w:r>
      <w:r w:rsidR="00B10145">
        <w:t>P</w:t>
      </w:r>
      <w:r>
        <w:t>rescriptions of dexamethasone</w:t>
      </w:r>
      <w:r w:rsidR="00B10145">
        <w:t xml:space="preserve"> (due to its different frequency of administration)</w:t>
      </w:r>
      <w:r>
        <w:t xml:space="preserve"> or patients who have been recorded as being treated for more than one indication</w:t>
      </w:r>
      <w:r w:rsidR="00B10145">
        <w:t xml:space="preserve"> are not included in the analysis</w:t>
      </w:r>
      <w:r>
        <w:t>.</w:t>
      </w:r>
    </w:p>
    <w:p w:rsidR="00830F35" w:rsidRPr="00372A62" w:rsidRDefault="00830F35" w:rsidP="00830F35">
      <w:pPr>
        <w:pStyle w:val="Tabletitle"/>
      </w:pPr>
      <w:r w:rsidRPr="00372A62">
        <w:t>Table</w:t>
      </w:r>
      <w:r w:rsidR="00922F2E">
        <w:t xml:space="preserve"> </w:t>
      </w:r>
      <w:r w:rsidR="00403745">
        <w:t>18</w:t>
      </w:r>
      <w:r w:rsidRPr="00372A62">
        <w:t xml:space="preserve">: Average number of </w:t>
      </w:r>
      <w:r w:rsidR="00B10145">
        <w:t xml:space="preserve">VEGF inhibitor </w:t>
      </w:r>
      <w:r w:rsidRPr="00372A62">
        <w:t>injections supplied in each 12 months of therapy for patients by initiating year</w:t>
      </w:r>
    </w:p>
    <w:tbl>
      <w:tblPr>
        <w:tblW w:w="33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8"/>
        <w:tblDescription w:val="Average VEGF injections per year by initiating cohort"/>
      </w:tblPr>
      <w:tblGrid>
        <w:gridCol w:w="1433"/>
        <w:gridCol w:w="964"/>
        <w:gridCol w:w="964"/>
      </w:tblGrid>
      <w:tr w:rsidR="00922F2E" w:rsidRPr="00E06E48" w:rsidTr="00922F2E">
        <w:trPr>
          <w:trHeight w:val="255"/>
        </w:trPr>
        <w:tc>
          <w:tcPr>
            <w:tcW w:w="1433" w:type="dxa"/>
            <w:shd w:val="clear" w:color="auto" w:fill="BFBFBF" w:themeFill="background1" w:themeFillShade="BF"/>
            <w:noWrap/>
            <w:vAlign w:val="bottom"/>
          </w:tcPr>
          <w:p w:rsidR="00922F2E" w:rsidRPr="00E06E48" w:rsidRDefault="00922F2E" w:rsidP="00E03C77">
            <w:pPr>
              <w:pStyle w:val="Tableheading"/>
              <w:rPr>
                <w:rFonts w:eastAsia="Times New Roman" w:cs="Times New Roman"/>
                <w:sz w:val="20"/>
                <w:szCs w:val="20"/>
              </w:rPr>
            </w:pPr>
          </w:p>
        </w:tc>
        <w:tc>
          <w:tcPr>
            <w:tcW w:w="964" w:type="dxa"/>
            <w:shd w:val="clear" w:color="auto" w:fill="BFBFBF" w:themeFill="background1" w:themeFillShade="BF"/>
            <w:noWrap/>
            <w:vAlign w:val="bottom"/>
          </w:tcPr>
          <w:p w:rsidR="00922F2E" w:rsidRPr="00E06E48" w:rsidRDefault="00922F2E" w:rsidP="00E03C77">
            <w:pPr>
              <w:pStyle w:val="Tableheading"/>
              <w:rPr>
                <w:rFonts w:eastAsia="Times New Roman" w:cs="Times New Roman"/>
                <w:sz w:val="20"/>
                <w:szCs w:val="20"/>
              </w:rPr>
            </w:pPr>
            <w:r w:rsidRPr="00E06E48">
              <w:rPr>
                <w:rFonts w:ascii="Calibri" w:hAnsi="Calibri"/>
                <w:bCs/>
                <w:color w:val="000000"/>
                <w:sz w:val="20"/>
                <w:szCs w:val="20"/>
              </w:rPr>
              <w:t xml:space="preserve"> Year 1</w:t>
            </w:r>
          </w:p>
        </w:tc>
        <w:tc>
          <w:tcPr>
            <w:tcW w:w="964" w:type="dxa"/>
            <w:shd w:val="clear" w:color="auto" w:fill="BFBFBF" w:themeFill="background1" w:themeFillShade="BF"/>
            <w:noWrap/>
            <w:vAlign w:val="bottom"/>
          </w:tcPr>
          <w:p w:rsidR="00922F2E" w:rsidRPr="00E06E48" w:rsidRDefault="00922F2E" w:rsidP="00E03C77">
            <w:pPr>
              <w:pStyle w:val="Tableheading"/>
              <w:rPr>
                <w:rFonts w:eastAsia="Times New Roman" w:cs="Times New Roman"/>
                <w:sz w:val="20"/>
                <w:szCs w:val="20"/>
              </w:rPr>
            </w:pPr>
            <w:r w:rsidRPr="00E06E48">
              <w:rPr>
                <w:rFonts w:ascii="Calibri" w:hAnsi="Calibri"/>
                <w:bCs/>
                <w:color w:val="000000"/>
                <w:sz w:val="20"/>
                <w:szCs w:val="20"/>
              </w:rPr>
              <w:t xml:space="preserve"> Year 2</w:t>
            </w:r>
          </w:p>
        </w:tc>
      </w:tr>
      <w:tr w:rsidR="00922F2E" w:rsidRPr="00E06E48" w:rsidTr="00922F2E">
        <w:trPr>
          <w:trHeight w:val="255"/>
        </w:trPr>
        <w:tc>
          <w:tcPr>
            <w:tcW w:w="1433" w:type="dxa"/>
            <w:shd w:val="clear" w:color="auto" w:fill="auto"/>
            <w:noWrap/>
            <w:vAlign w:val="bottom"/>
          </w:tcPr>
          <w:p w:rsidR="00922F2E" w:rsidRPr="00E06E48" w:rsidRDefault="00922F2E" w:rsidP="00E03C77">
            <w:pPr>
              <w:pStyle w:val="Tablewriting"/>
              <w:rPr>
                <w:rFonts w:eastAsia="Times New Roman" w:cs="Times New Roman"/>
                <w:color w:val="auto"/>
              </w:rPr>
            </w:pPr>
            <w:r w:rsidRPr="00E06E48">
              <w:rPr>
                <w:color w:val="auto"/>
              </w:rPr>
              <w:t>Initiated 2015</w:t>
            </w:r>
          </w:p>
        </w:tc>
        <w:tc>
          <w:tcPr>
            <w:tcW w:w="964" w:type="dxa"/>
            <w:shd w:val="clear" w:color="auto" w:fill="auto"/>
            <w:noWrap/>
            <w:vAlign w:val="bottom"/>
          </w:tcPr>
          <w:p w:rsidR="00922F2E" w:rsidRPr="00E06E48" w:rsidRDefault="00922F2E" w:rsidP="00E03C77">
            <w:pPr>
              <w:pStyle w:val="Tablewriting"/>
              <w:jc w:val="center"/>
              <w:rPr>
                <w:rFonts w:eastAsia="Times New Roman" w:cs="Times New Roman"/>
                <w:color w:val="auto"/>
              </w:rPr>
            </w:pPr>
            <w:r w:rsidRPr="00E06E48">
              <w:rPr>
                <w:rFonts w:ascii="Calibri" w:hAnsi="Calibri"/>
              </w:rPr>
              <w:t>9.79</w:t>
            </w:r>
          </w:p>
        </w:tc>
        <w:tc>
          <w:tcPr>
            <w:tcW w:w="964" w:type="dxa"/>
            <w:shd w:val="clear" w:color="auto" w:fill="auto"/>
            <w:noWrap/>
            <w:vAlign w:val="bottom"/>
          </w:tcPr>
          <w:p w:rsidR="00922F2E" w:rsidRPr="00E06E48" w:rsidRDefault="00922F2E" w:rsidP="00E03C77">
            <w:pPr>
              <w:pStyle w:val="Tablewriting"/>
              <w:jc w:val="center"/>
              <w:rPr>
                <w:rFonts w:eastAsia="Times New Roman" w:cs="Times New Roman"/>
                <w:color w:val="auto"/>
              </w:rPr>
            </w:pPr>
            <w:r w:rsidRPr="00E06E48">
              <w:rPr>
                <w:rFonts w:ascii="Calibri" w:hAnsi="Calibri"/>
              </w:rPr>
              <w:t>7.86</w:t>
            </w:r>
          </w:p>
        </w:tc>
      </w:tr>
      <w:tr w:rsidR="00922F2E" w:rsidRPr="00E06E48" w:rsidTr="00922F2E">
        <w:trPr>
          <w:trHeight w:val="255"/>
        </w:trPr>
        <w:tc>
          <w:tcPr>
            <w:tcW w:w="1433" w:type="dxa"/>
            <w:shd w:val="clear" w:color="auto" w:fill="auto"/>
            <w:noWrap/>
            <w:vAlign w:val="bottom"/>
          </w:tcPr>
          <w:p w:rsidR="00922F2E" w:rsidRPr="00E06E48" w:rsidRDefault="00922F2E" w:rsidP="00E03C77">
            <w:pPr>
              <w:pStyle w:val="Tablewriting"/>
              <w:rPr>
                <w:rFonts w:eastAsia="Times New Roman" w:cs="Times New Roman"/>
                <w:color w:val="auto"/>
              </w:rPr>
            </w:pPr>
            <w:r w:rsidRPr="00E06E48">
              <w:rPr>
                <w:color w:val="auto"/>
              </w:rPr>
              <w:t>Initiated 2016</w:t>
            </w:r>
          </w:p>
        </w:tc>
        <w:tc>
          <w:tcPr>
            <w:tcW w:w="964" w:type="dxa"/>
            <w:shd w:val="clear" w:color="auto" w:fill="auto"/>
            <w:noWrap/>
            <w:vAlign w:val="bottom"/>
          </w:tcPr>
          <w:p w:rsidR="00922F2E" w:rsidRPr="00E06E48" w:rsidRDefault="00922F2E" w:rsidP="00E03C77">
            <w:pPr>
              <w:pStyle w:val="Tablewriting"/>
              <w:jc w:val="center"/>
              <w:rPr>
                <w:rFonts w:eastAsia="Times New Roman" w:cs="Times New Roman"/>
                <w:color w:val="auto"/>
              </w:rPr>
            </w:pPr>
            <w:r w:rsidRPr="00E06E48">
              <w:rPr>
                <w:rFonts w:ascii="Calibri" w:hAnsi="Calibri"/>
              </w:rPr>
              <w:t>8.72</w:t>
            </w:r>
          </w:p>
        </w:tc>
        <w:tc>
          <w:tcPr>
            <w:tcW w:w="964" w:type="dxa"/>
            <w:shd w:val="clear" w:color="auto" w:fill="auto"/>
            <w:noWrap/>
            <w:vAlign w:val="bottom"/>
          </w:tcPr>
          <w:p w:rsidR="00922F2E" w:rsidRPr="00E06E48" w:rsidRDefault="00922F2E" w:rsidP="00E03C77">
            <w:pPr>
              <w:pStyle w:val="Tablewriting"/>
              <w:jc w:val="center"/>
              <w:rPr>
                <w:rFonts w:eastAsia="Times New Roman" w:cs="Times New Roman"/>
                <w:color w:val="auto"/>
              </w:rPr>
            </w:pPr>
          </w:p>
        </w:tc>
      </w:tr>
    </w:tbl>
    <w:p w:rsidR="00830F35" w:rsidRPr="00372A62" w:rsidRDefault="00830F35" w:rsidP="00830F35">
      <w:pPr>
        <w:pStyle w:val="Notes"/>
        <w:tabs>
          <w:tab w:val="left" w:pos="6480"/>
        </w:tabs>
        <w:rPr>
          <w:rFonts w:cs="Arial"/>
        </w:rPr>
      </w:pPr>
      <w:r w:rsidRPr="00372A62">
        <w:t>Source: DHS Medicare Pharmacy Claims database, accessed March 2018</w:t>
      </w:r>
      <w:r w:rsidRPr="00372A62">
        <w:tab/>
      </w:r>
      <w:r w:rsidRPr="00372A62">
        <w:br/>
      </w:r>
      <w:r w:rsidRPr="00372A62">
        <w:rPr>
          <w:rFonts w:cs="Arial"/>
          <w:vertAlign w:val="superscript"/>
        </w:rPr>
        <w:t xml:space="preserve">a </w:t>
      </w:r>
      <w:r w:rsidRPr="00372A62">
        <w:rPr>
          <w:rFonts w:cs="Arial"/>
        </w:rPr>
        <w:t>This cohort may also contain some patients who were grandfathered and therefore are not initiators to the therapy.</w:t>
      </w:r>
    </w:p>
    <w:p w:rsidR="00FE105F" w:rsidRDefault="00FE105F" w:rsidP="00242301">
      <w:pPr>
        <w:pStyle w:val="Heading3"/>
      </w:pPr>
      <w:bookmarkStart w:id="39" w:name="_Toc513038038"/>
      <w:r w:rsidRPr="00511014">
        <w:t>Number of injections per patient</w:t>
      </w:r>
      <w:r>
        <w:t xml:space="preserve"> by medicine</w:t>
      </w:r>
      <w:bookmarkEnd w:id="39"/>
    </w:p>
    <w:p w:rsidR="00FE105F" w:rsidRDefault="00FE105F" w:rsidP="00FE105F">
      <w:r>
        <w:t xml:space="preserve">The number of injections per patient in their first 12 months of DMO treatment is presented below according to the medicine prescribed. The PBAC recommended listing of aflibercept on a cost-minimisation basis to ranibizumab </w:t>
      </w:r>
      <w:r w:rsidR="001763A8">
        <w:t xml:space="preserve">with a </w:t>
      </w:r>
      <w:r>
        <w:t>1:1 injection ratio</w:t>
      </w:r>
      <w:r w:rsidR="001763A8">
        <w:t>.</w:t>
      </w:r>
      <w:r>
        <w:t xml:space="preserve"> </w:t>
      </w:r>
    </w:p>
    <w:p w:rsidR="00FE105F" w:rsidRPr="00156F02" w:rsidRDefault="00403745" w:rsidP="00FE105F">
      <w:pPr>
        <w:pStyle w:val="Tabletitle"/>
      </w:pPr>
      <w:r>
        <w:t>Table 19</w:t>
      </w:r>
      <w:r w:rsidR="00FE105F">
        <w:t xml:space="preserve">: Initiated 1 January 2016 to 31 December 2016 </w:t>
      </w:r>
    </w:p>
    <w:tbl>
      <w:tblPr>
        <w:tblW w:w="7670" w:type="dxa"/>
        <w:tblInd w:w="93" w:type="dxa"/>
        <w:tblLayout w:type="fixed"/>
        <w:tblLook w:val="04A0" w:firstRow="1" w:lastRow="0" w:firstColumn="1" w:lastColumn="0" w:noHBand="0" w:noVBand="1"/>
        <w:tblCaption w:val="Table 19"/>
        <w:tblDescription w:val="Number of injections by medicine"/>
      </w:tblPr>
      <w:tblGrid>
        <w:gridCol w:w="2708"/>
        <w:gridCol w:w="1652"/>
        <w:gridCol w:w="1657"/>
        <w:gridCol w:w="1653"/>
      </w:tblGrid>
      <w:tr w:rsidR="00FE105F" w:rsidRPr="009B5E63" w:rsidTr="0001118E">
        <w:trPr>
          <w:trHeight w:val="1275"/>
        </w:trPr>
        <w:tc>
          <w:tcPr>
            <w:tcW w:w="2708"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FE105F" w:rsidRPr="009B5E63" w:rsidRDefault="00FE105F" w:rsidP="00A50BBF">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Medicines received</w:t>
            </w:r>
          </w:p>
        </w:tc>
        <w:tc>
          <w:tcPr>
            <w:tcW w:w="1652" w:type="dxa"/>
            <w:tcBorders>
              <w:top w:val="single" w:sz="4" w:space="0" w:color="auto"/>
              <w:left w:val="nil"/>
              <w:bottom w:val="single" w:sz="4" w:space="0" w:color="auto"/>
              <w:right w:val="single" w:sz="4" w:space="0" w:color="auto"/>
            </w:tcBorders>
            <w:shd w:val="clear" w:color="000000" w:fill="BFBFBF"/>
            <w:vAlign w:val="center"/>
            <w:hideMark/>
          </w:tcPr>
          <w:p w:rsidR="00FE105F" w:rsidRPr="009B5E63" w:rsidRDefault="00FE105F" w:rsidP="00A50BBF">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Number of patie</w:t>
            </w:r>
            <w:r>
              <w:rPr>
                <w:rFonts w:ascii="Calibri" w:eastAsia="Times New Roman" w:hAnsi="Calibri" w:cs="Times New Roman"/>
                <w:b/>
                <w:bCs/>
                <w:color w:val="000000"/>
                <w:sz w:val="20"/>
                <w:szCs w:val="20"/>
              </w:rPr>
              <w:t>nts new to DMO treatment (Jan 16 to Dec 16</w:t>
            </w:r>
            <w:r w:rsidRPr="009B5E63">
              <w:rPr>
                <w:rFonts w:ascii="Calibri" w:eastAsia="Times New Roman" w:hAnsi="Calibri" w:cs="Times New Roman"/>
                <w:b/>
                <w:bCs/>
                <w:color w:val="000000"/>
                <w:sz w:val="20"/>
                <w:szCs w:val="20"/>
              </w:rPr>
              <w:t>)</w:t>
            </w:r>
          </w:p>
        </w:tc>
        <w:tc>
          <w:tcPr>
            <w:tcW w:w="1657" w:type="dxa"/>
            <w:tcBorders>
              <w:top w:val="single" w:sz="4" w:space="0" w:color="auto"/>
              <w:left w:val="nil"/>
              <w:bottom w:val="single" w:sz="4" w:space="0" w:color="auto"/>
              <w:right w:val="single" w:sz="4" w:space="0" w:color="auto"/>
            </w:tcBorders>
            <w:shd w:val="clear" w:color="000000" w:fill="BFBFBF"/>
            <w:vAlign w:val="center"/>
            <w:hideMark/>
          </w:tcPr>
          <w:p w:rsidR="00FE105F" w:rsidRPr="009B5E63" w:rsidRDefault="00FE105F" w:rsidP="00A50BBF">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Mean number of injections per new patient in their first 12 months of treatment</w:t>
            </w:r>
          </w:p>
        </w:tc>
        <w:tc>
          <w:tcPr>
            <w:tcW w:w="1653" w:type="dxa"/>
            <w:tcBorders>
              <w:top w:val="single" w:sz="4" w:space="0" w:color="auto"/>
              <w:left w:val="nil"/>
              <w:bottom w:val="single" w:sz="4" w:space="0" w:color="auto"/>
              <w:right w:val="single" w:sz="4" w:space="0" w:color="auto"/>
            </w:tcBorders>
            <w:shd w:val="clear" w:color="000000" w:fill="BFBFBF"/>
            <w:vAlign w:val="bottom"/>
            <w:hideMark/>
          </w:tcPr>
          <w:p w:rsidR="00FE105F" w:rsidRPr="009B5E63" w:rsidRDefault="00FE105F" w:rsidP="00A50BBF">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Weighted mean number of injections</w:t>
            </w:r>
          </w:p>
        </w:tc>
      </w:tr>
      <w:tr w:rsidR="00FE105F" w:rsidRPr="009B5E63" w:rsidTr="0001118E">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hideMark/>
          </w:tcPr>
          <w:p w:rsidR="00FE105F" w:rsidRPr="009B5E63" w:rsidRDefault="00FE105F" w:rsidP="00A50BBF">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Aflibercept only</w:t>
            </w:r>
          </w:p>
        </w:tc>
        <w:tc>
          <w:tcPr>
            <w:tcW w:w="1652"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 xml:space="preserve"> 2,781 </w:t>
            </w:r>
          </w:p>
        </w:tc>
        <w:tc>
          <w:tcPr>
            <w:tcW w:w="1657"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8.74</w:t>
            </w:r>
          </w:p>
        </w:tc>
        <w:tc>
          <w:tcPr>
            <w:tcW w:w="1653" w:type="dxa"/>
            <w:vMerge w:val="restart"/>
            <w:tcBorders>
              <w:top w:val="nil"/>
              <w:left w:val="nil"/>
              <w:right w:val="single" w:sz="4" w:space="0" w:color="auto"/>
            </w:tcBorders>
            <w:shd w:val="clear" w:color="auto" w:fill="auto"/>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8.76 </w:t>
            </w:r>
          </w:p>
        </w:tc>
      </w:tr>
      <w:tr w:rsidR="00FE105F" w:rsidRPr="009B5E63" w:rsidTr="0001118E">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hideMark/>
          </w:tcPr>
          <w:p w:rsidR="00FE105F" w:rsidRPr="009B5E63" w:rsidRDefault="00FE105F" w:rsidP="00A50BBF">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Aflibercept + ranibizumab</w:t>
            </w:r>
          </w:p>
        </w:tc>
        <w:tc>
          <w:tcPr>
            <w:tcW w:w="1652"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 xml:space="preserve">70 </w:t>
            </w:r>
          </w:p>
        </w:tc>
        <w:tc>
          <w:tcPr>
            <w:tcW w:w="1657"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9.64</w:t>
            </w:r>
          </w:p>
        </w:tc>
        <w:tc>
          <w:tcPr>
            <w:tcW w:w="1653" w:type="dxa"/>
            <w:vMerge/>
            <w:tcBorders>
              <w:left w:val="nil"/>
              <w:bottom w:val="single" w:sz="4" w:space="0" w:color="auto"/>
              <w:right w:val="single" w:sz="4" w:space="0" w:color="auto"/>
            </w:tcBorders>
            <w:shd w:val="clear" w:color="auto" w:fill="auto"/>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p>
        </w:tc>
      </w:tr>
      <w:tr w:rsidR="00FE105F" w:rsidRPr="009B5E63" w:rsidTr="0001118E">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hideMark/>
          </w:tcPr>
          <w:p w:rsidR="00FE105F" w:rsidRPr="009B5E63" w:rsidRDefault="00FE105F" w:rsidP="00A50BBF">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Ranibizumab only</w:t>
            </w:r>
          </w:p>
        </w:tc>
        <w:tc>
          <w:tcPr>
            <w:tcW w:w="1652"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 xml:space="preserve"> 1,404 </w:t>
            </w:r>
          </w:p>
        </w:tc>
        <w:tc>
          <w:tcPr>
            <w:tcW w:w="1657"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8.09</w:t>
            </w:r>
          </w:p>
        </w:tc>
        <w:tc>
          <w:tcPr>
            <w:tcW w:w="1653" w:type="dxa"/>
            <w:vMerge w:val="restart"/>
            <w:tcBorders>
              <w:top w:val="nil"/>
              <w:left w:val="nil"/>
              <w:right w:val="single" w:sz="4" w:space="0" w:color="auto"/>
            </w:tcBorders>
            <w:shd w:val="clear" w:color="auto" w:fill="auto"/>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8.62 </w:t>
            </w:r>
          </w:p>
        </w:tc>
      </w:tr>
      <w:tr w:rsidR="00FE105F" w:rsidRPr="009B5E63" w:rsidTr="0001118E">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hideMark/>
          </w:tcPr>
          <w:p w:rsidR="00FE105F" w:rsidRPr="009B5E63" w:rsidRDefault="00FE105F" w:rsidP="00A50BBF">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Ranibizumab + aflibercept</w:t>
            </w:r>
          </w:p>
        </w:tc>
        <w:tc>
          <w:tcPr>
            <w:tcW w:w="1652"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 xml:space="preserve"> 261 </w:t>
            </w:r>
          </w:p>
        </w:tc>
        <w:tc>
          <w:tcPr>
            <w:tcW w:w="1657"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11.48</w:t>
            </w:r>
          </w:p>
        </w:tc>
        <w:tc>
          <w:tcPr>
            <w:tcW w:w="1653" w:type="dxa"/>
            <w:vMerge/>
            <w:tcBorders>
              <w:left w:val="nil"/>
              <w:bottom w:val="single" w:sz="4" w:space="0" w:color="auto"/>
              <w:right w:val="single" w:sz="4" w:space="0" w:color="auto"/>
            </w:tcBorders>
            <w:shd w:val="clear" w:color="auto" w:fill="auto"/>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p>
        </w:tc>
      </w:tr>
      <w:tr w:rsidR="00FE105F" w:rsidRPr="009B5E63" w:rsidTr="0001118E">
        <w:trPr>
          <w:trHeight w:val="30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FE105F" w:rsidRPr="009B5E63" w:rsidRDefault="00FE105F" w:rsidP="00A50BBF">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Total</w:t>
            </w:r>
          </w:p>
        </w:tc>
        <w:tc>
          <w:tcPr>
            <w:tcW w:w="3309" w:type="dxa"/>
            <w:gridSpan w:val="2"/>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 xml:space="preserve"> 4,516 </w:t>
            </w:r>
          </w:p>
        </w:tc>
        <w:tc>
          <w:tcPr>
            <w:tcW w:w="1653" w:type="dxa"/>
            <w:tcBorders>
              <w:top w:val="nil"/>
              <w:left w:val="nil"/>
              <w:bottom w:val="single" w:sz="4" w:space="0" w:color="auto"/>
              <w:right w:val="single" w:sz="4" w:space="0" w:color="auto"/>
            </w:tcBorders>
            <w:shd w:val="clear" w:color="auto" w:fill="auto"/>
            <w:noWrap/>
            <w:vAlign w:val="center"/>
            <w:hideMark/>
          </w:tcPr>
          <w:p w:rsidR="00FE105F" w:rsidRPr="009B5E63" w:rsidRDefault="00FE105F" w:rsidP="00A50BBF">
            <w:pPr>
              <w:spacing w:after="0"/>
              <w:jc w:val="right"/>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8.71  </w:t>
            </w:r>
          </w:p>
        </w:tc>
      </w:tr>
    </w:tbl>
    <w:p w:rsidR="00FE105F" w:rsidRDefault="00FE105F" w:rsidP="00FE105F">
      <w:pPr>
        <w:pStyle w:val="Notes"/>
      </w:pPr>
      <w:r>
        <w:t>Note: excludes dexamethasone prescriptions</w:t>
      </w:r>
    </w:p>
    <w:p w:rsidR="00FE105F" w:rsidRDefault="00FE105F" w:rsidP="00FE105F">
      <w:r>
        <w:t>The number of injections per patient in the first 12 months of treatment is similar for aflibercept and ranibizumab. Similar to AMD, the mean number of injections per patient is higher in patients who switch, however these patients represent a small proportion of those who initiate</w:t>
      </w:r>
      <w:r w:rsidR="00873109">
        <w:t xml:space="preserve"> (7%)</w:t>
      </w:r>
      <w:r>
        <w:t xml:space="preserve">. </w:t>
      </w:r>
    </w:p>
    <w:p w:rsidR="00DA3663" w:rsidRDefault="00DA3663">
      <w:pPr>
        <w:spacing w:line="276" w:lineRule="auto"/>
        <w:rPr>
          <w:b/>
          <w:i/>
          <w:szCs w:val="28"/>
        </w:rPr>
      </w:pPr>
      <w:r>
        <w:br w:type="page"/>
      </w:r>
    </w:p>
    <w:p w:rsidR="00830F35" w:rsidRDefault="00830F35" w:rsidP="00242301">
      <w:pPr>
        <w:pStyle w:val="Heading3"/>
      </w:pPr>
      <w:bookmarkStart w:id="40" w:name="_Toc513038039"/>
      <w:r w:rsidRPr="00BA140D">
        <w:lastRenderedPageBreak/>
        <w:t>Proportion of use for bilateral treatment</w:t>
      </w:r>
      <w:bookmarkEnd w:id="40"/>
    </w:p>
    <w:p w:rsidR="00E06E48" w:rsidRPr="00972DB2" w:rsidRDefault="00E06E48" w:rsidP="00E06E48">
      <w:pPr>
        <w:pStyle w:val="Tabletitle"/>
      </w:pPr>
      <w:r w:rsidRPr="00972DB2">
        <w:t>Table</w:t>
      </w:r>
      <w:r w:rsidR="00403745">
        <w:t xml:space="preserve"> 20</w:t>
      </w:r>
      <w:r w:rsidRPr="00972DB2">
        <w:t xml:space="preserve">: Proportion of </w:t>
      </w:r>
      <w:r w:rsidR="00FE3668">
        <w:t xml:space="preserve">VEGF inhibitor </w:t>
      </w:r>
      <w:r w:rsidRPr="00972DB2">
        <w:t>prescriptions by quantity dispensed over time</w:t>
      </w:r>
    </w:p>
    <w:tbl>
      <w:tblPr>
        <w:tblStyle w:val="TableGrid"/>
        <w:tblW w:w="3006" w:type="pct"/>
        <w:tblLook w:val="04A0" w:firstRow="1" w:lastRow="0" w:firstColumn="1" w:lastColumn="0" w:noHBand="0" w:noVBand="1"/>
        <w:tblCaption w:val="Table 20"/>
        <w:tblDescription w:val="Proportion of VEGF prescriptions by quantity dispensed over time"/>
      </w:tblPr>
      <w:tblGrid>
        <w:gridCol w:w="1595"/>
        <w:gridCol w:w="2091"/>
        <w:gridCol w:w="1829"/>
      </w:tblGrid>
      <w:tr w:rsidR="00E06E48" w:rsidRPr="0093148A" w:rsidTr="00C13B9C">
        <w:trPr>
          <w:trHeight w:val="300"/>
          <w:tblHeader/>
        </w:trPr>
        <w:tc>
          <w:tcPr>
            <w:tcW w:w="1446" w:type="pct"/>
            <w:shd w:val="clear" w:color="auto" w:fill="BFBFBF" w:themeFill="background1" w:themeFillShade="BF"/>
            <w:noWrap/>
            <w:vAlign w:val="bottom"/>
          </w:tcPr>
          <w:p w:rsidR="00E06E48" w:rsidRPr="0093148A" w:rsidRDefault="00E06E48" w:rsidP="00EB6F8C">
            <w:pPr>
              <w:rPr>
                <w:b/>
                <w:bCs/>
                <w:sz w:val="20"/>
                <w:szCs w:val="20"/>
              </w:rPr>
            </w:pPr>
          </w:p>
        </w:tc>
        <w:tc>
          <w:tcPr>
            <w:tcW w:w="1896" w:type="pct"/>
            <w:shd w:val="clear" w:color="auto" w:fill="BFBFBF" w:themeFill="background1" w:themeFillShade="BF"/>
            <w:noWrap/>
            <w:vAlign w:val="bottom"/>
          </w:tcPr>
          <w:p w:rsidR="00E06E48" w:rsidRPr="0093148A" w:rsidRDefault="00E06E48" w:rsidP="00EB6F8C">
            <w:pPr>
              <w:pStyle w:val="Tableheading"/>
              <w:rPr>
                <w:sz w:val="20"/>
                <w:szCs w:val="20"/>
              </w:rPr>
            </w:pPr>
            <w:r w:rsidRPr="0093148A">
              <w:rPr>
                <w:rFonts w:ascii="Calibri" w:hAnsi="Calibri"/>
                <w:bCs/>
                <w:color w:val="000000"/>
                <w:sz w:val="20"/>
                <w:szCs w:val="20"/>
              </w:rPr>
              <w:t>1</w:t>
            </w:r>
          </w:p>
        </w:tc>
        <w:tc>
          <w:tcPr>
            <w:tcW w:w="1658" w:type="pct"/>
            <w:shd w:val="clear" w:color="auto" w:fill="BFBFBF" w:themeFill="background1" w:themeFillShade="BF"/>
            <w:noWrap/>
            <w:vAlign w:val="bottom"/>
          </w:tcPr>
          <w:p w:rsidR="00E06E48" w:rsidRPr="0093148A" w:rsidRDefault="00E06E48" w:rsidP="00EB6F8C">
            <w:pPr>
              <w:pStyle w:val="Tableheading"/>
              <w:rPr>
                <w:sz w:val="20"/>
                <w:szCs w:val="20"/>
              </w:rPr>
            </w:pPr>
            <w:r w:rsidRPr="0093148A">
              <w:rPr>
                <w:rFonts w:ascii="Calibri" w:hAnsi="Calibri"/>
                <w:bCs/>
                <w:color w:val="000000"/>
                <w:sz w:val="20"/>
                <w:szCs w:val="20"/>
              </w:rPr>
              <w:t>2</w:t>
            </w:r>
          </w:p>
        </w:tc>
      </w:tr>
      <w:tr w:rsidR="00E06E48" w:rsidRPr="0093148A" w:rsidTr="00EB6F8C">
        <w:trPr>
          <w:trHeight w:val="300"/>
        </w:trPr>
        <w:tc>
          <w:tcPr>
            <w:tcW w:w="1446" w:type="pct"/>
            <w:noWrap/>
            <w:vAlign w:val="bottom"/>
          </w:tcPr>
          <w:p w:rsidR="00E06E48" w:rsidRPr="0093148A" w:rsidRDefault="00E06E48" w:rsidP="00EB6F8C">
            <w:pPr>
              <w:pStyle w:val="Tablewriting"/>
              <w:rPr>
                <w:color w:val="auto"/>
              </w:rPr>
            </w:pPr>
            <w:r w:rsidRPr="0093148A">
              <w:rPr>
                <w:rFonts w:ascii="Calibri" w:hAnsi="Calibri"/>
              </w:rPr>
              <w:t>2015</w:t>
            </w:r>
          </w:p>
        </w:tc>
        <w:tc>
          <w:tcPr>
            <w:tcW w:w="1896" w:type="pct"/>
            <w:noWrap/>
            <w:vAlign w:val="bottom"/>
          </w:tcPr>
          <w:p w:rsidR="00E06E48" w:rsidRPr="0093148A" w:rsidRDefault="00E06E48" w:rsidP="00EB6F8C">
            <w:pPr>
              <w:pStyle w:val="Tablewriting"/>
              <w:jc w:val="center"/>
              <w:rPr>
                <w:color w:val="auto"/>
              </w:rPr>
            </w:pPr>
            <w:r w:rsidRPr="0093148A">
              <w:rPr>
                <w:rFonts w:ascii="Calibri" w:hAnsi="Calibri"/>
              </w:rPr>
              <w:t>67.77%</w:t>
            </w:r>
          </w:p>
        </w:tc>
        <w:tc>
          <w:tcPr>
            <w:tcW w:w="1658" w:type="pct"/>
            <w:noWrap/>
            <w:vAlign w:val="bottom"/>
          </w:tcPr>
          <w:p w:rsidR="00E06E48" w:rsidRPr="0093148A" w:rsidRDefault="00E06E48" w:rsidP="00EB6F8C">
            <w:pPr>
              <w:pStyle w:val="Tablewriting"/>
              <w:jc w:val="center"/>
              <w:rPr>
                <w:color w:val="auto"/>
              </w:rPr>
            </w:pPr>
            <w:r w:rsidRPr="0093148A">
              <w:rPr>
                <w:rFonts w:ascii="Calibri" w:hAnsi="Calibri"/>
              </w:rPr>
              <w:t>32.23%</w:t>
            </w:r>
          </w:p>
        </w:tc>
      </w:tr>
      <w:tr w:rsidR="00E06E48" w:rsidRPr="0093148A" w:rsidTr="00EB6F8C">
        <w:trPr>
          <w:trHeight w:val="300"/>
        </w:trPr>
        <w:tc>
          <w:tcPr>
            <w:tcW w:w="1446" w:type="pct"/>
            <w:noWrap/>
            <w:vAlign w:val="bottom"/>
          </w:tcPr>
          <w:p w:rsidR="00E06E48" w:rsidRPr="0093148A" w:rsidRDefault="00E06E48" w:rsidP="00EB6F8C">
            <w:pPr>
              <w:pStyle w:val="Tablewriting"/>
              <w:rPr>
                <w:color w:val="auto"/>
              </w:rPr>
            </w:pPr>
            <w:r w:rsidRPr="0093148A">
              <w:rPr>
                <w:rFonts w:ascii="Calibri" w:hAnsi="Calibri"/>
              </w:rPr>
              <w:t>2016</w:t>
            </w:r>
          </w:p>
        </w:tc>
        <w:tc>
          <w:tcPr>
            <w:tcW w:w="1896" w:type="pct"/>
            <w:noWrap/>
            <w:vAlign w:val="bottom"/>
          </w:tcPr>
          <w:p w:rsidR="00E06E48" w:rsidRPr="0093148A" w:rsidRDefault="00E06E48" w:rsidP="00EB6F8C">
            <w:pPr>
              <w:pStyle w:val="Tablewriting"/>
              <w:jc w:val="center"/>
              <w:rPr>
                <w:color w:val="auto"/>
              </w:rPr>
            </w:pPr>
            <w:r w:rsidRPr="0093148A">
              <w:rPr>
                <w:rFonts w:ascii="Calibri" w:hAnsi="Calibri"/>
              </w:rPr>
              <w:t>69.32%</w:t>
            </w:r>
          </w:p>
        </w:tc>
        <w:tc>
          <w:tcPr>
            <w:tcW w:w="1658" w:type="pct"/>
            <w:noWrap/>
            <w:vAlign w:val="bottom"/>
          </w:tcPr>
          <w:p w:rsidR="00E06E48" w:rsidRPr="0093148A" w:rsidRDefault="00E06E48" w:rsidP="00EB6F8C">
            <w:pPr>
              <w:pStyle w:val="Tablewriting"/>
              <w:jc w:val="center"/>
              <w:rPr>
                <w:color w:val="auto"/>
              </w:rPr>
            </w:pPr>
            <w:r w:rsidRPr="0093148A">
              <w:rPr>
                <w:rFonts w:ascii="Calibri" w:hAnsi="Calibri"/>
              </w:rPr>
              <w:t>30.68%</w:t>
            </w:r>
          </w:p>
        </w:tc>
      </w:tr>
      <w:tr w:rsidR="00E06E48" w:rsidRPr="0093148A" w:rsidTr="00EB6F8C">
        <w:trPr>
          <w:trHeight w:val="300"/>
        </w:trPr>
        <w:tc>
          <w:tcPr>
            <w:tcW w:w="1446" w:type="pct"/>
            <w:noWrap/>
            <w:vAlign w:val="bottom"/>
          </w:tcPr>
          <w:p w:rsidR="00E06E48" w:rsidRPr="0093148A" w:rsidRDefault="00E06E48" w:rsidP="00EB6F8C">
            <w:pPr>
              <w:pStyle w:val="Tablewriting"/>
              <w:rPr>
                <w:color w:val="auto"/>
              </w:rPr>
            </w:pPr>
            <w:r w:rsidRPr="0093148A">
              <w:rPr>
                <w:rFonts w:ascii="Calibri" w:hAnsi="Calibri"/>
              </w:rPr>
              <w:t>2017</w:t>
            </w:r>
          </w:p>
        </w:tc>
        <w:tc>
          <w:tcPr>
            <w:tcW w:w="1896" w:type="pct"/>
            <w:noWrap/>
            <w:vAlign w:val="bottom"/>
          </w:tcPr>
          <w:p w:rsidR="00E06E48" w:rsidRPr="0093148A" w:rsidRDefault="00E06E48" w:rsidP="00EB6F8C">
            <w:pPr>
              <w:pStyle w:val="Tablewriting"/>
              <w:jc w:val="center"/>
              <w:rPr>
                <w:color w:val="auto"/>
              </w:rPr>
            </w:pPr>
            <w:r w:rsidRPr="0093148A">
              <w:rPr>
                <w:rFonts w:ascii="Calibri" w:hAnsi="Calibri"/>
              </w:rPr>
              <w:t>72.43%</w:t>
            </w:r>
          </w:p>
        </w:tc>
        <w:tc>
          <w:tcPr>
            <w:tcW w:w="1658" w:type="pct"/>
            <w:noWrap/>
            <w:vAlign w:val="bottom"/>
          </w:tcPr>
          <w:p w:rsidR="00E06E48" w:rsidRPr="0093148A" w:rsidRDefault="00E06E48" w:rsidP="00EB6F8C">
            <w:pPr>
              <w:pStyle w:val="Tablewriting"/>
              <w:jc w:val="center"/>
              <w:rPr>
                <w:color w:val="auto"/>
              </w:rPr>
            </w:pPr>
            <w:r w:rsidRPr="0093148A">
              <w:rPr>
                <w:rFonts w:ascii="Calibri" w:hAnsi="Calibri"/>
              </w:rPr>
              <w:t>27.57%</w:t>
            </w:r>
          </w:p>
        </w:tc>
      </w:tr>
    </w:tbl>
    <w:p w:rsidR="00E06E48" w:rsidRPr="00972DB2" w:rsidRDefault="00E06E48" w:rsidP="00E06E48">
      <w:pPr>
        <w:pStyle w:val="Notes"/>
      </w:pPr>
      <w:r w:rsidRPr="00972DB2">
        <w:t xml:space="preserve">Source: DHS Medicare Pharmacy Claims database, accessed </w:t>
      </w:r>
      <w:r>
        <w:t>March 2018</w:t>
      </w:r>
    </w:p>
    <w:p w:rsidR="00830F35" w:rsidRPr="00BA140D" w:rsidRDefault="009010D4" w:rsidP="00830F35">
      <w:pPr>
        <w:pStyle w:val="Tabletitle"/>
        <w:keepNext/>
      </w:pPr>
      <w:r>
        <w:t xml:space="preserve">Table </w:t>
      </w:r>
      <w:r w:rsidR="00403745">
        <w:t>21</w:t>
      </w:r>
      <w:r w:rsidR="00830F35" w:rsidRPr="00BA140D">
        <w:t>: Percentage of prescriptions with an increased maximum quantity, in each year of treatment, by the calendar year of initiation</w:t>
      </w:r>
    </w:p>
    <w:tbl>
      <w:tblPr>
        <w:tblW w:w="4806" w:type="dxa"/>
        <w:tblInd w:w="93" w:type="dxa"/>
        <w:tblLayout w:type="fixed"/>
        <w:tblLook w:val="04A0" w:firstRow="1" w:lastRow="0" w:firstColumn="1" w:lastColumn="0" w:noHBand="0" w:noVBand="1"/>
        <w:tblCaption w:val="Table 21"/>
        <w:tblDescription w:val="Percentage prescriptions with increased maximum quantity by year of initiation"/>
      </w:tblPr>
      <w:tblGrid>
        <w:gridCol w:w="1575"/>
        <w:gridCol w:w="1077"/>
        <w:gridCol w:w="1077"/>
        <w:gridCol w:w="1077"/>
      </w:tblGrid>
      <w:tr w:rsidR="00922F2E" w:rsidRPr="00E06E48" w:rsidTr="00E06E48">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22F2E" w:rsidRPr="00E06E48" w:rsidRDefault="00922F2E" w:rsidP="00E03C77">
            <w:pPr>
              <w:pStyle w:val="Tableheading"/>
              <w:rPr>
                <w:sz w:val="20"/>
                <w:szCs w:val="20"/>
              </w:rPr>
            </w:pPr>
            <w:r w:rsidRPr="00E06E48">
              <w:rPr>
                <w:rFonts w:ascii="Calibri" w:hAnsi="Calibri"/>
                <w:color w:val="000000"/>
                <w:sz w:val="20"/>
                <w:szCs w:val="20"/>
              </w:rPr>
              <w:t>Row Labels</w:t>
            </w:r>
          </w:p>
        </w:tc>
        <w:tc>
          <w:tcPr>
            <w:tcW w:w="107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22F2E" w:rsidRPr="00E06E48" w:rsidRDefault="00922F2E" w:rsidP="00E03C77">
            <w:pPr>
              <w:pStyle w:val="Tableheading"/>
              <w:rPr>
                <w:sz w:val="20"/>
                <w:szCs w:val="20"/>
              </w:rPr>
            </w:pPr>
            <w:r w:rsidRPr="00E06E48">
              <w:rPr>
                <w:rFonts w:ascii="Calibri" w:hAnsi="Calibri"/>
                <w:color w:val="000000"/>
                <w:sz w:val="20"/>
                <w:szCs w:val="20"/>
              </w:rPr>
              <w:t xml:space="preserve"> Year 1</w:t>
            </w:r>
          </w:p>
        </w:tc>
        <w:tc>
          <w:tcPr>
            <w:tcW w:w="107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22F2E" w:rsidRPr="00E06E48" w:rsidRDefault="00922F2E" w:rsidP="00E03C77">
            <w:pPr>
              <w:pStyle w:val="Tableheading"/>
              <w:rPr>
                <w:sz w:val="20"/>
                <w:szCs w:val="20"/>
              </w:rPr>
            </w:pPr>
            <w:r w:rsidRPr="00E06E48">
              <w:rPr>
                <w:rFonts w:ascii="Calibri" w:hAnsi="Calibri"/>
                <w:color w:val="000000"/>
                <w:sz w:val="20"/>
                <w:szCs w:val="20"/>
              </w:rPr>
              <w:t xml:space="preserve"> Year 2</w:t>
            </w:r>
          </w:p>
        </w:tc>
        <w:tc>
          <w:tcPr>
            <w:tcW w:w="107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22F2E" w:rsidRPr="00E06E48" w:rsidRDefault="00922F2E" w:rsidP="00E03C77">
            <w:pPr>
              <w:pStyle w:val="Tableheading"/>
              <w:rPr>
                <w:sz w:val="20"/>
                <w:szCs w:val="20"/>
              </w:rPr>
            </w:pPr>
            <w:r w:rsidRPr="00E06E48">
              <w:rPr>
                <w:rFonts w:ascii="Calibri" w:hAnsi="Calibri"/>
                <w:color w:val="000000"/>
                <w:sz w:val="20"/>
                <w:szCs w:val="20"/>
              </w:rPr>
              <w:t xml:space="preserve"> Year 3</w:t>
            </w:r>
          </w:p>
        </w:tc>
      </w:tr>
      <w:tr w:rsidR="002C5BC0" w:rsidRPr="00E06E48" w:rsidTr="00E06E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2C5BC0" w:rsidRPr="00E06E48" w:rsidRDefault="002C5BC0" w:rsidP="00E03C77">
            <w:pPr>
              <w:pStyle w:val="Tablewriting"/>
              <w:rPr>
                <w:rFonts w:eastAsia="Times New Roman" w:cs="Times New Roman"/>
                <w:b/>
                <w:color w:val="auto"/>
              </w:rPr>
            </w:pPr>
            <w:r w:rsidRPr="00E06E48">
              <w:rPr>
                <w:rFonts w:ascii="Calibri" w:hAnsi="Calibri"/>
              </w:rPr>
              <w:t>2015</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r w:rsidRPr="00E06E48">
              <w:rPr>
                <w:rFonts w:ascii="Calibri" w:hAnsi="Calibri"/>
              </w:rPr>
              <w:t>31%</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r w:rsidRPr="00E06E48">
              <w:rPr>
                <w:rFonts w:ascii="Calibri" w:hAnsi="Calibri"/>
              </w:rPr>
              <w:t>31%</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r w:rsidRPr="00E06E48">
              <w:rPr>
                <w:rFonts w:ascii="Calibri" w:hAnsi="Calibri"/>
              </w:rPr>
              <w:t>27%</w:t>
            </w:r>
          </w:p>
        </w:tc>
      </w:tr>
      <w:tr w:rsidR="002C5BC0" w:rsidRPr="00E06E48" w:rsidTr="00E06E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2C5BC0" w:rsidRPr="00E06E48" w:rsidRDefault="002C5BC0" w:rsidP="00E03C77">
            <w:pPr>
              <w:pStyle w:val="Tablewriting"/>
              <w:rPr>
                <w:rFonts w:eastAsia="Times New Roman" w:cs="Times New Roman"/>
                <w:b/>
                <w:color w:val="auto"/>
              </w:rPr>
            </w:pPr>
            <w:r w:rsidRPr="00E06E48">
              <w:rPr>
                <w:rFonts w:ascii="Calibri" w:hAnsi="Calibri"/>
              </w:rPr>
              <w:t>2016</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r w:rsidRPr="00E06E48">
              <w:rPr>
                <w:rFonts w:ascii="Calibri" w:hAnsi="Calibri"/>
              </w:rPr>
              <w:t>28%</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r w:rsidRPr="00E06E48">
              <w:rPr>
                <w:rFonts w:ascii="Calibri" w:hAnsi="Calibri"/>
              </w:rPr>
              <w:t>29%</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p>
        </w:tc>
      </w:tr>
      <w:tr w:rsidR="002C5BC0" w:rsidRPr="00E06E48" w:rsidTr="00E06E48">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2C5BC0" w:rsidRPr="00E06E48" w:rsidRDefault="002C5BC0" w:rsidP="00E03C77">
            <w:pPr>
              <w:pStyle w:val="Tablewriting"/>
              <w:rPr>
                <w:rFonts w:eastAsia="Times New Roman" w:cs="Times New Roman"/>
                <w:b/>
                <w:color w:val="auto"/>
              </w:rPr>
            </w:pPr>
            <w:r w:rsidRPr="00E06E48">
              <w:rPr>
                <w:rFonts w:ascii="Calibri" w:hAnsi="Calibri"/>
              </w:rPr>
              <w:t>2017</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r w:rsidRPr="00E06E48">
              <w:rPr>
                <w:rFonts w:ascii="Calibri" w:hAnsi="Calibri"/>
              </w:rPr>
              <w:t>29%</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rsidR="002C5BC0" w:rsidRPr="00E06E48" w:rsidRDefault="002C5BC0" w:rsidP="00E03C77">
            <w:pPr>
              <w:pStyle w:val="Tablewriting"/>
              <w:jc w:val="center"/>
              <w:rPr>
                <w:rFonts w:eastAsia="Times New Roman" w:cs="Times New Roman"/>
                <w:color w:val="auto"/>
              </w:rPr>
            </w:pPr>
          </w:p>
        </w:tc>
      </w:tr>
    </w:tbl>
    <w:p w:rsidR="00830F35" w:rsidRPr="00F627DB" w:rsidRDefault="00830F35" w:rsidP="00830F35">
      <w:pPr>
        <w:pStyle w:val="Notes"/>
      </w:pPr>
      <w:r w:rsidRPr="00F627DB">
        <w:t xml:space="preserve">Source: DHS Medicare Pharmacy Claims database, accessed </w:t>
      </w:r>
      <w:r>
        <w:t>March 2018</w:t>
      </w:r>
    </w:p>
    <w:p w:rsidR="00FE67C9" w:rsidRDefault="005F7EB5" w:rsidP="00830F35">
      <w:r w:rsidRPr="005F7EB5">
        <w:t xml:space="preserve">The proportion of </w:t>
      </w:r>
      <w:r w:rsidR="0001118E">
        <w:t>prescriptions with increased</w:t>
      </w:r>
      <w:r w:rsidR="0001118E" w:rsidRPr="005F7EB5">
        <w:t xml:space="preserve"> </w:t>
      </w:r>
      <w:r w:rsidRPr="005F7EB5">
        <w:t xml:space="preserve">quantities is much higher in DMO than </w:t>
      </w:r>
      <w:r w:rsidR="00115285">
        <w:t>AMD</w:t>
      </w:r>
      <w:r w:rsidR="002C5BC0">
        <w:t xml:space="preserve"> (approximately 30% compared to 5-15% for AMD)</w:t>
      </w:r>
      <w:r w:rsidRPr="005F7EB5">
        <w:t>.</w:t>
      </w:r>
      <w:r w:rsidR="00830F35" w:rsidRPr="005F7EB5">
        <w:t xml:space="preserve"> </w:t>
      </w:r>
      <w:r w:rsidR="0001118E">
        <w:t>Note that p</w:t>
      </w:r>
      <w:r w:rsidR="0001118E" w:rsidRPr="005F7EB5">
        <w:t xml:space="preserve">atients treated for </w:t>
      </w:r>
      <w:r w:rsidR="0001118E">
        <w:t>DMO</w:t>
      </w:r>
      <w:r w:rsidR="0001118E" w:rsidRPr="005F7EB5">
        <w:t xml:space="preserve"> in one eye </w:t>
      </w:r>
      <w:r w:rsidR="0001118E" w:rsidRPr="00F627DB">
        <w:t xml:space="preserve">and </w:t>
      </w:r>
      <w:r w:rsidR="0001118E">
        <w:t>AMD</w:t>
      </w:r>
      <w:r w:rsidR="0001118E" w:rsidRPr="00F627DB">
        <w:t xml:space="preserve"> in the other </w:t>
      </w:r>
      <w:r w:rsidR="0001118E" w:rsidRPr="002C5BC0">
        <w:t xml:space="preserve">eye are represented once in each indication specific dataset. </w:t>
      </w:r>
      <w:r w:rsidR="00197DAB">
        <w:t xml:space="preserve"> </w:t>
      </w:r>
    </w:p>
    <w:p w:rsidR="00FE67C9" w:rsidRDefault="00FE67C9" w:rsidP="00830F35">
      <w:r>
        <w:t>As previously suggested by DUSC, the proportion of prescriptions with an increased quantity likely underestimates the true rate of bilateral treatment.</w:t>
      </w:r>
    </w:p>
    <w:p w:rsidR="00830F35" w:rsidRPr="005F7EB5" w:rsidRDefault="00830F35" w:rsidP="00242301">
      <w:pPr>
        <w:pStyle w:val="Heading3"/>
      </w:pPr>
      <w:bookmarkStart w:id="41" w:name="_Toc513038040"/>
      <w:r w:rsidRPr="005F7EB5">
        <w:t>Age and state/territory of treated patients</w:t>
      </w:r>
      <w:bookmarkEnd w:id="41"/>
      <w:r w:rsidRPr="005F7EB5">
        <w:t xml:space="preserve"> </w:t>
      </w:r>
    </w:p>
    <w:p w:rsidR="00830F35" w:rsidRPr="009229AB" w:rsidRDefault="00DF474C" w:rsidP="00830F35">
      <w:r>
        <w:t>Table 22</w:t>
      </w:r>
      <w:r w:rsidR="00830F35" w:rsidRPr="009229AB">
        <w:t xml:space="preserve"> shows the average age </w:t>
      </w:r>
      <w:r w:rsidR="00FC09D8">
        <w:t>and range of</w:t>
      </w:r>
      <w:r w:rsidR="00830F35" w:rsidRPr="009229AB">
        <w:t xml:space="preserve"> new patients starting treatment with ranibizumab or aflibercept</w:t>
      </w:r>
      <w:r w:rsidR="0001118E">
        <w:t xml:space="preserve"> for DMO</w:t>
      </w:r>
      <w:r w:rsidR="00830F35" w:rsidRPr="009229AB">
        <w:t xml:space="preserve">.  </w:t>
      </w:r>
      <w:r w:rsidR="00FC09D8">
        <w:t>The distribution of age at in</w:t>
      </w:r>
      <w:r>
        <w:t>itiation is provided in Figure 4</w:t>
      </w:r>
      <w:r w:rsidR="00FC09D8">
        <w:t>.</w:t>
      </w:r>
    </w:p>
    <w:p w:rsidR="00830F35" w:rsidRPr="009229AB" w:rsidRDefault="0045228F" w:rsidP="00830F35">
      <w:pPr>
        <w:pStyle w:val="Tabletitle"/>
        <w:keepNext/>
      </w:pPr>
      <w:r>
        <w:t xml:space="preserve">Table </w:t>
      </w:r>
      <w:r w:rsidR="00403745">
        <w:t>22</w:t>
      </w:r>
      <w:r w:rsidR="00830F35" w:rsidRPr="009229AB">
        <w:t>: Age of patients receiving ranibizumab and aflibercept by year of initiation</w:t>
      </w:r>
    </w:p>
    <w:tbl>
      <w:tblPr>
        <w:tblW w:w="4080" w:type="dxa"/>
        <w:tblInd w:w="93" w:type="dxa"/>
        <w:tblLook w:val="04A0" w:firstRow="1" w:lastRow="0" w:firstColumn="1" w:lastColumn="0" w:noHBand="0" w:noVBand="1"/>
        <w:tblCaption w:val="Table 22"/>
        <w:tblDescription w:val="Age of initiating cohorts"/>
      </w:tblPr>
      <w:tblGrid>
        <w:gridCol w:w="2600"/>
        <w:gridCol w:w="1480"/>
      </w:tblGrid>
      <w:tr w:rsidR="005F7EB5" w:rsidRPr="005F7EB5" w:rsidTr="005F7EB5">
        <w:trPr>
          <w:trHeight w:val="300"/>
        </w:trPr>
        <w:tc>
          <w:tcPr>
            <w:tcW w:w="26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F7EB5" w:rsidRPr="005F7EB5" w:rsidRDefault="005F7EB5" w:rsidP="005F7EB5">
            <w:pPr>
              <w:spacing w:after="0"/>
              <w:jc w:val="center"/>
              <w:rPr>
                <w:rFonts w:ascii="Calibri" w:eastAsia="Times New Roman" w:hAnsi="Calibri" w:cs="Times New Roman"/>
                <w:b/>
                <w:bCs/>
                <w:sz w:val="20"/>
                <w:szCs w:val="20"/>
              </w:rPr>
            </w:pPr>
            <w:r w:rsidRPr="005F7EB5">
              <w:rPr>
                <w:rFonts w:ascii="Calibri" w:eastAsia="Times New Roman" w:hAnsi="Calibri" w:cs="Times New Roman"/>
                <w:b/>
                <w:bCs/>
                <w:sz w:val="20"/>
                <w:szCs w:val="20"/>
              </w:rPr>
              <w:t> </w:t>
            </w:r>
          </w:p>
        </w:tc>
        <w:tc>
          <w:tcPr>
            <w:tcW w:w="1480" w:type="dxa"/>
            <w:tcBorders>
              <w:top w:val="single" w:sz="4" w:space="0" w:color="auto"/>
              <w:left w:val="nil"/>
              <w:bottom w:val="single" w:sz="4" w:space="0" w:color="auto"/>
              <w:right w:val="single" w:sz="4" w:space="0" w:color="auto"/>
            </w:tcBorders>
            <w:shd w:val="clear" w:color="000000" w:fill="BFBFBF"/>
            <w:noWrap/>
            <w:vAlign w:val="center"/>
            <w:hideMark/>
          </w:tcPr>
          <w:p w:rsidR="005F7EB5" w:rsidRPr="005F7EB5" w:rsidRDefault="005F7EB5" w:rsidP="005F7EB5">
            <w:pPr>
              <w:spacing w:after="0"/>
              <w:jc w:val="center"/>
              <w:rPr>
                <w:rFonts w:ascii="Calibri" w:eastAsia="Times New Roman" w:hAnsi="Calibri" w:cs="Times New Roman"/>
                <w:b/>
                <w:bCs/>
                <w:sz w:val="20"/>
                <w:szCs w:val="20"/>
              </w:rPr>
            </w:pPr>
            <w:r w:rsidRPr="005F7EB5">
              <w:rPr>
                <w:rFonts w:ascii="Calibri" w:eastAsia="Times New Roman" w:hAnsi="Calibri" w:cs="Times New Roman"/>
                <w:b/>
                <w:bCs/>
                <w:sz w:val="20"/>
                <w:szCs w:val="20"/>
              </w:rPr>
              <w:t>Mean (range)</w:t>
            </w:r>
          </w:p>
        </w:tc>
      </w:tr>
      <w:tr w:rsidR="005F7EB5" w:rsidRPr="005F7EB5" w:rsidTr="005F7EB5">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EB5" w:rsidRPr="005F7EB5" w:rsidRDefault="005F7EB5" w:rsidP="005F7EB5">
            <w:pPr>
              <w:spacing w:after="0"/>
              <w:rPr>
                <w:rFonts w:ascii="Calibri" w:eastAsia="Times New Roman" w:hAnsi="Calibri" w:cs="Times New Roman"/>
                <w:b/>
                <w:bCs/>
                <w:sz w:val="20"/>
                <w:szCs w:val="20"/>
              </w:rPr>
            </w:pPr>
            <w:r w:rsidRPr="005F7EB5">
              <w:rPr>
                <w:rFonts w:ascii="Calibri" w:eastAsia="Times New Roman" w:hAnsi="Calibri" w:cs="Times New Roman"/>
                <w:b/>
                <w:bCs/>
                <w:sz w:val="20"/>
                <w:szCs w:val="20"/>
              </w:rPr>
              <w:t>Initiated 2015</w:t>
            </w:r>
          </w:p>
        </w:tc>
        <w:tc>
          <w:tcPr>
            <w:tcW w:w="1480" w:type="dxa"/>
            <w:tcBorders>
              <w:top w:val="nil"/>
              <w:left w:val="nil"/>
              <w:bottom w:val="nil"/>
              <w:right w:val="single" w:sz="4" w:space="0" w:color="auto"/>
            </w:tcBorders>
            <w:shd w:val="clear" w:color="auto" w:fill="auto"/>
            <w:noWrap/>
            <w:vAlign w:val="center"/>
            <w:hideMark/>
          </w:tcPr>
          <w:p w:rsidR="005F7EB5" w:rsidRPr="005F7EB5" w:rsidRDefault="005F7EB5" w:rsidP="005F7EB5">
            <w:pPr>
              <w:spacing w:after="0"/>
              <w:jc w:val="center"/>
              <w:rPr>
                <w:rFonts w:ascii="Calibri" w:eastAsia="Times New Roman" w:hAnsi="Calibri" w:cs="Times New Roman"/>
                <w:sz w:val="20"/>
                <w:szCs w:val="20"/>
              </w:rPr>
            </w:pPr>
            <w:r w:rsidRPr="005F7EB5">
              <w:rPr>
                <w:rFonts w:ascii="Calibri" w:eastAsia="Times New Roman" w:hAnsi="Calibri" w:cs="Times New Roman"/>
                <w:sz w:val="20"/>
                <w:szCs w:val="20"/>
              </w:rPr>
              <w:t>64</w:t>
            </w:r>
          </w:p>
        </w:tc>
      </w:tr>
      <w:tr w:rsidR="005F7EB5" w:rsidRPr="005F7EB5" w:rsidTr="005F7EB5">
        <w:trPr>
          <w:trHeight w:val="300"/>
        </w:trPr>
        <w:tc>
          <w:tcPr>
            <w:tcW w:w="2600" w:type="dxa"/>
            <w:vMerge/>
            <w:tcBorders>
              <w:top w:val="nil"/>
              <w:left w:val="single" w:sz="4" w:space="0" w:color="auto"/>
              <w:bottom w:val="single" w:sz="4" w:space="0" w:color="auto"/>
              <w:right w:val="single" w:sz="4" w:space="0" w:color="auto"/>
            </w:tcBorders>
            <w:vAlign w:val="center"/>
            <w:hideMark/>
          </w:tcPr>
          <w:p w:rsidR="005F7EB5" w:rsidRPr="005F7EB5" w:rsidRDefault="005F7EB5" w:rsidP="005F7EB5">
            <w:pPr>
              <w:spacing w:after="0"/>
              <w:rPr>
                <w:rFonts w:ascii="Calibri" w:eastAsia="Times New Roman" w:hAnsi="Calibri" w:cs="Times New Roman"/>
                <w:b/>
                <w:bCs/>
                <w:sz w:val="20"/>
                <w:szCs w:val="20"/>
              </w:rPr>
            </w:pPr>
          </w:p>
        </w:tc>
        <w:tc>
          <w:tcPr>
            <w:tcW w:w="1480" w:type="dxa"/>
            <w:tcBorders>
              <w:top w:val="nil"/>
              <w:left w:val="nil"/>
              <w:bottom w:val="single" w:sz="4" w:space="0" w:color="auto"/>
              <w:right w:val="single" w:sz="4" w:space="0" w:color="auto"/>
            </w:tcBorders>
            <w:shd w:val="clear" w:color="auto" w:fill="auto"/>
            <w:noWrap/>
            <w:vAlign w:val="center"/>
            <w:hideMark/>
          </w:tcPr>
          <w:p w:rsidR="005F7EB5" w:rsidRPr="005F7EB5" w:rsidRDefault="005F7EB5" w:rsidP="005F7EB5">
            <w:pPr>
              <w:spacing w:after="0"/>
              <w:jc w:val="center"/>
              <w:rPr>
                <w:rFonts w:ascii="Calibri" w:eastAsia="Times New Roman" w:hAnsi="Calibri" w:cs="Times New Roman"/>
                <w:sz w:val="20"/>
                <w:szCs w:val="20"/>
              </w:rPr>
            </w:pPr>
            <w:r w:rsidRPr="005F7EB5">
              <w:rPr>
                <w:rFonts w:ascii="Calibri" w:eastAsia="Times New Roman" w:hAnsi="Calibri" w:cs="Times New Roman"/>
                <w:sz w:val="20"/>
                <w:szCs w:val="20"/>
              </w:rPr>
              <w:t>(21 - 94)</w:t>
            </w:r>
          </w:p>
        </w:tc>
      </w:tr>
      <w:tr w:rsidR="005F7EB5" w:rsidRPr="005F7EB5" w:rsidTr="005F7EB5">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EB5" w:rsidRPr="005F7EB5" w:rsidRDefault="005F7EB5" w:rsidP="005F7EB5">
            <w:pPr>
              <w:spacing w:after="0"/>
              <w:rPr>
                <w:rFonts w:ascii="Calibri" w:eastAsia="Times New Roman" w:hAnsi="Calibri" w:cs="Times New Roman"/>
                <w:b/>
                <w:bCs/>
                <w:sz w:val="20"/>
                <w:szCs w:val="20"/>
              </w:rPr>
            </w:pPr>
            <w:r w:rsidRPr="005F7EB5">
              <w:rPr>
                <w:rFonts w:ascii="Calibri" w:eastAsia="Times New Roman" w:hAnsi="Calibri" w:cs="Times New Roman"/>
                <w:b/>
                <w:bCs/>
                <w:sz w:val="20"/>
                <w:szCs w:val="20"/>
              </w:rPr>
              <w:t>Initiated 2016</w:t>
            </w:r>
          </w:p>
        </w:tc>
        <w:tc>
          <w:tcPr>
            <w:tcW w:w="1480" w:type="dxa"/>
            <w:tcBorders>
              <w:top w:val="nil"/>
              <w:left w:val="nil"/>
              <w:bottom w:val="nil"/>
              <w:right w:val="single" w:sz="4" w:space="0" w:color="auto"/>
            </w:tcBorders>
            <w:shd w:val="clear" w:color="auto" w:fill="auto"/>
            <w:noWrap/>
            <w:vAlign w:val="center"/>
            <w:hideMark/>
          </w:tcPr>
          <w:p w:rsidR="005F7EB5" w:rsidRPr="005F7EB5" w:rsidRDefault="005F7EB5" w:rsidP="005F7EB5">
            <w:pPr>
              <w:spacing w:after="0"/>
              <w:jc w:val="center"/>
              <w:rPr>
                <w:rFonts w:ascii="Calibri" w:eastAsia="Times New Roman" w:hAnsi="Calibri" w:cs="Times New Roman"/>
                <w:sz w:val="20"/>
                <w:szCs w:val="20"/>
              </w:rPr>
            </w:pPr>
            <w:r w:rsidRPr="005F7EB5">
              <w:rPr>
                <w:rFonts w:ascii="Calibri" w:eastAsia="Times New Roman" w:hAnsi="Calibri" w:cs="Times New Roman"/>
                <w:sz w:val="20"/>
                <w:szCs w:val="20"/>
              </w:rPr>
              <w:t>64</w:t>
            </w:r>
          </w:p>
        </w:tc>
      </w:tr>
      <w:tr w:rsidR="005F7EB5" w:rsidRPr="005F7EB5" w:rsidTr="005F7EB5">
        <w:trPr>
          <w:trHeight w:val="300"/>
        </w:trPr>
        <w:tc>
          <w:tcPr>
            <w:tcW w:w="2600" w:type="dxa"/>
            <w:vMerge/>
            <w:tcBorders>
              <w:top w:val="nil"/>
              <w:left w:val="single" w:sz="4" w:space="0" w:color="auto"/>
              <w:bottom w:val="single" w:sz="4" w:space="0" w:color="auto"/>
              <w:right w:val="single" w:sz="4" w:space="0" w:color="auto"/>
            </w:tcBorders>
            <w:vAlign w:val="center"/>
            <w:hideMark/>
          </w:tcPr>
          <w:p w:rsidR="005F7EB5" w:rsidRPr="005F7EB5" w:rsidRDefault="005F7EB5" w:rsidP="005F7EB5">
            <w:pPr>
              <w:spacing w:after="0"/>
              <w:rPr>
                <w:rFonts w:ascii="Calibri" w:eastAsia="Times New Roman" w:hAnsi="Calibri" w:cs="Times New Roman"/>
                <w:b/>
                <w:bCs/>
                <w:sz w:val="20"/>
                <w:szCs w:val="20"/>
              </w:rPr>
            </w:pPr>
          </w:p>
        </w:tc>
        <w:tc>
          <w:tcPr>
            <w:tcW w:w="1480" w:type="dxa"/>
            <w:tcBorders>
              <w:top w:val="nil"/>
              <w:left w:val="nil"/>
              <w:bottom w:val="single" w:sz="4" w:space="0" w:color="auto"/>
              <w:right w:val="single" w:sz="4" w:space="0" w:color="auto"/>
            </w:tcBorders>
            <w:shd w:val="clear" w:color="auto" w:fill="auto"/>
            <w:noWrap/>
            <w:vAlign w:val="center"/>
            <w:hideMark/>
          </w:tcPr>
          <w:p w:rsidR="005F7EB5" w:rsidRPr="005F7EB5" w:rsidRDefault="002C5BC0" w:rsidP="005F7EB5">
            <w:pPr>
              <w:spacing w:after="0"/>
              <w:jc w:val="center"/>
              <w:rPr>
                <w:rFonts w:ascii="Calibri" w:eastAsia="Times New Roman" w:hAnsi="Calibri" w:cs="Times New Roman"/>
                <w:sz w:val="20"/>
                <w:szCs w:val="20"/>
              </w:rPr>
            </w:pPr>
            <w:r>
              <w:rPr>
                <w:rFonts w:ascii="Calibri" w:eastAsia="Times New Roman" w:hAnsi="Calibri" w:cs="Times New Roman"/>
                <w:sz w:val="20"/>
                <w:szCs w:val="20"/>
              </w:rPr>
              <w:t>(17 - 94</w:t>
            </w:r>
            <w:r w:rsidR="005F7EB5" w:rsidRPr="005F7EB5">
              <w:rPr>
                <w:rFonts w:ascii="Calibri" w:eastAsia="Times New Roman" w:hAnsi="Calibri" w:cs="Times New Roman"/>
                <w:sz w:val="20"/>
                <w:szCs w:val="20"/>
              </w:rPr>
              <w:t>)</w:t>
            </w:r>
          </w:p>
        </w:tc>
      </w:tr>
      <w:tr w:rsidR="005F7EB5" w:rsidRPr="005F7EB5" w:rsidTr="005F7EB5">
        <w:trPr>
          <w:trHeight w:val="300"/>
        </w:trPr>
        <w:tc>
          <w:tcPr>
            <w:tcW w:w="2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F7EB5" w:rsidRPr="005F7EB5" w:rsidRDefault="005F7EB5" w:rsidP="005F7EB5">
            <w:pPr>
              <w:spacing w:after="0"/>
              <w:rPr>
                <w:rFonts w:ascii="Calibri" w:eastAsia="Times New Roman" w:hAnsi="Calibri" w:cs="Times New Roman"/>
                <w:b/>
                <w:bCs/>
                <w:sz w:val="20"/>
                <w:szCs w:val="20"/>
              </w:rPr>
            </w:pPr>
            <w:r w:rsidRPr="005F7EB5">
              <w:rPr>
                <w:rFonts w:ascii="Calibri" w:eastAsia="Times New Roman" w:hAnsi="Calibri" w:cs="Times New Roman"/>
                <w:b/>
                <w:bCs/>
                <w:sz w:val="20"/>
                <w:szCs w:val="20"/>
              </w:rPr>
              <w:t>Initiated 2017</w:t>
            </w:r>
          </w:p>
        </w:tc>
        <w:tc>
          <w:tcPr>
            <w:tcW w:w="1480" w:type="dxa"/>
            <w:tcBorders>
              <w:top w:val="nil"/>
              <w:left w:val="nil"/>
              <w:bottom w:val="nil"/>
              <w:right w:val="single" w:sz="4" w:space="0" w:color="auto"/>
            </w:tcBorders>
            <w:shd w:val="clear" w:color="auto" w:fill="auto"/>
            <w:noWrap/>
            <w:vAlign w:val="center"/>
            <w:hideMark/>
          </w:tcPr>
          <w:p w:rsidR="005F7EB5" w:rsidRPr="005F7EB5" w:rsidRDefault="005F7EB5" w:rsidP="005F7EB5">
            <w:pPr>
              <w:spacing w:after="0"/>
              <w:jc w:val="center"/>
              <w:rPr>
                <w:rFonts w:ascii="Calibri" w:eastAsia="Times New Roman" w:hAnsi="Calibri" w:cs="Times New Roman"/>
                <w:sz w:val="20"/>
                <w:szCs w:val="20"/>
              </w:rPr>
            </w:pPr>
            <w:r w:rsidRPr="005F7EB5">
              <w:rPr>
                <w:rFonts w:ascii="Calibri" w:eastAsia="Times New Roman" w:hAnsi="Calibri" w:cs="Times New Roman"/>
                <w:sz w:val="20"/>
                <w:szCs w:val="20"/>
              </w:rPr>
              <w:t>65</w:t>
            </w:r>
          </w:p>
        </w:tc>
      </w:tr>
      <w:tr w:rsidR="005F7EB5" w:rsidRPr="005F7EB5" w:rsidTr="005F7EB5">
        <w:trPr>
          <w:trHeight w:val="300"/>
        </w:trPr>
        <w:tc>
          <w:tcPr>
            <w:tcW w:w="2600" w:type="dxa"/>
            <w:vMerge/>
            <w:tcBorders>
              <w:top w:val="nil"/>
              <w:left w:val="single" w:sz="4" w:space="0" w:color="auto"/>
              <w:bottom w:val="single" w:sz="4" w:space="0" w:color="auto"/>
              <w:right w:val="single" w:sz="4" w:space="0" w:color="auto"/>
            </w:tcBorders>
            <w:vAlign w:val="center"/>
            <w:hideMark/>
          </w:tcPr>
          <w:p w:rsidR="005F7EB5" w:rsidRPr="005F7EB5" w:rsidRDefault="005F7EB5" w:rsidP="005F7EB5">
            <w:pPr>
              <w:spacing w:after="0"/>
              <w:rPr>
                <w:rFonts w:ascii="Calibri" w:eastAsia="Times New Roman" w:hAnsi="Calibri" w:cs="Times New Roman"/>
                <w:b/>
                <w:bCs/>
                <w:sz w:val="20"/>
                <w:szCs w:val="20"/>
              </w:rPr>
            </w:pPr>
          </w:p>
        </w:tc>
        <w:tc>
          <w:tcPr>
            <w:tcW w:w="1480" w:type="dxa"/>
            <w:tcBorders>
              <w:top w:val="nil"/>
              <w:left w:val="nil"/>
              <w:bottom w:val="single" w:sz="4" w:space="0" w:color="auto"/>
              <w:right w:val="single" w:sz="4" w:space="0" w:color="auto"/>
            </w:tcBorders>
            <w:shd w:val="clear" w:color="auto" w:fill="auto"/>
            <w:noWrap/>
            <w:vAlign w:val="center"/>
            <w:hideMark/>
          </w:tcPr>
          <w:p w:rsidR="005F7EB5" w:rsidRPr="005F7EB5" w:rsidRDefault="005F7EB5" w:rsidP="005F7EB5">
            <w:pPr>
              <w:spacing w:after="0"/>
              <w:jc w:val="center"/>
              <w:rPr>
                <w:rFonts w:ascii="Calibri" w:eastAsia="Times New Roman" w:hAnsi="Calibri" w:cs="Times New Roman"/>
                <w:sz w:val="20"/>
                <w:szCs w:val="20"/>
              </w:rPr>
            </w:pPr>
            <w:r w:rsidRPr="005F7EB5">
              <w:rPr>
                <w:rFonts w:ascii="Calibri" w:eastAsia="Times New Roman" w:hAnsi="Calibri" w:cs="Times New Roman"/>
                <w:sz w:val="20"/>
                <w:szCs w:val="20"/>
              </w:rPr>
              <w:t>(17 - 96)</w:t>
            </w:r>
          </w:p>
        </w:tc>
      </w:tr>
    </w:tbl>
    <w:p w:rsidR="00830F35" w:rsidRPr="009229AB" w:rsidRDefault="00830F35" w:rsidP="00830F35">
      <w:pPr>
        <w:pStyle w:val="Notes"/>
      </w:pPr>
      <w:r w:rsidRPr="009229AB">
        <w:t xml:space="preserve">There were </w:t>
      </w:r>
      <w:r w:rsidR="005F7EB5">
        <w:t>3</w:t>
      </w:r>
      <w:r w:rsidRPr="009229AB">
        <w:t xml:space="preserve"> patients excluded from this analysis as their age was missing on their first prescription.</w:t>
      </w:r>
      <w:r w:rsidRPr="009229AB">
        <w:br/>
        <w:t>Source: DHS Medicare Pharmacy Claims database, accessed March 2018</w:t>
      </w:r>
    </w:p>
    <w:p w:rsidR="00D44E29" w:rsidRDefault="00571C57" w:rsidP="00D44E29">
      <w:pPr>
        <w:pStyle w:val="Tabletitle"/>
        <w:keepNext/>
      </w:pPr>
      <w:r>
        <w:rPr>
          <w:noProof/>
        </w:rPr>
        <w:lastRenderedPageBreak/>
        <w:drawing>
          <wp:inline distT="0" distB="0" distL="0" distR="0" wp14:anchorId="38BBB84F" wp14:editId="149A6DB8">
            <wp:extent cx="5687695" cy="3800912"/>
            <wp:effectExtent l="0" t="0" r="27305" b="9525"/>
            <wp:docPr id="12" name="Chart 12" descr="Age of patients by medicine for DMO" title="Figur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6091D">
        <w:t>Figure</w:t>
      </w:r>
      <w:r w:rsidR="00C6091D" w:rsidRPr="009229AB">
        <w:t xml:space="preserve"> </w:t>
      </w:r>
      <w:r w:rsidR="00403745">
        <w:t>4</w:t>
      </w:r>
      <w:r w:rsidR="00C6091D" w:rsidRPr="009229AB">
        <w:t xml:space="preserve">: Age of patients </w:t>
      </w:r>
      <w:r w:rsidR="00C6091D">
        <w:t>initiating</w:t>
      </w:r>
      <w:r w:rsidR="00C6091D" w:rsidRPr="009229AB">
        <w:t xml:space="preserve"> ranibizumab and aflibercept</w:t>
      </w:r>
      <w:r w:rsidR="00C6091D">
        <w:t xml:space="preserve"> for DMO</w:t>
      </w:r>
      <w:r w:rsidR="00C6091D" w:rsidRPr="009229AB">
        <w:t xml:space="preserve"> </w:t>
      </w:r>
      <w:r w:rsidR="00C6091D">
        <w:t>in 2015, 2016 and 2017, showing number of patients</w:t>
      </w:r>
    </w:p>
    <w:p w:rsidR="00951198" w:rsidRDefault="00951198" w:rsidP="00D44E29"/>
    <w:p w:rsidR="00D44E29" w:rsidRDefault="00D44E29" w:rsidP="00D44E29">
      <w:r>
        <w:t>The statistics and graph suggest the age of patients treated for DMO is younger than AMD</w:t>
      </w:r>
      <w:r w:rsidR="00FC09D8">
        <w:t xml:space="preserve"> consistent with the disease epidemiology.</w:t>
      </w:r>
    </w:p>
    <w:p w:rsidR="002C5BC0" w:rsidRDefault="002C5BC0" w:rsidP="002C5BC0">
      <w:r w:rsidRPr="002C5BC0">
        <w:t xml:space="preserve">Table </w:t>
      </w:r>
      <w:r w:rsidR="00DF474C">
        <w:t>23</w:t>
      </w:r>
      <w:r w:rsidRPr="002C5BC0">
        <w:t xml:space="preserve"> shows the number of treated patients, standardised by the estimated population 18</w:t>
      </w:r>
      <w:r>
        <w:rPr>
          <w:b/>
        </w:rPr>
        <w:t xml:space="preserve"> </w:t>
      </w:r>
      <w:r w:rsidRPr="004F47AF">
        <w:t xml:space="preserve">years or older in each state for the respective year. </w:t>
      </w:r>
      <w:r w:rsidR="00DF474C">
        <w:t xml:space="preserve">The geographical state of the patient is determined at their first prescription. </w:t>
      </w:r>
      <w:r w:rsidR="004F47AF" w:rsidRPr="004F47AF">
        <w:t>The stand</w:t>
      </w:r>
      <w:r w:rsidR="004F47AF">
        <w:t xml:space="preserve">ardised figures suggest use is highest in Tasmania and NSW, and lowest in </w:t>
      </w:r>
      <w:r w:rsidR="00757A61">
        <w:t>the NT</w:t>
      </w:r>
      <w:r w:rsidR="004F47AF">
        <w:t xml:space="preserve">. Table </w:t>
      </w:r>
      <w:r w:rsidR="00DF474C">
        <w:t>24</w:t>
      </w:r>
      <w:r w:rsidR="004F47AF">
        <w:t xml:space="preserve"> also shows the number of injections per patient is highest in Tasmania and lowest in </w:t>
      </w:r>
      <w:r w:rsidR="00757A61">
        <w:t>the NT</w:t>
      </w:r>
      <w:r w:rsidR="004F47AF">
        <w:t>.</w:t>
      </w:r>
    </w:p>
    <w:p w:rsidR="00C26D10" w:rsidRPr="004F47AF" w:rsidRDefault="00C26D10" w:rsidP="002C5BC0">
      <w:r>
        <w:t xml:space="preserve">It appears there </w:t>
      </w:r>
      <w:r w:rsidR="00DA3663">
        <w:t>is much more variation between s</w:t>
      </w:r>
      <w:r>
        <w:t>tates for DMO than AMD. The two indications were standardised differently</w:t>
      </w:r>
      <w:r w:rsidR="00FC09D8">
        <w:t xml:space="preserve"> (18 and above for diabetes and 65 and above for AMD)</w:t>
      </w:r>
      <w:r>
        <w:t xml:space="preserve">, however the </w:t>
      </w:r>
      <w:r w:rsidR="00873109">
        <w:t xml:space="preserve">population </w:t>
      </w:r>
      <w:r>
        <w:t xml:space="preserve">standardised </w:t>
      </w:r>
      <w:r w:rsidR="00873109">
        <w:t>treatment rates</w:t>
      </w:r>
      <w:r>
        <w:t xml:space="preserve"> for AMD ranged from 11.22 to 28.31 in 2017. The standardised </w:t>
      </w:r>
      <w:r w:rsidR="00873109">
        <w:t>treatment rates</w:t>
      </w:r>
      <w:r>
        <w:t xml:space="preserve"> for DMO range from 13.65 to 81.33 in 2017. The range of rates for AMD are likely due to access</w:t>
      </w:r>
      <w:r w:rsidR="00873109">
        <w:t>, awareness</w:t>
      </w:r>
      <w:r>
        <w:t xml:space="preserve">, </w:t>
      </w:r>
      <w:r w:rsidR="00873109">
        <w:t>socioeconomic differences and patient affordability. T</w:t>
      </w:r>
      <w:r>
        <w:t xml:space="preserve">he rates </w:t>
      </w:r>
      <w:r w:rsidR="00873109">
        <w:t xml:space="preserve">of treatment for </w:t>
      </w:r>
      <w:r>
        <w:t xml:space="preserve">DMO may also be affected by </w:t>
      </w:r>
      <w:r w:rsidR="008257AD">
        <w:t>prevalence of diabetes, management of disease and screening for DMO</w:t>
      </w:r>
      <w:r>
        <w:t xml:space="preserve">. </w:t>
      </w:r>
    </w:p>
    <w:p w:rsidR="00DA3663" w:rsidRDefault="00DA3663">
      <w:pPr>
        <w:spacing w:line="276" w:lineRule="auto"/>
        <w:rPr>
          <w:b/>
        </w:rPr>
      </w:pPr>
      <w:r>
        <w:br w:type="page"/>
      </w:r>
    </w:p>
    <w:p w:rsidR="00830F35" w:rsidRPr="00EE0A1C" w:rsidRDefault="00C40F49" w:rsidP="00830F35">
      <w:pPr>
        <w:pStyle w:val="Tabletitle"/>
      </w:pPr>
      <w:r w:rsidRPr="00C40F49">
        <w:lastRenderedPageBreak/>
        <w:t xml:space="preserve">Table </w:t>
      </w:r>
      <w:r w:rsidR="00403745">
        <w:t>23</w:t>
      </w:r>
      <w:r w:rsidR="00830F35" w:rsidRPr="00C40F49">
        <w:t xml:space="preserve">: </w:t>
      </w:r>
      <w:r w:rsidR="00C26D10">
        <w:t>P</w:t>
      </w:r>
      <w:r w:rsidR="00830F35" w:rsidRPr="00C40F49">
        <w:t>atients receiving ranibizumab and aflibercept by year of</w:t>
      </w:r>
      <w:r w:rsidR="00830F35" w:rsidRPr="00EE0A1C">
        <w:t xml:space="preserve"> treatment standardis</w:t>
      </w:r>
      <w:r w:rsidR="004F47AF">
        <w:t>ed by 100,000 population aged 18</w:t>
      </w:r>
      <w:r w:rsidR="00830F35" w:rsidRPr="00EE0A1C">
        <w:t xml:space="preserve"> or </w:t>
      </w:r>
      <w:r w:rsidR="004F47AF">
        <w:t>older by</w:t>
      </w:r>
      <w:r w:rsidR="00830F35" w:rsidRPr="00EE0A1C">
        <w:t xml:space="preserve"> </w:t>
      </w:r>
      <w:r w:rsidR="00DA3663">
        <w:t>s</w:t>
      </w:r>
      <w:r w:rsidR="00830F35" w:rsidRPr="00EE0A1C">
        <w:t>tate</w:t>
      </w:r>
    </w:p>
    <w:tbl>
      <w:tblPr>
        <w:tblW w:w="8640" w:type="dxa"/>
        <w:tblInd w:w="93" w:type="dxa"/>
        <w:tblLook w:val="04A0" w:firstRow="1" w:lastRow="0" w:firstColumn="1" w:lastColumn="0" w:noHBand="0" w:noVBand="1"/>
        <w:tblCaption w:val="Table 23"/>
        <w:tblDescription w:val="Use by state and territory in patients aged 18 years or older"/>
      </w:tblPr>
      <w:tblGrid>
        <w:gridCol w:w="960"/>
        <w:gridCol w:w="960"/>
        <w:gridCol w:w="960"/>
        <w:gridCol w:w="960"/>
        <w:gridCol w:w="960"/>
        <w:gridCol w:w="960"/>
        <w:gridCol w:w="960"/>
        <w:gridCol w:w="960"/>
        <w:gridCol w:w="960"/>
      </w:tblGrid>
      <w:tr w:rsidR="00636C2A" w:rsidRPr="00636C2A" w:rsidTr="00B10E9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Year</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ACT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NSW</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NT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QLD</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SA</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TAS</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VIC</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WA</w:t>
            </w:r>
          </w:p>
        </w:tc>
      </w:tr>
      <w:tr w:rsidR="00B10E9A" w:rsidRPr="00636C2A" w:rsidTr="00B10E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0E9A" w:rsidRPr="00636C2A" w:rsidRDefault="00B10E9A" w:rsidP="00B10E9A">
            <w:pPr>
              <w:spacing w:after="0"/>
              <w:rPr>
                <w:rFonts w:ascii="Calibri" w:eastAsia="Times New Roman" w:hAnsi="Calibri" w:cs="Times New Roman"/>
                <w:sz w:val="20"/>
                <w:szCs w:val="20"/>
              </w:rPr>
            </w:pPr>
            <w:r w:rsidRPr="00636C2A">
              <w:rPr>
                <w:rFonts w:ascii="Calibri" w:eastAsia="Times New Roman" w:hAnsi="Calibri" w:cs="Times New Roman"/>
                <w:sz w:val="20"/>
                <w:szCs w:val="20"/>
              </w:rPr>
              <w:t>2015</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15.89</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32.78</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3.84</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10.72</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18.67</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30.06</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17.93</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11.99</w:t>
            </w:r>
          </w:p>
        </w:tc>
      </w:tr>
      <w:tr w:rsidR="00B10E9A" w:rsidRPr="00636C2A" w:rsidTr="00B10E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0E9A" w:rsidRPr="00636C2A" w:rsidRDefault="00B10E9A" w:rsidP="00B10E9A">
            <w:pPr>
              <w:spacing w:after="0"/>
              <w:rPr>
                <w:rFonts w:ascii="Calibri" w:eastAsia="Times New Roman" w:hAnsi="Calibri" w:cs="Times New Roman"/>
                <w:sz w:val="20"/>
                <w:szCs w:val="20"/>
              </w:rPr>
            </w:pPr>
            <w:r w:rsidRPr="00636C2A">
              <w:rPr>
                <w:rFonts w:ascii="Calibri" w:eastAsia="Times New Roman" w:hAnsi="Calibri" w:cs="Times New Roman"/>
                <w:sz w:val="20"/>
                <w:szCs w:val="20"/>
              </w:rPr>
              <w:t>2016</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38.89</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61.42</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7.65</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25.14</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39.70</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62.51</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38.13</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28.68</w:t>
            </w:r>
          </w:p>
        </w:tc>
      </w:tr>
      <w:tr w:rsidR="00B10E9A" w:rsidRPr="00636C2A" w:rsidTr="00B10E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0E9A" w:rsidRPr="00636C2A" w:rsidRDefault="00B10E9A" w:rsidP="00B10E9A">
            <w:pPr>
              <w:spacing w:after="0"/>
              <w:rPr>
                <w:rFonts w:ascii="Calibri" w:eastAsia="Times New Roman" w:hAnsi="Calibri" w:cs="Times New Roman"/>
                <w:sz w:val="20"/>
                <w:szCs w:val="20"/>
              </w:rPr>
            </w:pPr>
            <w:r w:rsidRPr="00636C2A">
              <w:rPr>
                <w:rFonts w:ascii="Calibri" w:eastAsia="Times New Roman" w:hAnsi="Calibri" w:cs="Times New Roman"/>
                <w:sz w:val="20"/>
                <w:szCs w:val="20"/>
              </w:rPr>
              <w:t>2017</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52.39</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73.99</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13.65</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41.95</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53.18</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81.33</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51.03</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45.16</w:t>
            </w:r>
          </w:p>
        </w:tc>
      </w:tr>
    </w:tbl>
    <w:p w:rsidR="00830F35" w:rsidRPr="00EE0A1C" w:rsidRDefault="00830F35" w:rsidP="00830F35">
      <w:pPr>
        <w:pStyle w:val="Notes"/>
      </w:pPr>
      <w:r w:rsidRPr="00EE0A1C">
        <w:t xml:space="preserve">Source: DHS Medicare Pharmacy Claims database, accessed </w:t>
      </w:r>
      <w:r>
        <w:t>March 2018</w:t>
      </w:r>
      <w:r w:rsidRPr="00EE0A1C">
        <w:br/>
        <w:t>Patients with an ‘unknown’ state are excluded</w:t>
      </w:r>
      <w:r w:rsidRPr="00EE0A1C">
        <w:br/>
      </w:r>
      <w:r w:rsidR="00890C09">
        <w:t>Population</w:t>
      </w:r>
      <w:r w:rsidR="00890C09" w:rsidRPr="00EE0A1C">
        <w:t xml:space="preserve">: </w:t>
      </w:r>
      <w:r w:rsidR="00890C09">
        <w:t xml:space="preserve">Australian Bureau of Statistics, </w:t>
      </w:r>
      <w:r w:rsidR="00890C09" w:rsidRPr="008B71EF">
        <w:t>3101.0 - Australian Demographic Statistics, Jun 2017</w:t>
      </w:r>
      <w:r w:rsidR="00890C09">
        <w:t>,</w:t>
      </w:r>
      <w:r w:rsidR="00890C09" w:rsidRPr="008B71EF">
        <w:t xml:space="preserve"> </w:t>
      </w:r>
      <w:r w:rsidR="00890C09" w:rsidRPr="009E78A2">
        <w:t>Estimated Resident Population By Single Year Of Age</w:t>
      </w:r>
      <w:r w:rsidR="00890C09">
        <w:t>, Year and State</w:t>
      </w:r>
      <w:r w:rsidR="00890C09" w:rsidRPr="009E78A2">
        <w:t>,</w:t>
      </w:r>
      <w:r w:rsidR="00890C09">
        <w:t xml:space="preserve"> Tables 51 to 58 </w:t>
      </w:r>
      <w:r w:rsidR="00890C09" w:rsidRPr="009E78A2">
        <w:t>http://www.abs.gov.au/AUSSTATS/abs@.nsf/DetailsPage/3101.0Jun%202017?OpenDocument</w:t>
      </w:r>
      <w:r w:rsidR="00890C09" w:rsidRPr="00EE0A1C" w:rsidDel="00CA2F60">
        <w:rPr>
          <w:rStyle w:val="CommentReference"/>
        </w:rPr>
        <w:t xml:space="preserve"> </w:t>
      </w:r>
    </w:p>
    <w:p w:rsidR="00830F35" w:rsidRPr="00353F23" w:rsidRDefault="004F47AF" w:rsidP="00830F35">
      <w:pPr>
        <w:pStyle w:val="Tabletitle"/>
      </w:pPr>
      <w:r w:rsidRPr="00DF474C">
        <w:t xml:space="preserve">Table </w:t>
      </w:r>
      <w:r w:rsidR="00403745" w:rsidRPr="00DF474C">
        <w:t>24</w:t>
      </w:r>
      <w:r w:rsidR="00830F35" w:rsidRPr="00DF474C">
        <w:t xml:space="preserve">: Number of injections per patient by geographical </w:t>
      </w:r>
      <w:r w:rsidR="00DA3663">
        <w:t>s</w:t>
      </w:r>
      <w:r w:rsidR="00C26D10" w:rsidRPr="00DF474C">
        <w:t>tate</w:t>
      </w:r>
    </w:p>
    <w:tbl>
      <w:tblPr>
        <w:tblW w:w="8640" w:type="dxa"/>
        <w:tblInd w:w="93" w:type="dxa"/>
        <w:tblLook w:val="04A0" w:firstRow="1" w:lastRow="0" w:firstColumn="1" w:lastColumn="0" w:noHBand="0" w:noVBand="1"/>
        <w:tblCaption w:val="Table 24"/>
        <w:tblDescription w:val="Injections per patient by state"/>
      </w:tblPr>
      <w:tblGrid>
        <w:gridCol w:w="960"/>
        <w:gridCol w:w="960"/>
        <w:gridCol w:w="960"/>
        <w:gridCol w:w="960"/>
        <w:gridCol w:w="960"/>
        <w:gridCol w:w="960"/>
        <w:gridCol w:w="960"/>
        <w:gridCol w:w="960"/>
        <w:gridCol w:w="960"/>
      </w:tblGrid>
      <w:tr w:rsidR="00B10E9A" w:rsidRPr="00636C2A" w:rsidTr="00B10E9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10E9A" w:rsidRPr="00636C2A" w:rsidRDefault="00B10E9A" w:rsidP="00B10E9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Year</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ACT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NSW</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NT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QLD</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SA</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TAS</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VIC</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B10E9A" w:rsidRPr="00B10E9A" w:rsidRDefault="00B10E9A" w:rsidP="00B10E9A">
            <w:pPr>
              <w:spacing w:after="0"/>
              <w:jc w:val="center"/>
              <w:rPr>
                <w:rFonts w:ascii="Calibri" w:eastAsia="Times New Roman" w:hAnsi="Calibri" w:cs="Times New Roman"/>
                <w:b/>
                <w:bCs/>
                <w:sz w:val="20"/>
                <w:szCs w:val="20"/>
              </w:rPr>
            </w:pPr>
            <w:r w:rsidRPr="00B10E9A">
              <w:rPr>
                <w:rFonts w:ascii="Calibri" w:hAnsi="Calibri"/>
                <w:b/>
                <w:bCs/>
                <w:color w:val="000000"/>
                <w:sz w:val="20"/>
                <w:szCs w:val="20"/>
              </w:rPr>
              <w:t>WA</w:t>
            </w:r>
          </w:p>
        </w:tc>
      </w:tr>
      <w:tr w:rsidR="00B10E9A" w:rsidRPr="00636C2A" w:rsidTr="00B10E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0E9A" w:rsidRPr="00636C2A" w:rsidRDefault="00B10E9A" w:rsidP="00B10E9A">
            <w:pPr>
              <w:spacing w:after="0"/>
              <w:rPr>
                <w:rFonts w:ascii="Calibri" w:eastAsia="Times New Roman" w:hAnsi="Calibri" w:cs="Times New Roman"/>
                <w:sz w:val="20"/>
                <w:szCs w:val="20"/>
              </w:rPr>
            </w:pPr>
            <w:r w:rsidRPr="00636C2A">
              <w:rPr>
                <w:rFonts w:ascii="Calibri" w:eastAsia="Times New Roman" w:hAnsi="Calibri" w:cs="Times New Roman"/>
                <w:sz w:val="20"/>
                <w:szCs w:val="20"/>
              </w:rPr>
              <w:t>2015</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3.41</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4.42</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2.71</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3.58</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3.54</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3.84</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3.37</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3.47</w:t>
            </w:r>
          </w:p>
        </w:tc>
      </w:tr>
      <w:tr w:rsidR="00B10E9A" w:rsidRPr="00636C2A" w:rsidTr="00B10E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0E9A" w:rsidRPr="00636C2A" w:rsidRDefault="00B10E9A" w:rsidP="00B10E9A">
            <w:pPr>
              <w:spacing w:after="0"/>
              <w:rPr>
                <w:rFonts w:ascii="Calibri" w:eastAsia="Times New Roman" w:hAnsi="Calibri" w:cs="Times New Roman"/>
                <w:sz w:val="20"/>
                <w:szCs w:val="20"/>
              </w:rPr>
            </w:pPr>
            <w:r w:rsidRPr="00636C2A">
              <w:rPr>
                <w:rFonts w:ascii="Calibri" w:eastAsia="Times New Roman" w:hAnsi="Calibri" w:cs="Times New Roman"/>
                <w:sz w:val="20"/>
                <w:szCs w:val="20"/>
              </w:rPr>
              <w:t>2016</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6.51</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7.41</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7.64</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6.50</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6.44</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7.42</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6.07</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6.79</w:t>
            </w:r>
          </w:p>
        </w:tc>
      </w:tr>
      <w:tr w:rsidR="00B10E9A" w:rsidRPr="00636C2A" w:rsidTr="00B10E9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10E9A" w:rsidRPr="00636C2A" w:rsidRDefault="00B10E9A" w:rsidP="00B10E9A">
            <w:pPr>
              <w:spacing w:after="0"/>
              <w:rPr>
                <w:rFonts w:ascii="Calibri" w:eastAsia="Times New Roman" w:hAnsi="Calibri" w:cs="Times New Roman"/>
                <w:sz w:val="20"/>
                <w:szCs w:val="20"/>
              </w:rPr>
            </w:pPr>
            <w:r w:rsidRPr="00636C2A">
              <w:rPr>
                <w:rFonts w:ascii="Calibri" w:eastAsia="Times New Roman" w:hAnsi="Calibri" w:cs="Times New Roman"/>
                <w:sz w:val="20"/>
                <w:szCs w:val="20"/>
              </w:rPr>
              <w:t>2017</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6.13</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6.89</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5.60</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6.03</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6.26</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7.12</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5.67</w:t>
            </w:r>
          </w:p>
        </w:tc>
        <w:tc>
          <w:tcPr>
            <w:tcW w:w="960" w:type="dxa"/>
            <w:tcBorders>
              <w:top w:val="nil"/>
              <w:left w:val="nil"/>
              <w:bottom w:val="single" w:sz="4" w:space="0" w:color="auto"/>
              <w:right w:val="single" w:sz="4" w:space="0" w:color="auto"/>
            </w:tcBorders>
            <w:shd w:val="clear" w:color="auto" w:fill="auto"/>
            <w:noWrap/>
            <w:vAlign w:val="center"/>
            <w:hideMark/>
          </w:tcPr>
          <w:p w:rsidR="00B10E9A" w:rsidRPr="00B10E9A" w:rsidRDefault="00B10E9A" w:rsidP="00B10E9A">
            <w:pPr>
              <w:spacing w:after="0"/>
              <w:jc w:val="center"/>
              <w:rPr>
                <w:rFonts w:ascii="Calibri" w:eastAsia="Times New Roman" w:hAnsi="Calibri" w:cs="Times New Roman"/>
                <w:sz w:val="20"/>
                <w:szCs w:val="20"/>
              </w:rPr>
            </w:pPr>
            <w:r w:rsidRPr="00B10E9A">
              <w:rPr>
                <w:rFonts w:ascii="Calibri" w:hAnsi="Calibri"/>
                <w:color w:val="000000"/>
                <w:sz w:val="20"/>
                <w:szCs w:val="20"/>
              </w:rPr>
              <w:t>5.99</w:t>
            </w:r>
          </w:p>
        </w:tc>
      </w:tr>
    </w:tbl>
    <w:p w:rsidR="00830F35" w:rsidRDefault="00830F35" w:rsidP="00830F35">
      <w:pPr>
        <w:pStyle w:val="Notes"/>
      </w:pPr>
      <w:r w:rsidRPr="00353F23">
        <w:t>Source: DHS Medicare Pharmacy Claims database, accessed March 2018</w:t>
      </w:r>
      <w:r w:rsidRPr="00353F23">
        <w:br/>
        <w:t>Patients with an ‘unknown’ state are excluded</w:t>
      </w:r>
    </w:p>
    <w:p w:rsidR="00A13524" w:rsidRDefault="00A13524" w:rsidP="00F4322B">
      <w:pPr>
        <w:pStyle w:val="Heading3"/>
      </w:pPr>
      <w:bookmarkStart w:id="42" w:name="_Toc513038041"/>
    </w:p>
    <w:p w:rsidR="004F7D04" w:rsidRDefault="004F7D04" w:rsidP="00F4322B">
      <w:pPr>
        <w:pStyle w:val="Heading3"/>
      </w:pPr>
      <w:r w:rsidRPr="004F47AF">
        <w:t>Dexamethasone for DMO</w:t>
      </w:r>
      <w:bookmarkEnd w:id="42"/>
    </w:p>
    <w:p w:rsidR="004F47AF" w:rsidRDefault="004F47AF" w:rsidP="004F47AF">
      <w:r>
        <w:t xml:space="preserve">The product information for dexamethasone implant notes </w:t>
      </w:r>
      <w:r w:rsidR="005978B7">
        <w:t xml:space="preserve">that in </w:t>
      </w:r>
      <w:r>
        <w:t>the clinical trials most retreatments were administered between five and seven months after a prior treatment.</w:t>
      </w:r>
      <w:r w:rsidR="005978B7">
        <w:t xml:space="preserve"> </w:t>
      </w:r>
      <w:r w:rsidR="002823E4">
        <w:t>Due to the less frequent treat</w:t>
      </w:r>
      <w:r w:rsidR="008E1AFB">
        <w:t xml:space="preserve">ment of dexamethasone, analysis of its use is presented separately below. </w:t>
      </w:r>
    </w:p>
    <w:p w:rsidR="00DA3663" w:rsidRDefault="00DA3663">
      <w:pPr>
        <w:spacing w:line="276" w:lineRule="auto"/>
      </w:pPr>
      <w:r>
        <w:br w:type="page"/>
      </w:r>
    </w:p>
    <w:p w:rsidR="00A14317" w:rsidRPr="004F47AF" w:rsidRDefault="00DF474C" w:rsidP="004F47AF">
      <w:r>
        <w:lastRenderedPageBreak/>
        <w:t>Figure 5</w:t>
      </w:r>
      <w:r w:rsidR="00A14317">
        <w:t xml:space="preserve"> shows the number of patients initiating to dexamethasone implant and the number treated. These patients may have previously been treated with VEGF inhibitors.</w:t>
      </w:r>
    </w:p>
    <w:p w:rsidR="004D6A15" w:rsidRDefault="004D6A15" w:rsidP="004F7D04">
      <w:pPr>
        <w:rPr>
          <w:b/>
        </w:rPr>
      </w:pPr>
      <w:r>
        <w:rPr>
          <w:noProof/>
        </w:rPr>
        <w:drawing>
          <wp:inline distT="0" distB="0" distL="0" distR="0" wp14:anchorId="036FD61B" wp14:editId="74758E5D">
            <wp:extent cx="5687695" cy="3277109"/>
            <wp:effectExtent l="0" t="0" r="27305" b="19050"/>
            <wp:docPr id="9" name="Chart 9" descr="Initiated and treated patients with dexamethasone for DMO" title="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6A15" w:rsidRPr="004D6A15" w:rsidRDefault="004D6A15" w:rsidP="004D6A15">
      <w:pPr>
        <w:pStyle w:val="Figuretitle"/>
      </w:pPr>
      <w:r>
        <w:t>Figure</w:t>
      </w:r>
      <w:r w:rsidR="00403745">
        <w:t xml:space="preserve"> 5</w:t>
      </w:r>
      <w:r>
        <w:t xml:space="preserve">: </w:t>
      </w:r>
      <w:r w:rsidR="00D211DD">
        <w:t>Patients initiated and treated with d</w:t>
      </w:r>
      <w:r>
        <w:t xml:space="preserve">examethasone for DMO </w:t>
      </w:r>
    </w:p>
    <w:p w:rsidR="008E1AFB" w:rsidRDefault="008E1AFB" w:rsidP="008E1AFB">
      <w:r>
        <w:t xml:space="preserve">The number of treated patients </w:t>
      </w:r>
      <w:r w:rsidR="00DF0162">
        <w:t>does</w:t>
      </w:r>
      <w:r>
        <w:t xml:space="preserve"> not </w:t>
      </w:r>
      <w:r w:rsidR="00DF0162">
        <w:t xml:space="preserve">appear to have </w:t>
      </w:r>
      <w:r>
        <w:t>increased as quickly as other treatments for DMO</w:t>
      </w:r>
      <w:r w:rsidR="00DF0162">
        <w:t>, although this is affected by the</w:t>
      </w:r>
      <w:r w:rsidR="00A14317">
        <w:t xml:space="preserve"> longer</w:t>
      </w:r>
      <w:r w:rsidR="00DF0162">
        <w:t xml:space="preserve"> retreatment time. As this report includes 14 months of dexamethasone implant data, it is difficult to know whe</w:t>
      </w:r>
      <w:r w:rsidR="00713ECB">
        <w:t>ther</w:t>
      </w:r>
      <w:r w:rsidR="00DF0162">
        <w:t xml:space="preserve"> the number of initiating patients will increase, or if the number of treated patients will trend upwards as patients are retreated.</w:t>
      </w:r>
    </w:p>
    <w:p w:rsidR="004F7D04" w:rsidRDefault="004F7D04" w:rsidP="004F7D04">
      <w:pPr>
        <w:pStyle w:val="Tabletitle"/>
      </w:pPr>
      <w:r w:rsidRPr="00972DB2">
        <w:t xml:space="preserve">Table </w:t>
      </w:r>
      <w:r w:rsidR="00403745">
        <w:t>25</w:t>
      </w:r>
      <w:r w:rsidRPr="00972DB2">
        <w:t xml:space="preserve">: </w:t>
      </w:r>
      <w:r w:rsidRPr="00E76DB2">
        <w:t xml:space="preserve">Summary of patients accessing treatment for </w:t>
      </w:r>
      <w:r w:rsidR="004D6A15">
        <w:t xml:space="preserve">dexamethasone for </w:t>
      </w:r>
      <w:r>
        <w:t>DMO</w:t>
      </w:r>
      <w:r w:rsidRPr="00E76DB2">
        <w:t xml:space="preserve"> and number of supplied prescriptions, supplied injections and injections per patient by calendar year</w:t>
      </w:r>
    </w:p>
    <w:tbl>
      <w:tblPr>
        <w:tblW w:w="8045" w:type="dxa"/>
        <w:tblInd w:w="93" w:type="dxa"/>
        <w:tblLayout w:type="fixed"/>
        <w:tblLook w:val="04A0" w:firstRow="1" w:lastRow="0" w:firstColumn="1" w:lastColumn="0" w:noHBand="0" w:noVBand="1"/>
        <w:tblCaption w:val="Table 25"/>
        <w:tblDescription w:val="Dexamethasone for DMO prescriptions, injections and injections per patient by year"/>
      </w:tblPr>
      <w:tblGrid>
        <w:gridCol w:w="803"/>
        <w:gridCol w:w="1034"/>
        <w:gridCol w:w="1035"/>
        <w:gridCol w:w="1034"/>
        <w:gridCol w:w="1035"/>
        <w:gridCol w:w="1035"/>
        <w:gridCol w:w="1034"/>
        <w:gridCol w:w="1035"/>
      </w:tblGrid>
      <w:tr w:rsidR="004D6A15" w:rsidRPr="0093148A" w:rsidTr="004D6A15">
        <w:trPr>
          <w:trHeight w:val="1545"/>
        </w:trPr>
        <w:tc>
          <w:tcPr>
            <w:tcW w:w="8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Year</w:t>
            </w:r>
          </w:p>
        </w:tc>
        <w:tc>
          <w:tcPr>
            <w:tcW w:w="10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New patients</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Prevalent patients</w:t>
            </w:r>
          </w:p>
        </w:tc>
        <w:tc>
          <w:tcPr>
            <w:tcW w:w="10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Initiating patients per pop ≥18/1000</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Treated patients per pop≥18/1000</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Prescriptions supplied</w:t>
            </w:r>
          </w:p>
        </w:tc>
        <w:tc>
          <w:tcPr>
            <w:tcW w:w="103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Injections supplied</w:t>
            </w:r>
          </w:p>
        </w:tc>
        <w:tc>
          <w:tcPr>
            <w:tcW w:w="103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4D6A15" w:rsidRPr="0093148A" w:rsidRDefault="004D6A15" w:rsidP="004F7D04">
            <w:pPr>
              <w:spacing w:after="0"/>
              <w:rPr>
                <w:rFonts w:ascii="Calibri" w:eastAsia="Times New Roman" w:hAnsi="Calibri" w:cs="Times New Roman"/>
                <w:b/>
                <w:color w:val="000000"/>
                <w:sz w:val="20"/>
                <w:szCs w:val="20"/>
              </w:rPr>
            </w:pPr>
            <w:r>
              <w:rPr>
                <w:rFonts w:ascii="Calibri" w:hAnsi="Calibri"/>
                <w:b/>
                <w:bCs/>
                <w:color w:val="000000"/>
                <w:sz w:val="20"/>
                <w:szCs w:val="20"/>
              </w:rPr>
              <w:t>Calculated injections per prevalent patient</w:t>
            </w:r>
          </w:p>
        </w:tc>
      </w:tr>
      <w:tr w:rsidR="004D6A15" w:rsidRPr="0093148A" w:rsidTr="004D6A15">
        <w:trPr>
          <w:trHeight w:val="300"/>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4D6A15" w:rsidRPr="0093148A" w:rsidRDefault="004D6A15" w:rsidP="004F7D04">
            <w:pPr>
              <w:spacing w:after="0"/>
              <w:rPr>
                <w:rFonts w:ascii="Calibri" w:eastAsia="Times New Roman" w:hAnsi="Calibri" w:cs="Times New Roman"/>
                <w:color w:val="000000"/>
                <w:sz w:val="20"/>
                <w:szCs w:val="20"/>
              </w:rPr>
            </w:pPr>
            <w:r>
              <w:rPr>
                <w:rFonts w:ascii="Calibri" w:hAnsi="Calibri"/>
                <w:color w:val="000000"/>
                <w:sz w:val="20"/>
                <w:szCs w:val="20"/>
              </w:rPr>
              <w:t>2016</w:t>
            </w:r>
          </w:p>
        </w:tc>
        <w:tc>
          <w:tcPr>
            <w:tcW w:w="1034"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123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123 </w:t>
            </w:r>
          </w:p>
        </w:tc>
        <w:tc>
          <w:tcPr>
            <w:tcW w:w="1034"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0.008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0.008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131 </w:t>
            </w:r>
          </w:p>
        </w:tc>
        <w:tc>
          <w:tcPr>
            <w:tcW w:w="1034"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165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1.34</w:t>
            </w:r>
          </w:p>
        </w:tc>
      </w:tr>
      <w:tr w:rsidR="004D6A15" w:rsidRPr="0093148A" w:rsidTr="004D6A15">
        <w:trPr>
          <w:trHeight w:val="300"/>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4D6A15" w:rsidRPr="0093148A" w:rsidRDefault="004D6A15" w:rsidP="004F7D04">
            <w:pPr>
              <w:spacing w:after="0"/>
              <w:rPr>
                <w:rFonts w:ascii="Calibri" w:eastAsia="Times New Roman" w:hAnsi="Calibri" w:cs="Times New Roman"/>
                <w:color w:val="000000"/>
                <w:sz w:val="20"/>
                <w:szCs w:val="20"/>
              </w:rPr>
            </w:pPr>
            <w:r>
              <w:rPr>
                <w:rFonts w:ascii="Calibri" w:hAnsi="Calibri"/>
                <w:color w:val="000000"/>
                <w:sz w:val="20"/>
                <w:szCs w:val="20"/>
              </w:rPr>
              <w:t>2017</w:t>
            </w:r>
          </w:p>
        </w:tc>
        <w:tc>
          <w:tcPr>
            <w:tcW w:w="1034"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901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995 </w:t>
            </w:r>
          </w:p>
        </w:tc>
        <w:tc>
          <w:tcPr>
            <w:tcW w:w="1034"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0.056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0.062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1,870 </w:t>
            </w:r>
          </w:p>
        </w:tc>
        <w:tc>
          <w:tcPr>
            <w:tcW w:w="1034"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2,197 </w:t>
            </w:r>
          </w:p>
        </w:tc>
        <w:tc>
          <w:tcPr>
            <w:tcW w:w="1035" w:type="dxa"/>
            <w:tcBorders>
              <w:top w:val="nil"/>
              <w:left w:val="nil"/>
              <w:bottom w:val="single" w:sz="4" w:space="0" w:color="auto"/>
              <w:right w:val="single" w:sz="4" w:space="0" w:color="auto"/>
            </w:tcBorders>
            <w:shd w:val="clear" w:color="auto" w:fill="auto"/>
            <w:noWrap/>
            <w:vAlign w:val="bottom"/>
            <w:hideMark/>
          </w:tcPr>
          <w:p w:rsidR="004D6A15" w:rsidRPr="0093148A" w:rsidRDefault="004D6A15" w:rsidP="004F7D04">
            <w:pPr>
              <w:spacing w:after="0"/>
              <w:jc w:val="right"/>
              <w:rPr>
                <w:rFonts w:ascii="Calibri" w:eastAsia="Times New Roman" w:hAnsi="Calibri" w:cs="Times New Roman"/>
                <w:color w:val="000000"/>
                <w:sz w:val="20"/>
                <w:szCs w:val="20"/>
              </w:rPr>
            </w:pPr>
            <w:r>
              <w:rPr>
                <w:rFonts w:ascii="Calibri" w:hAnsi="Calibri"/>
                <w:color w:val="000000"/>
                <w:sz w:val="20"/>
                <w:szCs w:val="20"/>
              </w:rPr>
              <w:t>2.21</w:t>
            </w:r>
          </w:p>
        </w:tc>
      </w:tr>
    </w:tbl>
    <w:p w:rsidR="004D6A15" w:rsidRPr="004D6A15" w:rsidRDefault="004D6A15" w:rsidP="004D6A15">
      <w:pPr>
        <w:pStyle w:val="Notes"/>
      </w:pPr>
      <w:r w:rsidRPr="004D6A15">
        <w:t>Source: DHS Medicare Pharmacy Claims database, accessed March 2018</w:t>
      </w:r>
    </w:p>
    <w:p w:rsidR="00C95D8D" w:rsidRDefault="004D6A15" w:rsidP="004F7D04">
      <w:r w:rsidRPr="004D6A15">
        <w:t xml:space="preserve">The use of dexamethasone for DMO </w:t>
      </w:r>
      <w:r w:rsidR="00713ECB">
        <w:t>represents a small proportion</w:t>
      </w:r>
      <w:r w:rsidRPr="004D6A15">
        <w:t xml:space="preserve"> of the market for DMO. </w:t>
      </w:r>
      <w:r w:rsidR="00713ECB">
        <w:t>In 201</w:t>
      </w:r>
      <w:r w:rsidR="00CB6E36">
        <w:t>7 11,137 patients were supplied 70,408</w:t>
      </w:r>
      <w:r w:rsidR="00713ECB">
        <w:t xml:space="preserve"> injections of either aflibercept or ranibizumab, while 995 patients were supplied 2,197 dexamethasone implants. </w:t>
      </w:r>
      <w:r>
        <w:t xml:space="preserve">Use </w:t>
      </w:r>
      <w:r w:rsidR="00713ECB">
        <w:t xml:space="preserve">of dexamethasone </w:t>
      </w:r>
      <w:r>
        <w:t xml:space="preserve">is likely still increasing </w:t>
      </w:r>
      <w:r w:rsidR="00713ECB">
        <w:t xml:space="preserve">as </w:t>
      </w:r>
      <w:r>
        <w:t>it has</w:t>
      </w:r>
      <w:r w:rsidR="00713ECB">
        <w:t xml:space="preserve"> only</w:t>
      </w:r>
      <w:r>
        <w:t xml:space="preserve"> been listed since 1 November 2016.</w:t>
      </w:r>
    </w:p>
    <w:p w:rsidR="004F7D04" w:rsidRDefault="00C95D8D" w:rsidP="004F7D04">
      <w:r>
        <w:lastRenderedPageBreak/>
        <w:t xml:space="preserve">The rates of bilateral treatment with dexamethasone based on quantity per prescription is presented in Table </w:t>
      </w:r>
      <w:r w:rsidR="00DF474C">
        <w:t>26</w:t>
      </w:r>
      <w:r>
        <w:t>.</w:t>
      </w:r>
      <w:r w:rsidR="004D6A15">
        <w:t xml:space="preserve"> </w:t>
      </w:r>
      <w:r w:rsidR="004F140D">
        <w:t xml:space="preserve"> </w:t>
      </w:r>
    </w:p>
    <w:p w:rsidR="009010D4" w:rsidRDefault="009010D4" w:rsidP="009010D4">
      <w:pPr>
        <w:pStyle w:val="Tabletitle"/>
      </w:pPr>
      <w:r>
        <w:t xml:space="preserve">Table </w:t>
      </w:r>
      <w:r w:rsidR="00403745">
        <w:t>26</w:t>
      </w:r>
      <w:r>
        <w:t xml:space="preserve">: </w:t>
      </w:r>
      <w:r w:rsidRPr="00972DB2">
        <w:t>Proportion of prescriptions by quantity dispensed over time</w:t>
      </w:r>
    </w:p>
    <w:tbl>
      <w:tblPr>
        <w:tblW w:w="28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6"/>
        <w:tblDescription w:val="Proportion of prescriptions by quantity dispensed"/>
      </w:tblPr>
      <w:tblGrid>
        <w:gridCol w:w="960"/>
        <w:gridCol w:w="960"/>
        <w:gridCol w:w="960"/>
      </w:tblGrid>
      <w:tr w:rsidR="009010D4" w:rsidRPr="009010D4" w:rsidTr="009010D4">
        <w:trPr>
          <w:trHeight w:val="300"/>
        </w:trPr>
        <w:tc>
          <w:tcPr>
            <w:tcW w:w="960" w:type="dxa"/>
            <w:shd w:val="clear" w:color="auto" w:fill="BFBFBF" w:themeFill="background1" w:themeFillShade="BF"/>
            <w:noWrap/>
            <w:vAlign w:val="bottom"/>
            <w:hideMark/>
          </w:tcPr>
          <w:p w:rsidR="009010D4" w:rsidRPr="009010D4" w:rsidRDefault="009010D4" w:rsidP="009010D4">
            <w:pPr>
              <w:spacing w:after="0"/>
              <w:rPr>
                <w:rFonts w:ascii="Calibri" w:eastAsia="Times New Roman" w:hAnsi="Calibri" w:cs="Times New Roman"/>
                <w:b/>
                <w:bCs/>
                <w:color w:val="000000"/>
                <w:sz w:val="20"/>
                <w:szCs w:val="20"/>
              </w:rPr>
            </w:pPr>
            <w:r w:rsidRPr="009010D4">
              <w:rPr>
                <w:rFonts w:ascii="Calibri" w:eastAsia="Times New Roman" w:hAnsi="Calibri" w:cs="Times New Roman"/>
                <w:b/>
                <w:bCs/>
                <w:color w:val="000000"/>
                <w:sz w:val="20"/>
                <w:szCs w:val="20"/>
              </w:rPr>
              <w:t>Year</w:t>
            </w:r>
          </w:p>
        </w:tc>
        <w:tc>
          <w:tcPr>
            <w:tcW w:w="960" w:type="dxa"/>
            <w:shd w:val="clear" w:color="auto" w:fill="BFBFBF" w:themeFill="background1" w:themeFillShade="BF"/>
            <w:noWrap/>
            <w:vAlign w:val="bottom"/>
            <w:hideMark/>
          </w:tcPr>
          <w:p w:rsidR="009010D4" w:rsidRPr="009010D4" w:rsidRDefault="009010D4" w:rsidP="009010D4">
            <w:pPr>
              <w:spacing w:after="0"/>
              <w:jc w:val="right"/>
              <w:rPr>
                <w:rFonts w:ascii="Calibri" w:eastAsia="Times New Roman" w:hAnsi="Calibri" w:cs="Times New Roman"/>
                <w:b/>
                <w:bCs/>
                <w:color w:val="000000"/>
                <w:sz w:val="20"/>
                <w:szCs w:val="20"/>
              </w:rPr>
            </w:pPr>
            <w:r w:rsidRPr="009010D4">
              <w:rPr>
                <w:rFonts w:ascii="Calibri" w:eastAsia="Times New Roman" w:hAnsi="Calibri" w:cs="Times New Roman"/>
                <w:b/>
                <w:bCs/>
                <w:color w:val="000000"/>
                <w:sz w:val="20"/>
                <w:szCs w:val="20"/>
              </w:rPr>
              <w:t>1</w:t>
            </w:r>
          </w:p>
        </w:tc>
        <w:tc>
          <w:tcPr>
            <w:tcW w:w="960" w:type="dxa"/>
            <w:shd w:val="clear" w:color="auto" w:fill="BFBFBF" w:themeFill="background1" w:themeFillShade="BF"/>
            <w:noWrap/>
            <w:vAlign w:val="bottom"/>
            <w:hideMark/>
          </w:tcPr>
          <w:p w:rsidR="009010D4" w:rsidRPr="009010D4" w:rsidRDefault="009010D4" w:rsidP="009010D4">
            <w:pPr>
              <w:spacing w:after="0"/>
              <w:jc w:val="right"/>
              <w:rPr>
                <w:rFonts w:ascii="Calibri" w:eastAsia="Times New Roman" w:hAnsi="Calibri" w:cs="Times New Roman"/>
                <w:b/>
                <w:bCs/>
                <w:color w:val="000000"/>
                <w:sz w:val="20"/>
                <w:szCs w:val="20"/>
              </w:rPr>
            </w:pPr>
            <w:r w:rsidRPr="009010D4">
              <w:rPr>
                <w:rFonts w:ascii="Calibri" w:eastAsia="Times New Roman" w:hAnsi="Calibri" w:cs="Times New Roman"/>
                <w:b/>
                <w:bCs/>
                <w:color w:val="000000"/>
                <w:sz w:val="20"/>
                <w:szCs w:val="20"/>
              </w:rPr>
              <w:t>2</w:t>
            </w:r>
          </w:p>
        </w:tc>
      </w:tr>
      <w:tr w:rsidR="009010D4" w:rsidRPr="009010D4" w:rsidTr="009010D4">
        <w:trPr>
          <w:trHeight w:val="300"/>
        </w:trPr>
        <w:tc>
          <w:tcPr>
            <w:tcW w:w="960" w:type="dxa"/>
            <w:shd w:val="clear" w:color="auto" w:fill="auto"/>
            <w:noWrap/>
            <w:vAlign w:val="bottom"/>
            <w:hideMark/>
          </w:tcPr>
          <w:p w:rsidR="009010D4" w:rsidRPr="009010D4" w:rsidRDefault="009010D4" w:rsidP="009010D4">
            <w:pPr>
              <w:spacing w:after="0"/>
              <w:rPr>
                <w:rFonts w:ascii="Calibri" w:eastAsia="Times New Roman" w:hAnsi="Calibri" w:cs="Times New Roman"/>
                <w:color w:val="000000"/>
                <w:sz w:val="20"/>
                <w:szCs w:val="20"/>
              </w:rPr>
            </w:pPr>
            <w:r w:rsidRPr="009010D4">
              <w:rPr>
                <w:rFonts w:ascii="Calibri" w:eastAsia="Times New Roman" w:hAnsi="Calibri" w:cs="Times New Roman"/>
                <w:color w:val="000000"/>
                <w:sz w:val="20"/>
                <w:szCs w:val="20"/>
              </w:rPr>
              <w:t>2016</w:t>
            </w:r>
          </w:p>
        </w:tc>
        <w:tc>
          <w:tcPr>
            <w:tcW w:w="960" w:type="dxa"/>
            <w:shd w:val="clear" w:color="auto" w:fill="auto"/>
            <w:noWrap/>
            <w:vAlign w:val="bottom"/>
            <w:hideMark/>
          </w:tcPr>
          <w:p w:rsidR="009010D4" w:rsidRPr="009010D4" w:rsidRDefault="009010D4" w:rsidP="009010D4">
            <w:pPr>
              <w:spacing w:after="0"/>
              <w:jc w:val="right"/>
              <w:rPr>
                <w:rFonts w:ascii="Calibri" w:eastAsia="Times New Roman" w:hAnsi="Calibri" w:cs="Times New Roman"/>
                <w:color w:val="000000"/>
                <w:sz w:val="20"/>
                <w:szCs w:val="20"/>
              </w:rPr>
            </w:pPr>
            <w:r w:rsidRPr="009010D4">
              <w:rPr>
                <w:rFonts w:ascii="Calibri" w:eastAsia="Times New Roman" w:hAnsi="Calibri" w:cs="Times New Roman"/>
                <w:color w:val="000000"/>
                <w:sz w:val="20"/>
                <w:szCs w:val="20"/>
              </w:rPr>
              <w:t>74.05%</w:t>
            </w:r>
          </w:p>
        </w:tc>
        <w:tc>
          <w:tcPr>
            <w:tcW w:w="960" w:type="dxa"/>
            <w:shd w:val="clear" w:color="auto" w:fill="auto"/>
            <w:noWrap/>
            <w:vAlign w:val="bottom"/>
            <w:hideMark/>
          </w:tcPr>
          <w:p w:rsidR="009010D4" w:rsidRPr="009010D4" w:rsidRDefault="009010D4" w:rsidP="009010D4">
            <w:pPr>
              <w:spacing w:after="0"/>
              <w:jc w:val="right"/>
              <w:rPr>
                <w:rFonts w:ascii="Calibri" w:eastAsia="Times New Roman" w:hAnsi="Calibri" w:cs="Times New Roman"/>
                <w:color w:val="000000"/>
                <w:sz w:val="20"/>
                <w:szCs w:val="20"/>
              </w:rPr>
            </w:pPr>
            <w:r w:rsidRPr="009010D4">
              <w:rPr>
                <w:rFonts w:ascii="Calibri" w:eastAsia="Times New Roman" w:hAnsi="Calibri" w:cs="Times New Roman"/>
                <w:color w:val="000000"/>
                <w:sz w:val="20"/>
                <w:szCs w:val="20"/>
              </w:rPr>
              <w:t>25.95%</w:t>
            </w:r>
          </w:p>
        </w:tc>
      </w:tr>
      <w:tr w:rsidR="009010D4" w:rsidRPr="009010D4" w:rsidTr="009010D4">
        <w:trPr>
          <w:trHeight w:val="300"/>
        </w:trPr>
        <w:tc>
          <w:tcPr>
            <w:tcW w:w="960" w:type="dxa"/>
            <w:shd w:val="clear" w:color="auto" w:fill="auto"/>
            <w:noWrap/>
            <w:vAlign w:val="bottom"/>
            <w:hideMark/>
          </w:tcPr>
          <w:p w:rsidR="009010D4" w:rsidRPr="009010D4" w:rsidRDefault="009010D4" w:rsidP="009010D4">
            <w:pPr>
              <w:spacing w:after="0"/>
              <w:rPr>
                <w:rFonts w:ascii="Calibri" w:eastAsia="Times New Roman" w:hAnsi="Calibri" w:cs="Times New Roman"/>
                <w:color w:val="000000"/>
                <w:sz w:val="20"/>
                <w:szCs w:val="20"/>
              </w:rPr>
            </w:pPr>
            <w:r w:rsidRPr="009010D4">
              <w:rPr>
                <w:rFonts w:ascii="Calibri" w:eastAsia="Times New Roman" w:hAnsi="Calibri" w:cs="Times New Roman"/>
                <w:color w:val="000000"/>
                <w:sz w:val="20"/>
                <w:szCs w:val="20"/>
              </w:rPr>
              <w:t>2017</w:t>
            </w:r>
          </w:p>
        </w:tc>
        <w:tc>
          <w:tcPr>
            <w:tcW w:w="960" w:type="dxa"/>
            <w:shd w:val="clear" w:color="auto" w:fill="auto"/>
            <w:noWrap/>
            <w:vAlign w:val="bottom"/>
            <w:hideMark/>
          </w:tcPr>
          <w:p w:rsidR="009010D4" w:rsidRPr="009010D4" w:rsidRDefault="009010D4" w:rsidP="009010D4">
            <w:pPr>
              <w:spacing w:after="0"/>
              <w:jc w:val="right"/>
              <w:rPr>
                <w:rFonts w:ascii="Calibri" w:eastAsia="Times New Roman" w:hAnsi="Calibri" w:cs="Times New Roman"/>
                <w:color w:val="000000"/>
                <w:sz w:val="20"/>
                <w:szCs w:val="20"/>
              </w:rPr>
            </w:pPr>
            <w:r w:rsidRPr="009010D4">
              <w:rPr>
                <w:rFonts w:ascii="Calibri" w:eastAsia="Times New Roman" w:hAnsi="Calibri" w:cs="Times New Roman"/>
                <w:color w:val="000000"/>
                <w:sz w:val="20"/>
                <w:szCs w:val="20"/>
              </w:rPr>
              <w:t>82.51%</w:t>
            </w:r>
          </w:p>
        </w:tc>
        <w:tc>
          <w:tcPr>
            <w:tcW w:w="960" w:type="dxa"/>
            <w:shd w:val="clear" w:color="auto" w:fill="auto"/>
            <w:noWrap/>
            <w:vAlign w:val="bottom"/>
            <w:hideMark/>
          </w:tcPr>
          <w:p w:rsidR="009010D4" w:rsidRPr="009010D4" w:rsidRDefault="009010D4" w:rsidP="009010D4">
            <w:pPr>
              <w:spacing w:after="0"/>
              <w:jc w:val="right"/>
              <w:rPr>
                <w:rFonts w:ascii="Calibri" w:eastAsia="Times New Roman" w:hAnsi="Calibri" w:cs="Times New Roman"/>
                <w:color w:val="000000"/>
                <w:sz w:val="20"/>
                <w:szCs w:val="20"/>
              </w:rPr>
            </w:pPr>
            <w:r w:rsidRPr="009010D4">
              <w:rPr>
                <w:rFonts w:ascii="Calibri" w:eastAsia="Times New Roman" w:hAnsi="Calibri" w:cs="Times New Roman"/>
                <w:color w:val="000000"/>
                <w:sz w:val="20"/>
                <w:szCs w:val="20"/>
              </w:rPr>
              <w:t>17.49%</w:t>
            </w:r>
          </w:p>
        </w:tc>
      </w:tr>
    </w:tbl>
    <w:p w:rsidR="009010D4" w:rsidRPr="004D6A15" w:rsidRDefault="009010D4" w:rsidP="009010D4">
      <w:pPr>
        <w:pStyle w:val="Notes"/>
      </w:pPr>
      <w:r w:rsidRPr="004D6A15">
        <w:t>Source: DHS Medicare Pharmacy Claims database, accessed March 2018</w:t>
      </w:r>
    </w:p>
    <w:p w:rsidR="009010D4" w:rsidRDefault="00713ECB" w:rsidP="009010D4">
      <w:r>
        <w:t>The proportion of p</w:t>
      </w:r>
      <w:r w:rsidR="009010D4">
        <w:t>rescriptions dispensed with a quantity of 2 is lower for dexamethasone implants for DMO than for ranibizumab and aflibercept for DMO</w:t>
      </w:r>
      <w:r>
        <w:t>. This may be because the product information for dexamethasone implants states that a</w:t>
      </w:r>
      <w:r w:rsidRPr="009010D4">
        <w:t>dministration in both eyes on the same day is not recommended.</w:t>
      </w:r>
      <w:r>
        <w:t xml:space="preserve"> An analysis using MBS data could determine if patients receiving bilateral treatment are having the implants administered on th</w:t>
      </w:r>
      <w:r w:rsidR="00C95D8D">
        <w:t>e same or different days, but this was considered beyond the scope of the current report.</w:t>
      </w:r>
      <w:r w:rsidDel="00713ECB">
        <w:t xml:space="preserve"> </w:t>
      </w:r>
    </w:p>
    <w:p w:rsidR="00A72A81" w:rsidRDefault="00E76163" w:rsidP="004F7D04">
      <w:r>
        <w:t>The PBS restriction for dexamethasone limits use to patients unsuitable for, contraindicated to</w:t>
      </w:r>
      <w:r w:rsidR="00713ECB">
        <w:t>,</w:t>
      </w:r>
      <w:r>
        <w:t xml:space="preserve"> or who have failed VEGF inhibitors. </w:t>
      </w:r>
      <w:r w:rsidR="00CF729A">
        <w:t xml:space="preserve">For the </w:t>
      </w:r>
      <w:r w:rsidR="00321E5A">
        <w:t>1</w:t>
      </w:r>
      <w:r w:rsidR="00B95A03">
        <w:t>,</w:t>
      </w:r>
      <w:r w:rsidR="00321E5A">
        <w:t xml:space="preserve">024 </w:t>
      </w:r>
      <w:r w:rsidR="00CF729A">
        <w:t xml:space="preserve">patients who </w:t>
      </w:r>
      <w:r w:rsidR="00321E5A">
        <w:t>have been</w:t>
      </w:r>
      <w:r w:rsidR="00CF729A">
        <w:t xml:space="preserve"> supplied dexamethasone</w:t>
      </w:r>
      <w:r w:rsidR="00A72A81">
        <w:t xml:space="preserve"> for DMO</w:t>
      </w:r>
      <w:r w:rsidR="00CF729A">
        <w:t xml:space="preserve">, the 10 </w:t>
      </w:r>
      <w:r w:rsidR="00321E5A">
        <w:t>most common drug sequences are shown in Table</w:t>
      </w:r>
      <w:r w:rsidR="00DF474C">
        <w:t xml:space="preserve"> 27</w:t>
      </w:r>
      <w:r w:rsidR="00321E5A">
        <w:t xml:space="preserve">. In total 506 patients were supplied dexamethasone before </w:t>
      </w:r>
      <w:r w:rsidR="00860ADE">
        <w:t xml:space="preserve">any other medicine for DMO. </w:t>
      </w:r>
    </w:p>
    <w:p w:rsidR="00CF729A" w:rsidRDefault="00860ADE" w:rsidP="004F7D04">
      <w:r>
        <w:t>When this analysis was repeated using the complete datase</w:t>
      </w:r>
      <w:r w:rsidR="00A72A81">
        <w:t>t (including prescriptions for AMD and RVO), 450 patients were supplied dexamethasone who had never been supplied aflibercept or ranibizumab, and 477 patients were initiated on dexamethasone.</w:t>
      </w:r>
    </w:p>
    <w:p w:rsidR="00A62E08" w:rsidRDefault="00A62E08" w:rsidP="00A62E08">
      <w:pPr>
        <w:rPr>
          <w:highlight w:val="yellow"/>
        </w:rPr>
      </w:pPr>
      <w:r>
        <w:t xml:space="preserve">Given the number of patients initiating on dexamethasone, it is likely the PBAC was correct to note that </w:t>
      </w:r>
      <w:r w:rsidRPr="00A62E08">
        <w:t>there would be no cost offsets for patients unsuitable for VEGF inhibitors</w:t>
      </w:r>
      <w:r>
        <w:t xml:space="preserve"> and that there </w:t>
      </w:r>
      <w:r w:rsidRPr="00A62E08">
        <w:t xml:space="preserve">would be some growth in the current market rather than </w:t>
      </w:r>
      <w:r>
        <w:t>cost savings from</w:t>
      </w:r>
      <w:r w:rsidRPr="00A62E08">
        <w:t xml:space="preserve"> substitution for VEGF inhibitors.</w:t>
      </w:r>
    </w:p>
    <w:p w:rsidR="00A72A81" w:rsidRPr="004D6A15" w:rsidRDefault="00A72A81" w:rsidP="00A72A81">
      <w:pPr>
        <w:pStyle w:val="Tabletitle"/>
      </w:pPr>
      <w:r w:rsidRPr="00972DB2">
        <w:t xml:space="preserve">Table </w:t>
      </w:r>
      <w:r w:rsidR="00403745">
        <w:t>27</w:t>
      </w:r>
      <w:r w:rsidRPr="00972DB2">
        <w:t>:</w:t>
      </w:r>
      <w:r>
        <w:t xml:space="preserve"> Top 10 drug sequences for DMO which include dexamethasone</w:t>
      </w:r>
    </w:p>
    <w:tbl>
      <w:tblPr>
        <w:tblW w:w="91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7"/>
        <w:tblDescription w:val="Drug sequences for DMO"/>
      </w:tblPr>
      <w:tblGrid>
        <w:gridCol w:w="8379"/>
        <w:gridCol w:w="817"/>
      </w:tblGrid>
      <w:tr w:rsidR="00321E5A" w:rsidRPr="00CF729A" w:rsidTr="009010D4">
        <w:trPr>
          <w:trHeight w:val="300"/>
        </w:trPr>
        <w:tc>
          <w:tcPr>
            <w:tcW w:w="8379" w:type="dxa"/>
            <w:shd w:val="clear" w:color="auto" w:fill="BFBFBF" w:themeFill="background1" w:themeFillShade="BF"/>
            <w:noWrap/>
            <w:vAlign w:val="center"/>
            <w:hideMark/>
          </w:tcPr>
          <w:p w:rsidR="00321E5A" w:rsidRPr="00CF729A" w:rsidRDefault="00321E5A" w:rsidP="00321E5A">
            <w:pPr>
              <w:spacing w:after="0"/>
              <w:rPr>
                <w:rFonts w:ascii="Calibri" w:eastAsia="Times New Roman" w:hAnsi="Calibri" w:cs="Times New Roman"/>
                <w:b/>
                <w:color w:val="000000"/>
                <w:sz w:val="20"/>
                <w:szCs w:val="20"/>
              </w:rPr>
            </w:pPr>
            <w:r w:rsidRPr="00321E5A">
              <w:rPr>
                <w:rFonts w:ascii="Calibri" w:hAnsi="Calibri"/>
                <w:b/>
                <w:color w:val="000000"/>
                <w:sz w:val="20"/>
                <w:szCs w:val="20"/>
              </w:rPr>
              <w:t>Sequence</w:t>
            </w:r>
          </w:p>
        </w:tc>
        <w:tc>
          <w:tcPr>
            <w:tcW w:w="817" w:type="dxa"/>
            <w:shd w:val="clear" w:color="auto" w:fill="BFBFBF" w:themeFill="background1" w:themeFillShade="BF"/>
            <w:noWrap/>
            <w:vAlign w:val="center"/>
            <w:hideMark/>
          </w:tcPr>
          <w:p w:rsidR="00321E5A" w:rsidRPr="00CF729A" w:rsidRDefault="00321E5A" w:rsidP="00321E5A">
            <w:pPr>
              <w:spacing w:after="0"/>
              <w:jc w:val="center"/>
              <w:rPr>
                <w:rFonts w:ascii="Calibri" w:eastAsia="Times New Roman" w:hAnsi="Calibri" w:cs="Times New Roman"/>
                <w:b/>
                <w:color w:val="000000"/>
                <w:sz w:val="20"/>
                <w:szCs w:val="20"/>
              </w:rPr>
            </w:pPr>
            <w:r w:rsidRPr="00321E5A">
              <w:rPr>
                <w:rFonts w:ascii="Calibri" w:hAnsi="Calibri"/>
                <w:b/>
                <w:color w:val="000000"/>
                <w:sz w:val="20"/>
                <w:szCs w:val="20"/>
              </w:rPr>
              <w:t>Patient count</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DEXAMETHASONE</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478</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181</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RANIBIZUMAB</w:t>
            </w:r>
            <w:r>
              <w:rPr>
                <w:rFonts w:ascii="Calibri" w:hAnsi="Calibri"/>
                <w:color w:val="000000"/>
                <w:sz w:val="20"/>
                <w:szCs w:val="20"/>
              </w:rPr>
              <w:t xml:space="preserve">, </w:t>
            </w:r>
            <w:r w:rsidRPr="00321E5A">
              <w:rPr>
                <w:rFonts w:ascii="Calibri" w:hAnsi="Calibri"/>
                <w:color w:val="000000"/>
                <w:sz w:val="20"/>
                <w:szCs w:val="20"/>
              </w:rPr>
              <w:t>DEXAMETHASONE</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84</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RANIBIZUMAB</w:t>
            </w:r>
            <w:r>
              <w:rPr>
                <w:rFonts w:ascii="Calibri" w:hAnsi="Calibri"/>
                <w:color w:val="000000"/>
                <w:sz w:val="20"/>
                <w:szCs w:val="20"/>
              </w:rPr>
              <w:t xml:space="preserve">, </w:t>
            </w: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67</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46</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26</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17</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RANIBIZUMAB</w:t>
            </w:r>
            <w:r>
              <w:rPr>
                <w:rFonts w:ascii="Calibri" w:hAnsi="Calibri"/>
                <w:color w:val="000000"/>
                <w:sz w:val="20"/>
                <w:szCs w:val="20"/>
              </w:rPr>
              <w:t xml:space="preserve">, </w:t>
            </w: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13</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12</w:t>
            </w:r>
          </w:p>
        </w:tc>
      </w:tr>
      <w:tr w:rsidR="00321E5A" w:rsidRPr="00CF729A" w:rsidTr="009010D4">
        <w:trPr>
          <w:trHeight w:val="300"/>
        </w:trPr>
        <w:tc>
          <w:tcPr>
            <w:tcW w:w="8379" w:type="dxa"/>
            <w:shd w:val="clear" w:color="auto" w:fill="auto"/>
            <w:noWrap/>
            <w:vAlign w:val="center"/>
            <w:hideMark/>
          </w:tcPr>
          <w:p w:rsidR="00321E5A" w:rsidRPr="00CF729A" w:rsidRDefault="00321E5A" w:rsidP="00321E5A">
            <w:pPr>
              <w:spacing w:after="0"/>
              <w:rPr>
                <w:rFonts w:ascii="Calibri" w:eastAsia="Times New Roman" w:hAnsi="Calibri" w:cs="Times New Roman"/>
                <w:color w:val="000000"/>
                <w:sz w:val="20"/>
                <w:szCs w:val="20"/>
              </w:rPr>
            </w:pP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r>
              <w:rPr>
                <w:rFonts w:ascii="Calibri" w:hAnsi="Calibri"/>
                <w:color w:val="000000"/>
                <w:sz w:val="20"/>
                <w:szCs w:val="20"/>
              </w:rPr>
              <w:t xml:space="preserve">, </w:t>
            </w:r>
            <w:r w:rsidRPr="00321E5A">
              <w:rPr>
                <w:rFonts w:ascii="Calibri" w:hAnsi="Calibri"/>
                <w:color w:val="000000"/>
                <w:sz w:val="20"/>
                <w:szCs w:val="20"/>
              </w:rPr>
              <w:t>AFLIBERCEPT</w:t>
            </w:r>
            <w:r>
              <w:rPr>
                <w:rFonts w:ascii="Calibri" w:hAnsi="Calibri"/>
                <w:color w:val="000000"/>
                <w:sz w:val="20"/>
                <w:szCs w:val="20"/>
              </w:rPr>
              <w:t xml:space="preserve">, </w:t>
            </w:r>
            <w:r w:rsidRPr="00321E5A">
              <w:rPr>
                <w:rFonts w:ascii="Calibri" w:hAnsi="Calibri"/>
                <w:color w:val="000000"/>
                <w:sz w:val="20"/>
                <w:szCs w:val="20"/>
              </w:rPr>
              <w:t>DEXAMETHASONE</w:t>
            </w:r>
          </w:p>
        </w:tc>
        <w:tc>
          <w:tcPr>
            <w:tcW w:w="817" w:type="dxa"/>
            <w:shd w:val="clear" w:color="auto" w:fill="auto"/>
            <w:noWrap/>
            <w:vAlign w:val="center"/>
            <w:hideMark/>
          </w:tcPr>
          <w:p w:rsidR="00321E5A" w:rsidRPr="00CF729A" w:rsidRDefault="00321E5A" w:rsidP="00321E5A">
            <w:pPr>
              <w:spacing w:after="0"/>
              <w:jc w:val="right"/>
              <w:rPr>
                <w:rFonts w:ascii="Calibri" w:eastAsia="Times New Roman" w:hAnsi="Calibri" w:cs="Times New Roman"/>
                <w:color w:val="000000"/>
                <w:sz w:val="20"/>
                <w:szCs w:val="20"/>
              </w:rPr>
            </w:pPr>
            <w:r w:rsidRPr="00321E5A">
              <w:rPr>
                <w:rFonts w:ascii="Calibri" w:hAnsi="Calibri"/>
                <w:color w:val="000000"/>
                <w:sz w:val="20"/>
                <w:szCs w:val="20"/>
              </w:rPr>
              <w:t>11</w:t>
            </w:r>
          </w:p>
        </w:tc>
      </w:tr>
    </w:tbl>
    <w:p w:rsidR="009010D4" w:rsidRPr="004D6A15" w:rsidRDefault="009010D4" w:rsidP="009010D4">
      <w:pPr>
        <w:pStyle w:val="Notes"/>
      </w:pPr>
      <w:r w:rsidRPr="004D6A15">
        <w:t>Source: DHS Medicare Pharmacy Claims database, accessed March 2018</w:t>
      </w:r>
    </w:p>
    <w:p w:rsidR="00D211DD" w:rsidRDefault="00D211DD">
      <w:pPr>
        <w:spacing w:line="276" w:lineRule="auto"/>
        <w:rPr>
          <w:b/>
          <w:sz w:val="28"/>
        </w:rPr>
      </w:pPr>
      <w:r>
        <w:br w:type="page"/>
      </w:r>
    </w:p>
    <w:p w:rsidR="00830F35" w:rsidRDefault="006A520A" w:rsidP="00817F40">
      <w:pPr>
        <w:pStyle w:val="Heading2"/>
      </w:pPr>
      <w:bookmarkStart w:id="43" w:name="_Toc513038042"/>
      <w:r>
        <w:lastRenderedPageBreak/>
        <w:t xml:space="preserve">Analysis of ranibizumab and aflibercept for </w:t>
      </w:r>
      <w:r w:rsidR="00E03C77" w:rsidRPr="00A05872">
        <w:t>RVO</w:t>
      </w:r>
      <w:bookmarkEnd w:id="43"/>
    </w:p>
    <w:p w:rsidR="00325CE3" w:rsidRPr="00325CE3" w:rsidRDefault="00325CE3" w:rsidP="00325CE3">
      <w:r>
        <w:t xml:space="preserve">Ranibizumab and aflibercept are now both listed for CRVO and BRVO. </w:t>
      </w:r>
      <w:r w:rsidR="00817F40">
        <w:t xml:space="preserve">Figure </w:t>
      </w:r>
      <w:r w:rsidR="00DF474C">
        <w:t>6</w:t>
      </w:r>
      <w:r w:rsidR="00817F40">
        <w:t xml:space="preserve"> shows the number of patients initiating to and on treatment for RVO. </w:t>
      </w:r>
    </w:p>
    <w:p w:rsidR="00890C09" w:rsidRDefault="00890C09" w:rsidP="00852067">
      <w:r>
        <w:rPr>
          <w:noProof/>
        </w:rPr>
        <w:drawing>
          <wp:inline distT="0" distB="0" distL="0" distR="0" wp14:anchorId="5CE38DB4" wp14:editId="20C01F43">
            <wp:extent cx="5687695" cy="3528680"/>
            <wp:effectExtent l="0" t="0" r="27305" b="15240"/>
            <wp:docPr id="7" name="Chart 7" descr="Initiating and prevalent patients for CRVO and BRVO" title="Figur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0C09" w:rsidRDefault="00403745" w:rsidP="00890C09">
      <w:pPr>
        <w:pStyle w:val="Figuretitle"/>
      </w:pPr>
      <w:r w:rsidRPr="00427F72">
        <w:t xml:space="preserve">Figure </w:t>
      </w:r>
      <w:r>
        <w:t>6</w:t>
      </w:r>
      <w:r w:rsidR="00890C09">
        <w:t>: Initiating and prevalent treated patients for CRVO and BRVO</w:t>
      </w:r>
    </w:p>
    <w:p w:rsidR="00325CE3" w:rsidRDefault="00325CE3" w:rsidP="00325CE3">
      <w:r w:rsidRPr="00C95D8D">
        <w:t xml:space="preserve">The number of initiating patients has quickly stabilised. The number of treated patients initially increased and then was very stable between October 2015 and April 2016 before increasing again. </w:t>
      </w:r>
      <w:r w:rsidR="00AA6D1D" w:rsidRPr="00C95D8D">
        <w:t>Aflibercept was PBS listed for CRVO in October 2015 and BRVO in December 2016, which does not explain the increase</w:t>
      </w:r>
      <w:r w:rsidR="00DD641F" w:rsidRPr="00C95D8D">
        <w:t xml:space="preserve"> in treated patients</w:t>
      </w:r>
      <w:r w:rsidR="00AA6D1D" w:rsidRPr="00C95D8D">
        <w:t xml:space="preserve"> from May 2016. It is more likely due to patients being treated who had already been treated outside of the PBS either by laser photocoagulation or non-PBS medicines finishing their treatment. The slowly increasing number of treated patients likely represents patients truly initiating therapy on the PBS.</w:t>
      </w:r>
      <w:r>
        <w:t xml:space="preserve"> </w:t>
      </w:r>
    </w:p>
    <w:p w:rsidR="00DA3663" w:rsidRDefault="00DA3663">
      <w:pPr>
        <w:spacing w:line="276" w:lineRule="auto"/>
        <w:rPr>
          <w:b/>
        </w:rPr>
      </w:pPr>
      <w:r>
        <w:br w:type="page"/>
      </w:r>
    </w:p>
    <w:p w:rsidR="00890C09" w:rsidRDefault="00890C09" w:rsidP="00830F35">
      <w:pPr>
        <w:pStyle w:val="Tabletitle"/>
      </w:pPr>
      <w:r w:rsidRPr="00972DB2">
        <w:lastRenderedPageBreak/>
        <w:t xml:space="preserve">Table </w:t>
      </w:r>
      <w:r w:rsidR="00403745">
        <w:t>28</w:t>
      </w:r>
      <w:r w:rsidRPr="00972DB2">
        <w:t xml:space="preserve">: </w:t>
      </w:r>
      <w:r w:rsidRPr="00E76DB2">
        <w:t xml:space="preserve">Summary of patients accessing treatment for </w:t>
      </w:r>
      <w:r>
        <w:t>RVO</w:t>
      </w:r>
      <w:r w:rsidRPr="00E76DB2">
        <w:t xml:space="preserve"> and number of supplied prescriptions, supplied injections and injections per patient by calendar year</w:t>
      </w:r>
    </w:p>
    <w:tbl>
      <w:tblPr>
        <w:tblW w:w="9087" w:type="dxa"/>
        <w:tblInd w:w="93" w:type="dxa"/>
        <w:tblLayout w:type="fixed"/>
        <w:tblLook w:val="04A0" w:firstRow="1" w:lastRow="0" w:firstColumn="1" w:lastColumn="0" w:noHBand="0" w:noVBand="1"/>
        <w:tblCaption w:val="Table 28"/>
        <w:tblDescription w:val="RVO medicine use including prescriptions, injections and injections per patient"/>
      </w:tblPr>
      <w:tblGrid>
        <w:gridCol w:w="724"/>
        <w:gridCol w:w="964"/>
        <w:gridCol w:w="964"/>
        <w:gridCol w:w="1020"/>
        <w:gridCol w:w="1204"/>
        <w:gridCol w:w="1045"/>
        <w:gridCol w:w="1046"/>
        <w:gridCol w:w="1045"/>
        <w:gridCol w:w="1075"/>
      </w:tblGrid>
      <w:tr w:rsidR="00E941D0" w:rsidRPr="00EA6A1F" w:rsidTr="00E941D0">
        <w:trPr>
          <w:trHeight w:val="1545"/>
        </w:trPr>
        <w:tc>
          <w:tcPr>
            <w:tcW w:w="724"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sidRPr="00EA6A1F">
              <w:rPr>
                <w:rFonts w:ascii="Calibri" w:eastAsia="Times New Roman" w:hAnsi="Calibri" w:cs="Times New Roman"/>
                <w:b/>
                <w:bCs/>
                <w:color w:val="000000"/>
                <w:sz w:val="20"/>
                <w:szCs w:val="20"/>
              </w:rPr>
              <w:t>Year</w:t>
            </w:r>
          </w:p>
        </w:tc>
        <w:tc>
          <w:tcPr>
            <w:tcW w:w="964"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sidRPr="00EA6A1F">
              <w:rPr>
                <w:rFonts w:ascii="Calibri" w:eastAsia="Times New Roman" w:hAnsi="Calibri" w:cs="Times New Roman"/>
                <w:b/>
                <w:bCs/>
                <w:color w:val="000000"/>
                <w:sz w:val="20"/>
                <w:szCs w:val="20"/>
              </w:rPr>
              <w:t>New patients</w:t>
            </w:r>
          </w:p>
        </w:tc>
        <w:tc>
          <w:tcPr>
            <w:tcW w:w="964"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sidRPr="00EA6A1F">
              <w:rPr>
                <w:rFonts w:ascii="Calibri" w:eastAsia="Times New Roman" w:hAnsi="Calibri" w:cs="Times New Roman"/>
                <w:b/>
                <w:bCs/>
                <w:color w:val="000000"/>
                <w:sz w:val="20"/>
                <w:szCs w:val="20"/>
              </w:rPr>
              <w:t>Rate of change from previous years new patients</w:t>
            </w:r>
          </w:p>
        </w:tc>
        <w:tc>
          <w:tcPr>
            <w:tcW w:w="1020"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sidRPr="00EA6A1F">
              <w:rPr>
                <w:rFonts w:ascii="Calibri" w:eastAsia="Times New Roman" w:hAnsi="Calibri" w:cs="Times New Roman"/>
                <w:b/>
                <w:bCs/>
                <w:color w:val="000000"/>
                <w:sz w:val="20"/>
                <w:szCs w:val="20"/>
              </w:rPr>
              <w:t>Prevalent patients</w:t>
            </w:r>
          </w:p>
        </w:tc>
        <w:tc>
          <w:tcPr>
            <w:tcW w:w="1204"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Pr>
                <w:rFonts w:ascii="Calibri" w:hAnsi="Calibri"/>
                <w:b/>
                <w:bCs/>
                <w:color w:val="000000"/>
                <w:sz w:val="20"/>
                <w:szCs w:val="20"/>
              </w:rPr>
              <w:t>Initiating patients per pop ≥40/1000</w:t>
            </w:r>
          </w:p>
        </w:tc>
        <w:tc>
          <w:tcPr>
            <w:tcW w:w="1045"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Pr>
                <w:rFonts w:ascii="Calibri" w:hAnsi="Calibri"/>
                <w:b/>
                <w:bCs/>
                <w:color w:val="000000"/>
                <w:sz w:val="20"/>
                <w:szCs w:val="20"/>
              </w:rPr>
              <w:t>Treated patients per pop≥40/ 1000</w:t>
            </w:r>
          </w:p>
        </w:tc>
        <w:tc>
          <w:tcPr>
            <w:tcW w:w="1046"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Pr>
                <w:rFonts w:ascii="Calibri" w:hAnsi="Calibri"/>
                <w:b/>
                <w:bCs/>
                <w:color w:val="000000"/>
                <w:sz w:val="20"/>
                <w:szCs w:val="20"/>
              </w:rPr>
              <w:t>Prescriptions supplied</w:t>
            </w:r>
          </w:p>
        </w:tc>
        <w:tc>
          <w:tcPr>
            <w:tcW w:w="1045"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Pr>
                <w:rFonts w:ascii="Calibri" w:hAnsi="Calibri"/>
                <w:b/>
                <w:bCs/>
                <w:color w:val="000000"/>
                <w:sz w:val="20"/>
                <w:szCs w:val="20"/>
              </w:rPr>
              <w:t>Injections supplied</w:t>
            </w:r>
          </w:p>
        </w:tc>
        <w:tc>
          <w:tcPr>
            <w:tcW w:w="1075" w:type="dxa"/>
            <w:tcBorders>
              <w:top w:val="single" w:sz="4" w:space="0" w:color="auto"/>
              <w:left w:val="nil"/>
              <w:bottom w:val="single" w:sz="4" w:space="0" w:color="auto"/>
              <w:right w:val="single" w:sz="4" w:space="0" w:color="auto"/>
            </w:tcBorders>
            <w:shd w:val="clear" w:color="000000" w:fill="BFBFBF"/>
            <w:vAlign w:val="bottom"/>
            <w:hideMark/>
          </w:tcPr>
          <w:p w:rsidR="00E941D0" w:rsidRPr="00EA6A1F" w:rsidRDefault="00E941D0" w:rsidP="00EA6A1F">
            <w:pPr>
              <w:spacing w:after="0"/>
              <w:rPr>
                <w:rFonts w:ascii="Calibri" w:eastAsia="Times New Roman" w:hAnsi="Calibri" w:cs="Times New Roman"/>
                <w:b/>
                <w:bCs/>
                <w:color w:val="000000"/>
                <w:sz w:val="20"/>
                <w:szCs w:val="20"/>
              </w:rPr>
            </w:pPr>
            <w:r>
              <w:rPr>
                <w:rFonts w:ascii="Calibri" w:hAnsi="Calibri"/>
                <w:b/>
                <w:bCs/>
                <w:color w:val="000000"/>
                <w:sz w:val="20"/>
                <w:szCs w:val="20"/>
              </w:rPr>
              <w:t>Calculated injections per prevalent patient</w:t>
            </w:r>
          </w:p>
        </w:tc>
      </w:tr>
      <w:tr w:rsidR="00E941D0" w:rsidRPr="00EA6A1F" w:rsidTr="00E941D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E941D0" w:rsidRPr="00EA6A1F" w:rsidRDefault="00E941D0" w:rsidP="00EA6A1F">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2015</w:t>
            </w:r>
          </w:p>
        </w:tc>
        <w:tc>
          <w:tcPr>
            <w:tcW w:w="96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3,191</w:t>
            </w:r>
            <w:r w:rsidRPr="00E941D0">
              <w:rPr>
                <w:rFonts w:ascii="Calibri" w:eastAsia="Times New Roman" w:hAnsi="Calibri" w:cs="Times New Roman"/>
                <w:color w:val="000000"/>
                <w:sz w:val="20"/>
                <w:szCs w:val="20"/>
                <w:vertAlign w:val="superscript"/>
              </w:rPr>
              <w:t>a</w:t>
            </w:r>
            <w:r w:rsidRPr="00EA6A1F">
              <w:rPr>
                <w:rFonts w:ascii="Calibri" w:eastAsia="Times New Roman" w:hAnsi="Calibri" w:cs="Times New Roman"/>
                <w:color w:val="000000"/>
                <w:sz w:val="20"/>
                <w:szCs w:val="20"/>
              </w:rPr>
              <w:t xml:space="preserve"> </w:t>
            </w:r>
          </w:p>
        </w:tc>
        <w:tc>
          <w:tcPr>
            <w:tcW w:w="96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 </w:t>
            </w:r>
          </w:p>
        </w:tc>
        <w:tc>
          <w:tcPr>
            <w:tcW w:w="1020"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 xml:space="preserve">3,191 </w:t>
            </w:r>
          </w:p>
        </w:tc>
        <w:tc>
          <w:tcPr>
            <w:tcW w:w="120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0.288 </w:t>
            </w:r>
          </w:p>
        </w:tc>
        <w:tc>
          <w:tcPr>
            <w:tcW w:w="104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0.288 </w:t>
            </w:r>
          </w:p>
        </w:tc>
        <w:tc>
          <w:tcPr>
            <w:tcW w:w="1046"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7,784 </w:t>
            </w:r>
          </w:p>
        </w:tc>
        <w:tc>
          <w:tcPr>
            <w:tcW w:w="104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7,904 </w:t>
            </w:r>
          </w:p>
        </w:tc>
        <w:tc>
          <w:tcPr>
            <w:tcW w:w="107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2.48</w:t>
            </w:r>
          </w:p>
        </w:tc>
      </w:tr>
      <w:tr w:rsidR="00E941D0" w:rsidRPr="00EA6A1F" w:rsidTr="00E941D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E941D0" w:rsidRPr="00EA6A1F" w:rsidRDefault="00E941D0" w:rsidP="00EA6A1F">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2016</w:t>
            </w:r>
          </w:p>
        </w:tc>
        <w:tc>
          <w:tcPr>
            <w:tcW w:w="96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 xml:space="preserve">4,474 </w:t>
            </w:r>
          </w:p>
        </w:tc>
        <w:tc>
          <w:tcPr>
            <w:tcW w:w="96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40%</w:t>
            </w:r>
          </w:p>
        </w:tc>
        <w:tc>
          <w:tcPr>
            <w:tcW w:w="1020"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 xml:space="preserve">7,118 </w:t>
            </w:r>
          </w:p>
        </w:tc>
        <w:tc>
          <w:tcPr>
            <w:tcW w:w="120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0.398 </w:t>
            </w:r>
          </w:p>
        </w:tc>
        <w:tc>
          <w:tcPr>
            <w:tcW w:w="104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0.633 </w:t>
            </w:r>
          </w:p>
        </w:tc>
        <w:tc>
          <w:tcPr>
            <w:tcW w:w="1046"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29,010 </w:t>
            </w:r>
          </w:p>
        </w:tc>
        <w:tc>
          <w:tcPr>
            <w:tcW w:w="104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29,350 </w:t>
            </w:r>
          </w:p>
        </w:tc>
        <w:tc>
          <w:tcPr>
            <w:tcW w:w="107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4.12</w:t>
            </w:r>
          </w:p>
        </w:tc>
      </w:tr>
      <w:tr w:rsidR="00E941D0" w:rsidRPr="00EA6A1F" w:rsidTr="00E941D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E941D0" w:rsidRPr="00EA6A1F" w:rsidRDefault="00E941D0" w:rsidP="00EA6A1F">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2017</w:t>
            </w:r>
          </w:p>
        </w:tc>
        <w:tc>
          <w:tcPr>
            <w:tcW w:w="96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 xml:space="preserve">5,137 </w:t>
            </w:r>
          </w:p>
        </w:tc>
        <w:tc>
          <w:tcPr>
            <w:tcW w:w="96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15%</w:t>
            </w:r>
          </w:p>
        </w:tc>
        <w:tc>
          <w:tcPr>
            <w:tcW w:w="1020"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sidRPr="00EA6A1F">
              <w:rPr>
                <w:rFonts w:ascii="Calibri" w:eastAsia="Times New Roman" w:hAnsi="Calibri" w:cs="Times New Roman"/>
                <w:color w:val="000000"/>
                <w:sz w:val="20"/>
                <w:szCs w:val="20"/>
              </w:rPr>
              <w:t xml:space="preserve">10,781 </w:t>
            </w:r>
          </w:p>
        </w:tc>
        <w:tc>
          <w:tcPr>
            <w:tcW w:w="1204"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0.450 </w:t>
            </w:r>
          </w:p>
        </w:tc>
        <w:tc>
          <w:tcPr>
            <w:tcW w:w="104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0.944 </w:t>
            </w:r>
          </w:p>
        </w:tc>
        <w:tc>
          <w:tcPr>
            <w:tcW w:w="1046"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47,376 </w:t>
            </w:r>
          </w:p>
        </w:tc>
        <w:tc>
          <w:tcPr>
            <w:tcW w:w="104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48,040 </w:t>
            </w:r>
          </w:p>
        </w:tc>
        <w:tc>
          <w:tcPr>
            <w:tcW w:w="1075" w:type="dxa"/>
            <w:tcBorders>
              <w:top w:val="nil"/>
              <w:left w:val="nil"/>
              <w:bottom w:val="single" w:sz="4" w:space="0" w:color="auto"/>
              <w:right w:val="single" w:sz="4" w:space="0" w:color="auto"/>
            </w:tcBorders>
            <w:shd w:val="clear" w:color="auto" w:fill="auto"/>
            <w:noWrap/>
            <w:vAlign w:val="center"/>
            <w:hideMark/>
          </w:tcPr>
          <w:p w:rsidR="00E941D0" w:rsidRPr="00EA6A1F" w:rsidRDefault="00E941D0" w:rsidP="00E941D0">
            <w:pPr>
              <w:spacing w:after="0"/>
              <w:jc w:val="right"/>
              <w:rPr>
                <w:rFonts w:ascii="Calibri" w:eastAsia="Times New Roman" w:hAnsi="Calibri" w:cs="Times New Roman"/>
                <w:color w:val="000000"/>
                <w:sz w:val="20"/>
                <w:szCs w:val="20"/>
              </w:rPr>
            </w:pPr>
            <w:r>
              <w:rPr>
                <w:rFonts w:ascii="Calibri" w:hAnsi="Calibri"/>
                <w:color w:val="000000"/>
                <w:sz w:val="20"/>
                <w:szCs w:val="20"/>
              </w:rPr>
              <w:t>4.46</w:t>
            </w:r>
          </w:p>
        </w:tc>
      </w:tr>
    </w:tbl>
    <w:p w:rsidR="006B0EA1" w:rsidRPr="006B0EA1" w:rsidRDefault="006C603A" w:rsidP="006C603A">
      <w:pPr>
        <w:pStyle w:val="Notes"/>
      </w:pPr>
      <w:r w:rsidRPr="00EA6A1F">
        <w:t>Source: DHS Medicare Pharmacy Claims database, accessed March 2018</w:t>
      </w:r>
      <w:r w:rsidR="00E941D0">
        <w:br/>
      </w:r>
      <w:r w:rsidR="006B0EA1" w:rsidRPr="00E941D0">
        <w:rPr>
          <w:vertAlign w:val="superscript"/>
        </w:rPr>
        <w:t>a</w:t>
      </w:r>
      <w:r w:rsidR="006B0EA1" w:rsidRPr="006B0EA1">
        <w:t xml:space="preserve"> </w:t>
      </w:r>
      <w:r w:rsidR="006B0EA1">
        <w:t>part year – ranibizumab was listed  1 July 2015 for BRVO and CRVO; aflibercept listed 1 October 2015 for CRVO and 1 December 2016 for BRVO</w:t>
      </w:r>
    </w:p>
    <w:p w:rsidR="0012484A" w:rsidRDefault="0012484A" w:rsidP="00AA6D1D">
      <w:r>
        <w:t>In total 12,802 patients have been treated for BRVO or CRVO. Of the 12,802 patients who have been treated for BRVO or CRVO, 5,02</w:t>
      </w:r>
      <w:r w:rsidR="009E2118">
        <w:t>3</w:t>
      </w:r>
      <w:r>
        <w:t xml:space="preserve"> were also recorded as being treated for AMD or DMO. </w:t>
      </w:r>
      <w:r w:rsidR="00DD641F">
        <w:t>The e</w:t>
      </w:r>
      <w:r>
        <w:t xml:space="preserve">stimates </w:t>
      </w:r>
      <w:r w:rsidR="00DD641F">
        <w:t xml:space="preserve">for BRVO and CRVO </w:t>
      </w:r>
      <w:r>
        <w:t xml:space="preserve">did not account for patients with comorbidities of RVO and AMD/DMO, however it cannot be determined if this use is in patients with multiple conditions, or use outside of the PBS restriction prior to RVO listing. </w:t>
      </w:r>
    </w:p>
    <w:p w:rsidR="006C603A" w:rsidRPr="00972DB2" w:rsidRDefault="0012484A" w:rsidP="00AA6D1D">
      <w:r>
        <w:t>Of the remaining 7,780 patients who were only treated for RVO, 4,59</w:t>
      </w:r>
      <w:r w:rsidR="009E2118">
        <w:t>0</w:t>
      </w:r>
      <w:r>
        <w:t xml:space="preserve"> (59%) were only treated for BRVO, 2,999 (39%) were only treated for CRVO, and 190 (2%) were treated for both BRVO and CRVO. The following analyses use only the 7,590 patients treated for either BRVO or CRVO only.</w:t>
      </w:r>
    </w:p>
    <w:p w:rsidR="00830F35" w:rsidRPr="00BA140D" w:rsidRDefault="00830F35" w:rsidP="00242301">
      <w:pPr>
        <w:pStyle w:val="Heading3"/>
      </w:pPr>
      <w:bookmarkStart w:id="44" w:name="_Toc513038043"/>
      <w:r w:rsidRPr="00BA140D">
        <w:t>Injections per patient and continuation rates</w:t>
      </w:r>
      <w:bookmarkEnd w:id="44"/>
    </w:p>
    <w:p w:rsidR="00830F35" w:rsidRPr="006276EE" w:rsidRDefault="00830F35" w:rsidP="00AA6D1D">
      <w:pPr>
        <w:pStyle w:val="Tabletitle"/>
        <w:keepNext/>
      </w:pPr>
      <w:r w:rsidRPr="006276EE">
        <w:t>Table</w:t>
      </w:r>
      <w:r w:rsidR="00403745">
        <w:t xml:space="preserve"> 29</w:t>
      </w:r>
      <w:r w:rsidRPr="006276EE">
        <w:t>: Number and percentage of patients remaining on treatment by initiating year</w:t>
      </w:r>
    </w:p>
    <w:tbl>
      <w:tblPr>
        <w:tblW w:w="9087" w:type="dxa"/>
        <w:tblInd w:w="93" w:type="dxa"/>
        <w:tblLayout w:type="fixed"/>
        <w:tblLook w:val="04A0" w:firstRow="1" w:lastRow="0" w:firstColumn="1" w:lastColumn="0" w:noHBand="0" w:noVBand="1"/>
        <w:tblCaption w:val="Table 29b"/>
        <w:tblDescription w:val="BRVO and CRVO continuations by year"/>
      </w:tblPr>
      <w:tblGrid>
        <w:gridCol w:w="1135"/>
        <w:gridCol w:w="1136"/>
        <w:gridCol w:w="1136"/>
        <w:gridCol w:w="1136"/>
        <w:gridCol w:w="1136"/>
        <w:gridCol w:w="1136"/>
        <w:gridCol w:w="1136"/>
        <w:gridCol w:w="1136"/>
      </w:tblGrid>
      <w:tr w:rsidR="009A42C0" w:rsidRPr="009A42C0" w:rsidTr="00FB7477">
        <w:trPr>
          <w:trHeight w:val="300"/>
        </w:trPr>
        <w:tc>
          <w:tcPr>
            <w:tcW w:w="9087" w:type="dxa"/>
            <w:gridSpan w:val="8"/>
            <w:tcBorders>
              <w:top w:val="nil"/>
              <w:left w:val="nil"/>
              <w:bottom w:val="nil"/>
              <w:right w:val="nil"/>
            </w:tcBorders>
            <w:shd w:val="clear" w:color="auto" w:fill="auto"/>
            <w:noWrap/>
            <w:vAlign w:val="bottom"/>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Patient numbers by initiating year and year of treatment</w:t>
            </w:r>
          </w:p>
        </w:tc>
      </w:tr>
      <w:tr w:rsidR="009A42C0" w:rsidRPr="009A42C0" w:rsidTr="002120A9">
        <w:trPr>
          <w:trHeight w:val="300"/>
        </w:trPr>
        <w:tc>
          <w:tcPr>
            <w:tcW w:w="454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BRVO</w:t>
            </w:r>
          </w:p>
        </w:tc>
        <w:tc>
          <w:tcPr>
            <w:tcW w:w="454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CRVO</w:t>
            </w:r>
          </w:p>
        </w:tc>
      </w:tr>
      <w:tr w:rsidR="009A42C0" w:rsidRPr="009A42C0" w:rsidTr="002120A9">
        <w:trPr>
          <w:trHeight w:val="300"/>
        </w:trPr>
        <w:tc>
          <w:tcPr>
            <w:tcW w:w="113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2C0" w:rsidRPr="009A42C0" w:rsidRDefault="009A42C0" w:rsidP="009A42C0">
            <w:pPr>
              <w:spacing w:after="0"/>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 </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1</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2</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3</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1</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2</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3</w:t>
            </w:r>
          </w:p>
        </w:tc>
      </w:tr>
      <w:tr w:rsidR="009A42C0" w:rsidRPr="009A42C0" w:rsidTr="009A42C0">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2015</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760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414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222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2015</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453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240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128 </w:t>
            </w:r>
          </w:p>
        </w:tc>
      </w:tr>
      <w:tr w:rsidR="009A42C0" w:rsidRPr="009A42C0" w:rsidTr="009A42C0">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2016</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1,451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686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2016</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1,073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501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r>
      <w:tr w:rsidR="009A42C0" w:rsidRPr="009A42C0" w:rsidTr="009A42C0">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2017</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2,380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2017</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xml:space="preserve">1,473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r>
      <w:tr w:rsidR="009A42C0" w:rsidRPr="009A42C0" w:rsidTr="00FB7477">
        <w:trPr>
          <w:trHeight w:val="300"/>
        </w:trPr>
        <w:tc>
          <w:tcPr>
            <w:tcW w:w="9087" w:type="dxa"/>
            <w:gridSpan w:val="8"/>
            <w:tcBorders>
              <w:top w:val="nil"/>
              <w:left w:val="nil"/>
              <w:bottom w:val="nil"/>
              <w:right w:val="nil"/>
            </w:tcBorders>
            <w:shd w:val="clear" w:color="auto" w:fill="auto"/>
            <w:noWrap/>
            <w:vAlign w:val="bottom"/>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Percentage of continuing patients from the number of initiators in year 1</w:t>
            </w:r>
          </w:p>
        </w:tc>
      </w:tr>
      <w:tr w:rsidR="009A42C0" w:rsidRPr="009A42C0" w:rsidTr="002120A9">
        <w:trPr>
          <w:trHeight w:val="300"/>
        </w:trPr>
        <w:tc>
          <w:tcPr>
            <w:tcW w:w="454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BRVO</w:t>
            </w:r>
          </w:p>
        </w:tc>
        <w:tc>
          <w:tcPr>
            <w:tcW w:w="454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CRVO</w:t>
            </w:r>
          </w:p>
        </w:tc>
      </w:tr>
      <w:tr w:rsidR="009A42C0" w:rsidRPr="009A42C0" w:rsidTr="002120A9">
        <w:trPr>
          <w:trHeight w:val="300"/>
        </w:trPr>
        <w:tc>
          <w:tcPr>
            <w:tcW w:w="113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2C0" w:rsidRPr="009A42C0" w:rsidRDefault="009A42C0" w:rsidP="009A42C0">
            <w:pPr>
              <w:spacing w:after="0"/>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 </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1</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2</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3</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1</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2</w:t>
            </w:r>
          </w:p>
        </w:tc>
        <w:tc>
          <w:tcPr>
            <w:tcW w:w="1136" w:type="dxa"/>
            <w:tcBorders>
              <w:top w:val="nil"/>
              <w:left w:val="nil"/>
              <w:bottom w:val="single" w:sz="4" w:space="0" w:color="auto"/>
              <w:right w:val="single" w:sz="4" w:space="0" w:color="auto"/>
            </w:tcBorders>
            <w:shd w:val="clear" w:color="auto" w:fill="BFBFBF" w:themeFill="background1" w:themeFillShade="BF"/>
            <w:noWrap/>
            <w:vAlign w:val="center"/>
            <w:hideMark/>
          </w:tcPr>
          <w:p w:rsidR="009A42C0" w:rsidRPr="009A42C0" w:rsidRDefault="009A42C0" w:rsidP="009A42C0">
            <w:pPr>
              <w:spacing w:after="0"/>
              <w:jc w:val="center"/>
              <w:rPr>
                <w:rFonts w:ascii="Calibri" w:eastAsia="Times New Roman" w:hAnsi="Calibri" w:cs="Times New Roman"/>
                <w:b/>
                <w:color w:val="000000"/>
                <w:sz w:val="22"/>
                <w:szCs w:val="22"/>
              </w:rPr>
            </w:pPr>
            <w:r w:rsidRPr="009A42C0">
              <w:rPr>
                <w:rFonts w:ascii="Calibri" w:eastAsia="Times New Roman" w:hAnsi="Calibri" w:cs="Times New Roman"/>
                <w:b/>
                <w:color w:val="000000"/>
                <w:sz w:val="22"/>
                <w:szCs w:val="22"/>
              </w:rPr>
              <w:t>Year 3</w:t>
            </w:r>
          </w:p>
        </w:tc>
      </w:tr>
      <w:tr w:rsidR="009A42C0" w:rsidRPr="009A42C0" w:rsidTr="009A42C0">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2015</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54%</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29%</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2015</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53%</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28%</w:t>
            </w:r>
          </w:p>
        </w:tc>
      </w:tr>
      <w:tr w:rsidR="009A42C0" w:rsidRPr="009A42C0" w:rsidTr="009A42C0">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2016</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47%</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2016</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47%</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r>
      <w:tr w:rsidR="009A42C0" w:rsidRPr="009A42C0" w:rsidTr="009A42C0">
        <w:trPr>
          <w:trHeight w:val="30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2017</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2017</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100%</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c>
          <w:tcPr>
            <w:tcW w:w="1136" w:type="dxa"/>
            <w:tcBorders>
              <w:top w:val="nil"/>
              <w:left w:val="nil"/>
              <w:bottom w:val="single" w:sz="4" w:space="0" w:color="auto"/>
              <w:right w:val="single" w:sz="4" w:space="0" w:color="auto"/>
            </w:tcBorders>
            <w:shd w:val="clear" w:color="auto" w:fill="auto"/>
            <w:noWrap/>
            <w:vAlign w:val="center"/>
            <w:hideMark/>
          </w:tcPr>
          <w:p w:rsidR="009A42C0" w:rsidRPr="009A42C0" w:rsidRDefault="009A42C0" w:rsidP="009A42C0">
            <w:pPr>
              <w:spacing w:after="0"/>
              <w:jc w:val="right"/>
              <w:rPr>
                <w:rFonts w:ascii="Calibri" w:eastAsia="Times New Roman" w:hAnsi="Calibri" w:cs="Times New Roman"/>
                <w:color w:val="000000"/>
                <w:sz w:val="22"/>
                <w:szCs w:val="22"/>
              </w:rPr>
            </w:pPr>
            <w:r w:rsidRPr="009A42C0">
              <w:rPr>
                <w:rFonts w:ascii="Calibri" w:eastAsia="Times New Roman" w:hAnsi="Calibri" w:cs="Times New Roman"/>
                <w:color w:val="000000"/>
                <w:sz w:val="22"/>
                <w:szCs w:val="22"/>
              </w:rPr>
              <w:t> </w:t>
            </w:r>
          </w:p>
        </w:tc>
      </w:tr>
    </w:tbl>
    <w:p w:rsidR="00830F35" w:rsidRDefault="00830F35" w:rsidP="00830F35"/>
    <w:p w:rsidR="00F17EFB" w:rsidRPr="00F17EFB" w:rsidRDefault="00D230DB" w:rsidP="00E402B1">
      <w:r>
        <w:t>For both BRVO and CRVO a</w:t>
      </w:r>
      <w:r w:rsidR="001476F4">
        <w:t xml:space="preserve">bout half of patients remain on treatment in the second year, and </w:t>
      </w:r>
      <w:r w:rsidR="0072352C">
        <w:t xml:space="preserve">about 30% </w:t>
      </w:r>
      <w:r w:rsidR="001476F4">
        <w:t>in the third year</w:t>
      </w:r>
      <w:r w:rsidR="00E402B1">
        <w:t>.</w:t>
      </w:r>
      <w:r w:rsidR="001476F4">
        <w:t xml:space="preserve"> The </w:t>
      </w:r>
      <w:r w:rsidR="00E402B1">
        <w:t>proportion</w:t>
      </w:r>
      <w:r w:rsidR="001476F4">
        <w:t xml:space="preserve"> of</w:t>
      </w:r>
      <w:r w:rsidR="00E402B1">
        <w:t xml:space="preserve"> </w:t>
      </w:r>
      <w:r w:rsidR="001476F4">
        <w:t>patients ceasing treatment due to resolution or</w:t>
      </w:r>
      <w:r w:rsidR="00E402B1">
        <w:t xml:space="preserve"> lack of improvement cannot be ascertained from prescription data. </w:t>
      </w:r>
      <w:r w:rsidR="00817F40">
        <w:t xml:space="preserve">It has been noted that BRVO can </w:t>
      </w:r>
      <w:r w:rsidR="00817F40" w:rsidRPr="00325CE3">
        <w:t>spontaneously resolve</w:t>
      </w:r>
      <w:r w:rsidR="00817F40">
        <w:t xml:space="preserve">. </w:t>
      </w:r>
    </w:p>
    <w:p w:rsidR="00830F35" w:rsidRPr="00372A62" w:rsidRDefault="00830F35" w:rsidP="00830F35">
      <w:pPr>
        <w:pStyle w:val="Tabletitle"/>
      </w:pPr>
      <w:r w:rsidRPr="00372A62">
        <w:lastRenderedPageBreak/>
        <w:t xml:space="preserve">Table </w:t>
      </w:r>
      <w:r w:rsidR="00403745">
        <w:t>30</w:t>
      </w:r>
      <w:r w:rsidRPr="00372A62">
        <w:t>: Average number of injections supplied in each 12 months of therapy for patients by initiating year</w:t>
      </w:r>
    </w:p>
    <w:tbl>
      <w:tblPr>
        <w:tblW w:w="77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0"/>
        <w:tblDescription w:val="Average injections for BRVO and CRVO"/>
      </w:tblPr>
      <w:tblGrid>
        <w:gridCol w:w="1701"/>
        <w:gridCol w:w="1077"/>
        <w:gridCol w:w="1077"/>
        <w:gridCol w:w="1701"/>
        <w:gridCol w:w="1077"/>
        <w:gridCol w:w="1077"/>
      </w:tblGrid>
      <w:tr w:rsidR="007F145D" w:rsidRPr="00372A62" w:rsidTr="00FB7477">
        <w:trPr>
          <w:trHeight w:val="255"/>
        </w:trPr>
        <w:tc>
          <w:tcPr>
            <w:tcW w:w="3855" w:type="dxa"/>
            <w:gridSpan w:val="3"/>
            <w:shd w:val="clear" w:color="auto" w:fill="BFBFBF" w:themeFill="background1" w:themeFillShade="BF"/>
            <w:noWrap/>
            <w:vAlign w:val="bottom"/>
          </w:tcPr>
          <w:p w:rsidR="007F145D" w:rsidRPr="00372A62" w:rsidRDefault="007F145D" w:rsidP="00E03C77">
            <w:pPr>
              <w:pStyle w:val="Tableheading"/>
              <w:rPr>
                <w:rFonts w:ascii="Calibri" w:hAnsi="Calibri"/>
                <w:bCs/>
                <w:sz w:val="20"/>
                <w:szCs w:val="20"/>
              </w:rPr>
            </w:pPr>
            <w:r>
              <w:rPr>
                <w:rFonts w:ascii="Calibri" w:hAnsi="Calibri"/>
                <w:bCs/>
                <w:sz w:val="20"/>
                <w:szCs w:val="20"/>
              </w:rPr>
              <w:t>BRVO</w:t>
            </w:r>
          </w:p>
        </w:tc>
        <w:tc>
          <w:tcPr>
            <w:tcW w:w="3855" w:type="dxa"/>
            <w:gridSpan w:val="3"/>
            <w:shd w:val="clear" w:color="auto" w:fill="BFBFBF" w:themeFill="background1" w:themeFillShade="BF"/>
            <w:vAlign w:val="bottom"/>
          </w:tcPr>
          <w:p w:rsidR="007F145D" w:rsidRPr="00372A62" w:rsidRDefault="007F145D" w:rsidP="00E03C77">
            <w:pPr>
              <w:pStyle w:val="Tableheading"/>
              <w:rPr>
                <w:rFonts w:ascii="Calibri" w:hAnsi="Calibri"/>
                <w:bCs/>
                <w:sz w:val="20"/>
                <w:szCs w:val="20"/>
              </w:rPr>
            </w:pPr>
            <w:r>
              <w:rPr>
                <w:rFonts w:ascii="Calibri" w:hAnsi="Calibri"/>
                <w:bCs/>
                <w:sz w:val="20"/>
                <w:szCs w:val="20"/>
              </w:rPr>
              <w:t>CRVO</w:t>
            </w:r>
          </w:p>
        </w:tc>
      </w:tr>
      <w:tr w:rsidR="007F145D" w:rsidRPr="00372A62" w:rsidTr="007F145D">
        <w:trPr>
          <w:trHeight w:val="255"/>
        </w:trPr>
        <w:tc>
          <w:tcPr>
            <w:tcW w:w="1701" w:type="dxa"/>
            <w:shd w:val="clear" w:color="auto" w:fill="BFBFBF" w:themeFill="background1" w:themeFillShade="BF"/>
            <w:noWrap/>
            <w:vAlign w:val="bottom"/>
          </w:tcPr>
          <w:p w:rsidR="007F145D" w:rsidRPr="00372A62" w:rsidRDefault="007F145D" w:rsidP="00E03C77">
            <w:pPr>
              <w:pStyle w:val="Tableheading"/>
              <w:rPr>
                <w:rFonts w:eastAsia="Times New Roman" w:cs="Times New Roman"/>
                <w:sz w:val="20"/>
                <w:szCs w:val="20"/>
              </w:rPr>
            </w:pPr>
            <w:r w:rsidRPr="00372A62">
              <w:rPr>
                <w:sz w:val="20"/>
                <w:szCs w:val="20"/>
              </w:rPr>
              <w:t> </w:t>
            </w:r>
          </w:p>
        </w:tc>
        <w:tc>
          <w:tcPr>
            <w:tcW w:w="1077" w:type="dxa"/>
            <w:shd w:val="clear" w:color="auto" w:fill="BFBFBF" w:themeFill="background1" w:themeFillShade="BF"/>
            <w:noWrap/>
            <w:vAlign w:val="bottom"/>
          </w:tcPr>
          <w:p w:rsidR="007F145D" w:rsidRPr="00372A62" w:rsidRDefault="007F145D" w:rsidP="00E03C77">
            <w:pPr>
              <w:pStyle w:val="Tableheading"/>
              <w:rPr>
                <w:rFonts w:eastAsia="Times New Roman" w:cs="Times New Roman"/>
                <w:sz w:val="20"/>
                <w:szCs w:val="20"/>
              </w:rPr>
            </w:pPr>
            <w:r w:rsidRPr="00372A62">
              <w:rPr>
                <w:rFonts w:ascii="Calibri" w:hAnsi="Calibri"/>
                <w:bCs/>
                <w:sz w:val="20"/>
                <w:szCs w:val="20"/>
              </w:rPr>
              <w:t xml:space="preserve"> Year 1</w:t>
            </w:r>
          </w:p>
        </w:tc>
        <w:tc>
          <w:tcPr>
            <w:tcW w:w="1077" w:type="dxa"/>
            <w:shd w:val="clear" w:color="auto" w:fill="BFBFBF" w:themeFill="background1" w:themeFillShade="BF"/>
            <w:noWrap/>
            <w:vAlign w:val="bottom"/>
          </w:tcPr>
          <w:p w:rsidR="007F145D" w:rsidRPr="00372A62" w:rsidRDefault="007F145D" w:rsidP="00E03C77">
            <w:pPr>
              <w:pStyle w:val="Tableheading"/>
              <w:rPr>
                <w:rFonts w:eastAsia="Times New Roman" w:cs="Times New Roman"/>
                <w:sz w:val="20"/>
                <w:szCs w:val="20"/>
              </w:rPr>
            </w:pPr>
            <w:r w:rsidRPr="00372A62">
              <w:rPr>
                <w:rFonts w:ascii="Calibri" w:hAnsi="Calibri"/>
                <w:bCs/>
                <w:sz w:val="20"/>
                <w:szCs w:val="20"/>
              </w:rPr>
              <w:t xml:space="preserve"> Year 2</w:t>
            </w:r>
          </w:p>
        </w:tc>
        <w:tc>
          <w:tcPr>
            <w:tcW w:w="1701" w:type="dxa"/>
            <w:shd w:val="clear" w:color="auto" w:fill="BFBFBF" w:themeFill="background1" w:themeFillShade="BF"/>
            <w:vAlign w:val="bottom"/>
          </w:tcPr>
          <w:p w:rsidR="007F145D" w:rsidRPr="00372A62" w:rsidRDefault="007F145D" w:rsidP="00E03C77">
            <w:pPr>
              <w:pStyle w:val="Tableheading"/>
              <w:rPr>
                <w:rFonts w:ascii="Calibri" w:hAnsi="Calibri"/>
                <w:bCs/>
                <w:sz w:val="20"/>
                <w:szCs w:val="20"/>
              </w:rPr>
            </w:pPr>
            <w:r w:rsidRPr="00372A62">
              <w:rPr>
                <w:sz w:val="20"/>
                <w:szCs w:val="20"/>
              </w:rPr>
              <w:t> </w:t>
            </w:r>
          </w:p>
        </w:tc>
        <w:tc>
          <w:tcPr>
            <w:tcW w:w="1077" w:type="dxa"/>
            <w:shd w:val="clear" w:color="auto" w:fill="BFBFBF" w:themeFill="background1" w:themeFillShade="BF"/>
            <w:vAlign w:val="bottom"/>
          </w:tcPr>
          <w:p w:rsidR="007F145D" w:rsidRPr="00372A62" w:rsidRDefault="007F145D" w:rsidP="00E03C77">
            <w:pPr>
              <w:pStyle w:val="Tableheading"/>
              <w:rPr>
                <w:rFonts w:ascii="Calibri" w:hAnsi="Calibri"/>
                <w:bCs/>
                <w:sz w:val="20"/>
                <w:szCs w:val="20"/>
              </w:rPr>
            </w:pPr>
            <w:r w:rsidRPr="00372A62">
              <w:rPr>
                <w:rFonts w:ascii="Calibri" w:hAnsi="Calibri"/>
                <w:bCs/>
                <w:sz w:val="20"/>
                <w:szCs w:val="20"/>
              </w:rPr>
              <w:t xml:space="preserve"> Year 1</w:t>
            </w:r>
          </w:p>
        </w:tc>
        <w:tc>
          <w:tcPr>
            <w:tcW w:w="1077" w:type="dxa"/>
            <w:shd w:val="clear" w:color="auto" w:fill="BFBFBF" w:themeFill="background1" w:themeFillShade="BF"/>
            <w:vAlign w:val="bottom"/>
          </w:tcPr>
          <w:p w:rsidR="007F145D" w:rsidRPr="00372A62" w:rsidRDefault="007F145D" w:rsidP="00E03C77">
            <w:pPr>
              <w:pStyle w:val="Tableheading"/>
              <w:rPr>
                <w:rFonts w:ascii="Calibri" w:hAnsi="Calibri"/>
                <w:bCs/>
                <w:sz w:val="20"/>
                <w:szCs w:val="20"/>
              </w:rPr>
            </w:pPr>
            <w:r w:rsidRPr="00372A62">
              <w:rPr>
                <w:rFonts w:ascii="Calibri" w:hAnsi="Calibri"/>
                <w:bCs/>
                <w:sz w:val="20"/>
                <w:szCs w:val="20"/>
              </w:rPr>
              <w:t xml:space="preserve"> Year 2</w:t>
            </w:r>
          </w:p>
        </w:tc>
      </w:tr>
      <w:tr w:rsidR="007F145D" w:rsidRPr="00372A62" w:rsidTr="007F145D">
        <w:trPr>
          <w:trHeight w:val="255"/>
        </w:trPr>
        <w:tc>
          <w:tcPr>
            <w:tcW w:w="1701" w:type="dxa"/>
            <w:shd w:val="clear" w:color="auto" w:fill="auto"/>
            <w:noWrap/>
            <w:vAlign w:val="bottom"/>
          </w:tcPr>
          <w:p w:rsidR="007F145D" w:rsidRPr="00372A62" w:rsidRDefault="007F145D" w:rsidP="00E03C77">
            <w:pPr>
              <w:pStyle w:val="Tablewriting"/>
              <w:rPr>
                <w:color w:val="auto"/>
              </w:rPr>
            </w:pPr>
            <w:r w:rsidRPr="00372A62">
              <w:rPr>
                <w:color w:val="auto"/>
              </w:rPr>
              <w:t>Initiated 2015</w:t>
            </w:r>
          </w:p>
        </w:tc>
        <w:tc>
          <w:tcPr>
            <w:tcW w:w="1077" w:type="dxa"/>
            <w:shd w:val="clear" w:color="auto" w:fill="auto"/>
            <w:noWrap/>
            <w:vAlign w:val="bottom"/>
          </w:tcPr>
          <w:p w:rsidR="007F145D" w:rsidRPr="00372A62" w:rsidRDefault="007F145D" w:rsidP="00E03C77">
            <w:pPr>
              <w:pStyle w:val="Tablewriting"/>
              <w:jc w:val="center"/>
              <w:rPr>
                <w:color w:val="auto"/>
              </w:rPr>
            </w:pPr>
            <w:r>
              <w:rPr>
                <w:rFonts w:ascii="Calibri" w:hAnsi="Calibri"/>
                <w:sz w:val="22"/>
                <w:szCs w:val="22"/>
              </w:rPr>
              <w:t>5.10</w:t>
            </w:r>
          </w:p>
        </w:tc>
        <w:tc>
          <w:tcPr>
            <w:tcW w:w="1077" w:type="dxa"/>
            <w:shd w:val="clear" w:color="auto" w:fill="auto"/>
            <w:noWrap/>
            <w:vAlign w:val="bottom"/>
          </w:tcPr>
          <w:p w:rsidR="007F145D" w:rsidRPr="00372A62" w:rsidRDefault="007F145D" w:rsidP="00E03C77">
            <w:pPr>
              <w:pStyle w:val="Tablewriting"/>
              <w:jc w:val="center"/>
              <w:rPr>
                <w:color w:val="auto"/>
              </w:rPr>
            </w:pPr>
            <w:r>
              <w:rPr>
                <w:rFonts w:ascii="Calibri" w:hAnsi="Calibri"/>
                <w:sz w:val="22"/>
                <w:szCs w:val="22"/>
              </w:rPr>
              <w:t>4.95</w:t>
            </w:r>
          </w:p>
        </w:tc>
        <w:tc>
          <w:tcPr>
            <w:tcW w:w="1701" w:type="dxa"/>
            <w:vAlign w:val="bottom"/>
          </w:tcPr>
          <w:p w:rsidR="007F145D" w:rsidRDefault="007F145D" w:rsidP="00E03C77">
            <w:pPr>
              <w:pStyle w:val="Tablewriting"/>
              <w:jc w:val="center"/>
              <w:rPr>
                <w:rFonts w:ascii="Calibri" w:hAnsi="Calibri"/>
                <w:sz w:val="22"/>
                <w:szCs w:val="22"/>
              </w:rPr>
            </w:pPr>
            <w:r w:rsidRPr="00372A62">
              <w:rPr>
                <w:color w:val="auto"/>
              </w:rPr>
              <w:t>Initiated 2015</w:t>
            </w:r>
          </w:p>
        </w:tc>
        <w:tc>
          <w:tcPr>
            <w:tcW w:w="1077" w:type="dxa"/>
            <w:vAlign w:val="bottom"/>
          </w:tcPr>
          <w:p w:rsidR="007F145D" w:rsidRDefault="007F145D" w:rsidP="00E03C77">
            <w:pPr>
              <w:pStyle w:val="Tablewriting"/>
              <w:jc w:val="center"/>
              <w:rPr>
                <w:rFonts w:ascii="Calibri" w:hAnsi="Calibri"/>
                <w:sz w:val="22"/>
                <w:szCs w:val="22"/>
              </w:rPr>
            </w:pPr>
            <w:r>
              <w:rPr>
                <w:rFonts w:ascii="Calibri" w:hAnsi="Calibri"/>
                <w:sz w:val="22"/>
                <w:szCs w:val="22"/>
              </w:rPr>
              <w:t>5.13</w:t>
            </w:r>
          </w:p>
        </w:tc>
        <w:tc>
          <w:tcPr>
            <w:tcW w:w="1077" w:type="dxa"/>
            <w:vAlign w:val="bottom"/>
          </w:tcPr>
          <w:p w:rsidR="007F145D" w:rsidRDefault="007F145D" w:rsidP="00E03C77">
            <w:pPr>
              <w:pStyle w:val="Tablewriting"/>
              <w:jc w:val="center"/>
              <w:rPr>
                <w:rFonts w:ascii="Calibri" w:hAnsi="Calibri"/>
                <w:sz w:val="22"/>
                <w:szCs w:val="22"/>
              </w:rPr>
            </w:pPr>
            <w:r>
              <w:rPr>
                <w:rFonts w:ascii="Calibri" w:hAnsi="Calibri"/>
                <w:sz w:val="22"/>
                <w:szCs w:val="22"/>
              </w:rPr>
              <w:t>5.09</w:t>
            </w:r>
          </w:p>
        </w:tc>
      </w:tr>
      <w:tr w:rsidR="007F145D" w:rsidRPr="00372A62" w:rsidTr="007F145D">
        <w:trPr>
          <w:trHeight w:val="255"/>
        </w:trPr>
        <w:tc>
          <w:tcPr>
            <w:tcW w:w="1701" w:type="dxa"/>
            <w:shd w:val="clear" w:color="auto" w:fill="auto"/>
            <w:noWrap/>
            <w:vAlign w:val="bottom"/>
          </w:tcPr>
          <w:p w:rsidR="007F145D" w:rsidRPr="00372A62" w:rsidRDefault="007F145D" w:rsidP="00E03C77">
            <w:pPr>
              <w:pStyle w:val="Tablewriting"/>
              <w:rPr>
                <w:color w:val="auto"/>
              </w:rPr>
            </w:pPr>
            <w:r w:rsidRPr="00372A62">
              <w:rPr>
                <w:color w:val="auto"/>
              </w:rPr>
              <w:t>Initiated 2016</w:t>
            </w:r>
          </w:p>
        </w:tc>
        <w:tc>
          <w:tcPr>
            <w:tcW w:w="1077" w:type="dxa"/>
            <w:shd w:val="clear" w:color="auto" w:fill="auto"/>
            <w:noWrap/>
            <w:vAlign w:val="bottom"/>
          </w:tcPr>
          <w:p w:rsidR="007F145D" w:rsidRPr="00372A62" w:rsidRDefault="007F145D" w:rsidP="00E03C77">
            <w:pPr>
              <w:pStyle w:val="Tablewriting"/>
              <w:jc w:val="center"/>
              <w:rPr>
                <w:color w:val="auto"/>
              </w:rPr>
            </w:pPr>
            <w:r>
              <w:rPr>
                <w:rFonts w:ascii="Calibri" w:hAnsi="Calibri"/>
                <w:sz w:val="22"/>
                <w:szCs w:val="22"/>
              </w:rPr>
              <w:t>6.22</w:t>
            </w:r>
          </w:p>
        </w:tc>
        <w:tc>
          <w:tcPr>
            <w:tcW w:w="1077" w:type="dxa"/>
            <w:shd w:val="clear" w:color="auto" w:fill="auto"/>
            <w:noWrap/>
            <w:vAlign w:val="bottom"/>
          </w:tcPr>
          <w:p w:rsidR="007F145D" w:rsidRPr="00372A62" w:rsidRDefault="007F145D" w:rsidP="00E03C77">
            <w:pPr>
              <w:pStyle w:val="Tablewriting"/>
              <w:jc w:val="center"/>
              <w:rPr>
                <w:color w:val="auto"/>
              </w:rPr>
            </w:pPr>
          </w:p>
        </w:tc>
        <w:tc>
          <w:tcPr>
            <w:tcW w:w="1701" w:type="dxa"/>
            <w:vAlign w:val="bottom"/>
          </w:tcPr>
          <w:p w:rsidR="007F145D" w:rsidRPr="00372A62" w:rsidRDefault="007F145D" w:rsidP="00E03C77">
            <w:pPr>
              <w:pStyle w:val="Tablewriting"/>
              <w:jc w:val="center"/>
              <w:rPr>
                <w:color w:val="auto"/>
              </w:rPr>
            </w:pPr>
            <w:r w:rsidRPr="00372A62">
              <w:rPr>
                <w:color w:val="auto"/>
              </w:rPr>
              <w:t>Initiated 2016</w:t>
            </w:r>
          </w:p>
        </w:tc>
        <w:tc>
          <w:tcPr>
            <w:tcW w:w="1077" w:type="dxa"/>
            <w:vAlign w:val="bottom"/>
          </w:tcPr>
          <w:p w:rsidR="007F145D" w:rsidRPr="00372A62" w:rsidRDefault="007F145D" w:rsidP="00E03C77">
            <w:pPr>
              <w:pStyle w:val="Tablewriting"/>
              <w:jc w:val="center"/>
              <w:rPr>
                <w:color w:val="auto"/>
              </w:rPr>
            </w:pPr>
            <w:r>
              <w:rPr>
                <w:rFonts w:ascii="Calibri" w:hAnsi="Calibri"/>
                <w:sz w:val="22"/>
                <w:szCs w:val="22"/>
              </w:rPr>
              <w:t>5.88</w:t>
            </w:r>
          </w:p>
        </w:tc>
        <w:tc>
          <w:tcPr>
            <w:tcW w:w="1077" w:type="dxa"/>
            <w:vAlign w:val="bottom"/>
          </w:tcPr>
          <w:p w:rsidR="007F145D" w:rsidRPr="00372A62" w:rsidRDefault="007F145D" w:rsidP="00E03C77">
            <w:pPr>
              <w:pStyle w:val="Tablewriting"/>
              <w:jc w:val="center"/>
              <w:rPr>
                <w:color w:val="auto"/>
              </w:rPr>
            </w:pPr>
          </w:p>
        </w:tc>
      </w:tr>
    </w:tbl>
    <w:p w:rsidR="00830F35" w:rsidRPr="00372A62" w:rsidRDefault="00830F35" w:rsidP="00830F35">
      <w:pPr>
        <w:pStyle w:val="Notes"/>
        <w:tabs>
          <w:tab w:val="left" w:pos="6480"/>
        </w:tabs>
        <w:rPr>
          <w:rFonts w:cs="Arial"/>
        </w:rPr>
      </w:pPr>
      <w:r w:rsidRPr="00372A62">
        <w:t>Source: DHS Medicare Pharmacy Claims database, accessed March 2018</w:t>
      </w:r>
      <w:r w:rsidRPr="00372A62">
        <w:tab/>
      </w:r>
      <w:r w:rsidRPr="00372A62">
        <w:br/>
      </w:r>
      <w:r w:rsidRPr="00372A62">
        <w:rPr>
          <w:rFonts w:cs="Arial"/>
          <w:vertAlign w:val="superscript"/>
        </w:rPr>
        <w:t xml:space="preserve">a </w:t>
      </w:r>
      <w:r w:rsidRPr="00372A62">
        <w:rPr>
          <w:rFonts w:cs="Arial"/>
        </w:rPr>
        <w:t>This cohort may also contain some patients who were grandfathered and therefore are not initiators to the therapy.</w:t>
      </w:r>
    </w:p>
    <w:p w:rsidR="00830F35" w:rsidRPr="00F17EFB" w:rsidRDefault="00757A61" w:rsidP="00D93564">
      <w:pPr>
        <w:rPr>
          <w:b/>
        </w:rPr>
      </w:pPr>
      <w:r w:rsidRPr="0072352C">
        <w:t>The mean number of injections for RVO is lower than for AMD or DMO</w:t>
      </w:r>
      <w:r w:rsidR="00DD641F" w:rsidRPr="0072352C">
        <w:t>, likely due the low rates of bilateral treatment in RVO</w:t>
      </w:r>
      <w:r w:rsidRPr="0072352C">
        <w:t xml:space="preserve">. </w:t>
      </w:r>
    </w:p>
    <w:p w:rsidR="006E6D90" w:rsidRDefault="006E6D90" w:rsidP="00242301">
      <w:pPr>
        <w:pStyle w:val="Heading3"/>
      </w:pPr>
      <w:bookmarkStart w:id="45" w:name="_Toc513038044"/>
      <w:r w:rsidRPr="00511014">
        <w:t>Number of injections per patient</w:t>
      </w:r>
      <w:r w:rsidR="00540566">
        <w:t xml:space="preserve"> by medicine</w:t>
      </w:r>
      <w:bookmarkEnd w:id="45"/>
    </w:p>
    <w:p w:rsidR="006E6D90" w:rsidRDefault="006E6D90" w:rsidP="006E6D90">
      <w:r>
        <w:t xml:space="preserve">The number of injections per patient in their first 12 months of RVO treatment </w:t>
      </w:r>
      <w:r w:rsidR="00D15D75">
        <w:t xml:space="preserve">by medicine prescribed </w:t>
      </w:r>
      <w:r>
        <w:t>is presented below. Note that ranibizumab listed July 2015 for CRVO and BRVO, aflibercept listed October 2015 for CRVO and December 2016 for BRVO.</w:t>
      </w:r>
    </w:p>
    <w:p w:rsidR="006E6D90" w:rsidRPr="00156F02" w:rsidRDefault="006E6D90" w:rsidP="006E6D90">
      <w:pPr>
        <w:pStyle w:val="Tabletitle"/>
      </w:pPr>
      <w:r>
        <w:t xml:space="preserve">Table </w:t>
      </w:r>
      <w:r w:rsidR="00403745">
        <w:t>31</w:t>
      </w:r>
      <w:r>
        <w:t xml:space="preserve">: Initiated 1 January 2016 to 31 December 2016 </w:t>
      </w:r>
    </w:p>
    <w:tbl>
      <w:tblPr>
        <w:tblW w:w="6897" w:type="dxa"/>
        <w:tblInd w:w="93" w:type="dxa"/>
        <w:tblLook w:val="04A0" w:firstRow="1" w:lastRow="0" w:firstColumn="1" w:lastColumn="0" w:noHBand="0" w:noVBand="1"/>
        <w:tblCaption w:val="Table 32"/>
        <w:tblDescription w:val="BRVO and CRVO prescriptions by quantity dispensed"/>
      </w:tblPr>
      <w:tblGrid>
        <w:gridCol w:w="2156"/>
        <w:gridCol w:w="1683"/>
        <w:gridCol w:w="1679"/>
        <w:gridCol w:w="1379"/>
      </w:tblGrid>
      <w:tr w:rsidR="006E6D90" w:rsidRPr="009B5E63" w:rsidTr="00FE3668">
        <w:trPr>
          <w:trHeight w:val="1288"/>
        </w:trPr>
        <w:tc>
          <w:tcPr>
            <w:tcW w:w="2156"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6E6D90" w:rsidRPr="009B5E63" w:rsidRDefault="006E6D90" w:rsidP="00FE3668">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Medicines received</w:t>
            </w:r>
          </w:p>
        </w:tc>
        <w:tc>
          <w:tcPr>
            <w:tcW w:w="1683" w:type="dxa"/>
            <w:tcBorders>
              <w:top w:val="single" w:sz="4" w:space="0" w:color="auto"/>
              <w:left w:val="nil"/>
              <w:bottom w:val="single" w:sz="4" w:space="0" w:color="auto"/>
              <w:right w:val="single" w:sz="4" w:space="0" w:color="auto"/>
            </w:tcBorders>
            <w:shd w:val="clear" w:color="000000" w:fill="BFBFBF"/>
            <w:vAlign w:val="center"/>
            <w:hideMark/>
          </w:tcPr>
          <w:p w:rsidR="006E6D90" w:rsidRPr="009B5E63" w:rsidRDefault="006E6D90" w:rsidP="00FE3668">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Number of patie</w:t>
            </w:r>
            <w:r>
              <w:rPr>
                <w:rFonts w:ascii="Calibri" w:eastAsia="Times New Roman" w:hAnsi="Calibri" w:cs="Times New Roman"/>
                <w:b/>
                <w:bCs/>
                <w:color w:val="000000"/>
                <w:sz w:val="20"/>
                <w:szCs w:val="20"/>
              </w:rPr>
              <w:t>nts new to RVO treatment (Jan 16 to Dec 16</w:t>
            </w:r>
            <w:r w:rsidRPr="009B5E63">
              <w:rPr>
                <w:rFonts w:ascii="Calibri" w:eastAsia="Times New Roman" w:hAnsi="Calibri" w:cs="Times New Roman"/>
                <w:b/>
                <w:bCs/>
                <w:color w:val="000000"/>
                <w:sz w:val="20"/>
                <w:szCs w:val="20"/>
              </w:rPr>
              <w:t>)</w:t>
            </w:r>
          </w:p>
        </w:tc>
        <w:tc>
          <w:tcPr>
            <w:tcW w:w="1679" w:type="dxa"/>
            <w:tcBorders>
              <w:top w:val="single" w:sz="4" w:space="0" w:color="auto"/>
              <w:left w:val="nil"/>
              <w:bottom w:val="single" w:sz="4" w:space="0" w:color="auto"/>
              <w:right w:val="single" w:sz="4" w:space="0" w:color="auto"/>
            </w:tcBorders>
            <w:shd w:val="clear" w:color="000000" w:fill="BFBFBF"/>
            <w:vAlign w:val="center"/>
            <w:hideMark/>
          </w:tcPr>
          <w:p w:rsidR="006E6D90" w:rsidRPr="009B5E63" w:rsidRDefault="006E6D90" w:rsidP="00FE3668">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Mean number of injections per new patient in their first 12 months of treatment</w:t>
            </w:r>
          </w:p>
        </w:tc>
        <w:tc>
          <w:tcPr>
            <w:tcW w:w="1378" w:type="dxa"/>
            <w:tcBorders>
              <w:top w:val="single" w:sz="4" w:space="0" w:color="auto"/>
              <w:left w:val="nil"/>
              <w:bottom w:val="single" w:sz="4" w:space="0" w:color="auto"/>
              <w:right w:val="single" w:sz="4" w:space="0" w:color="auto"/>
            </w:tcBorders>
            <w:shd w:val="clear" w:color="000000" w:fill="BFBFBF"/>
            <w:vAlign w:val="bottom"/>
            <w:hideMark/>
          </w:tcPr>
          <w:p w:rsidR="006E6D90" w:rsidRPr="009B5E63" w:rsidRDefault="006E6D90" w:rsidP="00FE3668">
            <w:pPr>
              <w:spacing w:after="0"/>
              <w:rPr>
                <w:rFonts w:ascii="Calibri" w:eastAsia="Times New Roman" w:hAnsi="Calibri" w:cs="Times New Roman"/>
                <w:b/>
                <w:bCs/>
                <w:color w:val="000000"/>
                <w:sz w:val="20"/>
                <w:szCs w:val="20"/>
              </w:rPr>
            </w:pPr>
            <w:r w:rsidRPr="009B5E63">
              <w:rPr>
                <w:rFonts w:ascii="Calibri" w:eastAsia="Times New Roman" w:hAnsi="Calibri" w:cs="Times New Roman"/>
                <w:b/>
                <w:bCs/>
                <w:color w:val="000000"/>
                <w:sz w:val="20"/>
                <w:szCs w:val="20"/>
              </w:rPr>
              <w:t>Weighted mean number of injections</w:t>
            </w:r>
          </w:p>
        </w:tc>
      </w:tr>
      <w:tr w:rsidR="006E6D90" w:rsidRPr="009B5E63" w:rsidTr="00FE3668">
        <w:trPr>
          <w:trHeight w:val="303"/>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6E6D90" w:rsidRPr="009B5E63" w:rsidRDefault="006E6D90" w:rsidP="00FE3668">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Aflibercept only</w:t>
            </w:r>
          </w:p>
        </w:tc>
        <w:tc>
          <w:tcPr>
            <w:tcW w:w="1683"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664 </w:t>
            </w:r>
          </w:p>
        </w:tc>
        <w:tc>
          <w:tcPr>
            <w:tcW w:w="1679"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5.76</w:t>
            </w:r>
          </w:p>
        </w:tc>
        <w:tc>
          <w:tcPr>
            <w:tcW w:w="1378" w:type="dxa"/>
            <w:vMerge w:val="restart"/>
            <w:tcBorders>
              <w:top w:val="nil"/>
              <w:left w:val="nil"/>
              <w:right w:val="single" w:sz="4" w:space="0" w:color="auto"/>
            </w:tcBorders>
            <w:shd w:val="clear" w:color="auto" w:fill="auto"/>
            <w:vAlign w:val="center"/>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5.84</w:t>
            </w:r>
          </w:p>
        </w:tc>
      </w:tr>
      <w:tr w:rsidR="006E6D90" w:rsidRPr="009B5E63" w:rsidTr="00FE3668">
        <w:trPr>
          <w:trHeight w:val="303"/>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6E6D90" w:rsidRPr="009B5E63" w:rsidRDefault="006E6D90" w:rsidP="00FE3668">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Aflibercept + ranibizumab</w:t>
            </w:r>
          </w:p>
        </w:tc>
        <w:tc>
          <w:tcPr>
            <w:tcW w:w="1683"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13 </w:t>
            </w:r>
          </w:p>
        </w:tc>
        <w:tc>
          <w:tcPr>
            <w:tcW w:w="1679"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10.15</w:t>
            </w:r>
          </w:p>
        </w:tc>
        <w:tc>
          <w:tcPr>
            <w:tcW w:w="1378" w:type="dxa"/>
            <w:vMerge/>
            <w:tcBorders>
              <w:left w:val="nil"/>
              <w:bottom w:val="single" w:sz="4" w:space="0" w:color="auto"/>
              <w:right w:val="single" w:sz="4" w:space="0" w:color="auto"/>
            </w:tcBorders>
            <w:shd w:val="clear" w:color="auto" w:fill="auto"/>
            <w:vAlign w:val="center"/>
            <w:hideMark/>
          </w:tcPr>
          <w:p w:rsidR="006E6D90" w:rsidRPr="009B5E63" w:rsidRDefault="006E6D90" w:rsidP="00FE3668">
            <w:pPr>
              <w:spacing w:after="0"/>
              <w:jc w:val="right"/>
              <w:rPr>
                <w:rFonts w:ascii="Calibri" w:eastAsia="Times New Roman" w:hAnsi="Calibri" w:cs="Times New Roman"/>
                <w:color w:val="000000"/>
                <w:sz w:val="20"/>
                <w:szCs w:val="20"/>
              </w:rPr>
            </w:pPr>
          </w:p>
        </w:tc>
      </w:tr>
      <w:tr w:rsidR="006E6D90" w:rsidRPr="009B5E63" w:rsidTr="00FE3668">
        <w:trPr>
          <w:trHeight w:val="303"/>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6E6D90" w:rsidRPr="009B5E63" w:rsidRDefault="006E6D90" w:rsidP="00FE3668">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Ranibizumab only</w:t>
            </w:r>
          </w:p>
        </w:tc>
        <w:tc>
          <w:tcPr>
            <w:tcW w:w="1683"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1,659 </w:t>
            </w:r>
          </w:p>
        </w:tc>
        <w:tc>
          <w:tcPr>
            <w:tcW w:w="1679"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5.86</w:t>
            </w:r>
          </w:p>
        </w:tc>
        <w:tc>
          <w:tcPr>
            <w:tcW w:w="1378" w:type="dxa"/>
            <w:vMerge w:val="restart"/>
            <w:tcBorders>
              <w:top w:val="nil"/>
              <w:left w:val="nil"/>
              <w:right w:val="single" w:sz="4" w:space="0" w:color="auto"/>
            </w:tcBorders>
            <w:shd w:val="clear" w:color="auto" w:fill="auto"/>
            <w:vAlign w:val="center"/>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6.24</w:t>
            </w:r>
          </w:p>
        </w:tc>
      </w:tr>
      <w:tr w:rsidR="006E6D90" w:rsidRPr="009B5E63" w:rsidTr="00FE3668">
        <w:trPr>
          <w:trHeight w:val="303"/>
        </w:trPr>
        <w:tc>
          <w:tcPr>
            <w:tcW w:w="2156" w:type="dxa"/>
            <w:tcBorders>
              <w:top w:val="nil"/>
              <w:left w:val="single" w:sz="4" w:space="0" w:color="auto"/>
              <w:bottom w:val="single" w:sz="4" w:space="0" w:color="auto"/>
              <w:right w:val="single" w:sz="4" w:space="0" w:color="auto"/>
            </w:tcBorders>
            <w:shd w:val="clear" w:color="auto" w:fill="auto"/>
            <w:noWrap/>
            <w:vAlign w:val="center"/>
            <w:hideMark/>
          </w:tcPr>
          <w:p w:rsidR="006E6D90" w:rsidRPr="009B5E63" w:rsidRDefault="006E6D90" w:rsidP="00FE3668">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Ranibizumab + aflibercept</w:t>
            </w:r>
          </w:p>
        </w:tc>
        <w:tc>
          <w:tcPr>
            <w:tcW w:w="1683"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264 </w:t>
            </w:r>
          </w:p>
        </w:tc>
        <w:tc>
          <w:tcPr>
            <w:tcW w:w="1679"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8.59</w:t>
            </w:r>
          </w:p>
        </w:tc>
        <w:tc>
          <w:tcPr>
            <w:tcW w:w="1378" w:type="dxa"/>
            <w:vMerge/>
            <w:tcBorders>
              <w:left w:val="nil"/>
              <w:bottom w:val="single" w:sz="4" w:space="0" w:color="auto"/>
              <w:right w:val="single" w:sz="4" w:space="0" w:color="auto"/>
            </w:tcBorders>
            <w:shd w:val="clear" w:color="auto" w:fill="auto"/>
            <w:vAlign w:val="center"/>
            <w:hideMark/>
          </w:tcPr>
          <w:p w:rsidR="006E6D90" w:rsidRPr="009B5E63" w:rsidRDefault="006E6D90" w:rsidP="00FE3668">
            <w:pPr>
              <w:spacing w:after="0"/>
              <w:jc w:val="right"/>
              <w:rPr>
                <w:rFonts w:ascii="Calibri" w:eastAsia="Times New Roman" w:hAnsi="Calibri" w:cs="Times New Roman"/>
                <w:color w:val="000000"/>
                <w:sz w:val="20"/>
                <w:szCs w:val="20"/>
              </w:rPr>
            </w:pPr>
          </w:p>
        </w:tc>
      </w:tr>
      <w:tr w:rsidR="006E6D90" w:rsidRPr="009B5E63" w:rsidTr="00FE3668">
        <w:trPr>
          <w:trHeight w:val="303"/>
        </w:trPr>
        <w:tc>
          <w:tcPr>
            <w:tcW w:w="2156" w:type="dxa"/>
            <w:tcBorders>
              <w:top w:val="nil"/>
              <w:left w:val="single" w:sz="4" w:space="0" w:color="auto"/>
              <w:bottom w:val="single" w:sz="4" w:space="0" w:color="auto"/>
              <w:right w:val="single" w:sz="4" w:space="0" w:color="auto"/>
            </w:tcBorders>
            <w:shd w:val="clear" w:color="auto" w:fill="auto"/>
            <w:vAlign w:val="bottom"/>
            <w:hideMark/>
          </w:tcPr>
          <w:p w:rsidR="006E6D90" w:rsidRPr="009B5E63" w:rsidRDefault="006E6D90" w:rsidP="00FE3668">
            <w:pPr>
              <w:spacing w:after="0"/>
              <w:rPr>
                <w:rFonts w:ascii="Calibri" w:eastAsia="Times New Roman" w:hAnsi="Calibri" w:cs="Times New Roman"/>
                <w:color w:val="000000"/>
                <w:sz w:val="20"/>
                <w:szCs w:val="20"/>
              </w:rPr>
            </w:pPr>
            <w:r w:rsidRPr="009B5E63">
              <w:rPr>
                <w:rFonts w:ascii="Calibri" w:eastAsia="Times New Roman" w:hAnsi="Calibri" w:cs="Times New Roman"/>
                <w:color w:val="000000"/>
                <w:sz w:val="20"/>
                <w:szCs w:val="20"/>
              </w:rPr>
              <w:t>Total</w:t>
            </w:r>
          </w:p>
        </w:tc>
        <w:tc>
          <w:tcPr>
            <w:tcW w:w="1683" w:type="dxa"/>
            <w:tcBorders>
              <w:top w:val="nil"/>
              <w:left w:val="nil"/>
              <w:bottom w:val="single" w:sz="4" w:space="0" w:color="auto"/>
              <w:right w:val="single" w:sz="4" w:space="0" w:color="auto"/>
            </w:tcBorders>
            <w:shd w:val="clear" w:color="auto" w:fill="auto"/>
            <w:noWrap/>
            <w:vAlign w:val="bottom"/>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2,600 </w:t>
            </w:r>
          </w:p>
        </w:tc>
        <w:tc>
          <w:tcPr>
            <w:tcW w:w="3058" w:type="dxa"/>
            <w:gridSpan w:val="2"/>
            <w:tcBorders>
              <w:top w:val="nil"/>
              <w:left w:val="nil"/>
              <w:bottom w:val="single" w:sz="4" w:space="0" w:color="auto"/>
              <w:right w:val="single" w:sz="4" w:space="0" w:color="auto"/>
            </w:tcBorders>
            <w:shd w:val="clear" w:color="auto" w:fill="auto"/>
            <w:noWrap/>
            <w:vAlign w:val="center"/>
            <w:hideMark/>
          </w:tcPr>
          <w:p w:rsidR="006E6D90" w:rsidRPr="009B5E63" w:rsidRDefault="006E6D90" w:rsidP="00FE3668">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 6.13 </w:t>
            </w:r>
          </w:p>
        </w:tc>
      </w:tr>
    </w:tbl>
    <w:p w:rsidR="006E6D90" w:rsidRDefault="006E6D90" w:rsidP="00147118">
      <w:pPr>
        <w:pStyle w:val="Notes"/>
      </w:pPr>
      <w:r w:rsidRPr="00353F23">
        <w:t>Source: DHS Medicare Pharmacy Claims database, accessed March 2018</w:t>
      </w:r>
      <w:r>
        <w:t xml:space="preserve">, includes patients who have been treated for BRVO, CRVO or both, but not for AMD or DMO. </w:t>
      </w:r>
    </w:p>
    <w:p w:rsidR="006E6D90" w:rsidRDefault="006E6D90" w:rsidP="006E6D90">
      <w:r>
        <w:t>This analysis was attempted separately for BRVO and CRVO, however the patient numbers were too small to present. The number of patients treated for either BRVO or CRVO who switch from aflibercept to ranibizumab is very small (around 1 to 2%). The number who switch from ranibizumab to aflibercept is around 15%, although around 75% of people in the cohort initiated on ranibizumab. This is consistent with the listing dates of these medicines.</w:t>
      </w:r>
    </w:p>
    <w:p w:rsidR="00DA3663" w:rsidRDefault="00DA3663">
      <w:pPr>
        <w:spacing w:line="276" w:lineRule="auto"/>
        <w:rPr>
          <w:b/>
          <w:i/>
          <w:szCs w:val="28"/>
        </w:rPr>
      </w:pPr>
      <w:r>
        <w:br w:type="page"/>
      </w:r>
    </w:p>
    <w:p w:rsidR="00830F35" w:rsidRPr="009A03CF" w:rsidRDefault="00830F35" w:rsidP="00242301">
      <w:pPr>
        <w:pStyle w:val="Heading3"/>
      </w:pPr>
      <w:bookmarkStart w:id="46" w:name="_Toc513038045"/>
      <w:r w:rsidRPr="009A03CF">
        <w:lastRenderedPageBreak/>
        <w:t>Proportion of use for bilateral treatment</w:t>
      </w:r>
      <w:bookmarkEnd w:id="46"/>
    </w:p>
    <w:p w:rsidR="00F17EFB" w:rsidRPr="00972DB2" w:rsidRDefault="00F17EFB" w:rsidP="00F17EFB">
      <w:pPr>
        <w:pStyle w:val="Tabletitle"/>
      </w:pPr>
      <w:r w:rsidRPr="00972DB2">
        <w:t>Table</w:t>
      </w:r>
      <w:r>
        <w:t xml:space="preserve"> </w:t>
      </w:r>
      <w:r w:rsidR="00403745">
        <w:t>32</w:t>
      </w:r>
      <w:r w:rsidRPr="00972DB2">
        <w:t>: Proportion of prescriptions by quantity dispensed over time</w:t>
      </w:r>
    </w:p>
    <w:tbl>
      <w:tblPr>
        <w:tblStyle w:val="TableGrid"/>
        <w:tblW w:w="5007" w:type="pct"/>
        <w:tblLook w:val="04A0" w:firstRow="1" w:lastRow="0" w:firstColumn="1" w:lastColumn="0" w:noHBand="0" w:noVBand="1"/>
        <w:tblCaption w:val="Proportion of prescriptions by quantity dispensed over time"/>
        <w:tblDescription w:val="Proportion of prescriptions dispensed with a quantity of one in 2015 was 98.72% for BRVO and 98.27% for CRVO. In 2016 the proportion of prescriptions dispensed with a quantity of one in 2015 was 99.15% for BRVO and 98.67% for CRVO. In 2017 the proportion of prescriptions dispensed with a quantity of one in 2015 was 99.37% for BRVO and 98.89% for CRVO."/>
      </w:tblPr>
      <w:tblGrid>
        <w:gridCol w:w="1531"/>
        <w:gridCol w:w="1530"/>
        <w:gridCol w:w="1536"/>
        <w:gridCol w:w="1530"/>
        <w:gridCol w:w="1530"/>
        <w:gridCol w:w="1529"/>
      </w:tblGrid>
      <w:tr w:rsidR="0077792C" w:rsidRPr="00F17EFB" w:rsidTr="00C13B9C">
        <w:trPr>
          <w:trHeight w:val="300"/>
          <w:tblHeader/>
        </w:trPr>
        <w:tc>
          <w:tcPr>
            <w:tcW w:w="2502" w:type="pct"/>
            <w:gridSpan w:val="3"/>
            <w:shd w:val="clear" w:color="auto" w:fill="BFBFBF" w:themeFill="background1" w:themeFillShade="BF"/>
            <w:noWrap/>
            <w:vAlign w:val="center"/>
          </w:tcPr>
          <w:p w:rsidR="0077792C" w:rsidRPr="00F17EFB" w:rsidRDefault="0077792C" w:rsidP="004F7D04">
            <w:pPr>
              <w:pStyle w:val="Tableheading"/>
              <w:rPr>
                <w:sz w:val="20"/>
                <w:szCs w:val="20"/>
              </w:rPr>
            </w:pPr>
            <w:r>
              <w:rPr>
                <w:sz w:val="20"/>
                <w:szCs w:val="20"/>
              </w:rPr>
              <w:t>BRVO</w:t>
            </w:r>
          </w:p>
        </w:tc>
        <w:tc>
          <w:tcPr>
            <w:tcW w:w="2498" w:type="pct"/>
            <w:gridSpan w:val="3"/>
            <w:shd w:val="clear" w:color="auto" w:fill="BFBFBF" w:themeFill="background1" w:themeFillShade="BF"/>
            <w:vAlign w:val="center"/>
          </w:tcPr>
          <w:p w:rsidR="0077792C" w:rsidRPr="00F17EFB" w:rsidRDefault="0077792C" w:rsidP="004F7D04">
            <w:pPr>
              <w:pStyle w:val="Tableheading"/>
              <w:rPr>
                <w:sz w:val="20"/>
                <w:szCs w:val="20"/>
              </w:rPr>
            </w:pPr>
            <w:r>
              <w:rPr>
                <w:sz w:val="20"/>
                <w:szCs w:val="20"/>
              </w:rPr>
              <w:t>CRVO</w:t>
            </w:r>
          </w:p>
        </w:tc>
      </w:tr>
      <w:tr w:rsidR="0077792C" w:rsidRPr="00F17EFB" w:rsidTr="0077792C">
        <w:trPr>
          <w:trHeight w:val="300"/>
        </w:trPr>
        <w:tc>
          <w:tcPr>
            <w:tcW w:w="833" w:type="pct"/>
            <w:shd w:val="clear" w:color="auto" w:fill="BFBFBF" w:themeFill="background1" w:themeFillShade="BF"/>
            <w:noWrap/>
            <w:vAlign w:val="center"/>
            <w:hideMark/>
          </w:tcPr>
          <w:p w:rsidR="0077792C" w:rsidRPr="00F17EFB" w:rsidRDefault="0077792C" w:rsidP="004F7D04">
            <w:pPr>
              <w:jc w:val="center"/>
              <w:rPr>
                <w:b/>
                <w:bCs/>
                <w:sz w:val="20"/>
                <w:szCs w:val="20"/>
              </w:rPr>
            </w:pPr>
          </w:p>
        </w:tc>
        <w:tc>
          <w:tcPr>
            <w:tcW w:w="833" w:type="pct"/>
            <w:shd w:val="clear" w:color="auto" w:fill="BFBFBF" w:themeFill="background1" w:themeFillShade="BF"/>
            <w:noWrap/>
            <w:hideMark/>
          </w:tcPr>
          <w:p w:rsidR="0077792C" w:rsidRPr="00F17EFB" w:rsidRDefault="0077792C" w:rsidP="004F7D04">
            <w:pPr>
              <w:pStyle w:val="Tableheading"/>
              <w:rPr>
                <w:sz w:val="20"/>
                <w:szCs w:val="20"/>
              </w:rPr>
            </w:pPr>
            <w:r w:rsidRPr="00F17EFB">
              <w:rPr>
                <w:sz w:val="20"/>
                <w:szCs w:val="20"/>
              </w:rPr>
              <w:t>1</w:t>
            </w:r>
          </w:p>
        </w:tc>
        <w:tc>
          <w:tcPr>
            <w:tcW w:w="836" w:type="pct"/>
            <w:shd w:val="clear" w:color="auto" w:fill="BFBFBF" w:themeFill="background1" w:themeFillShade="BF"/>
            <w:noWrap/>
            <w:hideMark/>
          </w:tcPr>
          <w:p w:rsidR="0077792C" w:rsidRPr="00F17EFB" w:rsidRDefault="0077792C" w:rsidP="004F7D04">
            <w:pPr>
              <w:pStyle w:val="Tableheading"/>
              <w:rPr>
                <w:sz w:val="20"/>
                <w:szCs w:val="20"/>
              </w:rPr>
            </w:pPr>
            <w:r w:rsidRPr="00F17EFB">
              <w:rPr>
                <w:sz w:val="20"/>
                <w:szCs w:val="20"/>
              </w:rPr>
              <w:t>2 or more</w:t>
            </w:r>
          </w:p>
        </w:tc>
        <w:tc>
          <w:tcPr>
            <w:tcW w:w="833" w:type="pct"/>
            <w:shd w:val="clear" w:color="auto" w:fill="BFBFBF" w:themeFill="background1" w:themeFillShade="BF"/>
            <w:vAlign w:val="center"/>
          </w:tcPr>
          <w:p w:rsidR="0077792C" w:rsidRPr="00F17EFB" w:rsidRDefault="0077792C" w:rsidP="004F7D04">
            <w:pPr>
              <w:pStyle w:val="Tableheading"/>
              <w:rPr>
                <w:sz w:val="20"/>
                <w:szCs w:val="20"/>
              </w:rPr>
            </w:pPr>
          </w:p>
        </w:tc>
        <w:tc>
          <w:tcPr>
            <w:tcW w:w="833" w:type="pct"/>
            <w:shd w:val="clear" w:color="auto" w:fill="BFBFBF" w:themeFill="background1" w:themeFillShade="BF"/>
          </w:tcPr>
          <w:p w:rsidR="0077792C" w:rsidRPr="00F17EFB" w:rsidRDefault="0077792C" w:rsidP="004F7D04">
            <w:pPr>
              <w:pStyle w:val="Tableheading"/>
              <w:rPr>
                <w:sz w:val="20"/>
                <w:szCs w:val="20"/>
              </w:rPr>
            </w:pPr>
            <w:r w:rsidRPr="00F17EFB">
              <w:rPr>
                <w:sz w:val="20"/>
                <w:szCs w:val="20"/>
              </w:rPr>
              <w:t>1</w:t>
            </w:r>
          </w:p>
        </w:tc>
        <w:tc>
          <w:tcPr>
            <w:tcW w:w="832" w:type="pct"/>
            <w:shd w:val="clear" w:color="auto" w:fill="BFBFBF" w:themeFill="background1" w:themeFillShade="BF"/>
          </w:tcPr>
          <w:p w:rsidR="0077792C" w:rsidRPr="00F17EFB" w:rsidRDefault="0077792C" w:rsidP="004F7D04">
            <w:pPr>
              <w:pStyle w:val="Tableheading"/>
              <w:rPr>
                <w:sz w:val="20"/>
                <w:szCs w:val="20"/>
              </w:rPr>
            </w:pPr>
            <w:r w:rsidRPr="00F17EFB">
              <w:rPr>
                <w:sz w:val="20"/>
                <w:szCs w:val="20"/>
              </w:rPr>
              <w:t>2 or more</w:t>
            </w:r>
          </w:p>
        </w:tc>
      </w:tr>
      <w:tr w:rsidR="0077792C" w:rsidRPr="00F17EFB" w:rsidTr="0077792C">
        <w:trPr>
          <w:trHeight w:val="300"/>
        </w:trPr>
        <w:tc>
          <w:tcPr>
            <w:tcW w:w="833" w:type="pct"/>
            <w:noWrap/>
            <w:vAlign w:val="center"/>
          </w:tcPr>
          <w:p w:rsidR="0077792C" w:rsidRPr="00F17EFB" w:rsidRDefault="0077792C" w:rsidP="0077792C">
            <w:pPr>
              <w:pStyle w:val="Tablewriting"/>
              <w:rPr>
                <w:color w:val="auto"/>
              </w:rPr>
            </w:pPr>
            <w:r w:rsidRPr="00F17EFB">
              <w:rPr>
                <w:rFonts w:ascii="Calibri" w:hAnsi="Calibri"/>
              </w:rPr>
              <w:t>2015</w:t>
            </w:r>
          </w:p>
        </w:tc>
        <w:tc>
          <w:tcPr>
            <w:tcW w:w="833" w:type="pct"/>
            <w:noWrap/>
          </w:tcPr>
          <w:p w:rsidR="0077792C" w:rsidRPr="00F17EFB" w:rsidRDefault="0077792C" w:rsidP="004F7D04">
            <w:pPr>
              <w:pStyle w:val="Tablewriting"/>
              <w:jc w:val="center"/>
              <w:rPr>
                <w:rFonts w:ascii="Calibri" w:hAnsi="Calibri"/>
                <w:color w:val="auto"/>
              </w:rPr>
            </w:pPr>
            <w:r w:rsidRPr="00AF2CFF">
              <w:t>98.72%</w:t>
            </w:r>
          </w:p>
        </w:tc>
        <w:tc>
          <w:tcPr>
            <w:tcW w:w="836" w:type="pct"/>
            <w:noWrap/>
          </w:tcPr>
          <w:p w:rsidR="0077792C" w:rsidRPr="00F17EFB" w:rsidRDefault="0077792C" w:rsidP="004F7D04">
            <w:pPr>
              <w:pStyle w:val="Tablewriting"/>
              <w:jc w:val="center"/>
              <w:rPr>
                <w:rFonts w:ascii="Calibri" w:hAnsi="Calibri"/>
                <w:color w:val="auto"/>
              </w:rPr>
            </w:pPr>
            <w:r w:rsidRPr="00AF2CFF">
              <w:t>1.28%</w:t>
            </w:r>
          </w:p>
        </w:tc>
        <w:tc>
          <w:tcPr>
            <w:tcW w:w="833" w:type="pct"/>
            <w:vAlign w:val="center"/>
          </w:tcPr>
          <w:p w:rsidR="0077792C" w:rsidRPr="00130629" w:rsidRDefault="0077792C" w:rsidP="0077792C">
            <w:pPr>
              <w:pStyle w:val="Tablewriting"/>
            </w:pPr>
            <w:r w:rsidRPr="00F17EFB">
              <w:rPr>
                <w:rFonts w:ascii="Calibri" w:hAnsi="Calibri"/>
              </w:rPr>
              <w:t>2015</w:t>
            </w:r>
          </w:p>
        </w:tc>
        <w:tc>
          <w:tcPr>
            <w:tcW w:w="833" w:type="pct"/>
          </w:tcPr>
          <w:p w:rsidR="0077792C" w:rsidRPr="00130629" w:rsidRDefault="0077792C" w:rsidP="004F7D04">
            <w:pPr>
              <w:pStyle w:val="Tablewriting"/>
              <w:jc w:val="center"/>
            </w:pPr>
            <w:r w:rsidRPr="00125674">
              <w:t>98.27%</w:t>
            </w:r>
          </w:p>
        </w:tc>
        <w:tc>
          <w:tcPr>
            <w:tcW w:w="832" w:type="pct"/>
          </w:tcPr>
          <w:p w:rsidR="0077792C" w:rsidRPr="00130629" w:rsidRDefault="0077792C" w:rsidP="004F7D04">
            <w:pPr>
              <w:pStyle w:val="Tablewriting"/>
              <w:jc w:val="center"/>
            </w:pPr>
            <w:r w:rsidRPr="00125674">
              <w:t>1.73%</w:t>
            </w:r>
          </w:p>
        </w:tc>
      </w:tr>
      <w:tr w:rsidR="0077792C" w:rsidRPr="00F17EFB" w:rsidTr="0077792C">
        <w:trPr>
          <w:trHeight w:val="300"/>
        </w:trPr>
        <w:tc>
          <w:tcPr>
            <w:tcW w:w="833" w:type="pct"/>
            <w:noWrap/>
            <w:vAlign w:val="center"/>
          </w:tcPr>
          <w:p w:rsidR="0077792C" w:rsidRPr="00F17EFB" w:rsidRDefault="0077792C" w:rsidP="0077792C">
            <w:pPr>
              <w:pStyle w:val="Tablewriting"/>
              <w:rPr>
                <w:color w:val="auto"/>
              </w:rPr>
            </w:pPr>
            <w:r w:rsidRPr="00F17EFB">
              <w:rPr>
                <w:rFonts w:ascii="Calibri" w:hAnsi="Calibri"/>
              </w:rPr>
              <w:t>2016</w:t>
            </w:r>
          </w:p>
        </w:tc>
        <w:tc>
          <w:tcPr>
            <w:tcW w:w="833" w:type="pct"/>
            <w:noWrap/>
          </w:tcPr>
          <w:p w:rsidR="0077792C" w:rsidRPr="00F17EFB" w:rsidRDefault="0077792C" w:rsidP="004F7D04">
            <w:pPr>
              <w:pStyle w:val="Tablewriting"/>
              <w:jc w:val="center"/>
              <w:rPr>
                <w:rFonts w:ascii="Calibri" w:hAnsi="Calibri"/>
                <w:color w:val="auto"/>
              </w:rPr>
            </w:pPr>
            <w:r w:rsidRPr="00AF2CFF">
              <w:t>99.15%</w:t>
            </w:r>
          </w:p>
        </w:tc>
        <w:tc>
          <w:tcPr>
            <w:tcW w:w="836" w:type="pct"/>
            <w:noWrap/>
          </w:tcPr>
          <w:p w:rsidR="0077792C" w:rsidRPr="00F17EFB" w:rsidRDefault="0077792C" w:rsidP="004F7D04">
            <w:pPr>
              <w:pStyle w:val="Tablewriting"/>
              <w:jc w:val="center"/>
              <w:rPr>
                <w:rFonts w:ascii="Calibri" w:hAnsi="Calibri"/>
                <w:color w:val="auto"/>
              </w:rPr>
            </w:pPr>
            <w:r w:rsidRPr="00AF2CFF">
              <w:t>0.85%</w:t>
            </w:r>
          </w:p>
        </w:tc>
        <w:tc>
          <w:tcPr>
            <w:tcW w:w="833" w:type="pct"/>
            <w:vAlign w:val="center"/>
          </w:tcPr>
          <w:p w:rsidR="0077792C" w:rsidRPr="00130629" w:rsidRDefault="0077792C" w:rsidP="0077792C">
            <w:pPr>
              <w:pStyle w:val="Tablewriting"/>
            </w:pPr>
            <w:r w:rsidRPr="00F17EFB">
              <w:rPr>
                <w:rFonts w:ascii="Calibri" w:hAnsi="Calibri"/>
              </w:rPr>
              <w:t>2016</w:t>
            </w:r>
          </w:p>
        </w:tc>
        <w:tc>
          <w:tcPr>
            <w:tcW w:w="833" w:type="pct"/>
          </w:tcPr>
          <w:p w:rsidR="0077792C" w:rsidRPr="00130629" w:rsidRDefault="0077792C" w:rsidP="004F7D04">
            <w:pPr>
              <w:pStyle w:val="Tablewriting"/>
              <w:jc w:val="center"/>
            </w:pPr>
            <w:r w:rsidRPr="00125674">
              <w:t>98.67%</w:t>
            </w:r>
          </w:p>
        </w:tc>
        <w:tc>
          <w:tcPr>
            <w:tcW w:w="832" w:type="pct"/>
          </w:tcPr>
          <w:p w:rsidR="0077792C" w:rsidRPr="00130629" w:rsidRDefault="0077792C" w:rsidP="004F7D04">
            <w:pPr>
              <w:pStyle w:val="Tablewriting"/>
              <w:jc w:val="center"/>
            </w:pPr>
            <w:r w:rsidRPr="00125674">
              <w:t>1.33%</w:t>
            </w:r>
          </w:p>
        </w:tc>
      </w:tr>
      <w:tr w:rsidR="0077792C" w:rsidRPr="00F17EFB" w:rsidTr="0077792C">
        <w:trPr>
          <w:trHeight w:val="300"/>
        </w:trPr>
        <w:tc>
          <w:tcPr>
            <w:tcW w:w="833" w:type="pct"/>
            <w:noWrap/>
            <w:vAlign w:val="center"/>
          </w:tcPr>
          <w:p w:rsidR="0077792C" w:rsidRPr="00F17EFB" w:rsidRDefault="0077792C" w:rsidP="0077792C">
            <w:pPr>
              <w:pStyle w:val="Tablewriting"/>
              <w:rPr>
                <w:color w:val="auto"/>
              </w:rPr>
            </w:pPr>
            <w:r w:rsidRPr="00F17EFB">
              <w:rPr>
                <w:rFonts w:ascii="Calibri" w:hAnsi="Calibri"/>
              </w:rPr>
              <w:t>2017</w:t>
            </w:r>
          </w:p>
        </w:tc>
        <w:tc>
          <w:tcPr>
            <w:tcW w:w="833" w:type="pct"/>
            <w:noWrap/>
          </w:tcPr>
          <w:p w:rsidR="0077792C" w:rsidRPr="00F17EFB" w:rsidRDefault="0077792C" w:rsidP="004F7D04">
            <w:pPr>
              <w:pStyle w:val="Tablewriting"/>
              <w:jc w:val="center"/>
              <w:rPr>
                <w:rFonts w:ascii="Calibri" w:hAnsi="Calibri"/>
                <w:color w:val="auto"/>
              </w:rPr>
            </w:pPr>
            <w:r w:rsidRPr="00AF2CFF">
              <w:t>99.37%</w:t>
            </w:r>
          </w:p>
        </w:tc>
        <w:tc>
          <w:tcPr>
            <w:tcW w:w="836" w:type="pct"/>
            <w:noWrap/>
          </w:tcPr>
          <w:p w:rsidR="0077792C" w:rsidRPr="00F17EFB" w:rsidRDefault="0077792C" w:rsidP="004F7D04">
            <w:pPr>
              <w:pStyle w:val="Tablewriting"/>
              <w:jc w:val="center"/>
              <w:rPr>
                <w:rFonts w:ascii="Calibri" w:hAnsi="Calibri"/>
                <w:color w:val="auto"/>
              </w:rPr>
            </w:pPr>
            <w:r w:rsidRPr="00AF2CFF">
              <w:t>0.63%</w:t>
            </w:r>
          </w:p>
        </w:tc>
        <w:tc>
          <w:tcPr>
            <w:tcW w:w="833" w:type="pct"/>
            <w:vAlign w:val="center"/>
          </w:tcPr>
          <w:p w:rsidR="0077792C" w:rsidRPr="00130629" w:rsidRDefault="0077792C" w:rsidP="0077792C">
            <w:pPr>
              <w:pStyle w:val="Tablewriting"/>
            </w:pPr>
            <w:r w:rsidRPr="00F17EFB">
              <w:rPr>
                <w:rFonts w:ascii="Calibri" w:hAnsi="Calibri"/>
              </w:rPr>
              <w:t>2017</w:t>
            </w:r>
          </w:p>
        </w:tc>
        <w:tc>
          <w:tcPr>
            <w:tcW w:w="833" w:type="pct"/>
          </w:tcPr>
          <w:p w:rsidR="0077792C" w:rsidRPr="00130629" w:rsidRDefault="0077792C" w:rsidP="004F7D04">
            <w:pPr>
              <w:pStyle w:val="Tablewriting"/>
              <w:jc w:val="center"/>
            </w:pPr>
            <w:r w:rsidRPr="00125674">
              <w:t>98.89%</w:t>
            </w:r>
          </w:p>
        </w:tc>
        <w:tc>
          <w:tcPr>
            <w:tcW w:w="832" w:type="pct"/>
          </w:tcPr>
          <w:p w:rsidR="0077792C" w:rsidRPr="00130629" w:rsidRDefault="0077792C" w:rsidP="004F7D04">
            <w:pPr>
              <w:pStyle w:val="Tablewriting"/>
              <w:jc w:val="center"/>
            </w:pPr>
            <w:r w:rsidRPr="00125674">
              <w:t>1.11%</w:t>
            </w:r>
          </w:p>
        </w:tc>
      </w:tr>
    </w:tbl>
    <w:p w:rsidR="00F17EFB" w:rsidRDefault="00F17EFB" w:rsidP="00F17EFB">
      <w:pPr>
        <w:pStyle w:val="Notes"/>
      </w:pPr>
      <w:r w:rsidRPr="00972DB2">
        <w:t xml:space="preserve">Source: DHS Medicare Pharmacy Claims database, accessed </w:t>
      </w:r>
      <w:r>
        <w:t>March 2018</w:t>
      </w:r>
    </w:p>
    <w:p w:rsidR="00830F35" w:rsidRPr="004967A8" w:rsidRDefault="00E06E48" w:rsidP="00830F35">
      <w:pPr>
        <w:pStyle w:val="Tabletitle"/>
        <w:keepNext/>
      </w:pPr>
      <w:r>
        <w:t>Ta</w:t>
      </w:r>
      <w:r w:rsidR="00403745">
        <w:t>ble 33</w:t>
      </w:r>
      <w:r w:rsidR="00830F35" w:rsidRPr="004967A8">
        <w:t>: Percentage of prescriptions with an increased maximum quantity, in each year of treatment, by the calendar year of initiation</w:t>
      </w:r>
    </w:p>
    <w:tbl>
      <w:tblPr>
        <w:tblW w:w="7915" w:type="dxa"/>
        <w:tblInd w:w="93" w:type="dxa"/>
        <w:tblLayout w:type="fixed"/>
        <w:tblLook w:val="04A0" w:firstRow="1" w:lastRow="0" w:firstColumn="1" w:lastColumn="0" w:noHBand="0" w:noVBand="1"/>
        <w:tblCaption w:val="Table 33"/>
        <w:tblDescription w:val="BRVO and CRVO prescriptions with increased maximum quantity by year"/>
      </w:tblPr>
      <w:tblGrid>
        <w:gridCol w:w="1575"/>
        <w:gridCol w:w="794"/>
        <w:gridCol w:w="794"/>
        <w:gridCol w:w="794"/>
        <w:gridCol w:w="1576"/>
        <w:gridCol w:w="794"/>
        <w:gridCol w:w="794"/>
        <w:gridCol w:w="794"/>
      </w:tblGrid>
      <w:tr w:rsidR="0077792C" w:rsidRPr="00F627DB" w:rsidTr="00FB7477">
        <w:trPr>
          <w:trHeight w:val="300"/>
        </w:trPr>
        <w:tc>
          <w:tcPr>
            <w:tcW w:w="395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7792C" w:rsidRPr="00F627DB" w:rsidRDefault="0077792C" w:rsidP="00E03C77">
            <w:pPr>
              <w:pStyle w:val="Tableheading"/>
              <w:rPr>
                <w:sz w:val="20"/>
                <w:szCs w:val="20"/>
              </w:rPr>
            </w:pPr>
            <w:r>
              <w:rPr>
                <w:sz w:val="20"/>
                <w:szCs w:val="20"/>
              </w:rPr>
              <w:t>BRVO</w:t>
            </w:r>
          </w:p>
        </w:tc>
        <w:tc>
          <w:tcPr>
            <w:tcW w:w="3958"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77792C" w:rsidRPr="00F627DB" w:rsidRDefault="0077792C" w:rsidP="00E03C77">
            <w:pPr>
              <w:pStyle w:val="Tableheading"/>
              <w:rPr>
                <w:sz w:val="20"/>
                <w:szCs w:val="20"/>
              </w:rPr>
            </w:pPr>
            <w:r>
              <w:rPr>
                <w:sz w:val="20"/>
                <w:szCs w:val="20"/>
              </w:rPr>
              <w:t>CRVO</w:t>
            </w:r>
          </w:p>
        </w:tc>
      </w:tr>
      <w:tr w:rsidR="0077792C" w:rsidRPr="00F627DB" w:rsidTr="0077792C">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77792C" w:rsidRPr="00F627DB" w:rsidRDefault="0077792C" w:rsidP="00E03C77">
            <w:pPr>
              <w:pStyle w:val="Tableheading"/>
              <w:rPr>
                <w:sz w:val="20"/>
                <w:szCs w:val="20"/>
              </w:rPr>
            </w:pP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7792C" w:rsidRPr="00F627DB" w:rsidRDefault="0077792C" w:rsidP="00E03C77">
            <w:pPr>
              <w:pStyle w:val="Tableheading"/>
              <w:rPr>
                <w:sz w:val="20"/>
                <w:szCs w:val="20"/>
              </w:rPr>
            </w:pPr>
            <w:r w:rsidRPr="00F627DB">
              <w:rPr>
                <w:sz w:val="20"/>
                <w:szCs w:val="20"/>
              </w:rPr>
              <w:t>1</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7792C" w:rsidRPr="00F627DB" w:rsidRDefault="0077792C" w:rsidP="00E03C77">
            <w:pPr>
              <w:pStyle w:val="Tableheading"/>
              <w:rPr>
                <w:sz w:val="20"/>
                <w:szCs w:val="20"/>
              </w:rPr>
            </w:pPr>
            <w:r w:rsidRPr="00F627DB">
              <w:rPr>
                <w:sz w:val="20"/>
                <w:szCs w:val="20"/>
              </w:rPr>
              <w:t>2</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7792C" w:rsidRPr="00F627DB" w:rsidRDefault="0077792C" w:rsidP="00E03C77">
            <w:pPr>
              <w:pStyle w:val="Tableheading"/>
              <w:rPr>
                <w:sz w:val="20"/>
                <w:szCs w:val="20"/>
              </w:rPr>
            </w:pPr>
            <w:r w:rsidRPr="00F627DB">
              <w:rPr>
                <w:sz w:val="20"/>
                <w:szCs w:val="20"/>
              </w:rPr>
              <w:t>3</w:t>
            </w:r>
          </w:p>
        </w:tc>
        <w:tc>
          <w:tcPr>
            <w:tcW w:w="15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7792C" w:rsidRPr="00F627DB" w:rsidRDefault="0077792C" w:rsidP="00E03C77">
            <w:pPr>
              <w:pStyle w:val="Tableheading"/>
              <w:rPr>
                <w:sz w:val="20"/>
                <w:szCs w:val="20"/>
              </w:rPr>
            </w:pPr>
          </w:p>
        </w:tc>
        <w:tc>
          <w:tcPr>
            <w:tcW w:w="79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7792C" w:rsidRPr="00F627DB" w:rsidRDefault="0077792C" w:rsidP="00E03C77">
            <w:pPr>
              <w:pStyle w:val="Tableheading"/>
              <w:rPr>
                <w:sz w:val="20"/>
                <w:szCs w:val="20"/>
              </w:rPr>
            </w:pPr>
            <w:r w:rsidRPr="00F627DB">
              <w:rPr>
                <w:sz w:val="20"/>
                <w:szCs w:val="20"/>
              </w:rPr>
              <w:t>1</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7792C" w:rsidRPr="00F627DB" w:rsidRDefault="0077792C" w:rsidP="00E03C77">
            <w:pPr>
              <w:pStyle w:val="Tableheading"/>
              <w:rPr>
                <w:sz w:val="20"/>
                <w:szCs w:val="20"/>
              </w:rPr>
            </w:pPr>
            <w:r w:rsidRPr="00F627DB">
              <w:rPr>
                <w:sz w:val="20"/>
                <w:szCs w:val="20"/>
              </w:rPr>
              <w:t>2</w:t>
            </w:r>
          </w:p>
        </w:tc>
        <w:tc>
          <w:tcPr>
            <w:tcW w:w="79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77792C" w:rsidRPr="00F627DB" w:rsidRDefault="0077792C" w:rsidP="00E03C77">
            <w:pPr>
              <w:pStyle w:val="Tableheading"/>
              <w:rPr>
                <w:sz w:val="20"/>
                <w:szCs w:val="20"/>
              </w:rPr>
            </w:pPr>
            <w:r w:rsidRPr="00F627DB">
              <w:rPr>
                <w:sz w:val="20"/>
                <w:szCs w:val="20"/>
              </w:rPr>
              <w:t>3</w:t>
            </w:r>
          </w:p>
        </w:tc>
      </w:tr>
      <w:tr w:rsidR="0077792C" w:rsidRPr="00F627DB" w:rsidTr="0077792C">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792C" w:rsidRPr="00F627DB" w:rsidRDefault="0077792C" w:rsidP="00E03C77">
            <w:pPr>
              <w:pStyle w:val="Tablewriting"/>
              <w:rPr>
                <w:b/>
                <w:color w:val="auto"/>
              </w:rPr>
            </w:pPr>
            <w:r>
              <w:rPr>
                <w:b/>
                <w:color w:val="auto"/>
              </w:rPr>
              <w:t>Initiated 2015</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color w:val="auto"/>
              </w:rPr>
            </w:pPr>
            <w:r>
              <w:rPr>
                <w:rFonts w:ascii="Calibri" w:hAnsi="Calibri"/>
                <w:sz w:val="22"/>
                <w:szCs w:val="22"/>
              </w:rPr>
              <w:t>1.5%</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color w:val="auto"/>
              </w:rPr>
            </w:pPr>
            <w:r>
              <w:rPr>
                <w:rFonts w:ascii="Calibri" w:hAnsi="Calibri"/>
                <w:sz w:val="22"/>
                <w:szCs w:val="22"/>
              </w:rPr>
              <w:t>1.9%</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color w:val="auto"/>
              </w:rPr>
            </w:pPr>
            <w:r>
              <w:rPr>
                <w:rFonts w:ascii="Calibri" w:hAnsi="Calibri"/>
                <w:sz w:val="22"/>
                <w:szCs w:val="22"/>
              </w:rPr>
              <w:t>2.0%</w:t>
            </w:r>
          </w:p>
        </w:tc>
        <w:tc>
          <w:tcPr>
            <w:tcW w:w="1576"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b/>
                <w:color w:val="auto"/>
              </w:rPr>
              <w:t>Initiated 2015</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2.0%</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2.7%</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2.3%</w:t>
            </w:r>
          </w:p>
        </w:tc>
      </w:tr>
      <w:tr w:rsidR="0077792C" w:rsidRPr="00F627DB" w:rsidTr="0077792C">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792C" w:rsidRPr="00F627DB" w:rsidRDefault="0077792C" w:rsidP="00E03C77">
            <w:pPr>
              <w:pStyle w:val="Tablewriting"/>
              <w:rPr>
                <w:b/>
                <w:color w:val="auto"/>
              </w:rPr>
            </w:pPr>
            <w:r>
              <w:rPr>
                <w:b/>
                <w:color w:val="auto"/>
              </w:rPr>
              <w:t>Initiated 2016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color w:val="auto"/>
              </w:rPr>
            </w:pPr>
            <w:r>
              <w:rPr>
                <w:rFonts w:ascii="Calibri" w:hAnsi="Calibri"/>
                <w:sz w:val="22"/>
                <w:szCs w:val="22"/>
              </w:rPr>
              <w:t>0.6%</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color w:val="auto"/>
              </w:rPr>
            </w:pPr>
            <w:r>
              <w:rPr>
                <w:rFonts w:ascii="Calibri" w:hAnsi="Calibri"/>
                <w:sz w:val="22"/>
                <w:szCs w:val="22"/>
              </w:rPr>
              <w:t>0.3%</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color w:val="auto"/>
              </w:rPr>
            </w:pPr>
            <w:r>
              <w:rPr>
                <w:rFonts w:ascii="Calibri" w:hAnsi="Calibri"/>
                <w:sz w:val="22"/>
                <w:szCs w:val="22"/>
              </w:rPr>
              <w:t> </w:t>
            </w:r>
          </w:p>
        </w:tc>
        <w:tc>
          <w:tcPr>
            <w:tcW w:w="1576"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b/>
                <w:color w:val="auto"/>
              </w:rPr>
              <w:t>Initiated 2016</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0.9%</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1.2%</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 </w:t>
            </w:r>
          </w:p>
        </w:tc>
      </w:tr>
      <w:tr w:rsidR="0077792C" w:rsidRPr="00F627DB" w:rsidTr="0077792C">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7792C" w:rsidRDefault="0077792C" w:rsidP="00E03C77">
            <w:pPr>
              <w:pStyle w:val="Tablewriting"/>
              <w:rPr>
                <w:b/>
                <w:color w:val="auto"/>
              </w:rPr>
            </w:pPr>
            <w:r>
              <w:rPr>
                <w:b/>
                <w:color w:val="auto"/>
              </w:rPr>
              <w:t>Initiated 2017</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rFonts w:ascii="Calibri" w:hAnsi="Calibri"/>
              </w:rPr>
            </w:pPr>
            <w:r>
              <w:rPr>
                <w:rFonts w:ascii="Calibri" w:hAnsi="Calibri"/>
                <w:sz w:val="22"/>
                <w:szCs w:val="22"/>
              </w:rPr>
              <w:t>0.3%</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rFonts w:ascii="Calibri" w:hAnsi="Calibri"/>
              </w:rPr>
            </w:pPr>
            <w:r>
              <w:rPr>
                <w:rFonts w:ascii="Calibri" w:hAnsi="Calibri"/>
                <w:sz w:val="22"/>
                <w:szCs w:val="22"/>
              </w:rPr>
              <w:t> </w:t>
            </w:r>
          </w:p>
        </w:tc>
        <w:tc>
          <w:tcPr>
            <w:tcW w:w="794" w:type="dxa"/>
            <w:tcBorders>
              <w:top w:val="single" w:sz="4" w:space="0" w:color="auto"/>
              <w:left w:val="nil"/>
              <w:bottom w:val="single" w:sz="4" w:space="0" w:color="auto"/>
              <w:right w:val="single" w:sz="4" w:space="0" w:color="auto"/>
            </w:tcBorders>
            <w:shd w:val="clear" w:color="auto" w:fill="auto"/>
            <w:noWrap/>
            <w:vAlign w:val="bottom"/>
          </w:tcPr>
          <w:p w:rsidR="0077792C" w:rsidRPr="00C6091D" w:rsidRDefault="0077792C" w:rsidP="00E03C77">
            <w:pPr>
              <w:pStyle w:val="Tablewriting"/>
              <w:jc w:val="center"/>
              <w:rPr>
                <w:rFonts w:ascii="Calibri" w:hAnsi="Calibri"/>
              </w:rPr>
            </w:pPr>
            <w:r>
              <w:rPr>
                <w:rFonts w:ascii="Calibri" w:hAnsi="Calibri"/>
                <w:sz w:val="22"/>
                <w:szCs w:val="22"/>
              </w:rPr>
              <w:t> </w:t>
            </w:r>
          </w:p>
        </w:tc>
        <w:tc>
          <w:tcPr>
            <w:tcW w:w="1576"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b/>
                <w:color w:val="auto"/>
              </w:rPr>
              <w:t>Initiated 2017</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0.9%</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 </w:t>
            </w:r>
          </w:p>
        </w:tc>
        <w:tc>
          <w:tcPr>
            <w:tcW w:w="794" w:type="dxa"/>
            <w:tcBorders>
              <w:top w:val="single" w:sz="4" w:space="0" w:color="auto"/>
              <w:left w:val="nil"/>
              <w:bottom w:val="single" w:sz="4" w:space="0" w:color="auto"/>
              <w:right w:val="single" w:sz="4" w:space="0" w:color="auto"/>
            </w:tcBorders>
            <w:vAlign w:val="bottom"/>
          </w:tcPr>
          <w:p w:rsidR="0077792C" w:rsidRPr="00C6091D" w:rsidRDefault="0077792C" w:rsidP="00E03C77">
            <w:pPr>
              <w:pStyle w:val="Tablewriting"/>
              <w:jc w:val="center"/>
              <w:rPr>
                <w:rFonts w:ascii="Calibri" w:hAnsi="Calibri"/>
              </w:rPr>
            </w:pPr>
            <w:r>
              <w:rPr>
                <w:rFonts w:ascii="Calibri" w:hAnsi="Calibri"/>
                <w:sz w:val="22"/>
                <w:szCs w:val="22"/>
              </w:rPr>
              <w:t> </w:t>
            </w:r>
          </w:p>
        </w:tc>
      </w:tr>
    </w:tbl>
    <w:p w:rsidR="00830F35" w:rsidRPr="00F627DB" w:rsidRDefault="00830F35" w:rsidP="00830F35">
      <w:pPr>
        <w:pStyle w:val="Notes"/>
      </w:pPr>
      <w:r w:rsidRPr="00F627DB">
        <w:t xml:space="preserve">Source: DHS Medicare Pharmacy Claims database, accessed </w:t>
      </w:r>
      <w:r>
        <w:t>March 2018</w:t>
      </w:r>
    </w:p>
    <w:p w:rsidR="00E06E48" w:rsidRPr="00EA6A1F" w:rsidRDefault="00E06E48" w:rsidP="00E06E48">
      <w:r>
        <w:t xml:space="preserve">Table </w:t>
      </w:r>
      <w:r w:rsidR="00DF474C">
        <w:t>32 and 33</w:t>
      </w:r>
      <w:r>
        <w:t xml:space="preserve"> show that the </w:t>
      </w:r>
      <w:r w:rsidRPr="004967A8">
        <w:t xml:space="preserve">rates of increased maximum quantities are much lower in RVO than in </w:t>
      </w:r>
      <w:r w:rsidR="00757A61">
        <w:t>AMD</w:t>
      </w:r>
      <w:r w:rsidRPr="004967A8">
        <w:t xml:space="preserve"> or DMO</w:t>
      </w:r>
      <w:r w:rsidRPr="00D40248">
        <w:t xml:space="preserve">, and prescriptions for RVO are nearly always dispensed with a quantity of one. This </w:t>
      </w:r>
      <w:r w:rsidR="00757A61" w:rsidRPr="00D40248">
        <w:t>is consistent</w:t>
      </w:r>
      <w:r w:rsidRPr="00D40248">
        <w:t xml:space="preserve"> with </w:t>
      </w:r>
      <w:r w:rsidR="00757A61" w:rsidRPr="00D40248">
        <w:t xml:space="preserve">expectations </w:t>
      </w:r>
      <w:r w:rsidRPr="00D40248">
        <w:t xml:space="preserve">of RVO, that it is a unilateral disease </w:t>
      </w:r>
      <w:r w:rsidR="00757A61" w:rsidRPr="00D40248">
        <w:t>which</w:t>
      </w:r>
      <w:r w:rsidRPr="00D40248">
        <w:t xml:space="preserve"> generally affects one eye at a time</w:t>
      </w:r>
      <w:r w:rsidR="00757A61">
        <w:t>.</w:t>
      </w:r>
      <w:r w:rsidRPr="004967A8">
        <w:t xml:space="preserve"> </w:t>
      </w:r>
    </w:p>
    <w:p w:rsidR="00830F35" w:rsidRPr="004967A8" w:rsidRDefault="00830F35" w:rsidP="00242301">
      <w:pPr>
        <w:pStyle w:val="Heading3"/>
      </w:pPr>
      <w:bookmarkStart w:id="47" w:name="_Toc513038046"/>
      <w:r w:rsidRPr="004967A8">
        <w:t>Age and state/territory of treated patients</w:t>
      </w:r>
      <w:bookmarkEnd w:id="47"/>
      <w:r w:rsidRPr="004967A8">
        <w:t xml:space="preserve"> </w:t>
      </w:r>
    </w:p>
    <w:p w:rsidR="00830F35" w:rsidRPr="009229AB" w:rsidRDefault="00757A61" w:rsidP="00830F35">
      <w:r>
        <w:t xml:space="preserve">Table </w:t>
      </w:r>
      <w:r w:rsidR="00DF474C">
        <w:t>34</w:t>
      </w:r>
      <w:r w:rsidR="00830F35" w:rsidRPr="009229AB">
        <w:t xml:space="preserve"> shows the average age</w:t>
      </w:r>
      <w:r w:rsidR="00D15D75">
        <w:t xml:space="preserve"> and range of</w:t>
      </w:r>
      <w:r w:rsidR="00830F35" w:rsidRPr="009229AB">
        <w:t xml:space="preserve"> new patients starting treatment with ranibizumab or aflibercept</w:t>
      </w:r>
      <w:r w:rsidR="004A5EE8">
        <w:t xml:space="preserve"> for RVO</w:t>
      </w:r>
      <w:r w:rsidR="00830F35" w:rsidRPr="009229AB">
        <w:t xml:space="preserve">.  </w:t>
      </w:r>
    </w:p>
    <w:p w:rsidR="00830F35" w:rsidRPr="009229AB" w:rsidRDefault="00757A61" w:rsidP="00830F35">
      <w:pPr>
        <w:pStyle w:val="Tabletitle"/>
        <w:keepNext/>
      </w:pPr>
      <w:r>
        <w:t xml:space="preserve">Table </w:t>
      </w:r>
      <w:r w:rsidR="00403745">
        <w:t>34</w:t>
      </w:r>
      <w:r w:rsidR="00830F35" w:rsidRPr="009229AB">
        <w:t>: Age of patients receiving ranibizumab and aflibercept by year of initiation</w:t>
      </w:r>
    </w:p>
    <w:tbl>
      <w:tblPr>
        <w:tblW w:w="3701" w:type="dxa"/>
        <w:tblInd w:w="93" w:type="dxa"/>
        <w:tblLook w:val="04A0" w:firstRow="1" w:lastRow="0" w:firstColumn="1" w:lastColumn="0" w:noHBand="0" w:noVBand="1"/>
        <w:tblCaption w:val="Table 34"/>
        <w:tblDescription w:val="Age of patients for RVO treatment with aflibercept or ranibizumab"/>
      </w:tblPr>
      <w:tblGrid>
        <w:gridCol w:w="2300"/>
        <w:gridCol w:w="1401"/>
      </w:tblGrid>
      <w:tr w:rsidR="00636C2A" w:rsidRPr="00636C2A" w:rsidTr="00636C2A">
        <w:trPr>
          <w:trHeight w:val="300"/>
        </w:trPr>
        <w:tc>
          <w:tcPr>
            <w:tcW w:w="23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36C2A" w:rsidRPr="00636C2A" w:rsidRDefault="00636C2A" w:rsidP="00636C2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 </w:t>
            </w:r>
          </w:p>
        </w:tc>
        <w:tc>
          <w:tcPr>
            <w:tcW w:w="1401" w:type="dxa"/>
            <w:tcBorders>
              <w:top w:val="single" w:sz="4" w:space="0" w:color="auto"/>
              <w:left w:val="nil"/>
              <w:bottom w:val="single" w:sz="4" w:space="0" w:color="auto"/>
              <w:right w:val="single" w:sz="4" w:space="0" w:color="auto"/>
            </w:tcBorders>
            <w:shd w:val="clear" w:color="000000" w:fill="BFBFBF"/>
            <w:noWrap/>
            <w:vAlign w:val="center"/>
            <w:hideMark/>
          </w:tcPr>
          <w:p w:rsidR="00636C2A" w:rsidRPr="00636C2A" w:rsidRDefault="00636C2A" w:rsidP="00636C2A">
            <w:pPr>
              <w:spacing w:after="0"/>
              <w:jc w:val="center"/>
              <w:rPr>
                <w:rFonts w:ascii="Calibri" w:eastAsia="Times New Roman" w:hAnsi="Calibri" w:cs="Times New Roman"/>
                <w:b/>
                <w:bCs/>
                <w:sz w:val="20"/>
                <w:szCs w:val="20"/>
              </w:rPr>
            </w:pPr>
            <w:r w:rsidRPr="00636C2A">
              <w:rPr>
                <w:rFonts w:ascii="Calibri" w:eastAsia="Times New Roman" w:hAnsi="Calibri" w:cs="Times New Roman"/>
                <w:b/>
                <w:bCs/>
                <w:sz w:val="20"/>
                <w:szCs w:val="20"/>
              </w:rPr>
              <w:t>Mean (range)</w:t>
            </w:r>
          </w:p>
        </w:tc>
      </w:tr>
      <w:tr w:rsidR="00636C2A" w:rsidRPr="00636C2A" w:rsidTr="00636C2A">
        <w:trPr>
          <w:trHeight w:val="300"/>
        </w:trPr>
        <w:tc>
          <w:tcPr>
            <w:tcW w:w="2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C2A" w:rsidRPr="00636C2A" w:rsidRDefault="00636C2A" w:rsidP="00636C2A">
            <w:pPr>
              <w:spacing w:after="0"/>
              <w:rPr>
                <w:rFonts w:ascii="Calibri" w:eastAsia="Times New Roman" w:hAnsi="Calibri" w:cs="Times New Roman"/>
                <w:b/>
                <w:bCs/>
                <w:sz w:val="20"/>
                <w:szCs w:val="20"/>
              </w:rPr>
            </w:pPr>
            <w:r w:rsidRPr="00636C2A">
              <w:rPr>
                <w:rFonts w:ascii="Calibri" w:eastAsia="Times New Roman" w:hAnsi="Calibri" w:cs="Times New Roman"/>
                <w:b/>
                <w:bCs/>
                <w:sz w:val="20"/>
                <w:szCs w:val="20"/>
              </w:rPr>
              <w:t>Initiated 2015</w:t>
            </w:r>
          </w:p>
        </w:tc>
        <w:tc>
          <w:tcPr>
            <w:tcW w:w="1401" w:type="dxa"/>
            <w:tcBorders>
              <w:top w:val="nil"/>
              <w:left w:val="nil"/>
              <w:bottom w:val="nil"/>
              <w:right w:val="single" w:sz="4" w:space="0" w:color="auto"/>
            </w:tcBorders>
            <w:shd w:val="clear" w:color="auto" w:fill="auto"/>
            <w:noWrap/>
            <w:vAlign w:val="center"/>
            <w:hideMark/>
          </w:tcPr>
          <w:p w:rsidR="00636C2A" w:rsidRPr="00636C2A" w:rsidRDefault="00636C2A" w:rsidP="00636C2A">
            <w:pPr>
              <w:spacing w:after="0"/>
              <w:jc w:val="center"/>
              <w:rPr>
                <w:rFonts w:ascii="Calibri" w:eastAsia="Times New Roman" w:hAnsi="Calibri" w:cs="Times New Roman"/>
                <w:sz w:val="20"/>
                <w:szCs w:val="20"/>
              </w:rPr>
            </w:pPr>
            <w:r w:rsidRPr="00636C2A">
              <w:rPr>
                <w:rFonts w:ascii="Calibri" w:eastAsia="Times New Roman" w:hAnsi="Calibri" w:cs="Times New Roman"/>
                <w:sz w:val="20"/>
                <w:szCs w:val="20"/>
              </w:rPr>
              <w:t>73</w:t>
            </w:r>
          </w:p>
        </w:tc>
      </w:tr>
      <w:tr w:rsidR="00636C2A" w:rsidRPr="00636C2A" w:rsidTr="00636C2A">
        <w:trPr>
          <w:trHeight w:val="300"/>
        </w:trPr>
        <w:tc>
          <w:tcPr>
            <w:tcW w:w="2300" w:type="dxa"/>
            <w:vMerge/>
            <w:tcBorders>
              <w:top w:val="nil"/>
              <w:left w:val="single" w:sz="4" w:space="0" w:color="auto"/>
              <w:bottom w:val="single" w:sz="4" w:space="0" w:color="auto"/>
              <w:right w:val="single" w:sz="4" w:space="0" w:color="auto"/>
            </w:tcBorders>
            <w:vAlign w:val="center"/>
            <w:hideMark/>
          </w:tcPr>
          <w:p w:rsidR="00636C2A" w:rsidRPr="00636C2A" w:rsidRDefault="00636C2A" w:rsidP="00636C2A">
            <w:pPr>
              <w:spacing w:after="0"/>
              <w:rPr>
                <w:rFonts w:ascii="Calibri" w:eastAsia="Times New Roman" w:hAnsi="Calibri" w:cs="Times New Roman"/>
                <w:b/>
                <w:bCs/>
                <w:sz w:val="20"/>
                <w:szCs w:val="20"/>
              </w:rPr>
            </w:pPr>
          </w:p>
        </w:tc>
        <w:tc>
          <w:tcPr>
            <w:tcW w:w="1401" w:type="dxa"/>
            <w:tcBorders>
              <w:top w:val="nil"/>
              <w:left w:val="nil"/>
              <w:bottom w:val="single" w:sz="4" w:space="0" w:color="auto"/>
              <w:right w:val="single" w:sz="4" w:space="0" w:color="auto"/>
            </w:tcBorders>
            <w:shd w:val="clear" w:color="auto" w:fill="auto"/>
            <w:noWrap/>
            <w:vAlign w:val="center"/>
            <w:hideMark/>
          </w:tcPr>
          <w:p w:rsidR="00636C2A" w:rsidRPr="00636C2A" w:rsidRDefault="00636C2A" w:rsidP="00636C2A">
            <w:pPr>
              <w:spacing w:after="0"/>
              <w:jc w:val="center"/>
              <w:rPr>
                <w:rFonts w:ascii="Calibri" w:eastAsia="Times New Roman" w:hAnsi="Calibri" w:cs="Times New Roman"/>
                <w:sz w:val="20"/>
                <w:szCs w:val="20"/>
              </w:rPr>
            </w:pPr>
            <w:r w:rsidRPr="00636C2A">
              <w:rPr>
                <w:rFonts w:ascii="Calibri" w:eastAsia="Times New Roman" w:hAnsi="Calibri" w:cs="Times New Roman"/>
                <w:sz w:val="20"/>
                <w:szCs w:val="20"/>
              </w:rPr>
              <w:t>(18 - 99)</w:t>
            </w:r>
          </w:p>
        </w:tc>
      </w:tr>
      <w:tr w:rsidR="00636C2A" w:rsidRPr="00636C2A" w:rsidTr="00636C2A">
        <w:trPr>
          <w:trHeight w:val="300"/>
        </w:trPr>
        <w:tc>
          <w:tcPr>
            <w:tcW w:w="2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C2A" w:rsidRPr="00636C2A" w:rsidRDefault="00636C2A" w:rsidP="00636C2A">
            <w:pPr>
              <w:spacing w:after="0"/>
              <w:rPr>
                <w:rFonts w:ascii="Calibri" w:eastAsia="Times New Roman" w:hAnsi="Calibri" w:cs="Times New Roman"/>
                <w:b/>
                <w:bCs/>
                <w:sz w:val="20"/>
                <w:szCs w:val="20"/>
              </w:rPr>
            </w:pPr>
            <w:r w:rsidRPr="00636C2A">
              <w:rPr>
                <w:rFonts w:ascii="Calibri" w:eastAsia="Times New Roman" w:hAnsi="Calibri" w:cs="Times New Roman"/>
                <w:b/>
                <w:bCs/>
                <w:sz w:val="20"/>
                <w:szCs w:val="20"/>
              </w:rPr>
              <w:t>Initiated 2016</w:t>
            </w:r>
          </w:p>
        </w:tc>
        <w:tc>
          <w:tcPr>
            <w:tcW w:w="1401" w:type="dxa"/>
            <w:tcBorders>
              <w:top w:val="nil"/>
              <w:left w:val="nil"/>
              <w:bottom w:val="nil"/>
              <w:right w:val="single" w:sz="4" w:space="0" w:color="auto"/>
            </w:tcBorders>
            <w:shd w:val="clear" w:color="auto" w:fill="auto"/>
            <w:noWrap/>
            <w:vAlign w:val="center"/>
            <w:hideMark/>
          </w:tcPr>
          <w:p w:rsidR="00636C2A" w:rsidRPr="00636C2A" w:rsidRDefault="00C6091D" w:rsidP="00636C2A">
            <w:pPr>
              <w:spacing w:after="0"/>
              <w:jc w:val="center"/>
              <w:rPr>
                <w:rFonts w:ascii="Calibri" w:eastAsia="Times New Roman" w:hAnsi="Calibri" w:cs="Times New Roman"/>
                <w:sz w:val="20"/>
                <w:szCs w:val="20"/>
              </w:rPr>
            </w:pPr>
            <w:r>
              <w:rPr>
                <w:rFonts w:ascii="Calibri" w:eastAsia="Times New Roman" w:hAnsi="Calibri" w:cs="Times New Roman"/>
                <w:sz w:val="20"/>
                <w:szCs w:val="20"/>
              </w:rPr>
              <w:t>72</w:t>
            </w:r>
          </w:p>
        </w:tc>
      </w:tr>
      <w:tr w:rsidR="00636C2A" w:rsidRPr="00636C2A" w:rsidTr="00636C2A">
        <w:trPr>
          <w:trHeight w:val="300"/>
        </w:trPr>
        <w:tc>
          <w:tcPr>
            <w:tcW w:w="2300" w:type="dxa"/>
            <w:vMerge/>
            <w:tcBorders>
              <w:top w:val="nil"/>
              <w:left w:val="single" w:sz="4" w:space="0" w:color="auto"/>
              <w:bottom w:val="single" w:sz="4" w:space="0" w:color="auto"/>
              <w:right w:val="single" w:sz="4" w:space="0" w:color="auto"/>
            </w:tcBorders>
            <w:vAlign w:val="center"/>
            <w:hideMark/>
          </w:tcPr>
          <w:p w:rsidR="00636C2A" w:rsidRPr="00636C2A" w:rsidRDefault="00636C2A" w:rsidP="00636C2A">
            <w:pPr>
              <w:spacing w:after="0"/>
              <w:rPr>
                <w:rFonts w:ascii="Calibri" w:eastAsia="Times New Roman" w:hAnsi="Calibri" w:cs="Times New Roman"/>
                <w:b/>
                <w:bCs/>
                <w:sz w:val="20"/>
                <w:szCs w:val="20"/>
              </w:rPr>
            </w:pPr>
          </w:p>
        </w:tc>
        <w:tc>
          <w:tcPr>
            <w:tcW w:w="1401" w:type="dxa"/>
            <w:tcBorders>
              <w:top w:val="nil"/>
              <w:left w:val="nil"/>
              <w:bottom w:val="single" w:sz="4" w:space="0" w:color="auto"/>
              <w:right w:val="single" w:sz="4" w:space="0" w:color="auto"/>
            </w:tcBorders>
            <w:shd w:val="clear" w:color="auto" w:fill="auto"/>
            <w:noWrap/>
            <w:vAlign w:val="center"/>
            <w:hideMark/>
          </w:tcPr>
          <w:p w:rsidR="00636C2A" w:rsidRPr="00636C2A" w:rsidRDefault="00636C2A" w:rsidP="00636C2A">
            <w:pPr>
              <w:spacing w:after="0"/>
              <w:jc w:val="center"/>
              <w:rPr>
                <w:rFonts w:ascii="Calibri" w:eastAsia="Times New Roman" w:hAnsi="Calibri" w:cs="Times New Roman"/>
                <w:sz w:val="20"/>
                <w:szCs w:val="20"/>
              </w:rPr>
            </w:pPr>
            <w:r w:rsidRPr="00636C2A">
              <w:rPr>
                <w:rFonts w:ascii="Calibri" w:eastAsia="Times New Roman" w:hAnsi="Calibri" w:cs="Times New Roman"/>
                <w:sz w:val="20"/>
                <w:szCs w:val="20"/>
              </w:rPr>
              <w:t>(19 - 99)</w:t>
            </w:r>
          </w:p>
        </w:tc>
      </w:tr>
      <w:tr w:rsidR="00636C2A" w:rsidRPr="00636C2A" w:rsidTr="00636C2A">
        <w:trPr>
          <w:trHeight w:val="300"/>
        </w:trPr>
        <w:tc>
          <w:tcPr>
            <w:tcW w:w="2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6C2A" w:rsidRPr="00636C2A" w:rsidRDefault="00636C2A" w:rsidP="00636C2A">
            <w:pPr>
              <w:spacing w:after="0"/>
              <w:rPr>
                <w:rFonts w:ascii="Calibri" w:eastAsia="Times New Roman" w:hAnsi="Calibri" w:cs="Times New Roman"/>
                <w:b/>
                <w:bCs/>
                <w:sz w:val="20"/>
                <w:szCs w:val="20"/>
              </w:rPr>
            </w:pPr>
            <w:r w:rsidRPr="00636C2A">
              <w:rPr>
                <w:rFonts w:ascii="Calibri" w:eastAsia="Times New Roman" w:hAnsi="Calibri" w:cs="Times New Roman"/>
                <w:b/>
                <w:bCs/>
                <w:sz w:val="20"/>
                <w:szCs w:val="20"/>
              </w:rPr>
              <w:t>Initiated 2017</w:t>
            </w:r>
          </w:p>
        </w:tc>
        <w:tc>
          <w:tcPr>
            <w:tcW w:w="1401" w:type="dxa"/>
            <w:tcBorders>
              <w:top w:val="nil"/>
              <w:left w:val="nil"/>
              <w:bottom w:val="nil"/>
              <w:right w:val="single" w:sz="4" w:space="0" w:color="auto"/>
            </w:tcBorders>
            <w:shd w:val="clear" w:color="auto" w:fill="auto"/>
            <w:noWrap/>
            <w:vAlign w:val="center"/>
            <w:hideMark/>
          </w:tcPr>
          <w:p w:rsidR="00636C2A" w:rsidRPr="00636C2A" w:rsidRDefault="00C6091D" w:rsidP="00636C2A">
            <w:pPr>
              <w:spacing w:after="0"/>
              <w:jc w:val="center"/>
              <w:rPr>
                <w:rFonts w:ascii="Calibri" w:eastAsia="Times New Roman" w:hAnsi="Calibri" w:cs="Times New Roman"/>
                <w:sz w:val="20"/>
                <w:szCs w:val="20"/>
              </w:rPr>
            </w:pPr>
            <w:r>
              <w:rPr>
                <w:rFonts w:ascii="Calibri" w:eastAsia="Times New Roman" w:hAnsi="Calibri" w:cs="Times New Roman"/>
                <w:sz w:val="20"/>
                <w:szCs w:val="20"/>
              </w:rPr>
              <w:t>73</w:t>
            </w:r>
          </w:p>
        </w:tc>
      </w:tr>
      <w:tr w:rsidR="00636C2A" w:rsidRPr="00636C2A" w:rsidTr="00636C2A">
        <w:trPr>
          <w:trHeight w:val="300"/>
        </w:trPr>
        <w:tc>
          <w:tcPr>
            <w:tcW w:w="2300" w:type="dxa"/>
            <w:vMerge/>
            <w:tcBorders>
              <w:top w:val="nil"/>
              <w:left w:val="single" w:sz="4" w:space="0" w:color="auto"/>
              <w:bottom w:val="single" w:sz="4" w:space="0" w:color="auto"/>
              <w:right w:val="single" w:sz="4" w:space="0" w:color="auto"/>
            </w:tcBorders>
            <w:vAlign w:val="center"/>
            <w:hideMark/>
          </w:tcPr>
          <w:p w:rsidR="00636C2A" w:rsidRPr="00636C2A" w:rsidRDefault="00636C2A" w:rsidP="00636C2A">
            <w:pPr>
              <w:spacing w:after="0"/>
              <w:rPr>
                <w:rFonts w:ascii="Calibri" w:eastAsia="Times New Roman" w:hAnsi="Calibri" w:cs="Times New Roman"/>
                <w:b/>
                <w:bCs/>
                <w:sz w:val="20"/>
                <w:szCs w:val="20"/>
              </w:rPr>
            </w:pPr>
          </w:p>
        </w:tc>
        <w:tc>
          <w:tcPr>
            <w:tcW w:w="1401" w:type="dxa"/>
            <w:tcBorders>
              <w:top w:val="nil"/>
              <w:left w:val="nil"/>
              <w:bottom w:val="single" w:sz="4" w:space="0" w:color="auto"/>
              <w:right w:val="single" w:sz="4" w:space="0" w:color="auto"/>
            </w:tcBorders>
            <w:shd w:val="clear" w:color="auto" w:fill="auto"/>
            <w:noWrap/>
            <w:vAlign w:val="center"/>
            <w:hideMark/>
          </w:tcPr>
          <w:p w:rsidR="00636C2A" w:rsidRPr="00636C2A" w:rsidRDefault="00636C2A" w:rsidP="00636C2A">
            <w:pPr>
              <w:spacing w:after="0"/>
              <w:jc w:val="center"/>
              <w:rPr>
                <w:rFonts w:ascii="Calibri" w:eastAsia="Times New Roman" w:hAnsi="Calibri" w:cs="Times New Roman"/>
                <w:sz w:val="20"/>
                <w:szCs w:val="20"/>
              </w:rPr>
            </w:pPr>
            <w:r w:rsidRPr="00636C2A">
              <w:rPr>
                <w:rFonts w:ascii="Calibri" w:eastAsia="Times New Roman" w:hAnsi="Calibri" w:cs="Times New Roman"/>
                <w:sz w:val="20"/>
                <w:szCs w:val="20"/>
              </w:rPr>
              <w:t>(18 - 101)</w:t>
            </w:r>
          </w:p>
        </w:tc>
      </w:tr>
    </w:tbl>
    <w:p w:rsidR="00830F35" w:rsidRPr="009229AB" w:rsidRDefault="00830F35" w:rsidP="00830F35">
      <w:pPr>
        <w:pStyle w:val="Notes"/>
      </w:pPr>
      <w:r w:rsidRPr="009229AB">
        <w:t xml:space="preserve">There were </w:t>
      </w:r>
      <w:r w:rsidR="00636C2A">
        <w:t xml:space="preserve">4 </w:t>
      </w:r>
      <w:r w:rsidRPr="009229AB">
        <w:t>patients excluded from this analysis as their age was missing on their first prescription.</w:t>
      </w:r>
      <w:r w:rsidRPr="009229AB">
        <w:br/>
        <w:t>Source: DHS Medicare Pharmacy Claims database, accessed March 2018</w:t>
      </w:r>
      <w:r w:rsidR="00181577">
        <w:t>, includes patients who have been treated for BRVO, CRVO or both, but not for AMD or DMO</w:t>
      </w:r>
    </w:p>
    <w:p w:rsidR="00EA6A1F" w:rsidRDefault="00D2576D" w:rsidP="00852067">
      <w:r>
        <w:rPr>
          <w:noProof/>
        </w:rPr>
        <w:lastRenderedPageBreak/>
        <w:drawing>
          <wp:inline distT="0" distB="0" distL="0" distR="0" wp14:anchorId="057C2443" wp14:editId="0687C66E">
            <wp:extent cx="5682343" cy="3853543"/>
            <wp:effectExtent l="0" t="0" r="13970" b="13970"/>
            <wp:docPr id="14" name="Chart 14" descr="Age of patients treated for RVO in 2015, 2016 and 2017" title="Figur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6091D" w:rsidRDefault="00C6091D" w:rsidP="00C6091D">
      <w:pPr>
        <w:pStyle w:val="Tabletitle"/>
        <w:keepNext/>
      </w:pPr>
      <w:r>
        <w:t>Figure</w:t>
      </w:r>
      <w:r w:rsidRPr="009229AB">
        <w:t xml:space="preserve"> </w:t>
      </w:r>
      <w:r w:rsidR="00403745">
        <w:t>7</w:t>
      </w:r>
      <w:r w:rsidRPr="009229AB">
        <w:t xml:space="preserve">: Age of patients </w:t>
      </w:r>
      <w:r>
        <w:t>initiating</w:t>
      </w:r>
      <w:r w:rsidRPr="009229AB">
        <w:t xml:space="preserve"> ranibizumab and aflibercept</w:t>
      </w:r>
      <w:r>
        <w:t xml:space="preserve"> for RVO</w:t>
      </w:r>
      <w:r w:rsidRPr="009229AB">
        <w:t xml:space="preserve"> </w:t>
      </w:r>
      <w:r>
        <w:t>in 2015, 2016 and 2017, showing number of patients</w:t>
      </w:r>
    </w:p>
    <w:p w:rsidR="00181577" w:rsidRPr="009229AB" w:rsidRDefault="00181577" w:rsidP="005661B7">
      <w:pPr>
        <w:pStyle w:val="Notes"/>
      </w:pPr>
      <w:r>
        <w:t>Includes patients who have been treated for BRVO, CRVO or both, but not for AMD or DMO</w:t>
      </w:r>
    </w:p>
    <w:p w:rsidR="00CC14AA" w:rsidRDefault="00757A61" w:rsidP="00CC14AA">
      <w:pPr>
        <w:rPr>
          <w:rFonts w:ascii="Calibri" w:hAnsi="Calibri"/>
        </w:rPr>
      </w:pPr>
      <w:r w:rsidRPr="00521F6C">
        <w:t xml:space="preserve">The increasing numbers in each calendar year </w:t>
      </w:r>
      <w:r w:rsidR="00C6091D" w:rsidRPr="00521F6C">
        <w:t>reflect the growing number of initiating patients</w:t>
      </w:r>
      <w:r w:rsidRPr="00521F6C">
        <w:t>,</w:t>
      </w:r>
      <w:r w:rsidR="00C6091D" w:rsidRPr="00521F6C">
        <w:t xml:space="preserve"> however the distribution appears similar in each year of listing.</w:t>
      </w:r>
      <w:r w:rsidRPr="00521F6C">
        <w:t xml:space="preserve"> For RVO the mean age of initiating patients is 73 or 74</w:t>
      </w:r>
      <w:r w:rsidR="00CC14AA">
        <w:t>, which is older than</w:t>
      </w:r>
      <w:r w:rsidR="0059263A">
        <w:t xml:space="preserve"> the </w:t>
      </w:r>
      <w:r w:rsidR="00DF6D85">
        <w:t xml:space="preserve">patients in the </w:t>
      </w:r>
      <w:r w:rsidR="008C0ED0">
        <w:t xml:space="preserve">CRVO and BRVO </w:t>
      </w:r>
      <w:r w:rsidR="0059263A">
        <w:t xml:space="preserve">clinical trials </w:t>
      </w:r>
      <w:r w:rsidR="0059263A">
        <w:rPr>
          <w:rFonts w:ascii="Calibri" w:hAnsi="Calibri"/>
        </w:rPr>
        <w:t>considered by the PBAC</w:t>
      </w:r>
      <w:r w:rsidR="00DF6D85">
        <w:t>, who</w:t>
      </w:r>
      <w:r w:rsidR="00CC14AA">
        <w:rPr>
          <w:rFonts w:ascii="Calibri" w:hAnsi="Calibri"/>
        </w:rPr>
        <w:t xml:space="preserve"> were around 65 years of age. For the COPERNICUS</w:t>
      </w:r>
      <w:r w:rsidR="003F5A82">
        <w:rPr>
          <w:rFonts w:ascii="Calibri" w:hAnsi="Calibri"/>
        </w:rPr>
        <w:t xml:space="preserve"> (Brown et al., 2013)</w:t>
      </w:r>
      <w:r w:rsidR="00CC14AA">
        <w:rPr>
          <w:rFonts w:ascii="Calibri" w:hAnsi="Calibri"/>
        </w:rPr>
        <w:t xml:space="preserve"> and GALILEO</w:t>
      </w:r>
      <w:r w:rsidR="003F5A82">
        <w:rPr>
          <w:rFonts w:ascii="Calibri" w:hAnsi="Calibri"/>
        </w:rPr>
        <w:t xml:space="preserve"> (Holz et al., 2012)</w:t>
      </w:r>
      <w:r w:rsidR="008C0ED0">
        <w:rPr>
          <w:rFonts w:ascii="Calibri" w:hAnsi="Calibri"/>
        </w:rPr>
        <w:t xml:space="preserve"> </w:t>
      </w:r>
      <w:r w:rsidR="00CC14AA">
        <w:rPr>
          <w:rFonts w:ascii="Calibri" w:hAnsi="Calibri"/>
        </w:rPr>
        <w:t>trials, the mean patient age was 66.3 and 61.5 years, respectively. The BRAVO</w:t>
      </w:r>
      <w:r w:rsidR="003F5A82">
        <w:rPr>
          <w:rFonts w:ascii="Calibri" w:hAnsi="Calibri"/>
        </w:rPr>
        <w:t xml:space="preserve"> (Campochiaro et al., 2010)</w:t>
      </w:r>
      <w:r w:rsidR="008C0ED0">
        <w:rPr>
          <w:rFonts w:ascii="Calibri" w:hAnsi="Calibri"/>
        </w:rPr>
        <w:t xml:space="preserve"> </w:t>
      </w:r>
      <w:r w:rsidR="00CC14AA">
        <w:rPr>
          <w:rFonts w:ascii="Calibri" w:hAnsi="Calibri"/>
        </w:rPr>
        <w:t>and CRUISE</w:t>
      </w:r>
      <w:r w:rsidR="003F5A82">
        <w:rPr>
          <w:rFonts w:ascii="Calibri" w:hAnsi="Calibri"/>
        </w:rPr>
        <w:t xml:space="preserve"> (Heier et al., 2012)</w:t>
      </w:r>
      <w:r w:rsidR="008C0ED0">
        <w:rPr>
          <w:rFonts w:ascii="Calibri" w:hAnsi="Calibri"/>
        </w:rPr>
        <w:t xml:space="preserve"> </w:t>
      </w:r>
      <w:r w:rsidR="00CC14AA">
        <w:rPr>
          <w:rFonts w:ascii="Calibri" w:hAnsi="Calibri"/>
        </w:rPr>
        <w:t>trials were presented in the ranibizumab submissions with the mean ages for the trial groups ranging from 65.2 to 71 years, respectively.</w:t>
      </w:r>
    </w:p>
    <w:p w:rsidR="00DA3663" w:rsidRDefault="00DA3663">
      <w:pPr>
        <w:spacing w:line="276" w:lineRule="auto"/>
      </w:pPr>
      <w:r>
        <w:br w:type="page"/>
      </w:r>
    </w:p>
    <w:p w:rsidR="00C6091D" w:rsidRDefault="006E6D90" w:rsidP="00521F6C">
      <w:r>
        <w:lastRenderedPageBreak/>
        <w:t xml:space="preserve">The rates of treatment and injections per patient </w:t>
      </w:r>
      <w:r w:rsidR="008C0ED0">
        <w:t>by geographical</w:t>
      </w:r>
      <w:r w:rsidR="00C6091D">
        <w:t xml:space="preserve"> state of the </w:t>
      </w:r>
      <w:r w:rsidR="008C0ED0">
        <w:t>patient determined</w:t>
      </w:r>
      <w:r w:rsidR="00C6091D">
        <w:t xml:space="preserve"> at their first prescription</w:t>
      </w:r>
      <w:r>
        <w:t xml:space="preserve"> are presented in Tables </w:t>
      </w:r>
      <w:r w:rsidR="0095647F">
        <w:t>35 and 36</w:t>
      </w:r>
      <w:r>
        <w:t>.</w:t>
      </w:r>
    </w:p>
    <w:p w:rsidR="00830F35" w:rsidRPr="00EE0A1C" w:rsidRDefault="00403745" w:rsidP="00830F35">
      <w:pPr>
        <w:pStyle w:val="Tabletitle"/>
      </w:pPr>
      <w:r>
        <w:t>Table 35</w:t>
      </w:r>
      <w:r w:rsidR="00830F35" w:rsidRPr="00C6091D">
        <w:t>:</w:t>
      </w:r>
      <w:r w:rsidR="00830F35" w:rsidRPr="00EE0A1C">
        <w:t xml:space="preserve"> </w:t>
      </w:r>
      <w:r w:rsidR="00D2576D">
        <w:t>P</w:t>
      </w:r>
      <w:r w:rsidR="00830F35" w:rsidRPr="00EE0A1C">
        <w:t>atients receiving ranibizumab and aflibercept by year of</w:t>
      </w:r>
      <w:r w:rsidR="004F7D04">
        <w:t xml:space="preserve"> treatment standar</w:t>
      </w:r>
      <w:r w:rsidR="00A9096B">
        <w:t>dised by 1</w:t>
      </w:r>
      <w:r w:rsidR="00D2576D">
        <w:t>00,</w:t>
      </w:r>
      <w:r w:rsidR="00A9096B">
        <w:t>000 population aged 40</w:t>
      </w:r>
      <w:r w:rsidR="00830F35" w:rsidRPr="00EE0A1C">
        <w:t xml:space="preserve"> or </w:t>
      </w:r>
      <w:r w:rsidR="00A9096B">
        <w:t>older by</w:t>
      </w:r>
      <w:r w:rsidR="00830F35" w:rsidRPr="00EE0A1C">
        <w:t xml:space="preserve"> state</w:t>
      </w:r>
    </w:p>
    <w:tbl>
      <w:tblPr>
        <w:tblW w:w="8640" w:type="dxa"/>
        <w:tblInd w:w="93" w:type="dxa"/>
        <w:tblLook w:val="04A0" w:firstRow="1" w:lastRow="0" w:firstColumn="1" w:lastColumn="0" w:noHBand="0" w:noVBand="1"/>
        <w:tblCaption w:val="Table 35"/>
        <w:tblDescription w:val="patients supplied ranibizumab and aflibercept by state and territory by year"/>
      </w:tblPr>
      <w:tblGrid>
        <w:gridCol w:w="960"/>
        <w:gridCol w:w="960"/>
        <w:gridCol w:w="960"/>
        <w:gridCol w:w="960"/>
        <w:gridCol w:w="960"/>
        <w:gridCol w:w="960"/>
        <w:gridCol w:w="960"/>
        <w:gridCol w:w="960"/>
        <w:gridCol w:w="960"/>
      </w:tblGrid>
      <w:tr w:rsidR="004F7D04" w:rsidRPr="00636C2A" w:rsidTr="00636C2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Year</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ACT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NSW</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NT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QLD</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SA</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TAS</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VIC</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WA</w:t>
            </w:r>
          </w:p>
        </w:tc>
      </w:tr>
      <w:tr w:rsidR="00D2576D" w:rsidRPr="00636C2A" w:rsidTr="00E24B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76D" w:rsidRPr="00636C2A" w:rsidRDefault="00D2576D" w:rsidP="00636C2A">
            <w:pPr>
              <w:spacing w:after="0"/>
              <w:jc w:val="right"/>
              <w:rPr>
                <w:rFonts w:ascii="Calibri" w:eastAsia="Times New Roman" w:hAnsi="Calibri" w:cs="Times New Roman"/>
                <w:sz w:val="20"/>
                <w:szCs w:val="20"/>
              </w:rPr>
            </w:pPr>
            <w:r>
              <w:rPr>
                <w:rFonts w:ascii="Calibri" w:hAnsi="Calibri"/>
                <w:sz w:val="20"/>
                <w:szCs w:val="20"/>
              </w:rPr>
              <w:t>2015</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13.81</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14.71</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2.20</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8.41</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13.00</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18.24</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11.15</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5.90</w:t>
            </w:r>
          </w:p>
        </w:tc>
      </w:tr>
      <w:tr w:rsidR="00D2576D" w:rsidRPr="00636C2A" w:rsidTr="00E24B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76D" w:rsidRPr="00636C2A" w:rsidRDefault="00D2576D" w:rsidP="00636C2A">
            <w:pPr>
              <w:spacing w:after="0"/>
              <w:jc w:val="right"/>
              <w:rPr>
                <w:rFonts w:ascii="Calibri" w:eastAsia="Times New Roman" w:hAnsi="Calibri" w:cs="Times New Roman"/>
                <w:sz w:val="20"/>
                <w:szCs w:val="20"/>
              </w:rPr>
            </w:pPr>
            <w:r>
              <w:rPr>
                <w:rFonts w:ascii="Calibri" w:hAnsi="Calibri"/>
                <w:sz w:val="20"/>
                <w:szCs w:val="20"/>
              </w:rPr>
              <w:t>2016</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31.87</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39.08</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5.44</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23.42</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34.22</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45.79</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31.57</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24.09</w:t>
            </w:r>
          </w:p>
        </w:tc>
      </w:tr>
      <w:tr w:rsidR="00D2576D" w:rsidRPr="00636C2A" w:rsidTr="00E24B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576D" w:rsidRPr="00636C2A" w:rsidRDefault="00D2576D" w:rsidP="00636C2A">
            <w:pPr>
              <w:spacing w:after="0"/>
              <w:jc w:val="right"/>
              <w:rPr>
                <w:rFonts w:ascii="Calibri" w:eastAsia="Times New Roman" w:hAnsi="Calibri" w:cs="Times New Roman"/>
                <w:sz w:val="20"/>
                <w:szCs w:val="20"/>
              </w:rPr>
            </w:pPr>
            <w:r>
              <w:rPr>
                <w:rFonts w:ascii="Calibri" w:hAnsi="Calibri"/>
                <w:sz w:val="20"/>
                <w:szCs w:val="20"/>
              </w:rPr>
              <w:t>2017</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64.70</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66.93</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8.62</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49.14</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64.68</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76.45</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52.47</w:t>
            </w:r>
          </w:p>
        </w:tc>
        <w:tc>
          <w:tcPr>
            <w:tcW w:w="960" w:type="dxa"/>
            <w:tcBorders>
              <w:top w:val="nil"/>
              <w:left w:val="nil"/>
              <w:bottom w:val="single" w:sz="4" w:space="0" w:color="auto"/>
              <w:right w:val="single" w:sz="4" w:space="0" w:color="auto"/>
            </w:tcBorders>
            <w:shd w:val="clear" w:color="auto" w:fill="auto"/>
            <w:noWrap/>
            <w:vAlign w:val="bottom"/>
            <w:hideMark/>
          </w:tcPr>
          <w:p w:rsidR="00D2576D" w:rsidRPr="00D2576D" w:rsidRDefault="00D2576D" w:rsidP="00636C2A">
            <w:pPr>
              <w:spacing w:after="0"/>
              <w:jc w:val="center"/>
              <w:rPr>
                <w:rFonts w:ascii="Calibri" w:eastAsia="Times New Roman" w:hAnsi="Calibri" w:cs="Times New Roman"/>
                <w:sz w:val="20"/>
                <w:szCs w:val="20"/>
              </w:rPr>
            </w:pPr>
            <w:r w:rsidRPr="00D2576D">
              <w:rPr>
                <w:rFonts w:ascii="Calibri" w:hAnsi="Calibri"/>
                <w:color w:val="000000"/>
                <w:sz w:val="20"/>
                <w:szCs w:val="20"/>
              </w:rPr>
              <w:t>47.23</w:t>
            </w:r>
          </w:p>
        </w:tc>
      </w:tr>
    </w:tbl>
    <w:p w:rsidR="00830F35" w:rsidRDefault="00830F35" w:rsidP="00830F35">
      <w:pPr>
        <w:pStyle w:val="Notes"/>
        <w:rPr>
          <w:rStyle w:val="CommentReference"/>
        </w:rPr>
      </w:pPr>
      <w:r w:rsidRPr="00EE0A1C">
        <w:t xml:space="preserve">Source: DHS Medicare Pharmacy Claims database, accessed </w:t>
      </w:r>
      <w:r>
        <w:t>March 2018</w:t>
      </w:r>
      <w:r w:rsidR="00181577">
        <w:t>, includes patients who have been treated for BRVO, CRVO or both, but not for AMD or DMO</w:t>
      </w:r>
      <w:r w:rsidR="00D2576D">
        <w:br/>
      </w:r>
      <w:r w:rsidRPr="00EE0A1C">
        <w:t>Patients with an ‘unknown’ state are excluded</w:t>
      </w:r>
      <w:r w:rsidRPr="00EE0A1C">
        <w:br/>
        <w:t>Source: Estimated resident population, by sex and age groups–States and territories–at 30 June 201</w:t>
      </w:r>
      <w:r>
        <w:t>7</w:t>
      </w:r>
      <w:r w:rsidRPr="00EE0A1C">
        <w:t xml:space="preserve">, ABS 31010DO001_201409 Australian Demographic Statistics, </w:t>
      </w:r>
      <w:r>
        <w:t>Release 14 December 2017</w:t>
      </w:r>
      <w:r w:rsidRPr="00EE0A1C">
        <w:t xml:space="preserve">, Table </w:t>
      </w:r>
      <w:r>
        <w:t>7</w:t>
      </w:r>
      <w:r w:rsidRPr="00EE0A1C">
        <w:t>, http://www.abs.gov.au/AUSSTATS/abs@.nsf/DetailsPage/3101.0Jun%202017?OpenDocument</w:t>
      </w:r>
      <w:r w:rsidRPr="00EE0A1C" w:rsidDel="00CA2F60">
        <w:rPr>
          <w:rStyle w:val="CommentReference"/>
        </w:rPr>
        <w:t xml:space="preserve"> </w:t>
      </w:r>
    </w:p>
    <w:p w:rsidR="00CB6E36" w:rsidRDefault="00CB6E36" w:rsidP="00CB6E36">
      <w:r>
        <w:t>Similar to DMO, the</w:t>
      </w:r>
      <w:r w:rsidRPr="00F4322B">
        <w:t xml:space="preserve"> treatment rate for RVO is highest in Tasmania and l</w:t>
      </w:r>
      <w:r>
        <w:t xml:space="preserve">owest in the </w:t>
      </w:r>
      <w:r w:rsidRPr="00CB6E36">
        <w:t>Northern Territory</w:t>
      </w:r>
      <w:r>
        <w:t xml:space="preserve">. </w:t>
      </w:r>
      <w:r w:rsidRPr="00CB6E36">
        <w:t>The disparity in treatment rates in the Northe</w:t>
      </w:r>
      <w:r w:rsidR="00DA3663">
        <w:t>rn Territory compared to other s</w:t>
      </w:r>
      <w:r w:rsidRPr="00CB6E36">
        <w:t>tates/territories seems more pronounced for RVO than DMO or AMD. This may be due to remoteness and the importance of early treatment of CRVO. Western Australia and Queensland also have lower treatment rates for RVO compared with other states, also suggesting remoteness may be a factor affecting treatment rates.</w:t>
      </w:r>
    </w:p>
    <w:p w:rsidR="00830F35" w:rsidRPr="00353F23" w:rsidRDefault="00403745" w:rsidP="00830F35">
      <w:pPr>
        <w:pStyle w:val="Tabletitle"/>
      </w:pPr>
      <w:r>
        <w:t>Table 36</w:t>
      </w:r>
      <w:r w:rsidR="00830F35" w:rsidRPr="00353F23">
        <w:t>: Number of injections per patient by geographical state</w:t>
      </w:r>
    </w:p>
    <w:tbl>
      <w:tblPr>
        <w:tblW w:w="8640" w:type="dxa"/>
        <w:tblInd w:w="93" w:type="dxa"/>
        <w:tblLook w:val="04A0" w:firstRow="1" w:lastRow="0" w:firstColumn="1" w:lastColumn="0" w:noHBand="0" w:noVBand="1"/>
        <w:tblCaption w:val="Table 36"/>
        <w:tblDescription w:val="Number of injections by patient by state"/>
      </w:tblPr>
      <w:tblGrid>
        <w:gridCol w:w="960"/>
        <w:gridCol w:w="960"/>
        <w:gridCol w:w="960"/>
        <w:gridCol w:w="960"/>
        <w:gridCol w:w="960"/>
        <w:gridCol w:w="960"/>
        <w:gridCol w:w="960"/>
        <w:gridCol w:w="960"/>
        <w:gridCol w:w="960"/>
      </w:tblGrid>
      <w:tr w:rsidR="004F7D04" w:rsidRPr="00636C2A" w:rsidTr="00636C2A">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Year</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ACT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NSW</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NT</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QLD</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SA</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TAS</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VIC</w:t>
            </w:r>
          </w:p>
        </w:tc>
        <w:tc>
          <w:tcPr>
            <w:tcW w:w="960" w:type="dxa"/>
            <w:tcBorders>
              <w:top w:val="single" w:sz="4" w:space="0" w:color="auto"/>
              <w:left w:val="nil"/>
              <w:bottom w:val="single" w:sz="4" w:space="0" w:color="auto"/>
              <w:right w:val="single" w:sz="4" w:space="0" w:color="auto"/>
            </w:tcBorders>
            <w:shd w:val="clear" w:color="000000" w:fill="BFBFBF"/>
            <w:noWrap/>
            <w:vAlign w:val="center"/>
            <w:hideMark/>
          </w:tcPr>
          <w:p w:rsidR="004F7D04" w:rsidRPr="00636C2A" w:rsidRDefault="004F7D04" w:rsidP="00636C2A">
            <w:pPr>
              <w:spacing w:after="0"/>
              <w:jc w:val="center"/>
              <w:rPr>
                <w:rFonts w:ascii="Calibri" w:eastAsia="Times New Roman" w:hAnsi="Calibri" w:cs="Times New Roman"/>
                <w:b/>
                <w:bCs/>
                <w:sz w:val="20"/>
                <w:szCs w:val="20"/>
              </w:rPr>
            </w:pPr>
            <w:r>
              <w:rPr>
                <w:rFonts w:ascii="Calibri" w:hAnsi="Calibri"/>
                <w:b/>
                <w:bCs/>
                <w:sz w:val="20"/>
                <w:szCs w:val="20"/>
              </w:rPr>
              <w:t>WA</w:t>
            </w:r>
          </w:p>
        </w:tc>
      </w:tr>
      <w:tr w:rsidR="004F7D04" w:rsidRPr="00636C2A" w:rsidTr="00636C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F7D04" w:rsidRPr="00636C2A" w:rsidRDefault="004F7D04" w:rsidP="00636C2A">
            <w:pPr>
              <w:spacing w:after="0"/>
              <w:jc w:val="right"/>
              <w:rPr>
                <w:rFonts w:ascii="Calibri" w:eastAsia="Times New Roman" w:hAnsi="Calibri" w:cs="Times New Roman"/>
                <w:sz w:val="20"/>
                <w:szCs w:val="20"/>
              </w:rPr>
            </w:pPr>
            <w:r>
              <w:rPr>
                <w:rFonts w:ascii="Calibri" w:hAnsi="Calibri"/>
                <w:sz w:val="20"/>
                <w:szCs w:val="20"/>
              </w:rPr>
              <w:t>2015</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2.26</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2.32</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1.50</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2.07</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2.03</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2.22</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2.04</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2.06</w:t>
            </w:r>
          </w:p>
        </w:tc>
      </w:tr>
      <w:tr w:rsidR="004F7D04" w:rsidRPr="00636C2A" w:rsidTr="00636C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F7D04" w:rsidRPr="00636C2A" w:rsidRDefault="004F7D04" w:rsidP="00636C2A">
            <w:pPr>
              <w:spacing w:after="0"/>
              <w:jc w:val="right"/>
              <w:rPr>
                <w:rFonts w:ascii="Calibri" w:eastAsia="Times New Roman" w:hAnsi="Calibri" w:cs="Times New Roman"/>
                <w:sz w:val="20"/>
                <w:szCs w:val="20"/>
              </w:rPr>
            </w:pPr>
            <w:r>
              <w:rPr>
                <w:rFonts w:ascii="Calibri" w:hAnsi="Calibri"/>
                <w:sz w:val="20"/>
                <w:szCs w:val="20"/>
              </w:rPr>
              <w:t>2016</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4.11</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4.24</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4.20</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3.94</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4.14</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4.06</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3.63</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3.77</w:t>
            </w:r>
          </w:p>
        </w:tc>
      </w:tr>
      <w:tr w:rsidR="004F7D04" w:rsidRPr="00636C2A" w:rsidTr="00636C2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F7D04" w:rsidRPr="00636C2A" w:rsidRDefault="004F7D04" w:rsidP="00636C2A">
            <w:pPr>
              <w:spacing w:after="0"/>
              <w:jc w:val="right"/>
              <w:rPr>
                <w:rFonts w:ascii="Calibri" w:eastAsia="Times New Roman" w:hAnsi="Calibri" w:cs="Times New Roman"/>
                <w:sz w:val="20"/>
                <w:szCs w:val="20"/>
              </w:rPr>
            </w:pPr>
            <w:r>
              <w:rPr>
                <w:rFonts w:ascii="Calibri" w:hAnsi="Calibri"/>
                <w:sz w:val="20"/>
                <w:szCs w:val="20"/>
              </w:rPr>
              <w:t>2017</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4.19</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4.58</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4.13</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4.19</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4.66</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5.01</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4.03</w:t>
            </w:r>
          </w:p>
        </w:tc>
        <w:tc>
          <w:tcPr>
            <w:tcW w:w="960" w:type="dxa"/>
            <w:tcBorders>
              <w:top w:val="nil"/>
              <w:left w:val="nil"/>
              <w:bottom w:val="single" w:sz="4" w:space="0" w:color="auto"/>
              <w:right w:val="single" w:sz="4" w:space="0" w:color="auto"/>
            </w:tcBorders>
            <w:shd w:val="clear" w:color="auto" w:fill="auto"/>
            <w:noWrap/>
            <w:vAlign w:val="center"/>
            <w:hideMark/>
          </w:tcPr>
          <w:p w:rsidR="004F7D04" w:rsidRPr="00636C2A" w:rsidRDefault="004F7D04" w:rsidP="00636C2A">
            <w:pPr>
              <w:spacing w:after="0"/>
              <w:jc w:val="center"/>
              <w:rPr>
                <w:rFonts w:ascii="Calibri" w:eastAsia="Times New Roman" w:hAnsi="Calibri" w:cs="Times New Roman"/>
                <w:sz w:val="20"/>
                <w:szCs w:val="20"/>
              </w:rPr>
            </w:pPr>
            <w:r>
              <w:rPr>
                <w:rFonts w:ascii="Calibri" w:hAnsi="Calibri"/>
                <w:sz w:val="20"/>
                <w:szCs w:val="20"/>
              </w:rPr>
              <w:t>4.15</w:t>
            </w:r>
          </w:p>
        </w:tc>
      </w:tr>
    </w:tbl>
    <w:p w:rsidR="00830F35" w:rsidRPr="00353F23" w:rsidRDefault="00830F35" w:rsidP="00830F35">
      <w:pPr>
        <w:pStyle w:val="Notes"/>
        <w:rPr>
          <w:highlight w:val="yellow"/>
        </w:rPr>
      </w:pPr>
      <w:r w:rsidRPr="00353F23">
        <w:t>Source: DHS Medicare Pharmacy Claims database, accessed March 2018</w:t>
      </w:r>
      <w:r w:rsidR="00181577">
        <w:t>, includes patients who have been treated for BRVO, CRVO or both, but not for AMD or DMO</w:t>
      </w:r>
      <w:r w:rsidRPr="00353F23">
        <w:br/>
        <w:t>Patients with an ‘unknown’ state are excluded</w:t>
      </w:r>
    </w:p>
    <w:p w:rsidR="00353F23" w:rsidRDefault="00757A61" w:rsidP="003B0F92">
      <w:r>
        <w:t xml:space="preserve">The number of injections per patient is also highest in Tasmania, however </w:t>
      </w:r>
      <w:r w:rsidR="00F0507E">
        <w:t>in 2016</w:t>
      </w:r>
      <w:r w:rsidR="00DC23C6">
        <w:t xml:space="preserve"> the</w:t>
      </w:r>
      <w:r w:rsidR="00F0507E">
        <w:t xml:space="preserve"> </w:t>
      </w:r>
      <w:r w:rsidR="00DC23C6" w:rsidRPr="00CB6E36">
        <w:t>Northe</w:t>
      </w:r>
      <w:r w:rsidR="00DC23C6">
        <w:t xml:space="preserve">rn Territory </w:t>
      </w:r>
      <w:r w:rsidR="00F0507E">
        <w:t>and NSW were the highest.</w:t>
      </w:r>
      <w:r w:rsidR="006E6D90">
        <w:t xml:space="preserve"> </w:t>
      </w:r>
    </w:p>
    <w:p w:rsidR="002C76DC" w:rsidRDefault="002C76DC">
      <w:pPr>
        <w:spacing w:line="276" w:lineRule="auto"/>
        <w:rPr>
          <w:b/>
          <w:sz w:val="28"/>
        </w:rPr>
      </w:pPr>
      <w:r>
        <w:br w:type="page"/>
      </w:r>
    </w:p>
    <w:p w:rsidR="003B0F92" w:rsidRPr="00BD3B97" w:rsidRDefault="00BD3B97" w:rsidP="00D40248">
      <w:pPr>
        <w:pStyle w:val="Heading2"/>
      </w:pPr>
      <w:bookmarkStart w:id="48" w:name="_Toc513038047"/>
      <w:r w:rsidRPr="00BD3B97">
        <w:lastRenderedPageBreak/>
        <w:t>Patients treated for more than one indication</w:t>
      </w:r>
      <w:bookmarkEnd w:id="48"/>
    </w:p>
    <w:p w:rsidR="00181577" w:rsidRDefault="00F0507E" w:rsidP="00AC5221">
      <w:r>
        <w:t xml:space="preserve">The analyses presented in previous sections largely </w:t>
      </w:r>
      <w:r w:rsidR="0099670E">
        <w:t>included</w:t>
      </w:r>
      <w:r>
        <w:t xml:space="preserve"> patients who had only been treated for one indication. </w:t>
      </w:r>
      <w:r w:rsidR="00AC5221">
        <w:t>The table below summarises the number of patients treated for one or more than one indication.</w:t>
      </w:r>
      <w:r w:rsidR="00F16E1D">
        <w:t xml:space="preserve"> I</w:t>
      </w:r>
      <w:r>
        <w:t xml:space="preserve">n total, between August 2007 and December 2017, </w:t>
      </w:r>
      <w:r w:rsidR="009E2118">
        <w:t>108,124</w:t>
      </w:r>
      <w:r w:rsidR="00AC5221">
        <w:t xml:space="preserve"> </w:t>
      </w:r>
      <w:r w:rsidR="00FF30AC">
        <w:t xml:space="preserve">patients were treated for one indication, </w:t>
      </w:r>
      <w:r w:rsidR="00AC5221">
        <w:t>5,</w:t>
      </w:r>
      <w:r w:rsidR="009E2118">
        <w:t>557</w:t>
      </w:r>
      <w:r w:rsidR="00AC5221">
        <w:t xml:space="preserve"> for two, and 479 had no </w:t>
      </w:r>
      <w:r w:rsidR="009278DF">
        <w:t>indication on any of their prescriptions. These 479 mostly represent veterans who were supplied medicines using the ‘1996’ authority code</w:t>
      </w:r>
      <w:r w:rsidR="00FF30AC">
        <w:t xml:space="preserve">. </w:t>
      </w:r>
    </w:p>
    <w:p w:rsidR="009278DF" w:rsidRDefault="009278DF" w:rsidP="009278DF">
      <w:pPr>
        <w:pStyle w:val="Tabletitle"/>
      </w:pPr>
      <w:r>
        <w:t xml:space="preserve">Table </w:t>
      </w:r>
      <w:r w:rsidR="00403745">
        <w:t>37</w:t>
      </w:r>
      <w:r>
        <w:t>: Number of patients treated for one or more than one indication</w:t>
      </w:r>
    </w:p>
    <w:tbl>
      <w:tblPr>
        <w:tblW w:w="510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7"/>
        <w:tblDescription w:val="Patients treated for more than one indication"/>
      </w:tblPr>
      <w:tblGrid>
        <w:gridCol w:w="1701"/>
        <w:gridCol w:w="1701"/>
        <w:gridCol w:w="1701"/>
      </w:tblGrid>
      <w:tr w:rsidR="00FF30AC" w:rsidRPr="009E2118" w:rsidTr="00F0507E">
        <w:trPr>
          <w:trHeight w:val="300"/>
        </w:trPr>
        <w:tc>
          <w:tcPr>
            <w:tcW w:w="1701" w:type="dxa"/>
            <w:shd w:val="clear" w:color="auto" w:fill="BFBFBF" w:themeFill="background1" w:themeFillShade="BF"/>
            <w:noWrap/>
            <w:vAlign w:val="center"/>
            <w:hideMark/>
          </w:tcPr>
          <w:p w:rsidR="00FF30AC" w:rsidRPr="009E2118" w:rsidRDefault="00FF30AC" w:rsidP="00F0507E">
            <w:pPr>
              <w:spacing w:after="0"/>
              <w:rPr>
                <w:rFonts w:ascii="Calibri" w:eastAsia="Times New Roman" w:hAnsi="Calibri" w:cs="Times New Roman"/>
                <w:b/>
                <w:color w:val="000000"/>
                <w:sz w:val="20"/>
                <w:szCs w:val="20"/>
              </w:rPr>
            </w:pPr>
            <w:r w:rsidRPr="009E2118">
              <w:rPr>
                <w:rFonts w:ascii="Calibri" w:eastAsia="Times New Roman" w:hAnsi="Calibri" w:cs="Times New Roman"/>
                <w:b/>
                <w:color w:val="000000"/>
                <w:sz w:val="20"/>
                <w:szCs w:val="20"/>
              </w:rPr>
              <w:t>Indication 1</w:t>
            </w:r>
          </w:p>
        </w:tc>
        <w:tc>
          <w:tcPr>
            <w:tcW w:w="1701" w:type="dxa"/>
            <w:shd w:val="clear" w:color="auto" w:fill="BFBFBF" w:themeFill="background1" w:themeFillShade="BF"/>
            <w:noWrap/>
            <w:vAlign w:val="center"/>
            <w:hideMark/>
          </w:tcPr>
          <w:p w:rsidR="00FF30AC" w:rsidRPr="009E2118" w:rsidRDefault="00FF30AC" w:rsidP="00F0507E">
            <w:pPr>
              <w:spacing w:after="0"/>
              <w:rPr>
                <w:rFonts w:ascii="Calibri" w:eastAsia="Times New Roman" w:hAnsi="Calibri" w:cs="Times New Roman"/>
                <w:b/>
                <w:color w:val="000000"/>
                <w:sz w:val="20"/>
                <w:szCs w:val="20"/>
              </w:rPr>
            </w:pPr>
            <w:r w:rsidRPr="009E2118">
              <w:rPr>
                <w:rFonts w:ascii="Calibri" w:eastAsia="Times New Roman" w:hAnsi="Calibri" w:cs="Times New Roman"/>
                <w:b/>
                <w:color w:val="000000"/>
                <w:sz w:val="20"/>
                <w:szCs w:val="20"/>
              </w:rPr>
              <w:t>Indication 2</w:t>
            </w:r>
          </w:p>
        </w:tc>
        <w:tc>
          <w:tcPr>
            <w:tcW w:w="1701" w:type="dxa"/>
            <w:shd w:val="clear" w:color="auto" w:fill="BFBFBF" w:themeFill="background1" w:themeFillShade="BF"/>
            <w:noWrap/>
            <w:vAlign w:val="center"/>
            <w:hideMark/>
          </w:tcPr>
          <w:p w:rsidR="00FF30AC" w:rsidRPr="009E2118" w:rsidRDefault="00FF30AC" w:rsidP="00F0507E">
            <w:pPr>
              <w:spacing w:after="0"/>
              <w:jc w:val="right"/>
              <w:rPr>
                <w:rFonts w:ascii="Calibri" w:eastAsia="Times New Roman" w:hAnsi="Calibri" w:cs="Times New Roman"/>
                <w:b/>
                <w:color w:val="000000"/>
                <w:sz w:val="20"/>
                <w:szCs w:val="20"/>
              </w:rPr>
            </w:pPr>
            <w:r w:rsidRPr="009E2118">
              <w:rPr>
                <w:rFonts w:ascii="Calibri" w:eastAsia="Times New Roman" w:hAnsi="Calibri" w:cs="Times New Roman"/>
                <w:b/>
                <w:color w:val="000000"/>
                <w:sz w:val="20"/>
                <w:szCs w:val="20"/>
              </w:rPr>
              <w:t>Patient Count</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 xml:space="preserve">   .</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86</w:t>
            </w:r>
            <w:r>
              <w:rPr>
                <w:rFonts w:ascii="Calibri" w:hAnsi="Calibri"/>
                <w:color w:val="000000"/>
                <w:sz w:val="20"/>
                <w:szCs w:val="20"/>
              </w:rPr>
              <w:t>,</w:t>
            </w:r>
            <w:r w:rsidRPr="009E2118">
              <w:rPr>
                <w:rFonts w:ascii="Calibri" w:hAnsi="Calibri"/>
                <w:color w:val="000000"/>
                <w:sz w:val="20"/>
                <w:szCs w:val="20"/>
              </w:rPr>
              <w:t>580</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721</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w:t>
            </w:r>
            <w:r>
              <w:rPr>
                <w:rFonts w:ascii="Calibri" w:hAnsi="Calibri"/>
                <w:color w:val="000000"/>
                <w:sz w:val="20"/>
                <w:szCs w:val="20"/>
              </w:rPr>
              <w:t>,</w:t>
            </w:r>
            <w:r w:rsidRPr="009E2118">
              <w:rPr>
                <w:rFonts w:ascii="Calibri" w:hAnsi="Calibri"/>
                <w:color w:val="000000"/>
                <w:sz w:val="20"/>
                <w:szCs w:val="20"/>
              </w:rPr>
              <w:t>035</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171</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 xml:space="preserve">   .</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4</w:t>
            </w:r>
            <w:r>
              <w:rPr>
                <w:rFonts w:ascii="Calibri" w:hAnsi="Calibri"/>
                <w:color w:val="000000"/>
                <w:sz w:val="20"/>
                <w:szCs w:val="20"/>
              </w:rPr>
              <w:t>,</w:t>
            </w:r>
            <w:r w:rsidRPr="009E2118">
              <w:rPr>
                <w:rFonts w:ascii="Calibri" w:hAnsi="Calibri"/>
                <w:color w:val="000000"/>
                <w:sz w:val="20"/>
                <w:szCs w:val="20"/>
              </w:rPr>
              <w:t>590</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w:t>
            </w:r>
            <w:r>
              <w:rPr>
                <w:rFonts w:ascii="Calibri" w:hAnsi="Calibri"/>
                <w:color w:val="000000"/>
                <w:sz w:val="20"/>
                <w:szCs w:val="20"/>
              </w:rPr>
              <w:t>,</w:t>
            </w:r>
            <w:r w:rsidRPr="009E2118">
              <w:rPr>
                <w:rFonts w:ascii="Calibri" w:hAnsi="Calibri"/>
                <w:color w:val="000000"/>
                <w:sz w:val="20"/>
                <w:szCs w:val="20"/>
              </w:rPr>
              <w:t>815</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149</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30</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 xml:space="preserve">   .</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2</w:t>
            </w:r>
            <w:r>
              <w:rPr>
                <w:rFonts w:ascii="Calibri" w:hAnsi="Calibri"/>
                <w:color w:val="000000"/>
                <w:sz w:val="20"/>
                <w:szCs w:val="20"/>
              </w:rPr>
              <w:t>,</w:t>
            </w:r>
            <w:r w:rsidRPr="009E2118">
              <w:rPr>
                <w:rFonts w:ascii="Calibri" w:hAnsi="Calibri"/>
                <w:color w:val="000000"/>
                <w:sz w:val="20"/>
                <w:szCs w:val="20"/>
              </w:rPr>
              <w:t>999</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w:t>
            </w:r>
            <w:r>
              <w:rPr>
                <w:rFonts w:ascii="Calibri" w:hAnsi="Calibri"/>
                <w:color w:val="000000"/>
                <w:sz w:val="20"/>
                <w:szCs w:val="20"/>
              </w:rPr>
              <w:t>,</w:t>
            </w:r>
            <w:r w:rsidRPr="009E2118">
              <w:rPr>
                <w:rFonts w:ascii="Calibri" w:hAnsi="Calibri"/>
                <w:color w:val="000000"/>
                <w:sz w:val="20"/>
                <w:szCs w:val="20"/>
              </w:rPr>
              <w:t>292</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95</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30</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 xml:space="preserve">   .</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13</w:t>
            </w:r>
            <w:r>
              <w:rPr>
                <w:rFonts w:ascii="Calibri" w:hAnsi="Calibri"/>
                <w:color w:val="000000"/>
                <w:sz w:val="20"/>
                <w:szCs w:val="20"/>
              </w:rPr>
              <w:t>,</w:t>
            </w:r>
            <w:r w:rsidRPr="009E2118">
              <w:rPr>
                <w:rFonts w:ascii="Calibri" w:hAnsi="Calibri"/>
                <w:color w:val="000000"/>
                <w:sz w:val="20"/>
                <w:szCs w:val="20"/>
              </w:rPr>
              <w:t>476</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AMD</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181</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BRVO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21</w:t>
            </w:r>
          </w:p>
        </w:tc>
      </w:tr>
      <w:tr w:rsidR="009E2118" w:rsidRPr="009E2118" w:rsidTr="00D211DD">
        <w:trPr>
          <w:trHeight w:val="300"/>
        </w:trPr>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DMO</w:t>
            </w:r>
          </w:p>
        </w:tc>
        <w:tc>
          <w:tcPr>
            <w:tcW w:w="1701" w:type="dxa"/>
            <w:shd w:val="clear" w:color="auto" w:fill="auto"/>
            <w:noWrap/>
            <w:vAlign w:val="center"/>
            <w:hideMark/>
          </w:tcPr>
          <w:p w:rsidR="009E2118" w:rsidRPr="009E2118" w:rsidRDefault="009E2118"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CRVO</w:t>
            </w:r>
          </w:p>
        </w:tc>
        <w:tc>
          <w:tcPr>
            <w:tcW w:w="1701" w:type="dxa"/>
            <w:shd w:val="clear" w:color="auto" w:fill="auto"/>
            <w:noWrap/>
            <w:vAlign w:val="bottom"/>
            <w:hideMark/>
          </w:tcPr>
          <w:p w:rsidR="009E2118" w:rsidRPr="009E2118" w:rsidRDefault="009E2118"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17</w:t>
            </w:r>
          </w:p>
        </w:tc>
      </w:tr>
      <w:tr w:rsidR="00AC5221" w:rsidRPr="009E2118" w:rsidTr="00F0507E">
        <w:trPr>
          <w:trHeight w:val="300"/>
        </w:trPr>
        <w:tc>
          <w:tcPr>
            <w:tcW w:w="1701" w:type="dxa"/>
            <w:shd w:val="clear" w:color="auto" w:fill="auto"/>
            <w:noWrap/>
            <w:vAlign w:val="center"/>
            <w:hideMark/>
          </w:tcPr>
          <w:p w:rsidR="00AC5221" w:rsidRPr="009E2118" w:rsidRDefault="00AC5221"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nil</w:t>
            </w:r>
          </w:p>
        </w:tc>
        <w:tc>
          <w:tcPr>
            <w:tcW w:w="1701" w:type="dxa"/>
            <w:shd w:val="clear" w:color="auto" w:fill="auto"/>
            <w:noWrap/>
            <w:vAlign w:val="center"/>
            <w:hideMark/>
          </w:tcPr>
          <w:p w:rsidR="00AC5221" w:rsidRPr="009E2118" w:rsidRDefault="00AC5221" w:rsidP="00F0507E">
            <w:pPr>
              <w:spacing w:after="0"/>
              <w:rPr>
                <w:rFonts w:ascii="Calibri" w:eastAsia="Times New Roman" w:hAnsi="Calibri" w:cs="Times New Roman"/>
                <w:color w:val="000000"/>
                <w:sz w:val="20"/>
                <w:szCs w:val="20"/>
              </w:rPr>
            </w:pPr>
            <w:r w:rsidRPr="009E2118">
              <w:rPr>
                <w:rFonts w:ascii="Calibri" w:hAnsi="Calibri"/>
                <w:color w:val="000000"/>
                <w:sz w:val="20"/>
                <w:szCs w:val="20"/>
              </w:rPr>
              <w:t xml:space="preserve">   .</w:t>
            </w:r>
          </w:p>
        </w:tc>
        <w:tc>
          <w:tcPr>
            <w:tcW w:w="1701" w:type="dxa"/>
            <w:shd w:val="clear" w:color="auto" w:fill="auto"/>
            <w:noWrap/>
            <w:vAlign w:val="center"/>
            <w:hideMark/>
          </w:tcPr>
          <w:p w:rsidR="00AC5221" w:rsidRPr="009E2118" w:rsidRDefault="00AC5221" w:rsidP="00F0507E">
            <w:pPr>
              <w:spacing w:after="0"/>
              <w:jc w:val="right"/>
              <w:rPr>
                <w:rFonts w:ascii="Calibri" w:eastAsia="Times New Roman" w:hAnsi="Calibri" w:cs="Times New Roman"/>
                <w:color w:val="000000"/>
                <w:sz w:val="20"/>
                <w:szCs w:val="20"/>
              </w:rPr>
            </w:pPr>
            <w:r w:rsidRPr="009E2118">
              <w:rPr>
                <w:rFonts w:ascii="Calibri" w:hAnsi="Calibri"/>
                <w:color w:val="000000"/>
                <w:sz w:val="20"/>
                <w:szCs w:val="20"/>
              </w:rPr>
              <w:t>479</w:t>
            </w:r>
          </w:p>
        </w:tc>
      </w:tr>
      <w:tr w:rsidR="00F0507E" w:rsidRPr="009E2118" w:rsidTr="00F0507E">
        <w:trPr>
          <w:trHeight w:val="300"/>
        </w:trPr>
        <w:tc>
          <w:tcPr>
            <w:tcW w:w="1701" w:type="dxa"/>
            <w:shd w:val="clear" w:color="auto" w:fill="auto"/>
            <w:noWrap/>
            <w:vAlign w:val="center"/>
          </w:tcPr>
          <w:p w:rsidR="00F0507E" w:rsidRPr="009E2118" w:rsidRDefault="00F0507E" w:rsidP="00F0507E">
            <w:pPr>
              <w:spacing w:after="0"/>
              <w:rPr>
                <w:rFonts w:ascii="Calibri" w:hAnsi="Calibri"/>
                <w:color w:val="000000"/>
                <w:sz w:val="20"/>
                <w:szCs w:val="20"/>
              </w:rPr>
            </w:pPr>
            <w:r w:rsidRPr="009E2118">
              <w:rPr>
                <w:rFonts w:ascii="Calibri" w:hAnsi="Calibri"/>
                <w:color w:val="000000"/>
                <w:sz w:val="20"/>
                <w:szCs w:val="20"/>
              </w:rPr>
              <w:t>Total</w:t>
            </w:r>
          </w:p>
        </w:tc>
        <w:tc>
          <w:tcPr>
            <w:tcW w:w="1701" w:type="dxa"/>
            <w:shd w:val="clear" w:color="auto" w:fill="auto"/>
            <w:noWrap/>
            <w:vAlign w:val="center"/>
          </w:tcPr>
          <w:p w:rsidR="00F0507E" w:rsidRPr="009E2118" w:rsidRDefault="00F0507E" w:rsidP="00F0507E">
            <w:pPr>
              <w:spacing w:after="0"/>
              <w:rPr>
                <w:rFonts w:ascii="Calibri" w:hAnsi="Calibri"/>
                <w:color w:val="000000"/>
                <w:sz w:val="20"/>
                <w:szCs w:val="20"/>
              </w:rPr>
            </w:pPr>
          </w:p>
        </w:tc>
        <w:tc>
          <w:tcPr>
            <w:tcW w:w="1701" w:type="dxa"/>
            <w:shd w:val="clear" w:color="auto" w:fill="auto"/>
            <w:noWrap/>
            <w:vAlign w:val="center"/>
          </w:tcPr>
          <w:p w:rsidR="00F0507E" w:rsidRPr="009E2118" w:rsidRDefault="009E2118" w:rsidP="00F0507E">
            <w:pPr>
              <w:spacing w:after="0"/>
              <w:jc w:val="right"/>
              <w:rPr>
                <w:rFonts w:ascii="Calibri" w:hAnsi="Calibri"/>
                <w:color w:val="000000"/>
                <w:sz w:val="20"/>
                <w:szCs w:val="20"/>
              </w:rPr>
            </w:pPr>
            <w:r>
              <w:rPr>
                <w:rFonts w:ascii="Calibri" w:hAnsi="Calibri"/>
                <w:color w:val="000000"/>
                <w:sz w:val="20"/>
                <w:szCs w:val="20"/>
              </w:rPr>
              <w:t>113,681</w:t>
            </w:r>
          </w:p>
        </w:tc>
      </w:tr>
    </w:tbl>
    <w:p w:rsidR="00242301" w:rsidRDefault="00242301" w:rsidP="001741C1">
      <w:pPr>
        <w:pStyle w:val="Heading2"/>
      </w:pPr>
    </w:p>
    <w:p w:rsidR="00242301" w:rsidRDefault="00242301">
      <w:pPr>
        <w:spacing w:line="276" w:lineRule="auto"/>
        <w:rPr>
          <w:b/>
          <w:sz w:val="28"/>
        </w:rPr>
      </w:pPr>
      <w:r>
        <w:br w:type="page"/>
      </w:r>
    </w:p>
    <w:p w:rsidR="00CA4D79" w:rsidRDefault="00CA4D79" w:rsidP="001741C1">
      <w:pPr>
        <w:pStyle w:val="Heading2"/>
      </w:pPr>
      <w:bookmarkStart w:id="49" w:name="_Toc513038048"/>
      <w:r>
        <w:lastRenderedPageBreak/>
        <w:t>Overall utilisation</w:t>
      </w:r>
      <w:bookmarkEnd w:id="49"/>
    </w:p>
    <w:p w:rsidR="00CA4D79" w:rsidRPr="003B0F92" w:rsidRDefault="00F0507E" w:rsidP="00CA4D79">
      <w:r>
        <w:t>Combining all patients who have received treatment for AMD, DMO, RVO or two of the three, F</w:t>
      </w:r>
      <w:r w:rsidR="00CA4D79" w:rsidRPr="00CA4D79">
        <w:t xml:space="preserve">igure </w:t>
      </w:r>
      <w:r w:rsidR="00DF474C">
        <w:t>8</w:t>
      </w:r>
      <w:r w:rsidR="00CA4D79" w:rsidRPr="00CA4D79">
        <w:t xml:space="preserve"> show</w:t>
      </w:r>
      <w:r>
        <w:t>s</w:t>
      </w:r>
      <w:r w:rsidR="00CA4D79" w:rsidRPr="00CA4D79">
        <w:t xml:space="preserve"> the </w:t>
      </w:r>
      <w:r>
        <w:t xml:space="preserve">total </w:t>
      </w:r>
      <w:r w:rsidR="00CA4D79" w:rsidRPr="00CA4D79">
        <w:t>number of patients starting treatment with PBS subsidised</w:t>
      </w:r>
      <w:r w:rsidR="00CA4D79" w:rsidRPr="003B0F92">
        <w:t xml:space="preserve"> aflibercept, ranibizumab or dexamethasone implants for the first time (initiating), and the total number of patients receiving treatment with aflibercept, ranibizumab or dexamethasone implants (prevalent). </w:t>
      </w:r>
    </w:p>
    <w:p w:rsidR="00CA4D79" w:rsidRPr="007A1EF4" w:rsidRDefault="00CA4D79" w:rsidP="00CA4D79">
      <w:pPr>
        <w:rPr>
          <w:rFonts w:eastAsiaTheme="majorEastAsia" w:cstheme="majorBidi"/>
          <w:b/>
          <w:lang w:val="en-US"/>
        </w:rPr>
      </w:pPr>
      <w:r>
        <w:rPr>
          <w:noProof/>
        </w:rPr>
        <w:drawing>
          <wp:inline distT="0" distB="0" distL="0" distR="0" wp14:anchorId="21D42442" wp14:editId="627FB797">
            <wp:extent cx="5743575" cy="3543300"/>
            <wp:effectExtent l="0" t="0" r="9525" b="19050"/>
            <wp:docPr id="4" name="Chart 4" descr="Number of incident patients by month over time" title="Fig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03745">
        <w:rPr>
          <w:rStyle w:val="FiguretitleChar"/>
        </w:rPr>
        <w:t>Figure 8</w:t>
      </w:r>
      <w:r w:rsidRPr="007B071E">
        <w:rPr>
          <w:rStyle w:val="FiguretitleChar"/>
        </w:rPr>
        <w:t xml:space="preserve">: Number of initial patients and all patients treated each month from August 2007 to December 2017 </w:t>
      </w:r>
      <w:r w:rsidRPr="007B071E">
        <w:rPr>
          <w:rStyle w:val="FiguretitleChar"/>
        </w:rPr>
        <w:br/>
      </w:r>
      <w:r w:rsidRPr="007A1EF4">
        <w:rPr>
          <w:rStyle w:val="FigurecaptionChar"/>
        </w:rPr>
        <w:t>Source: DHS Medicare Pharmacy Claims database, accessed March 201</w:t>
      </w:r>
      <w:r>
        <w:rPr>
          <w:rStyle w:val="FigurecaptionChar"/>
        </w:rPr>
        <w:t>8</w:t>
      </w:r>
    </w:p>
    <w:p w:rsidR="00CA4D79" w:rsidRDefault="00F0507E" w:rsidP="00CA4D79">
      <w:r>
        <w:t xml:space="preserve">This figure shows the impact of the new listings for DMO and RVO in mid-2015, and the related inflection in </w:t>
      </w:r>
      <w:r w:rsidRPr="007A1EF4">
        <w:t>the number of prevalent treated</w:t>
      </w:r>
      <w:r w:rsidR="0099670E">
        <w:t xml:space="preserve"> patients</w:t>
      </w:r>
      <w:r>
        <w:t xml:space="preserve">. </w:t>
      </w:r>
      <w:r w:rsidR="00CA4D79" w:rsidRPr="007A1EF4">
        <w:t xml:space="preserve">In 2014 15, 272 patients initiated to one of these medicines, in 2017 39,328 patients initiated. </w:t>
      </w:r>
      <w:r>
        <w:t>It also shows that the number of</w:t>
      </w:r>
      <w:r w:rsidR="00CA4D79" w:rsidRPr="007A1EF4">
        <w:t xml:space="preserve"> prevalent treated patients continues to grow.</w:t>
      </w:r>
    </w:p>
    <w:p w:rsidR="00E941D0" w:rsidRDefault="00E941D0" w:rsidP="00CA4D79">
      <w:r>
        <w:rPr>
          <w:noProof/>
        </w:rPr>
        <w:lastRenderedPageBreak/>
        <w:drawing>
          <wp:inline distT="0" distB="0" distL="0" distR="0" wp14:anchorId="58B2FDDC" wp14:editId="65C1D13D">
            <wp:extent cx="5595582" cy="3753134"/>
            <wp:effectExtent l="0" t="0" r="24765" b="19050"/>
            <wp:docPr id="3" name="Chart 3" descr="Treated patients by month over time" title="Fig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941D0" w:rsidRPr="007A1EF4" w:rsidRDefault="00DF474C" w:rsidP="00E941D0">
      <w:pPr>
        <w:rPr>
          <w:rFonts w:eastAsiaTheme="majorEastAsia" w:cstheme="majorBidi"/>
          <w:b/>
          <w:lang w:val="en-US"/>
        </w:rPr>
      </w:pPr>
      <w:r>
        <w:rPr>
          <w:rStyle w:val="FiguretitleChar"/>
        </w:rPr>
        <w:t>Figure 9</w:t>
      </w:r>
      <w:r w:rsidR="00E941D0" w:rsidRPr="007B071E">
        <w:rPr>
          <w:rStyle w:val="FiguretitleChar"/>
        </w:rPr>
        <w:t xml:space="preserve">: Number of </w:t>
      </w:r>
      <w:r w:rsidR="00E941D0">
        <w:rPr>
          <w:rStyle w:val="FiguretitleChar"/>
        </w:rPr>
        <w:t>treated</w:t>
      </w:r>
      <w:r w:rsidR="00E941D0" w:rsidRPr="007B071E">
        <w:rPr>
          <w:rStyle w:val="FiguretitleChar"/>
        </w:rPr>
        <w:t xml:space="preserve"> patients each month from August 2007 to December 2017 </w:t>
      </w:r>
      <w:r w:rsidR="00E941D0" w:rsidRPr="007B071E">
        <w:rPr>
          <w:rStyle w:val="FiguretitleChar"/>
        </w:rPr>
        <w:br/>
      </w:r>
      <w:r w:rsidR="00E941D0" w:rsidRPr="007A1EF4">
        <w:rPr>
          <w:rStyle w:val="FigurecaptionChar"/>
        </w:rPr>
        <w:t>Source: DHS Medicare Pharmacy Claims database, accessed March 201</w:t>
      </w:r>
      <w:r w:rsidR="00E941D0">
        <w:rPr>
          <w:rStyle w:val="FigurecaptionChar"/>
        </w:rPr>
        <w:t>8</w:t>
      </w:r>
    </w:p>
    <w:p w:rsidR="00E941D0" w:rsidRDefault="00E941D0" w:rsidP="00CA4D79">
      <w:r>
        <w:t xml:space="preserve">Figure </w:t>
      </w:r>
      <w:r w:rsidR="00DF474C">
        <w:t>9</w:t>
      </w:r>
      <w:r>
        <w:t xml:space="preserve"> shows the number of treated patients by indication since 2007. </w:t>
      </w:r>
      <w:r w:rsidR="00553511">
        <w:t>Use for AMD is approximately 75% of the total market. Use for DMO and RVO is similar.</w:t>
      </w:r>
    </w:p>
    <w:p w:rsidR="00CA4D79" w:rsidRPr="007A1EF4" w:rsidRDefault="00CA4D79" w:rsidP="00CA4D79">
      <w:r>
        <w:t xml:space="preserve">Figure </w:t>
      </w:r>
      <w:r w:rsidR="00DF474C">
        <w:t>10</w:t>
      </w:r>
      <w:r w:rsidRPr="007A1EF4">
        <w:t xml:space="preserve"> shows the number of injections (solid line) and number of prescriptions (broken line) for medicines used to treat AMD, RVO and DMO. The usual maximum quantity per prescription is one injection of either aflibercept or ranibizumab, but some prescriptions are authorised for an increased maximum quantity.</w:t>
      </w:r>
    </w:p>
    <w:p w:rsidR="00CA4D79" w:rsidRPr="007A1EF4" w:rsidRDefault="00CA4D79" w:rsidP="00CA4D79">
      <w:pPr>
        <w:pStyle w:val="Figuretitle"/>
      </w:pPr>
    </w:p>
    <w:p w:rsidR="00CA4D79" w:rsidRPr="007A1EF4" w:rsidRDefault="00CA4D79" w:rsidP="00CA4D79">
      <w:pPr>
        <w:pStyle w:val="Caption"/>
        <w:rPr>
          <w:b w:val="0"/>
          <w:color w:val="auto"/>
          <w:sz w:val="20"/>
          <w:szCs w:val="20"/>
        </w:rPr>
      </w:pPr>
      <w:bookmarkStart w:id="50" w:name="_Ref384135070"/>
      <w:bookmarkStart w:id="51" w:name="_Ref384135092"/>
      <w:r>
        <w:rPr>
          <w:noProof/>
        </w:rPr>
        <w:lastRenderedPageBreak/>
        <w:drawing>
          <wp:inline distT="0" distB="0" distL="0" distR="0" wp14:anchorId="5784F5B6" wp14:editId="22D33E2E">
            <wp:extent cx="5691352" cy="4130566"/>
            <wp:effectExtent l="0" t="0" r="24130" b="22860"/>
            <wp:docPr id="11" name="Chart 11" descr="Prescriptions for ranibizumab, aflibercept and dexamethasone over time" title="Figur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7A1EF4">
        <w:rPr>
          <w:rStyle w:val="FiguretitleChar"/>
          <w:b/>
          <w:color w:val="auto"/>
        </w:rPr>
        <w:t xml:space="preserve">Figure </w:t>
      </w:r>
      <w:bookmarkEnd w:id="50"/>
      <w:r w:rsidR="00DF474C">
        <w:rPr>
          <w:rStyle w:val="FiguretitleChar"/>
          <w:b/>
          <w:color w:val="auto"/>
        </w:rPr>
        <w:t>10</w:t>
      </w:r>
      <w:r w:rsidRPr="007A1EF4">
        <w:rPr>
          <w:rStyle w:val="FiguretitleChar"/>
          <w:b/>
          <w:color w:val="auto"/>
        </w:rPr>
        <w:t>: Prescriptions and supplied injections for ranibizumab, aflibercept, dexamethasone implant, from August 2007 to December 201</w:t>
      </w:r>
      <w:bookmarkEnd w:id="51"/>
      <w:r w:rsidRPr="007A1EF4">
        <w:rPr>
          <w:rStyle w:val="FiguretitleChar"/>
          <w:b/>
          <w:color w:val="auto"/>
        </w:rPr>
        <w:t>7</w:t>
      </w:r>
      <w:r w:rsidRPr="007A1EF4">
        <w:rPr>
          <w:rStyle w:val="FiguretitleChar"/>
          <w:b/>
          <w:color w:val="auto"/>
        </w:rPr>
        <w:br/>
      </w:r>
      <w:r w:rsidRPr="007A1EF4">
        <w:rPr>
          <w:rStyle w:val="FigurecaptionChar"/>
          <w:b w:val="0"/>
          <w:color w:val="auto"/>
        </w:rPr>
        <w:t xml:space="preserve">Source: DHS Medicare Pharmacy Claims database, accessed </w:t>
      </w:r>
      <w:r>
        <w:rPr>
          <w:rStyle w:val="FigurecaptionChar"/>
          <w:b w:val="0"/>
          <w:color w:val="auto"/>
        </w:rPr>
        <w:t>March 2018</w:t>
      </w:r>
    </w:p>
    <w:p w:rsidR="00CA4D79" w:rsidRPr="0098651B" w:rsidRDefault="00CA4D79" w:rsidP="00CA4D79">
      <w:r w:rsidRPr="0098651B">
        <w:t xml:space="preserve">The total number of prescriptions has increased steadily over the past ten years. </w:t>
      </w:r>
      <w:r>
        <w:t xml:space="preserve">The increase may have been slowing prior to 2015, but following the listing of ranibizumab and then aflibercept for DMO and RVO utilisation increased further. </w:t>
      </w:r>
      <w:r w:rsidR="007D183E">
        <w:t xml:space="preserve">In the 2015 report it was noted that the use of ranibizumab and aflibercept each had approximately 50 percent market share. It appears that ranibizumab has been stable during 2016 and 2017, while the use of aflibercept continues to grow. </w:t>
      </w:r>
      <w:r w:rsidR="00F0507E">
        <w:t>As noted in the 2015 report, there</w:t>
      </w:r>
      <w:r w:rsidRPr="0098651B">
        <w:t xml:space="preserve"> is a small but increasing divergence between the number of injections and prescriptions over time.  </w:t>
      </w:r>
    </w:p>
    <w:p w:rsidR="00CA4D79" w:rsidRDefault="00CA4D79" w:rsidP="00CA4D79">
      <w:r>
        <w:t xml:space="preserve">In 2017 there were 1,882 </w:t>
      </w:r>
      <w:r w:rsidRPr="0098651B">
        <w:t>prescriptions supplied</w:t>
      </w:r>
      <w:r>
        <w:t xml:space="preserve"> for dexamethasone implant. </w:t>
      </w:r>
      <w:r w:rsidR="00F0507E">
        <w:t xml:space="preserve">As previously noted, </w:t>
      </w:r>
      <w:r w:rsidR="00F0507E" w:rsidRPr="004D6A15">
        <w:t xml:space="preserve">use of dexamethasone for DMO is a </w:t>
      </w:r>
      <w:r w:rsidR="00D70902">
        <w:t>small proporion</w:t>
      </w:r>
      <w:r w:rsidR="00F0507E" w:rsidRPr="004D6A15">
        <w:t xml:space="preserve"> of the market for DMO. </w:t>
      </w:r>
      <w:r>
        <w:t xml:space="preserve">Use </w:t>
      </w:r>
      <w:r w:rsidR="00F0507E">
        <w:t>of dexamethasone implant is</w:t>
      </w:r>
      <w:r>
        <w:t xml:space="preserve"> low and may be stabilising at approximately 200 prescriptions per month dispensed.</w:t>
      </w:r>
    </w:p>
    <w:p w:rsidR="00DA3663" w:rsidRDefault="00DA3663">
      <w:pPr>
        <w:spacing w:line="276" w:lineRule="auto"/>
        <w:rPr>
          <w:b/>
          <w:i/>
          <w:szCs w:val="28"/>
        </w:rPr>
      </w:pPr>
      <w:r>
        <w:br w:type="page"/>
      </w:r>
    </w:p>
    <w:p w:rsidR="00251155" w:rsidRPr="009A03CF" w:rsidRDefault="00251155" w:rsidP="00242301">
      <w:pPr>
        <w:pStyle w:val="Heading3"/>
      </w:pPr>
      <w:bookmarkStart w:id="52" w:name="_Toc513038049"/>
      <w:r w:rsidRPr="009A03CF">
        <w:lastRenderedPageBreak/>
        <w:t>Proportion of use for bilateral treatment</w:t>
      </w:r>
      <w:bookmarkEnd w:id="52"/>
    </w:p>
    <w:p w:rsidR="00251155" w:rsidRDefault="00251155" w:rsidP="00251155">
      <w:r>
        <w:t>The 2015 report stated, “As authority approval for initial treatment of each eye must be sought, and the first authority application for each eye must be made in writing or by telephone, a more recent assessment of the extent of bilateral treatment with PBS subsidised aflibercept and ranibizumab may be possible from the DHS authority approval data.”</w:t>
      </w:r>
    </w:p>
    <w:p w:rsidR="00251155" w:rsidRPr="00251155" w:rsidRDefault="00251155" w:rsidP="00251155">
      <w:r>
        <w:t xml:space="preserve">The Secretariat has requested data from DHS regarding the proportion bilateral use. DHS was able to supply this data </w:t>
      </w:r>
      <w:r>
        <w:rPr>
          <w:color w:val="000000"/>
        </w:rPr>
        <w:t xml:space="preserve">relating to AMD, DMO and RVO authority approvals for </w:t>
      </w:r>
      <w:r w:rsidRPr="00E873F9">
        <w:rPr>
          <w:color w:val="000000"/>
        </w:rPr>
        <w:t xml:space="preserve">ranibizumab, aflibercept and dexamethasone in the 2017 calendar year. </w:t>
      </w:r>
      <w:r w:rsidRPr="00E873F9">
        <w:t>This is summarised below for overall proportion rather than by indication</w:t>
      </w:r>
      <w:r w:rsidR="00536042" w:rsidRPr="00E873F9">
        <w:t>.</w:t>
      </w:r>
    </w:p>
    <w:tbl>
      <w:tblPr>
        <w:tblW w:w="3880" w:type="dxa"/>
        <w:tblInd w:w="2" w:type="dxa"/>
        <w:tblCellMar>
          <w:left w:w="0" w:type="dxa"/>
          <w:right w:w="0" w:type="dxa"/>
        </w:tblCellMar>
        <w:tblLook w:val="04A0" w:firstRow="1" w:lastRow="0" w:firstColumn="1" w:lastColumn="0" w:noHBand="0" w:noVBand="1"/>
        <w:tblCaption w:val="Bilateral use data"/>
        <w:tblDescription w:val="Number of treatments in left, right and both eyes"/>
      </w:tblPr>
      <w:tblGrid>
        <w:gridCol w:w="2920"/>
        <w:gridCol w:w="960"/>
      </w:tblGrid>
      <w:tr w:rsidR="00251155" w:rsidRPr="00251155" w:rsidTr="00251155">
        <w:trPr>
          <w:trHeight w:val="315"/>
        </w:trPr>
        <w:tc>
          <w:tcPr>
            <w:tcW w:w="2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Right Eye</w:t>
            </w:r>
          </w:p>
        </w:tc>
        <w:tc>
          <w:tcPr>
            <w:tcW w:w="9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30,903</w:t>
            </w:r>
          </w:p>
        </w:tc>
      </w:tr>
      <w:tr w:rsidR="00251155" w:rsidRPr="00251155" w:rsidTr="00251155">
        <w:trPr>
          <w:trHeight w:val="315"/>
        </w:trPr>
        <w:tc>
          <w:tcPr>
            <w:tcW w:w="29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Left Eye</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30,564</w:t>
            </w:r>
          </w:p>
        </w:tc>
      </w:tr>
      <w:tr w:rsidR="00251155" w:rsidRPr="00251155" w:rsidTr="00251155">
        <w:trPr>
          <w:trHeight w:val="315"/>
        </w:trPr>
        <w:tc>
          <w:tcPr>
            <w:tcW w:w="29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Both Eyes</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9,100</w:t>
            </w:r>
          </w:p>
        </w:tc>
      </w:tr>
      <w:tr w:rsidR="00251155" w:rsidRPr="00251155" w:rsidTr="00251155">
        <w:trPr>
          <w:trHeight w:val="315"/>
        </w:trPr>
        <w:tc>
          <w:tcPr>
            <w:tcW w:w="29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Total patients</w:t>
            </w:r>
          </w:p>
        </w:tc>
        <w:tc>
          <w:tcPr>
            <w:tcW w:w="9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251155" w:rsidRPr="00251155" w:rsidRDefault="00251155" w:rsidP="00251155">
            <w:pPr>
              <w:spacing w:after="0"/>
              <w:jc w:val="both"/>
              <w:rPr>
                <w:rFonts w:ascii="Calibri" w:eastAsiaTheme="minorHAnsi" w:hAnsi="Calibri"/>
                <w:color w:val="000000"/>
                <w:sz w:val="20"/>
                <w:szCs w:val="20"/>
              </w:rPr>
            </w:pPr>
            <w:r w:rsidRPr="00251155">
              <w:rPr>
                <w:color w:val="000000"/>
                <w:sz w:val="20"/>
                <w:szCs w:val="20"/>
              </w:rPr>
              <w:t>58,874</w:t>
            </w:r>
          </w:p>
        </w:tc>
      </w:tr>
    </w:tbl>
    <w:p w:rsidR="00251155" w:rsidRDefault="00711B0D" w:rsidP="00711B0D">
      <w:pPr>
        <w:pStyle w:val="Notes"/>
        <w:rPr>
          <w:rFonts w:ascii="Calibri" w:eastAsiaTheme="minorHAnsi" w:hAnsi="Calibri"/>
          <w:sz w:val="22"/>
          <w:szCs w:val="22"/>
        </w:rPr>
      </w:pPr>
      <w:r>
        <w:rPr>
          <w:rFonts w:ascii="Calibri" w:eastAsiaTheme="minorHAnsi" w:hAnsi="Calibri"/>
          <w:sz w:val="22"/>
          <w:szCs w:val="22"/>
        </w:rPr>
        <w:t xml:space="preserve">Source: DHS </w:t>
      </w:r>
      <w:r>
        <w:t>authority approvals</w:t>
      </w:r>
    </w:p>
    <w:p w:rsidR="00251155" w:rsidRDefault="00251155" w:rsidP="00251155">
      <w:pPr>
        <w:rPr>
          <w:color w:val="000000"/>
        </w:rPr>
      </w:pPr>
      <w:r>
        <w:rPr>
          <w:color w:val="000000"/>
        </w:rPr>
        <w:t xml:space="preserve">The figures do not equate to the total patients as one patient may have received approval for left eye and right eye on separate occasions. Additionally, it underestimates the total amount of bilateral treatment because if a patient has received left eye, then right eye then both eyes, they would only show in the categories that have been approved in 2017. </w:t>
      </w:r>
    </w:p>
    <w:p w:rsidR="00736041" w:rsidRPr="005E22C2" w:rsidRDefault="00D151EB" w:rsidP="00F73113">
      <w:pPr>
        <w:pStyle w:val="Heading2"/>
      </w:pPr>
      <w:bookmarkStart w:id="53" w:name="_Toc513038051"/>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bookmarkEnd w:id="53"/>
    </w:p>
    <w:p w:rsidR="00F15761" w:rsidRPr="00147118" w:rsidRDefault="009E6353" w:rsidP="00242301">
      <w:pPr>
        <w:pStyle w:val="Heading3"/>
      </w:pPr>
      <w:bookmarkStart w:id="54" w:name="_Toc513038052"/>
      <w:r w:rsidRPr="009706F0">
        <w:t xml:space="preserve">Ranibizumab </w:t>
      </w:r>
      <w:r w:rsidR="009C31E7">
        <w:t>–</w:t>
      </w:r>
      <w:r w:rsidR="00E01B63">
        <w:t xml:space="preserve"> DMO</w:t>
      </w:r>
      <w:bookmarkEnd w:id="54"/>
    </w:p>
    <w:p w:rsidR="009C31E7" w:rsidRDefault="009C31E7" w:rsidP="009C31E7">
      <w:r>
        <w:t>The resubmission took a prevalence approach to estimating the number of people eligible for treatment with ranibizumab. The estimated size of the diagnosed Australian diabetic population was based on ABS estimates and AIHW prevalence estimates projected to 2018 (4.4% of the total Australian population in 2007/08). It assumed 5.6% of these patients have macular oedema (</w:t>
      </w:r>
      <w:r w:rsidRPr="00D831C2">
        <w:t>Diabetic Retinopathy in Victoria, Australia (2000)</w:t>
      </w:r>
      <w:r>
        <w:t>). Previous submissions estimated 9.3% of DMO</w:t>
      </w:r>
      <w:r w:rsidRPr="007D3FF0">
        <w:t xml:space="preserve"> patients</w:t>
      </w:r>
      <w:r>
        <w:t xml:space="preserve"> would</w:t>
      </w:r>
      <w:r w:rsidRPr="007D3FF0">
        <w:t xml:space="preserve"> have visual impairment</w:t>
      </w:r>
      <w:r>
        <w:t xml:space="preserve">. </w:t>
      </w:r>
    </w:p>
    <w:p w:rsidR="009C31E7" w:rsidRPr="00EA6BED" w:rsidRDefault="009C31E7" w:rsidP="009C31E7">
      <w:r>
        <w:t xml:space="preserve">DUSC (February 2013 and October 2013) considered a significant uncertainty was the amount of overlap between patients with DMO and patients with visual impairment. </w:t>
      </w:r>
      <w:r w:rsidRPr="00793C25">
        <w:t>DUSC</w:t>
      </w:r>
      <w:r>
        <w:t xml:space="preserve"> therefore</w:t>
      </w:r>
      <w:r w:rsidRPr="00793C25">
        <w:t xml:space="preserve"> requested sensitivities of the financial estimates if the percentage with visual impairment </w:t>
      </w:r>
      <w:r>
        <w:t>wa</w:t>
      </w:r>
      <w:r w:rsidRPr="00793C25">
        <w:t xml:space="preserve">s approximately three times higher </w:t>
      </w:r>
      <w:r>
        <w:t xml:space="preserve">(25%) </w:t>
      </w:r>
      <w:r w:rsidRPr="00793C25">
        <w:t xml:space="preserve">and five times higher </w:t>
      </w:r>
      <w:r>
        <w:t>(</w:t>
      </w:r>
      <w:r w:rsidRPr="00793C25">
        <w:t>50%).</w:t>
      </w:r>
      <w:r>
        <w:t xml:space="preserve"> The July 2014 resubmission estimated 25% of diabetic patients with DMO would have visual </w:t>
      </w:r>
      <w:r w:rsidRPr="00EA6BED">
        <w:t>impairment.</w:t>
      </w:r>
    </w:p>
    <w:p w:rsidR="009C31E7" w:rsidRDefault="009C31E7" w:rsidP="009C31E7">
      <w:r w:rsidRPr="00EA6BED">
        <w:t>Patients were assumed to initiate ranibizumab from the prevalent pool in Year 1, and then from the ‘prevalent pool less previously initiated patients’ in subsequent years. The submission assumed an uptake of 50% of the total pool in Year 1, rising steadily to a maximum of 80% by Year 4.</w:t>
      </w:r>
      <w:r w:rsidRPr="00F95BA0">
        <w:t xml:space="preserve">  </w:t>
      </w:r>
    </w:p>
    <w:p w:rsidR="009C31E7" w:rsidRDefault="009C31E7" w:rsidP="009C31E7">
      <w:r>
        <w:lastRenderedPageBreak/>
        <w:t>Based on the results of the RESTORE trial, the November 2013 submission assumed 62.5% of patients initiated to ranibizumab for DMO would respond to treatment. DUSC (June 2013)</w:t>
      </w:r>
      <w:r w:rsidRPr="00943E8C">
        <w:t xml:space="preserve"> considered it likely that the interpretation of a response may be higher in clinical pra</w:t>
      </w:r>
      <w:r>
        <w:t>ctice than in the RESTORE trial and</w:t>
      </w:r>
      <w:r w:rsidRPr="00943E8C">
        <w:t xml:space="preserve"> requested a sensitivity analysis based on 75% response rate</w:t>
      </w:r>
      <w:r>
        <w:t xml:space="preserve">. The July 2014 resubmission assumed 75% of initiators would respond. </w:t>
      </w:r>
    </w:p>
    <w:p w:rsidR="009C31E7" w:rsidRDefault="009C31E7" w:rsidP="009C31E7">
      <w:r>
        <w:t>Treatment continuation rates for responders we</w:t>
      </w:r>
      <w:r w:rsidRPr="005620E6">
        <w:t>re</w:t>
      </w:r>
      <w:r>
        <w:t xml:space="preserve"> estimated</w:t>
      </w:r>
      <w:r w:rsidRPr="005620E6">
        <w:t xml:space="preserve"> based on the continuation rates in the RESTORE trial and the RESTORE Extension Study</w:t>
      </w:r>
      <w:r>
        <w:t xml:space="preserve">. The resubmission assumed 88% of initiators who responded to treatment would continue treatment during the second year after initiation, and 88% of these patients would continue treatment during the third year after initiation. </w:t>
      </w:r>
      <w:r w:rsidR="003E6A4D">
        <w:t>Mu</w:t>
      </w:r>
      <w:r w:rsidR="0095647F">
        <w:t>lt</w:t>
      </w:r>
      <w:r w:rsidR="003E6A4D">
        <w:t xml:space="preserve">iplying response rate (75%) with the continuation rate of responders (88%) </w:t>
      </w:r>
      <w:r w:rsidR="009C691D">
        <w:t>this assumes 66% of initiators would continue in the second year after initiation, and 58% of initiators would continue in the third year.</w:t>
      </w:r>
      <w:r w:rsidR="003E6A4D">
        <w:t xml:space="preserve"> </w:t>
      </w:r>
      <w:r>
        <w:t>The November 2013 submission assumed t</w:t>
      </w:r>
      <w:r w:rsidRPr="005620E6">
        <w:t>reatment continuation rates from Years 3-4 and 4-5 to be 50% and 30% respectively</w:t>
      </w:r>
      <w:r>
        <w:t>, however the July 2014 submission did not include any treatments for patients in fourth or fifth years of treatment, as the economic model limited treatment duration to three years</w:t>
      </w:r>
      <w:r w:rsidR="009C691D">
        <w:t xml:space="preserve">. The final agreed estimates included continuation rates of 68%, 48% and 28% for patients moving from years 3 to 4, years 4 to 5 and years 5 to 6 and more respectively. </w:t>
      </w:r>
    </w:p>
    <w:p w:rsidR="009C31E7" w:rsidRDefault="009C31E7" w:rsidP="009C31E7">
      <w:r>
        <w:t xml:space="preserve">The predicted number of injections administered to patients were also based on the </w:t>
      </w:r>
      <w:r w:rsidRPr="005620E6">
        <w:t>RESTORE trial and the RESTORE Extension Study</w:t>
      </w:r>
      <w:r>
        <w:t>.</w:t>
      </w:r>
      <w:r w:rsidR="00DF474C">
        <w:t xml:space="preserve"> These are summarised in Table 3</w:t>
      </w:r>
      <w:r w:rsidR="00C132CE">
        <w:t>8</w:t>
      </w:r>
      <w:r>
        <w:t>.</w:t>
      </w:r>
    </w:p>
    <w:p w:rsidR="00242301" w:rsidRDefault="00242301">
      <w:pPr>
        <w:spacing w:line="276" w:lineRule="auto"/>
        <w:rPr>
          <w:b/>
        </w:rPr>
      </w:pPr>
      <w:r>
        <w:br w:type="page"/>
      </w:r>
    </w:p>
    <w:p w:rsidR="009C31E7" w:rsidRDefault="009C31E7" w:rsidP="009C31E7">
      <w:pPr>
        <w:pStyle w:val="Tabletitle"/>
      </w:pPr>
      <w:r>
        <w:lastRenderedPageBreak/>
        <w:t xml:space="preserve">Table </w:t>
      </w:r>
      <w:r w:rsidR="00403745">
        <w:t>3</w:t>
      </w:r>
      <w:r w:rsidR="00C132CE">
        <w:t>8</w:t>
      </w:r>
      <w:r>
        <w:t>: Predicted number of injections administered per patient of ranibizumab for DMO</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1622"/>
        <w:gridCol w:w="1623"/>
        <w:gridCol w:w="1623"/>
        <w:gridCol w:w="1623"/>
        <w:gridCol w:w="1623"/>
      </w:tblGrid>
      <w:tr w:rsidR="009C31E7" w:rsidRPr="00210399" w:rsidTr="00FE1E40">
        <w:tc>
          <w:tcPr>
            <w:tcW w:w="1066" w:type="dxa"/>
            <w:shd w:val="clear" w:color="auto" w:fill="BFBFBF" w:themeFill="background1" w:themeFillShade="BF"/>
            <w:vAlign w:val="center"/>
          </w:tcPr>
          <w:p w:rsidR="009C31E7" w:rsidRPr="00210399" w:rsidRDefault="009C31E7" w:rsidP="00FE1E40">
            <w:pPr>
              <w:pStyle w:val="PBACTableText"/>
              <w:rPr>
                <w:rFonts w:asciiTheme="minorHAnsi" w:hAnsiTheme="minorHAnsi"/>
                <w:b/>
              </w:rPr>
            </w:pPr>
            <w:r w:rsidRPr="00210399">
              <w:rPr>
                <w:rFonts w:asciiTheme="minorHAnsi" w:hAnsiTheme="minorHAnsi"/>
                <w:b/>
              </w:rPr>
              <w:t>Year of treatment</w:t>
            </w:r>
          </w:p>
        </w:tc>
        <w:tc>
          <w:tcPr>
            <w:tcW w:w="1622" w:type="dxa"/>
            <w:shd w:val="clear" w:color="auto" w:fill="BFBFBF" w:themeFill="background1" w:themeFillShade="BF"/>
            <w:vAlign w:val="center"/>
          </w:tcPr>
          <w:p w:rsidR="009C31E7" w:rsidRPr="00210399" w:rsidRDefault="009C31E7" w:rsidP="00FE1E40">
            <w:pPr>
              <w:pStyle w:val="PBACTableText"/>
              <w:jc w:val="right"/>
              <w:rPr>
                <w:rFonts w:asciiTheme="minorHAnsi" w:hAnsiTheme="minorHAnsi"/>
                <w:b/>
              </w:rPr>
            </w:pPr>
            <w:r w:rsidRPr="00210399">
              <w:rPr>
                <w:rFonts w:asciiTheme="minorHAnsi" w:hAnsiTheme="minorHAnsi"/>
                <w:b/>
              </w:rPr>
              <w:t>Avg injections</w:t>
            </w:r>
            <w:r w:rsidRPr="00210399">
              <w:rPr>
                <w:rFonts w:asciiTheme="minorHAnsi" w:hAnsiTheme="minorHAnsi"/>
                <w:b/>
              </w:rPr>
              <w:br/>
              <w:t>per eye</w:t>
            </w:r>
            <w:r>
              <w:rPr>
                <w:rFonts w:asciiTheme="minorHAnsi" w:hAnsiTheme="minorHAnsi"/>
                <w:b/>
              </w:rPr>
              <w:t xml:space="preserve"> (initiations responders)</w:t>
            </w:r>
          </w:p>
        </w:tc>
        <w:tc>
          <w:tcPr>
            <w:tcW w:w="1623" w:type="dxa"/>
            <w:shd w:val="clear" w:color="auto" w:fill="BFBFBF" w:themeFill="background1" w:themeFillShade="BF"/>
          </w:tcPr>
          <w:p w:rsidR="009C31E7" w:rsidRPr="00210399" w:rsidRDefault="009C31E7" w:rsidP="00FE1E40">
            <w:pPr>
              <w:pStyle w:val="PBACTableText"/>
              <w:jc w:val="right"/>
              <w:rPr>
                <w:rFonts w:asciiTheme="minorHAnsi" w:hAnsiTheme="minorHAnsi"/>
                <w:b/>
              </w:rPr>
            </w:pPr>
            <w:r w:rsidRPr="00210399">
              <w:rPr>
                <w:rFonts w:asciiTheme="minorHAnsi" w:hAnsiTheme="minorHAnsi"/>
                <w:b/>
              </w:rPr>
              <w:t>Avg injections</w:t>
            </w:r>
            <w:r w:rsidRPr="00210399">
              <w:rPr>
                <w:rFonts w:asciiTheme="minorHAnsi" w:hAnsiTheme="minorHAnsi"/>
                <w:b/>
              </w:rPr>
              <w:br/>
              <w:t>per eye</w:t>
            </w:r>
            <w:r>
              <w:rPr>
                <w:rFonts w:asciiTheme="minorHAnsi" w:hAnsiTheme="minorHAnsi"/>
                <w:b/>
              </w:rPr>
              <w:t xml:space="preserve"> (initiations non-responders)</w:t>
            </w:r>
          </w:p>
        </w:tc>
        <w:tc>
          <w:tcPr>
            <w:tcW w:w="1623" w:type="dxa"/>
            <w:shd w:val="clear" w:color="auto" w:fill="BFBFBF" w:themeFill="background1" w:themeFillShade="BF"/>
            <w:vAlign w:val="center"/>
          </w:tcPr>
          <w:p w:rsidR="009C31E7" w:rsidRPr="00210399" w:rsidRDefault="009C31E7" w:rsidP="00FE1E40">
            <w:pPr>
              <w:pStyle w:val="PBACTableText"/>
              <w:jc w:val="right"/>
              <w:rPr>
                <w:rFonts w:asciiTheme="minorHAnsi" w:hAnsiTheme="minorHAnsi"/>
                <w:b/>
              </w:rPr>
            </w:pPr>
            <w:r w:rsidRPr="00210399">
              <w:rPr>
                <w:rFonts w:asciiTheme="minorHAnsi" w:hAnsiTheme="minorHAnsi"/>
                <w:b/>
              </w:rPr>
              <w:t>% of patients</w:t>
            </w:r>
            <w:r w:rsidRPr="00210399">
              <w:rPr>
                <w:rFonts w:asciiTheme="minorHAnsi" w:hAnsiTheme="minorHAnsi"/>
                <w:b/>
              </w:rPr>
              <w:br/>
              <w:t>treated bilaterally</w:t>
            </w:r>
          </w:p>
        </w:tc>
        <w:tc>
          <w:tcPr>
            <w:tcW w:w="1623" w:type="dxa"/>
            <w:shd w:val="clear" w:color="auto" w:fill="BFBFBF" w:themeFill="background1" w:themeFillShade="BF"/>
            <w:vAlign w:val="center"/>
          </w:tcPr>
          <w:p w:rsidR="009C31E7" w:rsidRPr="00210399" w:rsidRDefault="009C31E7" w:rsidP="00FE1E40">
            <w:pPr>
              <w:pStyle w:val="PBACTableText"/>
              <w:jc w:val="right"/>
              <w:rPr>
                <w:rFonts w:asciiTheme="minorHAnsi" w:hAnsiTheme="minorHAnsi"/>
                <w:b/>
              </w:rPr>
            </w:pPr>
            <w:r w:rsidRPr="00210399">
              <w:rPr>
                <w:rFonts w:asciiTheme="minorHAnsi" w:hAnsiTheme="minorHAnsi"/>
                <w:b/>
              </w:rPr>
              <w:t>Avg injections</w:t>
            </w:r>
            <w:r w:rsidRPr="00210399">
              <w:rPr>
                <w:rFonts w:asciiTheme="minorHAnsi" w:hAnsiTheme="minorHAnsi"/>
                <w:b/>
              </w:rPr>
              <w:br/>
              <w:t>per patient</w:t>
            </w:r>
            <w:r>
              <w:rPr>
                <w:rFonts w:asciiTheme="minorHAnsi" w:hAnsiTheme="minorHAnsi"/>
                <w:b/>
              </w:rPr>
              <w:t xml:space="preserve"> (responders)</w:t>
            </w:r>
          </w:p>
        </w:tc>
        <w:tc>
          <w:tcPr>
            <w:tcW w:w="1623" w:type="dxa"/>
            <w:shd w:val="clear" w:color="auto" w:fill="BFBFBF" w:themeFill="background1" w:themeFillShade="BF"/>
            <w:vAlign w:val="center"/>
          </w:tcPr>
          <w:p w:rsidR="009C31E7" w:rsidRPr="00210399" w:rsidRDefault="009C31E7" w:rsidP="00FE1E40">
            <w:pPr>
              <w:pStyle w:val="PBACTableText"/>
              <w:jc w:val="right"/>
              <w:rPr>
                <w:rFonts w:asciiTheme="minorHAnsi" w:hAnsiTheme="minorHAnsi"/>
                <w:b/>
              </w:rPr>
            </w:pPr>
            <w:r w:rsidRPr="00210399">
              <w:rPr>
                <w:rFonts w:asciiTheme="minorHAnsi" w:hAnsiTheme="minorHAnsi"/>
                <w:b/>
              </w:rPr>
              <w:t>Avg injections</w:t>
            </w:r>
            <w:r w:rsidRPr="00210399">
              <w:rPr>
                <w:rFonts w:asciiTheme="minorHAnsi" w:hAnsiTheme="minorHAnsi"/>
                <w:b/>
              </w:rPr>
              <w:br/>
              <w:t>per patient</w:t>
            </w:r>
            <w:r>
              <w:rPr>
                <w:rFonts w:asciiTheme="minorHAnsi" w:hAnsiTheme="minorHAnsi"/>
                <w:b/>
              </w:rPr>
              <w:t xml:space="preserve"> (non-responders)</w:t>
            </w:r>
          </w:p>
        </w:tc>
      </w:tr>
      <w:tr w:rsidR="009C31E7" w:rsidRPr="00210399" w:rsidTr="00FE1E40">
        <w:tc>
          <w:tcPr>
            <w:tcW w:w="1066" w:type="dxa"/>
            <w:shd w:val="clear" w:color="auto" w:fill="auto"/>
          </w:tcPr>
          <w:p w:rsidR="009C31E7" w:rsidRPr="00210399" w:rsidRDefault="009C31E7" w:rsidP="00FE1E40">
            <w:pPr>
              <w:pStyle w:val="PBACTableText"/>
              <w:rPr>
                <w:rFonts w:asciiTheme="minorHAnsi" w:hAnsiTheme="minorHAnsi"/>
              </w:rPr>
            </w:pPr>
            <w:r w:rsidRPr="00210399">
              <w:rPr>
                <w:rFonts w:asciiTheme="minorHAnsi" w:hAnsiTheme="minorHAnsi"/>
              </w:rPr>
              <w:t>Year 1</w:t>
            </w:r>
          </w:p>
        </w:tc>
        <w:tc>
          <w:tcPr>
            <w:tcW w:w="1622"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7.0</w:t>
            </w:r>
          </w:p>
        </w:tc>
        <w:tc>
          <w:tcPr>
            <w:tcW w:w="1623" w:type="dxa"/>
          </w:tcPr>
          <w:p w:rsidR="009C31E7" w:rsidRPr="00210399" w:rsidRDefault="009C31E7" w:rsidP="00FE1E40">
            <w:pPr>
              <w:pStyle w:val="PBACTableText"/>
              <w:jc w:val="right"/>
              <w:rPr>
                <w:rFonts w:asciiTheme="minorHAnsi" w:hAnsiTheme="minorHAnsi"/>
              </w:rPr>
            </w:pPr>
            <w:r>
              <w:rPr>
                <w:rFonts w:asciiTheme="minorHAnsi" w:hAnsiTheme="minorHAnsi"/>
              </w:rPr>
              <w:t>3.0</w:t>
            </w: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20%</w:t>
            </w: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8.4</w:t>
            </w:r>
          </w:p>
        </w:tc>
        <w:tc>
          <w:tcPr>
            <w:tcW w:w="1623" w:type="dxa"/>
          </w:tcPr>
          <w:p w:rsidR="009C31E7" w:rsidRPr="00210399" w:rsidRDefault="009C31E7" w:rsidP="00FE1E40">
            <w:pPr>
              <w:pStyle w:val="PBACTableText"/>
              <w:jc w:val="right"/>
              <w:rPr>
                <w:rFonts w:asciiTheme="minorHAnsi" w:hAnsiTheme="minorHAnsi"/>
              </w:rPr>
            </w:pPr>
            <w:r>
              <w:rPr>
                <w:rFonts w:asciiTheme="minorHAnsi" w:hAnsiTheme="minorHAnsi"/>
              </w:rPr>
              <w:t>3.6</w:t>
            </w:r>
          </w:p>
        </w:tc>
      </w:tr>
      <w:tr w:rsidR="009C31E7" w:rsidRPr="00210399" w:rsidTr="00FE1E40">
        <w:tc>
          <w:tcPr>
            <w:tcW w:w="1066" w:type="dxa"/>
            <w:shd w:val="clear" w:color="auto" w:fill="auto"/>
          </w:tcPr>
          <w:p w:rsidR="009C31E7" w:rsidRPr="00210399" w:rsidRDefault="009C31E7" w:rsidP="00FE1E40">
            <w:pPr>
              <w:pStyle w:val="PBACTableText"/>
              <w:rPr>
                <w:rFonts w:asciiTheme="minorHAnsi" w:hAnsiTheme="minorHAnsi"/>
              </w:rPr>
            </w:pPr>
            <w:r w:rsidRPr="00210399">
              <w:rPr>
                <w:rFonts w:asciiTheme="minorHAnsi" w:hAnsiTheme="minorHAnsi"/>
              </w:rPr>
              <w:t>Year 2</w:t>
            </w:r>
          </w:p>
        </w:tc>
        <w:tc>
          <w:tcPr>
            <w:tcW w:w="1622"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3.9</w:t>
            </w:r>
          </w:p>
        </w:tc>
        <w:tc>
          <w:tcPr>
            <w:tcW w:w="1623" w:type="dxa"/>
          </w:tcPr>
          <w:p w:rsidR="009C31E7" w:rsidRPr="00210399" w:rsidRDefault="009C31E7" w:rsidP="00FE1E40">
            <w:pPr>
              <w:pStyle w:val="PBACTableText"/>
              <w:jc w:val="right"/>
              <w:rPr>
                <w:rFonts w:asciiTheme="minorHAnsi" w:hAnsiTheme="minorHAnsi"/>
              </w:rPr>
            </w:pP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50%</w:t>
            </w: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6.8</w:t>
            </w:r>
          </w:p>
        </w:tc>
        <w:tc>
          <w:tcPr>
            <w:tcW w:w="1623" w:type="dxa"/>
          </w:tcPr>
          <w:p w:rsidR="009C31E7" w:rsidRPr="00210399" w:rsidRDefault="009C31E7" w:rsidP="00FE1E40">
            <w:pPr>
              <w:pStyle w:val="PBACTableText"/>
              <w:jc w:val="right"/>
              <w:rPr>
                <w:rFonts w:asciiTheme="minorHAnsi" w:hAnsiTheme="minorHAnsi"/>
              </w:rPr>
            </w:pPr>
          </w:p>
        </w:tc>
      </w:tr>
      <w:tr w:rsidR="009C31E7" w:rsidRPr="00210399" w:rsidTr="00FE1E40">
        <w:tc>
          <w:tcPr>
            <w:tcW w:w="1066" w:type="dxa"/>
            <w:shd w:val="clear" w:color="auto" w:fill="auto"/>
          </w:tcPr>
          <w:p w:rsidR="009C31E7" w:rsidRPr="00210399" w:rsidRDefault="009C31E7" w:rsidP="00FE1E40">
            <w:pPr>
              <w:pStyle w:val="PBACTableText"/>
              <w:rPr>
                <w:rFonts w:asciiTheme="minorHAnsi" w:hAnsiTheme="minorHAnsi"/>
              </w:rPr>
            </w:pPr>
            <w:r w:rsidRPr="00210399">
              <w:rPr>
                <w:rFonts w:asciiTheme="minorHAnsi" w:hAnsiTheme="minorHAnsi"/>
              </w:rPr>
              <w:t>Year 3</w:t>
            </w:r>
          </w:p>
        </w:tc>
        <w:tc>
          <w:tcPr>
            <w:tcW w:w="1622"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2.9</w:t>
            </w:r>
          </w:p>
        </w:tc>
        <w:tc>
          <w:tcPr>
            <w:tcW w:w="1623" w:type="dxa"/>
          </w:tcPr>
          <w:p w:rsidR="009C31E7" w:rsidRPr="00210399" w:rsidRDefault="009C31E7" w:rsidP="00FE1E40">
            <w:pPr>
              <w:pStyle w:val="PBACTableText"/>
              <w:jc w:val="right"/>
              <w:rPr>
                <w:rFonts w:asciiTheme="minorHAnsi" w:hAnsiTheme="minorHAnsi"/>
              </w:rPr>
            </w:pP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80%</w:t>
            </w: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6.8</w:t>
            </w:r>
          </w:p>
        </w:tc>
        <w:tc>
          <w:tcPr>
            <w:tcW w:w="1623" w:type="dxa"/>
          </w:tcPr>
          <w:p w:rsidR="009C31E7" w:rsidRPr="00210399" w:rsidRDefault="009C31E7" w:rsidP="00FE1E40">
            <w:pPr>
              <w:pStyle w:val="PBACTableText"/>
              <w:jc w:val="right"/>
              <w:rPr>
                <w:rFonts w:asciiTheme="minorHAnsi" w:hAnsiTheme="minorHAnsi"/>
              </w:rPr>
            </w:pPr>
          </w:p>
        </w:tc>
      </w:tr>
      <w:tr w:rsidR="009C31E7" w:rsidRPr="00210399" w:rsidTr="00FE1E40">
        <w:tc>
          <w:tcPr>
            <w:tcW w:w="1066" w:type="dxa"/>
            <w:shd w:val="clear" w:color="auto" w:fill="auto"/>
          </w:tcPr>
          <w:p w:rsidR="009C31E7" w:rsidRPr="00210399" w:rsidRDefault="009C31E7" w:rsidP="00FE1E40">
            <w:pPr>
              <w:pStyle w:val="PBACTableText"/>
              <w:rPr>
                <w:rFonts w:asciiTheme="minorHAnsi" w:hAnsiTheme="minorHAnsi"/>
              </w:rPr>
            </w:pPr>
            <w:r>
              <w:rPr>
                <w:rFonts w:asciiTheme="minorHAnsi" w:hAnsiTheme="minorHAnsi"/>
              </w:rPr>
              <w:t>Year 4</w:t>
            </w:r>
          </w:p>
        </w:tc>
        <w:tc>
          <w:tcPr>
            <w:tcW w:w="1622"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2.9</w:t>
            </w:r>
          </w:p>
        </w:tc>
        <w:tc>
          <w:tcPr>
            <w:tcW w:w="1623" w:type="dxa"/>
          </w:tcPr>
          <w:p w:rsidR="009C31E7" w:rsidRPr="00210399" w:rsidRDefault="009C31E7" w:rsidP="00FE1E40">
            <w:pPr>
              <w:pStyle w:val="PBACTableText"/>
              <w:jc w:val="right"/>
              <w:rPr>
                <w:rFonts w:asciiTheme="minorHAnsi" w:hAnsiTheme="minorHAnsi"/>
              </w:rPr>
            </w:pP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80%</w:t>
            </w:r>
          </w:p>
        </w:tc>
        <w:tc>
          <w:tcPr>
            <w:tcW w:w="1623" w:type="dxa"/>
            <w:shd w:val="clear" w:color="auto" w:fill="auto"/>
          </w:tcPr>
          <w:p w:rsidR="009C31E7" w:rsidRPr="00210399" w:rsidRDefault="009C31E7" w:rsidP="00FE1E40">
            <w:pPr>
              <w:pStyle w:val="PBACTableText"/>
              <w:jc w:val="right"/>
              <w:rPr>
                <w:rFonts w:asciiTheme="minorHAnsi" w:hAnsiTheme="minorHAnsi"/>
              </w:rPr>
            </w:pPr>
            <w:r>
              <w:rPr>
                <w:rFonts w:asciiTheme="minorHAnsi" w:hAnsiTheme="minorHAnsi"/>
              </w:rPr>
              <w:t>5.5</w:t>
            </w:r>
          </w:p>
        </w:tc>
        <w:tc>
          <w:tcPr>
            <w:tcW w:w="1623" w:type="dxa"/>
          </w:tcPr>
          <w:p w:rsidR="009C31E7" w:rsidRPr="00210399" w:rsidRDefault="009C31E7" w:rsidP="00FE1E40">
            <w:pPr>
              <w:pStyle w:val="PBACTableText"/>
              <w:jc w:val="right"/>
              <w:rPr>
                <w:rFonts w:asciiTheme="minorHAnsi" w:hAnsiTheme="minorHAnsi"/>
              </w:rPr>
            </w:pPr>
          </w:p>
        </w:tc>
      </w:tr>
      <w:tr w:rsidR="009C31E7" w:rsidRPr="00210399" w:rsidTr="00FE1E40">
        <w:tc>
          <w:tcPr>
            <w:tcW w:w="1066" w:type="dxa"/>
            <w:shd w:val="clear" w:color="auto" w:fill="auto"/>
          </w:tcPr>
          <w:p w:rsidR="009C31E7" w:rsidRPr="00210399" w:rsidRDefault="009C31E7" w:rsidP="00FE1E40">
            <w:pPr>
              <w:pStyle w:val="PBACTableText"/>
              <w:rPr>
                <w:rFonts w:asciiTheme="minorHAnsi" w:hAnsiTheme="minorHAnsi"/>
              </w:rPr>
            </w:pPr>
            <w:r>
              <w:rPr>
                <w:rFonts w:asciiTheme="minorHAnsi" w:hAnsiTheme="minorHAnsi"/>
              </w:rPr>
              <w:t>Year 5</w:t>
            </w:r>
          </w:p>
        </w:tc>
        <w:tc>
          <w:tcPr>
            <w:tcW w:w="1622"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2.9</w:t>
            </w:r>
          </w:p>
        </w:tc>
        <w:tc>
          <w:tcPr>
            <w:tcW w:w="1623" w:type="dxa"/>
          </w:tcPr>
          <w:p w:rsidR="009C31E7" w:rsidRPr="00210399" w:rsidRDefault="009C31E7" w:rsidP="00FE1E40">
            <w:pPr>
              <w:pStyle w:val="PBACTableText"/>
              <w:jc w:val="right"/>
              <w:rPr>
                <w:rFonts w:asciiTheme="minorHAnsi" w:hAnsiTheme="minorHAnsi"/>
              </w:rPr>
            </w:pPr>
          </w:p>
        </w:tc>
        <w:tc>
          <w:tcPr>
            <w:tcW w:w="1623" w:type="dxa"/>
            <w:shd w:val="clear" w:color="auto" w:fill="auto"/>
          </w:tcPr>
          <w:p w:rsidR="009C31E7" w:rsidRPr="00210399" w:rsidRDefault="009C31E7" w:rsidP="00FE1E40">
            <w:pPr>
              <w:pStyle w:val="PBACTableText"/>
              <w:jc w:val="right"/>
              <w:rPr>
                <w:rFonts w:asciiTheme="minorHAnsi" w:hAnsiTheme="minorHAnsi"/>
              </w:rPr>
            </w:pPr>
            <w:r w:rsidRPr="00210399">
              <w:rPr>
                <w:rFonts w:asciiTheme="minorHAnsi" w:hAnsiTheme="minorHAnsi"/>
              </w:rPr>
              <w:t>80%</w:t>
            </w:r>
          </w:p>
        </w:tc>
        <w:tc>
          <w:tcPr>
            <w:tcW w:w="1623" w:type="dxa"/>
            <w:shd w:val="clear" w:color="auto" w:fill="auto"/>
          </w:tcPr>
          <w:p w:rsidR="009C31E7" w:rsidRPr="00210399" w:rsidRDefault="009C31E7" w:rsidP="00FE1E40">
            <w:pPr>
              <w:pStyle w:val="PBACTableText"/>
              <w:jc w:val="right"/>
              <w:rPr>
                <w:rFonts w:asciiTheme="minorHAnsi" w:hAnsiTheme="minorHAnsi"/>
              </w:rPr>
            </w:pPr>
            <w:r>
              <w:rPr>
                <w:rFonts w:asciiTheme="minorHAnsi" w:hAnsiTheme="minorHAnsi"/>
              </w:rPr>
              <w:t>5.2</w:t>
            </w:r>
          </w:p>
        </w:tc>
        <w:tc>
          <w:tcPr>
            <w:tcW w:w="1623" w:type="dxa"/>
          </w:tcPr>
          <w:p w:rsidR="009C31E7" w:rsidRPr="00210399" w:rsidRDefault="009C31E7" w:rsidP="00FE1E40">
            <w:pPr>
              <w:pStyle w:val="PBACTableText"/>
              <w:jc w:val="right"/>
              <w:rPr>
                <w:rFonts w:asciiTheme="minorHAnsi" w:hAnsiTheme="minorHAnsi"/>
              </w:rPr>
            </w:pPr>
          </w:p>
        </w:tc>
      </w:tr>
    </w:tbl>
    <w:p w:rsidR="009C31E7" w:rsidRDefault="009C31E7" w:rsidP="009C31E7">
      <w:pPr>
        <w:pStyle w:val="Notes"/>
      </w:pPr>
      <w:r>
        <w:t xml:space="preserve">Source: Ranibizumab DMO submission July 2014, </w:t>
      </w:r>
      <w:r w:rsidRPr="007D147D">
        <w:t>Section E DME_Utilisation and Financial Estimates_FINAL</w:t>
      </w:r>
      <w:r>
        <w:t>.xlsx, ‘</w:t>
      </w:r>
      <w:r w:rsidRPr="007D147D">
        <w:t>Background and Assumptions</w:t>
      </w:r>
      <w:r>
        <w:t>’ tab</w:t>
      </w:r>
    </w:p>
    <w:p w:rsidR="009C691D" w:rsidRDefault="009C691D" w:rsidP="00E06E48">
      <w:r>
        <w:t xml:space="preserve">The submission assumed the responders (75% of initiators) would receive an average of 8.4 injections and non-responders (25% of initiators) would receive an average of </w:t>
      </w:r>
      <w:r w:rsidRPr="000F7FFC">
        <w:t>3.6</w:t>
      </w:r>
      <w:r>
        <w:t xml:space="preserve"> injections. Overall these assumptions estimated initiators would receive 7.2 injections. </w:t>
      </w:r>
    </w:p>
    <w:p w:rsidR="00E06E48" w:rsidRPr="009E6353" w:rsidRDefault="00E06E48" w:rsidP="00E06E48">
      <w:r>
        <w:t>As ranibizumab</w:t>
      </w:r>
      <w:r w:rsidR="009706F0">
        <w:t xml:space="preserve"> was PBS listed for DMO before aflibercept,</w:t>
      </w:r>
      <w:r>
        <w:t xml:space="preserve"> the final agreed estimates estimated the entire DMO market.</w:t>
      </w:r>
      <w:r w:rsidR="0031235C">
        <w:t xml:space="preserve"> The actual numbers below include all patients and treatments for DMO.</w:t>
      </w:r>
    </w:p>
    <w:p w:rsidR="009706F0" w:rsidRPr="009E6353" w:rsidRDefault="009706F0" w:rsidP="009706F0">
      <w:pPr>
        <w:pStyle w:val="Tabletitle"/>
      </w:pPr>
      <w:r>
        <w:t xml:space="preserve">Table </w:t>
      </w:r>
      <w:r w:rsidR="00C132CE">
        <w:t>39</w:t>
      </w:r>
      <w:r>
        <w:t xml:space="preserve">: Ranibizumab </w:t>
      </w:r>
      <w:r w:rsidRPr="009706F0">
        <w:t>actual versus predicted utilisation</w:t>
      </w:r>
      <w:r>
        <w:t xml:space="preserve"> for DMO</w:t>
      </w:r>
    </w:p>
    <w:tbl>
      <w:tblPr>
        <w:tblW w:w="9080" w:type="dxa"/>
        <w:tblInd w:w="93" w:type="dxa"/>
        <w:tblLayout w:type="fixed"/>
        <w:tblLook w:val="04A0" w:firstRow="1" w:lastRow="0" w:firstColumn="1" w:lastColumn="0" w:noHBand="0" w:noVBand="1"/>
        <w:tblCaption w:val="Table 41"/>
        <w:tblDescription w:val="Number of injections per aflibercept initiator for DMO"/>
      </w:tblPr>
      <w:tblGrid>
        <w:gridCol w:w="2140"/>
        <w:gridCol w:w="1388"/>
        <w:gridCol w:w="1388"/>
        <w:gridCol w:w="1388"/>
        <w:gridCol w:w="1388"/>
        <w:gridCol w:w="1388"/>
      </w:tblGrid>
      <w:tr w:rsidR="00A13524" w:rsidRPr="00A13524" w:rsidTr="00FE4055">
        <w:trPr>
          <w:trHeight w:val="300"/>
        </w:trPr>
        <w:tc>
          <w:tcPr>
            <w:tcW w:w="21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E4055" w:rsidRPr="00A13524" w:rsidRDefault="00FE4055" w:rsidP="00FE4055">
            <w:pPr>
              <w:spacing w:after="0"/>
              <w:rPr>
                <w:rFonts w:ascii="Calibri" w:eastAsia="Times New Roman" w:hAnsi="Calibri" w:cs="Times New Roman"/>
                <w:b/>
                <w:bCs/>
                <w:sz w:val="20"/>
                <w:szCs w:val="20"/>
              </w:rPr>
            </w:pPr>
            <w:r w:rsidRPr="00A13524">
              <w:rPr>
                <w:rFonts w:ascii="Calibri" w:eastAsia="Times New Roman" w:hAnsi="Calibri" w:cs="Arial"/>
                <w:b/>
                <w:bCs/>
                <w:sz w:val="20"/>
                <w:szCs w:val="20"/>
              </w:rPr>
              <w:t> </w:t>
            </w: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1</w:t>
            </w: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2</w:t>
            </w: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3</w:t>
            </w: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4</w:t>
            </w:r>
          </w:p>
        </w:tc>
        <w:tc>
          <w:tcPr>
            <w:tcW w:w="1388"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5</w:t>
            </w:r>
          </w:p>
        </w:tc>
      </w:tr>
      <w:tr w:rsidR="00A13524" w:rsidRPr="00A13524" w:rsidTr="00FE4055">
        <w:trPr>
          <w:trHeight w:val="300"/>
        </w:trPr>
        <w:tc>
          <w:tcPr>
            <w:tcW w:w="2140" w:type="dxa"/>
            <w:tcBorders>
              <w:top w:val="nil"/>
              <w:left w:val="single" w:sz="4" w:space="0" w:color="auto"/>
              <w:bottom w:val="single" w:sz="4" w:space="0" w:color="auto"/>
              <w:right w:val="single" w:sz="4" w:space="0" w:color="auto"/>
            </w:tcBorders>
            <w:shd w:val="clear" w:color="000000" w:fill="BFBFBF"/>
            <w:vAlign w:val="center"/>
            <w:hideMark/>
          </w:tcPr>
          <w:p w:rsidR="00FE4055" w:rsidRPr="00A13524" w:rsidRDefault="00FE4055" w:rsidP="00FE4055">
            <w:pPr>
              <w:spacing w:after="0"/>
              <w:rPr>
                <w:rFonts w:ascii="Calibri" w:eastAsia="Times New Roman" w:hAnsi="Calibri" w:cs="Times New Roman"/>
                <w:b/>
                <w:bCs/>
                <w:sz w:val="20"/>
                <w:szCs w:val="20"/>
              </w:rPr>
            </w:pPr>
            <w:r w:rsidRPr="00A13524">
              <w:rPr>
                <w:rFonts w:ascii="Calibri" w:eastAsia="Times New Roman" w:hAnsi="Calibri" w:cs="Arial"/>
                <w:b/>
                <w:bCs/>
                <w:sz w:val="20"/>
                <w:szCs w:val="20"/>
              </w:rPr>
              <w:t> </w:t>
            </w:r>
          </w:p>
        </w:tc>
        <w:tc>
          <w:tcPr>
            <w:tcW w:w="1388" w:type="dxa"/>
            <w:tcBorders>
              <w:top w:val="nil"/>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2015</w:t>
            </w:r>
          </w:p>
        </w:tc>
        <w:tc>
          <w:tcPr>
            <w:tcW w:w="1388" w:type="dxa"/>
            <w:tcBorders>
              <w:top w:val="nil"/>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2016</w:t>
            </w:r>
          </w:p>
        </w:tc>
        <w:tc>
          <w:tcPr>
            <w:tcW w:w="1388" w:type="dxa"/>
            <w:tcBorders>
              <w:top w:val="nil"/>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2017</w:t>
            </w:r>
          </w:p>
        </w:tc>
        <w:tc>
          <w:tcPr>
            <w:tcW w:w="1388" w:type="dxa"/>
            <w:tcBorders>
              <w:top w:val="nil"/>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2018</w:t>
            </w:r>
          </w:p>
        </w:tc>
        <w:tc>
          <w:tcPr>
            <w:tcW w:w="1388" w:type="dxa"/>
            <w:tcBorders>
              <w:top w:val="nil"/>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2019</w:t>
            </w:r>
          </w:p>
        </w:tc>
      </w:tr>
      <w:tr w:rsidR="00A13524" w:rsidRPr="00A13524" w:rsidTr="00D211DD">
        <w:trPr>
          <w:trHeight w:val="432"/>
        </w:trPr>
        <w:tc>
          <w:tcPr>
            <w:tcW w:w="2140" w:type="dxa"/>
            <w:tcBorders>
              <w:top w:val="nil"/>
              <w:left w:val="single" w:sz="4" w:space="0" w:color="auto"/>
              <w:bottom w:val="single" w:sz="4" w:space="0" w:color="auto"/>
              <w:right w:val="single" w:sz="4" w:space="0" w:color="auto"/>
            </w:tcBorders>
            <w:shd w:val="clear" w:color="auto" w:fill="auto"/>
          </w:tcPr>
          <w:p w:rsidR="00E941D0" w:rsidRPr="00A13524" w:rsidRDefault="00E941D0" w:rsidP="00FE4055">
            <w:pPr>
              <w:spacing w:after="0"/>
              <w:rPr>
                <w:rFonts w:ascii="Calibri" w:eastAsia="Times New Roman" w:hAnsi="Calibri" w:cs="Arial"/>
                <w:bCs/>
                <w:sz w:val="20"/>
                <w:szCs w:val="20"/>
              </w:rPr>
            </w:pPr>
            <w:r w:rsidRPr="00A13524">
              <w:rPr>
                <w:sz w:val="20"/>
                <w:szCs w:val="20"/>
              </w:rPr>
              <w:t>Predicted initiating DMO patients</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9,596</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6,322</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5,908</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5,140</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5,260</w:t>
            </w:r>
          </w:p>
        </w:tc>
      </w:tr>
      <w:tr w:rsidR="00A13524" w:rsidRPr="00A13524" w:rsidTr="00D211DD">
        <w:trPr>
          <w:trHeight w:val="432"/>
        </w:trPr>
        <w:tc>
          <w:tcPr>
            <w:tcW w:w="2140" w:type="dxa"/>
            <w:tcBorders>
              <w:top w:val="nil"/>
              <w:left w:val="single" w:sz="4" w:space="0" w:color="auto"/>
              <w:bottom w:val="single" w:sz="4" w:space="0" w:color="auto"/>
              <w:right w:val="single" w:sz="4" w:space="0" w:color="auto"/>
            </w:tcBorders>
            <w:shd w:val="clear" w:color="auto" w:fill="auto"/>
          </w:tcPr>
          <w:p w:rsidR="00E941D0" w:rsidRPr="00A13524" w:rsidRDefault="00E941D0" w:rsidP="00FE4055">
            <w:pPr>
              <w:spacing w:after="0"/>
              <w:rPr>
                <w:rFonts w:ascii="Calibri" w:eastAsia="Times New Roman" w:hAnsi="Calibri" w:cs="Arial"/>
                <w:bCs/>
                <w:sz w:val="20"/>
                <w:szCs w:val="20"/>
              </w:rPr>
            </w:pPr>
            <w:r w:rsidRPr="00A13524">
              <w:rPr>
                <w:sz w:val="20"/>
                <w:szCs w:val="20"/>
              </w:rPr>
              <w:t>Actual total initiating DMO patients</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3,990 </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4,756 </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5,212 </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 </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 </w:t>
            </w:r>
          </w:p>
        </w:tc>
      </w:tr>
      <w:tr w:rsidR="00A13524" w:rsidRPr="00A13524" w:rsidTr="00D211DD">
        <w:trPr>
          <w:trHeight w:val="432"/>
        </w:trPr>
        <w:tc>
          <w:tcPr>
            <w:tcW w:w="2140" w:type="dxa"/>
            <w:tcBorders>
              <w:top w:val="nil"/>
              <w:left w:val="single" w:sz="4" w:space="0" w:color="auto"/>
              <w:bottom w:val="single" w:sz="4" w:space="0" w:color="auto"/>
              <w:right w:val="single" w:sz="4" w:space="0" w:color="auto"/>
            </w:tcBorders>
            <w:shd w:val="clear" w:color="auto" w:fill="auto"/>
          </w:tcPr>
          <w:p w:rsidR="00E941D0" w:rsidRPr="00A13524" w:rsidRDefault="00E941D0" w:rsidP="00FE4055">
            <w:pPr>
              <w:spacing w:after="0"/>
              <w:rPr>
                <w:rFonts w:ascii="Calibri" w:eastAsia="Times New Roman" w:hAnsi="Calibri" w:cs="Arial"/>
                <w:bCs/>
                <w:sz w:val="20"/>
                <w:szCs w:val="20"/>
              </w:rPr>
            </w:pPr>
            <w:r w:rsidRPr="00A13524">
              <w:rPr>
                <w:sz w:val="20"/>
                <w:szCs w:val="20"/>
              </w:rPr>
              <w:t>Difference</w:t>
            </w:r>
          </w:p>
        </w:tc>
        <w:tc>
          <w:tcPr>
            <w:tcW w:w="1388" w:type="dxa"/>
            <w:tcBorders>
              <w:top w:val="nil"/>
              <w:left w:val="nil"/>
              <w:bottom w:val="single" w:sz="4" w:space="0" w:color="auto"/>
              <w:right w:val="single" w:sz="4" w:space="0" w:color="auto"/>
            </w:tcBorders>
            <w:shd w:val="clear" w:color="auto" w:fill="auto"/>
            <w:noWrap/>
          </w:tcPr>
          <w:p w:rsidR="00E941D0" w:rsidRPr="00A13524" w:rsidRDefault="00542CA7" w:rsidP="00FE4055">
            <w:pPr>
              <w:spacing w:after="0"/>
              <w:jc w:val="right"/>
              <w:rPr>
                <w:rFonts w:ascii="Calibri" w:eastAsia="Times New Roman" w:hAnsi="Calibri" w:cs="Arial"/>
                <w:bCs/>
                <w:sz w:val="20"/>
                <w:szCs w:val="20"/>
              </w:rPr>
            </w:pPr>
            <w:r w:rsidRPr="00A13524">
              <w:rPr>
                <w:sz w:val="20"/>
                <w:szCs w:val="20"/>
              </w:rPr>
              <w:noBreakHyphen/>
            </w:r>
            <w:r w:rsidR="00E941D0" w:rsidRPr="00A13524">
              <w:rPr>
                <w:sz w:val="20"/>
                <w:szCs w:val="20"/>
              </w:rPr>
              <w:t>58%</w:t>
            </w:r>
          </w:p>
        </w:tc>
        <w:tc>
          <w:tcPr>
            <w:tcW w:w="1388" w:type="dxa"/>
            <w:tcBorders>
              <w:top w:val="nil"/>
              <w:left w:val="nil"/>
              <w:bottom w:val="single" w:sz="4" w:space="0" w:color="auto"/>
              <w:right w:val="single" w:sz="4" w:space="0" w:color="auto"/>
            </w:tcBorders>
            <w:shd w:val="clear" w:color="auto" w:fill="auto"/>
            <w:noWrap/>
          </w:tcPr>
          <w:p w:rsidR="00E941D0" w:rsidRPr="00A13524" w:rsidRDefault="00542CA7" w:rsidP="00FE4055">
            <w:pPr>
              <w:spacing w:after="0"/>
              <w:jc w:val="right"/>
              <w:rPr>
                <w:rFonts w:ascii="Calibri" w:eastAsia="Times New Roman" w:hAnsi="Calibri" w:cs="Arial"/>
                <w:bCs/>
                <w:sz w:val="20"/>
                <w:szCs w:val="20"/>
              </w:rPr>
            </w:pPr>
            <w:r w:rsidRPr="00A13524">
              <w:rPr>
                <w:sz w:val="20"/>
                <w:szCs w:val="20"/>
              </w:rPr>
              <w:noBreakHyphen/>
            </w:r>
            <w:r w:rsidR="00E941D0" w:rsidRPr="00A13524">
              <w:rPr>
                <w:sz w:val="20"/>
                <w:szCs w:val="20"/>
              </w:rPr>
              <w:t>25%</w:t>
            </w:r>
          </w:p>
        </w:tc>
        <w:tc>
          <w:tcPr>
            <w:tcW w:w="1388" w:type="dxa"/>
            <w:tcBorders>
              <w:top w:val="nil"/>
              <w:left w:val="nil"/>
              <w:bottom w:val="single" w:sz="4" w:space="0" w:color="auto"/>
              <w:right w:val="single" w:sz="4" w:space="0" w:color="auto"/>
            </w:tcBorders>
            <w:shd w:val="clear" w:color="auto" w:fill="auto"/>
            <w:noWrap/>
          </w:tcPr>
          <w:p w:rsidR="00E941D0" w:rsidRPr="00A13524" w:rsidRDefault="00542CA7" w:rsidP="00FE4055">
            <w:pPr>
              <w:spacing w:after="0"/>
              <w:jc w:val="right"/>
              <w:rPr>
                <w:rFonts w:ascii="Calibri" w:eastAsia="Times New Roman" w:hAnsi="Calibri" w:cs="Arial"/>
                <w:bCs/>
                <w:sz w:val="20"/>
                <w:szCs w:val="20"/>
              </w:rPr>
            </w:pPr>
            <w:r w:rsidRPr="00A13524">
              <w:rPr>
                <w:sz w:val="20"/>
                <w:szCs w:val="20"/>
              </w:rPr>
              <w:noBreakHyphen/>
            </w:r>
            <w:r w:rsidR="00E941D0" w:rsidRPr="00A13524">
              <w:rPr>
                <w:sz w:val="20"/>
                <w:szCs w:val="20"/>
              </w:rPr>
              <w:t>12%</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 </w:t>
            </w:r>
          </w:p>
        </w:tc>
        <w:tc>
          <w:tcPr>
            <w:tcW w:w="1388" w:type="dxa"/>
            <w:tcBorders>
              <w:top w:val="nil"/>
              <w:left w:val="nil"/>
              <w:bottom w:val="single" w:sz="4" w:space="0" w:color="auto"/>
              <w:right w:val="single" w:sz="4" w:space="0" w:color="auto"/>
            </w:tcBorders>
            <w:shd w:val="clear" w:color="auto" w:fill="auto"/>
            <w:noWrap/>
          </w:tcPr>
          <w:p w:rsidR="00E941D0" w:rsidRPr="00A13524" w:rsidRDefault="00E941D0" w:rsidP="00FE4055">
            <w:pPr>
              <w:spacing w:after="0"/>
              <w:jc w:val="right"/>
              <w:rPr>
                <w:rFonts w:ascii="Calibri" w:eastAsia="Times New Roman" w:hAnsi="Calibri" w:cs="Arial"/>
                <w:bCs/>
                <w:sz w:val="20"/>
                <w:szCs w:val="20"/>
              </w:rPr>
            </w:pPr>
            <w:r w:rsidRPr="00A13524">
              <w:rPr>
                <w:sz w:val="20"/>
                <w:szCs w:val="20"/>
              </w:rPr>
              <w:t xml:space="preserve"> </w:t>
            </w:r>
          </w:p>
        </w:tc>
      </w:tr>
      <w:tr w:rsidR="00A13524" w:rsidRPr="00A13524" w:rsidTr="00FE4055">
        <w:trPr>
          <w:trHeight w:val="432"/>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Arial"/>
                <w:bCs/>
                <w:sz w:val="20"/>
                <w:szCs w:val="20"/>
              </w:rPr>
              <w:t>Predicted total DMO patients</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9,596</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12,650</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15,642</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16,486</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16,385</w:t>
            </w:r>
          </w:p>
        </w:tc>
      </w:tr>
      <w:tr w:rsidR="00A13524" w:rsidRPr="00A13524" w:rsidTr="00FE4055">
        <w:trPr>
          <w:trHeight w:val="496"/>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Arial"/>
                <w:bCs/>
                <w:sz w:val="20"/>
                <w:szCs w:val="20"/>
              </w:rPr>
              <w:t>Actual total treated DMO patients</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3,990</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8,326</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11,716</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r>
      <w:tr w:rsidR="00A13524" w:rsidRPr="00A13524" w:rsidTr="00FE4055">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E4055" w:rsidRPr="00A13524">
              <w:rPr>
                <w:rFonts w:ascii="Calibri" w:eastAsia="Times New Roman" w:hAnsi="Calibri" w:cs="Times New Roman"/>
                <w:sz w:val="20"/>
                <w:szCs w:val="20"/>
              </w:rPr>
              <w:t>58%</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E4055" w:rsidRPr="00A13524">
              <w:rPr>
                <w:rFonts w:ascii="Calibri" w:eastAsia="Times New Roman" w:hAnsi="Calibri" w:cs="Times New Roman"/>
                <w:sz w:val="20"/>
                <w:szCs w:val="20"/>
              </w:rPr>
              <w:t>34%</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E4055" w:rsidRPr="00A13524">
              <w:rPr>
                <w:rFonts w:ascii="Calibri" w:eastAsia="Times New Roman" w:hAnsi="Calibri" w:cs="Times New Roman"/>
                <w:sz w:val="20"/>
                <w:szCs w:val="20"/>
              </w:rPr>
              <w:t>25%</w:t>
            </w:r>
          </w:p>
        </w:tc>
        <w:tc>
          <w:tcPr>
            <w:tcW w:w="1388" w:type="dxa"/>
            <w:tcBorders>
              <w:top w:val="nil"/>
              <w:left w:val="nil"/>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r>
      <w:tr w:rsidR="00A13524" w:rsidRPr="00A13524" w:rsidTr="00FE4055">
        <w:trPr>
          <w:trHeight w:val="523"/>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Arial"/>
                <w:bCs/>
                <w:sz w:val="20"/>
                <w:szCs w:val="20"/>
              </w:rPr>
              <w:t>Utilisation estimates - total injections</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34,547</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89,371</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109,253</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109,829</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108,014</w:t>
            </w:r>
          </w:p>
        </w:tc>
      </w:tr>
      <w:tr w:rsidR="00A13524" w:rsidRPr="00A13524" w:rsidTr="00FE4055">
        <w:trPr>
          <w:trHeight w:val="431"/>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Arial"/>
                <w:bCs/>
                <w:sz w:val="20"/>
                <w:szCs w:val="20"/>
              </w:rPr>
              <w:t>Actual total injections for DMO (including dexamethasone)</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15,720</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56,506</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72,605</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c>
          <w:tcPr>
            <w:tcW w:w="1388" w:type="dxa"/>
            <w:tcBorders>
              <w:top w:val="nil"/>
              <w:left w:val="nil"/>
              <w:bottom w:val="single" w:sz="4" w:space="0" w:color="auto"/>
              <w:right w:val="single" w:sz="4" w:space="0" w:color="auto"/>
            </w:tcBorders>
            <w:shd w:val="clear" w:color="auto" w:fill="auto"/>
            <w:noWrap/>
            <w:vAlign w:val="center"/>
            <w:hideMark/>
          </w:tcPr>
          <w:p w:rsidR="00FE4055" w:rsidRPr="00A13524" w:rsidRDefault="00FE4055" w:rsidP="00FE4055">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r>
      <w:tr w:rsidR="00A13524" w:rsidRPr="00A13524" w:rsidTr="00FE4055">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E4055" w:rsidRPr="00A13524">
              <w:rPr>
                <w:rFonts w:ascii="Calibri" w:eastAsia="Times New Roman" w:hAnsi="Calibri" w:cs="Times New Roman"/>
                <w:sz w:val="20"/>
                <w:szCs w:val="20"/>
              </w:rPr>
              <w:t>54%</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542CA7" w:rsidP="00542CA7">
            <w:pPr>
              <w:spacing w:after="0"/>
              <w:jc w:val="right"/>
              <w:rPr>
                <w:rFonts w:ascii="Calibri" w:eastAsia="Times New Roman" w:hAnsi="Calibri" w:cs="Times New Roman"/>
                <w:sz w:val="20"/>
                <w:szCs w:val="20"/>
              </w:rPr>
            </w:pPr>
            <w:r w:rsidRPr="00A13524">
              <w:rPr>
                <w:sz w:val="20"/>
                <w:szCs w:val="20"/>
              </w:rPr>
              <w:noBreakHyphen/>
            </w:r>
            <w:r w:rsidR="00FE4055" w:rsidRPr="00A13524">
              <w:rPr>
                <w:rFonts w:ascii="Calibri" w:eastAsia="Times New Roman" w:hAnsi="Calibri" w:cs="Times New Roman"/>
                <w:sz w:val="20"/>
                <w:szCs w:val="20"/>
              </w:rPr>
              <w:t>37%</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E4055" w:rsidRPr="00A13524">
              <w:rPr>
                <w:rFonts w:ascii="Calibri" w:eastAsia="Times New Roman" w:hAnsi="Calibri" w:cs="Times New Roman"/>
                <w:sz w:val="20"/>
                <w:szCs w:val="20"/>
              </w:rPr>
              <w:t>34%</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8" w:type="dxa"/>
            <w:tcBorders>
              <w:top w:val="nil"/>
              <w:left w:val="nil"/>
              <w:bottom w:val="single" w:sz="4" w:space="0" w:color="auto"/>
              <w:right w:val="single" w:sz="4" w:space="0" w:color="auto"/>
            </w:tcBorders>
            <w:shd w:val="clear" w:color="auto" w:fill="auto"/>
            <w:noWrap/>
            <w:vAlign w:val="bottom"/>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r>
    </w:tbl>
    <w:p w:rsidR="00E06E48" w:rsidRDefault="00FF0C26" w:rsidP="00E941D0">
      <w:pPr>
        <w:pStyle w:val="Notes"/>
      </w:pPr>
      <w:r>
        <w:t>Source:</w:t>
      </w:r>
      <w:r w:rsidR="009E2118">
        <w:t xml:space="preserve"> </w:t>
      </w:r>
      <w:r w:rsidR="009E2118" w:rsidRPr="009E2118">
        <w:t>PBS Ranibizumab vD 20150424</w:t>
      </w:r>
      <w:r w:rsidR="009E2118">
        <w:t>.xlsx</w:t>
      </w:r>
      <w:r w:rsidR="002C76DC">
        <w:t xml:space="preserve">, </w:t>
      </w:r>
      <w:r w:rsidR="00A85FD0">
        <w:t>DME ‘</w:t>
      </w:r>
      <w:r w:rsidR="00A85FD0" w:rsidRPr="00A85FD0">
        <w:t>Epidemiology and Patient Number</w:t>
      </w:r>
      <w:r w:rsidR="00A85FD0">
        <w:t>’ tab</w:t>
      </w:r>
    </w:p>
    <w:p w:rsidR="003F7F21" w:rsidRDefault="007421F2" w:rsidP="00E941D0">
      <w:pPr>
        <w:spacing w:after="0"/>
      </w:pPr>
      <w:r>
        <w:t>T</w:t>
      </w:r>
      <w:r w:rsidR="00FE4055">
        <w:t>he predictions f</w:t>
      </w:r>
      <w:r w:rsidR="002243E6">
        <w:t>or</w:t>
      </w:r>
      <w:r w:rsidR="00FE4055">
        <w:t xml:space="preserve"> </w:t>
      </w:r>
      <w:r w:rsidR="003F7F21">
        <w:t xml:space="preserve">the number of people commencing and on treatment with ranibizumab for DMO were overestimated. It is not clear whether this is due to an overestimate of the number of people </w:t>
      </w:r>
      <w:r w:rsidR="00860BB0">
        <w:t>eligible</w:t>
      </w:r>
      <w:r w:rsidR="003F7F21">
        <w:t xml:space="preserve"> for treatment given there was very little information available on the </w:t>
      </w:r>
      <w:r w:rsidR="00860BB0">
        <w:t>proportion</w:t>
      </w:r>
      <w:r w:rsidR="003F7F21">
        <w:t xml:space="preserve"> of patients with diabetes and DMO with VI</w:t>
      </w:r>
      <w:r w:rsidR="002243E6">
        <w:t>,</w:t>
      </w:r>
      <w:r w:rsidR="003F7F21">
        <w:t xml:space="preserve"> or an </w:t>
      </w:r>
      <w:r w:rsidR="00860BB0">
        <w:t>overestimate</w:t>
      </w:r>
      <w:r w:rsidR="003F7F21">
        <w:t xml:space="preserve"> of treatment uptake. Both were uncertain</w:t>
      </w:r>
      <w:r w:rsidR="00860BB0">
        <w:t>.</w:t>
      </w:r>
      <w:r w:rsidR="00FE4055">
        <w:t xml:space="preserve"> </w:t>
      </w:r>
      <w:r w:rsidR="00E941D0">
        <w:t xml:space="preserve">The difference between predicted and actual patients was </w:t>
      </w:r>
      <w:r w:rsidR="00E941D0">
        <w:lastRenderedPageBreak/>
        <w:t>smaller for initiating patients in 2016 and 2017 than treated patients. This may suggest the continuation rates were overestimated (discussed in more detail below).</w:t>
      </w:r>
    </w:p>
    <w:p w:rsidR="002243E6" w:rsidRDefault="002243E6" w:rsidP="002243E6">
      <w:pPr>
        <w:spacing w:after="0"/>
      </w:pPr>
    </w:p>
    <w:p w:rsidR="00AD764E" w:rsidRDefault="00860BB0" w:rsidP="00AD764E">
      <w:pPr>
        <w:spacing w:after="0"/>
      </w:pPr>
      <w:r>
        <w:t xml:space="preserve">The </w:t>
      </w:r>
      <w:r w:rsidR="002243E6">
        <w:t xml:space="preserve">overall </w:t>
      </w:r>
      <w:r>
        <w:t>number of injections</w:t>
      </w:r>
      <w:r w:rsidR="002243E6">
        <w:t xml:space="preserve"> </w:t>
      </w:r>
      <w:r w:rsidR="00AD764E">
        <w:t xml:space="preserve">was also lower than expected </w:t>
      </w:r>
      <w:r w:rsidR="007421F2">
        <w:t xml:space="preserve">primarily </w:t>
      </w:r>
      <w:r w:rsidR="00AD764E">
        <w:t>due to the overestimate</w:t>
      </w:r>
      <w:r w:rsidR="007421F2">
        <w:t>d</w:t>
      </w:r>
      <w:r w:rsidR="00AD764E">
        <w:t xml:space="preserve"> number of people eligible for and taking up treatment. However the following factors have also contributed to differences in the number of injections used in practice:</w:t>
      </w:r>
    </w:p>
    <w:p w:rsidR="002243E6" w:rsidRDefault="00AE2319" w:rsidP="00AD764E">
      <w:pPr>
        <w:pStyle w:val="ListParagraph"/>
        <w:numPr>
          <w:ilvl w:val="0"/>
          <w:numId w:val="13"/>
        </w:numPr>
        <w:spacing w:after="0"/>
      </w:pPr>
      <w:r>
        <w:t>T</w:t>
      </w:r>
      <w:r w:rsidR="00860BB0">
        <w:t xml:space="preserve">he rate of bilateral treatment </w:t>
      </w:r>
      <w:r w:rsidR="002243E6">
        <w:t>was overestimated. The submission assumed 20% of patients would be treated bilaterally in year 1, 50% in year 2, and 80%</w:t>
      </w:r>
      <w:r w:rsidR="00B55C02">
        <w:t xml:space="preserve"> in years 3 to 5. Tables 20 and 21</w:t>
      </w:r>
      <w:r w:rsidR="002243E6">
        <w:t xml:space="preserve"> show the proportion of prescriptions dispensed with a quantity of two has been approximately 30% and</w:t>
      </w:r>
      <w:r w:rsidR="002243E6" w:rsidRPr="00664EC6">
        <w:t xml:space="preserve"> </w:t>
      </w:r>
      <w:r w:rsidR="002243E6">
        <w:t>has decreased slightly since 2015. The true rate of patients with bilateral disease is likely higher than the rate of prescriptions dispensed with a quantity of two, due to patients being treated in different eyes on different days or having disease in both eyes but one eye not needing treatment every month.</w:t>
      </w:r>
    </w:p>
    <w:p w:rsidR="007421F2" w:rsidRDefault="00AD764E" w:rsidP="007421F2">
      <w:pPr>
        <w:pStyle w:val="ListParagraph"/>
        <w:numPr>
          <w:ilvl w:val="0"/>
          <w:numId w:val="13"/>
        </w:numPr>
      </w:pPr>
      <w:r>
        <w:t xml:space="preserve">The second year continuation rates were underestimated. </w:t>
      </w:r>
      <w:r w:rsidR="009C691D">
        <w:t xml:space="preserve">The submission assumed </w:t>
      </w:r>
      <w:r>
        <w:t>66% of initiators would continue in the secon</w:t>
      </w:r>
      <w:r w:rsidR="00DF474C">
        <w:t>d year after initiation. Table 17</w:t>
      </w:r>
      <w:r>
        <w:t xml:space="preserve"> showed that of patients who initiated in 2015, 74% were also treated in 2016, and of patients who initiated in 2016, 52% were also treated in 2017.</w:t>
      </w:r>
      <w:r w:rsidR="007421F2">
        <w:t xml:space="preserve"> Further, </w:t>
      </w:r>
      <w:r w:rsidR="00AE2319">
        <w:t>t</w:t>
      </w:r>
      <w:r w:rsidR="007421F2">
        <w:t>he submission assumed 58% of initiators would continue in the thir</w:t>
      </w:r>
      <w:r w:rsidR="00DF474C">
        <w:t>d year after initiation. Table 17</w:t>
      </w:r>
      <w:r w:rsidR="007421F2">
        <w:t xml:space="preserve"> shows that of patients who initiated in 2015, 44% were also treated in 2017.</w:t>
      </w:r>
      <w:r w:rsidR="007421F2" w:rsidRPr="006A520A">
        <w:t xml:space="preserve"> The PBS restriction criteria do not include stopping or continuation criteria. It is unclear if patients are not continuing with treatment because they have received good results, or failed treatment.</w:t>
      </w:r>
    </w:p>
    <w:p w:rsidR="00AD764E" w:rsidRDefault="00AE2319" w:rsidP="00AD764E">
      <w:pPr>
        <w:pStyle w:val="ListParagraph"/>
        <w:numPr>
          <w:ilvl w:val="0"/>
          <w:numId w:val="13"/>
        </w:numPr>
      </w:pPr>
      <w:r>
        <w:t>T</w:t>
      </w:r>
      <w:r w:rsidR="006477BF">
        <w:t xml:space="preserve">he number of injections per patient </w:t>
      </w:r>
      <w:r w:rsidR="00AD764E">
        <w:t xml:space="preserve">was underestimated. Overall </w:t>
      </w:r>
      <w:r w:rsidR="009C691D">
        <w:t>the submission</w:t>
      </w:r>
      <w:r w:rsidR="00AD764E">
        <w:t xml:space="preserve"> estimated initiators would</w:t>
      </w:r>
      <w:r w:rsidR="00DF474C">
        <w:t xml:space="preserve"> receive 7.2 injections</w:t>
      </w:r>
      <w:r w:rsidR="009C691D">
        <w:t xml:space="preserve"> in year 1</w:t>
      </w:r>
      <w:r w:rsidR="00DF474C">
        <w:t>. Table 18</w:t>
      </w:r>
      <w:r w:rsidR="00AD764E">
        <w:t xml:space="preserve"> show</w:t>
      </w:r>
      <w:r>
        <w:t>s</w:t>
      </w:r>
      <w:r w:rsidR="00AD764E">
        <w:t xml:space="preserve"> that the average number of injections supplied in each 12 months of therapy was 9.79 and 8.72 for patients who initiated in 2015 and 2016 respectively. These findings </w:t>
      </w:r>
      <w:r w:rsidR="00A1365D">
        <w:t xml:space="preserve">indicate that there were more actual injections per patient. However, it should be noted that the projected and actual results are not directly comparable because the estimates were derived for a particular calendar year while the actual number of injections is for therapy over a 12 month period from the date of initiation. </w:t>
      </w:r>
    </w:p>
    <w:p w:rsidR="0027544C" w:rsidRPr="009E6353" w:rsidRDefault="0027544C" w:rsidP="00E06E48">
      <w:r>
        <w:t>Overall it appears the rate of bilateral treatment was underestimated in the early years of listing, the second year continuation rates were underestimated,</w:t>
      </w:r>
      <w:r w:rsidR="003A3ABC">
        <w:t xml:space="preserve"> and</w:t>
      </w:r>
      <w:r>
        <w:t xml:space="preserve"> the number of injections per patient was underestimated. However, the number of patients was substantially</w:t>
      </w:r>
      <w:r w:rsidR="009B6C66">
        <w:t xml:space="preserve"> </w:t>
      </w:r>
      <w:r>
        <w:t xml:space="preserve">overestimated in the early years of </w:t>
      </w:r>
      <w:r w:rsidR="009B6C66">
        <w:t>the PBS listing</w:t>
      </w:r>
      <w:r>
        <w:t xml:space="preserve">, </w:t>
      </w:r>
      <w:r w:rsidR="009B6C66">
        <w:t>although</w:t>
      </w:r>
      <w:r>
        <w:t xml:space="preserve"> the </w:t>
      </w:r>
      <w:r w:rsidR="009B6C66">
        <w:t>overestimate appears to be</w:t>
      </w:r>
      <w:r>
        <w:t xml:space="preserve"> decreasing over time. </w:t>
      </w:r>
    </w:p>
    <w:p w:rsidR="00242301" w:rsidRDefault="00242301">
      <w:pPr>
        <w:spacing w:line="276" w:lineRule="auto"/>
        <w:rPr>
          <w:b/>
          <w:i/>
          <w:szCs w:val="28"/>
        </w:rPr>
      </w:pPr>
      <w:r>
        <w:br w:type="page"/>
      </w:r>
    </w:p>
    <w:p w:rsidR="007421F2" w:rsidRPr="009706F0" w:rsidRDefault="007421F2" w:rsidP="00242301">
      <w:pPr>
        <w:pStyle w:val="Heading3"/>
      </w:pPr>
      <w:bookmarkStart w:id="55" w:name="_Toc513038053"/>
      <w:r w:rsidRPr="009706F0">
        <w:lastRenderedPageBreak/>
        <w:t>Aflibercept</w:t>
      </w:r>
      <w:r>
        <w:t xml:space="preserve"> - DMO</w:t>
      </w:r>
      <w:bookmarkEnd w:id="55"/>
    </w:p>
    <w:p w:rsidR="009C31E7" w:rsidRPr="005E775B" w:rsidRDefault="005E775B" w:rsidP="009C31E7">
      <w:pPr>
        <w:rPr>
          <w:highlight w:val="black"/>
        </w:rPr>
      </w:pPr>
      <w:r>
        <w:rPr>
          <w:noProof/>
          <w:color w:val="000000"/>
          <w:highlight w:val="black"/>
        </w:rPr>
        <w:t>'''''''' '''''''''''''''''''''' ''''' ''''''''''''''''''' '''''' ''''''''''' ''''''''''''''''' ''' '''''''''''' ''''' ''''''' '''''''' ''''''''''''''''' '''''''''''''''''' ''''' '''''''' '''''''''''''''''' ''''''' '''''''' ''' ''''''' '''''''''''''''''' ''''' '''''''''''''' '''''''' '''''''''''''''''''''''''''''''''''' '''''''''''''' ''''''''''''''''''''' '''''''' '''''''' ''''''''''''''''' ''''''' ''''' '''''''''''''''''''''''''''' ''''''' ''''''''''''''''''''''' '''''''''' ''''' ''''''''''''''''''''''''''' ''''''''''''''''''' '''' '''''''''' ''''''''''' ''''' ''''''''''''''''' '''''''''''''''''''''' '''''' '''''''''''</w:t>
      </w:r>
    </w:p>
    <w:p w:rsidR="009C31E7" w:rsidRPr="005E775B" w:rsidRDefault="005E775B" w:rsidP="009C31E7">
      <w:pPr>
        <w:rPr>
          <w:highlight w:val="black"/>
        </w:rPr>
      </w:pPr>
      <w:r>
        <w:rPr>
          <w:noProof/>
          <w:color w:val="000000"/>
          <w:highlight w:val="black"/>
        </w:rPr>
        <w:t xml:space="preserve">''''''' ''''''''''''''''''''''' ''''''''' ''''' '''''''''''''''''''' '''''''''''''''''''''''' '''''''''''''''''''' '''''''''''' ''''''''''''''''' '''''''''' '''''''''' ''''''''''''''''''''' ''''''''''''''''''' ''''''''''''''' ''''''' ''''''''''''''' ''''''''''' '''''''''''''''' '''' ''''''''''''''' ''''''' ''''''''''''''''''' ''''' ''''''''''''''' '''' ''''''''''''''''' ''''' '''''''' ''''''''''''' ''''''''' ''''' '''''''''''' '''''''''''''''''''''' ''''' '''''''''''' '''''''' ''''''''''''''''''''''' ''''' '''''''''''''' '''''''''''' '''''''' ''''''''''''''' ''''''''''''''''' ''''''''''''''' '''''''''''''''' ''''''' ''''''''''''''''''' ''''' '''''' ''''''''''' ''''''''''' '''''' '''''''''''''''''''' ''''''''''' '''''''''''''''''''''''' '''''''''''''' ''''''' '''''''''''''''' ''''''''''''''''''''' ''''''' '''''''''''''' '''' '''''' ''''''''''''''''''''' '''''''''''''''''''''' ''''''''' '''''' '''''' ''''' '''''' </w:t>
      </w:r>
    </w:p>
    <w:p w:rsidR="009C31E7" w:rsidRPr="005E775B" w:rsidRDefault="005E775B" w:rsidP="009C31E7">
      <w:pPr>
        <w:rPr>
          <w:highlight w:val="black"/>
        </w:rPr>
      </w:pPr>
      <w:r>
        <w:rPr>
          <w:noProof/>
          <w:color w:val="000000"/>
          <w:highlight w:val="black"/>
        </w:rPr>
        <w:t>''''''''''''' ''''' '''''''''''''''''''' '''' '''''''''''''''' ''''''''''''''' '''''''''''''' '''''''' ''''''''''''''''''''''''' '''''''' '''''''''''''''' ''''' ''''' '''''''' '''' ''''''''' ''' '''''''' '''''''' ''' ''''''''' '''' '''''''' '''''''''''''''''''' ''''''''''''''''''''' '''''''''''''' ''''' ''''''''' ''' ''''''''''''' ''''''''''''''''''''' '''' '''''''' '''' ''''''''''' '''' ''''''''''' '''''''''''''''''''' '''''''''''''' '''''''''''''''''</w:t>
      </w:r>
    </w:p>
    <w:p w:rsidR="009C31E7" w:rsidRPr="005E775B" w:rsidRDefault="005E775B" w:rsidP="009C31E7">
      <w:pPr>
        <w:rPr>
          <w:highlight w:val="black"/>
        </w:rPr>
      </w:pPr>
      <w:r>
        <w:rPr>
          <w:noProof/>
          <w:color w:val="000000"/>
          <w:highlight w:val="black"/>
        </w:rPr>
        <w:t>'''''''' ''''''''''''''''''' ''''''''''''''''' ''''' ''''''''''''''' ''''' '''''''''''' ''''' '''''''''''''' '''''''''''' '''''''''''''' '''''''''''''' ''''''''''''''''''' ''''''' '''''''''''''''''''''' ''''''''' '''''''''''''' ''''''' '''''''''''''' '''''''''''''''' ''''' ''''''''''''''''''''' ''''''''''''''''''' '''''''''' ''''''' '''''''''''' '''''''''' '''''''''''''''' '''' '''''' '''''''''''''''' ''''' ''''''''' ''''''''''''''' ''''''''' '''''''''''''''''''''' ''''''' '''''''''''''''''''''' '''''' ''''''' '''''''''''''' ''''''''''' '''''''''''''''''''''''''''' '''''''''' '''' '''''' '''''''''''''' '''''''''''''''' ''''' '''''''''''''''' ''''''' '''''''''''''''' '''' '''''''''''''''''' ''' '''''''''' ''''''''' ''''''' ''''''''''''''''''''' ''''''''''''''''' '''''' '''''''''''''''' ''''' '''''''''''''''' '''''''''''''''' ''''' ''''''' ''''''''''''''' '''' '''''''''''''' '''''''' ''''''''''''''''' ''' '''''''' '''''''' '''' '''''''''''' ''''''' ''''''''''''''''' ''' '''''''''' ''''''''''''''''' '''''''''''''''' '''' '''''''' '''' '''''''''' ''''''''''''''''''' '''''''''' ''''''''''''''''''''' '''' ''''' '''''''''''''' ''''' ''''''' ''''''''''''' '''' '''''''' '''' ''''''''''' '''' ''''''''' '''' '''''''''' '''' ''''''''' '''' '''''''''' ''' '''''''' '''''</w:t>
      </w:r>
    </w:p>
    <w:p w:rsidR="009C31E7" w:rsidRDefault="00403745" w:rsidP="009C31E7">
      <w:pPr>
        <w:pStyle w:val="Tabletitle"/>
      </w:pPr>
      <w:r>
        <w:t>Table 4</w:t>
      </w:r>
      <w:r w:rsidR="00C132CE">
        <w:t>0</w:t>
      </w:r>
      <w:r w:rsidR="009C31E7">
        <w:t xml:space="preserve">: Predicted number of injections administered </w:t>
      </w:r>
      <w:r w:rsidR="009C31E7" w:rsidRPr="00EA6BED">
        <w:t xml:space="preserve">per </w:t>
      </w:r>
      <w:r w:rsidR="009C31E7">
        <w:t>initiator on aflibercept for DMO</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1488"/>
        <w:gridCol w:w="1488"/>
        <w:gridCol w:w="1488"/>
        <w:gridCol w:w="1488"/>
        <w:gridCol w:w="1488"/>
      </w:tblGrid>
      <w:tr w:rsidR="009C31E7" w:rsidRPr="00E7214A" w:rsidTr="00FE1E40">
        <w:trPr>
          <w:trHeight w:val="300"/>
        </w:trPr>
        <w:tc>
          <w:tcPr>
            <w:tcW w:w="1487" w:type="dxa"/>
            <w:shd w:val="clear" w:color="auto" w:fill="BFBFBF" w:themeFill="background1" w:themeFillShade="BF"/>
            <w:noWrap/>
            <w:vAlign w:val="bottom"/>
            <w:hideMark/>
          </w:tcPr>
          <w:p w:rsidR="009C31E7" w:rsidRPr="005E775B" w:rsidRDefault="005E775B" w:rsidP="00FE1E40">
            <w:pPr>
              <w:keepNext/>
              <w:widowControl w:val="0"/>
              <w:autoSpaceDE w:val="0"/>
              <w:autoSpaceDN w:val="0"/>
              <w:adjustRightInd w:val="0"/>
              <w:spacing w:before="40" w:after="40"/>
              <w:rPr>
                <w:rFonts w:ascii="Calibri" w:eastAsia="SimSun" w:hAnsi="Calibri" w:cs="Arial"/>
                <w:b/>
                <w:bCs/>
                <w:sz w:val="20"/>
                <w:szCs w:val="20"/>
                <w:highlight w:val="black"/>
                <w:lang w:eastAsia="zh-CN"/>
              </w:rPr>
            </w:pPr>
            <w:r>
              <w:rPr>
                <w:rFonts w:ascii="Calibri" w:eastAsia="SimSun" w:hAnsi="Calibri" w:cs="Arial"/>
                <w:b/>
                <w:bCs/>
                <w:noProof/>
                <w:color w:val="000000"/>
                <w:sz w:val="20"/>
                <w:szCs w:val="20"/>
                <w:highlight w:val="black"/>
                <w:lang w:eastAsia="zh-CN"/>
              </w:rPr>
              <w:t>'''''''''''''''</w:t>
            </w:r>
          </w:p>
        </w:tc>
        <w:tc>
          <w:tcPr>
            <w:tcW w:w="1488" w:type="dxa"/>
            <w:shd w:val="clear" w:color="auto" w:fill="BFBFBF" w:themeFill="background1" w:themeFillShade="BF"/>
            <w:noWrap/>
            <w:vAlign w:val="bottom"/>
            <w:hideMark/>
          </w:tcPr>
          <w:p w:rsidR="009C31E7" w:rsidRPr="005E775B" w:rsidRDefault="005E775B" w:rsidP="00FE1E40">
            <w:pPr>
              <w:keepNext/>
              <w:widowControl w:val="0"/>
              <w:autoSpaceDE w:val="0"/>
              <w:autoSpaceDN w:val="0"/>
              <w:adjustRightInd w:val="0"/>
              <w:spacing w:before="40" w:after="40"/>
              <w:jc w:val="center"/>
              <w:rPr>
                <w:rFonts w:ascii="Calibri" w:eastAsia="SimSun" w:hAnsi="Calibri" w:cs="Arial"/>
                <w:b/>
                <w:bCs/>
                <w:sz w:val="20"/>
                <w:szCs w:val="20"/>
                <w:highlight w:val="black"/>
                <w:lang w:eastAsia="zh-CN"/>
              </w:rPr>
            </w:pPr>
            <w:r>
              <w:rPr>
                <w:rFonts w:ascii="Calibri" w:eastAsia="SimSun" w:hAnsi="Calibri" w:cs="Arial"/>
                <w:b/>
                <w:bCs/>
                <w:noProof/>
                <w:color w:val="000000"/>
                <w:sz w:val="20"/>
                <w:szCs w:val="20"/>
                <w:highlight w:val="black"/>
                <w:lang w:eastAsia="zh-CN"/>
              </w:rPr>
              <w:t>'''''''' '''</w:t>
            </w:r>
          </w:p>
        </w:tc>
        <w:tc>
          <w:tcPr>
            <w:tcW w:w="1488" w:type="dxa"/>
            <w:shd w:val="clear" w:color="auto" w:fill="BFBFBF" w:themeFill="background1" w:themeFillShade="BF"/>
            <w:noWrap/>
            <w:vAlign w:val="bottom"/>
            <w:hideMark/>
          </w:tcPr>
          <w:p w:rsidR="009C31E7" w:rsidRPr="005E775B" w:rsidRDefault="005E775B" w:rsidP="00FE1E40">
            <w:pPr>
              <w:keepNext/>
              <w:widowControl w:val="0"/>
              <w:autoSpaceDE w:val="0"/>
              <w:autoSpaceDN w:val="0"/>
              <w:adjustRightInd w:val="0"/>
              <w:spacing w:before="40" w:after="40"/>
              <w:jc w:val="center"/>
              <w:rPr>
                <w:rFonts w:ascii="Calibri" w:eastAsia="SimSun" w:hAnsi="Calibri" w:cs="Arial"/>
                <w:b/>
                <w:bCs/>
                <w:sz w:val="20"/>
                <w:szCs w:val="20"/>
                <w:highlight w:val="black"/>
                <w:lang w:eastAsia="zh-CN"/>
              </w:rPr>
            </w:pPr>
            <w:r>
              <w:rPr>
                <w:rFonts w:ascii="Calibri" w:eastAsia="SimSun" w:hAnsi="Calibri" w:cs="Arial"/>
                <w:b/>
                <w:bCs/>
                <w:noProof/>
                <w:color w:val="000000"/>
                <w:sz w:val="20"/>
                <w:szCs w:val="20"/>
                <w:highlight w:val="black"/>
                <w:lang w:eastAsia="zh-CN"/>
              </w:rPr>
              <w:t>'''''''' '''</w:t>
            </w:r>
          </w:p>
        </w:tc>
        <w:tc>
          <w:tcPr>
            <w:tcW w:w="1488" w:type="dxa"/>
            <w:shd w:val="clear" w:color="auto" w:fill="BFBFBF" w:themeFill="background1" w:themeFillShade="BF"/>
            <w:noWrap/>
            <w:vAlign w:val="bottom"/>
            <w:hideMark/>
          </w:tcPr>
          <w:p w:rsidR="009C31E7" w:rsidRPr="005E775B" w:rsidRDefault="005E775B" w:rsidP="00FE1E40">
            <w:pPr>
              <w:keepNext/>
              <w:widowControl w:val="0"/>
              <w:autoSpaceDE w:val="0"/>
              <w:autoSpaceDN w:val="0"/>
              <w:adjustRightInd w:val="0"/>
              <w:spacing w:before="40" w:after="40"/>
              <w:jc w:val="center"/>
              <w:rPr>
                <w:rFonts w:ascii="Calibri" w:eastAsia="SimSun" w:hAnsi="Calibri" w:cs="Arial"/>
                <w:b/>
                <w:bCs/>
                <w:sz w:val="20"/>
                <w:szCs w:val="20"/>
                <w:highlight w:val="black"/>
                <w:lang w:eastAsia="zh-CN"/>
              </w:rPr>
            </w:pPr>
            <w:r>
              <w:rPr>
                <w:rFonts w:ascii="Calibri" w:eastAsia="SimSun" w:hAnsi="Calibri" w:cs="Arial"/>
                <w:b/>
                <w:bCs/>
                <w:noProof/>
                <w:color w:val="000000"/>
                <w:sz w:val="20"/>
                <w:szCs w:val="20"/>
                <w:highlight w:val="black"/>
                <w:lang w:eastAsia="zh-CN"/>
              </w:rPr>
              <w:t>''''''''' '''</w:t>
            </w:r>
          </w:p>
        </w:tc>
        <w:tc>
          <w:tcPr>
            <w:tcW w:w="1488" w:type="dxa"/>
            <w:shd w:val="clear" w:color="auto" w:fill="BFBFBF" w:themeFill="background1" w:themeFillShade="BF"/>
            <w:vAlign w:val="bottom"/>
          </w:tcPr>
          <w:p w:rsidR="009C31E7" w:rsidRPr="005E775B" w:rsidRDefault="005E775B" w:rsidP="00FE1E40">
            <w:pPr>
              <w:keepNext/>
              <w:widowControl w:val="0"/>
              <w:autoSpaceDE w:val="0"/>
              <w:autoSpaceDN w:val="0"/>
              <w:adjustRightInd w:val="0"/>
              <w:spacing w:before="40" w:after="40"/>
              <w:jc w:val="center"/>
              <w:rPr>
                <w:rFonts w:ascii="Calibri" w:eastAsia="SimSun" w:hAnsi="Calibri" w:cs="Arial"/>
                <w:b/>
                <w:bCs/>
                <w:sz w:val="20"/>
                <w:szCs w:val="20"/>
                <w:highlight w:val="black"/>
                <w:lang w:eastAsia="zh-CN"/>
              </w:rPr>
            </w:pPr>
            <w:r>
              <w:rPr>
                <w:rFonts w:ascii="Calibri" w:eastAsia="SimSun" w:hAnsi="Calibri" w:cs="Arial"/>
                <w:b/>
                <w:bCs/>
                <w:noProof/>
                <w:color w:val="000000"/>
                <w:sz w:val="20"/>
                <w:szCs w:val="20"/>
                <w:highlight w:val="black"/>
                <w:lang w:eastAsia="zh-CN"/>
              </w:rPr>
              <w:t>''''''''' ''</w:t>
            </w:r>
          </w:p>
        </w:tc>
        <w:tc>
          <w:tcPr>
            <w:tcW w:w="1488" w:type="dxa"/>
            <w:shd w:val="clear" w:color="auto" w:fill="BFBFBF" w:themeFill="background1" w:themeFillShade="BF"/>
            <w:vAlign w:val="bottom"/>
          </w:tcPr>
          <w:p w:rsidR="009C31E7" w:rsidRPr="005E775B" w:rsidRDefault="005E775B" w:rsidP="00FE1E40">
            <w:pPr>
              <w:keepNext/>
              <w:widowControl w:val="0"/>
              <w:autoSpaceDE w:val="0"/>
              <w:autoSpaceDN w:val="0"/>
              <w:adjustRightInd w:val="0"/>
              <w:spacing w:before="40" w:after="40"/>
              <w:jc w:val="center"/>
              <w:rPr>
                <w:rFonts w:ascii="Calibri" w:eastAsia="SimSun" w:hAnsi="Calibri" w:cs="Arial"/>
                <w:b/>
                <w:bCs/>
                <w:sz w:val="20"/>
                <w:szCs w:val="20"/>
                <w:highlight w:val="black"/>
                <w:lang w:eastAsia="zh-CN"/>
              </w:rPr>
            </w:pPr>
            <w:r>
              <w:rPr>
                <w:rFonts w:ascii="Calibri" w:eastAsia="SimSun" w:hAnsi="Calibri" w:cs="Arial"/>
                <w:b/>
                <w:bCs/>
                <w:noProof/>
                <w:color w:val="000000"/>
                <w:sz w:val="20"/>
                <w:szCs w:val="20"/>
                <w:highlight w:val="black"/>
                <w:lang w:eastAsia="zh-CN"/>
              </w:rPr>
              <w:t>'''''''' '''</w:t>
            </w:r>
          </w:p>
        </w:tc>
      </w:tr>
      <w:tr w:rsidR="009C31E7" w:rsidRPr="00E7214A" w:rsidTr="00FE1E40">
        <w:trPr>
          <w:trHeight w:val="300"/>
        </w:trPr>
        <w:tc>
          <w:tcPr>
            <w:tcW w:w="1487" w:type="dxa"/>
            <w:shd w:val="clear" w:color="auto" w:fill="auto"/>
            <w:noWrap/>
            <w:vAlign w:val="bottom"/>
            <w:hideMark/>
          </w:tcPr>
          <w:p w:rsidR="009C31E7" w:rsidRPr="005E775B" w:rsidRDefault="005E775B" w:rsidP="00FE1E40">
            <w:pPr>
              <w:keepNext/>
              <w:widowControl w:val="0"/>
              <w:autoSpaceDE w:val="0"/>
              <w:autoSpaceDN w:val="0"/>
              <w:adjustRightInd w:val="0"/>
              <w:spacing w:before="40" w:after="40"/>
              <w:rPr>
                <w:rFonts w:ascii="Calibri" w:eastAsia="SimSun" w:hAnsi="Calibri" w:cs="Arial"/>
                <w:bCs/>
                <w:color w:val="000000"/>
                <w:sz w:val="20"/>
                <w:szCs w:val="20"/>
                <w:highlight w:val="black"/>
                <w:lang w:eastAsia="zh-CN"/>
              </w:rPr>
            </w:pPr>
            <w:r>
              <w:rPr>
                <w:rFonts w:ascii="Calibri" w:eastAsia="SimSun" w:hAnsi="Calibri" w:cs="Arial"/>
                <w:bCs/>
                <w:noProof/>
                <w:color w:val="000000"/>
                <w:sz w:val="20"/>
                <w:szCs w:val="20"/>
                <w:highlight w:val="black"/>
                <w:lang w:eastAsia="zh-CN"/>
              </w:rPr>
              <w:t>'''''''''''''''''''''</w:t>
            </w:r>
          </w:p>
        </w:tc>
        <w:tc>
          <w:tcPr>
            <w:tcW w:w="1488" w:type="dxa"/>
            <w:shd w:val="clear" w:color="auto" w:fill="auto"/>
            <w:noWrap/>
            <w:vAlign w:val="center"/>
            <w:hideMark/>
          </w:tcPr>
          <w:p w:rsidR="009C31E7" w:rsidRPr="005E775B" w:rsidRDefault="005E775B" w:rsidP="00FE1E40">
            <w:pPr>
              <w:keepNext/>
              <w:widowControl w:val="0"/>
              <w:autoSpaceDE w:val="0"/>
              <w:autoSpaceDN w:val="0"/>
              <w:adjustRightInd w:val="0"/>
              <w:spacing w:before="40" w:after="40"/>
              <w:jc w:val="right"/>
              <w:rPr>
                <w:rFonts w:ascii="Calibri" w:eastAsia="SimSun" w:hAnsi="Calibri" w:cs="Arial"/>
                <w:bCs/>
                <w:color w:val="000000"/>
                <w:sz w:val="20"/>
                <w:szCs w:val="20"/>
                <w:highlight w:val="black"/>
                <w:lang w:eastAsia="zh-CN"/>
              </w:rPr>
            </w:pPr>
            <w:r>
              <w:rPr>
                <w:rFonts w:ascii="Calibri" w:eastAsia="SimSun" w:hAnsi="Calibri" w:cs="Arial"/>
                <w:bCs/>
                <w:noProof/>
                <w:color w:val="000000"/>
                <w:sz w:val="20"/>
                <w:szCs w:val="20"/>
                <w:highlight w:val="black"/>
                <w:lang w:eastAsia="zh-CN"/>
              </w:rPr>
              <w:t>''''''</w:t>
            </w:r>
          </w:p>
        </w:tc>
        <w:tc>
          <w:tcPr>
            <w:tcW w:w="1488" w:type="dxa"/>
            <w:shd w:val="clear" w:color="auto" w:fill="auto"/>
            <w:noWrap/>
            <w:vAlign w:val="center"/>
            <w:hideMark/>
          </w:tcPr>
          <w:p w:rsidR="009C31E7" w:rsidRPr="005E775B" w:rsidRDefault="005E775B" w:rsidP="00FE1E40">
            <w:pPr>
              <w:keepNext/>
              <w:widowControl w:val="0"/>
              <w:autoSpaceDE w:val="0"/>
              <w:autoSpaceDN w:val="0"/>
              <w:adjustRightInd w:val="0"/>
              <w:spacing w:before="40" w:after="40"/>
              <w:jc w:val="right"/>
              <w:rPr>
                <w:rFonts w:ascii="Calibri" w:eastAsia="SimSun" w:hAnsi="Calibri" w:cs="Arial"/>
                <w:bCs/>
                <w:color w:val="000000"/>
                <w:sz w:val="20"/>
                <w:szCs w:val="20"/>
                <w:highlight w:val="black"/>
                <w:lang w:eastAsia="zh-CN"/>
              </w:rPr>
            </w:pPr>
            <w:r>
              <w:rPr>
                <w:rFonts w:ascii="Calibri" w:eastAsia="SimSun" w:hAnsi="Calibri" w:cs="Arial"/>
                <w:bCs/>
                <w:noProof/>
                <w:color w:val="000000"/>
                <w:sz w:val="20"/>
                <w:szCs w:val="20"/>
                <w:highlight w:val="black"/>
                <w:lang w:eastAsia="zh-CN"/>
              </w:rPr>
              <w:t>'''''''</w:t>
            </w:r>
          </w:p>
        </w:tc>
        <w:tc>
          <w:tcPr>
            <w:tcW w:w="1488" w:type="dxa"/>
            <w:shd w:val="clear" w:color="auto" w:fill="auto"/>
            <w:noWrap/>
            <w:vAlign w:val="center"/>
            <w:hideMark/>
          </w:tcPr>
          <w:p w:rsidR="009C31E7" w:rsidRPr="005E775B" w:rsidRDefault="005E775B" w:rsidP="00FE1E40">
            <w:pPr>
              <w:keepNext/>
              <w:widowControl w:val="0"/>
              <w:autoSpaceDE w:val="0"/>
              <w:autoSpaceDN w:val="0"/>
              <w:adjustRightInd w:val="0"/>
              <w:spacing w:before="40" w:after="40"/>
              <w:jc w:val="right"/>
              <w:rPr>
                <w:rFonts w:ascii="Calibri" w:eastAsia="SimSun" w:hAnsi="Calibri" w:cs="Arial"/>
                <w:bCs/>
                <w:color w:val="000000"/>
                <w:sz w:val="20"/>
                <w:szCs w:val="20"/>
                <w:highlight w:val="black"/>
                <w:lang w:eastAsia="zh-CN"/>
              </w:rPr>
            </w:pPr>
            <w:r>
              <w:rPr>
                <w:rFonts w:ascii="Calibri" w:eastAsia="SimSun" w:hAnsi="Calibri" w:cs="Arial"/>
                <w:bCs/>
                <w:noProof/>
                <w:color w:val="000000"/>
                <w:sz w:val="20"/>
                <w:szCs w:val="20"/>
                <w:highlight w:val="black"/>
                <w:lang w:eastAsia="zh-CN"/>
              </w:rPr>
              <w:t>''''''</w:t>
            </w:r>
          </w:p>
        </w:tc>
        <w:tc>
          <w:tcPr>
            <w:tcW w:w="1488" w:type="dxa"/>
            <w:vAlign w:val="center"/>
          </w:tcPr>
          <w:p w:rsidR="009C31E7" w:rsidRPr="005E775B" w:rsidRDefault="005E775B" w:rsidP="00FE1E40">
            <w:pPr>
              <w:keepNext/>
              <w:widowControl w:val="0"/>
              <w:autoSpaceDE w:val="0"/>
              <w:autoSpaceDN w:val="0"/>
              <w:adjustRightInd w:val="0"/>
              <w:spacing w:before="40" w:after="40"/>
              <w:jc w:val="right"/>
              <w:rPr>
                <w:rFonts w:ascii="Calibri" w:eastAsia="SimSun" w:hAnsi="Calibri" w:cs="Arial"/>
                <w:bCs/>
                <w:color w:val="000000"/>
                <w:sz w:val="20"/>
                <w:szCs w:val="20"/>
                <w:highlight w:val="black"/>
                <w:lang w:eastAsia="zh-CN"/>
              </w:rPr>
            </w:pPr>
            <w:r>
              <w:rPr>
                <w:rFonts w:ascii="Calibri" w:eastAsia="SimSun" w:hAnsi="Calibri" w:cs="Arial"/>
                <w:bCs/>
                <w:noProof/>
                <w:color w:val="000000"/>
                <w:sz w:val="20"/>
                <w:szCs w:val="20"/>
                <w:highlight w:val="black"/>
                <w:lang w:eastAsia="zh-CN"/>
              </w:rPr>
              <w:t>''''''</w:t>
            </w:r>
          </w:p>
        </w:tc>
        <w:tc>
          <w:tcPr>
            <w:tcW w:w="1488" w:type="dxa"/>
            <w:vAlign w:val="center"/>
          </w:tcPr>
          <w:p w:rsidR="009C31E7" w:rsidRPr="005E775B" w:rsidRDefault="005E775B" w:rsidP="00FE1E40">
            <w:pPr>
              <w:keepNext/>
              <w:widowControl w:val="0"/>
              <w:autoSpaceDE w:val="0"/>
              <w:autoSpaceDN w:val="0"/>
              <w:adjustRightInd w:val="0"/>
              <w:spacing w:before="40" w:after="40"/>
              <w:jc w:val="right"/>
              <w:rPr>
                <w:rFonts w:ascii="Calibri" w:eastAsia="SimSun" w:hAnsi="Calibri" w:cs="Arial"/>
                <w:bCs/>
                <w:color w:val="000000"/>
                <w:sz w:val="20"/>
                <w:szCs w:val="20"/>
                <w:highlight w:val="black"/>
                <w:lang w:eastAsia="zh-CN"/>
              </w:rPr>
            </w:pPr>
            <w:r>
              <w:rPr>
                <w:rFonts w:ascii="Calibri" w:eastAsia="SimSun" w:hAnsi="Calibri" w:cs="Arial"/>
                <w:bCs/>
                <w:noProof/>
                <w:color w:val="000000"/>
                <w:sz w:val="20"/>
                <w:szCs w:val="20"/>
                <w:highlight w:val="black"/>
                <w:lang w:eastAsia="zh-CN"/>
              </w:rPr>
              <w:t>''''''</w:t>
            </w:r>
          </w:p>
        </w:tc>
      </w:tr>
    </w:tbl>
    <w:p w:rsidR="009C31E7" w:rsidRPr="005E775B" w:rsidRDefault="005E775B" w:rsidP="009C31E7">
      <w:pPr>
        <w:pStyle w:val="Notes"/>
        <w:rPr>
          <w:highlight w:val="black"/>
        </w:rPr>
      </w:pPr>
      <w:r>
        <w:rPr>
          <w:noProof/>
          <w:color w:val="000000"/>
          <w:highlight w:val="black"/>
        </w:rPr>
        <w:t>''''''''''''' '''''''''''''''''''' '''''''''' '''''''''''''''''''''' ''''''''''''''''''''' '''''''''' '''''''''''' ''''''''''' '''''''''''''''''''''''' '''''''''''' '''''''''''''' ''''''' ''''''''''''''' ''''''''</w:t>
      </w:r>
    </w:p>
    <w:p w:rsidR="007421F2" w:rsidRPr="005E775B" w:rsidRDefault="005E775B" w:rsidP="007421F2">
      <w:pPr>
        <w:rPr>
          <w:highlight w:val="black"/>
        </w:rPr>
      </w:pPr>
      <w:r>
        <w:rPr>
          <w:noProof/>
          <w:color w:val="000000"/>
          <w:highlight w:val="black"/>
        </w:rPr>
        <w:t>'''''''' '''''''''''''''''''' '''''' ''''''''' '''''''''' '''' ''''''''''''''''''''''''''''''' '''''''''''''''''' ''''''''''''''''' '''' ''''''''''''''''''''''' '''''''' '''''''' ''''''''' '''''' ''''''''''' ''''''''''' '''''''''''''''''''' ''''''' ''''''''''''''''' ''''' ''''''''''''''''''' '''''''''' '''''''''''''''' ''''' '' '''''''''''''' '''''''''' '''''''''''' '''''''''' '''' ''''''''''''' ''''''' '''''''''''''''''' '''''''''''''''' '''''''''''' '''''' '''''''''' '''''' '''''''''''''''''''''' ''''''''''''''''''</w:t>
      </w:r>
    </w:p>
    <w:p w:rsidR="007421F2" w:rsidRPr="005E775B" w:rsidRDefault="005E775B" w:rsidP="007421F2">
      <w:pPr>
        <w:rPr>
          <w:highlight w:val="black"/>
        </w:rPr>
      </w:pPr>
      <w:r>
        <w:rPr>
          <w:noProof/>
          <w:color w:val="000000"/>
          <w:highlight w:val="black"/>
        </w:rPr>
        <w:t>''''' ''''''' '''''''''''''''''''' '''''' ''''''' ''''''''' '''''''''''''''''''''''' '''''''''' ''''''' '''''''''''' ''''''' '''''''''''''''' ''''' '''''''''''''''''' '''''' '''''''''''''' '''''''' ''''''' '''''''' '''''''' ''''' '''''''''''''''' '''''''' ''''''' ''''''''''''''''' '''''''''' '''' '''''''''' ''''''''''' ''''''''''''''' '''''' ''''''''''''''' ''''' '''''''''''''''' ''''''''''''' '''''' '''''''''''''''''''''' '''''''''''''' '''' ''''''''''''''''''</w:t>
      </w:r>
    </w:p>
    <w:p w:rsidR="00242301" w:rsidRDefault="00242301">
      <w:pPr>
        <w:spacing w:line="276" w:lineRule="auto"/>
        <w:rPr>
          <w:b/>
        </w:rPr>
      </w:pPr>
      <w:r>
        <w:br w:type="page"/>
      </w:r>
    </w:p>
    <w:p w:rsidR="007421F2" w:rsidRPr="009E6353" w:rsidRDefault="00403745" w:rsidP="007421F2">
      <w:pPr>
        <w:pStyle w:val="Tabletitle"/>
      </w:pPr>
      <w:r>
        <w:lastRenderedPageBreak/>
        <w:t>Table 4</w:t>
      </w:r>
      <w:r w:rsidR="00C132CE">
        <w:t>1</w:t>
      </w:r>
      <w:r w:rsidR="007421F2">
        <w:t xml:space="preserve">: Aflibercept </w:t>
      </w:r>
      <w:r w:rsidR="007421F2" w:rsidRPr="009706F0">
        <w:t>actual versus predicted utilisation</w:t>
      </w:r>
      <w:r w:rsidR="007421F2">
        <w:t xml:space="preserve"> for DMO</w:t>
      </w:r>
    </w:p>
    <w:tbl>
      <w:tblPr>
        <w:tblW w:w="9080" w:type="dxa"/>
        <w:tblInd w:w="93" w:type="dxa"/>
        <w:tblLayout w:type="fixed"/>
        <w:tblLook w:val="04A0" w:firstRow="1" w:lastRow="0" w:firstColumn="1" w:lastColumn="0" w:noHBand="0" w:noVBand="1"/>
        <w:tblCaption w:val="Table 42"/>
        <w:tblDescription w:val="Aflibercept actual vs predicted for DMO"/>
      </w:tblPr>
      <w:tblGrid>
        <w:gridCol w:w="2425"/>
        <w:gridCol w:w="1331"/>
        <w:gridCol w:w="1331"/>
        <w:gridCol w:w="1331"/>
        <w:gridCol w:w="1331"/>
        <w:gridCol w:w="1331"/>
      </w:tblGrid>
      <w:tr w:rsidR="00A13524" w:rsidRPr="00A13524" w:rsidTr="00FE3668">
        <w:trPr>
          <w:trHeight w:val="300"/>
        </w:trPr>
        <w:tc>
          <w:tcPr>
            <w:tcW w:w="242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421F2" w:rsidRPr="00A13524" w:rsidRDefault="007421F2" w:rsidP="00FE3668">
            <w:pPr>
              <w:spacing w:after="0"/>
              <w:rPr>
                <w:rFonts w:ascii="Calibri" w:eastAsia="Times New Roman" w:hAnsi="Calibri" w:cs="Times New Roman"/>
                <w:b/>
                <w:bCs/>
                <w:sz w:val="20"/>
                <w:szCs w:val="20"/>
              </w:rPr>
            </w:pPr>
            <w:r w:rsidRPr="00A13524">
              <w:rPr>
                <w:rFonts w:ascii="Calibri" w:eastAsia="Times New Roman" w:hAnsi="Calibri" w:cs="Arial"/>
                <w:b/>
                <w:bCs/>
                <w:sz w:val="20"/>
                <w:szCs w:val="20"/>
              </w:rPr>
              <w:t> </w:t>
            </w:r>
          </w:p>
        </w:tc>
        <w:tc>
          <w:tcPr>
            <w:tcW w:w="1331" w:type="dxa"/>
            <w:tcBorders>
              <w:top w:val="single" w:sz="4" w:space="0" w:color="auto"/>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1</w:t>
            </w:r>
          </w:p>
        </w:tc>
        <w:tc>
          <w:tcPr>
            <w:tcW w:w="1331" w:type="dxa"/>
            <w:tcBorders>
              <w:top w:val="single" w:sz="4" w:space="0" w:color="auto"/>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2</w:t>
            </w:r>
          </w:p>
        </w:tc>
        <w:tc>
          <w:tcPr>
            <w:tcW w:w="1331" w:type="dxa"/>
            <w:tcBorders>
              <w:top w:val="single" w:sz="4" w:space="0" w:color="auto"/>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3</w:t>
            </w:r>
          </w:p>
        </w:tc>
        <w:tc>
          <w:tcPr>
            <w:tcW w:w="1331" w:type="dxa"/>
            <w:tcBorders>
              <w:top w:val="single" w:sz="4" w:space="0" w:color="auto"/>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4</w:t>
            </w:r>
          </w:p>
        </w:tc>
        <w:tc>
          <w:tcPr>
            <w:tcW w:w="1331" w:type="dxa"/>
            <w:tcBorders>
              <w:top w:val="single" w:sz="4" w:space="0" w:color="auto"/>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5</w:t>
            </w:r>
          </w:p>
        </w:tc>
      </w:tr>
      <w:tr w:rsidR="00A13524" w:rsidRPr="00A13524" w:rsidTr="00FE3668">
        <w:trPr>
          <w:trHeight w:val="300"/>
        </w:trPr>
        <w:tc>
          <w:tcPr>
            <w:tcW w:w="2425" w:type="dxa"/>
            <w:tcBorders>
              <w:top w:val="nil"/>
              <w:left w:val="single" w:sz="4" w:space="0" w:color="auto"/>
              <w:bottom w:val="single" w:sz="4" w:space="0" w:color="auto"/>
              <w:right w:val="single" w:sz="4" w:space="0" w:color="auto"/>
            </w:tcBorders>
            <w:shd w:val="clear" w:color="000000" w:fill="BFBFBF"/>
            <w:vAlign w:val="center"/>
            <w:hideMark/>
          </w:tcPr>
          <w:p w:rsidR="007421F2" w:rsidRPr="00A13524" w:rsidRDefault="007421F2" w:rsidP="00FE3668">
            <w:pPr>
              <w:spacing w:after="0"/>
              <w:rPr>
                <w:rFonts w:ascii="Calibri" w:eastAsia="Times New Roman" w:hAnsi="Calibri" w:cs="Times New Roman"/>
                <w:b/>
                <w:bCs/>
                <w:sz w:val="20"/>
                <w:szCs w:val="20"/>
              </w:rPr>
            </w:pPr>
            <w:r w:rsidRPr="00A13524">
              <w:rPr>
                <w:rFonts w:ascii="Calibri" w:eastAsia="Times New Roman" w:hAnsi="Calibri" w:cs="Arial"/>
                <w:b/>
                <w:bCs/>
                <w:sz w:val="20"/>
                <w:szCs w:val="20"/>
              </w:rPr>
              <w:t> </w:t>
            </w:r>
          </w:p>
        </w:tc>
        <w:tc>
          <w:tcPr>
            <w:tcW w:w="1331" w:type="dxa"/>
            <w:tcBorders>
              <w:top w:val="nil"/>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2015</w:t>
            </w:r>
          </w:p>
        </w:tc>
        <w:tc>
          <w:tcPr>
            <w:tcW w:w="1331" w:type="dxa"/>
            <w:tcBorders>
              <w:top w:val="nil"/>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2016</w:t>
            </w:r>
          </w:p>
        </w:tc>
        <w:tc>
          <w:tcPr>
            <w:tcW w:w="1331" w:type="dxa"/>
            <w:tcBorders>
              <w:top w:val="nil"/>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2017</w:t>
            </w:r>
          </w:p>
        </w:tc>
        <w:tc>
          <w:tcPr>
            <w:tcW w:w="1331" w:type="dxa"/>
            <w:tcBorders>
              <w:top w:val="nil"/>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2018</w:t>
            </w:r>
          </w:p>
        </w:tc>
        <w:tc>
          <w:tcPr>
            <w:tcW w:w="1331" w:type="dxa"/>
            <w:tcBorders>
              <w:top w:val="nil"/>
              <w:left w:val="nil"/>
              <w:bottom w:val="single" w:sz="4" w:space="0" w:color="auto"/>
              <w:right w:val="single" w:sz="4" w:space="0" w:color="auto"/>
            </w:tcBorders>
            <w:shd w:val="clear" w:color="000000" w:fill="BFBFBF"/>
            <w:noWrap/>
            <w:vAlign w:val="center"/>
            <w:hideMark/>
          </w:tcPr>
          <w:p w:rsidR="007421F2" w:rsidRPr="00A13524" w:rsidRDefault="007421F2" w:rsidP="00FE3668">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2019</w:t>
            </w:r>
          </w:p>
        </w:tc>
      </w:tr>
      <w:tr w:rsidR="00A13524" w:rsidRPr="00A13524" w:rsidTr="00FE3668">
        <w:trPr>
          <w:trHeight w:val="456"/>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7421F2" w:rsidRPr="00A13524" w:rsidRDefault="007421F2" w:rsidP="002C76DC">
            <w:pPr>
              <w:spacing w:after="0"/>
              <w:rPr>
                <w:rFonts w:ascii="Calibri" w:eastAsia="Times New Roman" w:hAnsi="Calibri" w:cs="Times New Roman"/>
                <w:sz w:val="20"/>
                <w:szCs w:val="20"/>
              </w:rPr>
            </w:pPr>
            <w:r w:rsidRPr="00A13524">
              <w:rPr>
                <w:rFonts w:ascii="Calibri" w:eastAsia="Times New Roman" w:hAnsi="Calibri" w:cs="Arial"/>
                <w:bCs/>
                <w:sz w:val="20"/>
                <w:szCs w:val="20"/>
              </w:rPr>
              <w:t xml:space="preserve">Predicted </w:t>
            </w:r>
            <w:r w:rsidR="002C76DC" w:rsidRPr="00A13524">
              <w:rPr>
                <w:rFonts w:ascii="Calibri" w:eastAsia="Times New Roman" w:hAnsi="Calibri" w:cs="Arial"/>
                <w:bCs/>
                <w:sz w:val="20"/>
                <w:szCs w:val="20"/>
              </w:rPr>
              <w:t xml:space="preserve">treated </w:t>
            </w:r>
            <w:r w:rsidRPr="00A13524">
              <w:rPr>
                <w:rFonts w:ascii="Calibri" w:eastAsia="Times New Roman" w:hAnsi="Calibri" w:cs="Arial"/>
                <w:bCs/>
                <w:sz w:val="20"/>
                <w:szCs w:val="20"/>
              </w:rPr>
              <w:t>DMO patients</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FE3668">
        <w:trPr>
          <w:trHeight w:val="666"/>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Arial"/>
                <w:bCs/>
                <w:sz w:val="20"/>
                <w:szCs w:val="20"/>
              </w:rPr>
              <w:t>Actual total treated DMO patients</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3,990</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8,326</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11,716</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r>
      <w:tr w:rsidR="00A13524" w:rsidRPr="00A13524" w:rsidTr="00FE3668">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5E775B" w:rsidRDefault="005E775B" w:rsidP="00FE3668">
            <w:pPr>
              <w:spacing w:after="0"/>
              <w:jc w:val="right"/>
              <w:rPr>
                <w:rFonts w:ascii="Calibri" w:eastAsia="Times New Roman" w:hAnsi="Calibri" w:cs="Times New Roman"/>
                <w:sz w:val="20"/>
                <w:szCs w:val="20"/>
                <w:highlight w:val="black"/>
              </w:rPr>
            </w:pPr>
            <w:r>
              <w:rPr>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5E775B" w:rsidRDefault="005E775B" w:rsidP="00FE3668">
            <w:pPr>
              <w:spacing w:after="0"/>
              <w:jc w:val="right"/>
              <w:rPr>
                <w:rFonts w:ascii="Calibri" w:eastAsia="Times New Roman" w:hAnsi="Calibri" w:cs="Times New Roman"/>
                <w:sz w:val="20"/>
                <w:szCs w:val="20"/>
                <w:highlight w:val="black"/>
              </w:rPr>
            </w:pPr>
            <w:r>
              <w:rPr>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5E775B" w:rsidRDefault="005E775B" w:rsidP="00FE3668">
            <w:pPr>
              <w:spacing w:after="0"/>
              <w:jc w:val="right"/>
              <w:rPr>
                <w:rFonts w:ascii="Calibri" w:eastAsia="Times New Roman" w:hAnsi="Calibri" w:cs="Times New Roman"/>
                <w:sz w:val="20"/>
                <w:szCs w:val="20"/>
                <w:highlight w:val="black"/>
              </w:rPr>
            </w:pPr>
            <w:r>
              <w:rPr>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31" w:type="dxa"/>
            <w:tcBorders>
              <w:top w:val="nil"/>
              <w:left w:val="nil"/>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r>
      <w:tr w:rsidR="00A13524" w:rsidRPr="00A13524" w:rsidTr="00FE3668">
        <w:trPr>
          <w:trHeight w:val="534"/>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Arial"/>
                <w:bCs/>
                <w:sz w:val="20"/>
                <w:szCs w:val="20"/>
              </w:rPr>
              <w:t>Utilisation estimates - total injections</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5E775B" w:rsidRDefault="005E775B" w:rsidP="00FE3668">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FE3668">
        <w:trPr>
          <w:trHeight w:val="542"/>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Arial"/>
                <w:bCs/>
                <w:sz w:val="20"/>
                <w:szCs w:val="20"/>
              </w:rPr>
              <w:t>Actual total injections for DMO (including dexamethasone)</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15,720</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56,506</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72,605</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7421F2" w:rsidRPr="00A13524" w:rsidRDefault="007421F2" w:rsidP="00FE3668">
            <w:pPr>
              <w:spacing w:after="0"/>
              <w:jc w:val="right"/>
              <w:rPr>
                <w:rFonts w:ascii="Calibri" w:eastAsia="Times New Roman" w:hAnsi="Calibri" w:cs="Times New Roman"/>
                <w:sz w:val="20"/>
                <w:szCs w:val="20"/>
              </w:rPr>
            </w:pPr>
            <w:r w:rsidRPr="00A13524">
              <w:rPr>
                <w:rFonts w:ascii="Calibri" w:eastAsia="Times New Roman" w:hAnsi="Calibri" w:cs="Arial"/>
                <w:bCs/>
                <w:sz w:val="20"/>
                <w:szCs w:val="20"/>
              </w:rPr>
              <w:t> </w:t>
            </w:r>
          </w:p>
        </w:tc>
      </w:tr>
      <w:tr w:rsidR="00A13524" w:rsidRPr="00A13524" w:rsidTr="00FE3668">
        <w:trPr>
          <w:trHeight w:val="300"/>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5E775B" w:rsidRDefault="005E775B" w:rsidP="00FE3668">
            <w:pPr>
              <w:spacing w:after="0"/>
              <w:jc w:val="right"/>
              <w:rPr>
                <w:rFonts w:ascii="Calibri" w:eastAsia="Times New Roman" w:hAnsi="Calibri" w:cs="Times New Roman"/>
                <w:sz w:val="20"/>
                <w:szCs w:val="20"/>
                <w:highlight w:val="black"/>
              </w:rPr>
            </w:pPr>
            <w:r>
              <w:rPr>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5E775B" w:rsidRDefault="005E775B" w:rsidP="00FE3668">
            <w:pPr>
              <w:spacing w:after="0"/>
              <w:jc w:val="right"/>
              <w:rPr>
                <w:rFonts w:ascii="Calibri" w:eastAsia="Times New Roman" w:hAnsi="Calibri" w:cs="Times New Roman"/>
                <w:sz w:val="20"/>
                <w:szCs w:val="20"/>
                <w:highlight w:val="black"/>
              </w:rPr>
            </w:pPr>
            <w:r>
              <w:rPr>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5E775B" w:rsidRDefault="005E775B" w:rsidP="00FE3668">
            <w:pPr>
              <w:spacing w:after="0"/>
              <w:jc w:val="right"/>
              <w:rPr>
                <w:rFonts w:ascii="Calibri" w:eastAsia="Times New Roman" w:hAnsi="Calibri" w:cs="Times New Roman"/>
                <w:sz w:val="20"/>
                <w:szCs w:val="20"/>
                <w:highlight w:val="black"/>
              </w:rPr>
            </w:pPr>
            <w:r>
              <w:rPr>
                <w:noProof/>
                <w:color w:val="000000"/>
                <w:sz w:val="20"/>
                <w:szCs w:val="20"/>
                <w:highlight w:val="black"/>
              </w:rPr>
              <w:t>'''''''''</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7421F2" w:rsidRPr="00A13524" w:rsidRDefault="007421F2" w:rsidP="00FE3668">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r>
    </w:tbl>
    <w:p w:rsidR="00A85FD0" w:rsidRPr="005E775B" w:rsidRDefault="005E775B" w:rsidP="00A85FD0">
      <w:pPr>
        <w:pStyle w:val="Notes"/>
        <w:rPr>
          <w:highlight w:val="black"/>
        </w:rPr>
      </w:pPr>
      <w:r>
        <w:rPr>
          <w:noProof/>
          <w:color w:val="000000"/>
          <w:highlight w:val="black"/>
        </w:rPr>
        <w:t>''''''''''''''' ''''''''''''''''''''''' '''''''''' ''''''''''''''''''''''' '''''''''''''''''''' '''''''''' '''''''''' ''''''''' ''''''''''''''''''''''''' ''''''''''' '''''''''''''''' '''''''</w:t>
      </w:r>
    </w:p>
    <w:p w:rsidR="007421F2" w:rsidRPr="005E775B" w:rsidRDefault="005E775B" w:rsidP="007421F2">
      <w:pPr>
        <w:rPr>
          <w:highlight w:val="black"/>
        </w:rPr>
      </w:pPr>
      <w:r>
        <w:rPr>
          <w:noProof/>
          <w:color w:val="000000"/>
          <w:highlight w:val="black"/>
        </w:rPr>
        <w:t xml:space="preserve">'''''''''''''' ''''''' '''''''''''''''''''''' '''' '''''''''''''' '''''''''''''' ''''' '''''''''' '''''''''' '''''''''''''''''''''''''''' '''''' '''''''''''''''''''' ''''''''' '''''''' ''''' '''''''''''''''''''''''''' '''' '''''''' '''''' '''''''''''' ''''''''''''''''''' '''''''''''''''''''''' '''' '''''''''''' '''''''''' '''''''''''''' ''''''' ''''''''''''''' '''''''''''''''''' '''''''''''''''' '''''''''''''''' '''''''''''''' ''''' '''''''' '''''''''''''' '''''''''''  ''''''' ''''''''''''''''' ''''' '''''''''''''''''''' ''''''''''''''''' ''''''' '''''''' '''''''''''''''''''''''' '''' ''' '''''''''' '''' '''''''' </w:t>
      </w:r>
    </w:p>
    <w:p w:rsidR="007421F2" w:rsidRPr="005E775B" w:rsidRDefault="005E775B" w:rsidP="007421F2">
      <w:pPr>
        <w:rPr>
          <w:highlight w:val="black"/>
        </w:rPr>
      </w:pPr>
      <w:r>
        <w:rPr>
          <w:noProof/>
          <w:color w:val="000000"/>
          <w:highlight w:val="black"/>
        </w:rPr>
        <w:t>'''''''' '''''''''''''''''''' ''''''''''''''''' ''''''''''''' '''' ''''''''''''''''' ''''''''''''' ''''''''''''''' ''''''''''''''''' '''''''''''''''''''' '''''''''''' ''''' '''''''' '''''' ''''''''''' '''''' '''''''''''''''''''''' ''''' ''''''''''''''''''''''''' '''''''''''''''''''' ''''''''' '' ''''''''''''''''' '''' '''''''' ''''''' ''''''''' ''''''''''''''''''''''''' ''''''''' '''''' '''''' ''''''''''''''''''''' ''''''''''''''' ''''''''' '''''''''''' '''''''' '''''''' ''''''' '''' ''''''''''''''' ''''''''' ''''''''''''''''' ''''''''''''' '''' ''''''''' '''''''''''' ''''''''' '''''' '''''''' ''''' ''''''''''''''''''''''''' '''''''''''''''''' ''''''''' '' '''''''''''''''' '''' ''''''''' '''''''' '''' '''''''''''''''' ''''''''''' ''''''''''''''' ''' ''''''''''''''''' '''''''' ''''' ''''''''''''''''' ''''''''' ''''' ''''''''''' ''''''''''''''' '''' '''''''''' ''''''''' '''''' '''''''' '''''''' '''''''' '''''''''''''''' ''''''''''''''''''' ''''''''''' '''''''''''''''</w:t>
      </w:r>
    </w:p>
    <w:p w:rsidR="007421F2" w:rsidRPr="005E775B" w:rsidRDefault="005E775B" w:rsidP="007421F2">
      <w:pPr>
        <w:rPr>
          <w:highlight w:val="black"/>
        </w:rPr>
      </w:pPr>
      <w:r>
        <w:rPr>
          <w:noProof/>
          <w:color w:val="000000"/>
          <w:highlight w:val="black"/>
        </w:rPr>
        <w:t>'''''' '''''''''''''''''''' '''''''''''''''''''''' '''''''''''''''''''' '''''''''''''''''' ''''''''''''' ''''''''''''''' '''''' '''''''''''''''''''' '''''' '''''''' ''''''''''''''''''' '''''''''''''''' '''' ''''''' ''''''''''''''''' '''''''''''''''''' '''''''' '''' '''''''''''' ''' ''''''''''''''''''' ''''''''''''''''''' '''''''''''' ''''''''''''' '''''''' ''''''''''''''''''' '''''' '''''''''''''' ''' '''''''''' '''''''' '''''''' ''''' '''''''''''''''''''' '''''''' '''''''''' '''''''''''''''' ''''''''''''' '''''''''''''''' '''''''' ''''''''''''''''' '''' '''''''''' '''''''''''''''''' '''' '''''''''' ''''''''''''''''' ''''''''' ''''''''''''''''''' ''' '''''''''' ''''''' '''''''' '''' ''''''''''''''''''' '''''''' '''''''''''''' ''''''''' '''''''''''''''' ''' '''''''''' '''''''''''''''' ''''''''' ''''''''''''''''' '''''' '''''''''''''''</w:t>
      </w:r>
    </w:p>
    <w:p w:rsidR="008D6F56" w:rsidRDefault="008D6F56" w:rsidP="00242301">
      <w:pPr>
        <w:pStyle w:val="Heading3"/>
      </w:pPr>
      <w:bookmarkStart w:id="56" w:name="_Toc513038054"/>
      <w:r>
        <w:t>Dexamethasone – DMO</w:t>
      </w:r>
      <w:bookmarkEnd w:id="56"/>
    </w:p>
    <w:p w:rsidR="009C31E7" w:rsidRDefault="009C31E7" w:rsidP="009C31E7">
      <w:r>
        <w:t xml:space="preserve">The submission for dexamethasone implant for DMO used an epidemiological approach to estimate its use. </w:t>
      </w:r>
      <w:r w:rsidR="005E775B">
        <w:rPr>
          <w:noProof/>
          <w:color w:val="000000"/>
          <w:highlight w:val="black"/>
        </w:rPr>
        <w:t>''' ''''''''''''''''''' '''''' ''''''''''''''''''' ''''''''''''''''''''' '''''''''''''''''''''' '''''''' '''''''''''''''''' '''''''''''''''' '''' '''''''''''''' '''''' '''''''''''''''''''''' '''' ''''''''''''''' '''''''''''''' '''''''' '''''''''''''''''''''''''''''' ''''''''''' '''' '''''''''' ''''''' '''''' '''''''''''''''''''''' '''' '''''''''' '''''''''''''''' ''''''''' ''''''''''''''''''''''''''' '''' '''''''' ''' ''''''''''''''''' ''''' '''''''''''''' ''''''' '''' ''''''''' '''' '''''' '''''''' '''''''' ''''' ''''''''''''' '''''''''''''''''''' '''' '''''''' '''' ''''''' '''''''' ''''''''' '''' '''''''''''' '''' ''''''''''''''' ''' ''''''''''''''''''''''''''''''' '''''''' '''' '''''''''''' '''' ''''''''' ''''''''''''' '''' '''''''''''''''' '''' ''''''''' ''''''''' ''''''' ''''''''''''''''''''' '''''' ''''''' ''''''''''''''' '''''' '''''''' ''''' ''''''''' '''''''''''' '''''''' ''''''''''' '''''''''''''''''''''' ''''' '''''' ''''''''''''''''''''''''''' '''' ''''''''' ''''''''''''''''''''' '''''''''''''''''' '''''' ''''''''''''''''''' '''''''' '''''''''' '''''''''''''''''' ''''' ''''''' ''''''''''' '''''''''' ''''''''''''''''''''' '''''''' ''''''''' '''''''''''''''''</w:t>
      </w:r>
    </w:p>
    <w:p w:rsidR="009C31E7" w:rsidRDefault="009C31E7" w:rsidP="009C31E7">
      <w:r>
        <w:lastRenderedPageBreak/>
        <w:t>It estimated patients in the first year of treatment would have 2.76 treatments per year, patients in the second year of treatment would have 1.92 treatments per year, and patients in the third to fifth years of treatment would have 1.8 treatments per year.</w:t>
      </w:r>
    </w:p>
    <w:p w:rsidR="008D6F56" w:rsidRPr="008D6F56" w:rsidRDefault="008D6F56" w:rsidP="00E01B63">
      <w:r w:rsidRPr="008D6F56">
        <w:t>A detailed predicted versus actual analysis of dexamethasone was not undertaken as it has only been listed on the PBS since 1 November 2016 and has a comparatively small market share. The results section provides some information about utilisation of dexamethasone to assist in interpretation of the overall utilisation of medicines for DMO.</w:t>
      </w:r>
    </w:p>
    <w:p w:rsidR="00E01B63" w:rsidRPr="009706F0" w:rsidRDefault="00E01B63" w:rsidP="00242301">
      <w:pPr>
        <w:pStyle w:val="Heading3"/>
      </w:pPr>
      <w:bookmarkStart w:id="57" w:name="_Toc513038055"/>
      <w:r w:rsidRPr="009706F0">
        <w:t xml:space="preserve">Ranibizumab </w:t>
      </w:r>
      <w:r>
        <w:t>- RVO</w:t>
      </w:r>
      <w:bookmarkEnd w:id="57"/>
    </w:p>
    <w:p w:rsidR="009C31E7" w:rsidRDefault="009C31E7" w:rsidP="009C31E7">
      <w:r>
        <w:t>The submission for ranibizumab for RVO used an epidemiological approach to estimate the use of ranibizumab for CRVO and BRVO. It applied incidence and prevalence rates from the</w:t>
      </w:r>
      <w:r w:rsidRPr="00B91555">
        <w:t xml:space="preserve"> Blue Mountains Eye Study 2010</w:t>
      </w:r>
      <w:r>
        <w:t xml:space="preserve"> to the estimated Australian population aged 40 and older. The submission assumed</w:t>
      </w:r>
      <w:r w:rsidRPr="006E40E0">
        <w:t xml:space="preserve"> </w:t>
      </w:r>
      <w:r>
        <w:t xml:space="preserve">different proportions of BRVO and CRVO patients would have visual impairment (Prevalent: BRVO: 35.7%, CRVO: </w:t>
      </w:r>
      <w:r w:rsidRPr="006E40E0">
        <w:t>75%</w:t>
      </w:r>
      <w:r>
        <w:t>; Incident: BRVO: 12.5%, CRVO: 55.6</w:t>
      </w:r>
      <w:r w:rsidRPr="006E40E0">
        <w:t>%</w:t>
      </w:r>
      <w:r>
        <w:t>).</w:t>
      </w:r>
    </w:p>
    <w:p w:rsidR="009C31E7" w:rsidRDefault="009C31E7" w:rsidP="009C31E7">
      <w:r>
        <w:t>The submission applied a bilateral treatment rate of 5% to the estimates for BRVO and CRVO. The submission stated the clinical trials did not capture the rate of bilateral treatment, so this assumption was based on clinician feedback.</w:t>
      </w:r>
    </w:p>
    <w:p w:rsidR="009C31E7" w:rsidRDefault="009C31E7" w:rsidP="009C31E7">
      <w:r w:rsidRPr="006E40E0">
        <w:t>The</w:t>
      </w:r>
      <w:r>
        <w:t xml:space="preserve"> response rates were estimated from the BRAVO and CRUISE trials, the continuation rates were estimated from the number of patients continu</w:t>
      </w:r>
      <w:r w:rsidRPr="009B6544">
        <w:t>ing from BRAVO/CRUISE to HORIZON extension study</w:t>
      </w:r>
      <w:r>
        <w:t>, and</w:t>
      </w:r>
      <w:r w:rsidRPr="006E40E0">
        <w:t xml:space="preserve"> </w:t>
      </w:r>
      <w:r>
        <w:t xml:space="preserve">the </w:t>
      </w:r>
      <w:r w:rsidRPr="006E40E0">
        <w:t>average number</w:t>
      </w:r>
      <w:r>
        <w:t>s</w:t>
      </w:r>
      <w:r w:rsidRPr="006E40E0">
        <w:t xml:space="preserve"> of injections </w:t>
      </w:r>
      <w:r>
        <w:t>were also</w:t>
      </w:r>
      <w:r w:rsidRPr="006E40E0">
        <w:t xml:space="preserve"> estimated from the </w:t>
      </w:r>
      <w:r>
        <w:t>BRAVO and CRUISE trials</w:t>
      </w:r>
      <w:r w:rsidRPr="006E40E0">
        <w:t>.</w:t>
      </w:r>
    </w:p>
    <w:p w:rsidR="009C31E7" w:rsidRDefault="009C31E7" w:rsidP="009C31E7">
      <w:pPr>
        <w:pStyle w:val="Tabletitle"/>
        <w:keepNext/>
      </w:pPr>
      <w:r>
        <w:t xml:space="preserve">Table </w:t>
      </w:r>
      <w:r w:rsidR="00403745">
        <w:t>4</w:t>
      </w:r>
      <w:r w:rsidR="00C132CE">
        <w:t>2</w:t>
      </w:r>
      <w:r>
        <w:t>: Continuation rates and predicted number of injections administered per patient of ranibizumab for RVO</w:t>
      </w:r>
    </w:p>
    <w:tbl>
      <w:tblPr>
        <w:tblStyle w:val="TableGrid"/>
        <w:tblW w:w="0" w:type="auto"/>
        <w:tblLook w:val="04A0" w:firstRow="1" w:lastRow="0" w:firstColumn="1" w:lastColumn="0" w:noHBand="0" w:noVBand="1"/>
        <w:tblCaption w:val="Table 43"/>
        <w:tblDescription w:val="Continuation rates for ranibizumab for RVO"/>
      </w:tblPr>
      <w:tblGrid>
        <w:gridCol w:w="4520"/>
        <w:gridCol w:w="1180"/>
        <w:gridCol w:w="1180"/>
      </w:tblGrid>
      <w:tr w:rsidR="009C31E7" w:rsidRPr="006E40E0" w:rsidTr="00C13B9C">
        <w:trPr>
          <w:trHeight w:val="255"/>
          <w:tblHeader/>
        </w:trPr>
        <w:tc>
          <w:tcPr>
            <w:tcW w:w="4520" w:type="dxa"/>
            <w:shd w:val="clear" w:color="auto" w:fill="BFBFBF" w:themeFill="background1" w:themeFillShade="BF"/>
            <w:noWrap/>
            <w:hideMark/>
          </w:tcPr>
          <w:p w:rsidR="009C31E7" w:rsidRPr="006E40E0" w:rsidRDefault="009C31E7" w:rsidP="00FE1E40">
            <w:pPr>
              <w:keepNext/>
              <w:rPr>
                <w:sz w:val="20"/>
                <w:szCs w:val="20"/>
              </w:rPr>
            </w:pPr>
            <w:r w:rsidRPr="006E40E0">
              <w:rPr>
                <w:sz w:val="20"/>
                <w:szCs w:val="20"/>
              </w:rPr>
              <w:t> </w:t>
            </w:r>
          </w:p>
        </w:tc>
        <w:tc>
          <w:tcPr>
            <w:tcW w:w="2360" w:type="dxa"/>
            <w:gridSpan w:val="2"/>
            <w:shd w:val="clear" w:color="auto" w:fill="BFBFBF" w:themeFill="background1" w:themeFillShade="BF"/>
            <w:noWrap/>
            <w:hideMark/>
          </w:tcPr>
          <w:p w:rsidR="009C31E7" w:rsidRPr="006E40E0" w:rsidRDefault="009C31E7" w:rsidP="00FE1E40">
            <w:pPr>
              <w:keepNext/>
              <w:rPr>
                <w:b/>
                <w:bCs/>
                <w:sz w:val="20"/>
                <w:szCs w:val="20"/>
              </w:rPr>
            </w:pPr>
            <w:r>
              <w:rPr>
                <w:b/>
                <w:bCs/>
                <w:sz w:val="20"/>
                <w:szCs w:val="20"/>
              </w:rPr>
              <w:t>Injections/patient</w:t>
            </w:r>
          </w:p>
        </w:tc>
      </w:tr>
      <w:tr w:rsidR="009C31E7" w:rsidRPr="006E40E0" w:rsidTr="00FE1E40">
        <w:trPr>
          <w:trHeight w:val="255"/>
        </w:trPr>
        <w:tc>
          <w:tcPr>
            <w:tcW w:w="4520" w:type="dxa"/>
            <w:shd w:val="clear" w:color="auto" w:fill="BFBFBF" w:themeFill="background1" w:themeFillShade="BF"/>
            <w:noWrap/>
            <w:hideMark/>
          </w:tcPr>
          <w:p w:rsidR="009C31E7" w:rsidRPr="006E40E0" w:rsidRDefault="009C31E7" w:rsidP="00FE1E40">
            <w:pPr>
              <w:rPr>
                <w:sz w:val="20"/>
                <w:szCs w:val="20"/>
              </w:rPr>
            </w:pPr>
            <w:r w:rsidRPr="006E40E0">
              <w:rPr>
                <w:sz w:val="20"/>
                <w:szCs w:val="20"/>
              </w:rPr>
              <w:t> </w:t>
            </w:r>
          </w:p>
        </w:tc>
        <w:tc>
          <w:tcPr>
            <w:tcW w:w="1180" w:type="dxa"/>
            <w:shd w:val="clear" w:color="auto" w:fill="BFBFBF" w:themeFill="background1" w:themeFillShade="BF"/>
            <w:noWrap/>
            <w:hideMark/>
          </w:tcPr>
          <w:p w:rsidR="009C31E7" w:rsidRPr="006E40E0" w:rsidRDefault="009C31E7" w:rsidP="00FE1E40">
            <w:pPr>
              <w:rPr>
                <w:b/>
                <w:bCs/>
                <w:sz w:val="20"/>
                <w:szCs w:val="20"/>
              </w:rPr>
            </w:pPr>
            <w:r w:rsidRPr="006E40E0">
              <w:rPr>
                <w:b/>
                <w:bCs/>
                <w:sz w:val="20"/>
                <w:szCs w:val="20"/>
              </w:rPr>
              <w:t>BRVO</w:t>
            </w:r>
          </w:p>
        </w:tc>
        <w:tc>
          <w:tcPr>
            <w:tcW w:w="1180" w:type="dxa"/>
            <w:shd w:val="clear" w:color="auto" w:fill="BFBFBF" w:themeFill="background1" w:themeFillShade="BF"/>
            <w:noWrap/>
            <w:hideMark/>
          </w:tcPr>
          <w:p w:rsidR="009C31E7" w:rsidRPr="006E40E0" w:rsidRDefault="009C31E7" w:rsidP="00FE1E40">
            <w:pPr>
              <w:rPr>
                <w:b/>
                <w:bCs/>
                <w:sz w:val="20"/>
                <w:szCs w:val="20"/>
              </w:rPr>
            </w:pPr>
            <w:r w:rsidRPr="006E40E0">
              <w:rPr>
                <w:b/>
                <w:bCs/>
                <w:sz w:val="20"/>
                <w:szCs w:val="20"/>
              </w:rPr>
              <w:t>CRVO</w:t>
            </w:r>
          </w:p>
        </w:tc>
      </w:tr>
      <w:tr w:rsidR="009C31E7" w:rsidRPr="006E40E0" w:rsidTr="00FE1E40">
        <w:trPr>
          <w:trHeight w:val="255"/>
        </w:trPr>
        <w:tc>
          <w:tcPr>
            <w:tcW w:w="4520" w:type="dxa"/>
            <w:noWrap/>
          </w:tcPr>
          <w:p w:rsidR="009C31E7" w:rsidRPr="009B6544" w:rsidRDefault="009C31E7" w:rsidP="00FE1E40">
            <w:pPr>
              <w:rPr>
                <w:sz w:val="20"/>
                <w:szCs w:val="20"/>
              </w:rPr>
            </w:pPr>
            <w:r w:rsidRPr="009B6544">
              <w:rPr>
                <w:sz w:val="20"/>
                <w:szCs w:val="20"/>
              </w:rPr>
              <w:t>Response rate to initial therapy</w:t>
            </w:r>
          </w:p>
        </w:tc>
        <w:tc>
          <w:tcPr>
            <w:tcW w:w="1180" w:type="dxa"/>
            <w:noWrap/>
          </w:tcPr>
          <w:p w:rsidR="009C31E7" w:rsidRPr="009B6544" w:rsidRDefault="009C31E7" w:rsidP="00FE1E40">
            <w:pPr>
              <w:rPr>
                <w:sz w:val="20"/>
                <w:szCs w:val="20"/>
              </w:rPr>
            </w:pPr>
            <w:r w:rsidRPr="009B6544">
              <w:rPr>
                <w:sz w:val="20"/>
                <w:szCs w:val="20"/>
              </w:rPr>
              <w:t>60.3%</w:t>
            </w:r>
          </w:p>
        </w:tc>
        <w:tc>
          <w:tcPr>
            <w:tcW w:w="1180" w:type="dxa"/>
            <w:noWrap/>
          </w:tcPr>
          <w:p w:rsidR="009C31E7" w:rsidRPr="009B6544" w:rsidRDefault="009C31E7" w:rsidP="00FE1E40">
            <w:pPr>
              <w:rPr>
                <w:sz w:val="20"/>
                <w:szCs w:val="20"/>
              </w:rPr>
            </w:pPr>
            <w:r w:rsidRPr="009B6544">
              <w:rPr>
                <w:sz w:val="20"/>
                <w:szCs w:val="20"/>
              </w:rPr>
              <w:t>50.8%</w:t>
            </w:r>
          </w:p>
        </w:tc>
      </w:tr>
      <w:tr w:rsidR="009C31E7" w:rsidRPr="006E40E0" w:rsidTr="00FE1E40">
        <w:trPr>
          <w:trHeight w:val="255"/>
        </w:trPr>
        <w:tc>
          <w:tcPr>
            <w:tcW w:w="4520" w:type="dxa"/>
            <w:noWrap/>
          </w:tcPr>
          <w:p w:rsidR="009C31E7" w:rsidRPr="009B6544" w:rsidRDefault="009C31E7" w:rsidP="00FE1E40">
            <w:pPr>
              <w:rPr>
                <w:sz w:val="20"/>
                <w:szCs w:val="20"/>
              </w:rPr>
            </w:pPr>
            <w:r w:rsidRPr="009B6544">
              <w:rPr>
                <w:sz w:val="20"/>
                <w:szCs w:val="20"/>
              </w:rPr>
              <w:t>Proportion continuing into Yr 2</w:t>
            </w:r>
          </w:p>
        </w:tc>
        <w:tc>
          <w:tcPr>
            <w:tcW w:w="1180" w:type="dxa"/>
            <w:noWrap/>
          </w:tcPr>
          <w:p w:rsidR="009C31E7" w:rsidRPr="009B6544" w:rsidRDefault="009C31E7" w:rsidP="00FE1E40">
            <w:pPr>
              <w:rPr>
                <w:sz w:val="20"/>
                <w:szCs w:val="20"/>
              </w:rPr>
            </w:pPr>
            <w:r w:rsidRPr="009B6544">
              <w:rPr>
                <w:sz w:val="20"/>
                <w:szCs w:val="20"/>
              </w:rPr>
              <w:t>63%</w:t>
            </w:r>
          </w:p>
        </w:tc>
        <w:tc>
          <w:tcPr>
            <w:tcW w:w="1180" w:type="dxa"/>
            <w:noWrap/>
          </w:tcPr>
          <w:p w:rsidR="009C31E7" w:rsidRPr="009B6544" w:rsidRDefault="009C31E7" w:rsidP="00FE1E40">
            <w:pPr>
              <w:rPr>
                <w:sz w:val="20"/>
                <w:szCs w:val="20"/>
              </w:rPr>
            </w:pPr>
            <w:r w:rsidRPr="009B6544">
              <w:rPr>
                <w:sz w:val="20"/>
                <w:szCs w:val="20"/>
              </w:rPr>
              <w:t>79%</w:t>
            </w:r>
          </w:p>
        </w:tc>
      </w:tr>
      <w:tr w:rsidR="009C31E7" w:rsidRPr="006E40E0" w:rsidTr="00FE1E40">
        <w:trPr>
          <w:trHeight w:val="255"/>
        </w:trPr>
        <w:tc>
          <w:tcPr>
            <w:tcW w:w="4520" w:type="dxa"/>
            <w:noWrap/>
          </w:tcPr>
          <w:p w:rsidR="009C31E7" w:rsidRPr="009B6544" w:rsidRDefault="009C31E7" w:rsidP="00FE1E40">
            <w:pPr>
              <w:rPr>
                <w:sz w:val="20"/>
                <w:szCs w:val="20"/>
              </w:rPr>
            </w:pPr>
            <w:r w:rsidRPr="009B6544">
              <w:rPr>
                <w:sz w:val="20"/>
                <w:szCs w:val="20"/>
              </w:rPr>
              <w:t>Proportion continuing on therapy into Yr 3</w:t>
            </w:r>
          </w:p>
        </w:tc>
        <w:tc>
          <w:tcPr>
            <w:tcW w:w="1180" w:type="dxa"/>
            <w:noWrap/>
          </w:tcPr>
          <w:p w:rsidR="009C31E7" w:rsidRPr="009B6544" w:rsidRDefault="009C31E7" w:rsidP="00FE1E40">
            <w:pPr>
              <w:rPr>
                <w:sz w:val="20"/>
                <w:szCs w:val="20"/>
              </w:rPr>
            </w:pPr>
            <w:r w:rsidRPr="009B6544">
              <w:rPr>
                <w:sz w:val="20"/>
                <w:szCs w:val="20"/>
              </w:rPr>
              <w:t>70%</w:t>
            </w:r>
          </w:p>
        </w:tc>
        <w:tc>
          <w:tcPr>
            <w:tcW w:w="1180" w:type="dxa"/>
            <w:noWrap/>
          </w:tcPr>
          <w:p w:rsidR="009C31E7" w:rsidRPr="009B6544" w:rsidRDefault="009C31E7" w:rsidP="00FE1E40">
            <w:pPr>
              <w:rPr>
                <w:sz w:val="20"/>
                <w:szCs w:val="20"/>
              </w:rPr>
            </w:pPr>
            <w:r w:rsidRPr="009B6544">
              <w:rPr>
                <w:sz w:val="20"/>
                <w:szCs w:val="20"/>
              </w:rPr>
              <w:t>52%</w:t>
            </w:r>
          </w:p>
        </w:tc>
      </w:tr>
      <w:tr w:rsidR="009C31E7" w:rsidRPr="006E40E0" w:rsidTr="00FE1E40">
        <w:trPr>
          <w:trHeight w:val="255"/>
        </w:trPr>
        <w:tc>
          <w:tcPr>
            <w:tcW w:w="4520" w:type="dxa"/>
            <w:noWrap/>
          </w:tcPr>
          <w:p w:rsidR="009C31E7" w:rsidRPr="009B6544" w:rsidRDefault="009C31E7" w:rsidP="00FE1E40">
            <w:pPr>
              <w:rPr>
                <w:sz w:val="20"/>
                <w:szCs w:val="20"/>
              </w:rPr>
            </w:pPr>
            <w:r w:rsidRPr="009B6544">
              <w:rPr>
                <w:sz w:val="20"/>
                <w:szCs w:val="20"/>
              </w:rPr>
              <w:t>Proportion continuing on therapy post-Yr 3</w:t>
            </w:r>
          </w:p>
        </w:tc>
        <w:tc>
          <w:tcPr>
            <w:tcW w:w="1180" w:type="dxa"/>
            <w:noWrap/>
          </w:tcPr>
          <w:p w:rsidR="009C31E7" w:rsidRPr="009B6544" w:rsidRDefault="009C31E7" w:rsidP="00FE1E40">
            <w:pPr>
              <w:rPr>
                <w:sz w:val="20"/>
                <w:szCs w:val="20"/>
              </w:rPr>
            </w:pPr>
            <w:r w:rsidRPr="009B6544">
              <w:rPr>
                <w:sz w:val="20"/>
                <w:szCs w:val="20"/>
              </w:rPr>
              <w:t>70%</w:t>
            </w:r>
          </w:p>
        </w:tc>
        <w:tc>
          <w:tcPr>
            <w:tcW w:w="1180" w:type="dxa"/>
            <w:noWrap/>
          </w:tcPr>
          <w:p w:rsidR="009C31E7" w:rsidRPr="009B6544" w:rsidRDefault="009C31E7" w:rsidP="00FE1E40">
            <w:pPr>
              <w:rPr>
                <w:sz w:val="20"/>
                <w:szCs w:val="20"/>
              </w:rPr>
            </w:pPr>
            <w:r w:rsidRPr="009B6544">
              <w:rPr>
                <w:sz w:val="20"/>
                <w:szCs w:val="20"/>
              </w:rPr>
              <w:t>52%</w:t>
            </w:r>
          </w:p>
        </w:tc>
      </w:tr>
      <w:tr w:rsidR="009C31E7" w:rsidRPr="006E40E0" w:rsidTr="00FE1E40">
        <w:trPr>
          <w:trHeight w:val="255"/>
        </w:trPr>
        <w:tc>
          <w:tcPr>
            <w:tcW w:w="4520" w:type="dxa"/>
            <w:noWrap/>
            <w:hideMark/>
          </w:tcPr>
          <w:p w:rsidR="009C31E7" w:rsidRPr="006E40E0" w:rsidRDefault="009C31E7" w:rsidP="00FE1E40">
            <w:pPr>
              <w:rPr>
                <w:sz w:val="20"/>
                <w:szCs w:val="20"/>
              </w:rPr>
            </w:pPr>
            <w:r w:rsidRPr="006E40E0">
              <w:rPr>
                <w:sz w:val="20"/>
                <w:szCs w:val="20"/>
              </w:rPr>
              <w:t>Initiations: Responders</w:t>
            </w:r>
          </w:p>
        </w:tc>
        <w:tc>
          <w:tcPr>
            <w:tcW w:w="1180" w:type="dxa"/>
            <w:noWrap/>
            <w:hideMark/>
          </w:tcPr>
          <w:p w:rsidR="009C31E7" w:rsidRPr="006E40E0" w:rsidRDefault="009C31E7" w:rsidP="00FE1E40">
            <w:pPr>
              <w:rPr>
                <w:sz w:val="20"/>
                <w:szCs w:val="20"/>
              </w:rPr>
            </w:pPr>
            <w:r w:rsidRPr="006E40E0">
              <w:rPr>
                <w:sz w:val="20"/>
                <w:szCs w:val="20"/>
              </w:rPr>
              <w:t>8.4</w:t>
            </w:r>
          </w:p>
        </w:tc>
        <w:tc>
          <w:tcPr>
            <w:tcW w:w="1180" w:type="dxa"/>
            <w:noWrap/>
            <w:hideMark/>
          </w:tcPr>
          <w:p w:rsidR="009C31E7" w:rsidRPr="006E40E0" w:rsidRDefault="009C31E7" w:rsidP="00FE1E40">
            <w:pPr>
              <w:rPr>
                <w:sz w:val="20"/>
                <w:szCs w:val="20"/>
              </w:rPr>
            </w:pPr>
            <w:r w:rsidRPr="006E40E0">
              <w:rPr>
                <w:sz w:val="20"/>
                <w:szCs w:val="20"/>
              </w:rPr>
              <w:t>8.9</w:t>
            </w:r>
          </w:p>
        </w:tc>
      </w:tr>
      <w:tr w:rsidR="009C31E7" w:rsidRPr="006E40E0" w:rsidTr="00FE1E40">
        <w:trPr>
          <w:trHeight w:val="255"/>
        </w:trPr>
        <w:tc>
          <w:tcPr>
            <w:tcW w:w="4520" w:type="dxa"/>
            <w:noWrap/>
            <w:hideMark/>
          </w:tcPr>
          <w:p w:rsidR="009C31E7" w:rsidRPr="006E40E0" w:rsidRDefault="009C31E7" w:rsidP="00FE1E40">
            <w:pPr>
              <w:rPr>
                <w:sz w:val="20"/>
                <w:szCs w:val="20"/>
              </w:rPr>
            </w:pPr>
            <w:r w:rsidRPr="006E40E0">
              <w:rPr>
                <w:sz w:val="20"/>
                <w:szCs w:val="20"/>
              </w:rPr>
              <w:t>Initiations: Non-responders</w:t>
            </w:r>
          </w:p>
        </w:tc>
        <w:tc>
          <w:tcPr>
            <w:tcW w:w="1180" w:type="dxa"/>
            <w:noWrap/>
            <w:hideMark/>
          </w:tcPr>
          <w:p w:rsidR="009C31E7" w:rsidRPr="006E40E0" w:rsidRDefault="009C31E7" w:rsidP="00FE1E40">
            <w:pPr>
              <w:rPr>
                <w:sz w:val="20"/>
                <w:szCs w:val="20"/>
              </w:rPr>
            </w:pPr>
            <w:r w:rsidRPr="006E40E0">
              <w:rPr>
                <w:sz w:val="20"/>
                <w:szCs w:val="20"/>
              </w:rPr>
              <w:t>4</w:t>
            </w:r>
          </w:p>
        </w:tc>
        <w:tc>
          <w:tcPr>
            <w:tcW w:w="1180" w:type="dxa"/>
            <w:noWrap/>
            <w:hideMark/>
          </w:tcPr>
          <w:p w:rsidR="009C31E7" w:rsidRPr="006E40E0" w:rsidRDefault="009C31E7" w:rsidP="00FE1E40">
            <w:pPr>
              <w:rPr>
                <w:sz w:val="20"/>
                <w:szCs w:val="20"/>
              </w:rPr>
            </w:pPr>
            <w:r w:rsidRPr="006E40E0">
              <w:rPr>
                <w:sz w:val="20"/>
                <w:szCs w:val="20"/>
              </w:rPr>
              <w:t>4</w:t>
            </w:r>
          </w:p>
        </w:tc>
      </w:tr>
      <w:tr w:rsidR="009C31E7" w:rsidRPr="006E40E0" w:rsidTr="00FE1E40">
        <w:trPr>
          <w:trHeight w:val="255"/>
        </w:trPr>
        <w:tc>
          <w:tcPr>
            <w:tcW w:w="4520" w:type="dxa"/>
            <w:noWrap/>
            <w:hideMark/>
          </w:tcPr>
          <w:p w:rsidR="009C31E7" w:rsidRPr="006E40E0" w:rsidRDefault="009C31E7" w:rsidP="00FE1E40">
            <w:pPr>
              <w:rPr>
                <w:sz w:val="20"/>
                <w:szCs w:val="20"/>
              </w:rPr>
            </w:pPr>
            <w:r w:rsidRPr="006E40E0">
              <w:rPr>
                <w:sz w:val="20"/>
                <w:szCs w:val="20"/>
              </w:rPr>
              <w:t>Year 2 continuations</w:t>
            </w:r>
          </w:p>
        </w:tc>
        <w:tc>
          <w:tcPr>
            <w:tcW w:w="1180" w:type="dxa"/>
            <w:noWrap/>
            <w:hideMark/>
          </w:tcPr>
          <w:p w:rsidR="009C31E7" w:rsidRPr="006E40E0" w:rsidRDefault="009C31E7" w:rsidP="00FE1E40">
            <w:pPr>
              <w:rPr>
                <w:sz w:val="20"/>
                <w:szCs w:val="20"/>
              </w:rPr>
            </w:pPr>
            <w:r w:rsidRPr="006E40E0">
              <w:rPr>
                <w:sz w:val="20"/>
                <w:szCs w:val="20"/>
              </w:rPr>
              <w:t>4.2</w:t>
            </w:r>
          </w:p>
        </w:tc>
        <w:tc>
          <w:tcPr>
            <w:tcW w:w="1180" w:type="dxa"/>
            <w:noWrap/>
            <w:hideMark/>
          </w:tcPr>
          <w:p w:rsidR="009C31E7" w:rsidRPr="006E40E0" w:rsidRDefault="009C31E7" w:rsidP="00FE1E40">
            <w:pPr>
              <w:rPr>
                <w:sz w:val="20"/>
                <w:szCs w:val="20"/>
              </w:rPr>
            </w:pPr>
            <w:r w:rsidRPr="006E40E0">
              <w:rPr>
                <w:sz w:val="20"/>
                <w:szCs w:val="20"/>
              </w:rPr>
              <w:t>4.6</w:t>
            </w:r>
          </w:p>
        </w:tc>
      </w:tr>
      <w:tr w:rsidR="009C31E7" w:rsidRPr="006E40E0" w:rsidTr="00FE1E40">
        <w:trPr>
          <w:trHeight w:val="255"/>
        </w:trPr>
        <w:tc>
          <w:tcPr>
            <w:tcW w:w="4520" w:type="dxa"/>
            <w:noWrap/>
            <w:hideMark/>
          </w:tcPr>
          <w:p w:rsidR="009C31E7" w:rsidRPr="006E40E0" w:rsidRDefault="009C31E7" w:rsidP="00FE1E40">
            <w:pPr>
              <w:rPr>
                <w:sz w:val="20"/>
                <w:szCs w:val="20"/>
              </w:rPr>
            </w:pPr>
            <w:r w:rsidRPr="006E40E0">
              <w:rPr>
                <w:sz w:val="20"/>
                <w:szCs w:val="20"/>
              </w:rPr>
              <w:t>Year 3+ continuations</w:t>
            </w:r>
          </w:p>
        </w:tc>
        <w:tc>
          <w:tcPr>
            <w:tcW w:w="1180" w:type="dxa"/>
            <w:noWrap/>
            <w:hideMark/>
          </w:tcPr>
          <w:p w:rsidR="009C31E7" w:rsidRPr="006E40E0" w:rsidRDefault="009C31E7" w:rsidP="00FE1E40">
            <w:pPr>
              <w:rPr>
                <w:sz w:val="20"/>
                <w:szCs w:val="20"/>
              </w:rPr>
            </w:pPr>
            <w:r w:rsidRPr="006E40E0">
              <w:rPr>
                <w:sz w:val="20"/>
                <w:szCs w:val="20"/>
              </w:rPr>
              <w:t>2</w:t>
            </w:r>
          </w:p>
        </w:tc>
        <w:tc>
          <w:tcPr>
            <w:tcW w:w="1180" w:type="dxa"/>
            <w:noWrap/>
            <w:hideMark/>
          </w:tcPr>
          <w:p w:rsidR="009C31E7" w:rsidRPr="006E40E0" w:rsidRDefault="009C31E7" w:rsidP="00FE1E40">
            <w:pPr>
              <w:rPr>
                <w:sz w:val="20"/>
                <w:szCs w:val="20"/>
              </w:rPr>
            </w:pPr>
            <w:r w:rsidRPr="006E40E0">
              <w:rPr>
                <w:sz w:val="20"/>
                <w:szCs w:val="20"/>
              </w:rPr>
              <w:t>2</w:t>
            </w:r>
          </w:p>
        </w:tc>
      </w:tr>
    </w:tbl>
    <w:p w:rsidR="009C31E7" w:rsidRDefault="009C31E7" w:rsidP="009C31E7">
      <w:pPr>
        <w:pStyle w:val="Notes"/>
      </w:pPr>
      <w:r>
        <w:t xml:space="preserve">Source: Ranibizumab RVO submission November 2014, </w:t>
      </w:r>
      <w:r w:rsidRPr="004E09C0">
        <w:t>Usage and financial estimates - RVO_Final</w:t>
      </w:r>
      <w:r w:rsidRPr="000E434E">
        <w:t>.xlsx</w:t>
      </w:r>
      <w:r>
        <w:t>, ‘</w:t>
      </w:r>
      <w:r w:rsidRPr="004E09C0">
        <w:t>Background and Assumptions</w:t>
      </w:r>
      <w:r>
        <w:t>’ and</w:t>
      </w:r>
      <w:r w:rsidRPr="004E09C0">
        <w:t xml:space="preserve"> </w:t>
      </w:r>
      <w:r>
        <w:t>‘Epidemiology and Patient Number’ tabs</w:t>
      </w:r>
    </w:p>
    <w:p w:rsidR="007952B8" w:rsidRDefault="003A3ABC" w:rsidP="00A35800">
      <w:r>
        <w:t xml:space="preserve">As ranibizumab was PBS listed for RVO before aflibercept, </w:t>
      </w:r>
      <w:r w:rsidR="007952B8">
        <w:t>the final agreed estimates estimated the entire RVO market.</w:t>
      </w:r>
    </w:p>
    <w:p w:rsidR="00242301" w:rsidRDefault="00242301">
      <w:pPr>
        <w:spacing w:line="276" w:lineRule="auto"/>
        <w:rPr>
          <w:b/>
        </w:rPr>
      </w:pPr>
      <w:r>
        <w:br w:type="page"/>
      </w:r>
    </w:p>
    <w:p w:rsidR="009706F0" w:rsidRPr="009E6353" w:rsidRDefault="00403745" w:rsidP="009706F0">
      <w:pPr>
        <w:pStyle w:val="Tabletitle"/>
      </w:pPr>
      <w:r>
        <w:lastRenderedPageBreak/>
        <w:t>Table 4</w:t>
      </w:r>
      <w:r w:rsidR="00C132CE">
        <w:t>3</w:t>
      </w:r>
      <w:r w:rsidR="009706F0">
        <w:t xml:space="preserve">: Ranibizumab </w:t>
      </w:r>
      <w:r w:rsidR="009706F0" w:rsidRPr="009706F0">
        <w:t>actual versus predicted utilisation</w:t>
      </w:r>
      <w:r w:rsidR="009706F0">
        <w:t xml:space="preserve"> for RVO</w:t>
      </w:r>
    </w:p>
    <w:tbl>
      <w:tblPr>
        <w:tblW w:w="9087" w:type="dxa"/>
        <w:tblInd w:w="93" w:type="dxa"/>
        <w:tblLayout w:type="fixed"/>
        <w:tblLook w:val="04A0" w:firstRow="1" w:lastRow="0" w:firstColumn="1" w:lastColumn="0" w:noHBand="0" w:noVBand="1"/>
        <w:tblCaption w:val="Table 44"/>
        <w:tblDescription w:val="Ranibizumab use for RVO"/>
      </w:tblPr>
      <w:tblGrid>
        <w:gridCol w:w="2142"/>
        <w:gridCol w:w="1389"/>
        <w:gridCol w:w="1389"/>
        <w:gridCol w:w="1389"/>
        <w:gridCol w:w="1389"/>
        <w:gridCol w:w="1389"/>
      </w:tblGrid>
      <w:tr w:rsidR="00A13524" w:rsidRPr="00A13524" w:rsidTr="00FE4055">
        <w:trPr>
          <w:trHeight w:val="300"/>
        </w:trPr>
        <w:tc>
          <w:tcPr>
            <w:tcW w:w="214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1</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2</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3</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4</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FE4055" w:rsidRPr="00A13524" w:rsidRDefault="00FE4055" w:rsidP="00FE4055">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5</w:t>
            </w:r>
          </w:p>
        </w:tc>
      </w:tr>
      <w:tr w:rsidR="00A13524" w:rsidRPr="00A13524" w:rsidTr="00FE4055">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E4055" w:rsidRPr="00A13524" w:rsidRDefault="00FE4055" w:rsidP="00FE4055">
            <w:pPr>
              <w:spacing w:after="0"/>
              <w:rPr>
                <w:rFonts w:ascii="Calibri" w:eastAsia="Times New Roman" w:hAnsi="Calibri" w:cs="Times New Roman"/>
                <w:sz w:val="20"/>
                <w:szCs w:val="20"/>
              </w:rPr>
            </w:pPr>
            <w:r w:rsidRPr="00A13524">
              <w:rPr>
                <w:rFonts w:ascii="Calibri" w:eastAsia="Times New Roman" w:hAnsi="Calibri" w:cs="Arial"/>
                <w:sz w:val="20"/>
                <w:szCs w:val="20"/>
              </w:rPr>
              <w:t>Total number of patients treated per year </w:t>
            </w: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BRVO</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2,033</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1,965</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2,294</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2,600</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2,803</w:t>
            </w: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1,934</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4,148</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6,211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5%</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111%</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171%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CRVO</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3,768</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3,452</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3,955</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4,292</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4,553</w:t>
            </w: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1,286</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3,099</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4,799</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66%</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10%</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21%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Total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5,800</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5,417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6,249</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6,892</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7,356</w:t>
            </w: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3,191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7,118</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10,781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45%</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31%</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73%</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E4055">
            <w:pPr>
              <w:spacing w:after="0"/>
              <w:jc w:val="right"/>
              <w:rPr>
                <w:rFonts w:ascii="Calibri" w:eastAsia="Times New Roman" w:hAnsi="Calibri" w:cs="Times New Roman"/>
                <w:sz w:val="20"/>
                <w:szCs w:val="20"/>
              </w:rPr>
            </w:pPr>
          </w:p>
        </w:tc>
      </w:tr>
      <w:tr w:rsidR="00A13524" w:rsidRPr="00A13524" w:rsidTr="00FE4055">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Arial"/>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FB7477" w:rsidRPr="00A13524" w:rsidRDefault="00FB7477" w:rsidP="00FE4055">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r>
      <w:tr w:rsidR="00A13524" w:rsidRPr="00A13524" w:rsidTr="00FE4055">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B7477" w:rsidRPr="00A13524" w:rsidRDefault="00FB7477" w:rsidP="00FE4055">
            <w:pPr>
              <w:spacing w:after="0"/>
              <w:rPr>
                <w:rFonts w:ascii="Calibri" w:eastAsia="Times New Roman" w:hAnsi="Calibri" w:cs="Times New Roman"/>
                <w:sz w:val="20"/>
                <w:szCs w:val="20"/>
              </w:rPr>
            </w:pPr>
            <w:r w:rsidRPr="00A13524">
              <w:rPr>
                <w:rFonts w:ascii="Calibri" w:eastAsia="Times New Roman" w:hAnsi="Calibri" w:cs="Arial"/>
                <w:sz w:val="20"/>
                <w:szCs w:val="20"/>
              </w:rPr>
              <w:t>Total number of injections</w:t>
            </w: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BRVO</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14,201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11,737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12,212</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13,481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14,115</w:t>
            </w: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4,817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16,957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27,634</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66%</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44%</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126%</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CRVO</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27,512</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21,670</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21,757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22,817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23,592</w:t>
            </w: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3,087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12,393</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20,406</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89%</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43%</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6%</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Total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41,714</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33,407</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33,968</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36,298</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37,707</w:t>
            </w:r>
          </w:p>
        </w:tc>
      </w:tr>
      <w:tr w:rsidR="00A13524" w:rsidRPr="00A13524" w:rsidTr="00FB7477">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7,904</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29,350</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48,040</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r w:rsidR="00A13524" w:rsidRPr="00A13524" w:rsidTr="008B3FFD">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FB7477" w:rsidRPr="00A13524" w:rsidRDefault="00FB7477" w:rsidP="00FB7477">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81%</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sz w:val="20"/>
                <w:szCs w:val="20"/>
              </w:rPr>
              <w:noBreakHyphen/>
            </w:r>
            <w:r w:rsidR="00FB7477" w:rsidRPr="00A13524">
              <w:rPr>
                <w:rFonts w:ascii="Calibri" w:eastAsia="Times New Roman" w:hAnsi="Calibri" w:cs="Times New Roman"/>
                <w:sz w:val="20"/>
                <w:szCs w:val="20"/>
              </w:rPr>
              <w:t>12%</w:t>
            </w:r>
          </w:p>
        </w:tc>
        <w:tc>
          <w:tcPr>
            <w:tcW w:w="1389" w:type="dxa"/>
            <w:tcBorders>
              <w:top w:val="nil"/>
              <w:left w:val="nil"/>
              <w:bottom w:val="single" w:sz="4" w:space="0" w:color="auto"/>
              <w:right w:val="single" w:sz="4" w:space="0" w:color="auto"/>
            </w:tcBorders>
            <w:shd w:val="clear" w:color="auto" w:fill="auto"/>
            <w:noWrap/>
            <w:vAlign w:val="bottom"/>
          </w:tcPr>
          <w:p w:rsidR="00FB7477" w:rsidRPr="00A13524" w:rsidRDefault="00542CA7" w:rsidP="00FB7477">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w:t>
            </w:r>
            <w:r w:rsidR="00FB7477" w:rsidRPr="00A13524">
              <w:rPr>
                <w:rFonts w:ascii="Calibri" w:eastAsia="Times New Roman" w:hAnsi="Calibri" w:cs="Times New Roman"/>
                <w:sz w:val="20"/>
                <w:szCs w:val="20"/>
              </w:rPr>
              <w:t>41%</w:t>
            </w: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FB7477" w:rsidRPr="00A13524" w:rsidRDefault="00FB7477" w:rsidP="00FB7477">
            <w:pPr>
              <w:spacing w:after="0"/>
              <w:jc w:val="right"/>
              <w:rPr>
                <w:rFonts w:ascii="Calibri" w:eastAsia="Times New Roman" w:hAnsi="Calibri" w:cs="Times New Roman"/>
                <w:sz w:val="20"/>
                <w:szCs w:val="20"/>
              </w:rPr>
            </w:pPr>
          </w:p>
        </w:tc>
      </w:tr>
    </w:tbl>
    <w:p w:rsidR="0095647F" w:rsidRDefault="008D6F56" w:rsidP="0095647F">
      <w:pPr>
        <w:pStyle w:val="Notes"/>
      </w:pPr>
      <w:r>
        <w:t>Source:</w:t>
      </w:r>
      <w:r w:rsidR="00A85FD0">
        <w:t xml:space="preserve"> </w:t>
      </w:r>
      <w:r w:rsidR="00A85FD0" w:rsidRPr="009E2118">
        <w:t>PBS Ranibizumab vD 20150424</w:t>
      </w:r>
      <w:r w:rsidR="00A85FD0">
        <w:t>.xlsx, RVO ‘</w:t>
      </w:r>
      <w:r w:rsidR="00A85FD0" w:rsidRPr="00A85FD0">
        <w:t>Epidemiology and Patient Nu (2</w:t>
      </w:r>
      <w:r w:rsidR="00A85FD0">
        <w:t>’ tab</w:t>
      </w:r>
    </w:p>
    <w:p w:rsidR="00FE4055" w:rsidRDefault="00FE4055" w:rsidP="00FE4055">
      <w:r>
        <w:t>Overall the predictions of treated patients and the number of injections for RVO were overestimated in the first year of listing, but are now appearing underestimated. The predictions for BRVO appear more underestimated than CRVO.</w:t>
      </w:r>
    </w:p>
    <w:p w:rsidR="008532BA" w:rsidRDefault="008532BA" w:rsidP="0031235C">
      <w:r>
        <w:t>In Year 1, for BRVO the number of predicted versus actual patients was similar whereas the number of CRVO patients was underestimated (Table 4</w:t>
      </w:r>
      <w:r w:rsidR="00C132CE">
        <w:t>3</w:t>
      </w:r>
      <w:r>
        <w:t>). By Year 3 of listing, the number of actual patients was greater than predicted for both CRVO and BRVO, particularly for BRVO (Table 4</w:t>
      </w:r>
      <w:r w:rsidR="00C132CE">
        <w:t>3</w:t>
      </w:r>
      <w:r>
        <w:t xml:space="preserve">). </w:t>
      </w:r>
    </w:p>
    <w:p w:rsidR="00DD641F" w:rsidRDefault="0031235C" w:rsidP="0031235C">
      <w:r>
        <w:t xml:space="preserve">The ranibizumab submission estimated incident RVO patients would be 20-30% BRVO and 70-80% CRVO. It estimated response rates of 60.3% and 50.8% for BRVO and CRVO respectively, with 63% and 79% continuing </w:t>
      </w:r>
      <w:r w:rsidR="00990239">
        <w:t xml:space="preserve">on </w:t>
      </w:r>
      <w:r>
        <w:t xml:space="preserve">treatment in year 2. Overall this implies </w:t>
      </w:r>
      <w:r w:rsidR="00DD641F">
        <w:t xml:space="preserve">38.0% </w:t>
      </w:r>
      <w:r>
        <w:t>of</w:t>
      </w:r>
      <w:r w:rsidR="00DD641F">
        <w:t xml:space="preserve"> BRVO</w:t>
      </w:r>
      <w:r>
        <w:t xml:space="preserve"> initiators </w:t>
      </w:r>
      <w:r w:rsidR="00990239">
        <w:t xml:space="preserve">and 40.1% of CRVO initiators </w:t>
      </w:r>
      <w:r>
        <w:t>would continue treatment in the second year</w:t>
      </w:r>
      <w:r w:rsidR="00990239">
        <w:t>.</w:t>
      </w:r>
    </w:p>
    <w:p w:rsidR="0031235C" w:rsidRDefault="0031235C" w:rsidP="0031235C">
      <w:r>
        <w:lastRenderedPageBreak/>
        <w:t xml:space="preserve">The RVO analysis showed </w:t>
      </w:r>
      <w:r w:rsidR="00DD641F">
        <w:t>that for BRVO 54</w:t>
      </w:r>
      <w:r>
        <w:t xml:space="preserve">% of patients who initiated in 2015 were treated 12-24 months after initiation, and </w:t>
      </w:r>
      <w:r w:rsidR="00DD641F">
        <w:t>47</w:t>
      </w:r>
      <w:r>
        <w:t xml:space="preserve">% of patients who initiated in 2016 were treated 12-24 months after initiation. </w:t>
      </w:r>
      <w:r w:rsidR="00DD641F">
        <w:t xml:space="preserve">For CRVO 53% of patients who initiated in 2015 were treated 12-24 months after initiation, and 47% of patients who initiated in 2016 were treated 12-24 months after initiation. </w:t>
      </w:r>
      <w:r>
        <w:t xml:space="preserve">This implies the submission’s estimates of continuation were underestimated, which has likely contributed to RVO being </w:t>
      </w:r>
      <w:r w:rsidR="00DD641F">
        <w:t xml:space="preserve">incorrectly </w:t>
      </w:r>
      <w:r>
        <w:t xml:space="preserve">estimated to be </w:t>
      </w:r>
      <w:r w:rsidR="00990239">
        <w:t xml:space="preserve">a </w:t>
      </w:r>
      <w:r>
        <w:t>smaller</w:t>
      </w:r>
      <w:r w:rsidR="008D6F56">
        <w:t xml:space="preserve"> market</w:t>
      </w:r>
      <w:r>
        <w:t xml:space="preserve"> than DMO.</w:t>
      </w:r>
    </w:p>
    <w:p w:rsidR="0095647F" w:rsidRDefault="009A1D27" w:rsidP="0078315F">
      <w:r>
        <w:t>In Years 2 and 3, the actual number of injections for BRVO was substantially higher than predicted due to a greater number of treated patients than anticipated (Table 4</w:t>
      </w:r>
      <w:r w:rsidR="00C132CE">
        <w:t>3</w:t>
      </w:r>
      <w:r>
        <w:t xml:space="preserve">). </w:t>
      </w:r>
      <w:r w:rsidR="008532BA">
        <w:t>The number of injections for CRVO</w:t>
      </w:r>
      <w:r>
        <w:t xml:space="preserve"> was overestimated in Years 1 and 2 </w:t>
      </w:r>
      <w:r w:rsidR="00EE11DF">
        <w:t xml:space="preserve">as there were </w:t>
      </w:r>
      <w:r w:rsidR="004A4541">
        <w:t>fewer</w:t>
      </w:r>
      <w:r w:rsidR="00EE11DF">
        <w:t xml:space="preserve"> patients treated than projected (Table 4</w:t>
      </w:r>
      <w:r w:rsidR="00C132CE">
        <w:t>3</w:t>
      </w:r>
      <w:r w:rsidR="00EE11DF">
        <w:t>). In Year 3, there were more CRVO patients treated than estimated resulting in the number of predicted versus actual injections being similar (Table 4</w:t>
      </w:r>
      <w:r w:rsidR="00C132CE">
        <w:t>3</w:t>
      </w:r>
      <w:r w:rsidR="00EE11DF">
        <w:t xml:space="preserve">). The actual number of CRVO injections remained less than estimated because of an overestimate in the continuation on therapy for CRVO. </w:t>
      </w:r>
    </w:p>
    <w:p w:rsidR="0078315F" w:rsidRDefault="003A3ABC" w:rsidP="0078315F">
      <w:r>
        <w:t xml:space="preserve">The ranibizumab submission estimated the number of injections responders and non-responders would receive. Overall these figures estimated approximately </w:t>
      </w:r>
      <w:r w:rsidR="00A87E30">
        <w:t>6.65 injections for BRVO</w:t>
      </w:r>
      <w:r w:rsidR="00A87E30" w:rsidRPr="00A87E30">
        <w:t xml:space="preserve"> </w:t>
      </w:r>
      <w:r w:rsidR="00A87E30">
        <w:t xml:space="preserve">and </w:t>
      </w:r>
      <w:r w:rsidR="00A87E30" w:rsidRPr="00A87E30">
        <w:t>6.49</w:t>
      </w:r>
      <w:r>
        <w:t xml:space="preserve"> injections for </w:t>
      </w:r>
      <w:r w:rsidR="00A87E30">
        <w:t xml:space="preserve">CRVO. The actual numbers are </w:t>
      </w:r>
      <w:r>
        <w:t xml:space="preserve">lower than predicted, </w:t>
      </w:r>
      <w:r w:rsidR="00A87E30">
        <w:t>for BRVO 5.10</w:t>
      </w:r>
      <w:r>
        <w:t xml:space="preserve"> for patient</w:t>
      </w:r>
      <w:r w:rsidR="00A87E30">
        <w:t>s who initiated in 2015 and 6.22</w:t>
      </w:r>
      <w:r>
        <w:t xml:space="preserve"> for patients who initiated in 2016</w:t>
      </w:r>
      <w:r w:rsidR="00A87E30">
        <w:t>; and for CRVO 5.13 for patients who initiated in 2015 and 5.88 for patients who initiated in 2016.</w:t>
      </w:r>
      <w:r w:rsidR="0095647F">
        <w:t xml:space="preserve"> </w:t>
      </w:r>
      <w:r w:rsidR="0078315F">
        <w:t>The submission for ranibizumab included a bilateral treatment rate of 5%. Between 98-99% of prescriptions for RVO are supplied with a quantity of one.</w:t>
      </w:r>
      <w:r w:rsidR="00A87E30">
        <w:t xml:space="preserve"> This suggests the bilateral rate was reasonable but possibly overestimated.</w:t>
      </w:r>
    </w:p>
    <w:p w:rsidR="00E01B63" w:rsidRPr="009706F0" w:rsidRDefault="00E01B63" w:rsidP="00242301">
      <w:pPr>
        <w:pStyle w:val="Heading3"/>
      </w:pPr>
      <w:bookmarkStart w:id="58" w:name="_Toc513038056"/>
      <w:r w:rsidRPr="009706F0">
        <w:t>Aflibercept</w:t>
      </w:r>
      <w:r>
        <w:t xml:space="preserve"> - RVO</w:t>
      </w:r>
      <w:bookmarkEnd w:id="58"/>
    </w:p>
    <w:p w:rsidR="009C31E7" w:rsidRPr="005E775B" w:rsidRDefault="005E775B" w:rsidP="009C31E7">
      <w:pPr>
        <w:rPr>
          <w:highlight w:val="black"/>
        </w:rPr>
      </w:pPr>
      <w:r>
        <w:rPr>
          <w:noProof/>
          <w:color w:val="000000"/>
          <w:highlight w:val="black"/>
        </w:rPr>
        <w:t>'''''''' ''''''''''''''''''''' ''''' '''''''''''''''''''' '''''' ''''''''''' '''''''''''''''''''' ''''''''''' '''''''''' ''''' '''''''''''''''''''''''''''''' ''''''''''''''''' ''' '''''''''''''' ''''' '''''''''''''''''''' '''''''' ''''' '''''''''''' '''' ''''''' ''''''''''''''''''' ''''''''''''''''''' '''''''''' ''''' ''''''' ''''''''''' ''''''' '''''''''''''''' ''''''' ''''' '''''' ''''' ''''''''' ''''''''''' '''' '''''''''''''''' ''''''''' '''''''''''''''' ''''''''' '''''' ''' ''''''''' ''''''''''''' ''' ''''''''''''''''' '''''''' '''' '''''''' '''''''''''''''' '''' '''' ''''''''''' ''''''''''''''''' ''''''''' '''' ''''''''''''''' ''''''''''' ''''''''''''''''' ''''''''''''''' ''''''''''''''''' ''''''' ''''''''''''''''' ''''''''' '''' '''''''''''''' ''''''''''''' ''''' '''''''''''''''' '''' ''''''''' ''''''''' ''''''''''''''''' ''''''''''' ''' '''''''''''''' '''''''''''' ''''''''''' '''' '''''''' '''' ''''''''' '''''' '''' '''''''''''' ''''''''''''''''''''' '''' ''''''''''' '''' ''''''''' ''''</w:t>
      </w:r>
    </w:p>
    <w:p w:rsidR="009C31E7" w:rsidRPr="005E775B" w:rsidRDefault="005E775B" w:rsidP="009C31E7">
      <w:pPr>
        <w:rPr>
          <w:highlight w:val="black"/>
        </w:rPr>
      </w:pPr>
      <w:r>
        <w:rPr>
          <w:noProof/>
          <w:color w:val="000000"/>
          <w:highlight w:val="black"/>
        </w:rPr>
        <w:t>''''''' '''''''''''''' ''''''''''''''' ''''' ''''''''''''''''''' '''' ''''''''''''''''''' ''''''' ''''''''''''''''''''' '''''''''' ''''''' '''''''''''''' ''''''''''' ''''''' ''''''''''''''' ''''''''' ''''''' '''''''''''''''''''' '''''''''' ''' '''''''''''''' '''''''''' '''''''' ''''''''' ''''''' '''''''''''''' '''''''''''''''' '''''''' ''''''''''''' '''' '''''''' ''''''''' '''''''''''''''''''' '''''''''''' '''''' ''''''' '''''''''''' '''''''''</w:t>
      </w:r>
    </w:p>
    <w:p w:rsidR="00242301" w:rsidRDefault="00242301">
      <w:pPr>
        <w:spacing w:line="276" w:lineRule="auto"/>
        <w:rPr>
          <w:b/>
        </w:rPr>
      </w:pPr>
      <w:r>
        <w:br w:type="page"/>
      </w:r>
    </w:p>
    <w:p w:rsidR="009C31E7" w:rsidRDefault="009C31E7" w:rsidP="009C31E7">
      <w:pPr>
        <w:pStyle w:val="Tabletitle"/>
        <w:keepNext/>
      </w:pPr>
      <w:r>
        <w:lastRenderedPageBreak/>
        <w:t xml:space="preserve">Table </w:t>
      </w:r>
      <w:r w:rsidR="00403745">
        <w:t>4</w:t>
      </w:r>
      <w:r w:rsidR="00C132CE">
        <w:t>4</w:t>
      </w:r>
      <w:r>
        <w:t xml:space="preserve">: Predicted number of injections administered per patient of </w:t>
      </w:r>
      <w:r w:rsidRPr="00A76739">
        <w:t xml:space="preserve">aflibercept </w:t>
      </w:r>
      <w:r>
        <w:t xml:space="preserve">for </w:t>
      </w:r>
      <w:r w:rsidR="00403745">
        <w:t>C</w:t>
      </w:r>
      <w:r>
        <w:t>RVO</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5"/>
        <w:tblDescription w:val="Aflibercept use for CRVO"/>
      </w:tblPr>
      <w:tblGrid>
        <w:gridCol w:w="1560"/>
        <w:gridCol w:w="3260"/>
        <w:gridCol w:w="3544"/>
      </w:tblGrid>
      <w:tr w:rsidR="009C31E7" w:rsidRPr="00E7214A" w:rsidTr="00FE1E40">
        <w:trPr>
          <w:trHeight w:val="255"/>
        </w:trPr>
        <w:tc>
          <w:tcPr>
            <w:tcW w:w="1560" w:type="dxa"/>
            <w:shd w:val="clear" w:color="auto" w:fill="BFBFBF" w:themeFill="background1" w:themeFillShade="BF"/>
            <w:vAlign w:val="bottom"/>
            <w:hideMark/>
          </w:tcPr>
          <w:p w:rsidR="009C31E7" w:rsidRPr="005E775B" w:rsidRDefault="009C31E7" w:rsidP="00FE1E40">
            <w:pPr>
              <w:spacing w:after="0"/>
              <w:rPr>
                <w:rFonts w:eastAsia="Times New Roman" w:cs="Arial"/>
                <w:sz w:val="20"/>
                <w:szCs w:val="20"/>
              </w:rPr>
            </w:pPr>
          </w:p>
        </w:tc>
        <w:tc>
          <w:tcPr>
            <w:tcW w:w="3260" w:type="dxa"/>
            <w:shd w:val="clear" w:color="auto" w:fill="BFBFBF" w:themeFill="background1" w:themeFillShade="BF"/>
          </w:tcPr>
          <w:p w:rsidR="009C31E7" w:rsidRPr="005E775B" w:rsidRDefault="005E775B" w:rsidP="00FE1E40">
            <w:pPr>
              <w:spacing w:after="0"/>
              <w:rPr>
                <w:rFonts w:eastAsia="Times New Roman" w:cs="Arial"/>
                <w:b/>
                <w:sz w:val="20"/>
                <w:szCs w:val="20"/>
                <w:highlight w:val="black"/>
              </w:rPr>
            </w:pPr>
            <w:r>
              <w:rPr>
                <w:rFonts w:eastAsia="Times New Roman" w:cs="Arial"/>
                <w:b/>
                <w:noProof/>
                <w:color w:val="000000"/>
                <w:sz w:val="20"/>
                <w:szCs w:val="20"/>
                <w:highlight w:val="black"/>
              </w:rPr>
              <w:t>'''''''''''''' '''''''''''''''''''' ''''' ''''''''''''''''''' ''''''''''''' ''''''''' '''''''''''''''''</w:t>
            </w:r>
          </w:p>
        </w:tc>
        <w:tc>
          <w:tcPr>
            <w:tcW w:w="3544" w:type="dxa"/>
            <w:shd w:val="clear" w:color="auto" w:fill="BFBFBF" w:themeFill="background1" w:themeFillShade="BF"/>
            <w:vAlign w:val="bottom"/>
          </w:tcPr>
          <w:p w:rsidR="009C31E7" w:rsidRPr="005E775B" w:rsidRDefault="005E775B" w:rsidP="00FE1E40">
            <w:pPr>
              <w:spacing w:after="0"/>
              <w:rPr>
                <w:rFonts w:eastAsia="Times New Roman" w:cs="Arial"/>
                <w:b/>
                <w:sz w:val="20"/>
                <w:szCs w:val="20"/>
                <w:highlight w:val="black"/>
              </w:rPr>
            </w:pPr>
            <w:r>
              <w:rPr>
                <w:rFonts w:eastAsia="Times New Roman" w:cs="Arial"/>
                <w:b/>
                <w:bCs/>
                <w:noProof/>
                <w:color w:val="000000"/>
                <w:sz w:val="20"/>
                <w:szCs w:val="20"/>
                <w:highlight w:val="black"/>
              </w:rPr>
              <w:t>''''''''''''''' '''' ''''''''''''''''''''' '''''''''''''''''' '''''' ''''''''''''' ''''''''' ''''' '''''''''''''''''''</w:t>
            </w:r>
          </w:p>
        </w:tc>
      </w:tr>
      <w:tr w:rsidR="009C31E7" w:rsidRPr="00E7214A" w:rsidTr="00FE1E40">
        <w:trPr>
          <w:trHeight w:val="255"/>
        </w:trPr>
        <w:tc>
          <w:tcPr>
            <w:tcW w:w="1560" w:type="dxa"/>
            <w:shd w:val="clear" w:color="auto" w:fill="auto"/>
            <w:hideMark/>
          </w:tcPr>
          <w:p w:rsidR="009C31E7" w:rsidRPr="005E775B" w:rsidRDefault="005E775B" w:rsidP="00FE1E40">
            <w:pPr>
              <w:spacing w:after="0"/>
              <w:ind w:firstLineChars="100" w:firstLine="200"/>
              <w:rPr>
                <w:rFonts w:eastAsia="Times New Roman" w:cs="Arial"/>
                <w:sz w:val="20"/>
                <w:szCs w:val="20"/>
                <w:highlight w:val="black"/>
              </w:rPr>
            </w:pPr>
            <w:r>
              <w:rPr>
                <w:noProof/>
                <w:color w:val="000000"/>
                <w:sz w:val="20"/>
                <w:szCs w:val="20"/>
                <w:highlight w:val="black"/>
              </w:rPr>
              <w:t>'''''''' '''</w:t>
            </w:r>
          </w:p>
        </w:tc>
        <w:tc>
          <w:tcPr>
            <w:tcW w:w="3260" w:type="dxa"/>
            <w:vAlign w:val="bottom"/>
          </w:tcPr>
          <w:p w:rsidR="009C31E7" w:rsidRPr="005E775B" w:rsidRDefault="005E775B" w:rsidP="00FE1E40">
            <w:pPr>
              <w:spacing w:after="0"/>
              <w:jc w:val="right"/>
              <w:rPr>
                <w:rFonts w:eastAsia="Times New Roman" w:cs="Arial"/>
                <w:sz w:val="20"/>
                <w:szCs w:val="20"/>
                <w:highlight w:val="black"/>
              </w:rPr>
            </w:pPr>
            <w:r>
              <w:rPr>
                <w:rFonts w:cs="Arial"/>
                <w:noProof/>
                <w:color w:val="000000"/>
                <w:sz w:val="20"/>
                <w:szCs w:val="20"/>
                <w:highlight w:val="black"/>
              </w:rPr>
              <w:t>''''''''''''</w:t>
            </w:r>
          </w:p>
        </w:tc>
        <w:tc>
          <w:tcPr>
            <w:tcW w:w="3544" w:type="dxa"/>
            <w:shd w:val="clear" w:color="auto" w:fill="auto"/>
            <w:noWrap/>
            <w:vAlign w:val="bottom"/>
            <w:hideMark/>
          </w:tcPr>
          <w:p w:rsidR="009C31E7" w:rsidRPr="005E775B" w:rsidRDefault="005E775B" w:rsidP="00FE1E40">
            <w:pPr>
              <w:spacing w:after="0"/>
              <w:jc w:val="right"/>
              <w:rPr>
                <w:rFonts w:eastAsia="Times New Roman" w:cs="Arial"/>
                <w:sz w:val="20"/>
                <w:szCs w:val="20"/>
                <w:highlight w:val="black"/>
              </w:rPr>
            </w:pPr>
            <w:r>
              <w:rPr>
                <w:rFonts w:eastAsia="Times New Roman" w:cs="Arial"/>
                <w:noProof/>
                <w:color w:val="000000"/>
                <w:sz w:val="20"/>
                <w:szCs w:val="20"/>
                <w:highlight w:val="black"/>
              </w:rPr>
              <w:t>'''''''''</w:t>
            </w:r>
          </w:p>
        </w:tc>
      </w:tr>
      <w:tr w:rsidR="009C31E7" w:rsidRPr="00E7214A" w:rsidTr="00FE1E40">
        <w:trPr>
          <w:trHeight w:val="255"/>
        </w:trPr>
        <w:tc>
          <w:tcPr>
            <w:tcW w:w="1560" w:type="dxa"/>
            <w:shd w:val="clear" w:color="auto" w:fill="auto"/>
            <w:hideMark/>
          </w:tcPr>
          <w:p w:rsidR="009C31E7" w:rsidRPr="005E775B" w:rsidRDefault="005E775B" w:rsidP="00FE1E40">
            <w:pPr>
              <w:spacing w:after="0"/>
              <w:ind w:firstLineChars="100" w:firstLine="200"/>
              <w:rPr>
                <w:rFonts w:eastAsia="Times New Roman" w:cs="Arial"/>
                <w:sz w:val="20"/>
                <w:szCs w:val="20"/>
                <w:highlight w:val="black"/>
              </w:rPr>
            </w:pPr>
            <w:r>
              <w:rPr>
                <w:noProof/>
                <w:color w:val="000000"/>
                <w:sz w:val="20"/>
                <w:szCs w:val="20"/>
                <w:highlight w:val="black"/>
              </w:rPr>
              <w:t>'''''''' '''</w:t>
            </w:r>
          </w:p>
        </w:tc>
        <w:tc>
          <w:tcPr>
            <w:tcW w:w="3260" w:type="dxa"/>
            <w:vAlign w:val="bottom"/>
          </w:tcPr>
          <w:p w:rsidR="009C31E7" w:rsidRPr="005E775B" w:rsidRDefault="005E775B" w:rsidP="00FE1E40">
            <w:pPr>
              <w:spacing w:after="0"/>
              <w:jc w:val="right"/>
              <w:rPr>
                <w:rFonts w:eastAsia="Times New Roman" w:cs="Arial"/>
                <w:sz w:val="20"/>
                <w:szCs w:val="20"/>
                <w:highlight w:val="black"/>
              </w:rPr>
            </w:pPr>
            <w:r>
              <w:rPr>
                <w:rFonts w:cs="Arial"/>
                <w:noProof/>
                <w:color w:val="000000"/>
                <w:sz w:val="20"/>
                <w:szCs w:val="20"/>
                <w:highlight w:val="black"/>
              </w:rPr>
              <w:t>''''''''</w:t>
            </w:r>
          </w:p>
        </w:tc>
        <w:tc>
          <w:tcPr>
            <w:tcW w:w="3544" w:type="dxa"/>
            <w:shd w:val="clear" w:color="auto" w:fill="auto"/>
            <w:noWrap/>
            <w:vAlign w:val="bottom"/>
            <w:hideMark/>
          </w:tcPr>
          <w:p w:rsidR="009C31E7" w:rsidRPr="005E775B" w:rsidRDefault="005E775B" w:rsidP="00FE1E40">
            <w:pPr>
              <w:spacing w:after="0"/>
              <w:jc w:val="right"/>
              <w:rPr>
                <w:rFonts w:eastAsia="Times New Roman" w:cs="Arial"/>
                <w:sz w:val="20"/>
                <w:szCs w:val="20"/>
                <w:highlight w:val="black"/>
              </w:rPr>
            </w:pPr>
            <w:r>
              <w:rPr>
                <w:rFonts w:eastAsia="Times New Roman" w:cs="Arial"/>
                <w:noProof/>
                <w:color w:val="000000"/>
                <w:sz w:val="20"/>
                <w:szCs w:val="20"/>
                <w:highlight w:val="black"/>
              </w:rPr>
              <w:t>''''''''</w:t>
            </w:r>
          </w:p>
        </w:tc>
      </w:tr>
      <w:tr w:rsidR="009C31E7" w:rsidRPr="00E7214A" w:rsidTr="00FE1E40">
        <w:trPr>
          <w:trHeight w:val="255"/>
        </w:trPr>
        <w:tc>
          <w:tcPr>
            <w:tcW w:w="1560" w:type="dxa"/>
            <w:shd w:val="clear" w:color="auto" w:fill="auto"/>
            <w:hideMark/>
          </w:tcPr>
          <w:p w:rsidR="009C31E7" w:rsidRPr="005E775B" w:rsidRDefault="005E775B" w:rsidP="00FE1E40">
            <w:pPr>
              <w:spacing w:after="0"/>
              <w:ind w:firstLineChars="100" w:firstLine="200"/>
              <w:rPr>
                <w:rFonts w:eastAsia="Times New Roman" w:cs="Arial"/>
                <w:sz w:val="20"/>
                <w:szCs w:val="20"/>
                <w:highlight w:val="black"/>
              </w:rPr>
            </w:pPr>
            <w:r>
              <w:rPr>
                <w:noProof/>
                <w:color w:val="000000"/>
                <w:sz w:val="20"/>
                <w:szCs w:val="20"/>
                <w:highlight w:val="black"/>
              </w:rPr>
              <w:t>'''''''''' '''</w:t>
            </w:r>
          </w:p>
        </w:tc>
        <w:tc>
          <w:tcPr>
            <w:tcW w:w="3260" w:type="dxa"/>
            <w:vAlign w:val="bottom"/>
          </w:tcPr>
          <w:p w:rsidR="009C31E7" w:rsidRPr="005E775B" w:rsidRDefault="005E775B" w:rsidP="00FE1E40">
            <w:pPr>
              <w:spacing w:after="0"/>
              <w:jc w:val="right"/>
              <w:rPr>
                <w:rFonts w:eastAsia="Times New Roman" w:cs="Arial"/>
                <w:sz w:val="20"/>
                <w:szCs w:val="20"/>
                <w:highlight w:val="black"/>
              </w:rPr>
            </w:pPr>
            <w:r>
              <w:rPr>
                <w:rFonts w:cs="Arial"/>
                <w:noProof/>
                <w:color w:val="000000"/>
                <w:sz w:val="20"/>
                <w:szCs w:val="20"/>
                <w:highlight w:val="black"/>
              </w:rPr>
              <w:t>''''''''</w:t>
            </w:r>
          </w:p>
        </w:tc>
        <w:tc>
          <w:tcPr>
            <w:tcW w:w="3544" w:type="dxa"/>
            <w:shd w:val="clear" w:color="auto" w:fill="auto"/>
            <w:noWrap/>
            <w:vAlign w:val="bottom"/>
            <w:hideMark/>
          </w:tcPr>
          <w:p w:rsidR="009C31E7" w:rsidRPr="005E775B" w:rsidRDefault="005E775B" w:rsidP="00FE1E40">
            <w:pPr>
              <w:spacing w:after="0"/>
              <w:jc w:val="right"/>
              <w:rPr>
                <w:rFonts w:eastAsia="Times New Roman" w:cs="Arial"/>
                <w:sz w:val="20"/>
                <w:szCs w:val="20"/>
                <w:highlight w:val="black"/>
              </w:rPr>
            </w:pPr>
            <w:r>
              <w:rPr>
                <w:rFonts w:eastAsia="Times New Roman" w:cs="Arial"/>
                <w:noProof/>
                <w:color w:val="000000"/>
                <w:sz w:val="20"/>
                <w:szCs w:val="20"/>
                <w:highlight w:val="black"/>
              </w:rPr>
              <w:t>''''''''</w:t>
            </w:r>
          </w:p>
        </w:tc>
      </w:tr>
      <w:tr w:rsidR="009C31E7" w:rsidRPr="00E7214A" w:rsidTr="00FE1E40">
        <w:trPr>
          <w:trHeight w:val="255"/>
        </w:trPr>
        <w:tc>
          <w:tcPr>
            <w:tcW w:w="1560" w:type="dxa"/>
            <w:shd w:val="clear" w:color="auto" w:fill="auto"/>
            <w:hideMark/>
          </w:tcPr>
          <w:p w:rsidR="009C31E7" w:rsidRPr="005E775B" w:rsidRDefault="005E775B" w:rsidP="00FE1E40">
            <w:pPr>
              <w:spacing w:after="0"/>
              <w:ind w:firstLineChars="100" w:firstLine="200"/>
              <w:rPr>
                <w:rFonts w:eastAsia="Times New Roman" w:cs="Arial"/>
                <w:sz w:val="20"/>
                <w:szCs w:val="20"/>
                <w:highlight w:val="black"/>
              </w:rPr>
            </w:pPr>
            <w:r>
              <w:rPr>
                <w:noProof/>
                <w:color w:val="000000"/>
                <w:sz w:val="20"/>
                <w:szCs w:val="20"/>
                <w:highlight w:val="black"/>
              </w:rPr>
              <w:t>''''''''' '''</w:t>
            </w:r>
          </w:p>
        </w:tc>
        <w:tc>
          <w:tcPr>
            <w:tcW w:w="3260" w:type="dxa"/>
            <w:vAlign w:val="bottom"/>
          </w:tcPr>
          <w:p w:rsidR="009C31E7" w:rsidRPr="005E775B" w:rsidRDefault="005E775B" w:rsidP="00FE1E40">
            <w:pPr>
              <w:spacing w:after="0"/>
              <w:jc w:val="right"/>
              <w:rPr>
                <w:rFonts w:eastAsia="Times New Roman" w:cs="Arial"/>
                <w:sz w:val="20"/>
                <w:szCs w:val="20"/>
                <w:highlight w:val="black"/>
              </w:rPr>
            </w:pPr>
            <w:r>
              <w:rPr>
                <w:rFonts w:cs="Arial"/>
                <w:noProof/>
                <w:color w:val="000000"/>
                <w:sz w:val="20"/>
                <w:szCs w:val="20"/>
                <w:highlight w:val="black"/>
              </w:rPr>
              <w:t>''''''</w:t>
            </w:r>
          </w:p>
        </w:tc>
        <w:tc>
          <w:tcPr>
            <w:tcW w:w="3544" w:type="dxa"/>
            <w:shd w:val="clear" w:color="auto" w:fill="auto"/>
            <w:noWrap/>
            <w:vAlign w:val="bottom"/>
            <w:hideMark/>
          </w:tcPr>
          <w:p w:rsidR="009C31E7" w:rsidRPr="005E775B" w:rsidRDefault="005E775B" w:rsidP="00FE1E40">
            <w:pPr>
              <w:spacing w:after="0"/>
              <w:jc w:val="right"/>
              <w:rPr>
                <w:rFonts w:eastAsia="Times New Roman" w:cs="Arial"/>
                <w:sz w:val="20"/>
                <w:szCs w:val="20"/>
                <w:highlight w:val="black"/>
              </w:rPr>
            </w:pPr>
            <w:r>
              <w:rPr>
                <w:rFonts w:eastAsia="Times New Roman" w:cs="Arial"/>
                <w:noProof/>
                <w:color w:val="000000"/>
                <w:sz w:val="20"/>
                <w:szCs w:val="20"/>
                <w:highlight w:val="black"/>
              </w:rPr>
              <w:t>'''''''''</w:t>
            </w:r>
          </w:p>
        </w:tc>
      </w:tr>
      <w:tr w:rsidR="009C31E7" w:rsidRPr="00E7214A" w:rsidTr="00FE1E40">
        <w:trPr>
          <w:trHeight w:val="255"/>
        </w:trPr>
        <w:tc>
          <w:tcPr>
            <w:tcW w:w="1560" w:type="dxa"/>
            <w:shd w:val="clear" w:color="auto" w:fill="auto"/>
            <w:hideMark/>
          </w:tcPr>
          <w:p w:rsidR="009C31E7" w:rsidRPr="005E775B" w:rsidRDefault="005E775B" w:rsidP="00FE1E40">
            <w:pPr>
              <w:spacing w:after="0"/>
              <w:ind w:firstLineChars="100" w:firstLine="200"/>
              <w:rPr>
                <w:rFonts w:eastAsia="Times New Roman" w:cs="Arial"/>
                <w:sz w:val="20"/>
                <w:szCs w:val="20"/>
                <w:highlight w:val="black"/>
              </w:rPr>
            </w:pPr>
            <w:r>
              <w:rPr>
                <w:noProof/>
                <w:color w:val="000000"/>
                <w:sz w:val="20"/>
                <w:szCs w:val="20"/>
                <w:highlight w:val="black"/>
              </w:rPr>
              <w:t>''''''''' '''</w:t>
            </w:r>
          </w:p>
        </w:tc>
        <w:tc>
          <w:tcPr>
            <w:tcW w:w="3260" w:type="dxa"/>
            <w:vAlign w:val="bottom"/>
          </w:tcPr>
          <w:p w:rsidR="009C31E7" w:rsidRPr="005E775B" w:rsidRDefault="005E775B" w:rsidP="00FE1E40">
            <w:pPr>
              <w:spacing w:after="0"/>
              <w:jc w:val="right"/>
              <w:rPr>
                <w:rFonts w:eastAsia="Times New Roman" w:cs="Arial"/>
                <w:sz w:val="20"/>
                <w:szCs w:val="20"/>
                <w:highlight w:val="black"/>
              </w:rPr>
            </w:pPr>
            <w:r>
              <w:rPr>
                <w:rFonts w:cs="Arial"/>
                <w:noProof/>
                <w:color w:val="000000"/>
                <w:sz w:val="20"/>
                <w:szCs w:val="20"/>
                <w:highlight w:val="black"/>
              </w:rPr>
              <w:t>''''''</w:t>
            </w:r>
          </w:p>
        </w:tc>
        <w:tc>
          <w:tcPr>
            <w:tcW w:w="3544" w:type="dxa"/>
            <w:shd w:val="clear" w:color="auto" w:fill="auto"/>
            <w:noWrap/>
            <w:vAlign w:val="bottom"/>
            <w:hideMark/>
          </w:tcPr>
          <w:p w:rsidR="009C31E7" w:rsidRPr="005E775B" w:rsidRDefault="005E775B" w:rsidP="00FE1E40">
            <w:pPr>
              <w:spacing w:after="0"/>
              <w:jc w:val="right"/>
              <w:rPr>
                <w:rFonts w:eastAsia="Times New Roman" w:cs="Arial"/>
                <w:sz w:val="20"/>
                <w:szCs w:val="20"/>
                <w:highlight w:val="black"/>
              </w:rPr>
            </w:pPr>
            <w:r>
              <w:rPr>
                <w:rFonts w:eastAsia="Times New Roman" w:cs="Arial"/>
                <w:noProof/>
                <w:color w:val="000000"/>
                <w:sz w:val="20"/>
                <w:szCs w:val="20"/>
                <w:highlight w:val="black"/>
              </w:rPr>
              <w:t>''''''''</w:t>
            </w:r>
          </w:p>
        </w:tc>
      </w:tr>
    </w:tbl>
    <w:p w:rsidR="009C31E7" w:rsidRPr="005E775B" w:rsidRDefault="005E775B" w:rsidP="009C31E7">
      <w:pPr>
        <w:pStyle w:val="Notes"/>
        <w:rPr>
          <w:highlight w:val="black"/>
        </w:rPr>
      </w:pPr>
      <w:r>
        <w:rPr>
          <w:noProof/>
          <w:color w:val="000000"/>
          <w:highlight w:val="black"/>
        </w:rPr>
        <w:t>''''''''''''' ''''''''''''''''''' '''''''''' ''''''''''''''''''''' ''''''''''''''''''' ''''''''''' '''''''''''''''''''''''''''''''''''''''''''''''''''''''''''''' ''''''''''''''''''''''''' '''''''' ''''''''''''''''''''''''' '''''''' '''''''''''''''''''''''''''' ''''''' ''''''''''''''' ''''''''''''''''' '''''''''</w:t>
      </w:r>
    </w:p>
    <w:p w:rsidR="009C31E7" w:rsidRPr="005E775B" w:rsidRDefault="005E775B" w:rsidP="009C31E7">
      <w:pPr>
        <w:rPr>
          <w:highlight w:val="black"/>
        </w:rPr>
      </w:pPr>
      <w:r>
        <w:rPr>
          <w:noProof/>
          <w:color w:val="000000"/>
          <w:highlight w:val="black"/>
        </w:rPr>
        <w:t>'''''''' '''''''''''''''''''' ''''' '''''''''''''''''''' ''''' ''''''''''' ''''''''''''''''''''' '''''''''' '''''''' ''''' '''''''''''''''''''''''''''' ''''''''''''''''' ''' '''''''''''''' ''''' ''''''''''''''''' '''''''' '''' '''''''''''' ''''' '''''' '''''''''''''''''' ''''''''''''''''''''''' '''''''''' '''''' '''''' ''''''''''' '''''' '''''''''''''''' '''''''' ''''' '''''' ''''' ''''''''' ''''''''''' '''' '''''''''''''' ''''''''' '''''''''''''''' '''''''' ''''''' ''' '''''''''' ''''''''''''''' ''' '''''''''''''''''' '''''''' ''''' ''''''''' ''''''''''''''''''' '''' '''' '''''''''''' '''''''''''''''''''' '''''''''''' '''' '''''''''' ''''''''''''''' '''''''''''' ''''' '''''''''''''' ''''''''''''''''' '''''''''''''''' ''''''' ''''''''''''''''''''''' ''''''''' '''''''' '''''''''''' ''''''' '''''''''''''''''' ''''''''''' ''''''''''''''''''' '''''''''''''''''' '''''''''''''''''''' ''''''''''' '''' '''''''''' ''''''''''' ''''''''' '''''' '''''''''''''''''''' '''''''''''' ''''' '''''''''''</w:t>
      </w:r>
    </w:p>
    <w:p w:rsidR="009C31E7" w:rsidRPr="005E775B" w:rsidRDefault="005E775B" w:rsidP="009C31E7">
      <w:pPr>
        <w:rPr>
          <w:highlight w:val="black"/>
        </w:rPr>
      </w:pPr>
      <w:r>
        <w:rPr>
          <w:noProof/>
          <w:color w:val="000000"/>
          <w:highlight w:val="black"/>
        </w:rPr>
        <w:t>''''''' '''''''''''''''''''' ''''''''''''''''''' ''''''' '''''''''''''' '''''''''''''' ''''' ''''''''''''''''''' '''''' ''''''''' '''''' '''''''''''''''''''''' ''''''' ''''''''''''''''''''''' ''''''''''' ''''' ''''' '''''''''''' '''''''''''''''''' ''''''' '''''''''' '''''''''''''''' ''''' '''''''''''''''''' ''''''''''' '''''''''''''''''''''''' '''' '''''''''''''''''''''' '''''' '''''''''''''''' ''''''''''''''' '''''''''''''''''''' ''''' '''''''''''' ''''''''''' ''' ''''''''''''''''''''''''''' ''' '''''' ''''''''' ''''''''''''''' '''' '''''''''''''''''''''' ''''''''''''''''''''' ''''''''''' ''''''''' ''''''''''''''''''''' '''''''''''' '''''''' ''''''''''' '''''''''''''' '''''''' ''' '''''' ''''''''' '''''''''''''''''' ''''''''''''' '''''''' ''''''''''' '''' ''''''' '''''''''''' ''''''''''''''''''''''</w:t>
      </w:r>
    </w:p>
    <w:p w:rsidR="00403745" w:rsidRDefault="00403745" w:rsidP="00403745">
      <w:pPr>
        <w:pStyle w:val="Tabletitle"/>
        <w:keepNext/>
      </w:pPr>
      <w:r>
        <w:t>Table 4</w:t>
      </w:r>
      <w:r w:rsidR="00C132CE">
        <w:t>5</w:t>
      </w:r>
      <w:r>
        <w:t xml:space="preserve">: Predicted number of injections administered per patient of </w:t>
      </w:r>
      <w:r w:rsidRPr="00A76739">
        <w:t xml:space="preserve">aflibercept </w:t>
      </w:r>
      <w:r>
        <w:t>for BRVO</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6"/>
        <w:tblDescription w:val="Aflibercept use for BRVO"/>
      </w:tblPr>
      <w:tblGrid>
        <w:gridCol w:w="1716"/>
        <w:gridCol w:w="1190"/>
        <w:gridCol w:w="1191"/>
        <w:gridCol w:w="1191"/>
        <w:gridCol w:w="1191"/>
        <w:gridCol w:w="1191"/>
      </w:tblGrid>
      <w:tr w:rsidR="009C31E7" w:rsidRPr="00541C88" w:rsidTr="00FE1E40">
        <w:trPr>
          <w:trHeight w:val="300"/>
        </w:trPr>
        <w:tc>
          <w:tcPr>
            <w:tcW w:w="1716" w:type="dxa"/>
            <w:shd w:val="clear" w:color="auto" w:fill="BFBFBF" w:themeFill="background1" w:themeFillShade="BF"/>
            <w:noWrap/>
            <w:vAlign w:val="bottom"/>
            <w:hideMark/>
          </w:tcPr>
          <w:p w:rsidR="009C31E7" w:rsidRPr="005E775B" w:rsidRDefault="009C31E7" w:rsidP="00FE1E40">
            <w:pPr>
              <w:spacing w:after="0"/>
              <w:rPr>
                <w:rFonts w:ascii="Calibri" w:eastAsia="Times New Roman" w:hAnsi="Calibri" w:cs="Times New Roman"/>
                <w:b/>
                <w:color w:val="000000"/>
                <w:sz w:val="20"/>
                <w:szCs w:val="20"/>
              </w:rPr>
            </w:pPr>
          </w:p>
        </w:tc>
        <w:tc>
          <w:tcPr>
            <w:tcW w:w="1190" w:type="dxa"/>
            <w:shd w:val="clear" w:color="auto" w:fill="BFBFBF" w:themeFill="background1" w:themeFillShade="BF"/>
            <w:vAlign w:val="center"/>
            <w:hideMark/>
          </w:tcPr>
          <w:p w:rsidR="009C31E7" w:rsidRPr="005E775B" w:rsidRDefault="005E775B" w:rsidP="00FE1E40">
            <w:pPr>
              <w:spacing w:after="0"/>
              <w:jc w:val="center"/>
              <w:rPr>
                <w:rFonts w:ascii="Calibri" w:eastAsia="Times New Roman" w:hAnsi="Calibri" w:cs="Times New Roman"/>
                <w:b/>
                <w:color w:val="000000"/>
                <w:sz w:val="20"/>
                <w:szCs w:val="20"/>
                <w:highlight w:val="black"/>
              </w:rPr>
            </w:pPr>
            <w:r>
              <w:rPr>
                <w:rFonts w:ascii="Calibri" w:eastAsia="Times New Roman" w:hAnsi="Calibri" w:cs="Times New Roman"/>
                <w:b/>
                <w:noProof/>
                <w:color w:val="000000"/>
                <w:sz w:val="20"/>
                <w:szCs w:val="20"/>
                <w:highlight w:val="black"/>
              </w:rPr>
              <w:t>'''''''' '''</w:t>
            </w:r>
          </w:p>
        </w:tc>
        <w:tc>
          <w:tcPr>
            <w:tcW w:w="1191" w:type="dxa"/>
            <w:shd w:val="clear" w:color="auto" w:fill="BFBFBF" w:themeFill="background1" w:themeFillShade="BF"/>
            <w:vAlign w:val="center"/>
            <w:hideMark/>
          </w:tcPr>
          <w:p w:rsidR="009C31E7" w:rsidRPr="005E775B" w:rsidRDefault="005E775B" w:rsidP="00FE1E40">
            <w:pPr>
              <w:spacing w:after="0"/>
              <w:jc w:val="center"/>
              <w:rPr>
                <w:rFonts w:ascii="Calibri" w:eastAsia="Times New Roman" w:hAnsi="Calibri" w:cs="Times New Roman"/>
                <w:b/>
                <w:color w:val="000000"/>
                <w:sz w:val="20"/>
                <w:szCs w:val="20"/>
                <w:highlight w:val="black"/>
              </w:rPr>
            </w:pPr>
            <w:r>
              <w:rPr>
                <w:rFonts w:ascii="Calibri" w:eastAsia="Times New Roman" w:hAnsi="Calibri" w:cs="Times New Roman"/>
                <w:b/>
                <w:noProof/>
                <w:color w:val="000000"/>
                <w:sz w:val="20"/>
                <w:szCs w:val="20"/>
                <w:highlight w:val="black"/>
              </w:rPr>
              <w:t>''''''''' '''</w:t>
            </w:r>
          </w:p>
        </w:tc>
        <w:tc>
          <w:tcPr>
            <w:tcW w:w="1191" w:type="dxa"/>
            <w:shd w:val="clear" w:color="auto" w:fill="BFBFBF" w:themeFill="background1" w:themeFillShade="BF"/>
            <w:vAlign w:val="center"/>
            <w:hideMark/>
          </w:tcPr>
          <w:p w:rsidR="009C31E7" w:rsidRPr="005E775B" w:rsidRDefault="005E775B" w:rsidP="00FE1E40">
            <w:pPr>
              <w:spacing w:after="0"/>
              <w:jc w:val="center"/>
              <w:rPr>
                <w:rFonts w:ascii="Calibri" w:eastAsia="Times New Roman" w:hAnsi="Calibri" w:cs="Times New Roman"/>
                <w:b/>
                <w:color w:val="000000"/>
                <w:sz w:val="20"/>
                <w:szCs w:val="20"/>
                <w:highlight w:val="black"/>
              </w:rPr>
            </w:pPr>
            <w:r>
              <w:rPr>
                <w:rFonts w:ascii="Calibri" w:eastAsia="Times New Roman" w:hAnsi="Calibri" w:cs="Times New Roman"/>
                <w:b/>
                <w:noProof/>
                <w:color w:val="000000"/>
                <w:sz w:val="20"/>
                <w:szCs w:val="20"/>
                <w:highlight w:val="black"/>
              </w:rPr>
              <w:t>'''''''' '''</w:t>
            </w:r>
          </w:p>
        </w:tc>
        <w:tc>
          <w:tcPr>
            <w:tcW w:w="1191" w:type="dxa"/>
            <w:shd w:val="clear" w:color="auto" w:fill="BFBFBF" w:themeFill="background1" w:themeFillShade="BF"/>
            <w:vAlign w:val="center"/>
            <w:hideMark/>
          </w:tcPr>
          <w:p w:rsidR="009C31E7" w:rsidRPr="005E775B" w:rsidRDefault="005E775B" w:rsidP="00FE1E40">
            <w:pPr>
              <w:spacing w:after="0"/>
              <w:jc w:val="center"/>
              <w:rPr>
                <w:rFonts w:ascii="Calibri" w:eastAsia="Times New Roman" w:hAnsi="Calibri" w:cs="Times New Roman"/>
                <w:b/>
                <w:color w:val="000000"/>
                <w:sz w:val="20"/>
                <w:szCs w:val="20"/>
                <w:highlight w:val="black"/>
              </w:rPr>
            </w:pPr>
            <w:r>
              <w:rPr>
                <w:rFonts w:ascii="Calibri" w:eastAsia="Times New Roman" w:hAnsi="Calibri" w:cs="Times New Roman"/>
                <w:b/>
                <w:noProof/>
                <w:color w:val="000000"/>
                <w:sz w:val="20"/>
                <w:szCs w:val="20"/>
                <w:highlight w:val="black"/>
              </w:rPr>
              <w:t>''''''''' '''</w:t>
            </w:r>
          </w:p>
        </w:tc>
        <w:tc>
          <w:tcPr>
            <w:tcW w:w="1191" w:type="dxa"/>
            <w:shd w:val="clear" w:color="auto" w:fill="BFBFBF" w:themeFill="background1" w:themeFillShade="BF"/>
            <w:vAlign w:val="center"/>
            <w:hideMark/>
          </w:tcPr>
          <w:p w:rsidR="009C31E7" w:rsidRPr="005E775B" w:rsidRDefault="005E775B" w:rsidP="00FE1E40">
            <w:pPr>
              <w:spacing w:after="0"/>
              <w:jc w:val="center"/>
              <w:rPr>
                <w:rFonts w:ascii="Calibri" w:eastAsia="Times New Roman" w:hAnsi="Calibri" w:cs="Times New Roman"/>
                <w:b/>
                <w:color w:val="000000"/>
                <w:sz w:val="20"/>
                <w:szCs w:val="20"/>
                <w:highlight w:val="black"/>
              </w:rPr>
            </w:pPr>
            <w:r>
              <w:rPr>
                <w:rFonts w:ascii="Calibri" w:eastAsia="Times New Roman" w:hAnsi="Calibri" w:cs="Times New Roman"/>
                <w:b/>
                <w:noProof/>
                <w:color w:val="000000"/>
                <w:sz w:val="20"/>
                <w:szCs w:val="20"/>
                <w:highlight w:val="black"/>
              </w:rPr>
              <w:t>'''''''' '''</w:t>
            </w:r>
          </w:p>
        </w:tc>
      </w:tr>
      <w:tr w:rsidR="009C31E7" w:rsidRPr="00541C88" w:rsidTr="00FE1E40">
        <w:trPr>
          <w:trHeight w:val="300"/>
        </w:trPr>
        <w:tc>
          <w:tcPr>
            <w:tcW w:w="1716" w:type="dxa"/>
            <w:shd w:val="clear" w:color="auto" w:fill="auto"/>
            <w:noWrap/>
            <w:vAlign w:val="center"/>
            <w:hideMark/>
          </w:tcPr>
          <w:p w:rsidR="009C31E7" w:rsidRPr="005E775B" w:rsidRDefault="005E775B" w:rsidP="00403745">
            <w:pPr>
              <w:spacing w:after="0"/>
              <w:ind w:firstLineChars="100" w:firstLine="200"/>
              <w:jc w:val="right"/>
              <w:rPr>
                <w:rFonts w:ascii="Calibri" w:eastAsia="Times New Roman" w:hAnsi="Calibri" w:cs="Times New Roman"/>
                <w:bCs/>
                <w:color w:val="000000"/>
                <w:sz w:val="20"/>
                <w:szCs w:val="20"/>
                <w:highlight w:val="black"/>
              </w:rPr>
            </w:pPr>
            <w:r>
              <w:rPr>
                <w:rFonts w:ascii="Calibri" w:eastAsia="Times New Roman" w:hAnsi="Calibri" w:cs="Times New Roman"/>
                <w:bCs/>
                <w:noProof/>
                <w:color w:val="000000"/>
                <w:sz w:val="20"/>
                <w:szCs w:val="20"/>
                <w:highlight w:val="black"/>
              </w:rPr>
              <w:t>'''''''''''''''''''</w:t>
            </w:r>
          </w:p>
        </w:tc>
        <w:tc>
          <w:tcPr>
            <w:tcW w:w="1190"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r w:rsidR="009C31E7" w:rsidRPr="00541C88" w:rsidTr="00FE1E40">
        <w:trPr>
          <w:trHeight w:val="300"/>
        </w:trPr>
        <w:tc>
          <w:tcPr>
            <w:tcW w:w="1716" w:type="dxa"/>
            <w:shd w:val="clear" w:color="auto" w:fill="auto"/>
            <w:noWrap/>
            <w:vAlign w:val="center"/>
            <w:hideMark/>
          </w:tcPr>
          <w:p w:rsidR="009C31E7" w:rsidRPr="005E775B" w:rsidRDefault="005E775B" w:rsidP="00403745">
            <w:pPr>
              <w:spacing w:after="0"/>
              <w:ind w:firstLineChars="100" w:firstLine="200"/>
              <w:jc w:val="right"/>
              <w:rPr>
                <w:rFonts w:ascii="Calibri" w:eastAsia="Times New Roman" w:hAnsi="Calibri" w:cs="Times New Roman"/>
                <w:bCs/>
                <w:color w:val="000000"/>
                <w:sz w:val="20"/>
                <w:szCs w:val="20"/>
                <w:highlight w:val="black"/>
              </w:rPr>
            </w:pPr>
            <w:r>
              <w:rPr>
                <w:rFonts w:ascii="Calibri" w:eastAsia="Times New Roman" w:hAnsi="Calibri" w:cs="Times New Roman"/>
                <w:bCs/>
                <w:noProof/>
                <w:color w:val="000000"/>
                <w:sz w:val="20"/>
                <w:szCs w:val="20"/>
                <w:highlight w:val="black"/>
              </w:rPr>
              <w:t>''''''''''''''''''''''</w:t>
            </w:r>
          </w:p>
        </w:tc>
        <w:tc>
          <w:tcPr>
            <w:tcW w:w="1190"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c>
          <w:tcPr>
            <w:tcW w:w="1191" w:type="dxa"/>
            <w:shd w:val="clear" w:color="auto" w:fill="auto"/>
            <w:noWrap/>
            <w:vAlign w:val="center"/>
            <w:hideMark/>
          </w:tcPr>
          <w:p w:rsidR="009C31E7" w:rsidRPr="005E775B" w:rsidRDefault="005E775B" w:rsidP="00FE1E40">
            <w:pPr>
              <w:spacing w:after="0"/>
              <w:jc w:val="center"/>
              <w:rPr>
                <w:rFonts w:ascii="Calibri" w:eastAsia="Times New Roman" w:hAnsi="Calibri" w:cs="Times New Roman"/>
                <w:color w:val="000000"/>
                <w:sz w:val="20"/>
                <w:szCs w:val="20"/>
                <w:highlight w:val="black"/>
              </w:rPr>
            </w:pPr>
            <w:r>
              <w:rPr>
                <w:rFonts w:ascii="Calibri" w:eastAsia="Times New Roman" w:hAnsi="Calibri" w:cs="Times New Roman"/>
                <w:noProof/>
                <w:color w:val="000000"/>
                <w:sz w:val="20"/>
                <w:szCs w:val="20"/>
                <w:highlight w:val="black"/>
              </w:rPr>
              <w:t>''''''''</w:t>
            </w:r>
          </w:p>
        </w:tc>
      </w:tr>
    </w:tbl>
    <w:p w:rsidR="009C31E7" w:rsidRPr="005E775B" w:rsidRDefault="005E775B" w:rsidP="009C31E7">
      <w:pPr>
        <w:pStyle w:val="Notes"/>
        <w:rPr>
          <w:highlight w:val="black"/>
        </w:rPr>
      </w:pPr>
      <w:r>
        <w:rPr>
          <w:noProof/>
          <w:color w:val="000000"/>
          <w:highlight w:val="black"/>
        </w:rPr>
        <w:t>'''''''''''''' ''''''''''''''''''''' '''''''''''' '''''''''''''''''''''' ''''''''''''''''''' ''''''''''' '''''''''''''''''' ''''''''''''''''''''''' '''''''''''''''' ''''''''' '''''''''''''''''''''' ''''''''''''' '''''''' ''''''''''''''''' '''''''''</w:t>
      </w:r>
    </w:p>
    <w:p w:rsidR="009C31E7" w:rsidRPr="005E775B" w:rsidRDefault="005E775B" w:rsidP="009C31E7">
      <w:pPr>
        <w:rPr>
          <w:highlight w:val="black"/>
        </w:rPr>
      </w:pPr>
      <w:r>
        <w:rPr>
          <w:noProof/>
          <w:color w:val="000000"/>
          <w:highlight w:val="black"/>
        </w:rPr>
        <w:t>'''''''' ''''''''''''''''''''' ''''''''''''''''''''''''' '''''' '''''''''' '''''' '''''''' ''''''''''' '''''''''''''''''''''''''' ''''''''''' '''' '''''' ''''''''''''''' ''''''''''''''''' '''''' ''''''''''''''''''''' ''''''''''''''' '''''' ''''''''''''''' ''''' ''''''''''''''''' '''''''''''''''' ''''' ''''''' '''''''''''' '''''''''''''''' ''''''''''''''''''' ''''' ''''''''' ''''''''' '''' ''''''''''''''</w:t>
      </w:r>
    </w:p>
    <w:p w:rsidR="00657C67" w:rsidRPr="005E775B" w:rsidRDefault="005E775B" w:rsidP="00657C67">
      <w:pPr>
        <w:rPr>
          <w:highlight w:val="black"/>
        </w:rPr>
      </w:pPr>
      <w:r>
        <w:rPr>
          <w:noProof/>
          <w:color w:val="000000"/>
          <w:highlight w:val="black"/>
        </w:rPr>
        <w:t>''''''' ''''''''''''''''''''''' ''''' '''''''''' '''''''''''''''''''' ''''''''''' '''''''' ''''''''''' '''''''''''''''''''' ''''''''''' '''''''' ''''''''' ''''' '''''''''''''''''''''''''''' '''''''''''''''''' ''''''''''''''' ''''''' ''''''''''''''''' '''''' '''''''''''''''''''''' ''''''''' ''''''''''' ''''' '' '''''''''''''' '''''''''' '''''''''''' '''''''''' '''' '''''''''''' '''''''' ''''' '''''' ''''''''''' '''' '''''''''''''''''''''''' '''''''' '''''''''''''''''' ''''''''''''''' ''''''''''' ''''''' ''''''''' '''''' '''''''''''''''''''''' '''''''''''''''''''</w:t>
      </w:r>
    </w:p>
    <w:p w:rsidR="00242301" w:rsidRDefault="00242301">
      <w:pPr>
        <w:spacing w:line="276" w:lineRule="auto"/>
        <w:rPr>
          <w:b/>
        </w:rPr>
      </w:pPr>
      <w:r>
        <w:br w:type="page"/>
      </w:r>
    </w:p>
    <w:p w:rsidR="00403745" w:rsidRDefault="00403745" w:rsidP="00403745">
      <w:pPr>
        <w:pStyle w:val="Tabletitle"/>
      </w:pPr>
      <w:r>
        <w:lastRenderedPageBreak/>
        <w:t>Table 4</w:t>
      </w:r>
      <w:r w:rsidR="00C132CE">
        <w:t>6</w:t>
      </w:r>
      <w:r>
        <w:t xml:space="preserve">: Aflibercept </w:t>
      </w:r>
      <w:r w:rsidRPr="009706F0">
        <w:t>actual versus predicted utilisation</w:t>
      </w:r>
      <w:r>
        <w:t xml:space="preserve"> for RVO</w:t>
      </w:r>
    </w:p>
    <w:tbl>
      <w:tblPr>
        <w:tblW w:w="9087" w:type="dxa"/>
        <w:tblInd w:w="93" w:type="dxa"/>
        <w:tblLayout w:type="fixed"/>
        <w:tblLook w:val="04A0" w:firstRow="1" w:lastRow="0" w:firstColumn="1" w:lastColumn="0" w:noHBand="0" w:noVBand="1"/>
        <w:tblCaption w:val="Table 47"/>
        <w:tblDescription w:val="Aflibercept use for RVO"/>
      </w:tblPr>
      <w:tblGrid>
        <w:gridCol w:w="2142"/>
        <w:gridCol w:w="1389"/>
        <w:gridCol w:w="1389"/>
        <w:gridCol w:w="1389"/>
        <w:gridCol w:w="1389"/>
        <w:gridCol w:w="1389"/>
      </w:tblGrid>
      <w:tr w:rsidR="00A13524" w:rsidRPr="00A13524" w:rsidTr="00927ECA">
        <w:trPr>
          <w:trHeight w:val="300"/>
        </w:trPr>
        <w:tc>
          <w:tcPr>
            <w:tcW w:w="214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0F5E05" w:rsidRPr="00A13524" w:rsidRDefault="000F5E05" w:rsidP="00927ECA">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1</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0F5E05" w:rsidRPr="00A13524" w:rsidRDefault="000F5E05" w:rsidP="00927ECA">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2</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0F5E05" w:rsidRPr="00A13524" w:rsidRDefault="000F5E05" w:rsidP="00927ECA">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3</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0F5E05" w:rsidRPr="00A13524" w:rsidRDefault="000F5E05" w:rsidP="00927ECA">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4</w:t>
            </w:r>
          </w:p>
        </w:tc>
        <w:tc>
          <w:tcPr>
            <w:tcW w:w="1389" w:type="dxa"/>
            <w:tcBorders>
              <w:top w:val="single" w:sz="4" w:space="0" w:color="auto"/>
              <w:left w:val="nil"/>
              <w:bottom w:val="single" w:sz="4" w:space="0" w:color="auto"/>
              <w:right w:val="single" w:sz="4" w:space="0" w:color="auto"/>
            </w:tcBorders>
            <w:shd w:val="clear" w:color="000000" w:fill="BFBFBF"/>
            <w:noWrap/>
            <w:vAlign w:val="center"/>
            <w:hideMark/>
          </w:tcPr>
          <w:p w:rsidR="000F5E05" w:rsidRPr="00A13524" w:rsidRDefault="000F5E05" w:rsidP="00927ECA">
            <w:pPr>
              <w:spacing w:after="0"/>
              <w:jc w:val="center"/>
              <w:rPr>
                <w:rFonts w:ascii="Calibri" w:eastAsia="Times New Roman" w:hAnsi="Calibri" w:cs="Times New Roman"/>
                <w:b/>
                <w:bCs/>
                <w:sz w:val="20"/>
                <w:szCs w:val="20"/>
              </w:rPr>
            </w:pPr>
            <w:r w:rsidRPr="00A13524">
              <w:rPr>
                <w:rFonts w:ascii="Calibri" w:eastAsia="Times New Roman" w:hAnsi="Calibri" w:cs="Arial"/>
                <w:b/>
                <w:bCs/>
                <w:sz w:val="20"/>
                <w:szCs w:val="20"/>
              </w:rPr>
              <w:t>Year 5</w:t>
            </w:r>
          </w:p>
        </w:tc>
      </w:tr>
      <w:tr w:rsidR="00A13524" w:rsidRPr="00A13524" w:rsidTr="00927ECA">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Total number of patients treated per year </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BRVO</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1,934</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4,148</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6,211</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311052">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CRVO</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1,286</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3,099</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4,799</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311052">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Total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3,191</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7,118</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10,781</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hideMark/>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r>
      <w:tr w:rsidR="00A13524" w:rsidRPr="00A13524" w:rsidTr="00927ECA">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Total number of injections</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BRVO</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4,817</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16,957</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27,634</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311052">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CRVO</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3,087</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12,393</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20,406</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311052">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 </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Total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Predicted</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Arial"/>
                <w:sz w:val="20"/>
                <w:szCs w:val="20"/>
              </w:rPr>
              <w:t>Actual</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7,904</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29,350</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r w:rsidRPr="00A13524">
              <w:rPr>
                <w:rFonts w:ascii="Calibri" w:eastAsia="Times New Roman" w:hAnsi="Calibri" w:cs="Times New Roman"/>
                <w:sz w:val="20"/>
                <w:szCs w:val="20"/>
              </w:rPr>
              <w:t>48,040</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r w:rsidR="00A13524" w:rsidRPr="00A13524" w:rsidTr="00927ECA">
        <w:trPr>
          <w:trHeight w:val="300"/>
        </w:trPr>
        <w:tc>
          <w:tcPr>
            <w:tcW w:w="2142" w:type="dxa"/>
            <w:tcBorders>
              <w:top w:val="nil"/>
              <w:left w:val="single" w:sz="4" w:space="0" w:color="auto"/>
              <w:bottom w:val="single" w:sz="4" w:space="0" w:color="auto"/>
              <w:right w:val="single" w:sz="4" w:space="0" w:color="auto"/>
            </w:tcBorders>
            <w:shd w:val="clear" w:color="auto" w:fill="auto"/>
            <w:vAlign w:val="center"/>
          </w:tcPr>
          <w:p w:rsidR="000F5E05" w:rsidRPr="00A13524" w:rsidRDefault="000F5E05" w:rsidP="00927ECA">
            <w:pPr>
              <w:spacing w:after="0"/>
              <w:rPr>
                <w:rFonts w:ascii="Calibri" w:eastAsia="Times New Roman" w:hAnsi="Calibri" w:cs="Times New Roman"/>
                <w:sz w:val="20"/>
                <w:szCs w:val="20"/>
              </w:rPr>
            </w:pPr>
            <w:r w:rsidRPr="00A13524">
              <w:rPr>
                <w:rFonts w:ascii="Calibri" w:eastAsia="Times New Roman" w:hAnsi="Calibri" w:cs="Times New Roman"/>
                <w:sz w:val="20"/>
                <w:szCs w:val="20"/>
              </w:rPr>
              <w:t>Difference</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bottom"/>
          </w:tcPr>
          <w:p w:rsidR="000F5E05" w:rsidRPr="005E775B" w:rsidRDefault="005E775B" w:rsidP="00927ECA">
            <w:pPr>
              <w:spacing w:after="0"/>
              <w:jc w:val="right"/>
              <w:rPr>
                <w:rFonts w:ascii="Calibri" w:eastAsia="Times New Roman" w:hAnsi="Calibri" w:cs="Times New Roman"/>
                <w:sz w:val="20"/>
                <w:szCs w:val="20"/>
                <w:highlight w:val="black"/>
              </w:rPr>
            </w:pPr>
            <w:r>
              <w:rPr>
                <w:rFonts w:ascii="Calibri" w:eastAsia="Times New Roman" w:hAnsi="Calibri" w:cs="Times New Roman"/>
                <w:noProof/>
                <w:color w:val="000000"/>
                <w:sz w:val="20"/>
                <w:szCs w:val="20"/>
                <w:highlight w:val="black"/>
              </w:rPr>
              <w:t>'''''''''</w:t>
            </w: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0F5E05" w:rsidRPr="00A13524" w:rsidRDefault="000F5E05" w:rsidP="00927ECA">
            <w:pPr>
              <w:spacing w:after="0"/>
              <w:jc w:val="right"/>
              <w:rPr>
                <w:rFonts w:ascii="Calibri" w:eastAsia="Times New Roman" w:hAnsi="Calibri" w:cs="Times New Roman"/>
                <w:sz w:val="20"/>
                <w:szCs w:val="20"/>
              </w:rPr>
            </w:pPr>
          </w:p>
        </w:tc>
      </w:tr>
    </w:tbl>
    <w:p w:rsidR="00ED5506" w:rsidRPr="005E775B" w:rsidRDefault="005E775B" w:rsidP="00904133">
      <w:pPr>
        <w:pStyle w:val="Notes"/>
        <w:rPr>
          <w:highlight w:val="black"/>
        </w:rPr>
      </w:pPr>
      <w:r>
        <w:rPr>
          <w:noProof/>
          <w:color w:val="000000"/>
          <w:highlight w:val="black"/>
        </w:rPr>
        <w:t>'''''''''' ''''''''' '''''''' ''''''''''''''''' '''' ''''''' ''''''''''''''''''''' '''''''''''' ''''''''''''''''''''' '''''''''''''''''''''' ''''' '''''' ''''''''''''''''''' ''''''''''''''''''' '''' ''''''''''</w:t>
      </w:r>
    </w:p>
    <w:p w:rsidR="003A3ABC" w:rsidRPr="005E775B" w:rsidRDefault="005E775B" w:rsidP="00FE4055">
      <w:pPr>
        <w:rPr>
          <w:highlight w:val="black"/>
        </w:rPr>
      </w:pPr>
      <w:r>
        <w:rPr>
          <w:noProof/>
          <w:color w:val="000000"/>
          <w:highlight w:val="black"/>
        </w:rPr>
        <w:t>'''''''' ''''''''''''''''' ''''' ''''''' '''''''''''''' ''''' '''''''''''''''' '''''''''''''' ''''''''' '''''''''''''''''''' ''''''''' '''''''''''''''''''''''''' ''''''''''''''''''''''''''' '''' '''''' ''''''''''''''''''''''''' ''''''''''''''''' ''''''''''' '''''''''''''''''''' '''''' '''''' '''''''''''' '''''' '''''''''''''' '''''''''''' ''''''''''''' '''''''''''' ''''''''''''''''''''''''' '''''''''' ''''''''''''''' ''''''''''''' '''''''''' ''''' '''''' '''''''''''''''''''''''' ''''''''''''''''''''' '''''' '''''''''' ''''''' ''''''''''''''''''''' ''''''''''''' ''''' '''''''''''''''''''' '''''''''' ''' ''''''''''''''''' '''''''' '''''''' ''' ''''''' '''' ''''''''''''''''''''''' ''''' ''''''''''''''''' ''''''''''''''' '''''' '''''''''''' ''''''' ''''''''''''''''''''' ''''''''''''' ''''' '''''''''''''''''' ''''''''' ''' '''''''''''''''' ''''''''' ''''''' ''' '''''''''''''''''''' '''' ''''''''''''''' '''''''' '''''''''''' ''''''''''''' '''''''''''''''' ''' '''''' ''''''''''''''''' ''''''''' ''''''' ''''''''''''''' '''' ''''''''' ''''''''''' ''''''''''''''' ''' ''' '''''''''''''''' '''''' ''''''''''''''''''' ''''''''' ''''''''''''''''''''''''''''''' '''''''' ''''' ''''''' '''''''''' '''''''''' ''''''''''''''''' ''' ''' '''''''''''''' '''''''' '''''''''''''''''' ''''''' ''''''''''''' ''''' ''''''''''''''''''''''''''''''' ''''''' ''''''''''''''''''' '''''''' ''''''' ''''''''''' '''' ''''''''''''</w:t>
      </w:r>
    </w:p>
    <w:p w:rsidR="003A3ABC" w:rsidRPr="005E775B" w:rsidRDefault="005E775B" w:rsidP="003A3ABC">
      <w:r>
        <w:rPr>
          <w:noProof/>
          <w:color w:val="000000"/>
          <w:highlight w:val="black"/>
        </w:rPr>
        <w:t>''''''' '''''''''' ''''''''''''''' ''''' ''''''''''''''''''' '''''''''''''''''' '''''''' ''''''''''''''''''''''''''''''' ''''' ''''''''' ''''''''''''''''' '''''' ''''''''''''''''' '''''' ''''''''''''' '''''''''' ''''''''''''''''''''''''''''' '''''' '''''''''''''''''''' '''''''''''''''''''' '''''''''''''''''''' '''''''''''''''' '''''''''''' ''''''''''''' '''''' ''''''''''''''''' '''' ''''''''' ''''''' ''''''''' ''''' ''''''''''''''''''' ''''''' ''''''''''''' '''''''''''''''' '''' '''''''''''</w:t>
      </w:r>
      <w:r w:rsidR="003A3ABC">
        <w:t xml:space="preserve"> </w:t>
      </w:r>
      <w:r>
        <w:rPr>
          <w:noProof/>
          <w:color w:val="000000"/>
          <w:highlight w:val="black"/>
        </w:rPr>
        <w:lastRenderedPageBreak/>
        <w:t>''''''''' ''''''''''''''''''''' '''''''' ''''' ''''''''''''''''' '''''''' ''''''''''''''''' '''' '''''''''' ''''''' '''''''' '''''' '''''''''''''''' '''''''' '''''''''''''''' '''' ''''''''''''</w:t>
      </w:r>
    </w:p>
    <w:p w:rsidR="00E72028" w:rsidRPr="005E775B" w:rsidRDefault="005E775B" w:rsidP="00E72028">
      <w:pPr>
        <w:rPr>
          <w:highlight w:val="black"/>
        </w:rPr>
      </w:pPr>
      <w:r>
        <w:rPr>
          <w:noProof/>
          <w:color w:val="000000"/>
          <w:highlight w:val="black"/>
        </w:rPr>
        <w:t>''''''' ''''''''''''''''''''' ''''' '''''''''''''''''''''' '''''' ''''''''''' ''''''''''''''''' ''' ''''''''''''''''' '''''''''''''''''' '''''''' '''' '''''''''' '''''''' '''''' ''''''''''' '''''''''''''''' ''' '''''''''''''''' ''''''''''''''''''' ''''''' ''''' ''''''''''' ''''''''''''''' '''''''''''''' '''' ''''''''''''''''''''''''' '''''' '''''''' '''''' ''''''''''''''''' '''''''''' ''' '''''''''''''''' '''' '''''''''</w:t>
      </w:r>
    </w:p>
    <w:p w:rsidR="00591512" w:rsidRPr="00E72028" w:rsidRDefault="00AB3733" w:rsidP="000355FB">
      <w:pPr>
        <w:pStyle w:val="Heading1"/>
      </w:pPr>
      <w:bookmarkStart w:id="59" w:name="_Toc513038057"/>
      <w:r w:rsidRPr="000355FB">
        <w:t>D</w:t>
      </w:r>
      <w:r w:rsidR="007346C7" w:rsidRPr="000355FB">
        <w:t>iscussion</w:t>
      </w:r>
      <w:bookmarkEnd w:id="59"/>
    </w:p>
    <w:p w:rsidR="00E21D5C" w:rsidRDefault="00B6175C" w:rsidP="00F4327D">
      <w:r>
        <w:t xml:space="preserve">In consideration of the 2015 </w:t>
      </w:r>
      <w:r w:rsidR="00491A9F">
        <w:t xml:space="preserve">AMD report, DUSC noted that the patterns of use evolved over several years from the time when ranibizumab was listed and considered it too early to assess whether the availability of aflibercept will change patterns of use in Australian clinical practice. </w:t>
      </w:r>
      <w:r w:rsidR="008F29FF">
        <w:t>The current analysis suggests the use of aflibercept has continued to grow and aflibercept has become the market leader</w:t>
      </w:r>
      <w:r w:rsidR="00F4327D">
        <w:t xml:space="preserve">, but </w:t>
      </w:r>
      <w:r w:rsidR="008F29FF">
        <w:t>has</w:t>
      </w:r>
      <w:r w:rsidR="00F4327D">
        <w:t xml:space="preserve"> not</w:t>
      </w:r>
      <w:r w:rsidR="008F29FF">
        <w:t xml:space="preserve"> changed patterns of use. </w:t>
      </w:r>
    </w:p>
    <w:p w:rsidR="00F4327D" w:rsidRDefault="00F4327D" w:rsidP="00F4327D">
      <w:r>
        <w:t>For AMD,</w:t>
      </w:r>
      <w:r w:rsidR="00E21D5C">
        <w:t xml:space="preserve"> DMO and RVO</w:t>
      </w:r>
      <w:r>
        <w:t xml:space="preserve"> the number of injections in a patient’s first year of treatment are nearly identical for patients solely treated with either ranibizumab or aflibercept, and similar for patients who initiate on one and switch to the other within the year.</w:t>
      </w:r>
      <w:r w:rsidR="00865624">
        <w:t xml:space="preserve"> This is consistent with the PBAC’s consideration that the price of aflibercept should be based on an injection: injection basis.</w:t>
      </w:r>
      <w:r>
        <w:t xml:space="preserve"> It appears that the advice received in response to the 2015 analysis, that clinicians are using a “treat and extend” regimen to treat AMD, is continuing. </w:t>
      </w:r>
    </w:p>
    <w:p w:rsidR="00865624" w:rsidRDefault="00865624" w:rsidP="00865624">
      <w:r>
        <w:t>Use of medicines for AMD has continued to grow since the 2015 DUSC report. In 2017 50,964 patients were treated for AMD. Of the patients who initiated in 2007, 21% received a treatment for AMD in 2017. As the original estimates for AMD were for five years, it is difficult to determine whether it was predicted that AMD would be treated for more than 10 years in some patients. None of the PBS listings for AMD, DMO or RVO include continuation criteria. It is unclear what benefit patients are getting from treatment after this long, although this analysis is complicated by the possibility of use in the patients second eye years after initiation in the first.</w:t>
      </w:r>
    </w:p>
    <w:p w:rsidR="00865624" w:rsidRDefault="00865624" w:rsidP="00865624">
      <w:pPr>
        <w:pStyle w:val="CommentText"/>
        <w:rPr>
          <w:sz w:val="24"/>
          <w:szCs w:val="24"/>
        </w:rPr>
      </w:pPr>
      <w:r>
        <w:rPr>
          <w:sz w:val="24"/>
          <w:szCs w:val="24"/>
        </w:rPr>
        <w:t>The</w:t>
      </w:r>
      <w:r w:rsidRPr="004602F3">
        <w:rPr>
          <w:sz w:val="24"/>
          <w:szCs w:val="24"/>
        </w:rPr>
        <w:t xml:space="preserve"> </w:t>
      </w:r>
      <w:r>
        <w:rPr>
          <w:sz w:val="24"/>
          <w:szCs w:val="24"/>
        </w:rPr>
        <w:t xml:space="preserve">overall use of </w:t>
      </w:r>
      <w:r w:rsidRPr="004602F3">
        <w:rPr>
          <w:sz w:val="24"/>
          <w:szCs w:val="24"/>
        </w:rPr>
        <w:t>ranibizumab and aflibercept</w:t>
      </w:r>
      <w:r>
        <w:rPr>
          <w:sz w:val="24"/>
          <w:szCs w:val="24"/>
        </w:rPr>
        <w:t xml:space="preserve"> did increase following the listings of DMO and RVO, but the </w:t>
      </w:r>
      <w:r w:rsidRPr="004602F3">
        <w:rPr>
          <w:sz w:val="24"/>
          <w:szCs w:val="24"/>
        </w:rPr>
        <w:t>majority of use of ranibizumab and aflibercept is for AMD</w:t>
      </w:r>
      <w:r>
        <w:rPr>
          <w:sz w:val="24"/>
          <w:szCs w:val="24"/>
        </w:rPr>
        <w:t>. In 2017</w:t>
      </w:r>
      <w:r w:rsidRPr="00222189">
        <w:rPr>
          <w:sz w:val="24"/>
          <w:szCs w:val="24"/>
        </w:rPr>
        <w:t xml:space="preserve"> 50,964 </w:t>
      </w:r>
      <w:r>
        <w:rPr>
          <w:sz w:val="24"/>
          <w:szCs w:val="24"/>
        </w:rPr>
        <w:t xml:space="preserve">patients were treated for AMD, </w:t>
      </w:r>
      <w:r w:rsidRPr="00222189">
        <w:rPr>
          <w:sz w:val="24"/>
          <w:szCs w:val="24"/>
        </w:rPr>
        <w:t xml:space="preserve">11,137 </w:t>
      </w:r>
      <w:r>
        <w:rPr>
          <w:sz w:val="24"/>
          <w:szCs w:val="24"/>
        </w:rPr>
        <w:t xml:space="preserve">for DMO (excluding dexamethasone implant), and </w:t>
      </w:r>
      <w:r w:rsidRPr="00222189">
        <w:rPr>
          <w:sz w:val="24"/>
          <w:szCs w:val="24"/>
        </w:rPr>
        <w:t xml:space="preserve">10,781 </w:t>
      </w:r>
      <w:r>
        <w:rPr>
          <w:sz w:val="24"/>
          <w:szCs w:val="24"/>
        </w:rPr>
        <w:t xml:space="preserve">for RVO. The number of patients treated for DMO and RVO appear similar, although the mean number of injections for DMO is higher per patient than for RVO. </w:t>
      </w:r>
    </w:p>
    <w:p w:rsidR="00865624" w:rsidRDefault="00865624" w:rsidP="00865624">
      <w:pPr>
        <w:pStyle w:val="CommentText"/>
        <w:rPr>
          <w:sz w:val="24"/>
          <w:szCs w:val="24"/>
        </w:rPr>
      </w:pPr>
      <w:r>
        <w:rPr>
          <w:sz w:val="24"/>
          <w:szCs w:val="24"/>
        </w:rPr>
        <w:t>This is not consistent with the predicted number of treated patients as it was predicted the number of patients treated for DMO would be approximately twice the number of patients treated for RVO. A comparison of predicted and actual patient numbers suggests this inconsistency is due to both indications, as DMO was overestimated, and RVO was underestimated.</w:t>
      </w:r>
    </w:p>
    <w:p w:rsidR="007E4911" w:rsidRDefault="007E4911" w:rsidP="007E4911">
      <w:r>
        <w:t>In 2017, 11,137 patients were treated for DMO with VEGF inhibitors</w:t>
      </w:r>
      <w:r w:rsidR="004D56C2">
        <w:t xml:space="preserve">. </w:t>
      </w:r>
      <w:r w:rsidR="00A85FD0">
        <w:t xml:space="preserve">The number of treated patients and the number of injections per patient were overestimated. </w:t>
      </w:r>
      <w:r w:rsidR="004D56C2">
        <w:t xml:space="preserve">Patients who initiated in 2016 received an average of 8.72 VEGF inhibitor injections in their first 12 </w:t>
      </w:r>
      <w:r w:rsidR="004D56C2">
        <w:lastRenderedPageBreak/>
        <w:t xml:space="preserve">months of treatment. The mean age of patients </w:t>
      </w:r>
      <w:r w:rsidR="004D56C2" w:rsidRPr="0045228F">
        <w:t xml:space="preserve">initiating ranibizumab or aflibercept </w:t>
      </w:r>
      <w:r w:rsidR="004D56C2">
        <w:t xml:space="preserve">for DMO </w:t>
      </w:r>
      <w:r w:rsidR="004D56C2" w:rsidRPr="0045228F">
        <w:t xml:space="preserve">was </w:t>
      </w:r>
      <w:r w:rsidR="004D56C2">
        <w:t>64</w:t>
      </w:r>
      <w:r w:rsidR="004D56C2" w:rsidRPr="0045228F">
        <w:t>.</w:t>
      </w:r>
    </w:p>
    <w:p w:rsidR="007E4911" w:rsidRDefault="007E4911" w:rsidP="007E4911">
      <w:r>
        <w:t>In 2017, 995 patients were supplied 2,197 dexamethasone implants for DMO. Dexamethasone implant is restricted to use in patients who are unsuitable for, contraindicated to, or who have failed VEGF inhibitors. Of the 995 patients supplied dexamethasone in 2017 approximately half had previously received ranibizumab and/or aflibercept.</w:t>
      </w:r>
    </w:p>
    <w:p w:rsidR="007E4911" w:rsidRDefault="00A85FD0" w:rsidP="007E4911">
      <w:r>
        <w:t>Use of medicines for RVO is higher than expected because the number of treated patients and continuation rates were underestimated. The average number of injections per patient is lower than expected.</w:t>
      </w:r>
      <w:r w:rsidR="007E4911">
        <w:t xml:space="preserve"> In 2017 10,781 patients were treated for RVO. Since listing, the mean age of patients initiating ranibizumab or aflibercept for RVO was 73</w:t>
      </w:r>
      <w:r w:rsidR="00644580">
        <w:t xml:space="preserve"> years</w:t>
      </w:r>
      <w:r w:rsidR="007E4911">
        <w:t>. Continuation rates and the number of injections per person are similar for BRVO and CRVO.</w:t>
      </w:r>
    </w:p>
    <w:p w:rsidR="007E4911" w:rsidRDefault="007E4911" w:rsidP="007E4911">
      <w:r>
        <w:t>A high proportion (39 %) of patients commencing PBS subsidised treatment for RVO had previous or subsequent PBS prescriptions for AMD and/or DMO. This was not anticipated. It is possible that there may have been some use of ranibizumab or aflibercept for RVO outside of the restrictions before it was listed.</w:t>
      </w:r>
    </w:p>
    <w:p w:rsidR="007E4911" w:rsidRDefault="007E4911" w:rsidP="007E4911">
      <w:r>
        <w:t>Consistent with the disease aetiology, the proportion of bilateral treatment is higher for DMO than for AMD, and very low in RVO. For DMO approximately 30% of prescriptions are supplied with a quantity of two indicating bilateral treatment. For AMD approximately 10% of prescriptions are supplied with a quantity of two.</w:t>
      </w:r>
    </w:p>
    <w:p w:rsidR="00B41A16" w:rsidRDefault="00B41A16" w:rsidP="00B41A16">
      <w:pPr>
        <w:pStyle w:val="Heading1"/>
      </w:pPr>
      <w:r>
        <w:t>DUSC consideration</w:t>
      </w:r>
    </w:p>
    <w:p w:rsidR="00D85006" w:rsidRPr="00292F2F" w:rsidRDefault="00D85006" w:rsidP="00D85006">
      <w:r w:rsidRPr="00292F2F">
        <w:t xml:space="preserve">DUSC noted the utilisation analysis shows the use of these medicines has continued to grow, and the rate of growth does not appear to be slowing. DUSC commented the growth is predominantly driven by use in AMD, but noted there was an additional increase in the market following the listings for DMO and RVO. </w:t>
      </w:r>
    </w:p>
    <w:p w:rsidR="00D85006" w:rsidRPr="00292F2F" w:rsidRDefault="00D85006" w:rsidP="00D85006">
      <w:r w:rsidRPr="00292F2F">
        <w:t xml:space="preserve">DUSC commented that patient characteristics such as age, the proportion of bilateral treatment, the number of injections per prescription and continuation for each indication are consistent with expectations and the disease aetiology. </w:t>
      </w:r>
    </w:p>
    <w:p w:rsidR="00D85006" w:rsidRPr="00292F2F" w:rsidRDefault="00D85006" w:rsidP="00D85006">
      <w:r w:rsidRPr="00292F2F">
        <w:t>DUSC noted there are no continuation criteria in the PBS restrictions for any of the listed indications for patients to access continuing treatment. DUSC commented the time horizon for the original consideration of cost-effectiveness was five years. DUSC noted the report showed approximately 50% of initiating AMD patients were still treated five years after initiation, and one quarter of initiating AMD patients were treated beyond 10 years. DUSC considered ESC or PBAC may wish to consider whether use beyond five years is cost-effective.</w:t>
      </w:r>
    </w:p>
    <w:p w:rsidR="00D85006" w:rsidRPr="00292F2F" w:rsidRDefault="00D85006" w:rsidP="00D85006"/>
    <w:p w:rsidR="00D85006" w:rsidRPr="00292F2F" w:rsidRDefault="00D85006" w:rsidP="00D85006">
      <w:r w:rsidRPr="00292F2F">
        <w:lastRenderedPageBreak/>
        <w:t xml:space="preserve">DUSC commented that the analysis of the number of injections per patient per year by year of initiation suggested that over time patients are being treated more intensively in their first year of treatment. DUSC considered this is partly driven by switching since aflibercept has listed, as patients who have switched are treated with a second induction phase of the new medicine. </w:t>
      </w:r>
    </w:p>
    <w:p w:rsidR="00D85006" w:rsidRPr="00292F2F" w:rsidRDefault="00D85006" w:rsidP="00D85006">
      <w:r w:rsidRPr="00292F2F">
        <w:t xml:space="preserve">DUSC noted the report showed the use of RVO was underestimated. DUSC commented that the limited data in the report suggested the treatment duration of RVO may be longer than expected, and RVO patients may be treated more frequently than predicted. </w:t>
      </w:r>
    </w:p>
    <w:p w:rsidR="00D85006" w:rsidRPr="00C132CE" w:rsidRDefault="00D85006" w:rsidP="00D85006">
      <w:r w:rsidRPr="00292F2F">
        <w:t xml:space="preserve">DUSC noted the report showed the use </w:t>
      </w:r>
      <w:r w:rsidRPr="00C132CE">
        <w:t>of DMO was overestimated. DUSC noted the sponsor of aflibercept and the sponsor of ranibizumab questioned whether the data regarding indication contains pharmacy coding errors. DUSC considered the overestimate of DMO could be partially explained if some patients were treated under the AMD restriction for DMO.</w:t>
      </w:r>
    </w:p>
    <w:p w:rsidR="00D85006" w:rsidRPr="00C132CE" w:rsidRDefault="00D85006" w:rsidP="00D85006">
      <w:r w:rsidRPr="00C132CE">
        <w:t>DUSC noted that dexamethasone implant was recommended on the basis of inferior effectiveness and inferior safety compared to ranibizumab and aflibercept. DUSC noted 995 patients were treated with dexamethasone implants in 2017, and these patients used an average number of 2.21 injections per patient, which suggests the average dosage frequency was six months.</w:t>
      </w:r>
    </w:p>
    <w:p w:rsidR="00D85006" w:rsidRPr="00C132CE" w:rsidRDefault="00D85006" w:rsidP="00D85006">
      <w:r w:rsidRPr="00C132CE">
        <w:t xml:space="preserve">DUSC noted the proportion of dexamethasone implant prescriptions dispensed with a quantity of two injections was 17.49% in 2017. DUSC commented that overall, use of dexamethasone is low, but considered there is early evidence that dexamethasone implants may be being used inappropriately. DUSC suggested that because of its inferior effectiveness and inferior safety, the use of dexamethasone should be further monitored. </w:t>
      </w:r>
    </w:p>
    <w:p w:rsidR="00D85006" w:rsidRPr="00C132CE" w:rsidRDefault="00D85006" w:rsidP="00C132CE">
      <w:r w:rsidRPr="00C132CE">
        <w:t>DUSC noted the response from the sponsor of aflibercept, which included an analysis of a 10% sample of PBS data. DUSC noted the analysis included some analyses replicated from the DUSC report, and some further analyses. DUSC noted the response found the average ages of persons receiving medicines for the three indications were similar to the findings of the DUSC report.</w:t>
      </w:r>
    </w:p>
    <w:p w:rsidR="00D85006" w:rsidRPr="00C132CE" w:rsidRDefault="00D85006" w:rsidP="00D85006">
      <w:r w:rsidRPr="00C132CE">
        <w:t xml:space="preserve">DUSC noted the response stated 25% of patients switched to aflibercept from ranibizumab, and that the response suggested this implicitly implies aflibercept is a more effective treatment. DUSC considered that as the second agent to market, it was expected that more patients will switch to aflibercept rather than from aflibercept. </w:t>
      </w:r>
    </w:p>
    <w:p w:rsidR="00D85006" w:rsidRPr="00C132CE" w:rsidRDefault="00D85006" w:rsidP="00D85006">
      <w:r w:rsidRPr="00C132CE">
        <w:t xml:space="preserve">DUSC noted the analysis of duration presented in the response and noted that the sponsor considered this showed the length of treatment of aflibercept was longer than for ranibizumab. DUSC considered this analysis was affected by a survivor bias, due to the natural attrition from ranibizumab to aflibercept. DUSC noted that the response assumed continuing patients have stable disease, however DUSC considered this cannot be assumed or verified without health outcome data, such as visual acuity scores. DUSC considered duration estimates are not a measure of efficacy and the length of time on treatment can be affected by many things, including perceptions of efficacy or safety or frequency of administration. </w:t>
      </w:r>
    </w:p>
    <w:p w:rsidR="00D85006" w:rsidRPr="00C132CE" w:rsidRDefault="00D85006" w:rsidP="00D85006">
      <w:r w:rsidRPr="00C132CE">
        <w:lastRenderedPageBreak/>
        <w:t>DUSC noted the response included a time to refill analysis for aflibercept and ranibizumab, for treatment naïve patients who initiated on or after 1 December 2012, separated by the first three injections per patient and subsequent injections. The response stated that there is evidence of ‘treat-and-extend’ being used for all indications, particularly for AMD and CRVO. The sponsor noted that the peak at 28 days is most prominent for timing between loading doses, and the bulk of the distribution has moved to longer time between refills for subsequent doses. DUSC commented the use of ‘treat-and-extend’ protocols has previously been noted, and that the histogram of time to refill was flatter for subsequent injections than the initial three injections for both ranibizumab and aflibercept. DUSC commented the time to refill is also not linked to outcomes data, and considered the differences between the two drugs to be insubstantial.</w:t>
      </w:r>
    </w:p>
    <w:p w:rsidR="00D85006" w:rsidRPr="00C132CE" w:rsidRDefault="00D85006" w:rsidP="00D85006">
      <w:r w:rsidRPr="00C132CE">
        <w:t>The utilisation analysis compared the number of injections per patient for patients who initiated in a calendar year, stratified by whether the patient was only treated with aflibercept, only treated with ranibizumab, switched from aflibercept to ranibizumab, or switched from ranibizumab to aflibercept in that year. DUSC noted the report found the number of injections per patient was numerically lower for ranibizumab than aflibercept, and that the report stated these numbers were similar.</w:t>
      </w:r>
    </w:p>
    <w:p w:rsidR="00D85006" w:rsidRPr="00292F2F" w:rsidRDefault="00D85006" w:rsidP="00D85006">
      <w:r w:rsidRPr="00C132CE">
        <w:t>DUSC noted the sponsor of aflibercept completed a similar analysis in the 10% sample, with the additional requirement that patients received at least one prescription in the following year. DUSC noted the sponsor stated that patients stopping treatment during the year would naturally receive fewer average treatments than patients who continue treatment. DUSC noted the sponsor’s analysis showed the number of injections per patient was numerically lower for aflibercept than ranibizumab, and DUSC considered the number of injections per patient were similar.</w:t>
      </w:r>
    </w:p>
    <w:p w:rsidR="00D85006" w:rsidRPr="00292F2F" w:rsidRDefault="00D85006" w:rsidP="00D85006">
      <w:r w:rsidRPr="00292F2F">
        <w:t>DUSC noted the response from the Department of Human Services (DHS) which noted there was a high volume of authority applications received for aflibercept and ranibizumab. DHS considered that there was good prescriber behaviour and understanding of the restriction criteria for both ranibizumab and aflibercept. As such, DHS considered there may no longer be a need to have an authority level of Authority Required - Written for initial authorities and Authority Required - Telephone for continuing authorities.</w:t>
      </w:r>
      <w:r w:rsidRPr="00292F2F">
        <w:rPr>
          <w:color w:val="000000"/>
        </w:rPr>
        <w:t xml:space="preserve"> </w:t>
      </w:r>
      <w:r w:rsidRPr="00292F2F">
        <w:t xml:space="preserve">To reduce the administrative burden of these medicines, DHS raised whether it would be appropriate to relax the authority levels to </w:t>
      </w:r>
      <w:r w:rsidRPr="00292F2F">
        <w:rPr>
          <w:color w:val="000000"/>
        </w:rPr>
        <w:t>Authority Required - Telephone for initial authorities; Authority Required (STREAMLINED) for the continuing treatment phase and subsequent continuing phase</w:t>
      </w:r>
      <w:r w:rsidRPr="00292F2F">
        <w:t>.</w:t>
      </w:r>
    </w:p>
    <w:p w:rsidR="00B41A16" w:rsidRPr="00BC0309" w:rsidRDefault="00B41A16" w:rsidP="00BC0309">
      <w:pPr>
        <w:pStyle w:val="Heading1"/>
      </w:pPr>
      <w:r w:rsidRPr="00BC0309">
        <w:t>DUSC actions</w:t>
      </w:r>
    </w:p>
    <w:p w:rsidR="00D85006" w:rsidRPr="00D85006" w:rsidRDefault="00D85006" w:rsidP="00D85006">
      <w:pPr>
        <w:numPr>
          <w:ilvl w:val="0"/>
          <w:numId w:val="14"/>
        </w:numPr>
        <w:spacing w:after="0"/>
        <w:ind w:left="709"/>
        <w:contextualSpacing/>
        <w:rPr>
          <w:b/>
        </w:rPr>
      </w:pPr>
      <w:r w:rsidRPr="00D85006">
        <w:rPr>
          <w:rFonts w:cs="Times New Roman"/>
        </w:rPr>
        <w:t>DUSC requested that the report be provided to the PBAC.</w:t>
      </w:r>
    </w:p>
    <w:p w:rsidR="00D85006" w:rsidRPr="00D85006" w:rsidRDefault="00D85006" w:rsidP="00D85006">
      <w:pPr>
        <w:numPr>
          <w:ilvl w:val="0"/>
          <w:numId w:val="14"/>
        </w:numPr>
        <w:spacing w:after="0"/>
        <w:ind w:left="709"/>
        <w:contextualSpacing/>
        <w:rPr>
          <w:b/>
        </w:rPr>
      </w:pPr>
      <w:r w:rsidRPr="00D85006">
        <w:rPr>
          <w:rFonts w:cs="Times New Roman"/>
        </w:rPr>
        <w:t>DUSC requested that the Secretariat and DHS investigate whether pharmacy coding errors have affected the data.</w:t>
      </w:r>
    </w:p>
    <w:p w:rsidR="00B41A16" w:rsidRDefault="00B41A16" w:rsidP="00B41A16">
      <w:pPr>
        <w:pStyle w:val="Heading1"/>
      </w:pPr>
      <w:r>
        <w:lastRenderedPageBreak/>
        <w:t>Context for analysis</w:t>
      </w:r>
    </w:p>
    <w:p w:rsidR="00B41A16" w:rsidRDefault="00B41A16" w:rsidP="00B41A16">
      <w:r>
        <w:t>The DUSC is a Sub Committee of the Pharmaceutical Benefits Advisory Committee (PBAC). The DUSC assesses estimates on projected usage and financial cost of medicines.</w:t>
      </w:r>
    </w:p>
    <w:p w:rsidR="00B41A16" w:rsidRDefault="00B41A16" w:rsidP="00B41A16">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B41A16" w:rsidRDefault="00B41A16" w:rsidP="00B41A16">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B41A16" w:rsidRDefault="00B41A16" w:rsidP="00B41A16">
      <w:r>
        <w:t>The utilisation analysis report was provided to the pharmaceutical sponsors of each drug and comments on the report were provided to DUSC prior to its consideration of the analysis.</w:t>
      </w:r>
    </w:p>
    <w:p w:rsidR="00B41A16" w:rsidRDefault="00B41A16" w:rsidP="00B41A16">
      <w:pPr>
        <w:rPr>
          <w:rFonts w:eastAsiaTheme="majorEastAsia" w:cstheme="majorBidi"/>
          <w:b/>
          <w:bCs/>
          <w:sz w:val="32"/>
          <w:szCs w:val="32"/>
        </w:rPr>
      </w:pPr>
      <w:r w:rsidRPr="00B454FB">
        <w:rPr>
          <w:rFonts w:eastAsiaTheme="majorEastAsia" w:cstheme="majorBidi"/>
          <w:b/>
          <w:bCs/>
          <w:sz w:val="32"/>
          <w:szCs w:val="32"/>
        </w:rPr>
        <w:t>Sponsor’s comments</w:t>
      </w:r>
    </w:p>
    <w:p w:rsidR="0092781C" w:rsidRDefault="00C14065" w:rsidP="0092781C">
      <w:pPr>
        <w:pStyle w:val="Heading4"/>
        <w:rPr>
          <w:b w:val="0"/>
          <w:i w:val="0"/>
          <w:sz w:val="24"/>
          <w:szCs w:val="24"/>
        </w:rPr>
      </w:pPr>
      <w:r w:rsidRPr="00E7214A">
        <w:rPr>
          <w:b w:val="0"/>
          <w:i w:val="0"/>
          <w:sz w:val="24"/>
          <w:szCs w:val="24"/>
        </w:rPr>
        <w:t>Bayer</w:t>
      </w:r>
      <w:r w:rsidR="00E7214A" w:rsidRPr="00E7214A">
        <w:rPr>
          <w:b w:val="0"/>
          <w:i w:val="0"/>
          <w:sz w:val="24"/>
          <w:szCs w:val="24"/>
        </w:rPr>
        <w:t xml:space="preserve"> Australia Ltd</w:t>
      </w:r>
      <w:r w:rsidRPr="00E7214A">
        <w:rPr>
          <w:b w:val="0"/>
          <w:i w:val="0"/>
          <w:sz w:val="24"/>
          <w:szCs w:val="24"/>
        </w:rPr>
        <w:t xml:space="preserve">: </w:t>
      </w:r>
      <w:r w:rsidR="0092781C" w:rsidRPr="00E7214A">
        <w:rPr>
          <w:b w:val="0"/>
          <w:i w:val="0"/>
          <w:sz w:val="24"/>
          <w:szCs w:val="24"/>
        </w:rPr>
        <w:t>Bayer thanks the DUSC for the opportunity to respond to the analysis and for its consideration of our response.</w:t>
      </w:r>
    </w:p>
    <w:p w:rsidR="0092781C" w:rsidRDefault="00E7214A" w:rsidP="0092781C">
      <w:r w:rsidRPr="00E7214A">
        <w:t>Allergan Australia Pty Limited</w:t>
      </w:r>
      <w:r w:rsidR="0092781C">
        <w:t>: The sponsor has no comment.</w:t>
      </w:r>
    </w:p>
    <w:p w:rsidR="0092781C" w:rsidRPr="0092781C" w:rsidRDefault="00E7214A" w:rsidP="0092781C">
      <w:r w:rsidRPr="00E7214A">
        <w:t>Novartis Pharmaceuticals Australia Pty Limited</w:t>
      </w:r>
      <w:r w:rsidR="0092781C">
        <w:t>: The sponsor has no comment.</w:t>
      </w:r>
    </w:p>
    <w:p w:rsidR="00B41A16" w:rsidRPr="00F51D99" w:rsidRDefault="00B41A16" w:rsidP="00B41A16">
      <w:pPr>
        <w:pStyle w:val="Heading4"/>
        <w:rPr>
          <w:i w:val="0"/>
        </w:rPr>
      </w:pPr>
      <w:r w:rsidRPr="00F51D99">
        <w:rPr>
          <w:i w:val="0"/>
        </w:rPr>
        <w:t>Disclaimer</w:t>
      </w:r>
    </w:p>
    <w:p w:rsidR="00B41A16" w:rsidRDefault="00B41A16" w:rsidP="00B41A16">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B41A16" w:rsidRDefault="00B41A16" w:rsidP="00B41A16">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B41A16" w:rsidRDefault="00B41A16" w:rsidP="00B41A16">
      <w:r>
        <w:t xml:space="preserve">To the extent provided by law, DoH makes no warranties or representations as to accuracy or completeness of information contained in this report. </w:t>
      </w:r>
    </w:p>
    <w:p w:rsidR="00B41A16" w:rsidRDefault="00B41A16" w:rsidP="00B41A16">
      <w:r>
        <w:t xml:space="preserve">To the fullest extent permitted by law, neither the DoH nor any DoH employee is liable for any liability, loss, claim, damage, expense, injury or personal injury (including death), whether direct or indirect (including consequential loss and loss of profits) and however </w:t>
      </w:r>
      <w:r>
        <w:lastRenderedPageBreak/>
        <w:t>incurred (including in tort), caused or contributed to by any person’s use or misuse of the information available from this report or contained on any third party website referred to in this report.</w:t>
      </w:r>
    </w:p>
    <w:p w:rsidR="00242301" w:rsidRDefault="00242301">
      <w:pPr>
        <w:spacing w:line="276" w:lineRule="auto"/>
        <w:rPr>
          <w:rFonts w:eastAsiaTheme="majorEastAsia" w:cstheme="majorBidi"/>
          <w:b/>
          <w:bCs/>
          <w:sz w:val="32"/>
          <w:szCs w:val="32"/>
        </w:rPr>
      </w:pPr>
      <w:r>
        <w:br w:type="page"/>
      </w:r>
    </w:p>
    <w:p w:rsidR="004B306F" w:rsidRDefault="004B306F" w:rsidP="00F73113">
      <w:pPr>
        <w:pStyle w:val="Heading1"/>
      </w:pPr>
      <w:bookmarkStart w:id="60" w:name="_Toc513038058"/>
      <w:r>
        <w:lastRenderedPageBreak/>
        <w:t>References</w:t>
      </w:r>
      <w:bookmarkEnd w:id="60"/>
    </w:p>
    <w:p w:rsidR="003F5A82" w:rsidRDefault="003F5A82" w:rsidP="003F5A82">
      <w:pPr>
        <w:pStyle w:val="FootnoteText"/>
        <w:rPr>
          <w:sz w:val="24"/>
          <w:szCs w:val="24"/>
        </w:rPr>
      </w:pPr>
      <w:r w:rsidRPr="00500C66">
        <w:rPr>
          <w:sz w:val="24"/>
          <w:szCs w:val="24"/>
        </w:rPr>
        <w:t>Brown, DM et al. Intravitreal Aflibercept Injection for Macular Edema Secondary to Central Retinal Vein Occlusion: 1-Year Results From the Phase 3 COPERNICUS Study.).</w:t>
      </w:r>
      <w:r>
        <w:rPr>
          <w:sz w:val="24"/>
          <w:szCs w:val="24"/>
        </w:rPr>
        <w:t xml:space="preserve"> </w:t>
      </w:r>
      <w:r w:rsidRPr="003F5A82">
        <w:rPr>
          <w:sz w:val="24"/>
          <w:szCs w:val="24"/>
        </w:rPr>
        <w:t>Am J Ophthalmol. 2013 Mar;</w:t>
      </w:r>
      <w:r w:rsidR="00644580">
        <w:rPr>
          <w:sz w:val="24"/>
          <w:szCs w:val="24"/>
        </w:rPr>
        <w:t xml:space="preserve"> </w:t>
      </w:r>
      <w:r w:rsidRPr="003F5A82">
        <w:rPr>
          <w:sz w:val="24"/>
          <w:szCs w:val="24"/>
        </w:rPr>
        <w:t>155(3):429-437</w:t>
      </w:r>
      <w:r>
        <w:rPr>
          <w:sz w:val="24"/>
          <w:szCs w:val="24"/>
        </w:rPr>
        <w:t>.</w:t>
      </w:r>
    </w:p>
    <w:p w:rsidR="003F5A82" w:rsidRPr="003F5A82" w:rsidRDefault="003F5A82" w:rsidP="003F5A82">
      <w:pPr>
        <w:pStyle w:val="FootnoteText"/>
        <w:rPr>
          <w:sz w:val="24"/>
          <w:szCs w:val="24"/>
        </w:rPr>
      </w:pPr>
    </w:p>
    <w:p w:rsidR="0046246A" w:rsidRDefault="0046246A" w:rsidP="0046246A">
      <w:r>
        <w:t xml:space="preserve">Bunting, R. and Guymer, R. Treatment of age-related macular degeneration. </w:t>
      </w:r>
      <w:r w:rsidRPr="00C700E4">
        <w:t>Aust Prescr 2012;35:90-3.</w:t>
      </w:r>
    </w:p>
    <w:p w:rsidR="003F5A82" w:rsidRDefault="003F5A82" w:rsidP="003F5A82">
      <w:pPr>
        <w:pStyle w:val="FootnoteText"/>
        <w:rPr>
          <w:sz w:val="24"/>
          <w:szCs w:val="24"/>
        </w:rPr>
      </w:pPr>
      <w:r w:rsidRPr="00500C66">
        <w:rPr>
          <w:sz w:val="24"/>
          <w:szCs w:val="24"/>
        </w:rPr>
        <w:t>Campochiaro, PA, Heier, JS, Feiner, L, et al. Ranibizumab for Macular Oedema following Branch Retinal Vein Occlusion: Six-month Primary end Point Results of a Phase III Study. Ophthalmology, 2010; Vol 117(6): 1102-12.</w:t>
      </w:r>
    </w:p>
    <w:p w:rsidR="003F5A82" w:rsidRPr="003F5A82" w:rsidRDefault="003F5A82" w:rsidP="003F5A82">
      <w:pPr>
        <w:pStyle w:val="FootnoteText"/>
        <w:rPr>
          <w:sz w:val="24"/>
          <w:szCs w:val="24"/>
        </w:rPr>
      </w:pPr>
    </w:p>
    <w:p w:rsidR="0046246A" w:rsidRDefault="0046246A" w:rsidP="0046246A">
      <w:r w:rsidRPr="00296C79">
        <w:t xml:space="preserve">(EURETINA guidelines 2017). </w:t>
      </w:r>
      <w:r>
        <w:t>Schmidt-Erfurth, U., Garcia-Arumi, J., Bandello, F. et al. Guidelines for the Management of Diabetic Macular Edema by the European Society of Retina Specialists (EURETINA). Ophthalmologica 2017;237:185–222.</w:t>
      </w:r>
    </w:p>
    <w:p w:rsidR="003F5A82" w:rsidRDefault="003F5A82" w:rsidP="003F5A82">
      <w:r w:rsidRPr="00A22219">
        <w:t>Heier JS, Campochiaro PA, Yau L, Li Z, Saroj N, Rubio RG, et al. Ranibizumab for Macular Edema Due to Retinal Vein Occlusions: Long-term Follow-up in the HORIZON trial. Ophthalmology, 2012; Vol 119(4): 802-809</w:t>
      </w:r>
    </w:p>
    <w:p w:rsidR="003F5A82" w:rsidRPr="00500C66" w:rsidRDefault="003F5A82" w:rsidP="003F5A82">
      <w:pPr>
        <w:pStyle w:val="FootnoteText"/>
        <w:rPr>
          <w:sz w:val="24"/>
          <w:szCs w:val="24"/>
        </w:rPr>
      </w:pPr>
      <w:r w:rsidRPr="00500C66">
        <w:rPr>
          <w:sz w:val="24"/>
          <w:szCs w:val="24"/>
        </w:rPr>
        <w:t>Holz, F G et al. VEGF Trap-Eye for macular oedema secondary to central retinal vein occlusion: 6-month results of the phase III GALILEO study. British Journal of Ophthalmology (2012) Epub January 7, 2012.</w:t>
      </w:r>
    </w:p>
    <w:p w:rsidR="003F5A82" w:rsidRPr="00296C79" w:rsidRDefault="003F5A82" w:rsidP="0046246A"/>
    <w:p w:rsidR="00D37DAA" w:rsidRDefault="0046246A" w:rsidP="00D83094">
      <w:r w:rsidRPr="001445A8">
        <w:t xml:space="preserve">Horton, S. and Guly, C. Prevention and treatment of agerelated macular degeneration. Prescriber. 2017; </w:t>
      </w:r>
      <w:r w:rsidRPr="00823420">
        <w:t>Volume 28, Issue 1</w:t>
      </w:r>
      <w:r>
        <w:t xml:space="preserve">. Accessed on 26 February 2018 at: </w:t>
      </w:r>
      <w:r w:rsidR="00B80AEB" w:rsidRPr="005E775B">
        <w:rPr>
          <w:bCs/>
        </w:rPr>
        <w:t>http://onlinelibrary.wiley.com/doi/10.1002/psb.1533/pdf</w:t>
      </w:r>
      <w:r w:rsidR="00D37DAA">
        <w:t xml:space="preserve">Mitchell, P., Bandello, F., </w:t>
      </w:r>
      <w:r w:rsidR="00D37DAA" w:rsidRPr="00D37DAA">
        <w:t xml:space="preserve">Schmidt-Erfurth, U. et al. </w:t>
      </w:r>
      <w:r w:rsidR="00D37DAA">
        <w:t xml:space="preserve">Ranibizumab monotherapy or combined with laser versus laser monotherapy for diabetic macular oedema. </w:t>
      </w:r>
      <w:r w:rsidR="00D37DAA" w:rsidRPr="00D37DAA">
        <w:t>Ophthalmology 2011;118:615–625.</w:t>
      </w:r>
    </w:p>
    <w:p w:rsidR="00B80AEB" w:rsidRPr="00B80AEB" w:rsidRDefault="00B80AEB" w:rsidP="00D83094">
      <w:r>
        <w:t xml:space="preserve">(NICE 2018). National Institute for Health and Care Excellence, Age-related macular degeneration guideline (NG82), January 2018. Accessed on 5 April 2018 at: </w:t>
      </w:r>
      <w:r w:rsidRPr="00B80AEB">
        <w:t>https://www.nice.org.uk/guidance/ng82/resources/agerelated-macular-degeneration-pdf-1837691334853</w:t>
      </w:r>
    </w:p>
    <w:p w:rsidR="006F32D9" w:rsidRDefault="006F32D9" w:rsidP="00D83094">
      <w:r>
        <w:t xml:space="preserve">Shah, G.K. Treatment of retinal vein occlusion. Retina Today. 2012. Accessed on 5 April 2018 at: </w:t>
      </w:r>
      <w:r w:rsidRPr="006F32D9">
        <w:t>http://retinatoday.com/2012/03/treatment-of-retinal-vein-occlusion/</w:t>
      </w:r>
    </w:p>
    <w:p w:rsidR="0046246A" w:rsidRDefault="0046246A" w:rsidP="00D83094">
      <w:r w:rsidRPr="0063671C">
        <w:t>Sivaprasad, S.,</w:t>
      </w:r>
      <w:r>
        <w:t xml:space="preserve"> </w:t>
      </w:r>
      <w:r w:rsidRPr="0063671C">
        <w:t>Amoaku, W.M., Hykin, P. et al. The Royal College of Ophthalmologists Guidelines on retinal vein occlusions. Eye (Lond). 2015 Dec; 29(12): 1633–1638.</w:t>
      </w:r>
    </w:p>
    <w:p w:rsidR="0082280F" w:rsidRPr="0082280F" w:rsidRDefault="0082280F" w:rsidP="00D83094">
      <w:r>
        <w:t>The Royal College of Op</w:t>
      </w:r>
      <w:r w:rsidR="00FC2509">
        <w:t>h</w:t>
      </w:r>
      <w:r>
        <w:t xml:space="preserve">thalmologists. Clinical Guidelines for Retinal Vein Occlusion, July 2015. Accessed on 5 April 2018 at: </w:t>
      </w:r>
      <w:r w:rsidRPr="0082280F">
        <w:t>https://www.rcophth.ac.uk/wp-content/uploads/2015/07/Retinal-Vein-Occlusion-RVO-Guidelines-July-2015.pdf</w:t>
      </w:r>
    </w:p>
    <w:p w:rsidR="0046246A" w:rsidRPr="00792948" w:rsidRDefault="0046246A" w:rsidP="0046246A">
      <w:r>
        <w:lastRenderedPageBreak/>
        <w:t xml:space="preserve">Yonekawa, Y. and  Wolfe, J.D. </w:t>
      </w:r>
      <w:r w:rsidRPr="00F838F8">
        <w:t xml:space="preserve">Intravitreal Implant Options for Patients With Diabetic Eye Disease. </w:t>
      </w:r>
      <w:r>
        <w:t xml:space="preserve"> </w:t>
      </w:r>
      <w:r w:rsidRPr="00F838F8">
        <w:t>Retina Today. 2015; 10(6):54-58. </w:t>
      </w:r>
    </w:p>
    <w:p w:rsidR="009C31E7" w:rsidRDefault="009C31E7">
      <w:pPr>
        <w:spacing w:line="276" w:lineRule="auto"/>
      </w:pPr>
      <w:r>
        <w:br w:type="page"/>
      </w:r>
    </w:p>
    <w:p w:rsidR="009C31E7" w:rsidRDefault="009C31E7" w:rsidP="009C31E7">
      <w:pPr>
        <w:pStyle w:val="Heading1"/>
      </w:pPr>
      <w:bookmarkStart w:id="61" w:name="_Toc513038059"/>
      <w:r>
        <w:lastRenderedPageBreak/>
        <w:t>Appendix A</w:t>
      </w:r>
      <w:bookmarkEnd w:id="61"/>
    </w:p>
    <w:p w:rsidR="009C31E7" w:rsidRDefault="009C31E7" w:rsidP="009C31E7">
      <w:pPr>
        <w:pStyle w:val="Heading2"/>
      </w:pPr>
      <w:bookmarkStart w:id="62" w:name="_Toc513038060"/>
      <w:r>
        <w:t>Approach taken to estimate utilisation</w:t>
      </w:r>
      <w:bookmarkEnd w:id="62"/>
    </w:p>
    <w:p w:rsidR="009C31E7" w:rsidRDefault="009C31E7" w:rsidP="009C31E7">
      <w:pPr>
        <w:rPr>
          <w:b/>
          <w:i/>
        </w:rPr>
      </w:pPr>
      <w:r>
        <w:rPr>
          <w:b/>
          <w:i/>
        </w:rPr>
        <w:t>AMD</w:t>
      </w:r>
    </w:p>
    <w:p w:rsidR="009C31E7" w:rsidRPr="009337BB" w:rsidRDefault="009C31E7" w:rsidP="009C31E7">
      <w:pPr>
        <w:rPr>
          <w:b/>
          <w:i/>
        </w:rPr>
      </w:pPr>
      <w:r w:rsidRPr="009337BB">
        <w:rPr>
          <w:b/>
          <w:i/>
        </w:rPr>
        <w:t>Ranibizumab March 2007 PBAC submission</w:t>
      </w:r>
      <w:r>
        <w:rPr>
          <w:b/>
          <w:i/>
        </w:rPr>
        <w:t xml:space="preserve"> </w:t>
      </w:r>
    </w:p>
    <w:p w:rsidR="009C31E7" w:rsidRPr="009F29EB" w:rsidRDefault="009C31E7" w:rsidP="009C31E7">
      <w:r w:rsidRPr="009F29EB">
        <w:t xml:space="preserve">The submission’s estimate of total number of packs of ranibizumab supplied (or prescriptions dispensed) per year assumed that all newly diagnosed eyes received 7 packs in their first year of treatment and continuing eyes received 6 packs in subsequent years, with the exception of the “continuing” cohort in year one. Most of the patients in the continuing cohort in year one were counted as being new to ranibizumab treatment and assumed to receive 7 treatments, other than those who received ranibizumab via the Special Access Scheme, who will receive no more than 6 or 5 treatments in the first year of listing.  </w:t>
      </w:r>
    </w:p>
    <w:p w:rsidR="009C31E7" w:rsidRDefault="009C31E7" w:rsidP="009C31E7">
      <w:r w:rsidRPr="009F29EB">
        <w:t>The 5-year economic model incorporated the effects of a proposal offering the PBS a refund for all treatments with ranibizumab beyond 15 injections per eye for the initial three years of listing. The PBAC recommended this maximum be set on a per patient basis, because it would be administratively difficult to monitor PBS usage on a per eye basis.</w:t>
      </w:r>
    </w:p>
    <w:p w:rsidR="009C31E7" w:rsidRPr="009337BB" w:rsidRDefault="009C31E7" w:rsidP="009C31E7">
      <w:pPr>
        <w:rPr>
          <w:b/>
          <w:i/>
        </w:rPr>
      </w:pPr>
      <w:r w:rsidRPr="009337BB">
        <w:rPr>
          <w:b/>
          <w:i/>
        </w:rPr>
        <w:t>Aflibercept March 2012 PBAC submission</w:t>
      </w:r>
    </w:p>
    <w:p w:rsidR="009C31E7" w:rsidRPr="000D48A3" w:rsidRDefault="009C31E7" w:rsidP="009C31E7">
      <w:r w:rsidRPr="000D48A3">
        <w:t xml:space="preserve">The submission assumed uptake would be higher in incident patients than in patients already being treated with ranibizumab. The submission stated that these estimates assume that the likelihood of newly diagnosed patients being treated with aflibercept rather than ranibizumab will increase over time up to the end of year 3, and that patients who have not switched from ranibizumab to aflibercept by the end of year 2 will be less likely to switch in future years. The submission did not include an estimate of patients receiving bilateral treatment.  </w:t>
      </w:r>
    </w:p>
    <w:p w:rsidR="00FE645A" w:rsidRDefault="00FE645A">
      <w:pPr>
        <w:spacing w:line="276" w:lineRule="auto"/>
      </w:pPr>
    </w:p>
    <w:sectPr w:rsidR="00FE645A"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5B" w:rsidRDefault="005E775B" w:rsidP="00A35800">
      <w:r>
        <w:separator/>
      </w:r>
    </w:p>
  </w:endnote>
  <w:endnote w:type="continuationSeparator" w:id="0">
    <w:p w:rsidR="005E775B" w:rsidRDefault="005E775B"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News Gothic MT">
    <w:altName w:val="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C" w:rsidRDefault="0092781C"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92781C" w:rsidRDefault="0092781C"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92781C" w:rsidRPr="000E72C6" w:rsidRDefault="0092781C" w:rsidP="00E264A6">
            <w:pPr>
              <w:pStyle w:val="Footer"/>
              <w:jc w:val="center"/>
              <w:rPr>
                <w:i/>
                <w:sz w:val="20"/>
              </w:rPr>
            </w:pPr>
            <w:r>
              <w:rPr>
                <w:i/>
                <w:sz w:val="20"/>
              </w:rPr>
              <w:t>Public Release Document, May 2018 DUSC Meeting</w:t>
            </w:r>
          </w:p>
          <w:p w:rsidR="0092781C" w:rsidRDefault="0092781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8853FB">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8853FB">
              <w:rPr>
                <w:bCs/>
                <w:i/>
                <w:noProof/>
                <w:sz w:val="20"/>
              </w:rPr>
              <w:t>67</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81C" w:rsidRDefault="0092781C" w:rsidP="007A5733">
    <w:pPr>
      <w:pStyle w:val="Footer"/>
      <w:jc w:val="center"/>
      <w:rPr>
        <w:rStyle w:val="PageNumber"/>
      </w:rPr>
    </w:pPr>
    <w:r>
      <w:rPr>
        <w:rStyle w:val="PageNumber"/>
      </w:rPr>
      <w:t>Committee-in-Confidence</w:t>
    </w:r>
  </w:p>
  <w:p w:rsidR="0092781C" w:rsidRDefault="0092781C"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5B" w:rsidRDefault="005E775B" w:rsidP="00A35800">
      <w:r>
        <w:separator/>
      </w:r>
    </w:p>
  </w:footnote>
  <w:footnote w:type="continuationSeparator" w:id="0">
    <w:p w:rsidR="005E775B" w:rsidRDefault="005E775B" w:rsidP="00A35800">
      <w:r>
        <w:continuationSeparator/>
      </w:r>
    </w:p>
  </w:footnote>
  <w:footnote w:id="1">
    <w:p w:rsidR="0092781C" w:rsidRDefault="0092781C">
      <w:pPr>
        <w:pStyle w:val="FootnoteText"/>
      </w:pPr>
      <w:r>
        <w:rPr>
          <w:rStyle w:val="FootnoteReference"/>
        </w:rPr>
        <w:footnoteRef/>
      </w:r>
      <w:r>
        <w:t xml:space="preserve"> DHS Prescriptions database, data extraction based on the date of supply.</w:t>
      </w:r>
    </w:p>
  </w:footnote>
  <w:footnote w:id="2">
    <w:p w:rsidR="0092781C" w:rsidRDefault="0092781C">
      <w:pPr>
        <w:pStyle w:val="FootnoteText"/>
      </w:pPr>
      <w:r>
        <w:rPr>
          <w:rStyle w:val="FootnoteReference"/>
        </w:rPr>
        <w:footnoteRef/>
      </w:r>
      <w:r>
        <w:t xml:space="preserve"> </w:t>
      </w:r>
      <w:r w:rsidRPr="00B144AC">
        <w:t>https://www.whocc.no/atc</w:t>
      </w:r>
    </w:p>
  </w:footnote>
  <w:footnote w:id="3">
    <w:p w:rsidR="0092781C" w:rsidRDefault="0092781C">
      <w:pPr>
        <w:pStyle w:val="FootnoteText"/>
      </w:pPr>
      <w:r>
        <w:rPr>
          <w:rStyle w:val="FootnoteReference"/>
        </w:rPr>
        <w:footnoteRef/>
      </w:r>
      <w:r>
        <w:t xml:space="preserve"> </w:t>
      </w:r>
      <w:r w:rsidRPr="00B144AC">
        <w:t>https://www.whocc.no/atc</w:t>
      </w:r>
    </w:p>
  </w:footnote>
  <w:footnote w:id="4">
    <w:p w:rsidR="0092781C" w:rsidRPr="00BC5AE2" w:rsidRDefault="0092781C" w:rsidP="003F3803">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5DD"/>
    <w:multiLevelType w:val="hybridMultilevel"/>
    <w:tmpl w:val="9D4AA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AF6B99"/>
    <w:multiLevelType w:val="hybridMultilevel"/>
    <w:tmpl w:val="2054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4A0D03"/>
    <w:multiLevelType w:val="hybridMultilevel"/>
    <w:tmpl w:val="999EB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0CC1701"/>
    <w:multiLevelType w:val="hybridMultilevel"/>
    <w:tmpl w:val="8E82A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15A4109"/>
    <w:multiLevelType w:val="hybridMultilevel"/>
    <w:tmpl w:val="5D8AD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1A61CED"/>
    <w:multiLevelType w:val="hybridMultilevel"/>
    <w:tmpl w:val="AE64AB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4E81DFC"/>
    <w:multiLevelType w:val="hybridMultilevel"/>
    <w:tmpl w:val="37A06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5A1BAB"/>
    <w:multiLevelType w:val="hybridMultilevel"/>
    <w:tmpl w:val="62E68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6E1A2B69"/>
    <w:multiLevelType w:val="hybridMultilevel"/>
    <w:tmpl w:val="0C7C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74BA4D38"/>
    <w:multiLevelType w:val="hybridMultilevel"/>
    <w:tmpl w:val="200A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9"/>
  </w:num>
  <w:num w:numId="3">
    <w:abstractNumId w:val="2"/>
  </w:num>
  <w:num w:numId="4">
    <w:abstractNumId w:val="3"/>
  </w:num>
  <w:num w:numId="5">
    <w:abstractNumId w:val="8"/>
  </w:num>
  <w:num w:numId="6">
    <w:abstractNumId w:val="0"/>
  </w:num>
  <w:num w:numId="7">
    <w:abstractNumId w:val="5"/>
  </w:num>
  <w:num w:numId="8">
    <w:abstractNumId w:val="10"/>
  </w:num>
  <w:num w:numId="9">
    <w:abstractNumId w:val="13"/>
  </w:num>
  <w:num w:numId="10">
    <w:abstractNumId w:val="4"/>
  </w:num>
  <w:num w:numId="11">
    <w:abstractNumId w:val="1"/>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18EE"/>
    <w:rsid w:val="000059B0"/>
    <w:rsid w:val="00005EAC"/>
    <w:rsid w:val="00007E85"/>
    <w:rsid w:val="00010FF6"/>
    <w:rsid w:val="0001118E"/>
    <w:rsid w:val="00013465"/>
    <w:rsid w:val="00015CCB"/>
    <w:rsid w:val="000226B3"/>
    <w:rsid w:val="000238BF"/>
    <w:rsid w:val="00024549"/>
    <w:rsid w:val="0002797E"/>
    <w:rsid w:val="00032346"/>
    <w:rsid w:val="000355FB"/>
    <w:rsid w:val="00042D7D"/>
    <w:rsid w:val="000447D4"/>
    <w:rsid w:val="00051BB3"/>
    <w:rsid w:val="000531D3"/>
    <w:rsid w:val="00053229"/>
    <w:rsid w:val="000544B6"/>
    <w:rsid w:val="0005582C"/>
    <w:rsid w:val="0005594D"/>
    <w:rsid w:val="000604AF"/>
    <w:rsid w:val="0006495B"/>
    <w:rsid w:val="00081BD1"/>
    <w:rsid w:val="00085E3D"/>
    <w:rsid w:val="00086C11"/>
    <w:rsid w:val="000926F7"/>
    <w:rsid w:val="00092C65"/>
    <w:rsid w:val="0009339E"/>
    <w:rsid w:val="00094DCF"/>
    <w:rsid w:val="000951F1"/>
    <w:rsid w:val="000954D7"/>
    <w:rsid w:val="000A2282"/>
    <w:rsid w:val="000A6CFD"/>
    <w:rsid w:val="000B0982"/>
    <w:rsid w:val="000B1C3A"/>
    <w:rsid w:val="000B1F32"/>
    <w:rsid w:val="000B3831"/>
    <w:rsid w:val="000B6062"/>
    <w:rsid w:val="000B796C"/>
    <w:rsid w:val="000C0E4F"/>
    <w:rsid w:val="000C46BB"/>
    <w:rsid w:val="000C4D9D"/>
    <w:rsid w:val="000C7C4B"/>
    <w:rsid w:val="000C7D8B"/>
    <w:rsid w:val="000D088D"/>
    <w:rsid w:val="000D11C7"/>
    <w:rsid w:val="000D2EF7"/>
    <w:rsid w:val="000D303B"/>
    <w:rsid w:val="000D48A3"/>
    <w:rsid w:val="000E0722"/>
    <w:rsid w:val="000E331F"/>
    <w:rsid w:val="000E434E"/>
    <w:rsid w:val="000E4550"/>
    <w:rsid w:val="000E485D"/>
    <w:rsid w:val="000E572C"/>
    <w:rsid w:val="000E72C6"/>
    <w:rsid w:val="000E7C7C"/>
    <w:rsid w:val="000F1893"/>
    <w:rsid w:val="000F2A8B"/>
    <w:rsid w:val="000F2F51"/>
    <w:rsid w:val="000F3839"/>
    <w:rsid w:val="000F5E05"/>
    <w:rsid w:val="000F6722"/>
    <w:rsid w:val="000F7FFC"/>
    <w:rsid w:val="00105606"/>
    <w:rsid w:val="00105E30"/>
    <w:rsid w:val="00107059"/>
    <w:rsid w:val="00111AC2"/>
    <w:rsid w:val="00112150"/>
    <w:rsid w:val="001133CC"/>
    <w:rsid w:val="00113CF8"/>
    <w:rsid w:val="00113D74"/>
    <w:rsid w:val="00113ECE"/>
    <w:rsid w:val="00115285"/>
    <w:rsid w:val="001156FD"/>
    <w:rsid w:val="00117C5C"/>
    <w:rsid w:val="0012051D"/>
    <w:rsid w:val="0012271B"/>
    <w:rsid w:val="0012484A"/>
    <w:rsid w:val="0012648A"/>
    <w:rsid w:val="00130371"/>
    <w:rsid w:val="001310AE"/>
    <w:rsid w:val="00131290"/>
    <w:rsid w:val="00135C87"/>
    <w:rsid w:val="0014118E"/>
    <w:rsid w:val="001420B3"/>
    <w:rsid w:val="001460C4"/>
    <w:rsid w:val="00147118"/>
    <w:rsid w:val="001476F4"/>
    <w:rsid w:val="00151A03"/>
    <w:rsid w:val="00153541"/>
    <w:rsid w:val="0015385E"/>
    <w:rsid w:val="001556DB"/>
    <w:rsid w:val="0015691C"/>
    <w:rsid w:val="00156F02"/>
    <w:rsid w:val="00160C9C"/>
    <w:rsid w:val="001621F7"/>
    <w:rsid w:val="001624D7"/>
    <w:rsid w:val="00163004"/>
    <w:rsid w:val="00163DEB"/>
    <w:rsid w:val="001741C1"/>
    <w:rsid w:val="0017519B"/>
    <w:rsid w:val="001763A8"/>
    <w:rsid w:val="00177B86"/>
    <w:rsid w:val="00181577"/>
    <w:rsid w:val="001820AE"/>
    <w:rsid w:val="00182585"/>
    <w:rsid w:val="001837B8"/>
    <w:rsid w:val="0018517B"/>
    <w:rsid w:val="001863D4"/>
    <w:rsid w:val="00187A9E"/>
    <w:rsid w:val="00190D67"/>
    <w:rsid w:val="00191182"/>
    <w:rsid w:val="0019664D"/>
    <w:rsid w:val="00196D47"/>
    <w:rsid w:val="00197DAB"/>
    <w:rsid w:val="001A0B68"/>
    <w:rsid w:val="001A5304"/>
    <w:rsid w:val="001A6103"/>
    <w:rsid w:val="001B4D18"/>
    <w:rsid w:val="001B5D37"/>
    <w:rsid w:val="001C20CF"/>
    <w:rsid w:val="001C2940"/>
    <w:rsid w:val="001C4016"/>
    <w:rsid w:val="001C548D"/>
    <w:rsid w:val="001C5691"/>
    <w:rsid w:val="001C6A5D"/>
    <w:rsid w:val="001C7874"/>
    <w:rsid w:val="001D1D05"/>
    <w:rsid w:val="001D4213"/>
    <w:rsid w:val="001D5906"/>
    <w:rsid w:val="001D760F"/>
    <w:rsid w:val="001E2BC9"/>
    <w:rsid w:val="001E31A6"/>
    <w:rsid w:val="001E42C7"/>
    <w:rsid w:val="001E4CAB"/>
    <w:rsid w:val="001E5EA7"/>
    <w:rsid w:val="001F0A4E"/>
    <w:rsid w:val="001F0BEC"/>
    <w:rsid w:val="001F2F3E"/>
    <w:rsid w:val="001F4906"/>
    <w:rsid w:val="001F7C4A"/>
    <w:rsid w:val="00205751"/>
    <w:rsid w:val="0020578A"/>
    <w:rsid w:val="00206C2F"/>
    <w:rsid w:val="00207631"/>
    <w:rsid w:val="00210399"/>
    <w:rsid w:val="002120A9"/>
    <w:rsid w:val="00214013"/>
    <w:rsid w:val="002203D6"/>
    <w:rsid w:val="00220FC1"/>
    <w:rsid w:val="00221D91"/>
    <w:rsid w:val="00222189"/>
    <w:rsid w:val="00222E9A"/>
    <w:rsid w:val="002243E6"/>
    <w:rsid w:val="00230000"/>
    <w:rsid w:val="0023179D"/>
    <w:rsid w:val="00237DA1"/>
    <w:rsid w:val="00242301"/>
    <w:rsid w:val="002448D9"/>
    <w:rsid w:val="00246C41"/>
    <w:rsid w:val="00251155"/>
    <w:rsid w:val="002525AB"/>
    <w:rsid w:val="0025389D"/>
    <w:rsid w:val="00254E02"/>
    <w:rsid w:val="002576A6"/>
    <w:rsid w:val="00260E25"/>
    <w:rsid w:val="0026265F"/>
    <w:rsid w:val="00263CCB"/>
    <w:rsid w:val="00265607"/>
    <w:rsid w:val="00270452"/>
    <w:rsid w:val="00270D2E"/>
    <w:rsid w:val="00274A33"/>
    <w:rsid w:val="00275145"/>
    <w:rsid w:val="0027544C"/>
    <w:rsid w:val="00275A6E"/>
    <w:rsid w:val="0027774B"/>
    <w:rsid w:val="00280DD1"/>
    <w:rsid w:val="002823E4"/>
    <w:rsid w:val="00286C3A"/>
    <w:rsid w:val="00292F2F"/>
    <w:rsid w:val="002930F5"/>
    <w:rsid w:val="00295072"/>
    <w:rsid w:val="00297535"/>
    <w:rsid w:val="002A06B7"/>
    <w:rsid w:val="002A45BD"/>
    <w:rsid w:val="002A4846"/>
    <w:rsid w:val="002A4EB1"/>
    <w:rsid w:val="002A58ED"/>
    <w:rsid w:val="002B05D8"/>
    <w:rsid w:val="002B08BB"/>
    <w:rsid w:val="002B4997"/>
    <w:rsid w:val="002C14EC"/>
    <w:rsid w:val="002C28AA"/>
    <w:rsid w:val="002C5BC0"/>
    <w:rsid w:val="002C6E0C"/>
    <w:rsid w:val="002C76DC"/>
    <w:rsid w:val="002D088D"/>
    <w:rsid w:val="002D1366"/>
    <w:rsid w:val="002D144A"/>
    <w:rsid w:val="002D28E7"/>
    <w:rsid w:val="002D736E"/>
    <w:rsid w:val="002E02B8"/>
    <w:rsid w:val="002E02C9"/>
    <w:rsid w:val="002E19A3"/>
    <w:rsid w:val="002E212B"/>
    <w:rsid w:val="002E3337"/>
    <w:rsid w:val="002E6D03"/>
    <w:rsid w:val="002F10C9"/>
    <w:rsid w:val="002F49A8"/>
    <w:rsid w:val="002F5558"/>
    <w:rsid w:val="002F5DE7"/>
    <w:rsid w:val="002F5E66"/>
    <w:rsid w:val="002F61CA"/>
    <w:rsid w:val="0030010D"/>
    <w:rsid w:val="0030055E"/>
    <w:rsid w:val="00302D09"/>
    <w:rsid w:val="00311052"/>
    <w:rsid w:val="0031235C"/>
    <w:rsid w:val="0031539B"/>
    <w:rsid w:val="00320629"/>
    <w:rsid w:val="00321E5A"/>
    <w:rsid w:val="00324A03"/>
    <w:rsid w:val="00325CE3"/>
    <w:rsid w:val="003277EB"/>
    <w:rsid w:val="00330533"/>
    <w:rsid w:val="00334FCE"/>
    <w:rsid w:val="0033504C"/>
    <w:rsid w:val="00336816"/>
    <w:rsid w:val="003370D0"/>
    <w:rsid w:val="00337355"/>
    <w:rsid w:val="003402E4"/>
    <w:rsid w:val="00340F95"/>
    <w:rsid w:val="00340FF0"/>
    <w:rsid w:val="00341D35"/>
    <w:rsid w:val="00342585"/>
    <w:rsid w:val="00343263"/>
    <w:rsid w:val="00346B06"/>
    <w:rsid w:val="00351945"/>
    <w:rsid w:val="003531ED"/>
    <w:rsid w:val="00353F23"/>
    <w:rsid w:val="00360B43"/>
    <w:rsid w:val="00360B9A"/>
    <w:rsid w:val="003617E7"/>
    <w:rsid w:val="0036605B"/>
    <w:rsid w:val="00372A62"/>
    <w:rsid w:val="00375F57"/>
    <w:rsid w:val="00377649"/>
    <w:rsid w:val="003816A4"/>
    <w:rsid w:val="003826F4"/>
    <w:rsid w:val="00384DE8"/>
    <w:rsid w:val="003865DC"/>
    <w:rsid w:val="0039017F"/>
    <w:rsid w:val="003903F2"/>
    <w:rsid w:val="00394AEE"/>
    <w:rsid w:val="00395635"/>
    <w:rsid w:val="003A1ABA"/>
    <w:rsid w:val="003A3ABC"/>
    <w:rsid w:val="003B0249"/>
    <w:rsid w:val="003B0F92"/>
    <w:rsid w:val="003B3E27"/>
    <w:rsid w:val="003C2D98"/>
    <w:rsid w:val="003C3672"/>
    <w:rsid w:val="003C77BF"/>
    <w:rsid w:val="003D3A96"/>
    <w:rsid w:val="003D3B9C"/>
    <w:rsid w:val="003D3C5A"/>
    <w:rsid w:val="003E0DC0"/>
    <w:rsid w:val="003E20D5"/>
    <w:rsid w:val="003E62A8"/>
    <w:rsid w:val="003E6507"/>
    <w:rsid w:val="003E6A4D"/>
    <w:rsid w:val="003E700B"/>
    <w:rsid w:val="003E7E26"/>
    <w:rsid w:val="003F1BDF"/>
    <w:rsid w:val="003F3803"/>
    <w:rsid w:val="003F5A82"/>
    <w:rsid w:val="003F6FB0"/>
    <w:rsid w:val="003F714C"/>
    <w:rsid w:val="003F7F21"/>
    <w:rsid w:val="00403745"/>
    <w:rsid w:val="00403E90"/>
    <w:rsid w:val="00404260"/>
    <w:rsid w:val="00404F03"/>
    <w:rsid w:val="00410141"/>
    <w:rsid w:val="0041143D"/>
    <w:rsid w:val="004116AF"/>
    <w:rsid w:val="00412051"/>
    <w:rsid w:val="00412A32"/>
    <w:rsid w:val="004135D4"/>
    <w:rsid w:val="00413B3E"/>
    <w:rsid w:val="00415FC7"/>
    <w:rsid w:val="004208B6"/>
    <w:rsid w:val="00422275"/>
    <w:rsid w:val="00423B94"/>
    <w:rsid w:val="00425385"/>
    <w:rsid w:val="00427F72"/>
    <w:rsid w:val="00427FB6"/>
    <w:rsid w:val="00430A62"/>
    <w:rsid w:val="00436179"/>
    <w:rsid w:val="00436504"/>
    <w:rsid w:val="00442A9A"/>
    <w:rsid w:val="0044765C"/>
    <w:rsid w:val="0045228F"/>
    <w:rsid w:val="00457DC5"/>
    <w:rsid w:val="004602F3"/>
    <w:rsid w:val="00461995"/>
    <w:rsid w:val="0046246A"/>
    <w:rsid w:val="00463731"/>
    <w:rsid w:val="0046400A"/>
    <w:rsid w:val="00466A7E"/>
    <w:rsid w:val="00467B25"/>
    <w:rsid w:val="004722BC"/>
    <w:rsid w:val="00472AAE"/>
    <w:rsid w:val="00475023"/>
    <w:rsid w:val="0047561A"/>
    <w:rsid w:val="00481108"/>
    <w:rsid w:val="00484A43"/>
    <w:rsid w:val="00484D24"/>
    <w:rsid w:val="00485943"/>
    <w:rsid w:val="00486C01"/>
    <w:rsid w:val="0049042B"/>
    <w:rsid w:val="00491A9F"/>
    <w:rsid w:val="00492451"/>
    <w:rsid w:val="00493536"/>
    <w:rsid w:val="00495473"/>
    <w:rsid w:val="0049594D"/>
    <w:rsid w:val="004959CD"/>
    <w:rsid w:val="004967A8"/>
    <w:rsid w:val="004A0FE3"/>
    <w:rsid w:val="004A4541"/>
    <w:rsid w:val="004A458E"/>
    <w:rsid w:val="004A5EE8"/>
    <w:rsid w:val="004B1066"/>
    <w:rsid w:val="004B114C"/>
    <w:rsid w:val="004B11B7"/>
    <w:rsid w:val="004B23E7"/>
    <w:rsid w:val="004B306F"/>
    <w:rsid w:val="004C00AD"/>
    <w:rsid w:val="004C2CC1"/>
    <w:rsid w:val="004C3186"/>
    <w:rsid w:val="004C5042"/>
    <w:rsid w:val="004D0D1F"/>
    <w:rsid w:val="004D56C2"/>
    <w:rsid w:val="004D6A15"/>
    <w:rsid w:val="004D6A7D"/>
    <w:rsid w:val="004E096D"/>
    <w:rsid w:val="004E09C0"/>
    <w:rsid w:val="004E1C61"/>
    <w:rsid w:val="004E2318"/>
    <w:rsid w:val="004E4422"/>
    <w:rsid w:val="004F140D"/>
    <w:rsid w:val="004F27AF"/>
    <w:rsid w:val="004F47AF"/>
    <w:rsid w:val="004F69B7"/>
    <w:rsid w:val="004F7D04"/>
    <w:rsid w:val="005026D7"/>
    <w:rsid w:val="00503998"/>
    <w:rsid w:val="00503FEF"/>
    <w:rsid w:val="00504148"/>
    <w:rsid w:val="0050623B"/>
    <w:rsid w:val="00511014"/>
    <w:rsid w:val="00515442"/>
    <w:rsid w:val="0051762F"/>
    <w:rsid w:val="00520514"/>
    <w:rsid w:val="00521F6C"/>
    <w:rsid w:val="00523181"/>
    <w:rsid w:val="00524D13"/>
    <w:rsid w:val="00526401"/>
    <w:rsid w:val="0053000F"/>
    <w:rsid w:val="005339F6"/>
    <w:rsid w:val="00533C14"/>
    <w:rsid w:val="0053436E"/>
    <w:rsid w:val="005351DC"/>
    <w:rsid w:val="00535D4E"/>
    <w:rsid w:val="00535DED"/>
    <w:rsid w:val="00536042"/>
    <w:rsid w:val="00540566"/>
    <w:rsid w:val="00541C88"/>
    <w:rsid w:val="00542CA7"/>
    <w:rsid w:val="00547E09"/>
    <w:rsid w:val="005500ED"/>
    <w:rsid w:val="00553241"/>
    <w:rsid w:val="00553511"/>
    <w:rsid w:val="005620E6"/>
    <w:rsid w:val="005661B7"/>
    <w:rsid w:val="0056705E"/>
    <w:rsid w:val="00571343"/>
    <w:rsid w:val="00571C57"/>
    <w:rsid w:val="0057503A"/>
    <w:rsid w:val="00576B18"/>
    <w:rsid w:val="00585701"/>
    <w:rsid w:val="00587724"/>
    <w:rsid w:val="00591512"/>
    <w:rsid w:val="0059263A"/>
    <w:rsid w:val="0059289A"/>
    <w:rsid w:val="005954E7"/>
    <w:rsid w:val="005967CB"/>
    <w:rsid w:val="0059707C"/>
    <w:rsid w:val="005978B7"/>
    <w:rsid w:val="00597E51"/>
    <w:rsid w:val="005A0FBB"/>
    <w:rsid w:val="005A4118"/>
    <w:rsid w:val="005A4D69"/>
    <w:rsid w:val="005A52FF"/>
    <w:rsid w:val="005A7679"/>
    <w:rsid w:val="005B2D91"/>
    <w:rsid w:val="005B48B4"/>
    <w:rsid w:val="005B599B"/>
    <w:rsid w:val="005C2E6F"/>
    <w:rsid w:val="005C6661"/>
    <w:rsid w:val="005C6E3B"/>
    <w:rsid w:val="005D474B"/>
    <w:rsid w:val="005E085C"/>
    <w:rsid w:val="005E147D"/>
    <w:rsid w:val="005E1D4D"/>
    <w:rsid w:val="005E22C2"/>
    <w:rsid w:val="005E3A1E"/>
    <w:rsid w:val="005E57BB"/>
    <w:rsid w:val="005E775B"/>
    <w:rsid w:val="005F0017"/>
    <w:rsid w:val="005F2C86"/>
    <w:rsid w:val="005F36A9"/>
    <w:rsid w:val="005F434D"/>
    <w:rsid w:val="005F6A4C"/>
    <w:rsid w:val="005F7EB5"/>
    <w:rsid w:val="006014F1"/>
    <w:rsid w:val="006021F8"/>
    <w:rsid w:val="00603342"/>
    <w:rsid w:val="00603757"/>
    <w:rsid w:val="00612696"/>
    <w:rsid w:val="0061357B"/>
    <w:rsid w:val="00614A7D"/>
    <w:rsid w:val="00617EE0"/>
    <w:rsid w:val="00622CDC"/>
    <w:rsid w:val="00623919"/>
    <w:rsid w:val="00623E7B"/>
    <w:rsid w:val="006276EE"/>
    <w:rsid w:val="0063353F"/>
    <w:rsid w:val="006342D9"/>
    <w:rsid w:val="0063631C"/>
    <w:rsid w:val="00636C2A"/>
    <w:rsid w:val="0063757B"/>
    <w:rsid w:val="006377CE"/>
    <w:rsid w:val="006436C6"/>
    <w:rsid w:val="00644580"/>
    <w:rsid w:val="0064564E"/>
    <w:rsid w:val="006461E5"/>
    <w:rsid w:val="00647520"/>
    <w:rsid w:val="006477BF"/>
    <w:rsid w:val="00647E5D"/>
    <w:rsid w:val="00647F29"/>
    <w:rsid w:val="00651750"/>
    <w:rsid w:val="006525B2"/>
    <w:rsid w:val="006537D9"/>
    <w:rsid w:val="0065478A"/>
    <w:rsid w:val="00657C67"/>
    <w:rsid w:val="00664A48"/>
    <w:rsid w:val="00664EC6"/>
    <w:rsid w:val="00665DEF"/>
    <w:rsid w:val="00673417"/>
    <w:rsid w:val="00673538"/>
    <w:rsid w:val="0067375F"/>
    <w:rsid w:val="006758A6"/>
    <w:rsid w:val="00675BB1"/>
    <w:rsid w:val="006768CD"/>
    <w:rsid w:val="006775F1"/>
    <w:rsid w:val="006843E5"/>
    <w:rsid w:val="00686EEB"/>
    <w:rsid w:val="0068769A"/>
    <w:rsid w:val="00691D82"/>
    <w:rsid w:val="00692AA7"/>
    <w:rsid w:val="00694750"/>
    <w:rsid w:val="00697FEC"/>
    <w:rsid w:val="006A01D9"/>
    <w:rsid w:val="006A175F"/>
    <w:rsid w:val="006A2C06"/>
    <w:rsid w:val="006A44F5"/>
    <w:rsid w:val="006A520A"/>
    <w:rsid w:val="006A7FFC"/>
    <w:rsid w:val="006B0EA1"/>
    <w:rsid w:val="006B3995"/>
    <w:rsid w:val="006B4537"/>
    <w:rsid w:val="006B5B32"/>
    <w:rsid w:val="006B5F85"/>
    <w:rsid w:val="006B66CF"/>
    <w:rsid w:val="006B6929"/>
    <w:rsid w:val="006B709B"/>
    <w:rsid w:val="006B794C"/>
    <w:rsid w:val="006B7B08"/>
    <w:rsid w:val="006C1036"/>
    <w:rsid w:val="006C12D2"/>
    <w:rsid w:val="006C137B"/>
    <w:rsid w:val="006C54AF"/>
    <w:rsid w:val="006C58CB"/>
    <w:rsid w:val="006C603A"/>
    <w:rsid w:val="006D0111"/>
    <w:rsid w:val="006D0F9D"/>
    <w:rsid w:val="006D3011"/>
    <w:rsid w:val="006D6908"/>
    <w:rsid w:val="006E0181"/>
    <w:rsid w:val="006E40E0"/>
    <w:rsid w:val="006E6D90"/>
    <w:rsid w:val="006E6E21"/>
    <w:rsid w:val="006E7B64"/>
    <w:rsid w:val="006F0155"/>
    <w:rsid w:val="006F07FC"/>
    <w:rsid w:val="006F32D9"/>
    <w:rsid w:val="006F3594"/>
    <w:rsid w:val="00700C0E"/>
    <w:rsid w:val="00702D69"/>
    <w:rsid w:val="00705DAD"/>
    <w:rsid w:val="00710B71"/>
    <w:rsid w:val="00711B0D"/>
    <w:rsid w:val="00713ECB"/>
    <w:rsid w:val="00720CF0"/>
    <w:rsid w:val="007224CA"/>
    <w:rsid w:val="0072352C"/>
    <w:rsid w:val="007246C3"/>
    <w:rsid w:val="007247B9"/>
    <w:rsid w:val="007262E9"/>
    <w:rsid w:val="00727D85"/>
    <w:rsid w:val="00733910"/>
    <w:rsid w:val="00733EDF"/>
    <w:rsid w:val="007346C7"/>
    <w:rsid w:val="007357C9"/>
    <w:rsid w:val="00736041"/>
    <w:rsid w:val="00736FDF"/>
    <w:rsid w:val="007408C7"/>
    <w:rsid w:val="007421F2"/>
    <w:rsid w:val="00743091"/>
    <w:rsid w:val="007450CB"/>
    <w:rsid w:val="007465DA"/>
    <w:rsid w:val="007469B7"/>
    <w:rsid w:val="007470C8"/>
    <w:rsid w:val="00747D31"/>
    <w:rsid w:val="007503E8"/>
    <w:rsid w:val="00752C7F"/>
    <w:rsid w:val="0075410E"/>
    <w:rsid w:val="00754DC7"/>
    <w:rsid w:val="00757A61"/>
    <w:rsid w:val="0076688F"/>
    <w:rsid w:val="00775921"/>
    <w:rsid w:val="00775AAC"/>
    <w:rsid w:val="00776094"/>
    <w:rsid w:val="00776598"/>
    <w:rsid w:val="0077792C"/>
    <w:rsid w:val="007809AC"/>
    <w:rsid w:val="0078315F"/>
    <w:rsid w:val="00785174"/>
    <w:rsid w:val="0079228A"/>
    <w:rsid w:val="00792948"/>
    <w:rsid w:val="00793C25"/>
    <w:rsid w:val="007952B8"/>
    <w:rsid w:val="00795EEF"/>
    <w:rsid w:val="00796E84"/>
    <w:rsid w:val="007A1EF4"/>
    <w:rsid w:val="007A3ADE"/>
    <w:rsid w:val="007A3AF7"/>
    <w:rsid w:val="007A5733"/>
    <w:rsid w:val="007A5774"/>
    <w:rsid w:val="007B071E"/>
    <w:rsid w:val="007B09F3"/>
    <w:rsid w:val="007B2122"/>
    <w:rsid w:val="007D0502"/>
    <w:rsid w:val="007D147D"/>
    <w:rsid w:val="007D183E"/>
    <w:rsid w:val="007D3FF0"/>
    <w:rsid w:val="007D4F62"/>
    <w:rsid w:val="007E1BC3"/>
    <w:rsid w:val="007E288B"/>
    <w:rsid w:val="007E4911"/>
    <w:rsid w:val="007E5DDB"/>
    <w:rsid w:val="007F145D"/>
    <w:rsid w:val="007F4BA8"/>
    <w:rsid w:val="00800CD7"/>
    <w:rsid w:val="00801E74"/>
    <w:rsid w:val="0080485E"/>
    <w:rsid w:val="008142B4"/>
    <w:rsid w:val="00817F40"/>
    <w:rsid w:val="0082280F"/>
    <w:rsid w:val="00823AB6"/>
    <w:rsid w:val="00823C67"/>
    <w:rsid w:val="00823FEA"/>
    <w:rsid w:val="008257AD"/>
    <w:rsid w:val="00827830"/>
    <w:rsid w:val="00830F35"/>
    <w:rsid w:val="00832324"/>
    <w:rsid w:val="008326BE"/>
    <w:rsid w:val="00833AF0"/>
    <w:rsid w:val="00835337"/>
    <w:rsid w:val="00844912"/>
    <w:rsid w:val="00846DCD"/>
    <w:rsid w:val="00850B93"/>
    <w:rsid w:val="00851BFE"/>
    <w:rsid w:val="00851D85"/>
    <w:rsid w:val="00852067"/>
    <w:rsid w:val="008532BA"/>
    <w:rsid w:val="00853611"/>
    <w:rsid w:val="00860ADE"/>
    <w:rsid w:val="00860BB0"/>
    <w:rsid w:val="00860CCB"/>
    <w:rsid w:val="00862D9E"/>
    <w:rsid w:val="00864F47"/>
    <w:rsid w:val="008653F0"/>
    <w:rsid w:val="00865624"/>
    <w:rsid w:val="008717B7"/>
    <w:rsid w:val="00873109"/>
    <w:rsid w:val="008740A3"/>
    <w:rsid w:val="008744CD"/>
    <w:rsid w:val="00875E34"/>
    <w:rsid w:val="00877F9D"/>
    <w:rsid w:val="0088021A"/>
    <w:rsid w:val="008853FB"/>
    <w:rsid w:val="00886EFB"/>
    <w:rsid w:val="00890C09"/>
    <w:rsid w:val="0089297B"/>
    <w:rsid w:val="0089319D"/>
    <w:rsid w:val="00896E77"/>
    <w:rsid w:val="008B3552"/>
    <w:rsid w:val="008B3FFD"/>
    <w:rsid w:val="008B71EF"/>
    <w:rsid w:val="008C0ED0"/>
    <w:rsid w:val="008C360F"/>
    <w:rsid w:val="008C36CA"/>
    <w:rsid w:val="008C4959"/>
    <w:rsid w:val="008D15A4"/>
    <w:rsid w:val="008D1AA9"/>
    <w:rsid w:val="008D6EF5"/>
    <w:rsid w:val="008D6F56"/>
    <w:rsid w:val="008E1AFB"/>
    <w:rsid w:val="008E35FC"/>
    <w:rsid w:val="008E3BE9"/>
    <w:rsid w:val="008E3F8C"/>
    <w:rsid w:val="008E7338"/>
    <w:rsid w:val="008F0F24"/>
    <w:rsid w:val="008F29FF"/>
    <w:rsid w:val="008F61F9"/>
    <w:rsid w:val="008F7A20"/>
    <w:rsid w:val="009010D4"/>
    <w:rsid w:val="00902FD0"/>
    <w:rsid w:val="00903ACE"/>
    <w:rsid w:val="00904133"/>
    <w:rsid w:val="009053D3"/>
    <w:rsid w:val="0090691F"/>
    <w:rsid w:val="0091407C"/>
    <w:rsid w:val="00915057"/>
    <w:rsid w:val="009211CB"/>
    <w:rsid w:val="009229AB"/>
    <w:rsid w:val="00922F2E"/>
    <w:rsid w:val="0092781C"/>
    <w:rsid w:val="009278DF"/>
    <w:rsid w:val="00927ECA"/>
    <w:rsid w:val="009302E2"/>
    <w:rsid w:val="0093111F"/>
    <w:rsid w:val="0093148A"/>
    <w:rsid w:val="00931E6C"/>
    <w:rsid w:val="00933D96"/>
    <w:rsid w:val="009355AC"/>
    <w:rsid w:val="00935689"/>
    <w:rsid w:val="00936309"/>
    <w:rsid w:val="009371CC"/>
    <w:rsid w:val="009435A3"/>
    <w:rsid w:val="00943E8C"/>
    <w:rsid w:val="00951198"/>
    <w:rsid w:val="0095303B"/>
    <w:rsid w:val="0095344F"/>
    <w:rsid w:val="00953973"/>
    <w:rsid w:val="009541A5"/>
    <w:rsid w:val="0095647F"/>
    <w:rsid w:val="00957F92"/>
    <w:rsid w:val="00965111"/>
    <w:rsid w:val="009663B6"/>
    <w:rsid w:val="009706F0"/>
    <w:rsid w:val="00972DB2"/>
    <w:rsid w:val="00974A47"/>
    <w:rsid w:val="00977228"/>
    <w:rsid w:val="00980286"/>
    <w:rsid w:val="00983E5F"/>
    <w:rsid w:val="0098563B"/>
    <w:rsid w:val="009862A4"/>
    <w:rsid w:val="0098651B"/>
    <w:rsid w:val="00990239"/>
    <w:rsid w:val="00990DCF"/>
    <w:rsid w:val="0099670E"/>
    <w:rsid w:val="009A03CF"/>
    <w:rsid w:val="009A04C7"/>
    <w:rsid w:val="009A1D27"/>
    <w:rsid w:val="009A3ED0"/>
    <w:rsid w:val="009A42C0"/>
    <w:rsid w:val="009A4CD6"/>
    <w:rsid w:val="009A537C"/>
    <w:rsid w:val="009A5DEE"/>
    <w:rsid w:val="009A658A"/>
    <w:rsid w:val="009B5E63"/>
    <w:rsid w:val="009B6544"/>
    <w:rsid w:val="009B6C66"/>
    <w:rsid w:val="009C0886"/>
    <w:rsid w:val="009C19EE"/>
    <w:rsid w:val="009C28D0"/>
    <w:rsid w:val="009C31E7"/>
    <w:rsid w:val="009C35F2"/>
    <w:rsid w:val="009C691D"/>
    <w:rsid w:val="009C7782"/>
    <w:rsid w:val="009C7C88"/>
    <w:rsid w:val="009D1ED5"/>
    <w:rsid w:val="009D4C13"/>
    <w:rsid w:val="009D5680"/>
    <w:rsid w:val="009E0734"/>
    <w:rsid w:val="009E2118"/>
    <w:rsid w:val="009E21A7"/>
    <w:rsid w:val="009E47A5"/>
    <w:rsid w:val="009E6353"/>
    <w:rsid w:val="009E78A2"/>
    <w:rsid w:val="009F0562"/>
    <w:rsid w:val="009F2C38"/>
    <w:rsid w:val="009F7BAA"/>
    <w:rsid w:val="00A01A5C"/>
    <w:rsid w:val="00A05872"/>
    <w:rsid w:val="00A07C5F"/>
    <w:rsid w:val="00A07DFF"/>
    <w:rsid w:val="00A103ED"/>
    <w:rsid w:val="00A13524"/>
    <w:rsid w:val="00A1365D"/>
    <w:rsid w:val="00A13C60"/>
    <w:rsid w:val="00A14317"/>
    <w:rsid w:val="00A15134"/>
    <w:rsid w:val="00A1639E"/>
    <w:rsid w:val="00A20FA0"/>
    <w:rsid w:val="00A253BF"/>
    <w:rsid w:val="00A30139"/>
    <w:rsid w:val="00A30680"/>
    <w:rsid w:val="00A31550"/>
    <w:rsid w:val="00A31AFB"/>
    <w:rsid w:val="00A341A3"/>
    <w:rsid w:val="00A3438A"/>
    <w:rsid w:val="00A35800"/>
    <w:rsid w:val="00A43080"/>
    <w:rsid w:val="00A44D62"/>
    <w:rsid w:val="00A50BBF"/>
    <w:rsid w:val="00A516C4"/>
    <w:rsid w:val="00A52918"/>
    <w:rsid w:val="00A547B3"/>
    <w:rsid w:val="00A54D8C"/>
    <w:rsid w:val="00A554DC"/>
    <w:rsid w:val="00A56686"/>
    <w:rsid w:val="00A6181F"/>
    <w:rsid w:val="00A62E08"/>
    <w:rsid w:val="00A63079"/>
    <w:rsid w:val="00A64165"/>
    <w:rsid w:val="00A643C6"/>
    <w:rsid w:val="00A67889"/>
    <w:rsid w:val="00A70E82"/>
    <w:rsid w:val="00A72A81"/>
    <w:rsid w:val="00A76739"/>
    <w:rsid w:val="00A84836"/>
    <w:rsid w:val="00A84CAD"/>
    <w:rsid w:val="00A85FD0"/>
    <w:rsid w:val="00A87E30"/>
    <w:rsid w:val="00A9096B"/>
    <w:rsid w:val="00A90E50"/>
    <w:rsid w:val="00A92076"/>
    <w:rsid w:val="00A9281A"/>
    <w:rsid w:val="00A95FA5"/>
    <w:rsid w:val="00A96D92"/>
    <w:rsid w:val="00AA678B"/>
    <w:rsid w:val="00AA6D1D"/>
    <w:rsid w:val="00AB199C"/>
    <w:rsid w:val="00AB3733"/>
    <w:rsid w:val="00AB588C"/>
    <w:rsid w:val="00AB5A73"/>
    <w:rsid w:val="00AB5D04"/>
    <w:rsid w:val="00AB5F80"/>
    <w:rsid w:val="00AB65C4"/>
    <w:rsid w:val="00AB7897"/>
    <w:rsid w:val="00AC2C6D"/>
    <w:rsid w:val="00AC5054"/>
    <w:rsid w:val="00AC5221"/>
    <w:rsid w:val="00AC5328"/>
    <w:rsid w:val="00AD42DE"/>
    <w:rsid w:val="00AD764E"/>
    <w:rsid w:val="00AE19AD"/>
    <w:rsid w:val="00AE2319"/>
    <w:rsid w:val="00AE29CD"/>
    <w:rsid w:val="00AE456E"/>
    <w:rsid w:val="00AE47D4"/>
    <w:rsid w:val="00AE4BAC"/>
    <w:rsid w:val="00AE7184"/>
    <w:rsid w:val="00AF2516"/>
    <w:rsid w:val="00AF2C41"/>
    <w:rsid w:val="00B034FC"/>
    <w:rsid w:val="00B035A0"/>
    <w:rsid w:val="00B05310"/>
    <w:rsid w:val="00B07AE6"/>
    <w:rsid w:val="00B10145"/>
    <w:rsid w:val="00B10A0B"/>
    <w:rsid w:val="00B10E9A"/>
    <w:rsid w:val="00B10EB2"/>
    <w:rsid w:val="00B115E7"/>
    <w:rsid w:val="00B144AC"/>
    <w:rsid w:val="00B15E13"/>
    <w:rsid w:val="00B169B6"/>
    <w:rsid w:val="00B177FF"/>
    <w:rsid w:val="00B21B7A"/>
    <w:rsid w:val="00B261B9"/>
    <w:rsid w:val="00B2777A"/>
    <w:rsid w:val="00B30D85"/>
    <w:rsid w:val="00B31CE8"/>
    <w:rsid w:val="00B3597E"/>
    <w:rsid w:val="00B35A4A"/>
    <w:rsid w:val="00B36B04"/>
    <w:rsid w:val="00B41063"/>
    <w:rsid w:val="00B41A16"/>
    <w:rsid w:val="00B43D0A"/>
    <w:rsid w:val="00B453CF"/>
    <w:rsid w:val="00B46831"/>
    <w:rsid w:val="00B52B2F"/>
    <w:rsid w:val="00B52E11"/>
    <w:rsid w:val="00B53D9C"/>
    <w:rsid w:val="00B55C02"/>
    <w:rsid w:val="00B6175C"/>
    <w:rsid w:val="00B63FD7"/>
    <w:rsid w:val="00B6443A"/>
    <w:rsid w:val="00B65E60"/>
    <w:rsid w:val="00B72D14"/>
    <w:rsid w:val="00B7377E"/>
    <w:rsid w:val="00B80AEB"/>
    <w:rsid w:val="00B816D9"/>
    <w:rsid w:val="00B8292A"/>
    <w:rsid w:val="00B837C5"/>
    <w:rsid w:val="00B839FB"/>
    <w:rsid w:val="00B852CE"/>
    <w:rsid w:val="00B8727B"/>
    <w:rsid w:val="00B9120F"/>
    <w:rsid w:val="00B91555"/>
    <w:rsid w:val="00B9216C"/>
    <w:rsid w:val="00B924A4"/>
    <w:rsid w:val="00B94F66"/>
    <w:rsid w:val="00B95A03"/>
    <w:rsid w:val="00B95FB9"/>
    <w:rsid w:val="00B972DE"/>
    <w:rsid w:val="00BA140D"/>
    <w:rsid w:val="00BA4691"/>
    <w:rsid w:val="00BA5241"/>
    <w:rsid w:val="00BB0D1A"/>
    <w:rsid w:val="00BB1D3B"/>
    <w:rsid w:val="00BB48CC"/>
    <w:rsid w:val="00BC0309"/>
    <w:rsid w:val="00BC35ED"/>
    <w:rsid w:val="00BC44EC"/>
    <w:rsid w:val="00BC50DB"/>
    <w:rsid w:val="00BC6A89"/>
    <w:rsid w:val="00BC7307"/>
    <w:rsid w:val="00BD0AAB"/>
    <w:rsid w:val="00BD3B97"/>
    <w:rsid w:val="00BE205A"/>
    <w:rsid w:val="00BE277C"/>
    <w:rsid w:val="00BE3802"/>
    <w:rsid w:val="00BE5732"/>
    <w:rsid w:val="00BF238E"/>
    <w:rsid w:val="00BF2433"/>
    <w:rsid w:val="00BF2F4A"/>
    <w:rsid w:val="00BF544D"/>
    <w:rsid w:val="00C0076F"/>
    <w:rsid w:val="00C0301C"/>
    <w:rsid w:val="00C03FA3"/>
    <w:rsid w:val="00C03FA4"/>
    <w:rsid w:val="00C050B6"/>
    <w:rsid w:val="00C0594F"/>
    <w:rsid w:val="00C07151"/>
    <w:rsid w:val="00C10F12"/>
    <w:rsid w:val="00C12625"/>
    <w:rsid w:val="00C132CE"/>
    <w:rsid w:val="00C13773"/>
    <w:rsid w:val="00C13B9C"/>
    <w:rsid w:val="00C14065"/>
    <w:rsid w:val="00C17774"/>
    <w:rsid w:val="00C2097F"/>
    <w:rsid w:val="00C20A10"/>
    <w:rsid w:val="00C23932"/>
    <w:rsid w:val="00C245EA"/>
    <w:rsid w:val="00C2492E"/>
    <w:rsid w:val="00C256F6"/>
    <w:rsid w:val="00C25911"/>
    <w:rsid w:val="00C25AD4"/>
    <w:rsid w:val="00C26D10"/>
    <w:rsid w:val="00C3097E"/>
    <w:rsid w:val="00C348EB"/>
    <w:rsid w:val="00C35ECC"/>
    <w:rsid w:val="00C361A8"/>
    <w:rsid w:val="00C40F49"/>
    <w:rsid w:val="00C41246"/>
    <w:rsid w:val="00C446EC"/>
    <w:rsid w:val="00C454E3"/>
    <w:rsid w:val="00C457C0"/>
    <w:rsid w:val="00C45E5F"/>
    <w:rsid w:val="00C46291"/>
    <w:rsid w:val="00C550D1"/>
    <w:rsid w:val="00C6091D"/>
    <w:rsid w:val="00C6175E"/>
    <w:rsid w:val="00C63412"/>
    <w:rsid w:val="00C714D0"/>
    <w:rsid w:val="00C81291"/>
    <w:rsid w:val="00C85D14"/>
    <w:rsid w:val="00C90D3B"/>
    <w:rsid w:val="00C90EF4"/>
    <w:rsid w:val="00C91233"/>
    <w:rsid w:val="00C95D8D"/>
    <w:rsid w:val="00CA015A"/>
    <w:rsid w:val="00CA2576"/>
    <w:rsid w:val="00CA4D79"/>
    <w:rsid w:val="00CA53E3"/>
    <w:rsid w:val="00CA6D48"/>
    <w:rsid w:val="00CA7047"/>
    <w:rsid w:val="00CB1462"/>
    <w:rsid w:val="00CB6E36"/>
    <w:rsid w:val="00CB76E4"/>
    <w:rsid w:val="00CC14AA"/>
    <w:rsid w:val="00CC1AA3"/>
    <w:rsid w:val="00CC60CD"/>
    <w:rsid w:val="00CD4486"/>
    <w:rsid w:val="00CE5A30"/>
    <w:rsid w:val="00CE7DD4"/>
    <w:rsid w:val="00CF59C7"/>
    <w:rsid w:val="00CF5E22"/>
    <w:rsid w:val="00CF729A"/>
    <w:rsid w:val="00D009EB"/>
    <w:rsid w:val="00D01515"/>
    <w:rsid w:val="00D01B0E"/>
    <w:rsid w:val="00D02995"/>
    <w:rsid w:val="00D03D49"/>
    <w:rsid w:val="00D0656F"/>
    <w:rsid w:val="00D06A44"/>
    <w:rsid w:val="00D119D1"/>
    <w:rsid w:val="00D151EB"/>
    <w:rsid w:val="00D15935"/>
    <w:rsid w:val="00D15D75"/>
    <w:rsid w:val="00D20622"/>
    <w:rsid w:val="00D211DD"/>
    <w:rsid w:val="00D230DB"/>
    <w:rsid w:val="00D24A41"/>
    <w:rsid w:val="00D2576D"/>
    <w:rsid w:val="00D300E0"/>
    <w:rsid w:val="00D32B16"/>
    <w:rsid w:val="00D374CD"/>
    <w:rsid w:val="00D37DAA"/>
    <w:rsid w:val="00D40248"/>
    <w:rsid w:val="00D43FE2"/>
    <w:rsid w:val="00D44E29"/>
    <w:rsid w:val="00D46583"/>
    <w:rsid w:val="00D50269"/>
    <w:rsid w:val="00D533DC"/>
    <w:rsid w:val="00D63B3E"/>
    <w:rsid w:val="00D64FED"/>
    <w:rsid w:val="00D650CE"/>
    <w:rsid w:val="00D70902"/>
    <w:rsid w:val="00D70BFD"/>
    <w:rsid w:val="00D71719"/>
    <w:rsid w:val="00D73467"/>
    <w:rsid w:val="00D776DA"/>
    <w:rsid w:val="00D83094"/>
    <w:rsid w:val="00D831C2"/>
    <w:rsid w:val="00D85006"/>
    <w:rsid w:val="00D8758B"/>
    <w:rsid w:val="00D91009"/>
    <w:rsid w:val="00D93564"/>
    <w:rsid w:val="00D942B3"/>
    <w:rsid w:val="00D94863"/>
    <w:rsid w:val="00DA08FD"/>
    <w:rsid w:val="00DA2C46"/>
    <w:rsid w:val="00DA3663"/>
    <w:rsid w:val="00DA4882"/>
    <w:rsid w:val="00DA67FD"/>
    <w:rsid w:val="00DA7D09"/>
    <w:rsid w:val="00DB1302"/>
    <w:rsid w:val="00DB61CB"/>
    <w:rsid w:val="00DC23C6"/>
    <w:rsid w:val="00DC2630"/>
    <w:rsid w:val="00DC49E9"/>
    <w:rsid w:val="00DC55E4"/>
    <w:rsid w:val="00DC60B4"/>
    <w:rsid w:val="00DC6739"/>
    <w:rsid w:val="00DC7B9F"/>
    <w:rsid w:val="00DC7D71"/>
    <w:rsid w:val="00DD188C"/>
    <w:rsid w:val="00DD29A3"/>
    <w:rsid w:val="00DD48EE"/>
    <w:rsid w:val="00DD4F61"/>
    <w:rsid w:val="00DD5ADF"/>
    <w:rsid w:val="00DD641F"/>
    <w:rsid w:val="00DE0B96"/>
    <w:rsid w:val="00DE10B9"/>
    <w:rsid w:val="00DF008E"/>
    <w:rsid w:val="00DF0162"/>
    <w:rsid w:val="00DF0B13"/>
    <w:rsid w:val="00DF2EB8"/>
    <w:rsid w:val="00DF4194"/>
    <w:rsid w:val="00DF474C"/>
    <w:rsid w:val="00DF4A94"/>
    <w:rsid w:val="00DF6003"/>
    <w:rsid w:val="00DF6D85"/>
    <w:rsid w:val="00DF78A7"/>
    <w:rsid w:val="00E00095"/>
    <w:rsid w:val="00E01B63"/>
    <w:rsid w:val="00E03C77"/>
    <w:rsid w:val="00E054B1"/>
    <w:rsid w:val="00E06513"/>
    <w:rsid w:val="00E066C3"/>
    <w:rsid w:val="00E069FF"/>
    <w:rsid w:val="00E06E48"/>
    <w:rsid w:val="00E10D8C"/>
    <w:rsid w:val="00E11C45"/>
    <w:rsid w:val="00E1353A"/>
    <w:rsid w:val="00E14CA9"/>
    <w:rsid w:val="00E1564B"/>
    <w:rsid w:val="00E157DD"/>
    <w:rsid w:val="00E172E2"/>
    <w:rsid w:val="00E208A0"/>
    <w:rsid w:val="00E21AD9"/>
    <w:rsid w:val="00E21D5C"/>
    <w:rsid w:val="00E2443F"/>
    <w:rsid w:val="00E24BB4"/>
    <w:rsid w:val="00E25B49"/>
    <w:rsid w:val="00E264A6"/>
    <w:rsid w:val="00E2747B"/>
    <w:rsid w:val="00E30F13"/>
    <w:rsid w:val="00E31C61"/>
    <w:rsid w:val="00E3564C"/>
    <w:rsid w:val="00E371EA"/>
    <w:rsid w:val="00E402B1"/>
    <w:rsid w:val="00E40FB8"/>
    <w:rsid w:val="00E45626"/>
    <w:rsid w:val="00E47CBB"/>
    <w:rsid w:val="00E5369A"/>
    <w:rsid w:val="00E53B2E"/>
    <w:rsid w:val="00E5554A"/>
    <w:rsid w:val="00E64429"/>
    <w:rsid w:val="00E677DD"/>
    <w:rsid w:val="00E72028"/>
    <w:rsid w:val="00E7214A"/>
    <w:rsid w:val="00E72E25"/>
    <w:rsid w:val="00E7594B"/>
    <w:rsid w:val="00E76163"/>
    <w:rsid w:val="00E76DB2"/>
    <w:rsid w:val="00E84496"/>
    <w:rsid w:val="00E873F9"/>
    <w:rsid w:val="00E87A24"/>
    <w:rsid w:val="00E92402"/>
    <w:rsid w:val="00E93237"/>
    <w:rsid w:val="00E941D0"/>
    <w:rsid w:val="00E97EA1"/>
    <w:rsid w:val="00EA09F5"/>
    <w:rsid w:val="00EA0C20"/>
    <w:rsid w:val="00EA29D7"/>
    <w:rsid w:val="00EA403D"/>
    <w:rsid w:val="00EA6A1F"/>
    <w:rsid w:val="00EA6BED"/>
    <w:rsid w:val="00EB1627"/>
    <w:rsid w:val="00EB4688"/>
    <w:rsid w:val="00EB4D69"/>
    <w:rsid w:val="00EB536E"/>
    <w:rsid w:val="00EB6C07"/>
    <w:rsid w:val="00EB6F8C"/>
    <w:rsid w:val="00EC028D"/>
    <w:rsid w:val="00EC6244"/>
    <w:rsid w:val="00ED5506"/>
    <w:rsid w:val="00ED60BD"/>
    <w:rsid w:val="00ED633B"/>
    <w:rsid w:val="00EE0A1C"/>
    <w:rsid w:val="00EE11DF"/>
    <w:rsid w:val="00EE2BBB"/>
    <w:rsid w:val="00EE35DB"/>
    <w:rsid w:val="00EE478C"/>
    <w:rsid w:val="00EE64A1"/>
    <w:rsid w:val="00EF39FA"/>
    <w:rsid w:val="00EF6E46"/>
    <w:rsid w:val="00EF7304"/>
    <w:rsid w:val="00F01728"/>
    <w:rsid w:val="00F01CE4"/>
    <w:rsid w:val="00F03B32"/>
    <w:rsid w:val="00F0507E"/>
    <w:rsid w:val="00F0524E"/>
    <w:rsid w:val="00F1132C"/>
    <w:rsid w:val="00F15761"/>
    <w:rsid w:val="00F15DD5"/>
    <w:rsid w:val="00F16E1D"/>
    <w:rsid w:val="00F17D4B"/>
    <w:rsid w:val="00F17EFB"/>
    <w:rsid w:val="00F23139"/>
    <w:rsid w:val="00F24BD9"/>
    <w:rsid w:val="00F25059"/>
    <w:rsid w:val="00F26789"/>
    <w:rsid w:val="00F267CE"/>
    <w:rsid w:val="00F272CC"/>
    <w:rsid w:val="00F32E18"/>
    <w:rsid w:val="00F35F53"/>
    <w:rsid w:val="00F369A8"/>
    <w:rsid w:val="00F36B8C"/>
    <w:rsid w:val="00F4322B"/>
    <w:rsid w:val="00F4327D"/>
    <w:rsid w:val="00F440CC"/>
    <w:rsid w:val="00F44ED5"/>
    <w:rsid w:val="00F47E3C"/>
    <w:rsid w:val="00F5374B"/>
    <w:rsid w:val="00F53795"/>
    <w:rsid w:val="00F56A3F"/>
    <w:rsid w:val="00F627DB"/>
    <w:rsid w:val="00F66022"/>
    <w:rsid w:val="00F66CD5"/>
    <w:rsid w:val="00F67A9A"/>
    <w:rsid w:val="00F67DDC"/>
    <w:rsid w:val="00F70F4E"/>
    <w:rsid w:val="00F73113"/>
    <w:rsid w:val="00F75F1A"/>
    <w:rsid w:val="00F75FC4"/>
    <w:rsid w:val="00F76B4E"/>
    <w:rsid w:val="00F802CC"/>
    <w:rsid w:val="00F832E4"/>
    <w:rsid w:val="00F85981"/>
    <w:rsid w:val="00F86B70"/>
    <w:rsid w:val="00F87263"/>
    <w:rsid w:val="00F90240"/>
    <w:rsid w:val="00F90FF9"/>
    <w:rsid w:val="00F93725"/>
    <w:rsid w:val="00F94B14"/>
    <w:rsid w:val="00F95BA0"/>
    <w:rsid w:val="00FA42B7"/>
    <w:rsid w:val="00FA4890"/>
    <w:rsid w:val="00FA6215"/>
    <w:rsid w:val="00FB07C7"/>
    <w:rsid w:val="00FB0D31"/>
    <w:rsid w:val="00FB1D9D"/>
    <w:rsid w:val="00FB581A"/>
    <w:rsid w:val="00FB71E6"/>
    <w:rsid w:val="00FB723F"/>
    <w:rsid w:val="00FB7477"/>
    <w:rsid w:val="00FB77FA"/>
    <w:rsid w:val="00FC09D8"/>
    <w:rsid w:val="00FC2509"/>
    <w:rsid w:val="00FC3096"/>
    <w:rsid w:val="00FC3C70"/>
    <w:rsid w:val="00FC4A73"/>
    <w:rsid w:val="00FC559C"/>
    <w:rsid w:val="00FC6B8F"/>
    <w:rsid w:val="00FC7F0D"/>
    <w:rsid w:val="00FD3771"/>
    <w:rsid w:val="00FD4760"/>
    <w:rsid w:val="00FE105F"/>
    <w:rsid w:val="00FE1189"/>
    <w:rsid w:val="00FE1E40"/>
    <w:rsid w:val="00FE1FB5"/>
    <w:rsid w:val="00FE3668"/>
    <w:rsid w:val="00FE4055"/>
    <w:rsid w:val="00FE5845"/>
    <w:rsid w:val="00FE645A"/>
    <w:rsid w:val="00FE67C9"/>
    <w:rsid w:val="00FF0C26"/>
    <w:rsid w:val="00FF30AC"/>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Normal"/>
    <w:link w:val="FiguretitleChar"/>
    <w:qFormat/>
    <w:rsid w:val="007B071E"/>
    <w:rPr>
      <w:b/>
    </w:rPr>
  </w:style>
  <w:style w:type="character" w:customStyle="1" w:styleId="FiguretitleChar">
    <w:name w:val="Figure title Char"/>
    <w:basedOn w:val="TabletitleChar"/>
    <w:link w:val="Figuretitle"/>
    <w:rsid w:val="007B071E"/>
    <w:rPr>
      <w:b/>
      <w:sz w:val="24"/>
      <w:szCs w:val="24"/>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1556DB"/>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Footnote Char,BulletPoints Char"/>
    <w:link w:val="ListParagraph"/>
    <w:uiPriority w:val="72"/>
    <w:rsid w:val="001556DB"/>
    <w:rPr>
      <w:sz w:val="24"/>
      <w:szCs w:val="24"/>
    </w:rPr>
  </w:style>
  <w:style w:type="paragraph" w:styleId="Caption">
    <w:name w:val="caption"/>
    <w:basedOn w:val="Normal"/>
    <w:next w:val="Normal"/>
    <w:uiPriority w:val="35"/>
    <w:unhideWhenUsed/>
    <w:qFormat/>
    <w:rsid w:val="003B0F92"/>
    <w:rPr>
      <w:b/>
      <w:bCs/>
      <w:color w:val="4F81BD" w:themeColor="accent1"/>
      <w:sz w:val="18"/>
      <w:szCs w:val="18"/>
    </w:rPr>
  </w:style>
  <w:style w:type="paragraph" w:customStyle="1" w:styleId="DepartmentalNormal">
    <w:name w:val="Departmental Normal"/>
    <w:basedOn w:val="Normal"/>
    <w:rsid w:val="003B0F92"/>
    <w:pPr>
      <w:spacing w:after="0"/>
    </w:pPr>
    <w:rPr>
      <w:rFonts w:ascii="Times New Roman" w:eastAsia="Times New Roman" w:hAnsi="Times New Roman" w:cs="Times New Roman"/>
      <w:szCs w:val="20"/>
    </w:rPr>
  </w:style>
  <w:style w:type="paragraph" w:styleId="Revision">
    <w:name w:val="Revision"/>
    <w:hidden/>
    <w:uiPriority w:val="99"/>
    <w:semiHidden/>
    <w:rsid w:val="003B0F92"/>
    <w:pPr>
      <w:spacing w:after="0" w:line="240" w:lineRule="auto"/>
    </w:pPr>
    <w:rPr>
      <w:sz w:val="24"/>
      <w:szCs w:val="24"/>
    </w:rPr>
  </w:style>
  <w:style w:type="character" w:styleId="FollowedHyperlink">
    <w:name w:val="FollowedHyperlink"/>
    <w:basedOn w:val="DefaultParagraphFont"/>
    <w:uiPriority w:val="99"/>
    <w:semiHidden/>
    <w:unhideWhenUsed/>
    <w:rsid w:val="003B0F92"/>
    <w:rPr>
      <w:color w:val="800080" w:themeColor="followedHyperlink"/>
      <w:u w:val="single"/>
    </w:rPr>
  </w:style>
  <w:style w:type="character" w:styleId="IntenseReference">
    <w:name w:val="Intense Reference"/>
    <w:basedOn w:val="DefaultParagraphFont"/>
    <w:uiPriority w:val="32"/>
    <w:qFormat/>
    <w:rsid w:val="003B0F92"/>
    <w:rPr>
      <w:b/>
      <w:bCs/>
      <w:i/>
      <w:smallCaps/>
      <w:color w:val="C0504D" w:themeColor="accent2"/>
      <w:spacing w:val="5"/>
      <w:u w:val="none"/>
    </w:rPr>
  </w:style>
  <w:style w:type="paragraph" w:customStyle="1" w:styleId="PBACTableText">
    <w:name w:val="PBAC Table Text"/>
    <w:basedOn w:val="Normal"/>
    <w:link w:val="PBACTableTextChar"/>
    <w:qFormat/>
    <w:rsid w:val="00210399"/>
    <w:pPr>
      <w:spacing w:before="40" w:after="40"/>
    </w:pPr>
    <w:rPr>
      <w:rFonts w:ascii="News Gothic MT" w:eastAsia="Times New Roman" w:hAnsi="News Gothic MT" w:cs="Times New Roman"/>
      <w:sz w:val="20"/>
      <w:szCs w:val="20"/>
      <w:lang w:val="en-US" w:eastAsia="en-US"/>
    </w:rPr>
  </w:style>
  <w:style w:type="character" w:customStyle="1" w:styleId="PBACTableTextChar">
    <w:name w:val="PBAC Table Text Char"/>
    <w:link w:val="PBACTableText"/>
    <w:rsid w:val="00210399"/>
    <w:rPr>
      <w:rFonts w:ascii="News Gothic MT" w:eastAsia="Times New Roman" w:hAnsi="News Gothic MT" w:cs="Times New Roman"/>
      <w:sz w:val="20"/>
      <w:szCs w:val="20"/>
      <w:lang w:val="en-US" w:eastAsia="en-US"/>
    </w:rPr>
  </w:style>
  <w:style w:type="paragraph" w:styleId="TOCHeading">
    <w:name w:val="TOC Heading"/>
    <w:basedOn w:val="Heading1"/>
    <w:next w:val="Normal"/>
    <w:uiPriority w:val="39"/>
    <w:semiHidden/>
    <w:unhideWhenUsed/>
    <w:qFormat/>
    <w:rsid w:val="00D83094"/>
    <w:pPr>
      <w:spacing w:after="0" w:line="276" w:lineRule="auto"/>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D83094"/>
    <w:pPr>
      <w:spacing w:after="100"/>
    </w:pPr>
  </w:style>
  <w:style w:type="paragraph" w:styleId="TOC2">
    <w:name w:val="toc 2"/>
    <w:basedOn w:val="Normal"/>
    <w:next w:val="Normal"/>
    <w:autoRedefine/>
    <w:uiPriority w:val="39"/>
    <w:unhideWhenUsed/>
    <w:rsid w:val="00D83094"/>
    <w:pPr>
      <w:spacing w:after="100"/>
      <w:ind w:left="240"/>
    </w:pPr>
  </w:style>
  <w:style w:type="paragraph" w:styleId="TOC3">
    <w:name w:val="toc 3"/>
    <w:basedOn w:val="Normal"/>
    <w:next w:val="Normal"/>
    <w:autoRedefine/>
    <w:uiPriority w:val="39"/>
    <w:unhideWhenUsed/>
    <w:rsid w:val="00D83094"/>
    <w:pPr>
      <w:spacing w:after="100"/>
      <w:ind w:left="480"/>
    </w:pPr>
  </w:style>
  <w:style w:type="paragraph" w:styleId="EndnoteText">
    <w:name w:val="endnote text"/>
    <w:basedOn w:val="Normal"/>
    <w:link w:val="EndnoteTextChar"/>
    <w:uiPriority w:val="99"/>
    <w:semiHidden/>
    <w:unhideWhenUsed/>
    <w:rsid w:val="004D56C2"/>
    <w:pPr>
      <w:spacing w:after="0"/>
    </w:pPr>
    <w:rPr>
      <w:sz w:val="20"/>
      <w:szCs w:val="20"/>
    </w:rPr>
  </w:style>
  <w:style w:type="character" w:customStyle="1" w:styleId="EndnoteTextChar">
    <w:name w:val="Endnote Text Char"/>
    <w:basedOn w:val="DefaultParagraphFont"/>
    <w:link w:val="EndnoteText"/>
    <w:uiPriority w:val="99"/>
    <w:semiHidden/>
    <w:rsid w:val="004D56C2"/>
    <w:rPr>
      <w:sz w:val="20"/>
      <w:szCs w:val="20"/>
    </w:rPr>
  </w:style>
  <w:style w:type="character" w:styleId="EndnoteReference">
    <w:name w:val="endnote reference"/>
    <w:basedOn w:val="DefaultParagraphFont"/>
    <w:uiPriority w:val="99"/>
    <w:semiHidden/>
    <w:unhideWhenUsed/>
    <w:rsid w:val="004D56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Normal"/>
    <w:link w:val="FiguretitleChar"/>
    <w:qFormat/>
    <w:rsid w:val="007B071E"/>
    <w:rPr>
      <w:b/>
    </w:rPr>
  </w:style>
  <w:style w:type="character" w:customStyle="1" w:styleId="FiguretitleChar">
    <w:name w:val="Figure title Char"/>
    <w:basedOn w:val="TabletitleChar"/>
    <w:link w:val="Figuretitle"/>
    <w:rsid w:val="007B071E"/>
    <w:rPr>
      <w:b/>
      <w:sz w:val="24"/>
      <w:szCs w:val="24"/>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Footnote,BulletPoints"/>
    <w:basedOn w:val="Normal"/>
    <w:link w:val="ListParagraphChar"/>
    <w:uiPriority w:val="72"/>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NormalWeb">
    <w:name w:val="Normal (Web)"/>
    <w:basedOn w:val="Normal"/>
    <w:uiPriority w:val="99"/>
    <w:unhideWhenUsed/>
    <w:rsid w:val="001556DB"/>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Footnote Char,BulletPoints Char"/>
    <w:link w:val="ListParagraph"/>
    <w:uiPriority w:val="72"/>
    <w:rsid w:val="001556DB"/>
    <w:rPr>
      <w:sz w:val="24"/>
      <w:szCs w:val="24"/>
    </w:rPr>
  </w:style>
  <w:style w:type="paragraph" w:styleId="Caption">
    <w:name w:val="caption"/>
    <w:basedOn w:val="Normal"/>
    <w:next w:val="Normal"/>
    <w:uiPriority w:val="35"/>
    <w:unhideWhenUsed/>
    <w:qFormat/>
    <w:rsid w:val="003B0F92"/>
    <w:rPr>
      <w:b/>
      <w:bCs/>
      <w:color w:val="4F81BD" w:themeColor="accent1"/>
      <w:sz w:val="18"/>
      <w:szCs w:val="18"/>
    </w:rPr>
  </w:style>
  <w:style w:type="paragraph" w:customStyle="1" w:styleId="DepartmentalNormal">
    <w:name w:val="Departmental Normal"/>
    <w:basedOn w:val="Normal"/>
    <w:rsid w:val="003B0F92"/>
    <w:pPr>
      <w:spacing w:after="0"/>
    </w:pPr>
    <w:rPr>
      <w:rFonts w:ascii="Times New Roman" w:eastAsia="Times New Roman" w:hAnsi="Times New Roman" w:cs="Times New Roman"/>
      <w:szCs w:val="20"/>
    </w:rPr>
  </w:style>
  <w:style w:type="paragraph" w:styleId="Revision">
    <w:name w:val="Revision"/>
    <w:hidden/>
    <w:uiPriority w:val="99"/>
    <w:semiHidden/>
    <w:rsid w:val="003B0F92"/>
    <w:pPr>
      <w:spacing w:after="0" w:line="240" w:lineRule="auto"/>
    </w:pPr>
    <w:rPr>
      <w:sz w:val="24"/>
      <w:szCs w:val="24"/>
    </w:rPr>
  </w:style>
  <w:style w:type="character" w:styleId="FollowedHyperlink">
    <w:name w:val="FollowedHyperlink"/>
    <w:basedOn w:val="DefaultParagraphFont"/>
    <w:uiPriority w:val="99"/>
    <w:semiHidden/>
    <w:unhideWhenUsed/>
    <w:rsid w:val="003B0F92"/>
    <w:rPr>
      <w:color w:val="800080" w:themeColor="followedHyperlink"/>
      <w:u w:val="single"/>
    </w:rPr>
  </w:style>
  <w:style w:type="character" w:styleId="IntenseReference">
    <w:name w:val="Intense Reference"/>
    <w:basedOn w:val="DefaultParagraphFont"/>
    <w:uiPriority w:val="32"/>
    <w:qFormat/>
    <w:rsid w:val="003B0F92"/>
    <w:rPr>
      <w:b/>
      <w:bCs/>
      <w:i/>
      <w:smallCaps/>
      <w:color w:val="C0504D" w:themeColor="accent2"/>
      <w:spacing w:val="5"/>
      <w:u w:val="none"/>
    </w:rPr>
  </w:style>
  <w:style w:type="paragraph" w:customStyle="1" w:styleId="PBACTableText">
    <w:name w:val="PBAC Table Text"/>
    <w:basedOn w:val="Normal"/>
    <w:link w:val="PBACTableTextChar"/>
    <w:qFormat/>
    <w:rsid w:val="00210399"/>
    <w:pPr>
      <w:spacing w:before="40" w:after="40"/>
    </w:pPr>
    <w:rPr>
      <w:rFonts w:ascii="News Gothic MT" w:eastAsia="Times New Roman" w:hAnsi="News Gothic MT" w:cs="Times New Roman"/>
      <w:sz w:val="20"/>
      <w:szCs w:val="20"/>
      <w:lang w:val="en-US" w:eastAsia="en-US"/>
    </w:rPr>
  </w:style>
  <w:style w:type="character" w:customStyle="1" w:styleId="PBACTableTextChar">
    <w:name w:val="PBAC Table Text Char"/>
    <w:link w:val="PBACTableText"/>
    <w:rsid w:val="00210399"/>
    <w:rPr>
      <w:rFonts w:ascii="News Gothic MT" w:eastAsia="Times New Roman" w:hAnsi="News Gothic MT" w:cs="Times New Roman"/>
      <w:sz w:val="20"/>
      <w:szCs w:val="20"/>
      <w:lang w:val="en-US" w:eastAsia="en-US"/>
    </w:rPr>
  </w:style>
  <w:style w:type="paragraph" w:styleId="TOCHeading">
    <w:name w:val="TOC Heading"/>
    <w:basedOn w:val="Heading1"/>
    <w:next w:val="Normal"/>
    <w:uiPriority w:val="39"/>
    <w:semiHidden/>
    <w:unhideWhenUsed/>
    <w:qFormat/>
    <w:rsid w:val="00D83094"/>
    <w:pPr>
      <w:spacing w:after="0" w:line="276" w:lineRule="auto"/>
      <w:outlineLvl w:val="9"/>
    </w:pPr>
    <w:rPr>
      <w:rFonts w:asciiTheme="majorHAnsi" w:hAnsiTheme="majorHAnsi"/>
      <w:color w:val="365F91" w:themeColor="accent1" w:themeShade="BF"/>
      <w:sz w:val="28"/>
      <w:szCs w:val="28"/>
      <w:lang w:val="en-US" w:eastAsia="ja-JP"/>
    </w:rPr>
  </w:style>
  <w:style w:type="paragraph" w:styleId="TOC1">
    <w:name w:val="toc 1"/>
    <w:basedOn w:val="Normal"/>
    <w:next w:val="Normal"/>
    <w:autoRedefine/>
    <w:uiPriority w:val="39"/>
    <w:unhideWhenUsed/>
    <w:rsid w:val="00D83094"/>
    <w:pPr>
      <w:spacing w:after="100"/>
    </w:pPr>
  </w:style>
  <w:style w:type="paragraph" w:styleId="TOC2">
    <w:name w:val="toc 2"/>
    <w:basedOn w:val="Normal"/>
    <w:next w:val="Normal"/>
    <w:autoRedefine/>
    <w:uiPriority w:val="39"/>
    <w:unhideWhenUsed/>
    <w:rsid w:val="00D83094"/>
    <w:pPr>
      <w:spacing w:after="100"/>
      <w:ind w:left="240"/>
    </w:pPr>
  </w:style>
  <w:style w:type="paragraph" w:styleId="TOC3">
    <w:name w:val="toc 3"/>
    <w:basedOn w:val="Normal"/>
    <w:next w:val="Normal"/>
    <w:autoRedefine/>
    <w:uiPriority w:val="39"/>
    <w:unhideWhenUsed/>
    <w:rsid w:val="00D83094"/>
    <w:pPr>
      <w:spacing w:after="100"/>
      <w:ind w:left="480"/>
    </w:pPr>
  </w:style>
  <w:style w:type="paragraph" w:styleId="EndnoteText">
    <w:name w:val="endnote text"/>
    <w:basedOn w:val="Normal"/>
    <w:link w:val="EndnoteTextChar"/>
    <w:uiPriority w:val="99"/>
    <w:semiHidden/>
    <w:unhideWhenUsed/>
    <w:rsid w:val="004D56C2"/>
    <w:pPr>
      <w:spacing w:after="0"/>
    </w:pPr>
    <w:rPr>
      <w:sz w:val="20"/>
      <w:szCs w:val="20"/>
    </w:rPr>
  </w:style>
  <w:style w:type="character" w:customStyle="1" w:styleId="EndnoteTextChar">
    <w:name w:val="Endnote Text Char"/>
    <w:basedOn w:val="DefaultParagraphFont"/>
    <w:link w:val="EndnoteText"/>
    <w:uiPriority w:val="99"/>
    <w:semiHidden/>
    <w:rsid w:val="004D56C2"/>
    <w:rPr>
      <w:sz w:val="20"/>
      <w:szCs w:val="20"/>
    </w:rPr>
  </w:style>
  <w:style w:type="character" w:styleId="EndnoteReference">
    <w:name w:val="endnote reference"/>
    <w:basedOn w:val="DefaultParagraphFont"/>
    <w:uiPriority w:val="99"/>
    <w:semiHidden/>
    <w:unhideWhenUsed/>
    <w:rsid w:val="004D56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653">
      <w:bodyDiv w:val="1"/>
      <w:marLeft w:val="0"/>
      <w:marRight w:val="0"/>
      <w:marTop w:val="0"/>
      <w:marBottom w:val="0"/>
      <w:divBdr>
        <w:top w:val="none" w:sz="0" w:space="0" w:color="auto"/>
        <w:left w:val="none" w:sz="0" w:space="0" w:color="auto"/>
        <w:bottom w:val="none" w:sz="0" w:space="0" w:color="auto"/>
        <w:right w:val="none" w:sz="0" w:space="0" w:color="auto"/>
      </w:divBdr>
    </w:div>
    <w:div w:id="24445274">
      <w:bodyDiv w:val="1"/>
      <w:marLeft w:val="0"/>
      <w:marRight w:val="0"/>
      <w:marTop w:val="0"/>
      <w:marBottom w:val="0"/>
      <w:divBdr>
        <w:top w:val="none" w:sz="0" w:space="0" w:color="auto"/>
        <w:left w:val="none" w:sz="0" w:space="0" w:color="auto"/>
        <w:bottom w:val="none" w:sz="0" w:space="0" w:color="auto"/>
        <w:right w:val="none" w:sz="0" w:space="0" w:color="auto"/>
      </w:divBdr>
    </w:div>
    <w:div w:id="35011114">
      <w:bodyDiv w:val="1"/>
      <w:marLeft w:val="0"/>
      <w:marRight w:val="0"/>
      <w:marTop w:val="0"/>
      <w:marBottom w:val="0"/>
      <w:divBdr>
        <w:top w:val="none" w:sz="0" w:space="0" w:color="auto"/>
        <w:left w:val="none" w:sz="0" w:space="0" w:color="auto"/>
        <w:bottom w:val="none" w:sz="0" w:space="0" w:color="auto"/>
        <w:right w:val="none" w:sz="0" w:space="0" w:color="auto"/>
      </w:divBdr>
    </w:div>
    <w:div w:id="48117297">
      <w:bodyDiv w:val="1"/>
      <w:marLeft w:val="0"/>
      <w:marRight w:val="0"/>
      <w:marTop w:val="0"/>
      <w:marBottom w:val="0"/>
      <w:divBdr>
        <w:top w:val="none" w:sz="0" w:space="0" w:color="auto"/>
        <w:left w:val="none" w:sz="0" w:space="0" w:color="auto"/>
        <w:bottom w:val="none" w:sz="0" w:space="0" w:color="auto"/>
        <w:right w:val="none" w:sz="0" w:space="0" w:color="auto"/>
      </w:divBdr>
    </w:div>
    <w:div w:id="68431658">
      <w:bodyDiv w:val="1"/>
      <w:marLeft w:val="0"/>
      <w:marRight w:val="0"/>
      <w:marTop w:val="0"/>
      <w:marBottom w:val="0"/>
      <w:divBdr>
        <w:top w:val="none" w:sz="0" w:space="0" w:color="auto"/>
        <w:left w:val="none" w:sz="0" w:space="0" w:color="auto"/>
        <w:bottom w:val="none" w:sz="0" w:space="0" w:color="auto"/>
        <w:right w:val="none" w:sz="0" w:space="0" w:color="auto"/>
      </w:divBdr>
    </w:div>
    <w:div w:id="97681095">
      <w:bodyDiv w:val="1"/>
      <w:marLeft w:val="0"/>
      <w:marRight w:val="0"/>
      <w:marTop w:val="0"/>
      <w:marBottom w:val="0"/>
      <w:divBdr>
        <w:top w:val="none" w:sz="0" w:space="0" w:color="auto"/>
        <w:left w:val="none" w:sz="0" w:space="0" w:color="auto"/>
        <w:bottom w:val="none" w:sz="0" w:space="0" w:color="auto"/>
        <w:right w:val="none" w:sz="0" w:space="0" w:color="auto"/>
      </w:divBdr>
    </w:div>
    <w:div w:id="102309982">
      <w:bodyDiv w:val="1"/>
      <w:marLeft w:val="0"/>
      <w:marRight w:val="0"/>
      <w:marTop w:val="0"/>
      <w:marBottom w:val="0"/>
      <w:divBdr>
        <w:top w:val="none" w:sz="0" w:space="0" w:color="auto"/>
        <w:left w:val="none" w:sz="0" w:space="0" w:color="auto"/>
        <w:bottom w:val="none" w:sz="0" w:space="0" w:color="auto"/>
        <w:right w:val="none" w:sz="0" w:space="0" w:color="auto"/>
      </w:divBdr>
    </w:div>
    <w:div w:id="107815432">
      <w:bodyDiv w:val="1"/>
      <w:marLeft w:val="0"/>
      <w:marRight w:val="0"/>
      <w:marTop w:val="0"/>
      <w:marBottom w:val="0"/>
      <w:divBdr>
        <w:top w:val="none" w:sz="0" w:space="0" w:color="auto"/>
        <w:left w:val="none" w:sz="0" w:space="0" w:color="auto"/>
        <w:bottom w:val="none" w:sz="0" w:space="0" w:color="auto"/>
        <w:right w:val="none" w:sz="0" w:space="0" w:color="auto"/>
      </w:divBdr>
    </w:div>
    <w:div w:id="110634929">
      <w:bodyDiv w:val="1"/>
      <w:marLeft w:val="0"/>
      <w:marRight w:val="0"/>
      <w:marTop w:val="0"/>
      <w:marBottom w:val="0"/>
      <w:divBdr>
        <w:top w:val="none" w:sz="0" w:space="0" w:color="auto"/>
        <w:left w:val="none" w:sz="0" w:space="0" w:color="auto"/>
        <w:bottom w:val="none" w:sz="0" w:space="0" w:color="auto"/>
        <w:right w:val="none" w:sz="0" w:space="0" w:color="auto"/>
      </w:divBdr>
    </w:div>
    <w:div w:id="114644930">
      <w:bodyDiv w:val="1"/>
      <w:marLeft w:val="0"/>
      <w:marRight w:val="0"/>
      <w:marTop w:val="0"/>
      <w:marBottom w:val="0"/>
      <w:divBdr>
        <w:top w:val="none" w:sz="0" w:space="0" w:color="auto"/>
        <w:left w:val="none" w:sz="0" w:space="0" w:color="auto"/>
        <w:bottom w:val="none" w:sz="0" w:space="0" w:color="auto"/>
        <w:right w:val="none" w:sz="0" w:space="0" w:color="auto"/>
      </w:divBdr>
      <w:divsChild>
        <w:div w:id="81686639">
          <w:marLeft w:val="0"/>
          <w:marRight w:val="0"/>
          <w:marTop w:val="0"/>
          <w:marBottom w:val="0"/>
          <w:divBdr>
            <w:top w:val="none" w:sz="0" w:space="0" w:color="auto"/>
            <w:left w:val="none" w:sz="0" w:space="0" w:color="auto"/>
            <w:bottom w:val="none" w:sz="0" w:space="0" w:color="auto"/>
            <w:right w:val="none" w:sz="0" w:space="0" w:color="auto"/>
          </w:divBdr>
          <w:divsChild>
            <w:div w:id="1847281622">
              <w:marLeft w:val="0"/>
              <w:marRight w:val="0"/>
              <w:marTop w:val="0"/>
              <w:marBottom w:val="0"/>
              <w:divBdr>
                <w:top w:val="none" w:sz="0" w:space="0" w:color="auto"/>
                <w:left w:val="none" w:sz="0" w:space="0" w:color="auto"/>
                <w:bottom w:val="none" w:sz="0" w:space="0" w:color="auto"/>
                <w:right w:val="none" w:sz="0" w:space="0" w:color="auto"/>
              </w:divBdr>
              <w:divsChild>
                <w:div w:id="47269035">
                  <w:marLeft w:val="0"/>
                  <w:marRight w:val="0"/>
                  <w:marTop w:val="0"/>
                  <w:marBottom w:val="0"/>
                  <w:divBdr>
                    <w:top w:val="none" w:sz="0" w:space="0" w:color="auto"/>
                    <w:left w:val="none" w:sz="0" w:space="0" w:color="auto"/>
                    <w:bottom w:val="none" w:sz="0" w:space="0" w:color="auto"/>
                    <w:right w:val="none" w:sz="0" w:space="0" w:color="auto"/>
                  </w:divBdr>
                  <w:divsChild>
                    <w:div w:id="130489162">
                      <w:marLeft w:val="0"/>
                      <w:marRight w:val="0"/>
                      <w:marTop w:val="0"/>
                      <w:marBottom w:val="0"/>
                      <w:divBdr>
                        <w:top w:val="none" w:sz="0" w:space="0" w:color="auto"/>
                        <w:left w:val="none" w:sz="0" w:space="0" w:color="auto"/>
                        <w:bottom w:val="none" w:sz="0" w:space="0" w:color="auto"/>
                        <w:right w:val="none" w:sz="0" w:space="0" w:color="auto"/>
                      </w:divBdr>
                      <w:divsChild>
                        <w:div w:id="1829860103">
                          <w:marLeft w:val="0"/>
                          <w:marRight w:val="0"/>
                          <w:marTop w:val="0"/>
                          <w:marBottom w:val="0"/>
                          <w:divBdr>
                            <w:top w:val="none" w:sz="0" w:space="0" w:color="auto"/>
                            <w:left w:val="none" w:sz="0" w:space="0" w:color="auto"/>
                            <w:bottom w:val="none" w:sz="0" w:space="0" w:color="auto"/>
                            <w:right w:val="none" w:sz="0" w:space="0" w:color="auto"/>
                          </w:divBdr>
                          <w:divsChild>
                            <w:div w:id="1039428668">
                              <w:marLeft w:val="0"/>
                              <w:marRight w:val="0"/>
                              <w:marTop w:val="0"/>
                              <w:marBottom w:val="0"/>
                              <w:divBdr>
                                <w:top w:val="none" w:sz="0" w:space="0" w:color="auto"/>
                                <w:left w:val="none" w:sz="0" w:space="0" w:color="auto"/>
                                <w:bottom w:val="none" w:sz="0" w:space="0" w:color="auto"/>
                                <w:right w:val="none" w:sz="0" w:space="0" w:color="auto"/>
                              </w:divBdr>
                              <w:divsChild>
                                <w:div w:id="644433253">
                                  <w:marLeft w:val="360"/>
                                  <w:marRight w:val="360"/>
                                  <w:marTop w:val="0"/>
                                  <w:marBottom w:val="0"/>
                                  <w:divBdr>
                                    <w:top w:val="none" w:sz="0" w:space="0" w:color="auto"/>
                                    <w:left w:val="none" w:sz="0" w:space="0" w:color="auto"/>
                                    <w:bottom w:val="none" w:sz="0" w:space="0" w:color="auto"/>
                                    <w:right w:val="none" w:sz="0" w:space="0" w:color="auto"/>
                                  </w:divBdr>
                                  <w:divsChild>
                                    <w:div w:id="734857514">
                                      <w:marLeft w:val="0"/>
                                      <w:marRight w:val="0"/>
                                      <w:marTop w:val="0"/>
                                      <w:marBottom w:val="0"/>
                                      <w:divBdr>
                                        <w:top w:val="none" w:sz="0" w:space="0" w:color="auto"/>
                                        <w:left w:val="none" w:sz="0" w:space="0" w:color="auto"/>
                                        <w:bottom w:val="none" w:sz="0" w:space="0" w:color="auto"/>
                                        <w:right w:val="none" w:sz="0" w:space="0" w:color="auto"/>
                                      </w:divBdr>
                                      <w:divsChild>
                                        <w:div w:id="1779253203">
                                          <w:marLeft w:val="0"/>
                                          <w:marRight w:val="0"/>
                                          <w:marTop w:val="0"/>
                                          <w:marBottom w:val="300"/>
                                          <w:divBdr>
                                            <w:top w:val="none" w:sz="0" w:space="0" w:color="auto"/>
                                            <w:left w:val="none" w:sz="0" w:space="0" w:color="auto"/>
                                            <w:bottom w:val="none" w:sz="0" w:space="0" w:color="auto"/>
                                            <w:right w:val="none" w:sz="0" w:space="0" w:color="auto"/>
                                          </w:divBdr>
                                          <w:divsChild>
                                            <w:div w:id="1119959557">
                                              <w:marLeft w:val="0"/>
                                              <w:marRight w:val="0"/>
                                              <w:marTop w:val="0"/>
                                              <w:marBottom w:val="0"/>
                                              <w:divBdr>
                                                <w:top w:val="none" w:sz="0" w:space="0" w:color="auto"/>
                                                <w:left w:val="none" w:sz="0" w:space="0" w:color="auto"/>
                                                <w:bottom w:val="none" w:sz="0" w:space="0" w:color="auto"/>
                                                <w:right w:val="none" w:sz="0" w:space="0" w:color="auto"/>
                                              </w:divBdr>
                                              <w:divsChild>
                                                <w:div w:id="1110197411">
                                                  <w:marLeft w:val="0"/>
                                                  <w:marRight w:val="0"/>
                                                  <w:marTop w:val="0"/>
                                                  <w:marBottom w:val="0"/>
                                                  <w:divBdr>
                                                    <w:top w:val="none" w:sz="0" w:space="0" w:color="auto"/>
                                                    <w:left w:val="none" w:sz="0" w:space="0" w:color="auto"/>
                                                    <w:bottom w:val="none" w:sz="0" w:space="0" w:color="auto"/>
                                                    <w:right w:val="none" w:sz="0" w:space="0" w:color="auto"/>
                                                  </w:divBdr>
                                                  <w:divsChild>
                                                    <w:div w:id="1214923405">
                                                      <w:marLeft w:val="0"/>
                                                      <w:marRight w:val="0"/>
                                                      <w:marTop w:val="0"/>
                                                      <w:marBottom w:val="0"/>
                                                      <w:divBdr>
                                                        <w:top w:val="none" w:sz="0" w:space="0" w:color="auto"/>
                                                        <w:left w:val="none" w:sz="0" w:space="0" w:color="auto"/>
                                                        <w:bottom w:val="none" w:sz="0" w:space="0" w:color="auto"/>
                                                        <w:right w:val="none" w:sz="0" w:space="0" w:color="auto"/>
                                                      </w:divBdr>
                                                      <w:divsChild>
                                                        <w:div w:id="20908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811749">
      <w:bodyDiv w:val="1"/>
      <w:marLeft w:val="0"/>
      <w:marRight w:val="0"/>
      <w:marTop w:val="0"/>
      <w:marBottom w:val="0"/>
      <w:divBdr>
        <w:top w:val="none" w:sz="0" w:space="0" w:color="auto"/>
        <w:left w:val="none" w:sz="0" w:space="0" w:color="auto"/>
        <w:bottom w:val="none" w:sz="0" w:space="0" w:color="auto"/>
        <w:right w:val="none" w:sz="0" w:space="0" w:color="auto"/>
      </w:divBdr>
    </w:div>
    <w:div w:id="128132481">
      <w:bodyDiv w:val="1"/>
      <w:marLeft w:val="0"/>
      <w:marRight w:val="0"/>
      <w:marTop w:val="0"/>
      <w:marBottom w:val="0"/>
      <w:divBdr>
        <w:top w:val="none" w:sz="0" w:space="0" w:color="auto"/>
        <w:left w:val="none" w:sz="0" w:space="0" w:color="auto"/>
        <w:bottom w:val="none" w:sz="0" w:space="0" w:color="auto"/>
        <w:right w:val="none" w:sz="0" w:space="0" w:color="auto"/>
      </w:divBdr>
    </w:div>
    <w:div w:id="165559699">
      <w:bodyDiv w:val="1"/>
      <w:marLeft w:val="0"/>
      <w:marRight w:val="0"/>
      <w:marTop w:val="0"/>
      <w:marBottom w:val="0"/>
      <w:divBdr>
        <w:top w:val="none" w:sz="0" w:space="0" w:color="auto"/>
        <w:left w:val="none" w:sz="0" w:space="0" w:color="auto"/>
        <w:bottom w:val="none" w:sz="0" w:space="0" w:color="auto"/>
        <w:right w:val="none" w:sz="0" w:space="0" w:color="auto"/>
      </w:divBdr>
    </w:div>
    <w:div w:id="170605682">
      <w:bodyDiv w:val="1"/>
      <w:marLeft w:val="0"/>
      <w:marRight w:val="0"/>
      <w:marTop w:val="0"/>
      <w:marBottom w:val="0"/>
      <w:divBdr>
        <w:top w:val="none" w:sz="0" w:space="0" w:color="auto"/>
        <w:left w:val="none" w:sz="0" w:space="0" w:color="auto"/>
        <w:bottom w:val="none" w:sz="0" w:space="0" w:color="auto"/>
        <w:right w:val="none" w:sz="0" w:space="0" w:color="auto"/>
      </w:divBdr>
    </w:div>
    <w:div w:id="197279478">
      <w:bodyDiv w:val="1"/>
      <w:marLeft w:val="0"/>
      <w:marRight w:val="0"/>
      <w:marTop w:val="0"/>
      <w:marBottom w:val="0"/>
      <w:divBdr>
        <w:top w:val="none" w:sz="0" w:space="0" w:color="auto"/>
        <w:left w:val="none" w:sz="0" w:space="0" w:color="auto"/>
        <w:bottom w:val="none" w:sz="0" w:space="0" w:color="auto"/>
        <w:right w:val="none" w:sz="0" w:space="0" w:color="auto"/>
      </w:divBdr>
    </w:div>
    <w:div w:id="220555553">
      <w:bodyDiv w:val="1"/>
      <w:marLeft w:val="0"/>
      <w:marRight w:val="0"/>
      <w:marTop w:val="0"/>
      <w:marBottom w:val="0"/>
      <w:divBdr>
        <w:top w:val="none" w:sz="0" w:space="0" w:color="auto"/>
        <w:left w:val="none" w:sz="0" w:space="0" w:color="auto"/>
        <w:bottom w:val="none" w:sz="0" w:space="0" w:color="auto"/>
        <w:right w:val="none" w:sz="0" w:space="0" w:color="auto"/>
      </w:divBdr>
    </w:div>
    <w:div w:id="223609087">
      <w:bodyDiv w:val="1"/>
      <w:marLeft w:val="0"/>
      <w:marRight w:val="0"/>
      <w:marTop w:val="0"/>
      <w:marBottom w:val="0"/>
      <w:divBdr>
        <w:top w:val="none" w:sz="0" w:space="0" w:color="auto"/>
        <w:left w:val="none" w:sz="0" w:space="0" w:color="auto"/>
        <w:bottom w:val="none" w:sz="0" w:space="0" w:color="auto"/>
        <w:right w:val="none" w:sz="0" w:space="0" w:color="auto"/>
      </w:divBdr>
    </w:div>
    <w:div w:id="261762300">
      <w:bodyDiv w:val="1"/>
      <w:marLeft w:val="0"/>
      <w:marRight w:val="0"/>
      <w:marTop w:val="0"/>
      <w:marBottom w:val="0"/>
      <w:divBdr>
        <w:top w:val="none" w:sz="0" w:space="0" w:color="auto"/>
        <w:left w:val="none" w:sz="0" w:space="0" w:color="auto"/>
        <w:bottom w:val="none" w:sz="0" w:space="0" w:color="auto"/>
        <w:right w:val="none" w:sz="0" w:space="0" w:color="auto"/>
      </w:divBdr>
    </w:div>
    <w:div w:id="302196435">
      <w:bodyDiv w:val="1"/>
      <w:marLeft w:val="0"/>
      <w:marRight w:val="0"/>
      <w:marTop w:val="0"/>
      <w:marBottom w:val="0"/>
      <w:divBdr>
        <w:top w:val="none" w:sz="0" w:space="0" w:color="auto"/>
        <w:left w:val="none" w:sz="0" w:space="0" w:color="auto"/>
        <w:bottom w:val="none" w:sz="0" w:space="0" w:color="auto"/>
        <w:right w:val="none" w:sz="0" w:space="0" w:color="auto"/>
      </w:divBdr>
      <w:divsChild>
        <w:div w:id="1241283870">
          <w:marLeft w:val="0"/>
          <w:marRight w:val="0"/>
          <w:marTop w:val="0"/>
          <w:marBottom w:val="0"/>
          <w:divBdr>
            <w:top w:val="none" w:sz="0" w:space="0" w:color="auto"/>
            <w:left w:val="none" w:sz="0" w:space="0" w:color="auto"/>
            <w:bottom w:val="none" w:sz="0" w:space="0" w:color="auto"/>
            <w:right w:val="none" w:sz="0" w:space="0" w:color="auto"/>
          </w:divBdr>
          <w:divsChild>
            <w:div w:id="2025938218">
              <w:marLeft w:val="0"/>
              <w:marRight w:val="0"/>
              <w:marTop w:val="0"/>
              <w:marBottom w:val="0"/>
              <w:divBdr>
                <w:top w:val="none" w:sz="0" w:space="0" w:color="auto"/>
                <w:left w:val="none" w:sz="0" w:space="0" w:color="auto"/>
                <w:bottom w:val="none" w:sz="0" w:space="0" w:color="auto"/>
                <w:right w:val="none" w:sz="0" w:space="0" w:color="auto"/>
              </w:divBdr>
              <w:divsChild>
                <w:div w:id="370809694">
                  <w:marLeft w:val="0"/>
                  <w:marRight w:val="0"/>
                  <w:marTop w:val="0"/>
                  <w:marBottom w:val="0"/>
                  <w:divBdr>
                    <w:top w:val="none" w:sz="0" w:space="0" w:color="auto"/>
                    <w:left w:val="none" w:sz="0" w:space="0" w:color="auto"/>
                    <w:bottom w:val="none" w:sz="0" w:space="0" w:color="auto"/>
                    <w:right w:val="none" w:sz="0" w:space="0" w:color="auto"/>
                  </w:divBdr>
                  <w:divsChild>
                    <w:div w:id="1007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222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0028123">
      <w:bodyDiv w:val="1"/>
      <w:marLeft w:val="0"/>
      <w:marRight w:val="0"/>
      <w:marTop w:val="0"/>
      <w:marBottom w:val="0"/>
      <w:divBdr>
        <w:top w:val="none" w:sz="0" w:space="0" w:color="auto"/>
        <w:left w:val="none" w:sz="0" w:space="0" w:color="auto"/>
        <w:bottom w:val="none" w:sz="0" w:space="0" w:color="auto"/>
        <w:right w:val="none" w:sz="0" w:space="0" w:color="auto"/>
      </w:divBdr>
    </w:div>
    <w:div w:id="434522853">
      <w:bodyDiv w:val="1"/>
      <w:marLeft w:val="0"/>
      <w:marRight w:val="0"/>
      <w:marTop w:val="0"/>
      <w:marBottom w:val="0"/>
      <w:divBdr>
        <w:top w:val="none" w:sz="0" w:space="0" w:color="auto"/>
        <w:left w:val="none" w:sz="0" w:space="0" w:color="auto"/>
        <w:bottom w:val="none" w:sz="0" w:space="0" w:color="auto"/>
        <w:right w:val="none" w:sz="0" w:space="0" w:color="auto"/>
      </w:divBdr>
    </w:div>
    <w:div w:id="474026995">
      <w:bodyDiv w:val="1"/>
      <w:marLeft w:val="0"/>
      <w:marRight w:val="0"/>
      <w:marTop w:val="0"/>
      <w:marBottom w:val="0"/>
      <w:divBdr>
        <w:top w:val="none" w:sz="0" w:space="0" w:color="auto"/>
        <w:left w:val="none" w:sz="0" w:space="0" w:color="auto"/>
        <w:bottom w:val="none" w:sz="0" w:space="0" w:color="auto"/>
        <w:right w:val="none" w:sz="0" w:space="0" w:color="auto"/>
      </w:divBdr>
    </w:div>
    <w:div w:id="486436201">
      <w:bodyDiv w:val="1"/>
      <w:marLeft w:val="0"/>
      <w:marRight w:val="0"/>
      <w:marTop w:val="0"/>
      <w:marBottom w:val="0"/>
      <w:divBdr>
        <w:top w:val="none" w:sz="0" w:space="0" w:color="auto"/>
        <w:left w:val="none" w:sz="0" w:space="0" w:color="auto"/>
        <w:bottom w:val="none" w:sz="0" w:space="0" w:color="auto"/>
        <w:right w:val="none" w:sz="0" w:space="0" w:color="auto"/>
      </w:divBdr>
    </w:div>
    <w:div w:id="546528983">
      <w:bodyDiv w:val="1"/>
      <w:marLeft w:val="0"/>
      <w:marRight w:val="0"/>
      <w:marTop w:val="0"/>
      <w:marBottom w:val="0"/>
      <w:divBdr>
        <w:top w:val="none" w:sz="0" w:space="0" w:color="auto"/>
        <w:left w:val="none" w:sz="0" w:space="0" w:color="auto"/>
        <w:bottom w:val="none" w:sz="0" w:space="0" w:color="auto"/>
        <w:right w:val="none" w:sz="0" w:space="0" w:color="auto"/>
      </w:divBdr>
    </w:div>
    <w:div w:id="635645310">
      <w:bodyDiv w:val="1"/>
      <w:marLeft w:val="0"/>
      <w:marRight w:val="0"/>
      <w:marTop w:val="0"/>
      <w:marBottom w:val="0"/>
      <w:divBdr>
        <w:top w:val="none" w:sz="0" w:space="0" w:color="auto"/>
        <w:left w:val="none" w:sz="0" w:space="0" w:color="auto"/>
        <w:bottom w:val="none" w:sz="0" w:space="0" w:color="auto"/>
        <w:right w:val="none" w:sz="0" w:space="0" w:color="auto"/>
      </w:divBdr>
    </w:div>
    <w:div w:id="672223401">
      <w:bodyDiv w:val="1"/>
      <w:marLeft w:val="0"/>
      <w:marRight w:val="0"/>
      <w:marTop w:val="0"/>
      <w:marBottom w:val="0"/>
      <w:divBdr>
        <w:top w:val="none" w:sz="0" w:space="0" w:color="auto"/>
        <w:left w:val="none" w:sz="0" w:space="0" w:color="auto"/>
        <w:bottom w:val="none" w:sz="0" w:space="0" w:color="auto"/>
        <w:right w:val="none" w:sz="0" w:space="0" w:color="auto"/>
      </w:divBdr>
    </w:div>
    <w:div w:id="829367422">
      <w:bodyDiv w:val="1"/>
      <w:marLeft w:val="0"/>
      <w:marRight w:val="0"/>
      <w:marTop w:val="0"/>
      <w:marBottom w:val="0"/>
      <w:divBdr>
        <w:top w:val="none" w:sz="0" w:space="0" w:color="auto"/>
        <w:left w:val="none" w:sz="0" w:space="0" w:color="auto"/>
        <w:bottom w:val="none" w:sz="0" w:space="0" w:color="auto"/>
        <w:right w:val="none" w:sz="0" w:space="0" w:color="auto"/>
      </w:divBdr>
    </w:div>
    <w:div w:id="940918295">
      <w:bodyDiv w:val="1"/>
      <w:marLeft w:val="0"/>
      <w:marRight w:val="0"/>
      <w:marTop w:val="0"/>
      <w:marBottom w:val="0"/>
      <w:divBdr>
        <w:top w:val="none" w:sz="0" w:space="0" w:color="auto"/>
        <w:left w:val="none" w:sz="0" w:space="0" w:color="auto"/>
        <w:bottom w:val="none" w:sz="0" w:space="0" w:color="auto"/>
        <w:right w:val="none" w:sz="0" w:space="0" w:color="auto"/>
      </w:divBdr>
    </w:div>
    <w:div w:id="945312539">
      <w:bodyDiv w:val="1"/>
      <w:marLeft w:val="0"/>
      <w:marRight w:val="0"/>
      <w:marTop w:val="0"/>
      <w:marBottom w:val="0"/>
      <w:divBdr>
        <w:top w:val="none" w:sz="0" w:space="0" w:color="auto"/>
        <w:left w:val="none" w:sz="0" w:space="0" w:color="auto"/>
        <w:bottom w:val="none" w:sz="0" w:space="0" w:color="auto"/>
        <w:right w:val="none" w:sz="0" w:space="0" w:color="auto"/>
      </w:divBdr>
    </w:div>
    <w:div w:id="1006130435">
      <w:bodyDiv w:val="1"/>
      <w:marLeft w:val="0"/>
      <w:marRight w:val="0"/>
      <w:marTop w:val="0"/>
      <w:marBottom w:val="0"/>
      <w:divBdr>
        <w:top w:val="none" w:sz="0" w:space="0" w:color="auto"/>
        <w:left w:val="none" w:sz="0" w:space="0" w:color="auto"/>
        <w:bottom w:val="none" w:sz="0" w:space="0" w:color="auto"/>
        <w:right w:val="none" w:sz="0" w:space="0" w:color="auto"/>
      </w:divBdr>
    </w:div>
    <w:div w:id="1051001916">
      <w:bodyDiv w:val="1"/>
      <w:marLeft w:val="0"/>
      <w:marRight w:val="0"/>
      <w:marTop w:val="0"/>
      <w:marBottom w:val="0"/>
      <w:divBdr>
        <w:top w:val="none" w:sz="0" w:space="0" w:color="auto"/>
        <w:left w:val="none" w:sz="0" w:space="0" w:color="auto"/>
        <w:bottom w:val="none" w:sz="0" w:space="0" w:color="auto"/>
        <w:right w:val="none" w:sz="0" w:space="0" w:color="auto"/>
      </w:divBdr>
    </w:div>
    <w:div w:id="1063210864">
      <w:bodyDiv w:val="1"/>
      <w:marLeft w:val="0"/>
      <w:marRight w:val="0"/>
      <w:marTop w:val="0"/>
      <w:marBottom w:val="0"/>
      <w:divBdr>
        <w:top w:val="none" w:sz="0" w:space="0" w:color="auto"/>
        <w:left w:val="none" w:sz="0" w:space="0" w:color="auto"/>
        <w:bottom w:val="none" w:sz="0" w:space="0" w:color="auto"/>
        <w:right w:val="none" w:sz="0" w:space="0" w:color="auto"/>
      </w:divBdr>
    </w:div>
    <w:div w:id="1066538907">
      <w:bodyDiv w:val="1"/>
      <w:marLeft w:val="0"/>
      <w:marRight w:val="0"/>
      <w:marTop w:val="0"/>
      <w:marBottom w:val="0"/>
      <w:divBdr>
        <w:top w:val="none" w:sz="0" w:space="0" w:color="auto"/>
        <w:left w:val="none" w:sz="0" w:space="0" w:color="auto"/>
        <w:bottom w:val="none" w:sz="0" w:space="0" w:color="auto"/>
        <w:right w:val="none" w:sz="0" w:space="0" w:color="auto"/>
      </w:divBdr>
    </w:div>
    <w:div w:id="109505539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6581539">
      <w:bodyDiv w:val="1"/>
      <w:marLeft w:val="0"/>
      <w:marRight w:val="0"/>
      <w:marTop w:val="0"/>
      <w:marBottom w:val="0"/>
      <w:divBdr>
        <w:top w:val="none" w:sz="0" w:space="0" w:color="auto"/>
        <w:left w:val="none" w:sz="0" w:space="0" w:color="auto"/>
        <w:bottom w:val="none" w:sz="0" w:space="0" w:color="auto"/>
        <w:right w:val="none" w:sz="0" w:space="0" w:color="auto"/>
      </w:divBdr>
    </w:div>
    <w:div w:id="1205293399">
      <w:bodyDiv w:val="1"/>
      <w:marLeft w:val="0"/>
      <w:marRight w:val="0"/>
      <w:marTop w:val="0"/>
      <w:marBottom w:val="0"/>
      <w:divBdr>
        <w:top w:val="none" w:sz="0" w:space="0" w:color="auto"/>
        <w:left w:val="none" w:sz="0" w:space="0" w:color="auto"/>
        <w:bottom w:val="none" w:sz="0" w:space="0" w:color="auto"/>
        <w:right w:val="none" w:sz="0" w:space="0" w:color="auto"/>
      </w:divBdr>
    </w:div>
    <w:div w:id="1206524516">
      <w:bodyDiv w:val="1"/>
      <w:marLeft w:val="0"/>
      <w:marRight w:val="0"/>
      <w:marTop w:val="0"/>
      <w:marBottom w:val="0"/>
      <w:divBdr>
        <w:top w:val="none" w:sz="0" w:space="0" w:color="auto"/>
        <w:left w:val="none" w:sz="0" w:space="0" w:color="auto"/>
        <w:bottom w:val="none" w:sz="0" w:space="0" w:color="auto"/>
        <w:right w:val="none" w:sz="0" w:space="0" w:color="auto"/>
      </w:divBdr>
    </w:div>
    <w:div w:id="1216812591">
      <w:bodyDiv w:val="1"/>
      <w:marLeft w:val="0"/>
      <w:marRight w:val="0"/>
      <w:marTop w:val="0"/>
      <w:marBottom w:val="0"/>
      <w:divBdr>
        <w:top w:val="none" w:sz="0" w:space="0" w:color="auto"/>
        <w:left w:val="none" w:sz="0" w:space="0" w:color="auto"/>
        <w:bottom w:val="none" w:sz="0" w:space="0" w:color="auto"/>
        <w:right w:val="none" w:sz="0" w:space="0" w:color="auto"/>
      </w:divBdr>
    </w:div>
    <w:div w:id="1242836543">
      <w:bodyDiv w:val="1"/>
      <w:marLeft w:val="0"/>
      <w:marRight w:val="0"/>
      <w:marTop w:val="0"/>
      <w:marBottom w:val="0"/>
      <w:divBdr>
        <w:top w:val="none" w:sz="0" w:space="0" w:color="auto"/>
        <w:left w:val="none" w:sz="0" w:space="0" w:color="auto"/>
        <w:bottom w:val="none" w:sz="0" w:space="0" w:color="auto"/>
        <w:right w:val="none" w:sz="0" w:space="0" w:color="auto"/>
      </w:divBdr>
    </w:div>
    <w:div w:id="1272475164">
      <w:bodyDiv w:val="1"/>
      <w:marLeft w:val="0"/>
      <w:marRight w:val="0"/>
      <w:marTop w:val="0"/>
      <w:marBottom w:val="0"/>
      <w:divBdr>
        <w:top w:val="none" w:sz="0" w:space="0" w:color="auto"/>
        <w:left w:val="none" w:sz="0" w:space="0" w:color="auto"/>
        <w:bottom w:val="none" w:sz="0" w:space="0" w:color="auto"/>
        <w:right w:val="none" w:sz="0" w:space="0" w:color="auto"/>
      </w:divBdr>
    </w:div>
    <w:div w:id="1312058208">
      <w:bodyDiv w:val="1"/>
      <w:marLeft w:val="0"/>
      <w:marRight w:val="0"/>
      <w:marTop w:val="0"/>
      <w:marBottom w:val="0"/>
      <w:divBdr>
        <w:top w:val="none" w:sz="0" w:space="0" w:color="auto"/>
        <w:left w:val="none" w:sz="0" w:space="0" w:color="auto"/>
        <w:bottom w:val="none" w:sz="0" w:space="0" w:color="auto"/>
        <w:right w:val="none" w:sz="0" w:space="0" w:color="auto"/>
      </w:divBdr>
    </w:div>
    <w:div w:id="1318262167">
      <w:bodyDiv w:val="1"/>
      <w:marLeft w:val="0"/>
      <w:marRight w:val="0"/>
      <w:marTop w:val="0"/>
      <w:marBottom w:val="0"/>
      <w:divBdr>
        <w:top w:val="none" w:sz="0" w:space="0" w:color="auto"/>
        <w:left w:val="none" w:sz="0" w:space="0" w:color="auto"/>
        <w:bottom w:val="none" w:sz="0" w:space="0" w:color="auto"/>
        <w:right w:val="none" w:sz="0" w:space="0" w:color="auto"/>
      </w:divBdr>
    </w:div>
    <w:div w:id="1369988340">
      <w:bodyDiv w:val="1"/>
      <w:marLeft w:val="0"/>
      <w:marRight w:val="0"/>
      <w:marTop w:val="0"/>
      <w:marBottom w:val="0"/>
      <w:divBdr>
        <w:top w:val="none" w:sz="0" w:space="0" w:color="auto"/>
        <w:left w:val="none" w:sz="0" w:space="0" w:color="auto"/>
        <w:bottom w:val="none" w:sz="0" w:space="0" w:color="auto"/>
        <w:right w:val="none" w:sz="0" w:space="0" w:color="auto"/>
      </w:divBdr>
    </w:div>
    <w:div w:id="1387409760">
      <w:bodyDiv w:val="1"/>
      <w:marLeft w:val="0"/>
      <w:marRight w:val="0"/>
      <w:marTop w:val="0"/>
      <w:marBottom w:val="0"/>
      <w:divBdr>
        <w:top w:val="none" w:sz="0" w:space="0" w:color="auto"/>
        <w:left w:val="none" w:sz="0" w:space="0" w:color="auto"/>
        <w:bottom w:val="none" w:sz="0" w:space="0" w:color="auto"/>
        <w:right w:val="none" w:sz="0" w:space="0" w:color="auto"/>
      </w:divBdr>
    </w:div>
    <w:div w:id="1418214216">
      <w:bodyDiv w:val="1"/>
      <w:marLeft w:val="0"/>
      <w:marRight w:val="0"/>
      <w:marTop w:val="0"/>
      <w:marBottom w:val="0"/>
      <w:divBdr>
        <w:top w:val="none" w:sz="0" w:space="0" w:color="auto"/>
        <w:left w:val="none" w:sz="0" w:space="0" w:color="auto"/>
        <w:bottom w:val="none" w:sz="0" w:space="0" w:color="auto"/>
        <w:right w:val="none" w:sz="0" w:space="0" w:color="auto"/>
      </w:divBdr>
    </w:div>
    <w:div w:id="1421290174">
      <w:bodyDiv w:val="1"/>
      <w:marLeft w:val="0"/>
      <w:marRight w:val="0"/>
      <w:marTop w:val="0"/>
      <w:marBottom w:val="0"/>
      <w:divBdr>
        <w:top w:val="none" w:sz="0" w:space="0" w:color="auto"/>
        <w:left w:val="none" w:sz="0" w:space="0" w:color="auto"/>
        <w:bottom w:val="none" w:sz="0" w:space="0" w:color="auto"/>
        <w:right w:val="none" w:sz="0" w:space="0" w:color="auto"/>
      </w:divBdr>
    </w:div>
    <w:div w:id="1449466511">
      <w:bodyDiv w:val="1"/>
      <w:marLeft w:val="0"/>
      <w:marRight w:val="0"/>
      <w:marTop w:val="0"/>
      <w:marBottom w:val="0"/>
      <w:divBdr>
        <w:top w:val="none" w:sz="0" w:space="0" w:color="auto"/>
        <w:left w:val="none" w:sz="0" w:space="0" w:color="auto"/>
        <w:bottom w:val="none" w:sz="0" w:space="0" w:color="auto"/>
        <w:right w:val="none" w:sz="0" w:space="0" w:color="auto"/>
      </w:divBdr>
    </w:div>
    <w:div w:id="1490245718">
      <w:bodyDiv w:val="1"/>
      <w:marLeft w:val="0"/>
      <w:marRight w:val="0"/>
      <w:marTop w:val="0"/>
      <w:marBottom w:val="0"/>
      <w:divBdr>
        <w:top w:val="none" w:sz="0" w:space="0" w:color="auto"/>
        <w:left w:val="none" w:sz="0" w:space="0" w:color="auto"/>
        <w:bottom w:val="none" w:sz="0" w:space="0" w:color="auto"/>
        <w:right w:val="none" w:sz="0" w:space="0" w:color="auto"/>
      </w:divBdr>
    </w:div>
    <w:div w:id="1509055978">
      <w:bodyDiv w:val="1"/>
      <w:marLeft w:val="0"/>
      <w:marRight w:val="0"/>
      <w:marTop w:val="0"/>
      <w:marBottom w:val="0"/>
      <w:divBdr>
        <w:top w:val="none" w:sz="0" w:space="0" w:color="auto"/>
        <w:left w:val="none" w:sz="0" w:space="0" w:color="auto"/>
        <w:bottom w:val="none" w:sz="0" w:space="0" w:color="auto"/>
        <w:right w:val="none" w:sz="0" w:space="0" w:color="auto"/>
      </w:divBdr>
    </w:div>
    <w:div w:id="1510758663">
      <w:bodyDiv w:val="1"/>
      <w:marLeft w:val="0"/>
      <w:marRight w:val="0"/>
      <w:marTop w:val="0"/>
      <w:marBottom w:val="0"/>
      <w:divBdr>
        <w:top w:val="none" w:sz="0" w:space="0" w:color="auto"/>
        <w:left w:val="none" w:sz="0" w:space="0" w:color="auto"/>
        <w:bottom w:val="none" w:sz="0" w:space="0" w:color="auto"/>
        <w:right w:val="none" w:sz="0" w:space="0" w:color="auto"/>
      </w:divBdr>
      <w:divsChild>
        <w:div w:id="1659066546">
          <w:marLeft w:val="0"/>
          <w:marRight w:val="0"/>
          <w:marTop w:val="0"/>
          <w:marBottom w:val="0"/>
          <w:divBdr>
            <w:top w:val="none" w:sz="0" w:space="0" w:color="auto"/>
            <w:left w:val="none" w:sz="0" w:space="0" w:color="auto"/>
            <w:bottom w:val="none" w:sz="0" w:space="0" w:color="auto"/>
            <w:right w:val="none" w:sz="0" w:space="0" w:color="auto"/>
          </w:divBdr>
          <w:divsChild>
            <w:div w:id="1967392324">
              <w:marLeft w:val="0"/>
              <w:marRight w:val="0"/>
              <w:marTop w:val="0"/>
              <w:marBottom w:val="0"/>
              <w:divBdr>
                <w:top w:val="none" w:sz="0" w:space="0" w:color="auto"/>
                <w:left w:val="none" w:sz="0" w:space="0" w:color="auto"/>
                <w:bottom w:val="none" w:sz="0" w:space="0" w:color="auto"/>
                <w:right w:val="none" w:sz="0" w:space="0" w:color="auto"/>
              </w:divBdr>
              <w:divsChild>
                <w:div w:id="584533380">
                  <w:marLeft w:val="0"/>
                  <w:marRight w:val="0"/>
                  <w:marTop w:val="0"/>
                  <w:marBottom w:val="0"/>
                  <w:divBdr>
                    <w:top w:val="none" w:sz="0" w:space="0" w:color="auto"/>
                    <w:left w:val="none" w:sz="0" w:space="0" w:color="auto"/>
                    <w:bottom w:val="none" w:sz="0" w:space="0" w:color="auto"/>
                    <w:right w:val="none" w:sz="0" w:space="0" w:color="auto"/>
                  </w:divBdr>
                  <w:divsChild>
                    <w:div w:id="202252685">
                      <w:marLeft w:val="0"/>
                      <w:marRight w:val="0"/>
                      <w:marTop w:val="0"/>
                      <w:marBottom w:val="0"/>
                      <w:divBdr>
                        <w:top w:val="none" w:sz="0" w:space="0" w:color="auto"/>
                        <w:left w:val="none" w:sz="0" w:space="0" w:color="auto"/>
                        <w:bottom w:val="none" w:sz="0" w:space="0" w:color="auto"/>
                        <w:right w:val="none" w:sz="0" w:space="0" w:color="auto"/>
                      </w:divBdr>
                      <w:divsChild>
                        <w:div w:id="124928502">
                          <w:marLeft w:val="0"/>
                          <w:marRight w:val="0"/>
                          <w:marTop w:val="0"/>
                          <w:marBottom w:val="0"/>
                          <w:divBdr>
                            <w:top w:val="none" w:sz="0" w:space="0" w:color="auto"/>
                            <w:left w:val="none" w:sz="0" w:space="0" w:color="auto"/>
                            <w:bottom w:val="none" w:sz="0" w:space="0" w:color="auto"/>
                            <w:right w:val="none" w:sz="0" w:space="0" w:color="auto"/>
                          </w:divBdr>
                          <w:divsChild>
                            <w:div w:id="1449162400">
                              <w:marLeft w:val="0"/>
                              <w:marRight w:val="0"/>
                              <w:marTop w:val="0"/>
                              <w:marBottom w:val="0"/>
                              <w:divBdr>
                                <w:top w:val="none" w:sz="0" w:space="0" w:color="auto"/>
                                <w:left w:val="none" w:sz="0" w:space="0" w:color="auto"/>
                                <w:bottom w:val="none" w:sz="0" w:space="0" w:color="auto"/>
                                <w:right w:val="none" w:sz="0" w:space="0" w:color="auto"/>
                              </w:divBdr>
                              <w:divsChild>
                                <w:div w:id="821703382">
                                  <w:marLeft w:val="360"/>
                                  <w:marRight w:val="360"/>
                                  <w:marTop w:val="0"/>
                                  <w:marBottom w:val="0"/>
                                  <w:divBdr>
                                    <w:top w:val="none" w:sz="0" w:space="0" w:color="auto"/>
                                    <w:left w:val="none" w:sz="0" w:space="0" w:color="auto"/>
                                    <w:bottom w:val="none" w:sz="0" w:space="0" w:color="auto"/>
                                    <w:right w:val="none" w:sz="0" w:space="0" w:color="auto"/>
                                  </w:divBdr>
                                  <w:divsChild>
                                    <w:div w:id="813988086">
                                      <w:marLeft w:val="0"/>
                                      <w:marRight w:val="0"/>
                                      <w:marTop w:val="0"/>
                                      <w:marBottom w:val="0"/>
                                      <w:divBdr>
                                        <w:top w:val="none" w:sz="0" w:space="0" w:color="auto"/>
                                        <w:left w:val="none" w:sz="0" w:space="0" w:color="auto"/>
                                        <w:bottom w:val="none" w:sz="0" w:space="0" w:color="auto"/>
                                        <w:right w:val="none" w:sz="0" w:space="0" w:color="auto"/>
                                      </w:divBdr>
                                      <w:divsChild>
                                        <w:div w:id="1834759256">
                                          <w:marLeft w:val="0"/>
                                          <w:marRight w:val="0"/>
                                          <w:marTop w:val="0"/>
                                          <w:marBottom w:val="300"/>
                                          <w:divBdr>
                                            <w:top w:val="none" w:sz="0" w:space="0" w:color="auto"/>
                                            <w:left w:val="none" w:sz="0" w:space="0" w:color="auto"/>
                                            <w:bottom w:val="none" w:sz="0" w:space="0" w:color="auto"/>
                                            <w:right w:val="none" w:sz="0" w:space="0" w:color="auto"/>
                                          </w:divBdr>
                                          <w:divsChild>
                                            <w:div w:id="52435282">
                                              <w:marLeft w:val="0"/>
                                              <w:marRight w:val="0"/>
                                              <w:marTop w:val="0"/>
                                              <w:marBottom w:val="0"/>
                                              <w:divBdr>
                                                <w:top w:val="none" w:sz="0" w:space="0" w:color="auto"/>
                                                <w:left w:val="none" w:sz="0" w:space="0" w:color="auto"/>
                                                <w:bottom w:val="none" w:sz="0" w:space="0" w:color="auto"/>
                                                <w:right w:val="none" w:sz="0" w:space="0" w:color="auto"/>
                                              </w:divBdr>
                                              <w:divsChild>
                                                <w:div w:id="2084330776">
                                                  <w:marLeft w:val="0"/>
                                                  <w:marRight w:val="0"/>
                                                  <w:marTop w:val="0"/>
                                                  <w:marBottom w:val="0"/>
                                                  <w:divBdr>
                                                    <w:top w:val="none" w:sz="0" w:space="0" w:color="auto"/>
                                                    <w:left w:val="none" w:sz="0" w:space="0" w:color="auto"/>
                                                    <w:bottom w:val="none" w:sz="0" w:space="0" w:color="auto"/>
                                                    <w:right w:val="none" w:sz="0" w:space="0" w:color="auto"/>
                                                  </w:divBdr>
                                                  <w:divsChild>
                                                    <w:div w:id="860970000">
                                                      <w:marLeft w:val="0"/>
                                                      <w:marRight w:val="0"/>
                                                      <w:marTop w:val="0"/>
                                                      <w:marBottom w:val="0"/>
                                                      <w:divBdr>
                                                        <w:top w:val="none" w:sz="0" w:space="0" w:color="auto"/>
                                                        <w:left w:val="none" w:sz="0" w:space="0" w:color="auto"/>
                                                        <w:bottom w:val="none" w:sz="0" w:space="0" w:color="auto"/>
                                                        <w:right w:val="none" w:sz="0" w:space="0" w:color="auto"/>
                                                      </w:divBdr>
                                                      <w:divsChild>
                                                        <w:div w:id="8822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0511330">
      <w:bodyDiv w:val="1"/>
      <w:marLeft w:val="0"/>
      <w:marRight w:val="0"/>
      <w:marTop w:val="0"/>
      <w:marBottom w:val="0"/>
      <w:divBdr>
        <w:top w:val="none" w:sz="0" w:space="0" w:color="auto"/>
        <w:left w:val="none" w:sz="0" w:space="0" w:color="auto"/>
        <w:bottom w:val="none" w:sz="0" w:space="0" w:color="auto"/>
        <w:right w:val="none" w:sz="0" w:space="0" w:color="auto"/>
      </w:divBdr>
    </w:div>
    <w:div w:id="1550461799">
      <w:bodyDiv w:val="1"/>
      <w:marLeft w:val="0"/>
      <w:marRight w:val="0"/>
      <w:marTop w:val="0"/>
      <w:marBottom w:val="0"/>
      <w:divBdr>
        <w:top w:val="none" w:sz="0" w:space="0" w:color="auto"/>
        <w:left w:val="none" w:sz="0" w:space="0" w:color="auto"/>
        <w:bottom w:val="none" w:sz="0" w:space="0" w:color="auto"/>
        <w:right w:val="none" w:sz="0" w:space="0" w:color="auto"/>
      </w:divBdr>
    </w:div>
    <w:div w:id="1563564927">
      <w:bodyDiv w:val="1"/>
      <w:marLeft w:val="0"/>
      <w:marRight w:val="0"/>
      <w:marTop w:val="0"/>
      <w:marBottom w:val="0"/>
      <w:divBdr>
        <w:top w:val="none" w:sz="0" w:space="0" w:color="auto"/>
        <w:left w:val="none" w:sz="0" w:space="0" w:color="auto"/>
        <w:bottom w:val="none" w:sz="0" w:space="0" w:color="auto"/>
        <w:right w:val="none" w:sz="0" w:space="0" w:color="auto"/>
      </w:divBdr>
    </w:div>
    <w:div w:id="1578519296">
      <w:bodyDiv w:val="1"/>
      <w:marLeft w:val="0"/>
      <w:marRight w:val="0"/>
      <w:marTop w:val="0"/>
      <w:marBottom w:val="0"/>
      <w:divBdr>
        <w:top w:val="none" w:sz="0" w:space="0" w:color="auto"/>
        <w:left w:val="none" w:sz="0" w:space="0" w:color="auto"/>
        <w:bottom w:val="none" w:sz="0" w:space="0" w:color="auto"/>
        <w:right w:val="none" w:sz="0" w:space="0" w:color="auto"/>
      </w:divBdr>
    </w:div>
    <w:div w:id="1655138283">
      <w:bodyDiv w:val="1"/>
      <w:marLeft w:val="0"/>
      <w:marRight w:val="0"/>
      <w:marTop w:val="0"/>
      <w:marBottom w:val="0"/>
      <w:divBdr>
        <w:top w:val="none" w:sz="0" w:space="0" w:color="auto"/>
        <w:left w:val="none" w:sz="0" w:space="0" w:color="auto"/>
        <w:bottom w:val="none" w:sz="0" w:space="0" w:color="auto"/>
        <w:right w:val="none" w:sz="0" w:space="0" w:color="auto"/>
      </w:divBdr>
    </w:div>
    <w:div w:id="1679698562">
      <w:bodyDiv w:val="1"/>
      <w:marLeft w:val="0"/>
      <w:marRight w:val="0"/>
      <w:marTop w:val="0"/>
      <w:marBottom w:val="0"/>
      <w:divBdr>
        <w:top w:val="none" w:sz="0" w:space="0" w:color="auto"/>
        <w:left w:val="none" w:sz="0" w:space="0" w:color="auto"/>
        <w:bottom w:val="none" w:sz="0" w:space="0" w:color="auto"/>
        <w:right w:val="none" w:sz="0" w:space="0" w:color="auto"/>
      </w:divBdr>
    </w:div>
    <w:div w:id="1713655552">
      <w:bodyDiv w:val="1"/>
      <w:marLeft w:val="0"/>
      <w:marRight w:val="0"/>
      <w:marTop w:val="0"/>
      <w:marBottom w:val="0"/>
      <w:divBdr>
        <w:top w:val="none" w:sz="0" w:space="0" w:color="auto"/>
        <w:left w:val="none" w:sz="0" w:space="0" w:color="auto"/>
        <w:bottom w:val="none" w:sz="0" w:space="0" w:color="auto"/>
        <w:right w:val="none" w:sz="0" w:space="0" w:color="auto"/>
      </w:divBdr>
      <w:divsChild>
        <w:div w:id="1924030070">
          <w:marLeft w:val="0"/>
          <w:marRight w:val="0"/>
          <w:marTop w:val="0"/>
          <w:marBottom w:val="0"/>
          <w:divBdr>
            <w:top w:val="none" w:sz="0" w:space="0" w:color="auto"/>
            <w:left w:val="none" w:sz="0" w:space="0" w:color="auto"/>
            <w:bottom w:val="none" w:sz="0" w:space="0" w:color="auto"/>
            <w:right w:val="none" w:sz="0" w:space="0" w:color="auto"/>
          </w:divBdr>
          <w:divsChild>
            <w:div w:id="545482425">
              <w:marLeft w:val="0"/>
              <w:marRight w:val="0"/>
              <w:marTop w:val="0"/>
              <w:marBottom w:val="0"/>
              <w:divBdr>
                <w:top w:val="none" w:sz="0" w:space="0" w:color="auto"/>
                <w:left w:val="none" w:sz="0" w:space="0" w:color="auto"/>
                <w:bottom w:val="none" w:sz="0" w:space="0" w:color="auto"/>
                <w:right w:val="none" w:sz="0" w:space="0" w:color="auto"/>
              </w:divBdr>
              <w:divsChild>
                <w:div w:id="1116562480">
                  <w:marLeft w:val="0"/>
                  <w:marRight w:val="0"/>
                  <w:marTop w:val="0"/>
                  <w:marBottom w:val="0"/>
                  <w:divBdr>
                    <w:top w:val="none" w:sz="0" w:space="0" w:color="auto"/>
                    <w:left w:val="none" w:sz="0" w:space="0" w:color="auto"/>
                    <w:bottom w:val="none" w:sz="0" w:space="0" w:color="auto"/>
                    <w:right w:val="none" w:sz="0" w:space="0" w:color="auto"/>
                  </w:divBdr>
                  <w:divsChild>
                    <w:div w:id="939752452">
                      <w:marLeft w:val="0"/>
                      <w:marRight w:val="0"/>
                      <w:marTop w:val="0"/>
                      <w:marBottom w:val="0"/>
                      <w:divBdr>
                        <w:top w:val="none" w:sz="0" w:space="0" w:color="auto"/>
                        <w:left w:val="none" w:sz="0" w:space="0" w:color="auto"/>
                        <w:bottom w:val="none" w:sz="0" w:space="0" w:color="auto"/>
                        <w:right w:val="none" w:sz="0" w:space="0" w:color="auto"/>
                      </w:divBdr>
                      <w:divsChild>
                        <w:div w:id="588268226">
                          <w:marLeft w:val="0"/>
                          <w:marRight w:val="0"/>
                          <w:marTop w:val="0"/>
                          <w:marBottom w:val="0"/>
                          <w:divBdr>
                            <w:top w:val="none" w:sz="0" w:space="0" w:color="auto"/>
                            <w:left w:val="none" w:sz="0" w:space="0" w:color="auto"/>
                            <w:bottom w:val="none" w:sz="0" w:space="0" w:color="auto"/>
                            <w:right w:val="none" w:sz="0" w:space="0" w:color="auto"/>
                          </w:divBdr>
                          <w:divsChild>
                            <w:div w:id="1852210666">
                              <w:marLeft w:val="0"/>
                              <w:marRight w:val="0"/>
                              <w:marTop w:val="0"/>
                              <w:marBottom w:val="0"/>
                              <w:divBdr>
                                <w:top w:val="none" w:sz="0" w:space="0" w:color="auto"/>
                                <w:left w:val="none" w:sz="0" w:space="0" w:color="auto"/>
                                <w:bottom w:val="none" w:sz="0" w:space="0" w:color="auto"/>
                                <w:right w:val="none" w:sz="0" w:space="0" w:color="auto"/>
                              </w:divBdr>
                              <w:divsChild>
                                <w:div w:id="1049498895">
                                  <w:marLeft w:val="360"/>
                                  <w:marRight w:val="360"/>
                                  <w:marTop w:val="0"/>
                                  <w:marBottom w:val="0"/>
                                  <w:divBdr>
                                    <w:top w:val="none" w:sz="0" w:space="0" w:color="auto"/>
                                    <w:left w:val="none" w:sz="0" w:space="0" w:color="auto"/>
                                    <w:bottom w:val="none" w:sz="0" w:space="0" w:color="auto"/>
                                    <w:right w:val="none" w:sz="0" w:space="0" w:color="auto"/>
                                  </w:divBdr>
                                  <w:divsChild>
                                    <w:div w:id="1446147022">
                                      <w:marLeft w:val="0"/>
                                      <w:marRight w:val="0"/>
                                      <w:marTop w:val="0"/>
                                      <w:marBottom w:val="0"/>
                                      <w:divBdr>
                                        <w:top w:val="none" w:sz="0" w:space="0" w:color="auto"/>
                                        <w:left w:val="none" w:sz="0" w:space="0" w:color="auto"/>
                                        <w:bottom w:val="none" w:sz="0" w:space="0" w:color="auto"/>
                                        <w:right w:val="none" w:sz="0" w:space="0" w:color="auto"/>
                                      </w:divBdr>
                                      <w:divsChild>
                                        <w:div w:id="751704578">
                                          <w:marLeft w:val="0"/>
                                          <w:marRight w:val="0"/>
                                          <w:marTop w:val="0"/>
                                          <w:marBottom w:val="300"/>
                                          <w:divBdr>
                                            <w:top w:val="none" w:sz="0" w:space="0" w:color="auto"/>
                                            <w:left w:val="none" w:sz="0" w:space="0" w:color="auto"/>
                                            <w:bottom w:val="none" w:sz="0" w:space="0" w:color="auto"/>
                                            <w:right w:val="none" w:sz="0" w:space="0" w:color="auto"/>
                                          </w:divBdr>
                                          <w:divsChild>
                                            <w:div w:id="533231632">
                                              <w:marLeft w:val="0"/>
                                              <w:marRight w:val="0"/>
                                              <w:marTop w:val="0"/>
                                              <w:marBottom w:val="0"/>
                                              <w:divBdr>
                                                <w:top w:val="none" w:sz="0" w:space="0" w:color="auto"/>
                                                <w:left w:val="none" w:sz="0" w:space="0" w:color="auto"/>
                                                <w:bottom w:val="none" w:sz="0" w:space="0" w:color="auto"/>
                                                <w:right w:val="none" w:sz="0" w:space="0" w:color="auto"/>
                                              </w:divBdr>
                                              <w:divsChild>
                                                <w:div w:id="717507887">
                                                  <w:marLeft w:val="0"/>
                                                  <w:marRight w:val="0"/>
                                                  <w:marTop w:val="0"/>
                                                  <w:marBottom w:val="0"/>
                                                  <w:divBdr>
                                                    <w:top w:val="none" w:sz="0" w:space="0" w:color="auto"/>
                                                    <w:left w:val="none" w:sz="0" w:space="0" w:color="auto"/>
                                                    <w:bottom w:val="none" w:sz="0" w:space="0" w:color="auto"/>
                                                    <w:right w:val="none" w:sz="0" w:space="0" w:color="auto"/>
                                                  </w:divBdr>
                                                  <w:divsChild>
                                                    <w:div w:id="872812029">
                                                      <w:marLeft w:val="0"/>
                                                      <w:marRight w:val="0"/>
                                                      <w:marTop w:val="0"/>
                                                      <w:marBottom w:val="0"/>
                                                      <w:divBdr>
                                                        <w:top w:val="none" w:sz="0" w:space="0" w:color="auto"/>
                                                        <w:left w:val="none" w:sz="0" w:space="0" w:color="auto"/>
                                                        <w:bottom w:val="none" w:sz="0" w:space="0" w:color="auto"/>
                                                        <w:right w:val="none" w:sz="0" w:space="0" w:color="auto"/>
                                                      </w:divBdr>
                                                      <w:divsChild>
                                                        <w:div w:id="6998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254912">
      <w:bodyDiv w:val="1"/>
      <w:marLeft w:val="0"/>
      <w:marRight w:val="0"/>
      <w:marTop w:val="0"/>
      <w:marBottom w:val="0"/>
      <w:divBdr>
        <w:top w:val="none" w:sz="0" w:space="0" w:color="auto"/>
        <w:left w:val="none" w:sz="0" w:space="0" w:color="auto"/>
        <w:bottom w:val="none" w:sz="0" w:space="0" w:color="auto"/>
        <w:right w:val="none" w:sz="0" w:space="0" w:color="auto"/>
      </w:divBdr>
    </w:div>
    <w:div w:id="1767572372">
      <w:bodyDiv w:val="1"/>
      <w:marLeft w:val="0"/>
      <w:marRight w:val="0"/>
      <w:marTop w:val="0"/>
      <w:marBottom w:val="0"/>
      <w:divBdr>
        <w:top w:val="none" w:sz="0" w:space="0" w:color="auto"/>
        <w:left w:val="none" w:sz="0" w:space="0" w:color="auto"/>
        <w:bottom w:val="none" w:sz="0" w:space="0" w:color="auto"/>
        <w:right w:val="none" w:sz="0" w:space="0" w:color="auto"/>
      </w:divBdr>
    </w:div>
    <w:div w:id="1797750368">
      <w:bodyDiv w:val="1"/>
      <w:marLeft w:val="0"/>
      <w:marRight w:val="0"/>
      <w:marTop w:val="0"/>
      <w:marBottom w:val="0"/>
      <w:divBdr>
        <w:top w:val="none" w:sz="0" w:space="0" w:color="auto"/>
        <w:left w:val="none" w:sz="0" w:space="0" w:color="auto"/>
        <w:bottom w:val="none" w:sz="0" w:space="0" w:color="auto"/>
        <w:right w:val="none" w:sz="0" w:space="0" w:color="auto"/>
      </w:divBdr>
    </w:div>
    <w:div w:id="1803498567">
      <w:bodyDiv w:val="1"/>
      <w:marLeft w:val="0"/>
      <w:marRight w:val="0"/>
      <w:marTop w:val="0"/>
      <w:marBottom w:val="0"/>
      <w:divBdr>
        <w:top w:val="none" w:sz="0" w:space="0" w:color="auto"/>
        <w:left w:val="none" w:sz="0" w:space="0" w:color="auto"/>
        <w:bottom w:val="none" w:sz="0" w:space="0" w:color="auto"/>
        <w:right w:val="none" w:sz="0" w:space="0" w:color="auto"/>
      </w:divBdr>
    </w:div>
    <w:div w:id="1807312768">
      <w:bodyDiv w:val="1"/>
      <w:marLeft w:val="0"/>
      <w:marRight w:val="0"/>
      <w:marTop w:val="0"/>
      <w:marBottom w:val="0"/>
      <w:divBdr>
        <w:top w:val="none" w:sz="0" w:space="0" w:color="auto"/>
        <w:left w:val="none" w:sz="0" w:space="0" w:color="auto"/>
        <w:bottom w:val="none" w:sz="0" w:space="0" w:color="auto"/>
        <w:right w:val="none" w:sz="0" w:space="0" w:color="auto"/>
      </w:divBdr>
    </w:div>
    <w:div w:id="1862696614">
      <w:bodyDiv w:val="1"/>
      <w:marLeft w:val="0"/>
      <w:marRight w:val="0"/>
      <w:marTop w:val="0"/>
      <w:marBottom w:val="0"/>
      <w:divBdr>
        <w:top w:val="none" w:sz="0" w:space="0" w:color="auto"/>
        <w:left w:val="none" w:sz="0" w:space="0" w:color="auto"/>
        <w:bottom w:val="none" w:sz="0" w:space="0" w:color="auto"/>
        <w:right w:val="none" w:sz="0" w:space="0" w:color="auto"/>
      </w:divBdr>
    </w:div>
    <w:div w:id="1890338156">
      <w:bodyDiv w:val="1"/>
      <w:marLeft w:val="0"/>
      <w:marRight w:val="0"/>
      <w:marTop w:val="0"/>
      <w:marBottom w:val="0"/>
      <w:divBdr>
        <w:top w:val="none" w:sz="0" w:space="0" w:color="auto"/>
        <w:left w:val="none" w:sz="0" w:space="0" w:color="auto"/>
        <w:bottom w:val="none" w:sz="0" w:space="0" w:color="auto"/>
        <w:right w:val="none" w:sz="0" w:space="0" w:color="auto"/>
      </w:divBdr>
    </w:div>
    <w:div w:id="1900943956">
      <w:bodyDiv w:val="1"/>
      <w:marLeft w:val="0"/>
      <w:marRight w:val="0"/>
      <w:marTop w:val="0"/>
      <w:marBottom w:val="0"/>
      <w:divBdr>
        <w:top w:val="none" w:sz="0" w:space="0" w:color="auto"/>
        <w:left w:val="none" w:sz="0" w:space="0" w:color="auto"/>
        <w:bottom w:val="none" w:sz="0" w:space="0" w:color="auto"/>
        <w:right w:val="none" w:sz="0" w:space="0" w:color="auto"/>
      </w:divBdr>
    </w:div>
    <w:div w:id="1944454817">
      <w:bodyDiv w:val="1"/>
      <w:marLeft w:val="0"/>
      <w:marRight w:val="0"/>
      <w:marTop w:val="0"/>
      <w:marBottom w:val="0"/>
      <w:divBdr>
        <w:top w:val="none" w:sz="0" w:space="0" w:color="auto"/>
        <w:left w:val="none" w:sz="0" w:space="0" w:color="auto"/>
        <w:bottom w:val="none" w:sz="0" w:space="0" w:color="auto"/>
        <w:right w:val="none" w:sz="0" w:space="0" w:color="auto"/>
      </w:divBdr>
    </w:div>
    <w:div w:id="1979415599">
      <w:bodyDiv w:val="1"/>
      <w:marLeft w:val="0"/>
      <w:marRight w:val="0"/>
      <w:marTop w:val="0"/>
      <w:marBottom w:val="0"/>
      <w:divBdr>
        <w:top w:val="none" w:sz="0" w:space="0" w:color="auto"/>
        <w:left w:val="none" w:sz="0" w:space="0" w:color="auto"/>
        <w:bottom w:val="none" w:sz="0" w:space="0" w:color="auto"/>
        <w:right w:val="none" w:sz="0" w:space="0" w:color="auto"/>
      </w:divBdr>
    </w:div>
    <w:div w:id="2028555978">
      <w:bodyDiv w:val="1"/>
      <w:marLeft w:val="0"/>
      <w:marRight w:val="0"/>
      <w:marTop w:val="0"/>
      <w:marBottom w:val="0"/>
      <w:divBdr>
        <w:top w:val="none" w:sz="0" w:space="0" w:color="auto"/>
        <w:left w:val="none" w:sz="0" w:space="0" w:color="auto"/>
        <w:bottom w:val="none" w:sz="0" w:space="0" w:color="auto"/>
        <w:right w:val="none" w:sz="0" w:space="0" w:color="auto"/>
      </w:divBdr>
    </w:div>
    <w:div w:id="2061321524">
      <w:bodyDiv w:val="1"/>
      <w:marLeft w:val="0"/>
      <w:marRight w:val="0"/>
      <w:marTop w:val="0"/>
      <w:marBottom w:val="0"/>
      <w:divBdr>
        <w:top w:val="none" w:sz="0" w:space="0" w:color="auto"/>
        <w:left w:val="none" w:sz="0" w:space="0" w:color="auto"/>
        <w:bottom w:val="none" w:sz="0" w:space="0" w:color="auto"/>
        <w:right w:val="none" w:sz="0" w:space="0" w:color="auto"/>
      </w:divBdr>
    </w:div>
    <w:div w:id="2061584814">
      <w:bodyDiv w:val="1"/>
      <w:marLeft w:val="0"/>
      <w:marRight w:val="0"/>
      <w:marTop w:val="0"/>
      <w:marBottom w:val="0"/>
      <w:divBdr>
        <w:top w:val="none" w:sz="0" w:space="0" w:color="auto"/>
        <w:left w:val="none" w:sz="0" w:space="0" w:color="auto"/>
        <w:bottom w:val="none" w:sz="0" w:space="0" w:color="auto"/>
        <w:right w:val="none" w:sz="0" w:space="0" w:color="auto"/>
      </w:divBdr>
    </w:div>
    <w:div w:id="2062241165">
      <w:bodyDiv w:val="1"/>
      <w:marLeft w:val="0"/>
      <w:marRight w:val="0"/>
      <w:marTop w:val="0"/>
      <w:marBottom w:val="0"/>
      <w:divBdr>
        <w:top w:val="none" w:sz="0" w:space="0" w:color="auto"/>
        <w:left w:val="none" w:sz="0" w:space="0" w:color="auto"/>
        <w:bottom w:val="none" w:sz="0" w:space="0" w:color="auto"/>
        <w:right w:val="none" w:sz="0" w:space="0" w:color="auto"/>
      </w:divBdr>
    </w:div>
    <w:div w:id="2070691785">
      <w:bodyDiv w:val="1"/>
      <w:marLeft w:val="0"/>
      <w:marRight w:val="0"/>
      <w:marTop w:val="0"/>
      <w:marBottom w:val="0"/>
      <w:divBdr>
        <w:top w:val="none" w:sz="0" w:space="0" w:color="auto"/>
        <w:left w:val="none" w:sz="0" w:space="0" w:color="auto"/>
        <w:bottom w:val="none" w:sz="0" w:space="0" w:color="auto"/>
        <w:right w:val="none" w:sz="0" w:space="0" w:color="auto"/>
      </w:divBdr>
    </w:div>
    <w:div w:id="212560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Patients%20by%20month%20and%20indication%20(graph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Scripts%20and%20injec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Age%20of%20patients%20histogra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Patients%20by%20month%20and%20indication%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Age%20of%20patients%20histogram.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Patients%20by%20month%20and%20indication%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Patients%20by%20month%20and%20indication%20(graph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Age%20of%20patients%20histogram.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Apps\ServerApps\Staging\DUSC\DUSC%20Database\Data%20Requests\Requests%202018\D1065%20-%20Eye%20drugs%20review\Patient%20count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entral.health\DFSApps\ServerApps\Staging\DUSC\DUSC%20Database\Data%20Requests\Requests%202018\D1065%20-%20Eye%20drugs%20review\Patients%20by%20month%20and%20indication%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[Patients by month and indication (graphs).xlsx]AMD!PivotTable1</c:name>
    <c:fmtId val="6"/>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lineChart>
        <c:grouping val="standard"/>
        <c:varyColors val="0"/>
        <c:ser>
          <c:idx val="0"/>
          <c:order val="0"/>
          <c:tx>
            <c:strRef>
              <c:f>AMD!$W$1</c:f>
              <c:strCache>
                <c:ptCount val="1"/>
                <c:pt idx="0">
                  <c:v>Treated patients AMD</c:v>
                </c:pt>
              </c:strCache>
            </c:strRef>
          </c:tx>
          <c:marker>
            <c:symbol val="none"/>
          </c:marker>
          <c:cat>
            <c:strRef>
              <c:f>AMD!$V$2:$V$127</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AMD!$W$2:$W$127</c:f>
              <c:numCache>
                <c:formatCode>General</c:formatCode>
                <c:ptCount val="125"/>
                <c:pt idx="0">
                  <c:v>2496</c:v>
                </c:pt>
                <c:pt idx="1">
                  <c:v>3122</c:v>
                </c:pt>
                <c:pt idx="2">
                  <c:v>3725</c:v>
                </c:pt>
                <c:pt idx="3">
                  <c:v>3775</c:v>
                </c:pt>
                <c:pt idx="4">
                  <c:v>3474</c:v>
                </c:pt>
                <c:pt idx="5">
                  <c:v>3803</c:v>
                </c:pt>
                <c:pt idx="6">
                  <c:v>4009</c:v>
                </c:pt>
                <c:pt idx="7">
                  <c:v>3964</c:v>
                </c:pt>
                <c:pt idx="8">
                  <c:v>4188</c:v>
                </c:pt>
                <c:pt idx="9">
                  <c:v>4660</c:v>
                </c:pt>
                <c:pt idx="10">
                  <c:v>4446</c:v>
                </c:pt>
                <c:pt idx="11">
                  <c:v>4708</c:v>
                </c:pt>
                <c:pt idx="12">
                  <c:v>4886</c:v>
                </c:pt>
                <c:pt idx="13">
                  <c:v>5098</c:v>
                </c:pt>
                <c:pt idx="14">
                  <c:v>5186</c:v>
                </c:pt>
                <c:pt idx="15">
                  <c:v>4844</c:v>
                </c:pt>
                <c:pt idx="16">
                  <c:v>5833</c:v>
                </c:pt>
                <c:pt idx="17">
                  <c:v>5714</c:v>
                </c:pt>
                <c:pt idx="18">
                  <c:v>5855</c:v>
                </c:pt>
                <c:pt idx="19">
                  <c:v>6481</c:v>
                </c:pt>
                <c:pt idx="20">
                  <c:v>6621</c:v>
                </c:pt>
                <c:pt idx="21">
                  <c:v>6611</c:v>
                </c:pt>
                <c:pt idx="22">
                  <c:v>7015</c:v>
                </c:pt>
                <c:pt idx="23">
                  <c:v>7542</c:v>
                </c:pt>
                <c:pt idx="24">
                  <c:v>7563</c:v>
                </c:pt>
                <c:pt idx="25">
                  <c:v>7816</c:v>
                </c:pt>
                <c:pt idx="26">
                  <c:v>7999</c:v>
                </c:pt>
                <c:pt idx="27">
                  <c:v>8157</c:v>
                </c:pt>
                <c:pt idx="28">
                  <c:v>8502</c:v>
                </c:pt>
                <c:pt idx="29">
                  <c:v>8312</c:v>
                </c:pt>
                <c:pt idx="30">
                  <c:v>8928</c:v>
                </c:pt>
                <c:pt idx="31">
                  <c:v>9626</c:v>
                </c:pt>
                <c:pt idx="32">
                  <c:v>9080</c:v>
                </c:pt>
                <c:pt idx="33">
                  <c:v>9604</c:v>
                </c:pt>
                <c:pt idx="34">
                  <c:v>9838</c:v>
                </c:pt>
                <c:pt idx="35">
                  <c:v>10191</c:v>
                </c:pt>
                <c:pt idx="36">
                  <c:v>10424</c:v>
                </c:pt>
                <c:pt idx="37">
                  <c:v>10254</c:v>
                </c:pt>
                <c:pt idx="38">
                  <c:v>10434</c:v>
                </c:pt>
                <c:pt idx="39">
                  <c:v>11021</c:v>
                </c:pt>
                <c:pt idx="40">
                  <c:v>11004</c:v>
                </c:pt>
                <c:pt idx="41">
                  <c:v>10683</c:v>
                </c:pt>
                <c:pt idx="42">
                  <c:v>10509</c:v>
                </c:pt>
                <c:pt idx="43">
                  <c:v>12042</c:v>
                </c:pt>
                <c:pt idx="44">
                  <c:v>10857</c:v>
                </c:pt>
                <c:pt idx="45">
                  <c:v>12356</c:v>
                </c:pt>
                <c:pt idx="46">
                  <c:v>12114</c:v>
                </c:pt>
                <c:pt idx="47">
                  <c:v>11877</c:v>
                </c:pt>
                <c:pt idx="48">
                  <c:v>12879</c:v>
                </c:pt>
                <c:pt idx="49">
                  <c:v>12357</c:v>
                </c:pt>
                <c:pt idx="50">
                  <c:v>12411</c:v>
                </c:pt>
                <c:pt idx="51">
                  <c:v>13116</c:v>
                </c:pt>
                <c:pt idx="52">
                  <c:v>12708</c:v>
                </c:pt>
                <c:pt idx="53">
                  <c:v>13219</c:v>
                </c:pt>
                <c:pt idx="54">
                  <c:v>13229</c:v>
                </c:pt>
                <c:pt idx="55">
                  <c:v>14074</c:v>
                </c:pt>
                <c:pt idx="56">
                  <c:v>12562</c:v>
                </c:pt>
                <c:pt idx="57">
                  <c:v>14495</c:v>
                </c:pt>
                <c:pt idx="58">
                  <c:v>13707</c:v>
                </c:pt>
                <c:pt idx="59">
                  <c:v>14365</c:v>
                </c:pt>
                <c:pt idx="60">
                  <c:v>14822</c:v>
                </c:pt>
                <c:pt idx="61">
                  <c:v>13366</c:v>
                </c:pt>
                <c:pt idx="62">
                  <c:v>15051</c:v>
                </c:pt>
                <c:pt idx="63">
                  <c:v>14281</c:v>
                </c:pt>
                <c:pt idx="64">
                  <c:v>14226</c:v>
                </c:pt>
                <c:pt idx="65">
                  <c:v>15815</c:v>
                </c:pt>
                <c:pt idx="66">
                  <c:v>14456</c:v>
                </c:pt>
                <c:pt idx="67">
                  <c:v>15924</c:v>
                </c:pt>
                <c:pt idx="68">
                  <c:v>13742</c:v>
                </c:pt>
                <c:pt idx="69">
                  <c:v>16029</c:v>
                </c:pt>
                <c:pt idx="70">
                  <c:v>14496</c:v>
                </c:pt>
                <c:pt idx="71">
                  <c:v>15877</c:v>
                </c:pt>
                <c:pt idx="72">
                  <c:v>15822</c:v>
                </c:pt>
                <c:pt idx="73">
                  <c:v>15211</c:v>
                </c:pt>
                <c:pt idx="74">
                  <c:v>16661</c:v>
                </c:pt>
                <c:pt idx="75">
                  <c:v>15707</c:v>
                </c:pt>
                <c:pt idx="76">
                  <c:v>15425</c:v>
                </c:pt>
                <c:pt idx="77">
                  <c:v>16907</c:v>
                </c:pt>
                <c:pt idx="78">
                  <c:v>15725</c:v>
                </c:pt>
                <c:pt idx="79">
                  <c:v>16413</c:v>
                </c:pt>
                <c:pt idx="80">
                  <c:v>15926</c:v>
                </c:pt>
                <c:pt idx="81">
                  <c:v>17554</c:v>
                </c:pt>
                <c:pt idx="82">
                  <c:v>16297</c:v>
                </c:pt>
                <c:pt idx="83">
                  <c:v>17898</c:v>
                </c:pt>
                <c:pt idx="84">
                  <c:v>16834</c:v>
                </c:pt>
                <c:pt idx="85">
                  <c:v>17161</c:v>
                </c:pt>
                <c:pt idx="86">
                  <c:v>17771</c:v>
                </c:pt>
                <c:pt idx="87">
                  <c:v>16225</c:v>
                </c:pt>
                <c:pt idx="88">
                  <c:v>17521</c:v>
                </c:pt>
                <c:pt idx="89">
                  <c:v>17191</c:v>
                </c:pt>
                <c:pt idx="90">
                  <c:v>17111</c:v>
                </c:pt>
                <c:pt idx="91">
                  <c:v>18251</c:v>
                </c:pt>
                <c:pt idx="92">
                  <c:v>17975</c:v>
                </c:pt>
                <c:pt idx="93">
                  <c:v>17827</c:v>
                </c:pt>
                <c:pt idx="94">
                  <c:v>18207</c:v>
                </c:pt>
                <c:pt idx="95">
                  <c:v>18320</c:v>
                </c:pt>
                <c:pt idx="96">
                  <c:v>17843</c:v>
                </c:pt>
                <c:pt idx="97">
                  <c:v>18575</c:v>
                </c:pt>
                <c:pt idx="98">
                  <c:v>19066</c:v>
                </c:pt>
                <c:pt idx="99">
                  <c:v>19002</c:v>
                </c:pt>
                <c:pt idx="100">
                  <c:v>19948</c:v>
                </c:pt>
                <c:pt idx="101">
                  <c:v>19046</c:v>
                </c:pt>
                <c:pt idx="102">
                  <c:v>20378</c:v>
                </c:pt>
                <c:pt idx="103">
                  <c:v>23173</c:v>
                </c:pt>
                <c:pt idx="104">
                  <c:v>17420</c:v>
                </c:pt>
                <c:pt idx="105">
                  <c:v>20697</c:v>
                </c:pt>
                <c:pt idx="106">
                  <c:v>20030</c:v>
                </c:pt>
                <c:pt idx="107">
                  <c:v>19749</c:v>
                </c:pt>
                <c:pt idx="108">
                  <c:v>21163</c:v>
                </c:pt>
                <c:pt idx="109">
                  <c:v>20418</c:v>
                </c:pt>
                <c:pt idx="110">
                  <c:v>20348</c:v>
                </c:pt>
                <c:pt idx="111">
                  <c:v>21555</c:v>
                </c:pt>
                <c:pt idx="112">
                  <c:v>19907</c:v>
                </c:pt>
                <c:pt idx="113">
                  <c:v>21478</c:v>
                </c:pt>
                <c:pt idx="114">
                  <c:v>20224</c:v>
                </c:pt>
                <c:pt idx="115">
                  <c:v>22633</c:v>
                </c:pt>
                <c:pt idx="116">
                  <c:v>19609</c:v>
                </c:pt>
                <c:pt idx="117">
                  <c:v>24283</c:v>
                </c:pt>
                <c:pt idx="118">
                  <c:v>22076</c:v>
                </c:pt>
                <c:pt idx="119">
                  <c:v>21982</c:v>
                </c:pt>
                <c:pt idx="120">
                  <c:v>23471</c:v>
                </c:pt>
                <c:pt idx="121">
                  <c:v>21622</c:v>
                </c:pt>
                <c:pt idx="122">
                  <c:v>22721</c:v>
                </c:pt>
                <c:pt idx="123">
                  <c:v>23747</c:v>
                </c:pt>
                <c:pt idx="124">
                  <c:v>21119</c:v>
                </c:pt>
              </c:numCache>
            </c:numRef>
          </c:val>
          <c:smooth val="0"/>
        </c:ser>
        <c:ser>
          <c:idx val="1"/>
          <c:order val="1"/>
          <c:tx>
            <c:strRef>
              <c:f>AMD!$X$1</c:f>
              <c:strCache>
                <c:ptCount val="1"/>
                <c:pt idx="0">
                  <c:v>Initiating patients AMD</c:v>
                </c:pt>
              </c:strCache>
            </c:strRef>
          </c:tx>
          <c:marker>
            <c:symbol val="none"/>
          </c:marker>
          <c:cat>
            <c:strRef>
              <c:f>AMD!$V$2:$V$127</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AMD!$X$2:$X$127</c:f>
              <c:numCache>
                <c:formatCode>General</c:formatCode>
                <c:ptCount val="125"/>
                <c:pt idx="0">
                  <c:v>2496</c:v>
                </c:pt>
                <c:pt idx="1">
                  <c:v>1850</c:v>
                </c:pt>
                <c:pt idx="2">
                  <c:v>1309</c:v>
                </c:pt>
                <c:pt idx="3">
                  <c:v>1054</c:v>
                </c:pt>
                <c:pt idx="4">
                  <c:v>748</c:v>
                </c:pt>
                <c:pt idx="5">
                  <c:v>653</c:v>
                </c:pt>
                <c:pt idx="6">
                  <c:v>736</c:v>
                </c:pt>
                <c:pt idx="7">
                  <c:v>652</c:v>
                </c:pt>
                <c:pt idx="8">
                  <c:v>716</c:v>
                </c:pt>
                <c:pt idx="9">
                  <c:v>715</c:v>
                </c:pt>
                <c:pt idx="10">
                  <c:v>662</c:v>
                </c:pt>
                <c:pt idx="11">
                  <c:v>563</c:v>
                </c:pt>
                <c:pt idx="12">
                  <c:v>717</c:v>
                </c:pt>
                <c:pt idx="13">
                  <c:v>607</c:v>
                </c:pt>
                <c:pt idx="14">
                  <c:v>613</c:v>
                </c:pt>
                <c:pt idx="15">
                  <c:v>656</c:v>
                </c:pt>
                <c:pt idx="16">
                  <c:v>838</c:v>
                </c:pt>
                <c:pt idx="17">
                  <c:v>526</c:v>
                </c:pt>
                <c:pt idx="18">
                  <c:v>727</c:v>
                </c:pt>
                <c:pt idx="19">
                  <c:v>751</c:v>
                </c:pt>
                <c:pt idx="20">
                  <c:v>686</c:v>
                </c:pt>
                <c:pt idx="21">
                  <c:v>680</c:v>
                </c:pt>
                <c:pt idx="22">
                  <c:v>708</c:v>
                </c:pt>
                <c:pt idx="23">
                  <c:v>679</c:v>
                </c:pt>
                <c:pt idx="24">
                  <c:v>683</c:v>
                </c:pt>
                <c:pt idx="25">
                  <c:v>675</c:v>
                </c:pt>
                <c:pt idx="26">
                  <c:v>633</c:v>
                </c:pt>
                <c:pt idx="27">
                  <c:v>648</c:v>
                </c:pt>
                <c:pt idx="28">
                  <c:v>708</c:v>
                </c:pt>
                <c:pt idx="29">
                  <c:v>440</c:v>
                </c:pt>
                <c:pt idx="30">
                  <c:v>727</c:v>
                </c:pt>
                <c:pt idx="31">
                  <c:v>705</c:v>
                </c:pt>
                <c:pt idx="32">
                  <c:v>608</c:v>
                </c:pt>
                <c:pt idx="33">
                  <c:v>653</c:v>
                </c:pt>
                <c:pt idx="34">
                  <c:v>629</c:v>
                </c:pt>
                <c:pt idx="35">
                  <c:v>652</c:v>
                </c:pt>
                <c:pt idx="36">
                  <c:v>672</c:v>
                </c:pt>
                <c:pt idx="37">
                  <c:v>581</c:v>
                </c:pt>
                <c:pt idx="38">
                  <c:v>619</c:v>
                </c:pt>
                <c:pt idx="39">
                  <c:v>684</c:v>
                </c:pt>
                <c:pt idx="40">
                  <c:v>655</c:v>
                </c:pt>
                <c:pt idx="41">
                  <c:v>411</c:v>
                </c:pt>
                <c:pt idx="42">
                  <c:v>556</c:v>
                </c:pt>
                <c:pt idx="43">
                  <c:v>649</c:v>
                </c:pt>
                <c:pt idx="44">
                  <c:v>566</c:v>
                </c:pt>
                <c:pt idx="45">
                  <c:v>654</c:v>
                </c:pt>
                <c:pt idx="46">
                  <c:v>622</c:v>
                </c:pt>
                <c:pt idx="47">
                  <c:v>561</c:v>
                </c:pt>
                <c:pt idx="48">
                  <c:v>638</c:v>
                </c:pt>
                <c:pt idx="49">
                  <c:v>651</c:v>
                </c:pt>
                <c:pt idx="50">
                  <c:v>585</c:v>
                </c:pt>
                <c:pt idx="51">
                  <c:v>605</c:v>
                </c:pt>
                <c:pt idx="52">
                  <c:v>573</c:v>
                </c:pt>
                <c:pt idx="53">
                  <c:v>468</c:v>
                </c:pt>
                <c:pt idx="54">
                  <c:v>604</c:v>
                </c:pt>
                <c:pt idx="55">
                  <c:v>619</c:v>
                </c:pt>
                <c:pt idx="56">
                  <c:v>492</c:v>
                </c:pt>
                <c:pt idx="57">
                  <c:v>688</c:v>
                </c:pt>
                <c:pt idx="58">
                  <c:v>604</c:v>
                </c:pt>
                <c:pt idx="59">
                  <c:v>536</c:v>
                </c:pt>
                <c:pt idx="60">
                  <c:v>571</c:v>
                </c:pt>
                <c:pt idx="61">
                  <c:v>468</c:v>
                </c:pt>
                <c:pt idx="62">
                  <c:v>587</c:v>
                </c:pt>
                <c:pt idx="63">
                  <c:v>556</c:v>
                </c:pt>
                <c:pt idx="64">
                  <c:v>651</c:v>
                </c:pt>
                <c:pt idx="65">
                  <c:v>665</c:v>
                </c:pt>
                <c:pt idx="66">
                  <c:v>665</c:v>
                </c:pt>
                <c:pt idx="67">
                  <c:v>730</c:v>
                </c:pt>
                <c:pt idx="68">
                  <c:v>627</c:v>
                </c:pt>
                <c:pt idx="69">
                  <c:v>719</c:v>
                </c:pt>
                <c:pt idx="70">
                  <c:v>600</c:v>
                </c:pt>
                <c:pt idx="71">
                  <c:v>631</c:v>
                </c:pt>
                <c:pt idx="72">
                  <c:v>647</c:v>
                </c:pt>
                <c:pt idx="73">
                  <c:v>597</c:v>
                </c:pt>
                <c:pt idx="74">
                  <c:v>623</c:v>
                </c:pt>
                <c:pt idx="75">
                  <c:v>564</c:v>
                </c:pt>
                <c:pt idx="76">
                  <c:v>669</c:v>
                </c:pt>
                <c:pt idx="77">
                  <c:v>532</c:v>
                </c:pt>
                <c:pt idx="78">
                  <c:v>655</c:v>
                </c:pt>
                <c:pt idx="79">
                  <c:v>697</c:v>
                </c:pt>
                <c:pt idx="80">
                  <c:v>616</c:v>
                </c:pt>
                <c:pt idx="81">
                  <c:v>687</c:v>
                </c:pt>
                <c:pt idx="82">
                  <c:v>700</c:v>
                </c:pt>
                <c:pt idx="83">
                  <c:v>634</c:v>
                </c:pt>
                <c:pt idx="84">
                  <c:v>585</c:v>
                </c:pt>
                <c:pt idx="85">
                  <c:v>625</c:v>
                </c:pt>
                <c:pt idx="86">
                  <c:v>644</c:v>
                </c:pt>
                <c:pt idx="87">
                  <c:v>593</c:v>
                </c:pt>
                <c:pt idx="88">
                  <c:v>622</c:v>
                </c:pt>
                <c:pt idx="89">
                  <c:v>577</c:v>
                </c:pt>
                <c:pt idx="90">
                  <c:v>624</c:v>
                </c:pt>
                <c:pt idx="91">
                  <c:v>740</c:v>
                </c:pt>
                <c:pt idx="92">
                  <c:v>608</c:v>
                </c:pt>
                <c:pt idx="93">
                  <c:v>654</c:v>
                </c:pt>
                <c:pt idx="94">
                  <c:v>637</c:v>
                </c:pt>
                <c:pt idx="95">
                  <c:v>775</c:v>
                </c:pt>
                <c:pt idx="96">
                  <c:v>714</c:v>
                </c:pt>
                <c:pt idx="97">
                  <c:v>863</c:v>
                </c:pt>
                <c:pt idx="98">
                  <c:v>922</c:v>
                </c:pt>
                <c:pt idx="99">
                  <c:v>920</c:v>
                </c:pt>
                <c:pt idx="100">
                  <c:v>1071</c:v>
                </c:pt>
                <c:pt idx="101">
                  <c:v>965</c:v>
                </c:pt>
                <c:pt idx="102">
                  <c:v>1078</c:v>
                </c:pt>
                <c:pt idx="103">
                  <c:v>1145</c:v>
                </c:pt>
                <c:pt idx="104">
                  <c:v>851</c:v>
                </c:pt>
                <c:pt idx="105">
                  <c:v>945</c:v>
                </c:pt>
                <c:pt idx="106">
                  <c:v>831</c:v>
                </c:pt>
                <c:pt idx="107">
                  <c:v>746</c:v>
                </c:pt>
                <c:pt idx="108">
                  <c:v>798</c:v>
                </c:pt>
                <c:pt idx="109">
                  <c:v>782</c:v>
                </c:pt>
                <c:pt idx="110">
                  <c:v>727</c:v>
                </c:pt>
                <c:pt idx="111">
                  <c:v>915</c:v>
                </c:pt>
                <c:pt idx="112">
                  <c:v>960</c:v>
                </c:pt>
                <c:pt idx="113">
                  <c:v>832</c:v>
                </c:pt>
                <c:pt idx="114">
                  <c:v>980</c:v>
                </c:pt>
                <c:pt idx="115">
                  <c:v>1116</c:v>
                </c:pt>
                <c:pt idx="116">
                  <c:v>825</c:v>
                </c:pt>
                <c:pt idx="117">
                  <c:v>1131</c:v>
                </c:pt>
                <c:pt idx="118">
                  <c:v>991</c:v>
                </c:pt>
                <c:pt idx="119">
                  <c:v>911</c:v>
                </c:pt>
                <c:pt idx="120">
                  <c:v>980</c:v>
                </c:pt>
                <c:pt idx="121">
                  <c:v>871</c:v>
                </c:pt>
                <c:pt idx="122">
                  <c:v>930</c:v>
                </c:pt>
                <c:pt idx="123">
                  <c:v>1007</c:v>
                </c:pt>
                <c:pt idx="124">
                  <c:v>879</c:v>
                </c:pt>
              </c:numCache>
            </c:numRef>
          </c:val>
          <c:smooth val="0"/>
        </c:ser>
        <c:dLbls>
          <c:showLegendKey val="0"/>
          <c:showVal val="0"/>
          <c:showCatName val="0"/>
          <c:showSerName val="0"/>
          <c:showPercent val="0"/>
          <c:showBubbleSize val="0"/>
        </c:dLbls>
        <c:marker val="1"/>
        <c:smooth val="0"/>
        <c:axId val="580756992"/>
        <c:axId val="580758528"/>
      </c:lineChart>
      <c:catAx>
        <c:axId val="580756992"/>
        <c:scaling>
          <c:orientation val="minMax"/>
        </c:scaling>
        <c:delete val="0"/>
        <c:axPos val="b"/>
        <c:majorTickMark val="out"/>
        <c:minorTickMark val="none"/>
        <c:tickLblPos val="nextTo"/>
        <c:crossAx val="580758528"/>
        <c:crosses val="autoZero"/>
        <c:auto val="1"/>
        <c:lblAlgn val="ctr"/>
        <c:lblOffset val="100"/>
        <c:noMultiLvlLbl val="0"/>
      </c:catAx>
      <c:valAx>
        <c:axId val="580758528"/>
        <c:scaling>
          <c:orientation val="minMax"/>
        </c:scaling>
        <c:delete val="0"/>
        <c:axPos val="l"/>
        <c:majorGridlines/>
        <c:numFmt formatCode="#,##0" sourceLinked="0"/>
        <c:majorTickMark val="out"/>
        <c:minorTickMark val="none"/>
        <c:tickLblPos val="nextTo"/>
        <c:crossAx val="58075699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[Scripts and injections.xlsx]Scripts Injections!PivotTable3</c:name>
    <c:fmtId val="18"/>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spPr>
          <a:ln>
            <a:solidFill>
              <a:srgbClr val="0070C0"/>
            </a:solidFill>
            <a:prstDash val="sysDash"/>
          </a:ln>
        </c:spPr>
        <c:marker>
          <c:symbol val="none"/>
        </c:marker>
      </c:pivotFmt>
      <c:pivotFmt>
        <c:idx val="9"/>
        <c:spPr>
          <a:ln>
            <a:solidFill>
              <a:srgbClr val="0070C0"/>
            </a:solidFill>
          </a:ln>
        </c:spPr>
        <c:marker>
          <c:symbol val="none"/>
        </c:marker>
      </c:pivotFmt>
      <c:pivotFmt>
        <c:idx val="10"/>
        <c:spPr>
          <a:ln>
            <a:solidFill>
              <a:srgbClr val="7030A0"/>
            </a:solidFill>
            <a:prstDash val="sysDash"/>
          </a:ln>
        </c:spPr>
        <c:marker>
          <c:symbol val="none"/>
        </c:marker>
      </c:pivotFmt>
      <c:pivotFmt>
        <c:idx val="11"/>
        <c:spPr>
          <a:ln>
            <a:solidFill>
              <a:srgbClr val="7030A0"/>
            </a:solidFill>
          </a:ln>
        </c:spPr>
        <c:marker>
          <c:symbol val="none"/>
        </c:marker>
      </c:pivotFmt>
      <c:pivotFmt>
        <c:idx val="12"/>
        <c:spPr>
          <a:ln>
            <a:solidFill>
              <a:srgbClr val="FF0000"/>
            </a:solidFill>
            <a:prstDash val="sysDash"/>
          </a:ln>
        </c:spPr>
        <c:marker>
          <c:symbol val="none"/>
        </c:marker>
      </c:pivotFmt>
      <c:pivotFmt>
        <c:idx val="13"/>
        <c:spPr>
          <a:ln>
            <a:solidFill>
              <a:srgbClr val="FF0000"/>
            </a:solidFill>
          </a:ln>
        </c:spPr>
        <c:marker>
          <c:symbol val="none"/>
        </c:marker>
      </c:pivotFmt>
      <c:pivotFmt>
        <c:idx val="14"/>
        <c:spPr>
          <a:ln>
            <a:solidFill>
              <a:srgbClr val="00B050"/>
            </a:solidFill>
            <a:prstDash val="sysDash"/>
          </a:ln>
        </c:spPr>
        <c:marker>
          <c:symbol val="none"/>
        </c:marker>
      </c:pivotFmt>
      <c:pivotFmt>
        <c:idx val="15"/>
        <c:spPr>
          <a:ln>
            <a:solidFill>
              <a:srgbClr val="00B050"/>
            </a:solidFill>
            <a:prstDash val="solid"/>
          </a:ln>
        </c:spPr>
        <c:marker>
          <c:symbol val="none"/>
        </c:marker>
      </c:pivotFmt>
      <c:pivotFmt>
        <c:idx val="16"/>
        <c:spPr>
          <a:ln>
            <a:solidFill>
              <a:schemeClr val="tx1"/>
            </a:solidFill>
            <a:prstDash val="sysDash"/>
          </a:ln>
        </c:spPr>
        <c:marker>
          <c:symbol val="none"/>
        </c:marker>
      </c:pivotFmt>
      <c:pivotFmt>
        <c:idx val="17"/>
        <c:spPr>
          <a:ln>
            <a:solidFill>
              <a:schemeClr val="tx1"/>
            </a:solidFill>
          </a:ln>
        </c:spPr>
        <c:marker>
          <c:symbol val="none"/>
        </c:marker>
      </c:pivotFmt>
      <c:pivotFmt>
        <c:idx val="18"/>
      </c:pivotFmt>
      <c:pivotFmt>
        <c:idx val="19"/>
        <c:spPr>
          <a:ln>
            <a:solidFill>
              <a:srgbClr val="0070C0"/>
            </a:solidFill>
            <a:prstDash val="sysDash"/>
          </a:ln>
        </c:spPr>
        <c:marker>
          <c:symbol val="none"/>
        </c:marker>
      </c:pivotFmt>
      <c:pivotFmt>
        <c:idx val="20"/>
        <c:spPr>
          <a:ln>
            <a:solidFill>
              <a:srgbClr val="0070C0"/>
            </a:solidFill>
          </a:ln>
        </c:spPr>
        <c:marker>
          <c:symbol val="none"/>
        </c:marker>
      </c:pivotFmt>
      <c:pivotFmt>
        <c:idx val="21"/>
        <c:spPr>
          <a:ln>
            <a:solidFill>
              <a:srgbClr val="7030A0"/>
            </a:solidFill>
            <a:prstDash val="sysDash"/>
          </a:ln>
        </c:spPr>
        <c:marker>
          <c:symbol val="none"/>
        </c:marker>
      </c:pivotFmt>
      <c:pivotFmt>
        <c:idx val="22"/>
        <c:spPr>
          <a:ln>
            <a:solidFill>
              <a:srgbClr val="7030A0"/>
            </a:solidFill>
          </a:ln>
        </c:spPr>
        <c:marker>
          <c:symbol val="none"/>
        </c:marker>
      </c:pivotFmt>
      <c:pivotFmt>
        <c:idx val="23"/>
        <c:spPr>
          <a:ln>
            <a:solidFill>
              <a:srgbClr val="FF0000"/>
            </a:solidFill>
            <a:prstDash val="sysDash"/>
          </a:ln>
        </c:spPr>
        <c:marker>
          <c:symbol val="none"/>
        </c:marker>
      </c:pivotFmt>
      <c:pivotFmt>
        <c:idx val="24"/>
        <c:spPr>
          <a:ln>
            <a:solidFill>
              <a:srgbClr val="FF0000"/>
            </a:solidFill>
          </a:ln>
        </c:spPr>
        <c:marker>
          <c:symbol val="none"/>
        </c:marker>
      </c:pivotFmt>
      <c:pivotFmt>
        <c:idx val="25"/>
        <c:spPr>
          <a:ln>
            <a:solidFill>
              <a:schemeClr val="tx1"/>
            </a:solidFill>
            <a:prstDash val="sysDash"/>
          </a:ln>
        </c:spPr>
        <c:marker>
          <c:symbol val="none"/>
        </c:marker>
      </c:pivotFmt>
      <c:pivotFmt>
        <c:idx val="26"/>
        <c:spPr>
          <a:ln>
            <a:solidFill>
              <a:schemeClr val="tx1"/>
            </a:solidFill>
          </a:ln>
        </c:spPr>
        <c:marker>
          <c:symbol val="none"/>
        </c:marker>
      </c:pivotFmt>
      <c:pivotFmt>
        <c:idx val="27"/>
        <c:spPr>
          <a:ln>
            <a:solidFill>
              <a:srgbClr val="0070C0"/>
            </a:solidFill>
            <a:prstDash val="sysDash"/>
          </a:ln>
        </c:spPr>
        <c:marker>
          <c:symbol val="none"/>
        </c:marker>
      </c:pivotFmt>
      <c:pivotFmt>
        <c:idx val="28"/>
        <c:spPr>
          <a:ln>
            <a:solidFill>
              <a:srgbClr val="0070C0"/>
            </a:solidFill>
          </a:ln>
        </c:spPr>
        <c:marker>
          <c:symbol val="none"/>
        </c:marker>
      </c:pivotFmt>
      <c:pivotFmt>
        <c:idx val="29"/>
        <c:spPr>
          <a:ln>
            <a:solidFill>
              <a:srgbClr val="7030A0"/>
            </a:solidFill>
            <a:prstDash val="sysDash"/>
          </a:ln>
        </c:spPr>
        <c:marker>
          <c:symbol val="none"/>
        </c:marker>
      </c:pivotFmt>
      <c:pivotFmt>
        <c:idx val="30"/>
        <c:spPr>
          <a:ln>
            <a:solidFill>
              <a:srgbClr val="7030A0"/>
            </a:solidFill>
          </a:ln>
        </c:spPr>
        <c:marker>
          <c:symbol val="none"/>
        </c:marker>
      </c:pivotFmt>
      <c:pivotFmt>
        <c:idx val="31"/>
        <c:spPr>
          <a:ln>
            <a:solidFill>
              <a:srgbClr val="FF0000"/>
            </a:solidFill>
            <a:prstDash val="sysDash"/>
          </a:ln>
        </c:spPr>
        <c:marker>
          <c:symbol val="none"/>
        </c:marker>
      </c:pivotFmt>
      <c:pivotFmt>
        <c:idx val="32"/>
        <c:spPr>
          <a:ln>
            <a:solidFill>
              <a:srgbClr val="FF0000"/>
            </a:solidFill>
          </a:ln>
        </c:spPr>
        <c:marker>
          <c:symbol val="none"/>
        </c:marker>
      </c:pivotFmt>
      <c:pivotFmt>
        <c:idx val="33"/>
        <c:spPr>
          <a:ln>
            <a:solidFill>
              <a:schemeClr val="tx1"/>
            </a:solidFill>
            <a:prstDash val="sysDash"/>
          </a:ln>
        </c:spPr>
        <c:marker>
          <c:symbol val="none"/>
        </c:marker>
      </c:pivotFmt>
      <c:pivotFmt>
        <c:idx val="34"/>
        <c:spPr>
          <a:ln>
            <a:solidFill>
              <a:schemeClr val="tx1"/>
            </a:solidFill>
          </a:ln>
        </c:spPr>
        <c:marker>
          <c:symbol val="none"/>
        </c:marker>
      </c:pivotFmt>
    </c:pivotFmts>
    <c:plotArea>
      <c:layout/>
      <c:lineChart>
        <c:grouping val="standard"/>
        <c:varyColors val="0"/>
        <c:ser>
          <c:idx val="0"/>
          <c:order val="0"/>
          <c:tx>
            <c:strRef>
              <c:f>'Scripts Injections'!$B$3:$B$5</c:f>
              <c:strCache>
                <c:ptCount val="1"/>
                <c:pt idx="0">
                  <c:v>AFLIBERCEPT - Prescriptions</c:v>
                </c:pt>
              </c:strCache>
            </c:strRef>
          </c:tx>
          <c:spPr>
            <a:ln>
              <a:solidFill>
                <a:srgbClr val="0070C0"/>
              </a:solidFill>
              <a:prstDash val="sysDash"/>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Injections'!$B$6:$B$131</c:f>
              <c:numCache>
                <c:formatCode>General</c:formatCode>
                <c:ptCount val="125"/>
                <c:pt idx="64">
                  <c:v>2962</c:v>
                </c:pt>
                <c:pt idx="65">
                  <c:v>6016</c:v>
                </c:pt>
                <c:pt idx="66">
                  <c:v>6284</c:v>
                </c:pt>
                <c:pt idx="67">
                  <c:v>8027</c:v>
                </c:pt>
                <c:pt idx="68">
                  <c:v>6933</c:v>
                </c:pt>
                <c:pt idx="69">
                  <c:v>8647</c:v>
                </c:pt>
                <c:pt idx="70">
                  <c:v>7809</c:v>
                </c:pt>
                <c:pt idx="71">
                  <c:v>8725</c:v>
                </c:pt>
                <c:pt idx="72">
                  <c:v>8776</c:v>
                </c:pt>
                <c:pt idx="73">
                  <c:v>8350</c:v>
                </c:pt>
                <c:pt idx="74">
                  <c:v>9388</c:v>
                </c:pt>
                <c:pt idx="75">
                  <c:v>8469</c:v>
                </c:pt>
                <c:pt idx="76">
                  <c:v>8536</c:v>
                </c:pt>
                <c:pt idx="77">
                  <c:v>9559</c:v>
                </c:pt>
                <c:pt idx="78">
                  <c:v>8655</c:v>
                </c:pt>
                <c:pt idx="79">
                  <c:v>9307</c:v>
                </c:pt>
                <c:pt idx="80">
                  <c:v>9100</c:v>
                </c:pt>
                <c:pt idx="81">
                  <c:v>10267</c:v>
                </c:pt>
                <c:pt idx="82">
                  <c:v>9238</c:v>
                </c:pt>
                <c:pt idx="83">
                  <c:v>10550</c:v>
                </c:pt>
                <c:pt idx="84">
                  <c:v>9699</c:v>
                </c:pt>
                <c:pt idx="85">
                  <c:v>9834</c:v>
                </c:pt>
                <c:pt idx="86">
                  <c:v>10470</c:v>
                </c:pt>
                <c:pt idx="87">
                  <c:v>9448</c:v>
                </c:pt>
                <c:pt idx="88">
                  <c:v>10323</c:v>
                </c:pt>
                <c:pt idx="89">
                  <c:v>10013</c:v>
                </c:pt>
                <c:pt idx="90">
                  <c:v>9844</c:v>
                </c:pt>
                <c:pt idx="91">
                  <c:v>10809</c:v>
                </c:pt>
                <c:pt idx="92">
                  <c:v>10600</c:v>
                </c:pt>
                <c:pt idx="93">
                  <c:v>10498</c:v>
                </c:pt>
                <c:pt idx="94">
                  <c:v>10811</c:v>
                </c:pt>
                <c:pt idx="95">
                  <c:v>11012</c:v>
                </c:pt>
                <c:pt idx="96">
                  <c:v>10536</c:v>
                </c:pt>
                <c:pt idx="97">
                  <c:v>11100</c:v>
                </c:pt>
                <c:pt idx="98">
                  <c:v>11808</c:v>
                </c:pt>
                <c:pt idx="99">
                  <c:v>12102</c:v>
                </c:pt>
                <c:pt idx="100">
                  <c:v>13411</c:v>
                </c:pt>
                <c:pt idx="101">
                  <c:v>12514</c:v>
                </c:pt>
                <c:pt idx="102">
                  <c:v>13977</c:v>
                </c:pt>
                <c:pt idx="103">
                  <c:v>17704</c:v>
                </c:pt>
                <c:pt idx="104">
                  <c:v>12197</c:v>
                </c:pt>
                <c:pt idx="105">
                  <c:v>14691</c:v>
                </c:pt>
                <c:pt idx="106">
                  <c:v>14555</c:v>
                </c:pt>
                <c:pt idx="107">
                  <c:v>14614</c:v>
                </c:pt>
                <c:pt idx="108">
                  <c:v>16250</c:v>
                </c:pt>
                <c:pt idx="109">
                  <c:v>15788</c:v>
                </c:pt>
                <c:pt idx="110">
                  <c:v>15966</c:v>
                </c:pt>
                <c:pt idx="111">
                  <c:v>17197</c:v>
                </c:pt>
                <c:pt idx="112">
                  <c:v>15946</c:v>
                </c:pt>
                <c:pt idx="113">
                  <c:v>17641</c:v>
                </c:pt>
                <c:pt idx="114">
                  <c:v>16960</c:v>
                </c:pt>
                <c:pt idx="115">
                  <c:v>19361</c:v>
                </c:pt>
                <c:pt idx="116">
                  <c:v>16567</c:v>
                </c:pt>
                <c:pt idx="117">
                  <c:v>21628</c:v>
                </c:pt>
                <c:pt idx="118">
                  <c:v>19299</c:v>
                </c:pt>
                <c:pt idx="119">
                  <c:v>19473</c:v>
                </c:pt>
                <c:pt idx="120">
                  <c:v>21291</c:v>
                </c:pt>
                <c:pt idx="121">
                  <c:v>19649</c:v>
                </c:pt>
                <c:pt idx="122">
                  <c:v>20813</c:v>
                </c:pt>
                <c:pt idx="123">
                  <c:v>21985</c:v>
                </c:pt>
                <c:pt idx="124">
                  <c:v>19287</c:v>
                </c:pt>
              </c:numCache>
            </c:numRef>
          </c:val>
          <c:smooth val="0"/>
        </c:ser>
        <c:ser>
          <c:idx val="1"/>
          <c:order val="1"/>
          <c:tx>
            <c:strRef>
              <c:f>'Scripts Injections'!$C$3:$C$5</c:f>
              <c:strCache>
                <c:ptCount val="1"/>
                <c:pt idx="0">
                  <c:v>AFLIBERCEPT - Injections</c:v>
                </c:pt>
              </c:strCache>
            </c:strRef>
          </c:tx>
          <c:spPr>
            <a:ln>
              <a:solidFill>
                <a:srgbClr val="0070C0"/>
              </a:solidFill>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Injections'!$C$6:$C$131</c:f>
              <c:numCache>
                <c:formatCode>General</c:formatCode>
                <c:ptCount val="125"/>
                <c:pt idx="64">
                  <c:v>3311</c:v>
                </c:pt>
                <c:pt idx="65">
                  <c:v>6681</c:v>
                </c:pt>
                <c:pt idx="66">
                  <c:v>6940</c:v>
                </c:pt>
                <c:pt idx="67">
                  <c:v>8869</c:v>
                </c:pt>
                <c:pt idx="68">
                  <c:v>7601</c:v>
                </c:pt>
                <c:pt idx="69">
                  <c:v>9445</c:v>
                </c:pt>
                <c:pt idx="70">
                  <c:v>8557</c:v>
                </c:pt>
                <c:pt idx="71">
                  <c:v>9539</c:v>
                </c:pt>
                <c:pt idx="72">
                  <c:v>9620</c:v>
                </c:pt>
                <c:pt idx="73">
                  <c:v>9164</c:v>
                </c:pt>
                <c:pt idx="74">
                  <c:v>10322</c:v>
                </c:pt>
                <c:pt idx="75">
                  <c:v>9277</c:v>
                </c:pt>
                <c:pt idx="76">
                  <c:v>9331</c:v>
                </c:pt>
                <c:pt idx="77">
                  <c:v>10536</c:v>
                </c:pt>
                <c:pt idx="78">
                  <c:v>9513</c:v>
                </c:pt>
                <c:pt idx="79">
                  <c:v>10227</c:v>
                </c:pt>
                <c:pt idx="80">
                  <c:v>9999</c:v>
                </c:pt>
                <c:pt idx="81">
                  <c:v>11278</c:v>
                </c:pt>
                <c:pt idx="82">
                  <c:v>10148</c:v>
                </c:pt>
                <c:pt idx="83">
                  <c:v>11607</c:v>
                </c:pt>
                <c:pt idx="84">
                  <c:v>10616</c:v>
                </c:pt>
                <c:pt idx="85">
                  <c:v>10833</c:v>
                </c:pt>
                <c:pt idx="86">
                  <c:v>11475</c:v>
                </c:pt>
                <c:pt idx="87">
                  <c:v>10408</c:v>
                </c:pt>
                <c:pt idx="88">
                  <c:v>11361</c:v>
                </c:pt>
                <c:pt idx="89">
                  <c:v>11017</c:v>
                </c:pt>
                <c:pt idx="90">
                  <c:v>10878</c:v>
                </c:pt>
                <c:pt idx="91">
                  <c:v>11948</c:v>
                </c:pt>
                <c:pt idx="92">
                  <c:v>11654</c:v>
                </c:pt>
                <c:pt idx="93">
                  <c:v>11614</c:v>
                </c:pt>
                <c:pt idx="94">
                  <c:v>11877</c:v>
                </c:pt>
                <c:pt idx="95">
                  <c:v>12124</c:v>
                </c:pt>
                <c:pt idx="96">
                  <c:v>11620</c:v>
                </c:pt>
                <c:pt idx="97">
                  <c:v>12249</c:v>
                </c:pt>
                <c:pt idx="98">
                  <c:v>13085</c:v>
                </c:pt>
                <c:pt idx="99">
                  <c:v>13538</c:v>
                </c:pt>
                <c:pt idx="100">
                  <c:v>15012</c:v>
                </c:pt>
                <c:pt idx="101">
                  <c:v>14099</c:v>
                </c:pt>
                <c:pt idx="102">
                  <c:v>15727</c:v>
                </c:pt>
                <c:pt idx="103">
                  <c:v>20045</c:v>
                </c:pt>
                <c:pt idx="104">
                  <c:v>13749</c:v>
                </c:pt>
                <c:pt idx="105">
                  <c:v>16615</c:v>
                </c:pt>
                <c:pt idx="106">
                  <c:v>16477</c:v>
                </c:pt>
                <c:pt idx="107">
                  <c:v>16525</c:v>
                </c:pt>
                <c:pt idx="108">
                  <c:v>18440</c:v>
                </c:pt>
                <c:pt idx="109">
                  <c:v>17900</c:v>
                </c:pt>
                <c:pt idx="110">
                  <c:v>18170</c:v>
                </c:pt>
                <c:pt idx="111">
                  <c:v>19518</c:v>
                </c:pt>
                <c:pt idx="112">
                  <c:v>18078</c:v>
                </c:pt>
                <c:pt idx="113">
                  <c:v>19886</c:v>
                </c:pt>
                <c:pt idx="114">
                  <c:v>19138</c:v>
                </c:pt>
                <c:pt idx="115">
                  <c:v>21877</c:v>
                </c:pt>
                <c:pt idx="116">
                  <c:v>18619</c:v>
                </c:pt>
                <c:pt idx="117">
                  <c:v>24323</c:v>
                </c:pt>
                <c:pt idx="118">
                  <c:v>21758</c:v>
                </c:pt>
                <c:pt idx="119">
                  <c:v>21940</c:v>
                </c:pt>
                <c:pt idx="120">
                  <c:v>24014</c:v>
                </c:pt>
                <c:pt idx="121">
                  <c:v>22188</c:v>
                </c:pt>
                <c:pt idx="122">
                  <c:v>23595</c:v>
                </c:pt>
                <c:pt idx="123">
                  <c:v>24899</c:v>
                </c:pt>
                <c:pt idx="124">
                  <c:v>21835</c:v>
                </c:pt>
              </c:numCache>
            </c:numRef>
          </c:val>
          <c:smooth val="0"/>
        </c:ser>
        <c:ser>
          <c:idx val="2"/>
          <c:order val="2"/>
          <c:tx>
            <c:strRef>
              <c:f>'Scripts Injections'!$D$3:$D$5</c:f>
              <c:strCache>
                <c:ptCount val="1"/>
                <c:pt idx="0">
                  <c:v>DEXAMETHASONE - Prescriptions</c:v>
                </c:pt>
              </c:strCache>
            </c:strRef>
          </c:tx>
          <c:spPr>
            <a:ln>
              <a:solidFill>
                <a:srgbClr val="7030A0"/>
              </a:solidFill>
              <a:prstDash val="sysDash"/>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Injections'!$D$6:$D$131</c:f>
              <c:numCache>
                <c:formatCode>General</c:formatCode>
                <c:ptCount val="125"/>
                <c:pt idx="111">
                  <c:v>64</c:v>
                </c:pt>
                <c:pt idx="112">
                  <c:v>67</c:v>
                </c:pt>
                <c:pt idx="113">
                  <c:v>92</c:v>
                </c:pt>
                <c:pt idx="114">
                  <c:v>102</c:v>
                </c:pt>
                <c:pt idx="115">
                  <c:v>158</c:v>
                </c:pt>
                <c:pt idx="116">
                  <c:v>112</c:v>
                </c:pt>
                <c:pt idx="117">
                  <c:v>176</c:v>
                </c:pt>
                <c:pt idx="118">
                  <c:v>139</c:v>
                </c:pt>
                <c:pt idx="119">
                  <c:v>156</c:v>
                </c:pt>
                <c:pt idx="120">
                  <c:v>169</c:v>
                </c:pt>
                <c:pt idx="121">
                  <c:v>170</c:v>
                </c:pt>
                <c:pt idx="122">
                  <c:v>217</c:v>
                </c:pt>
                <c:pt idx="123">
                  <c:v>192</c:v>
                </c:pt>
                <c:pt idx="124">
                  <c:v>197</c:v>
                </c:pt>
              </c:numCache>
            </c:numRef>
          </c:val>
          <c:smooth val="0"/>
        </c:ser>
        <c:ser>
          <c:idx val="3"/>
          <c:order val="3"/>
          <c:tx>
            <c:strRef>
              <c:f>'Scripts Injections'!$E$3:$E$5</c:f>
              <c:strCache>
                <c:ptCount val="1"/>
                <c:pt idx="0">
                  <c:v>DEXAMETHASONE - Injections</c:v>
                </c:pt>
              </c:strCache>
            </c:strRef>
          </c:tx>
          <c:spPr>
            <a:ln>
              <a:solidFill>
                <a:srgbClr val="7030A0"/>
              </a:solidFill>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Injections'!$E$6:$E$131</c:f>
              <c:numCache>
                <c:formatCode>General</c:formatCode>
                <c:ptCount val="125"/>
                <c:pt idx="111">
                  <c:v>81</c:v>
                </c:pt>
                <c:pt idx="112">
                  <c:v>84</c:v>
                </c:pt>
                <c:pt idx="113">
                  <c:v>106</c:v>
                </c:pt>
                <c:pt idx="114">
                  <c:v>117</c:v>
                </c:pt>
                <c:pt idx="115">
                  <c:v>191</c:v>
                </c:pt>
                <c:pt idx="116">
                  <c:v>138</c:v>
                </c:pt>
                <c:pt idx="117">
                  <c:v>207</c:v>
                </c:pt>
                <c:pt idx="118">
                  <c:v>164</c:v>
                </c:pt>
                <c:pt idx="119">
                  <c:v>180</c:v>
                </c:pt>
                <c:pt idx="120">
                  <c:v>196</c:v>
                </c:pt>
                <c:pt idx="121">
                  <c:v>201</c:v>
                </c:pt>
                <c:pt idx="122">
                  <c:v>251</c:v>
                </c:pt>
                <c:pt idx="123">
                  <c:v>223</c:v>
                </c:pt>
                <c:pt idx="124">
                  <c:v>236</c:v>
                </c:pt>
              </c:numCache>
            </c:numRef>
          </c:val>
          <c:smooth val="0"/>
        </c:ser>
        <c:ser>
          <c:idx val="4"/>
          <c:order val="4"/>
          <c:tx>
            <c:strRef>
              <c:f>'Scripts Injections'!$F$3:$F$5</c:f>
              <c:strCache>
                <c:ptCount val="1"/>
                <c:pt idx="0">
                  <c:v>RANIBIZUMAB - Prescriptions</c:v>
                </c:pt>
              </c:strCache>
            </c:strRef>
          </c:tx>
          <c:spPr>
            <a:ln>
              <a:solidFill>
                <a:srgbClr val="FF0000"/>
              </a:solidFill>
              <a:prstDash val="sysDash"/>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Injections'!$F$6:$F$131</c:f>
              <c:numCache>
                <c:formatCode>General</c:formatCode>
                <c:ptCount val="125"/>
                <c:pt idx="0">
                  <c:v>2553</c:v>
                </c:pt>
                <c:pt idx="1">
                  <c:v>3249</c:v>
                </c:pt>
                <c:pt idx="2">
                  <c:v>3981</c:v>
                </c:pt>
                <c:pt idx="3">
                  <c:v>4041</c:v>
                </c:pt>
                <c:pt idx="4">
                  <c:v>3658</c:v>
                </c:pt>
                <c:pt idx="5">
                  <c:v>4089</c:v>
                </c:pt>
                <c:pt idx="6">
                  <c:v>4274</c:v>
                </c:pt>
                <c:pt idx="7">
                  <c:v>4297</c:v>
                </c:pt>
                <c:pt idx="8">
                  <c:v>4503</c:v>
                </c:pt>
                <c:pt idx="9">
                  <c:v>5080</c:v>
                </c:pt>
                <c:pt idx="10">
                  <c:v>4703</c:v>
                </c:pt>
                <c:pt idx="11">
                  <c:v>5091</c:v>
                </c:pt>
                <c:pt idx="12">
                  <c:v>5218</c:v>
                </c:pt>
                <c:pt idx="13">
                  <c:v>5502</c:v>
                </c:pt>
                <c:pt idx="14">
                  <c:v>5574</c:v>
                </c:pt>
                <c:pt idx="15">
                  <c:v>5114</c:v>
                </c:pt>
                <c:pt idx="16">
                  <c:v>6346</c:v>
                </c:pt>
                <c:pt idx="17">
                  <c:v>6079</c:v>
                </c:pt>
                <c:pt idx="18">
                  <c:v>6247</c:v>
                </c:pt>
                <c:pt idx="19">
                  <c:v>7051</c:v>
                </c:pt>
                <c:pt idx="20">
                  <c:v>7251</c:v>
                </c:pt>
                <c:pt idx="21">
                  <c:v>7112</c:v>
                </c:pt>
                <c:pt idx="22">
                  <c:v>7626</c:v>
                </c:pt>
                <c:pt idx="23">
                  <c:v>8256</c:v>
                </c:pt>
                <c:pt idx="24">
                  <c:v>8213</c:v>
                </c:pt>
                <c:pt idx="25">
                  <c:v>8506</c:v>
                </c:pt>
                <c:pt idx="26">
                  <c:v>8678</c:v>
                </c:pt>
                <c:pt idx="27">
                  <c:v>8869</c:v>
                </c:pt>
                <c:pt idx="28">
                  <c:v>9208</c:v>
                </c:pt>
                <c:pt idx="29">
                  <c:v>8864</c:v>
                </c:pt>
                <c:pt idx="30">
                  <c:v>9729</c:v>
                </c:pt>
                <c:pt idx="31">
                  <c:v>10913</c:v>
                </c:pt>
                <c:pt idx="32">
                  <c:v>9881</c:v>
                </c:pt>
                <c:pt idx="33">
                  <c:v>10537</c:v>
                </c:pt>
                <c:pt idx="34">
                  <c:v>10983</c:v>
                </c:pt>
                <c:pt idx="35">
                  <c:v>11220</c:v>
                </c:pt>
                <c:pt idx="36">
                  <c:v>11495</c:v>
                </c:pt>
                <c:pt idx="37">
                  <c:v>11295</c:v>
                </c:pt>
                <c:pt idx="38">
                  <c:v>11409</c:v>
                </c:pt>
                <c:pt idx="39">
                  <c:v>12234</c:v>
                </c:pt>
                <c:pt idx="40">
                  <c:v>12254</c:v>
                </c:pt>
                <c:pt idx="41">
                  <c:v>11650</c:v>
                </c:pt>
                <c:pt idx="42">
                  <c:v>11460</c:v>
                </c:pt>
                <c:pt idx="43">
                  <c:v>13617</c:v>
                </c:pt>
                <c:pt idx="44">
                  <c:v>11848</c:v>
                </c:pt>
                <c:pt idx="45">
                  <c:v>13877</c:v>
                </c:pt>
                <c:pt idx="46">
                  <c:v>13630</c:v>
                </c:pt>
                <c:pt idx="47">
                  <c:v>13078</c:v>
                </c:pt>
                <c:pt idx="48">
                  <c:v>14665</c:v>
                </c:pt>
                <c:pt idx="49">
                  <c:v>13803</c:v>
                </c:pt>
                <c:pt idx="50">
                  <c:v>13646</c:v>
                </c:pt>
                <c:pt idx="51">
                  <c:v>14729</c:v>
                </c:pt>
                <c:pt idx="52">
                  <c:v>14197</c:v>
                </c:pt>
                <c:pt idx="53">
                  <c:v>14836</c:v>
                </c:pt>
                <c:pt idx="54">
                  <c:v>14770</c:v>
                </c:pt>
                <c:pt idx="55">
                  <c:v>15944</c:v>
                </c:pt>
                <c:pt idx="56">
                  <c:v>13870</c:v>
                </c:pt>
                <c:pt idx="57">
                  <c:v>16659</c:v>
                </c:pt>
                <c:pt idx="58">
                  <c:v>15267</c:v>
                </c:pt>
                <c:pt idx="59">
                  <c:v>16171</c:v>
                </c:pt>
                <c:pt idx="60">
                  <c:v>16772</c:v>
                </c:pt>
                <c:pt idx="61">
                  <c:v>14731</c:v>
                </c:pt>
                <c:pt idx="62">
                  <c:v>17068</c:v>
                </c:pt>
                <c:pt idx="63">
                  <c:v>16055</c:v>
                </c:pt>
                <c:pt idx="64">
                  <c:v>13006</c:v>
                </c:pt>
                <c:pt idx="65">
                  <c:v>12115</c:v>
                </c:pt>
                <c:pt idx="66">
                  <c:v>9783</c:v>
                </c:pt>
                <c:pt idx="67">
                  <c:v>10702</c:v>
                </c:pt>
                <c:pt idx="68">
                  <c:v>8289</c:v>
                </c:pt>
                <c:pt idx="69">
                  <c:v>9485</c:v>
                </c:pt>
                <c:pt idx="70">
                  <c:v>8256</c:v>
                </c:pt>
                <c:pt idx="71">
                  <c:v>9259</c:v>
                </c:pt>
                <c:pt idx="72">
                  <c:v>9022</c:v>
                </c:pt>
                <c:pt idx="73">
                  <c:v>8709</c:v>
                </c:pt>
                <c:pt idx="74">
                  <c:v>9647</c:v>
                </c:pt>
                <c:pt idx="75">
                  <c:v>8920</c:v>
                </c:pt>
                <c:pt idx="76">
                  <c:v>8780</c:v>
                </c:pt>
                <c:pt idx="77">
                  <c:v>9621</c:v>
                </c:pt>
                <c:pt idx="78">
                  <c:v>8958</c:v>
                </c:pt>
                <c:pt idx="79">
                  <c:v>9320</c:v>
                </c:pt>
                <c:pt idx="80">
                  <c:v>8948</c:v>
                </c:pt>
                <c:pt idx="81">
                  <c:v>9831</c:v>
                </c:pt>
                <c:pt idx="82">
                  <c:v>9100</c:v>
                </c:pt>
                <c:pt idx="83">
                  <c:v>10097</c:v>
                </c:pt>
                <c:pt idx="84">
                  <c:v>9161</c:v>
                </c:pt>
                <c:pt idx="85">
                  <c:v>9488</c:v>
                </c:pt>
                <c:pt idx="86">
                  <c:v>9931</c:v>
                </c:pt>
                <c:pt idx="87">
                  <c:v>8831</c:v>
                </c:pt>
                <c:pt idx="88">
                  <c:v>9840</c:v>
                </c:pt>
                <c:pt idx="89">
                  <c:v>9444</c:v>
                </c:pt>
                <c:pt idx="90">
                  <c:v>9540</c:v>
                </c:pt>
                <c:pt idx="91">
                  <c:v>10114</c:v>
                </c:pt>
                <c:pt idx="92">
                  <c:v>9907</c:v>
                </c:pt>
                <c:pt idx="93">
                  <c:v>9626</c:v>
                </c:pt>
                <c:pt idx="94">
                  <c:v>10100</c:v>
                </c:pt>
                <c:pt idx="95">
                  <c:v>11335</c:v>
                </c:pt>
                <c:pt idx="96">
                  <c:v>12005</c:v>
                </c:pt>
                <c:pt idx="97">
                  <c:v>13637</c:v>
                </c:pt>
                <c:pt idx="98">
                  <c:v>13443</c:v>
                </c:pt>
                <c:pt idx="99">
                  <c:v>13665</c:v>
                </c:pt>
                <c:pt idx="100">
                  <c:v>14129</c:v>
                </c:pt>
                <c:pt idx="101">
                  <c:v>13089</c:v>
                </c:pt>
                <c:pt idx="102">
                  <c:v>13900</c:v>
                </c:pt>
                <c:pt idx="103">
                  <c:v>18207</c:v>
                </c:pt>
                <c:pt idx="104">
                  <c:v>11770</c:v>
                </c:pt>
                <c:pt idx="105">
                  <c:v>14493</c:v>
                </c:pt>
                <c:pt idx="106">
                  <c:v>14230</c:v>
                </c:pt>
                <c:pt idx="107">
                  <c:v>13634</c:v>
                </c:pt>
                <c:pt idx="108">
                  <c:v>15102</c:v>
                </c:pt>
                <c:pt idx="109">
                  <c:v>14370</c:v>
                </c:pt>
                <c:pt idx="110">
                  <c:v>14051</c:v>
                </c:pt>
                <c:pt idx="111">
                  <c:v>15276</c:v>
                </c:pt>
                <c:pt idx="112">
                  <c:v>13968</c:v>
                </c:pt>
                <c:pt idx="113">
                  <c:v>14712</c:v>
                </c:pt>
                <c:pt idx="114">
                  <c:v>13504</c:v>
                </c:pt>
                <c:pt idx="115">
                  <c:v>15574</c:v>
                </c:pt>
                <c:pt idx="116">
                  <c:v>12899</c:v>
                </c:pt>
                <c:pt idx="117">
                  <c:v>16568</c:v>
                </c:pt>
                <c:pt idx="118">
                  <c:v>14654</c:v>
                </c:pt>
                <c:pt idx="119">
                  <c:v>14116</c:v>
                </c:pt>
                <c:pt idx="120">
                  <c:v>15277</c:v>
                </c:pt>
                <c:pt idx="121">
                  <c:v>13623</c:v>
                </c:pt>
                <c:pt idx="122">
                  <c:v>14300</c:v>
                </c:pt>
                <c:pt idx="123">
                  <c:v>15309</c:v>
                </c:pt>
                <c:pt idx="124">
                  <c:v>13274</c:v>
                </c:pt>
              </c:numCache>
            </c:numRef>
          </c:val>
          <c:smooth val="0"/>
        </c:ser>
        <c:ser>
          <c:idx val="5"/>
          <c:order val="5"/>
          <c:tx>
            <c:strRef>
              <c:f>'Scripts Injections'!$G$3:$G$5</c:f>
              <c:strCache>
                <c:ptCount val="1"/>
                <c:pt idx="0">
                  <c:v>RANIBIZUMAB - Injections</c:v>
                </c:pt>
              </c:strCache>
            </c:strRef>
          </c:tx>
          <c:spPr>
            <a:ln>
              <a:solidFill>
                <a:srgbClr val="FF0000"/>
              </a:solidFill>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Injections'!$G$6:$G$131</c:f>
              <c:numCache>
                <c:formatCode>General</c:formatCode>
                <c:ptCount val="125"/>
                <c:pt idx="0">
                  <c:v>2706</c:v>
                </c:pt>
                <c:pt idx="1">
                  <c:v>3482</c:v>
                </c:pt>
                <c:pt idx="2">
                  <c:v>4209</c:v>
                </c:pt>
                <c:pt idx="3">
                  <c:v>4223</c:v>
                </c:pt>
                <c:pt idx="4">
                  <c:v>3872</c:v>
                </c:pt>
                <c:pt idx="5">
                  <c:v>4346</c:v>
                </c:pt>
                <c:pt idx="6">
                  <c:v>4521</c:v>
                </c:pt>
                <c:pt idx="7">
                  <c:v>4541</c:v>
                </c:pt>
                <c:pt idx="8">
                  <c:v>4735</c:v>
                </c:pt>
                <c:pt idx="9">
                  <c:v>5359</c:v>
                </c:pt>
                <c:pt idx="10">
                  <c:v>4971</c:v>
                </c:pt>
                <c:pt idx="11">
                  <c:v>5357</c:v>
                </c:pt>
                <c:pt idx="12">
                  <c:v>5537</c:v>
                </c:pt>
                <c:pt idx="13">
                  <c:v>5816</c:v>
                </c:pt>
                <c:pt idx="14">
                  <c:v>5913</c:v>
                </c:pt>
                <c:pt idx="15">
                  <c:v>5404</c:v>
                </c:pt>
                <c:pt idx="16">
                  <c:v>6682</c:v>
                </c:pt>
                <c:pt idx="17">
                  <c:v>6425</c:v>
                </c:pt>
                <c:pt idx="18">
                  <c:v>6603</c:v>
                </c:pt>
                <c:pt idx="19">
                  <c:v>7437</c:v>
                </c:pt>
                <c:pt idx="20">
                  <c:v>7665</c:v>
                </c:pt>
                <c:pt idx="21">
                  <c:v>7494</c:v>
                </c:pt>
                <c:pt idx="22">
                  <c:v>8054</c:v>
                </c:pt>
                <c:pt idx="23">
                  <c:v>8721</c:v>
                </c:pt>
                <c:pt idx="24">
                  <c:v>8680</c:v>
                </c:pt>
                <c:pt idx="25">
                  <c:v>9070</c:v>
                </c:pt>
                <c:pt idx="26">
                  <c:v>9217</c:v>
                </c:pt>
                <c:pt idx="27">
                  <c:v>9459</c:v>
                </c:pt>
                <c:pt idx="28">
                  <c:v>9797</c:v>
                </c:pt>
                <c:pt idx="29">
                  <c:v>9437</c:v>
                </c:pt>
                <c:pt idx="30">
                  <c:v>10344</c:v>
                </c:pt>
                <c:pt idx="31">
                  <c:v>11624</c:v>
                </c:pt>
                <c:pt idx="32">
                  <c:v>10554</c:v>
                </c:pt>
                <c:pt idx="33">
                  <c:v>11257</c:v>
                </c:pt>
                <c:pt idx="34">
                  <c:v>11800</c:v>
                </c:pt>
                <c:pt idx="35">
                  <c:v>12072</c:v>
                </c:pt>
                <c:pt idx="36">
                  <c:v>12364</c:v>
                </c:pt>
                <c:pt idx="37">
                  <c:v>12151</c:v>
                </c:pt>
                <c:pt idx="38">
                  <c:v>12290</c:v>
                </c:pt>
                <c:pt idx="39">
                  <c:v>13169</c:v>
                </c:pt>
                <c:pt idx="40">
                  <c:v>13183</c:v>
                </c:pt>
                <c:pt idx="41">
                  <c:v>12541</c:v>
                </c:pt>
                <c:pt idx="42">
                  <c:v>12355</c:v>
                </c:pt>
                <c:pt idx="43">
                  <c:v>14682</c:v>
                </c:pt>
                <c:pt idx="44">
                  <c:v>12776</c:v>
                </c:pt>
                <c:pt idx="45">
                  <c:v>14925</c:v>
                </c:pt>
                <c:pt idx="46">
                  <c:v>14681</c:v>
                </c:pt>
                <c:pt idx="47">
                  <c:v>14073</c:v>
                </c:pt>
                <c:pt idx="48">
                  <c:v>15743</c:v>
                </c:pt>
                <c:pt idx="49">
                  <c:v>14854</c:v>
                </c:pt>
                <c:pt idx="50">
                  <c:v>14671</c:v>
                </c:pt>
                <c:pt idx="51">
                  <c:v>15937</c:v>
                </c:pt>
                <c:pt idx="52">
                  <c:v>15316</c:v>
                </c:pt>
                <c:pt idx="53">
                  <c:v>16010</c:v>
                </c:pt>
                <c:pt idx="54">
                  <c:v>15954</c:v>
                </c:pt>
                <c:pt idx="55">
                  <c:v>17211</c:v>
                </c:pt>
                <c:pt idx="56">
                  <c:v>15038</c:v>
                </c:pt>
                <c:pt idx="57">
                  <c:v>18036</c:v>
                </c:pt>
                <c:pt idx="58">
                  <c:v>16585</c:v>
                </c:pt>
                <c:pt idx="59">
                  <c:v>17514</c:v>
                </c:pt>
                <c:pt idx="60">
                  <c:v>18197</c:v>
                </c:pt>
                <c:pt idx="61">
                  <c:v>15970</c:v>
                </c:pt>
                <c:pt idx="62">
                  <c:v>18513</c:v>
                </c:pt>
                <c:pt idx="63">
                  <c:v>17396</c:v>
                </c:pt>
                <c:pt idx="64">
                  <c:v>14103</c:v>
                </c:pt>
                <c:pt idx="65">
                  <c:v>13034</c:v>
                </c:pt>
                <c:pt idx="66">
                  <c:v>10550</c:v>
                </c:pt>
                <c:pt idx="67">
                  <c:v>11529</c:v>
                </c:pt>
                <c:pt idx="68">
                  <c:v>8920</c:v>
                </c:pt>
                <c:pt idx="69">
                  <c:v>10226</c:v>
                </c:pt>
                <c:pt idx="70">
                  <c:v>8883</c:v>
                </c:pt>
                <c:pt idx="71">
                  <c:v>9958</c:v>
                </c:pt>
                <c:pt idx="72">
                  <c:v>9744</c:v>
                </c:pt>
                <c:pt idx="73">
                  <c:v>9439</c:v>
                </c:pt>
                <c:pt idx="74">
                  <c:v>10415</c:v>
                </c:pt>
                <c:pt idx="75">
                  <c:v>9646</c:v>
                </c:pt>
                <c:pt idx="76">
                  <c:v>9511</c:v>
                </c:pt>
                <c:pt idx="77">
                  <c:v>10362</c:v>
                </c:pt>
                <c:pt idx="78">
                  <c:v>9686</c:v>
                </c:pt>
                <c:pt idx="79">
                  <c:v>10030</c:v>
                </c:pt>
                <c:pt idx="80">
                  <c:v>9695</c:v>
                </c:pt>
                <c:pt idx="81">
                  <c:v>10626</c:v>
                </c:pt>
                <c:pt idx="82">
                  <c:v>9857</c:v>
                </c:pt>
                <c:pt idx="83">
                  <c:v>10906</c:v>
                </c:pt>
                <c:pt idx="84">
                  <c:v>9933</c:v>
                </c:pt>
                <c:pt idx="85">
                  <c:v>10257</c:v>
                </c:pt>
                <c:pt idx="86">
                  <c:v>10739</c:v>
                </c:pt>
                <c:pt idx="87">
                  <c:v>9558</c:v>
                </c:pt>
                <c:pt idx="88">
                  <c:v>10671</c:v>
                </c:pt>
                <c:pt idx="89">
                  <c:v>10289</c:v>
                </c:pt>
                <c:pt idx="90">
                  <c:v>10371</c:v>
                </c:pt>
                <c:pt idx="91">
                  <c:v>10985</c:v>
                </c:pt>
                <c:pt idx="92">
                  <c:v>10814</c:v>
                </c:pt>
                <c:pt idx="93">
                  <c:v>10478</c:v>
                </c:pt>
                <c:pt idx="94">
                  <c:v>10942</c:v>
                </c:pt>
                <c:pt idx="95">
                  <c:v>12462</c:v>
                </c:pt>
                <c:pt idx="96">
                  <c:v>13296</c:v>
                </c:pt>
                <c:pt idx="97">
                  <c:v>15126</c:v>
                </c:pt>
                <c:pt idx="98">
                  <c:v>14933</c:v>
                </c:pt>
                <c:pt idx="99">
                  <c:v>15194</c:v>
                </c:pt>
                <c:pt idx="100">
                  <c:v>15580</c:v>
                </c:pt>
                <c:pt idx="101">
                  <c:v>14457</c:v>
                </c:pt>
                <c:pt idx="102">
                  <c:v>15310</c:v>
                </c:pt>
                <c:pt idx="103">
                  <c:v>20091</c:v>
                </c:pt>
                <c:pt idx="104">
                  <c:v>12991</c:v>
                </c:pt>
                <c:pt idx="105">
                  <c:v>16074</c:v>
                </c:pt>
                <c:pt idx="106">
                  <c:v>15685</c:v>
                </c:pt>
                <c:pt idx="107">
                  <c:v>15017</c:v>
                </c:pt>
                <c:pt idx="108">
                  <c:v>16701</c:v>
                </c:pt>
                <c:pt idx="109">
                  <c:v>15868</c:v>
                </c:pt>
                <c:pt idx="110">
                  <c:v>15484</c:v>
                </c:pt>
                <c:pt idx="111">
                  <c:v>16870</c:v>
                </c:pt>
                <c:pt idx="112">
                  <c:v>15396</c:v>
                </c:pt>
                <c:pt idx="113">
                  <c:v>16212</c:v>
                </c:pt>
                <c:pt idx="114">
                  <c:v>14910</c:v>
                </c:pt>
                <c:pt idx="115">
                  <c:v>17230</c:v>
                </c:pt>
                <c:pt idx="116">
                  <c:v>14234</c:v>
                </c:pt>
                <c:pt idx="117">
                  <c:v>18329</c:v>
                </c:pt>
                <c:pt idx="118">
                  <c:v>16228</c:v>
                </c:pt>
                <c:pt idx="119">
                  <c:v>15624</c:v>
                </c:pt>
                <c:pt idx="120">
                  <c:v>16916</c:v>
                </c:pt>
                <c:pt idx="121">
                  <c:v>15071</c:v>
                </c:pt>
                <c:pt idx="122">
                  <c:v>15861</c:v>
                </c:pt>
                <c:pt idx="123">
                  <c:v>16975</c:v>
                </c:pt>
                <c:pt idx="124">
                  <c:v>14716</c:v>
                </c:pt>
              </c:numCache>
            </c:numRef>
          </c:val>
          <c:smooth val="0"/>
        </c:ser>
        <c:ser>
          <c:idx val="6"/>
          <c:order val="6"/>
          <c:tx>
            <c:strRef>
              <c:f>'Scripts Injections'!$H$3:$H$5</c:f>
              <c:strCache>
                <c:ptCount val="1"/>
                <c:pt idx="0">
                  <c:v>TOTAL - Prescriptions</c:v>
                </c:pt>
              </c:strCache>
            </c:strRef>
          </c:tx>
          <c:spPr>
            <a:ln>
              <a:solidFill>
                <a:schemeClr val="tx1"/>
              </a:solidFill>
              <a:prstDash val="sysDash"/>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Injections'!$H$6:$H$131</c:f>
              <c:numCache>
                <c:formatCode>General</c:formatCode>
                <c:ptCount val="125"/>
                <c:pt idx="0">
                  <c:v>2553</c:v>
                </c:pt>
                <c:pt idx="1">
                  <c:v>3249</c:v>
                </c:pt>
                <c:pt idx="2">
                  <c:v>3981</c:v>
                </c:pt>
                <c:pt idx="3">
                  <c:v>4041</c:v>
                </c:pt>
                <c:pt idx="4">
                  <c:v>3658</c:v>
                </c:pt>
                <c:pt idx="5">
                  <c:v>4089</c:v>
                </c:pt>
                <c:pt idx="6">
                  <c:v>4274</c:v>
                </c:pt>
                <c:pt idx="7">
                  <c:v>4297</c:v>
                </c:pt>
                <c:pt idx="8">
                  <c:v>4503</c:v>
                </c:pt>
                <c:pt idx="9">
                  <c:v>5080</c:v>
                </c:pt>
                <c:pt idx="10">
                  <c:v>4703</c:v>
                </c:pt>
                <c:pt idx="11">
                  <c:v>5091</c:v>
                </c:pt>
                <c:pt idx="12">
                  <c:v>5218</c:v>
                </c:pt>
                <c:pt idx="13">
                  <c:v>5502</c:v>
                </c:pt>
                <c:pt idx="14">
                  <c:v>5574</c:v>
                </c:pt>
                <c:pt idx="15">
                  <c:v>5114</c:v>
                </c:pt>
                <c:pt idx="16">
                  <c:v>6346</c:v>
                </c:pt>
                <c:pt idx="17">
                  <c:v>6079</c:v>
                </c:pt>
                <c:pt idx="18">
                  <c:v>6247</c:v>
                </c:pt>
                <c:pt idx="19">
                  <c:v>7051</c:v>
                </c:pt>
                <c:pt idx="20">
                  <c:v>7251</c:v>
                </c:pt>
                <c:pt idx="21">
                  <c:v>7112</c:v>
                </c:pt>
                <c:pt idx="22">
                  <c:v>7626</c:v>
                </c:pt>
                <c:pt idx="23">
                  <c:v>8256</c:v>
                </c:pt>
                <c:pt idx="24">
                  <c:v>8213</c:v>
                </c:pt>
                <c:pt idx="25">
                  <c:v>8506</c:v>
                </c:pt>
                <c:pt idx="26">
                  <c:v>8678</c:v>
                </c:pt>
                <c:pt idx="27">
                  <c:v>8869</c:v>
                </c:pt>
                <c:pt idx="28">
                  <c:v>9208</c:v>
                </c:pt>
                <c:pt idx="29">
                  <c:v>8864</c:v>
                </c:pt>
                <c:pt idx="30">
                  <c:v>9729</c:v>
                </c:pt>
                <c:pt idx="31">
                  <c:v>10913</c:v>
                </c:pt>
                <c:pt idx="32">
                  <c:v>9881</c:v>
                </c:pt>
                <c:pt idx="33">
                  <c:v>10537</c:v>
                </c:pt>
                <c:pt idx="34">
                  <c:v>10983</c:v>
                </c:pt>
                <c:pt idx="35">
                  <c:v>11220</c:v>
                </c:pt>
                <c:pt idx="36">
                  <c:v>11495</c:v>
                </c:pt>
                <c:pt idx="37">
                  <c:v>11295</c:v>
                </c:pt>
                <c:pt idx="38">
                  <c:v>11409</c:v>
                </c:pt>
                <c:pt idx="39">
                  <c:v>12234</c:v>
                </c:pt>
                <c:pt idx="40">
                  <c:v>12254</c:v>
                </c:pt>
                <c:pt idx="41">
                  <c:v>11650</c:v>
                </c:pt>
                <c:pt idx="42">
                  <c:v>11460</c:v>
                </c:pt>
                <c:pt idx="43">
                  <c:v>13617</c:v>
                </c:pt>
                <c:pt idx="44">
                  <c:v>11848</c:v>
                </c:pt>
                <c:pt idx="45">
                  <c:v>13877</c:v>
                </c:pt>
                <c:pt idx="46">
                  <c:v>13630</c:v>
                </c:pt>
                <c:pt idx="47">
                  <c:v>13078</c:v>
                </c:pt>
                <c:pt idx="48">
                  <c:v>14665</c:v>
                </c:pt>
                <c:pt idx="49">
                  <c:v>13803</c:v>
                </c:pt>
                <c:pt idx="50">
                  <c:v>13646</c:v>
                </c:pt>
                <c:pt idx="51">
                  <c:v>14729</c:v>
                </c:pt>
                <c:pt idx="52">
                  <c:v>14197</c:v>
                </c:pt>
                <c:pt idx="53">
                  <c:v>14836</c:v>
                </c:pt>
                <c:pt idx="54">
                  <c:v>14770</c:v>
                </c:pt>
                <c:pt idx="55">
                  <c:v>15944</c:v>
                </c:pt>
                <c:pt idx="56">
                  <c:v>13870</c:v>
                </c:pt>
                <c:pt idx="57">
                  <c:v>16659</c:v>
                </c:pt>
                <c:pt idx="58">
                  <c:v>15267</c:v>
                </c:pt>
                <c:pt idx="59">
                  <c:v>16171</c:v>
                </c:pt>
                <c:pt idx="60">
                  <c:v>16772</c:v>
                </c:pt>
                <c:pt idx="61">
                  <c:v>14731</c:v>
                </c:pt>
                <c:pt idx="62">
                  <c:v>17068</c:v>
                </c:pt>
                <c:pt idx="63">
                  <c:v>16055</c:v>
                </c:pt>
                <c:pt idx="64">
                  <c:v>15968</c:v>
                </c:pt>
                <c:pt idx="65">
                  <c:v>18131</c:v>
                </c:pt>
                <c:pt idx="66">
                  <c:v>16067</c:v>
                </c:pt>
                <c:pt idx="67">
                  <c:v>18729</c:v>
                </c:pt>
                <c:pt idx="68">
                  <c:v>15222</c:v>
                </c:pt>
                <c:pt idx="69">
                  <c:v>18132</c:v>
                </c:pt>
                <c:pt idx="70">
                  <c:v>16065</c:v>
                </c:pt>
                <c:pt idx="71">
                  <c:v>17984</c:v>
                </c:pt>
                <c:pt idx="72">
                  <c:v>17798</c:v>
                </c:pt>
                <c:pt idx="73">
                  <c:v>17059</c:v>
                </c:pt>
                <c:pt idx="74">
                  <c:v>19035</c:v>
                </c:pt>
                <c:pt idx="75">
                  <c:v>17389</c:v>
                </c:pt>
                <c:pt idx="76">
                  <c:v>17316</c:v>
                </c:pt>
                <c:pt idx="77">
                  <c:v>19180</c:v>
                </c:pt>
                <c:pt idx="78">
                  <c:v>17613</c:v>
                </c:pt>
                <c:pt idx="79">
                  <c:v>18627</c:v>
                </c:pt>
                <c:pt idx="80">
                  <c:v>18048</c:v>
                </c:pt>
                <c:pt idx="81">
                  <c:v>20098</c:v>
                </c:pt>
                <c:pt idx="82">
                  <c:v>18338</c:v>
                </c:pt>
                <c:pt idx="83">
                  <c:v>20647</c:v>
                </c:pt>
                <c:pt idx="84">
                  <c:v>18860</c:v>
                </c:pt>
                <c:pt idx="85">
                  <c:v>19322</c:v>
                </c:pt>
                <c:pt idx="86">
                  <c:v>20401</c:v>
                </c:pt>
                <c:pt idx="87">
                  <c:v>18279</c:v>
                </c:pt>
                <c:pt idx="88">
                  <c:v>20163</c:v>
                </c:pt>
                <c:pt idx="89">
                  <c:v>19457</c:v>
                </c:pt>
                <c:pt idx="90">
                  <c:v>19384</c:v>
                </c:pt>
                <c:pt idx="91">
                  <c:v>20923</c:v>
                </c:pt>
                <c:pt idx="92">
                  <c:v>20507</c:v>
                </c:pt>
                <c:pt idx="93">
                  <c:v>20124</c:v>
                </c:pt>
                <c:pt idx="94">
                  <c:v>20911</c:v>
                </c:pt>
                <c:pt idx="95">
                  <c:v>22347</c:v>
                </c:pt>
                <c:pt idx="96">
                  <c:v>22541</c:v>
                </c:pt>
                <c:pt idx="97">
                  <c:v>24737</c:v>
                </c:pt>
                <c:pt idx="98">
                  <c:v>25251</c:v>
                </c:pt>
                <c:pt idx="99">
                  <c:v>25767</c:v>
                </c:pt>
                <c:pt idx="100">
                  <c:v>27540</c:v>
                </c:pt>
                <c:pt idx="101">
                  <c:v>25603</c:v>
                </c:pt>
                <c:pt idx="102">
                  <c:v>27877</c:v>
                </c:pt>
                <c:pt idx="103">
                  <c:v>35911</c:v>
                </c:pt>
                <c:pt idx="104">
                  <c:v>23967</c:v>
                </c:pt>
                <c:pt idx="105">
                  <c:v>29184</c:v>
                </c:pt>
                <c:pt idx="106">
                  <c:v>28785</c:v>
                </c:pt>
                <c:pt idx="107">
                  <c:v>28248</c:v>
                </c:pt>
                <c:pt idx="108">
                  <c:v>31352</c:v>
                </c:pt>
                <c:pt idx="109">
                  <c:v>30158</c:v>
                </c:pt>
                <c:pt idx="110">
                  <c:v>30017</c:v>
                </c:pt>
                <c:pt idx="111">
                  <c:v>32537</c:v>
                </c:pt>
                <c:pt idx="112">
                  <c:v>29981</c:v>
                </c:pt>
                <c:pt idx="113">
                  <c:v>32445</c:v>
                </c:pt>
                <c:pt idx="114">
                  <c:v>30566</c:v>
                </c:pt>
                <c:pt idx="115">
                  <c:v>35093</c:v>
                </c:pt>
                <c:pt idx="116">
                  <c:v>29578</c:v>
                </c:pt>
                <c:pt idx="117">
                  <c:v>38372</c:v>
                </c:pt>
                <c:pt idx="118">
                  <c:v>34092</c:v>
                </c:pt>
                <c:pt idx="119">
                  <c:v>33745</c:v>
                </c:pt>
                <c:pt idx="120">
                  <c:v>36737</c:v>
                </c:pt>
                <c:pt idx="121">
                  <c:v>33442</c:v>
                </c:pt>
                <c:pt idx="122">
                  <c:v>35330</c:v>
                </c:pt>
                <c:pt idx="123">
                  <c:v>37486</c:v>
                </c:pt>
                <c:pt idx="124">
                  <c:v>32758</c:v>
                </c:pt>
              </c:numCache>
            </c:numRef>
          </c:val>
          <c:smooth val="0"/>
        </c:ser>
        <c:ser>
          <c:idx val="7"/>
          <c:order val="7"/>
          <c:tx>
            <c:strRef>
              <c:f>'Scripts Injections'!$I$3:$I$5</c:f>
              <c:strCache>
                <c:ptCount val="1"/>
                <c:pt idx="0">
                  <c:v>TOTAL - Injections</c:v>
                </c:pt>
              </c:strCache>
            </c:strRef>
          </c:tx>
          <c:spPr>
            <a:ln>
              <a:solidFill>
                <a:schemeClr val="tx1"/>
              </a:solidFill>
            </a:ln>
          </c:spPr>
          <c:marker>
            <c:symbol val="none"/>
          </c:marker>
          <c:cat>
            <c:strRef>
              <c:f>'Scripts Injections'!$A$6:$A$131</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'Scripts Injections'!$I$6:$I$131</c:f>
              <c:numCache>
                <c:formatCode>General</c:formatCode>
                <c:ptCount val="125"/>
                <c:pt idx="0">
                  <c:v>2706</c:v>
                </c:pt>
                <c:pt idx="1">
                  <c:v>3482</c:v>
                </c:pt>
                <c:pt idx="2">
                  <c:v>4209</c:v>
                </c:pt>
                <c:pt idx="3">
                  <c:v>4223</c:v>
                </c:pt>
                <c:pt idx="4">
                  <c:v>3872</c:v>
                </c:pt>
                <c:pt idx="5">
                  <c:v>4346</c:v>
                </c:pt>
                <c:pt idx="6">
                  <c:v>4521</c:v>
                </c:pt>
                <c:pt idx="7">
                  <c:v>4541</c:v>
                </c:pt>
                <c:pt idx="8">
                  <c:v>4735</c:v>
                </c:pt>
                <c:pt idx="9">
                  <c:v>5359</c:v>
                </c:pt>
                <c:pt idx="10">
                  <c:v>4971</c:v>
                </c:pt>
                <c:pt idx="11">
                  <c:v>5357</c:v>
                </c:pt>
                <c:pt idx="12">
                  <c:v>5537</c:v>
                </c:pt>
                <c:pt idx="13">
                  <c:v>5816</c:v>
                </c:pt>
                <c:pt idx="14">
                  <c:v>5913</c:v>
                </c:pt>
                <c:pt idx="15">
                  <c:v>5404</c:v>
                </c:pt>
                <c:pt idx="16">
                  <c:v>6682</c:v>
                </c:pt>
                <c:pt idx="17">
                  <c:v>6425</c:v>
                </c:pt>
                <c:pt idx="18">
                  <c:v>6603</c:v>
                </c:pt>
                <c:pt idx="19">
                  <c:v>7437</c:v>
                </c:pt>
                <c:pt idx="20">
                  <c:v>7665</c:v>
                </c:pt>
                <c:pt idx="21">
                  <c:v>7494</c:v>
                </c:pt>
                <c:pt idx="22">
                  <c:v>8054</c:v>
                </c:pt>
                <c:pt idx="23">
                  <c:v>8721</c:v>
                </c:pt>
                <c:pt idx="24">
                  <c:v>8680</c:v>
                </c:pt>
                <c:pt idx="25">
                  <c:v>9070</c:v>
                </c:pt>
                <c:pt idx="26">
                  <c:v>9217</c:v>
                </c:pt>
                <c:pt idx="27">
                  <c:v>9459</c:v>
                </c:pt>
                <c:pt idx="28">
                  <c:v>9797</c:v>
                </c:pt>
                <c:pt idx="29">
                  <c:v>9437</c:v>
                </c:pt>
                <c:pt idx="30">
                  <c:v>10344</c:v>
                </c:pt>
                <c:pt idx="31">
                  <c:v>11624</c:v>
                </c:pt>
                <c:pt idx="32">
                  <c:v>10554</c:v>
                </c:pt>
                <c:pt idx="33">
                  <c:v>11257</c:v>
                </c:pt>
                <c:pt idx="34">
                  <c:v>11800</c:v>
                </c:pt>
                <c:pt idx="35">
                  <c:v>12072</c:v>
                </c:pt>
                <c:pt idx="36">
                  <c:v>12364</c:v>
                </c:pt>
                <c:pt idx="37">
                  <c:v>12151</c:v>
                </c:pt>
                <c:pt idx="38">
                  <c:v>12290</c:v>
                </c:pt>
                <c:pt idx="39">
                  <c:v>13169</c:v>
                </c:pt>
                <c:pt idx="40">
                  <c:v>13183</c:v>
                </c:pt>
                <c:pt idx="41">
                  <c:v>12541</c:v>
                </c:pt>
                <c:pt idx="42">
                  <c:v>12355</c:v>
                </c:pt>
                <c:pt idx="43">
                  <c:v>14682</c:v>
                </c:pt>
                <c:pt idx="44">
                  <c:v>12776</c:v>
                </c:pt>
                <c:pt idx="45">
                  <c:v>14925</c:v>
                </c:pt>
                <c:pt idx="46">
                  <c:v>14681</c:v>
                </c:pt>
                <c:pt idx="47">
                  <c:v>14073</c:v>
                </c:pt>
                <c:pt idx="48">
                  <c:v>15743</c:v>
                </c:pt>
                <c:pt idx="49">
                  <c:v>14854</c:v>
                </c:pt>
                <c:pt idx="50">
                  <c:v>14671</c:v>
                </c:pt>
                <c:pt idx="51">
                  <c:v>15937</c:v>
                </c:pt>
                <c:pt idx="52">
                  <c:v>15316</c:v>
                </c:pt>
                <c:pt idx="53">
                  <c:v>16010</c:v>
                </c:pt>
                <c:pt idx="54">
                  <c:v>15954</c:v>
                </c:pt>
                <c:pt idx="55">
                  <c:v>17211</c:v>
                </c:pt>
                <c:pt idx="56">
                  <c:v>15038</c:v>
                </c:pt>
                <c:pt idx="57">
                  <c:v>18036</c:v>
                </c:pt>
                <c:pt idx="58">
                  <c:v>16585</c:v>
                </c:pt>
                <c:pt idx="59">
                  <c:v>17514</c:v>
                </c:pt>
                <c:pt idx="60">
                  <c:v>18197</c:v>
                </c:pt>
                <c:pt idx="61">
                  <c:v>15970</c:v>
                </c:pt>
                <c:pt idx="62">
                  <c:v>18513</c:v>
                </c:pt>
                <c:pt idx="63">
                  <c:v>17396</c:v>
                </c:pt>
                <c:pt idx="64">
                  <c:v>17414</c:v>
                </c:pt>
                <c:pt idx="65">
                  <c:v>19715</c:v>
                </c:pt>
                <c:pt idx="66">
                  <c:v>17490</c:v>
                </c:pt>
                <c:pt idx="67">
                  <c:v>20398</c:v>
                </c:pt>
                <c:pt idx="68">
                  <c:v>16521</c:v>
                </c:pt>
                <c:pt idx="69">
                  <c:v>19671</c:v>
                </c:pt>
                <c:pt idx="70">
                  <c:v>17440</c:v>
                </c:pt>
                <c:pt idx="71">
                  <c:v>19497</c:v>
                </c:pt>
                <c:pt idx="72">
                  <c:v>19364</c:v>
                </c:pt>
                <c:pt idx="73">
                  <c:v>18603</c:v>
                </c:pt>
                <c:pt idx="74">
                  <c:v>20737</c:v>
                </c:pt>
                <c:pt idx="75">
                  <c:v>18923</c:v>
                </c:pt>
                <c:pt idx="76">
                  <c:v>18842</c:v>
                </c:pt>
                <c:pt idx="77">
                  <c:v>20898</c:v>
                </c:pt>
                <c:pt idx="78">
                  <c:v>19199</c:v>
                </c:pt>
                <c:pt idx="79">
                  <c:v>20257</c:v>
                </c:pt>
                <c:pt idx="80">
                  <c:v>19694</c:v>
                </c:pt>
                <c:pt idx="81">
                  <c:v>21904</c:v>
                </c:pt>
                <c:pt idx="82">
                  <c:v>20005</c:v>
                </c:pt>
                <c:pt idx="83">
                  <c:v>22513</c:v>
                </c:pt>
                <c:pt idx="84">
                  <c:v>20549</c:v>
                </c:pt>
                <c:pt idx="85">
                  <c:v>21090</c:v>
                </c:pt>
                <c:pt idx="86">
                  <c:v>22214</c:v>
                </c:pt>
                <c:pt idx="87">
                  <c:v>19966</c:v>
                </c:pt>
                <c:pt idx="88">
                  <c:v>22032</c:v>
                </c:pt>
                <c:pt idx="89">
                  <c:v>21306</c:v>
                </c:pt>
                <c:pt idx="90">
                  <c:v>21249</c:v>
                </c:pt>
                <c:pt idx="91">
                  <c:v>22933</c:v>
                </c:pt>
                <c:pt idx="92">
                  <c:v>22468</c:v>
                </c:pt>
                <c:pt idx="93">
                  <c:v>22092</c:v>
                </c:pt>
                <c:pt idx="94">
                  <c:v>22819</c:v>
                </c:pt>
                <c:pt idx="95">
                  <c:v>24586</c:v>
                </c:pt>
                <c:pt idx="96">
                  <c:v>24916</c:v>
                </c:pt>
                <c:pt idx="97">
                  <c:v>27375</c:v>
                </c:pt>
                <c:pt idx="98">
                  <c:v>28018</c:v>
                </c:pt>
                <c:pt idx="99">
                  <c:v>28732</c:v>
                </c:pt>
                <c:pt idx="100">
                  <c:v>30592</c:v>
                </c:pt>
                <c:pt idx="101">
                  <c:v>28556</c:v>
                </c:pt>
                <c:pt idx="102">
                  <c:v>31037</c:v>
                </c:pt>
                <c:pt idx="103">
                  <c:v>40136</c:v>
                </c:pt>
                <c:pt idx="104">
                  <c:v>26740</c:v>
                </c:pt>
                <c:pt idx="105">
                  <c:v>32689</c:v>
                </c:pt>
                <c:pt idx="106">
                  <c:v>32162</c:v>
                </c:pt>
                <c:pt idx="107">
                  <c:v>31542</c:v>
                </c:pt>
                <c:pt idx="108">
                  <c:v>35141</c:v>
                </c:pt>
                <c:pt idx="109">
                  <c:v>33768</c:v>
                </c:pt>
                <c:pt idx="110">
                  <c:v>33654</c:v>
                </c:pt>
                <c:pt idx="111">
                  <c:v>36469</c:v>
                </c:pt>
                <c:pt idx="112">
                  <c:v>33558</c:v>
                </c:pt>
                <c:pt idx="113">
                  <c:v>36204</c:v>
                </c:pt>
                <c:pt idx="114">
                  <c:v>34165</c:v>
                </c:pt>
                <c:pt idx="115">
                  <c:v>39298</c:v>
                </c:pt>
                <c:pt idx="116">
                  <c:v>32991</c:v>
                </c:pt>
                <c:pt idx="117">
                  <c:v>42859</c:v>
                </c:pt>
                <c:pt idx="118">
                  <c:v>38150</c:v>
                </c:pt>
                <c:pt idx="119">
                  <c:v>37744</c:v>
                </c:pt>
                <c:pt idx="120">
                  <c:v>41126</c:v>
                </c:pt>
                <c:pt idx="121">
                  <c:v>37460</c:v>
                </c:pt>
                <c:pt idx="122">
                  <c:v>39707</c:v>
                </c:pt>
                <c:pt idx="123">
                  <c:v>42097</c:v>
                </c:pt>
                <c:pt idx="124">
                  <c:v>36787</c:v>
                </c:pt>
              </c:numCache>
            </c:numRef>
          </c:val>
          <c:smooth val="0"/>
        </c:ser>
        <c:dLbls>
          <c:showLegendKey val="0"/>
          <c:showVal val="0"/>
          <c:showCatName val="0"/>
          <c:showSerName val="0"/>
          <c:showPercent val="0"/>
          <c:showBubbleSize val="0"/>
        </c:dLbls>
        <c:marker val="1"/>
        <c:smooth val="0"/>
        <c:axId val="586959872"/>
        <c:axId val="586969856"/>
      </c:lineChart>
      <c:catAx>
        <c:axId val="586959872"/>
        <c:scaling>
          <c:orientation val="minMax"/>
        </c:scaling>
        <c:delete val="0"/>
        <c:axPos val="b"/>
        <c:majorTickMark val="out"/>
        <c:minorTickMark val="none"/>
        <c:tickLblPos val="nextTo"/>
        <c:crossAx val="586969856"/>
        <c:crosses val="autoZero"/>
        <c:auto val="1"/>
        <c:lblAlgn val="ctr"/>
        <c:lblOffset val="100"/>
        <c:noMultiLvlLbl val="0"/>
      </c:catAx>
      <c:valAx>
        <c:axId val="586969856"/>
        <c:scaling>
          <c:orientation val="minMax"/>
        </c:scaling>
        <c:delete val="0"/>
        <c:axPos val="l"/>
        <c:majorGridlines/>
        <c:numFmt formatCode="#,##0" sourceLinked="0"/>
        <c:majorTickMark val="out"/>
        <c:minorTickMark val="none"/>
        <c:tickLblPos val="nextTo"/>
        <c:crossAx val="58695987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[Age of patients histogram.xlsx]Sheet1!PivotTable2</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barChart>
        <c:barDir val="col"/>
        <c:grouping val="clustered"/>
        <c:varyColors val="0"/>
        <c:ser>
          <c:idx val="0"/>
          <c:order val="0"/>
          <c:tx>
            <c:strRef>
              <c:f>Sheet1!$AC$1:$AC$2</c:f>
              <c:strCache>
                <c:ptCount val="1"/>
                <c:pt idx="0">
                  <c:v>Initiated 2008</c:v>
                </c:pt>
              </c:strCache>
            </c:strRef>
          </c:tx>
          <c:invertIfNegative val="0"/>
          <c:cat>
            <c:strRef>
              <c:f>Sheet1!$AB$3:$AB$52</c:f>
              <c:strCache>
                <c:ptCount val="49"/>
                <c:pt idx="0">
                  <c:v>20-44</c:v>
                </c:pt>
                <c:pt idx="1">
                  <c:v>45-49</c:v>
                </c:pt>
                <c:pt idx="2">
                  <c:v>50-54</c:v>
                </c:pt>
                <c:pt idx="3">
                  <c:v>55</c:v>
                </c:pt>
                <c:pt idx="4">
                  <c:v>56</c:v>
                </c:pt>
                <c:pt idx="5">
                  <c:v>57</c:v>
                </c:pt>
                <c:pt idx="6">
                  <c:v>58</c:v>
                </c:pt>
                <c:pt idx="7">
                  <c:v>59</c:v>
                </c:pt>
                <c:pt idx="8">
                  <c:v>60</c:v>
                </c:pt>
                <c:pt idx="9">
                  <c:v>61</c:v>
                </c:pt>
                <c:pt idx="10">
                  <c:v>62</c:v>
                </c:pt>
                <c:pt idx="11">
                  <c:v>63</c:v>
                </c:pt>
                <c:pt idx="12">
                  <c:v>64</c:v>
                </c:pt>
                <c:pt idx="13">
                  <c:v>65</c:v>
                </c:pt>
                <c:pt idx="14">
                  <c:v>66</c:v>
                </c:pt>
                <c:pt idx="15">
                  <c:v>67</c:v>
                </c:pt>
                <c:pt idx="16">
                  <c:v>68</c:v>
                </c:pt>
                <c:pt idx="17">
                  <c:v>69</c:v>
                </c:pt>
                <c:pt idx="18">
                  <c:v>70</c:v>
                </c:pt>
                <c:pt idx="19">
                  <c:v>71</c:v>
                </c:pt>
                <c:pt idx="20">
                  <c:v>72</c:v>
                </c:pt>
                <c:pt idx="21">
                  <c:v>73</c:v>
                </c:pt>
                <c:pt idx="22">
                  <c:v>74</c:v>
                </c:pt>
                <c:pt idx="23">
                  <c:v>75</c:v>
                </c:pt>
                <c:pt idx="24">
                  <c:v>76</c:v>
                </c:pt>
                <c:pt idx="25">
                  <c:v>77</c:v>
                </c:pt>
                <c:pt idx="26">
                  <c:v>78</c:v>
                </c:pt>
                <c:pt idx="27">
                  <c:v>79</c:v>
                </c:pt>
                <c:pt idx="28">
                  <c:v>80</c:v>
                </c:pt>
                <c:pt idx="29">
                  <c:v>81</c:v>
                </c:pt>
                <c:pt idx="30">
                  <c:v>82</c:v>
                </c:pt>
                <c:pt idx="31">
                  <c:v>83</c:v>
                </c:pt>
                <c:pt idx="32">
                  <c:v>84</c:v>
                </c:pt>
                <c:pt idx="33">
                  <c:v>85</c:v>
                </c:pt>
                <c:pt idx="34">
                  <c:v>86</c:v>
                </c:pt>
                <c:pt idx="35">
                  <c:v>87</c:v>
                </c:pt>
                <c:pt idx="36">
                  <c:v>88</c:v>
                </c:pt>
                <c:pt idx="37">
                  <c:v>89</c:v>
                </c:pt>
                <c:pt idx="38">
                  <c:v>90</c:v>
                </c:pt>
                <c:pt idx="39">
                  <c:v>91</c:v>
                </c:pt>
                <c:pt idx="40">
                  <c:v>92</c:v>
                </c:pt>
                <c:pt idx="41">
                  <c:v>93</c:v>
                </c:pt>
                <c:pt idx="42">
                  <c:v>94</c:v>
                </c:pt>
                <c:pt idx="43">
                  <c:v>95</c:v>
                </c:pt>
                <c:pt idx="44">
                  <c:v>96</c:v>
                </c:pt>
                <c:pt idx="45">
                  <c:v>97</c:v>
                </c:pt>
                <c:pt idx="46">
                  <c:v>98</c:v>
                </c:pt>
                <c:pt idx="47">
                  <c:v>99</c:v>
                </c:pt>
                <c:pt idx="48">
                  <c:v>100+</c:v>
                </c:pt>
              </c:strCache>
            </c:strRef>
          </c:cat>
          <c:val>
            <c:numRef>
              <c:f>Sheet1!$AC$3:$AC$52</c:f>
              <c:numCache>
                <c:formatCode>General</c:formatCode>
                <c:ptCount val="49"/>
                <c:pt idx="0">
                  <c:v>8</c:v>
                </c:pt>
                <c:pt idx="1">
                  <c:v>9</c:v>
                </c:pt>
                <c:pt idx="2">
                  <c:v>40</c:v>
                </c:pt>
                <c:pt idx="3">
                  <c:v>17</c:v>
                </c:pt>
                <c:pt idx="4">
                  <c:v>21</c:v>
                </c:pt>
                <c:pt idx="5">
                  <c:v>20</c:v>
                </c:pt>
                <c:pt idx="6">
                  <c:v>24</c:v>
                </c:pt>
                <c:pt idx="7">
                  <c:v>27</c:v>
                </c:pt>
                <c:pt idx="8">
                  <c:v>42</c:v>
                </c:pt>
                <c:pt idx="9">
                  <c:v>44</c:v>
                </c:pt>
                <c:pt idx="10">
                  <c:v>45</c:v>
                </c:pt>
                <c:pt idx="11">
                  <c:v>48</c:v>
                </c:pt>
                <c:pt idx="12">
                  <c:v>64</c:v>
                </c:pt>
                <c:pt idx="13">
                  <c:v>73</c:v>
                </c:pt>
                <c:pt idx="14">
                  <c:v>81</c:v>
                </c:pt>
                <c:pt idx="15">
                  <c:v>76</c:v>
                </c:pt>
                <c:pt idx="16">
                  <c:v>111</c:v>
                </c:pt>
                <c:pt idx="17">
                  <c:v>117</c:v>
                </c:pt>
                <c:pt idx="18">
                  <c:v>169</c:v>
                </c:pt>
                <c:pt idx="19">
                  <c:v>165</c:v>
                </c:pt>
                <c:pt idx="20">
                  <c:v>162</c:v>
                </c:pt>
                <c:pt idx="21">
                  <c:v>190</c:v>
                </c:pt>
                <c:pt idx="22">
                  <c:v>237</c:v>
                </c:pt>
                <c:pt idx="23">
                  <c:v>255</c:v>
                </c:pt>
                <c:pt idx="24">
                  <c:v>256</c:v>
                </c:pt>
                <c:pt idx="25">
                  <c:v>350</c:v>
                </c:pt>
                <c:pt idx="26">
                  <c:v>362</c:v>
                </c:pt>
                <c:pt idx="27">
                  <c:v>422</c:v>
                </c:pt>
                <c:pt idx="28">
                  <c:v>452</c:v>
                </c:pt>
                <c:pt idx="29">
                  <c:v>463</c:v>
                </c:pt>
                <c:pt idx="30">
                  <c:v>441</c:v>
                </c:pt>
                <c:pt idx="31">
                  <c:v>480</c:v>
                </c:pt>
                <c:pt idx="32">
                  <c:v>453</c:v>
                </c:pt>
                <c:pt idx="33">
                  <c:v>458</c:v>
                </c:pt>
                <c:pt idx="34">
                  <c:v>378</c:v>
                </c:pt>
                <c:pt idx="35">
                  <c:v>368</c:v>
                </c:pt>
                <c:pt idx="36">
                  <c:v>265</c:v>
                </c:pt>
                <c:pt idx="37">
                  <c:v>217</c:v>
                </c:pt>
                <c:pt idx="38">
                  <c:v>179</c:v>
                </c:pt>
                <c:pt idx="39">
                  <c:v>153</c:v>
                </c:pt>
                <c:pt idx="40">
                  <c:v>116</c:v>
                </c:pt>
                <c:pt idx="41">
                  <c:v>87</c:v>
                </c:pt>
                <c:pt idx="42">
                  <c:v>57</c:v>
                </c:pt>
                <c:pt idx="43">
                  <c:v>33</c:v>
                </c:pt>
                <c:pt idx="44">
                  <c:v>21</c:v>
                </c:pt>
                <c:pt idx="45">
                  <c:v>11</c:v>
                </c:pt>
                <c:pt idx="46">
                  <c:v>5</c:v>
                </c:pt>
                <c:pt idx="47">
                  <c:v>2</c:v>
                </c:pt>
                <c:pt idx="48">
                  <c:v>8</c:v>
                </c:pt>
              </c:numCache>
            </c:numRef>
          </c:val>
        </c:ser>
        <c:ser>
          <c:idx val="1"/>
          <c:order val="1"/>
          <c:tx>
            <c:strRef>
              <c:f>Sheet1!$AD$1:$AD$2</c:f>
              <c:strCache>
                <c:ptCount val="1"/>
                <c:pt idx="0">
                  <c:v>Initiated 2017</c:v>
                </c:pt>
              </c:strCache>
            </c:strRef>
          </c:tx>
          <c:invertIfNegative val="0"/>
          <c:cat>
            <c:strRef>
              <c:f>Sheet1!$AB$3:$AB$52</c:f>
              <c:strCache>
                <c:ptCount val="49"/>
                <c:pt idx="0">
                  <c:v>20-44</c:v>
                </c:pt>
                <c:pt idx="1">
                  <c:v>45-49</c:v>
                </c:pt>
                <c:pt idx="2">
                  <c:v>50-54</c:v>
                </c:pt>
                <c:pt idx="3">
                  <c:v>55</c:v>
                </c:pt>
                <c:pt idx="4">
                  <c:v>56</c:v>
                </c:pt>
                <c:pt idx="5">
                  <c:v>57</c:v>
                </c:pt>
                <c:pt idx="6">
                  <c:v>58</c:v>
                </c:pt>
                <c:pt idx="7">
                  <c:v>59</c:v>
                </c:pt>
                <c:pt idx="8">
                  <c:v>60</c:v>
                </c:pt>
                <c:pt idx="9">
                  <c:v>61</c:v>
                </c:pt>
                <c:pt idx="10">
                  <c:v>62</c:v>
                </c:pt>
                <c:pt idx="11">
                  <c:v>63</c:v>
                </c:pt>
                <c:pt idx="12">
                  <c:v>64</c:v>
                </c:pt>
                <c:pt idx="13">
                  <c:v>65</c:v>
                </c:pt>
                <c:pt idx="14">
                  <c:v>66</c:v>
                </c:pt>
                <c:pt idx="15">
                  <c:v>67</c:v>
                </c:pt>
                <c:pt idx="16">
                  <c:v>68</c:v>
                </c:pt>
                <c:pt idx="17">
                  <c:v>69</c:v>
                </c:pt>
                <c:pt idx="18">
                  <c:v>70</c:v>
                </c:pt>
                <c:pt idx="19">
                  <c:v>71</c:v>
                </c:pt>
                <c:pt idx="20">
                  <c:v>72</c:v>
                </c:pt>
                <c:pt idx="21">
                  <c:v>73</c:v>
                </c:pt>
                <c:pt idx="22">
                  <c:v>74</c:v>
                </c:pt>
                <c:pt idx="23">
                  <c:v>75</c:v>
                </c:pt>
                <c:pt idx="24">
                  <c:v>76</c:v>
                </c:pt>
                <c:pt idx="25">
                  <c:v>77</c:v>
                </c:pt>
                <c:pt idx="26">
                  <c:v>78</c:v>
                </c:pt>
                <c:pt idx="27">
                  <c:v>79</c:v>
                </c:pt>
                <c:pt idx="28">
                  <c:v>80</c:v>
                </c:pt>
                <c:pt idx="29">
                  <c:v>81</c:v>
                </c:pt>
                <c:pt idx="30">
                  <c:v>82</c:v>
                </c:pt>
                <c:pt idx="31">
                  <c:v>83</c:v>
                </c:pt>
                <c:pt idx="32">
                  <c:v>84</c:v>
                </c:pt>
                <c:pt idx="33">
                  <c:v>85</c:v>
                </c:pt>
                <c:pt idx="34">
                  <c:v>86</c:v>
                </c:pt>
                <c:pt idx="35">
                  <c:v>87</c:v>
                </c:pt>
                <c:pt idx="36">
                  <c:v>88</c:v>
                </c:pt>
                <c:pt idx="37">
                  <c:v>89</c:v>
                </c:pt>
                <c:pt idx="38">
                  <c:v>90</c:v>
                </c:pt>
                <c:pt idx="39">
                  <c:v>91</c:v>
                </c:pt>
                <c:pt idx="40">
                  <c:v>92</c:v>
                </c:pt>
                <c:pt idx="41">
                  <c:v>93</c:v>
                </c:pt>
                <c:pt idx="42">
                  <c:v>94</c:v>
                </c:pt>
                <c:pt idx="43">
                  <c:v>95</c:v>
                </c:pt>
                <c:pt idx="44">
                  <c:v>96</c:v>
                </c:pt>
                <c:pt idx="45">
                  <c:v>97</c:v>
                </c:pt>
                <c:pt idx="46">
                  <c:v>98</c:v>
                </c:pt>
                <c:pt idx="47">
                  <c:v>99</c:v>
                </c:pt>
                <c:pt idx="48">
                  <c:v>100+</c:v>
                </c:pt>
              </c:strCache>
            </c:strRef>
          </c:cat>
          <c:val>
            <c:numRef>
              <c:f>Sheet1!$AD$3:$AD$52</c:f>
              <c:numCache>
                <c:formatCode>General</c:formatCode>
                <c:ptCount val="49"/>
                <c:pt idx="0">
                  <c:v>22</c:v>
                </c:pt>
                <c:pt idx="1">
                  <c:v>26</c:v>
                </c:pt>
                <c:pt idx="2">
                  <c:v>87</c:v>
                </c:pt>
                <c:pt idx="3">
                  <c:v>25</c:v>
                </c:pt>
                <c:pt idx="4">
                  <c:v>32</c:v>
                </c:pt>
                <c:pt idx="5">
                  <c:v>39</c:v>
                </c:pt>
                <c:pt idx="6">
                  <c:v>35</c:v>
                </c:pt>
                <c:pt idx="7">
                  <c:v>40</c:v>
                </c:pt>
                <c:pt idx="8">
                  <c:v>36</c:v>
                </c:pt>
                <c:pt idx="9">
                  <c:v>55</c:v>
                </c:pt>
                <c:pt idx="10">
                  <c:v>57</c:v>
                </c:pt>
                <c:pt idx="11">
                  <c:v>78</c:v>
                </c:pt>
                <c:pt idx="12">
                  <c:v>73</c:v>
                </c:pt>
                <c:pt idx="13">
                  <c:v>101</c:v>
                </c:pt>
                <c:pt idx="14">
                  <c:v>117</c:v>
                </c:pt>
                <c:pt idx="15">
                  <c:v>145</c:v>
                </c:pt>
                <c:pt idx="16">
                  <c:v>173</c:v>
                </c:pt>
                <c:pt idx="17">
                  <c:v>195</c:v>
                </c:pt>
                <c:pt idx="18">
                  <c:v>235</c:v>
                </c:pt>
                <c:pt idx="19">
                  <c:v>232</c:v>
                </c:pt>
                <c:pt idx="20">
                  <c:v>243</c:v>
                </c:pt>
                <c:pt idx="21">
                  <c:v>305</c:v>
                </c:pt>
                <c:pt idx="22">
                  <c:v>289</c:v>
                </c:pt>
                <c:pt idx="23">
                  <c:v>327</c:v>
                </c:pt>
                <c:pt idx="24">
                  <c:v>363</c:v>
                </c:pt>
                <c:pt idx="25">
                  <c:v>376</c:v>
                </c:pt>
                <c:pt idx="26">
                  <c:v>419</c:v>
                </c:pt>
                <c:pt idx="27">
                  <c:v>416</c:v>
                </c:pt>
                <c:pt idx="28">
                  <c:v>441</c:v>
                </c:pt>
                <c:pt idx="29">
                  <c:v>469</c:v>
                </c:pt>
                <c:pt idx="30">
                  <c:v>412</c:v>
                </c:pt>
                <c:pt idx="31">
                  <c:v>419</c:v>
                </c:pt>
                <c:pt idx="32">
                  <c:v>441</c:v>
                </c:pt>
                <c:pt idx="33">
                  <c:v>434</c:v>
                </c:pt>
                <c:pt idx="34">
                  <c:v>480</c:v>
                </c:pt>
                <c:pt idx="35">
                  <c:v>415</c:v>
                </c:pt>
                <c:pt idx="36">
                  <c:v>414</c:v>
                </c:pt>
                <c:pt idx="37">
                  <c:v>313</c:v>
                </c:pt>
                <c:pt idx="38">
                  <c:v>285</c:v>
                </c:pt>
                <c:pt idx="39">
                  <c:v>255</c:v>
                </c:pt>
                <c:pt idx="40">
                  <c:v>190</c:v>
                </c:pt>
                <c:pt idx="41">
                  <c:v>161</c:v>
                </c:pt>
                <c:pt idx="42">
                  <c:v>112</c:v>
                </c:pt>
                <c:pt idx="43">
                  <c:v>69</c:v>
                </c:pt>
                <c:pt idx="44">
                  <c:v>51</c:v>
                </c:pt>
                <c:pt idx="45">
                  <c:v>34</c:v>
                </c:pt>
                <c:pt idx="46">
                  <c:v>15</c:v>
                </c:pt>
                <c:pt idx="47">
                  <c:v>15</c:v>
                </c:pt>
                <c:pt idx="48">
                  <c:v>13</c:v>
                </c:pt>
              </c:numCache>
            </c:numRef>
          </c:val>
        </c:ser>
        <c:dLbls>
          <c:showLegendKey val="0"/>
          <c:showVal val="0"/>
          <c:showCatName val="0"/>
          <c:showSerName val="0"/>
          <c:showPercent val="0"/>
          <c:showBubbleSize val="0"/>
        </c:dLbls>
        <c:gapWidth val="150"/>
        <c:axId val="581038464"/>
        <c:axId val="581040000"/>
      </c:barChart>
      <c:catAx>
        <c:axId val="581038464"/>
        <c:scaling>
          <c:orientation val="minMax"/>
        </c:scaling>
        <c:delete val="0"/>
        <c:axPos val="b"/>
        <c:majorTickMark val="out"/>
        <c:minorTickMark val="none"/>
        <c:tickLblPos val="nextTo"/>
        <c:crossAx val="581040000"/>
        <c:crosses val="autoZero"/>
        <c:auto val="1"/>
        <c:lblAlgn val="ctr"/>
        <c:lblOffset val="100"/>
        <c:noMultiLvlLbl val="0"/>
      </c:catAx>
      <c:valAx>
        <c:axId val="581040000"/>
        <c:scaling>
          <c:orientation val="minMax"/>
        </c:scaling>
        <c:delete val="0"/>
        <c:axPos val="l"/>
        <c:majorGridlines/>
        <c:numFmt formatCode="General" sourceLinked="1"/>
        <c:majorTickMark val="out"/>
        <c:minorTickMark val="none"/>
        <c:tickLblPos val="nextTo"/>
        <c:crossAx val="581038464"/>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[Patients by month and indication (graphs).xlsx]DMO!PivotTable1</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s>
    <c:plotArea>
      <c:layout/>
      <c:lineChart>
        <c:grouping val="standard"/>
        <c:varyColors val="0"/>
        <c:ser>
          <c:idx val="0"/>
          <c:order val="0"/>
          <c:tx>
            <c:strRef>
              <c:f>DMO!$W$1</c:f>
              <c:strCache>
                <c:ptCount val="1"/>
                <c:pt idx="0">
                  <c:v>Treated patients DMO</c:v>
                </c:pt>
              </c:strCache>
            </c:strRef>
          </c:tx>
          <c:marker>
            <c:symbol val="none"/>
          </c:marker>
          <c:cat>
            <c:strRef>
              <c:f>DMO!$V$2:$V$32</c:f>
              <c:strCache>
                <c:ptCount val="30"/>
                <c:pt idx="0">
                  <c:v>201507</c:v>
                </c:pt>
                <c:pt idx="1">
                  <c:v>201508</c:v>
                </c:pt>
                <c:pt idx="2">
                  <c:v>201509</c:v>
                </c:pt>
                <c:pt idx="3">
                  <c:v>201510</c:v>
                </c:pt>
                <c:pt idx="4">
                  <c:v>201511</c:v>
                </c:pt>
                <c:pt idx="5">
                  <c:v>201512</c:v>
                </c:pt>
                <c:pt idx="6">
                  <c:v>201601</c:v>
                </c:pt>
                <c:pt idx="7">
                  <c:v>201602</c:v>
                </c:pt>
                <c:pt idx="8">
                  <c:v>201603</c:v>
                </c:pt>
                <c:pt idx="9">
                  <c:v>201604</c:v>
                </c:pt>
                <c:pt idx="10">
                  <c:v>201605</c:v>
                </c:pt>
                <c:pt idx="11">
                  <c:v>201606</c:v>
                </c:pt>
                <c:pt idx="12">
                  <c:v>201607</c:v>
                </c:pt>
                <c:pt idx="13">
                  <c:v>201608</c:v>
                </c:pt>
                <c:pt idx="14">
                  <c:v>201609</c:v>
                </c:pt>
                <c:pt idx="15">
                  <c:v>201610</c:v>
                </c:pt>
                <c:pt idx="16">
                  <c:v>201611</c:v>
                </c:pt>
                <c:pt idx="17">
                  <c:v>201612</c:v>
                </c:pt>
                <c:pt idx="18">
                  <c:v>201701</c:v>
                </c:pt>
                <c:pt idx="19">
                  <c:v>201702</c:v>
                </c:pt>
                <c:pt idx="20">
                  <c:v>201703</c:v>
                </c:pt>
                <c:pt idx="21">
                  <c:v>201704</c:v>
                </c:pt>
                <c:pt idx="22">
                  <c:v>201705</c:v>
                </c:pt>
                <c:pt idx="23">
                  <c:v>201706</c:v>
                </c:pt>
                <c:pt idx="24">
                  <c:v>201707</c:v>
                </c:pt>
                <c:pt idx="25">
                  <c:v>201708</c:v>
                </c:pt>
                <c:pt idx="26">
                  <c:v>201709</c:v>
                </c:pt>
                <c:pt idx="27">
                  <c:v>201710</c:v>
                </c:pt>
                <c:pt idx="28">
                  <c:v>201711</c:v>
                </c:pt>
                <c:pt idx="29">
                  <c:v>201712</c:v>
                </c:pt>
              </c:strCache>
            </c:strRef>
          </c:cat>
          <c:val>
            <c:numRef>
              <c:f>DMO!$W$2:$W$32</c:f>
              <c:numCache>
                <c:formatCode>General</c:formatCode>
                <c:ptCount val="30"/>
                <c:pt idx="0">
                  <c:v>696</c:v>
                </c:pt>
                <c:pt idx="1">
                  <c:v>1175</c:v>
                </c:pt>
                <c:pt idx="2">
                  <c:v>1634</c:v>
                </c:pt>
                <c:pt idx="3">
                  <c:v>1975</c:v>
                </c:pt>
                <c:pt idx="4">
                  <c:v>2321</c:v>
                </c:pt>
                <c:pt idx="5">
                  <c:v>2463</c:v>
                </c:pt>
                <c:pt idx="6">
                  <c:v>2471</c:v>
                </c:pt>
                <c:pt idx="7">
                  <c:v>2671</c:v>
                </c:pt>
                <c:pt idx="8">
                  <c:v>3160</c:v>
                </c:pt>
                <c:pt idx="9">
                  <c:v>2475</c:v>
                </c:pt>
                <c:pt idx="10">
                  <c:v>2956</c:v>
                </c:pt>
                <c:pt idx="11">
                  <c:v>3014</c:v>
                </c:pt>
                <c:pt idx="12">
                  <c:v>3042</c:v>
                </c:pt>
                <c:pt idx="13">
                  <c:v>3381</c:v>
                </c:pt>
                <c:pt idx="14">
                  <c:v>3312</c:v>
                </c:pt>
                <c:pt idx="15">
                  <c:v>3349</c:v>
                </c:pt>
                <c:pt idx="16">
                  <c:v>3640</c:v>
                </c:pt>
                <c:pt idx="17">
                  <c:v>3380</c:v>
                </c:pt>
                <c:pt idx="18">
                  <c:v>3732</c:v>
                </c:pt>
                <c:pt idx="19">
                  <c:v>3553</c:v>
                </c:pt>
                <c:pt idx="20">
                  <c:v>4106</c:v>
                </c:pt>
                <c:pt idx="21">
                  <c:v>3524</c:v>
                </c:pt>
                <c:pt idx="22">
                  <c:v>4339</c:v>
                </c:pt>
                <c:pt idx="23">
                  <c:v>4120</c:v>
                </c:pt>
                <c:pt idx="24">
                  <c:v>4149</c:v>
                </c:pt>
                <c:pt idx="25">
                  <c:v>4355</c:v>
                </c:pt>
                <c:pt idx="26">
                  <c:v>4107</c:v>
                </c:pt>
                <c:pt idx="27">
                  <c:v>4336</c:v>
                </c:pt>
                <c:pt idx="28">
                  <c:v>4562</c:v>
                </c:pt>
                <c:pt idx="29">
                  <c:v>3969</c:v>
                </c:pt>
              </c:numCache>
            </c:numRef>
          </c:val>
          <c:smooth val="0"/>
        </c:ser>
        <c:ser>
          <c:idx val="1"/>
          <c:order val="1"/>
          <c:tx>
            <c:strRef>
              <c:f>DMO!$X$1</c:f>
              <c:strCache>
                <c:ptCount val="1"/>
                <c:pt idx="0">
                  <c:v>Initiating patients DMO</c:v>
                </c:pt>
              </c:strCache>
            </c:strRef>
          </c:tx>
          <c:marker>
            <c:symbol val="none"/>
          </c:marker>
          <c:cat>
            <c:strRef>
              <c:f>DMO!$V$2:$V$32</c:f>
              <c:strCache>
                <c:ptCount val="30"/>
                <c:pt idx="0">
                  <c:v>201507</c:v>
                </c:pt>
                <c:pt idx="1">
                  <c:v>201508</c:v>
                </c:pt>
                <c:pt idx="2">
                  <c:v>201509</c:v>
                </c:pt>
                <c:pt idx="3">
                  <c:v>201510</c:v>
                </c:pt>
                <c:pt idx="4">
                  <c:v>201511</c:v>
                </c:pt>
                <c:pt idx="5">
                  <c:v>201512</c:v>
                </c:pt>
                <c:pt idx="6">
                  <c:v>201601</c:v>
                </c:pt>
                <c:pt idx="7">
                  <c:v>201602</c:v>
                </c:pt>
                <c:pt idx="8">
                  <c:v>201603</c:v>
                </c:pt>
                <c:pt idx="9">
                  <c:v>201604</c:v>
                </c:pt>
                <c:pt idx="10">
                  <c:v>201605</c:v>
                </c:pt>
                <c:pt idx="11">
                  <c:v>201606</c:v>
                </c:pt>
                <c:pt idx="12">
                  <c:v>201607</c:v>
                </c:pt>
                <c:pt idx="13">
                  <c:v>201608</c:v>
                </c:pt>
                <c:pt idx="14">
                  <c:v>201609</c:v>
                </c:pt>
                <c:pt idx="15">
                  <c:v>201610</c:v>
                </c:pt>
                <c:pt idx="16">
                  <c:v>201611</c:v>
                </c:pt>
                <c:pt idx="17">
                  <c:v>201612</c:v>
                </c:pt>
                <c:pt idx="18">
                  <c:v>201701</c:v>
                </c:pt>
                <c:pt idx="19">
                  <c:v>201702</c:v>
                </c:pt>
                <c:pt idx="20">
                  <c:v>201703</c:v>
                </c:pt>
                <c:pt idx="21">
                  <c:v>201704</c:v>
                </c:pt>
                <c:pt idx="22">
                  <c:v>201705</c:v>
                </c:pt>
                <c:pt idx="23">
                  <c:v>201706</c:v>
                </c:pt>
                <c:pt idx="24">
                  <c:v>201707</c:v>
                </c:pt>
                <c:pt idx="25">
                  <c:v>201708</c:v>
                </c:pt>
                <c:pt idx="26">
                  <c:v>201709</c:v>
                </c:pt>
                <c:pt idx="27">
                  <c:v>201710</c:v>
                </c:pt>
                <c:pt idx="28">
                  <c:v>201711</c:v>
                </c:pt>
                <c:pt idx="29">
                  <c:v>201712</c:v>
                </c:pt>
              </c:strCache>
            </c:strRef>
          </c:cat>
          <c:val>
            <c:numRef>
              <c:f>DMO!$X$2:$X$32</c:f>
              <c:numCache>
                <c:formatCode>General</c:formatCode>
                <c:ptCount val="30"/>
                <c:pt idx="0">
                  <c:v>696</c:v>
                </c:pt>
                <c:pt idx="1">
                  <c:v>693</c:v>
                </c:pt>
                <c:pt idx="2">
                  <c:v>727</c:v>
                </c:pt>
                <c:pt idx="3">
                  <c:v>701</c:v>
                </c:pt>
                <c:pt idx="4">
                  <c:v>664</c:v>
                </c:pt>
                <c:pt idx="5">
                  <c:v>509</c:v>
                </c:pt>
                <c:pt idx="6">
                  <c:v>367</c:v>
                </c:pt>
                <c:pt idx="7">
                  <c:v>474</c:v>
                </c:pt>
                <c:pt idx="8">
                  <c:v>467</c:v>
                </c:pt>
                <c:pt idx="9">
                  <c:v>366</c:v>
                </c:pt>
                <c:pt idx="10">
                  <c:v>365</c:v>
                </c:pt>
                <c:pt idx="11">
                  <c:v>382</c:v>
                </c:pt>
                <c:pt idx="12">
                  <c:v>361</c:v>
                </c:pt>
                <c:pt idx="13">
                  <c:v>375</c:v>
                </c:pt>
                <c:pt idx="14">
                  <c:v>364</c:v>
                </c:pt>
                <c:pt idx="15">
                  <c:v>298</c:v>
                </c:pt>
                <c:pt idx="16">
                  <c:v>472</c:v>
                </c:pt>
                <c:pt idx="17">
                  <c:v>465</c:v>
                </c:pt>
                <c:pt idx="18">
                  <c:v>402</c:v>
                </c:pt>
                <c:pt idx="19">
                  <c:v>443</c:v>
                </c:pt>
                <c:pt idx="20">
                  <c:v>541</c:v>
                </c:pt>
                <c:pt idx="21">
                  <c:v>341</c:v>
                </c:pt>
                <c:pt idx="22">
                  <c:v>525</c:v>
                </c:pt>
                <c:pt idx="23">
                  <c:v>460</c:v>
                </c:pt>
                <c:pt idx="24">
                  <c:v>407</c:v>
                </c:pt>
                <c:pt idx="25">
                  <c:v>478</c:v>
                </c:pt>
                <c:pt idx="26">
                  <c:v>408</c:v>
                </c:pt>
                <c:pt idx="27">
                  <c:v>403</c:v>
                </c:pt>
                <c:pt idx="28">
                  <c:v>471</c:v>
                </c:pt>
                <c:pt idx="29">
                  <c:v>333</c:v>
                </c:pt>
              </c:numCache>
            </c:numRef>
          </c:val>
          <c:smooth val="0"/>
        </c:ser>
        <c:dLbls>
          <c:showLegendKey val="0"/>
          <c:showVal val="0"/>
          <c:showCatName val="0"/>
          <c:showSerName val="0"/>
          <c:showPercent val="0"/>
          <c:showBubbleSize val="0"/>
        </c:dLbls>
        <c:marker val="1"/>
        <c:smooth val="0"/>
        <c:axId val="581794432"/>
        <c:axId val="581800320"/>
      </c:lineChart>
      <c:catAx>
        <c:axId val="581794432"/>
        <c:scaling>
          <c:orientation val="minMax"/>
        </c:scaling>
        <c:delete val="0"/>
        <c:axPos val="b"/>
        <c:majorTickMark val="out"/>
        <c:minorTickMark val="none"/>
        <c:tickLblPos val="nextTo"/>
        <c:crossAx val="581800320"/>
        <c:crosses val="autoZero"/>
        <c:auto val="1"/>
        <c:lblAlgn val="ctr"/>
        <c:lblOffset val="100"/>
        <c:noMultiLvlLbl val="0"/>
      </c:catAx>
      <c:valAx>
        <c:axId val="581800320"/>
        <c:scaling>
          <c:orientation val="minMax"/>
        </c:scaling>
        <c:delete val="0"/>
        <c:axPos val="l"/>
        <c:majorGridlines/>
        <c:numFmt formatCode="General" sourceLinked="1"/>
        <c:majorTickMark val="out"/>
        <c:minorTickMark val="none"/>
        <c:tickLblPos val="nextTo"/>
        <c:crossAx val="58179443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[Age of patients histogram.xlsx]DMO groups!PivotTable5</c:name>
    <c:fmtId val="1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barChart>
        <c:barDir val="col"/>
        <c:grouping val="clustered"/>
        <c:varyColors val="0"/>
        <c:ser>
          <c:idx val="0"/>
          <c:order val="0"/>
          <c:tx>
            <c:strRef>
              <c:f>'DMO groups'!$B$3:$B$4</c:f>
              <c:strCache>
                <c:ptCount val="1"/>
                <c:pt idx="0">
                  <c:v>Initiated 2015</c:v>
                </c:pt>
              </c:strCache>
            </c:strRef>
          </c:tx>
          <c:invertIfNegative val="0"/>
          <c:cat>
            <c:strRef>
              <c:f>'DMO groups'!$A$5:$A$20</c:f>
              <c:strCache>
                <c:ptCount val="15"/>
                <c:pt idx="0">
                  <c:v>15-24</c:v>
                </c:pt>
                <c:pt idx="1">
                  <c:v>25-29</c:v>
                </c:pt>
                <c:pt idx="2">
                  <c:v>30-34</c:v>
                </c:pt>
                <c:pt idx="3">
                  <c:v>35-39</c:v>
                </c:pt>
                <c:pt idx="4">
                  <c:v>40-44</c:v>
                </c:pt>
                <c:pt idx="5">
                  <c:v>45-49</c:v>
                </c:pt>
                <c:pt idx="6">
                  <c:v>50-54</c:v>
                </c:pt>
                <c:pt idx="7">
                  <c:v>55-59</c:v>
                </c:pt>
                <c:pt idx="8">
                  <c:v>60-64</c:v>
                </c:pt>
                <c:pt idx="9">
                  <c:v>65-69</c:v>
                </c:pt>
                <c:pt idx="10">
                  <c:v>70-74</c:v>
                </c:pt>
                <c:pt idx="11">
                  <c:v>75-79</c:v>
                </c:pt>
                <c:pt idx="12">
                  <c:v>80-84</c:v>
                </c:pt>
                <c:pt idx="13">
                  <c:v>85-89</c:v>
                </c:pt>
                <c:pt idx="14">
                  <c:v>90-99</c:v>
                </c:pt>
              </c:strCache>
            </c:strRef>
          </c:cat>
          <c:val>
            <c:numRef>
              <c:f>'DMO groups'!$B$5:$B$20</c:f>
              <c:numCache>
                <c:formatCode>General</c:formatCode>
                <c:ptCount val="15"/>
                <c:pt idx="0">
                  <c:v>7</c:v>
                </c:pt>
                <c:pt idx="1">
                  <c:v>19</c:v>
                </c:pt>
                <c:pt idx="2">
                  <c:v>41</c:v>
                </c:pt>
                <c:pt idx="3">
                  <c:v>51</c:v>
                </c:pt>
                <c:pt idx="4">
                  <c:v>82</c:v>
                </c:pt>
                <c:pt idx="5">
                  <c:v>160</c:v>
                </c:pt>
                <c:pt idx="6">
                  <c:v>295</c:v>
                </c:pt>
                <c:pt idx="7">
                  <c:v>504</c:v>
                </c:pt>
                <c:pt idx="8">
                  <c:v>675</c:v>
                </c:pt>
                <c:pt idx="9">
                  <c:v>801</c:v>
                </c:pt>
                <c:pt idx="10">
                  <c:v>546</c:v>
                </c:pt>
                <c:pt idx="11">
                  <c:v>374</c:v>
                </c:pt>
                <c:pt idx="12">
                  <c:v>202</c:v>
                </c:pt>
                <c:pt idx="13">
                  <c:v>69</c:v>
                </c:pt>
                <c:pt idx="14">
                  <c:v>14</c:v>
                </c:pt>
              </c:numCache>
            </c:numRef>
          </c:val>
        </c:ser>
        <c:ser>
          <c:idx val="1"/>
          <c:order val="1"/>
          <c:tx>
            <c:strRef>
              <c:f>'DMO groups'!$C$3:$C$4</c:f>
              <c:strCache>
                <c:ptCount val="1"/>
                <c:pt idx="0">
                  <c:v>Initiated 2016</c:v>
                </c:pt>
              </c:strCache>
            </c:strRef>
          </c:tx>
          <c:invertIfNegative val="0"/>
          <c:cat>
            <c:strRef>
              <c:f>'DMO groups'!$A$5:$A$20</c:f>
              <c:strCache>
                <c:ptCount val="15"/>
                <c:pt idx="0">
                  <c:v>15-24</c:v>
                </c:pt>
                <c:pt idx="1">
                  <c:v>25-29</c:v>
                </c:pt>
                <c:pt idx="2">
                  <c:v>30-34</c:v>
                </c:pt>
                <c:pt idx="3">
                  <c:v>35-39</c:v>
                </c:pt>
                <c:pt idx="4">
                  <c:v>40-44</c:v>
                </c:pt>
                <c:pt idx="5">
                  <c:v>45-49</c:v>
                </c:pt>
                <c:pt idx="6">
                  <c:v>50-54</c:v>
                </c:pt>
                <c:pt idx="7">
                  <c:v>55-59</c:v>
                </c:pt>
                <c:pt idx="8">
                  <c:v>60-64</c:v>
                </c:pt>
                <c:pt idx="9">
                  <c:v>65-69</c:v>
                </c:pt>
                <c:pt idx="10">
                  <c:v>70-74</c:v>
                </c:pt>
                <c:pt idx="11">
                  <c:v>75-79</c:v>
                </c:pt>
                <c:pt idx="12">
                  <c:v>80-84</c:v>
                </c:pt>
                <c:pt idx="13">
                  <c:v>85-89</c:v>
                </c:pt>
                <c:pt idx="14">
                  <c:v>90-99</c:v>
                </c:pt>
              </c:strCache>
            </c:strRef>
          </c:cat>
          <c:val>
            <c:numRef>
              <c:f>'DMO groups'!$C$5:$C$20</c:f>
              <c:numCache>
                <c:formatCode>General</c:formatCode>
                <c:ptCount val="15"/>
                <c:pt idx="0">
                  <c:v>18</c:v>
                </c:pt>
                <c:pt idx="1">
                  <c:v>51</c:v>
                </c:pt>
                <c:pt idx="2">
                  <c:v>48</c:v>
                </c:pt>
                <c:pt idx="3">
                  <c:v>80</c:v>
                </c:pt>
                <c:pt idx="4">
                  <c:v>100</c:v>
                </c:pt>
                <c:pt idx="5">
                  <c:v>185</c:v>
                </c:pt>
                <c:pt idx="6">
                  <c:v>391</c:v>
                </c:pt>
                <c:pt idx="7">
                  <c:v>608</c:v>
                </c:pt>
                <c:pt idx="8">
                  <c:v>718</c:v>
                </c:pt>
                <c:pt idx="9">
                  <c:v>817</c:v>
                </c:pt>
                <c:pt idx="10">
                  <c:v>619</c:v>
                </c:pt>
                <c:pt idx="11">
                  <c:v>488</c:v>
                </c:pt>
                <c:pt idx="12">
                  <c:v>254</c:v>
                </c:pt>
                <c:pt idx="13">
                  <c:v>107</c:v>
                </c:pt>
                <c:pt idx="14">
                  <c:v>35</c:v>
                </c:pt>
              </c:numCache>
            </c:numRef>
          </c:val>
        </c:ser>
        <c:ser>
          <c:idx val="2"/>
          <c:order val="2"/>
          <c:tx>
            <c:strRef>
              <c:f>'DMO groups'!$D$3:$D$4</c:f>
              <c:strCache>
                <c:ptCount val="1"/>
                <c:pt idx="0">
                  <c:v>Initiated 2017</c:v>
                </c:pt>
              </c:strCache>
            </c:strRef>
          </c:tx>
          <c:invertIfNegative val="0"/>
          <c:cat>
            <c:strRef>
              <c:f>'DMO groups'!$A$5:$A$20</c:f>
              <c:strCache>
                <c:ptCount val="15"/>
                <c:pt idx="0">
                  <c:v>15-24</c:v>
                </c:pt>
                <c:pt idx="1">
                  <c:v>25-29</c:v>
                </c:pt>
                <c:pt idx="2">
                  <c:v>30-34</c:v>
                </c:pt>
                <c:pt idx="3">
                  <c:v>35-39</c:v>
                </c:pt>
                <c:pt idx="4">
                  <c:v>40-44</c:v>
                </c:pt>
                <c:pt idx="5">
                  <c:v>45-49</c:v>
                </c:pt>
                <c:pt idx="6">
                  <c:v>50-54</c:v>
                </c:pt>
                <c:pt idx="7">
                  <c:v>55-59</c:v>
                </c:pt>
                <c:pt idx="8">
                  <c:v>60-64</c:v>
                </c:pt>
                <c:pt idx="9">
                  <c:v>65-69</c:v>
                </c:pt>
                <c:pt idx="10">
                  <c:v>70-74</c:v>
                </c:pt>
                <c:pt idx="11">
                  <c:v>75-79</c:v>
                </c:pt>
                <c:pt idx="12">
                  <c:v>80-84</c:v>
                </c:pt>
                <c:pt idx="13">
                  <c:v>85-89</c:v>
                </c:pt>
                <c:pt idx="14">
                  <c:v>90-99</c:v>
                </c:pt>
              </c:strCache>
            </c:strRef>
          </c:cat>
          <c:val>
            <c:numRef>
              <c:f>'DMO groups'!$D$5:$D$20</c:f>
              <c:numCache>
                <c:formatCode>General</c:formatCode>
                <c:ptCount val="15"/>
                <c:pt idx="0">
                  <c:v>13</c:v>
                </c:pt>
                <c:pt idx="1">
                  <c:v>37</c:v>
                </c:pt>
                <c:pt idx="2">
                  <c:v>52</c:v>
                </c:pt>
                <c:pt idx="3">
                  <c:v>60</c:v>
                </c:pt>
                <c:pt idx="4">
                  <c:v>108</c:v>
                </c:pt>
                <c:pt idx="5">
                  <c:v>232</c:v>
                </c:pt>
                <c:pt idx="6">
                  <c:v>362</c:v>
                </c:pt>
                <c:pt idx="7">
                  <c:v>607</c:v>
                </c:pt>
                <c:pt idx="8">
                  <c:v>778</c:v>
                </c:pt>
                <c:pt idx="9">
                  <c:v>842</c:v>
                </c:pt>
                <c:pt idx="10">
                  <c:v>640</c:v>
                </c:pt>
                <c:pt idx="11">
                  <c:v>470</c:v>
                </c:pt>
                <c:pt idx="12">
                  <c:v>290</c:v>
                </c:pt>
                <c:pt idx="13">
                  <c:v>143</c:v>
                </c:pt>
                <c:pt idx="14">
                  <c:v>37</c:v>
                </c:pt>
              </c:numCache>
            </c:numRef>
          </c:val>
        </c:ser>
        <c:dLbls>
          <c:showLegendKey val="0"/>
          <c:showVal val="0"/>
          <c:showCatName val="0"/>
          <c:showSerName val="0"/>
          <c:showPercent val="0"/>
          <c:showBubbleSize val="0"/>
        </c:dLbls>
        <c:gapWidth val="150"/>
        <c:axId val="581825664"/>
        <c:axId val="581827200"/>
      </c:barChart>
      <c:catAx>
        <c:axId val="581825664"/>
        <c:scaling>
          <c:orientation val="minMax"/>
        </c:scaling>
        <c:delete val="0"/>
        <c:axPos val="b"/>
        <c:majorTickMark val="out"/>
        <c:minorTickMark val="none"/>
        <c:tickLblPos val="nextTo"/>
        <c:crossAx val="581827200"/>
        <c:crosses val="autoZero"/>
        <c:auto val="1"/>
        <c:lblAlgn val="ctr"/>
        <c:lblOffset val="100"/>
        <c:noMultiLvlLbl val="0"/>
      </c:catAx>
      <c:valAx>
        <c:axId val="581827200"/>
        <c:scaling>
          <c:orientation val="minMax"/>
        </c:scaling>
        <c:delete val="0"/>
        <c:axPos val="l"/>
        <c:majorGridlines/>
        <c:numFmt formatCode="General" sourceLinked="1"/>
        <c:majorTickMark val="out"/>
        <c:minorTickMark val="none"/>
        <c:tickLblPos val="nextTo"/>
        <c:crossAx val="581825664"/>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[Patients by month and indication (graphs).xlsx]dexa DMO!PivotTable13</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s>
    <c:plotArea>
      <c:layout/>
      <c:lineChart>
        <c:grouping val="standard"/>
        <c:varyColors val="0"/>
        <c:ser>
          <c:idx val="0"/>
          <c:order val="0"/>
          <c:tx>
            <c:strRef>
              <c:f>'dexa DMO'!$W$1</c:f>
              <c:strCache>
                <c:ptCount val="1"/>
                <c:pt idx="0">
                  <c:v>Treated with dexamethasone for DMO</c:v>
                </c:pt>
              </c:strCache>
            </c:strRef>
          </c:tx>
          <c:marker>
            <c:symbol val="none"/>
          </c:marker>
          <c:cat>
            <c:strRef>
              <c:f>'dexa DMO'!$V$2:$V$16</c:f>
              <c:strCache>
                <c:ptCount val="14"/>
                <c:pt idx="0">
                  <c:v>201611</c:v>
                </c:pt>
                <c:pt idx="1">
                  <c:v>201612</c:v>
                </c:pt>
                <c:pt idx="2">
                  <c:v>201701</c:v>
                </c:pt>
                <c:pt idx="3">
                  <c:v>201702</c:v>
                </c:pt>
                <c:pt idx="4">
                  <c:v>201703</c:v>
                </c:pt>
                <c:pt idx="5">
                  <c:v>201704</c:v>
                </c:pt>
                <c:pt idx="6">
                  <c:v>201705</c:v>
                </c:pt>
                <c:pt idx="7">
                  <c:v>201706</c:v>
                </c:pt>
                <c:pt idx="8">
                  <c:v>201707</c:v>
                </c:pt>
                <c:pt idx="9">
                  <c:v>201708</c:v>
                </c:pt>
                <c:pt idx="10">
                  <c:v>201709</c:v>
                </c:pt>
                <c:pt idx="11">
                  <c:v>201710</c:v>
                </c:pt>
                <c:pt idx="12">
                  <c:v>201711</c:v>
                </c:pt>
                <c:pt idx="13">
                  <c:v>201712</c:v>
                </c:pt>
              </c:strCache>
            </c:strRef>
          </c:cat>
          <c:val>
            <c:numRef>
              <c:f>'dexa DMO'!$W$2:$W$16</c:f>
              <c:numCache>
                <c:formatCode>General</c:formatCode>
                <c:ptCount val="14"/>
                <c:pt idx="0">
                  <c:v>63</c:v>
                </c:pt>
                <c:pt idx="1">
                  <c:v>65</c:v>
                </c:pt>
                <c:pt idx="2">
                  <c:v>82</c:v>
                </c:pt>
                <c:pt idx="3">
                  <c:v>94</c:v>
                </c:pt>
                <c:pt idx="4">
                  <c:v>153</c:v>
                </c:pt>
                <c:pt idx="5">
                  <c:v>106</c:v>
                </c:pt>
                <c:pt idx="6">
                  <c:v>155</c:v>
                </c:pt>
                <c:pt idx="7">
                  <c:v>133</c:v>
                </c:pt>
                <c:pt idx="8">
                  <c:v>148</c:v>
                </c:pt>
                <c:pt idx="9">
                  <c:v>160</c:v>
                </c:pt>
                <c:pt idx="10">
                  <c:v>163</c:v>
                </c:pt>
                <c:pt idx="11">
                  <c:v>210</c:v>
                </c:pt>
                <c:pt idx="12">
                  <c:v>182</c:v>
                </c:pt>
                <c:pt idx="13">
                  <c:v>184</c:v>
                </c:pt>
              </c:numCache>
            </c:numRef>
          </c:val>
          <c:smooth val="0"/>
        </c:ser>
        <c:ser>
          <c:idx val="1"/>
          <c:order val="1"/>
          <c:tx>
            <c:strRef>
              <c:f>'dexa DMO'!$X$1</c:f>
              <c:strCache>
                <c:ptCount val="1"/>
                <c:pt idx="0">
                  <c:v>Initiated dexamethasone for DMO</c:v>
                </c:pt>
              </c:strCache>
            </c:strRef>
          </c:tx>
          <c:marker>
            <c:symbol val="none"/>
          </c:marker>
          <c:cat>
            <c:strRef>
              <c:f>'dexa DMO'!$V$2:$V$16</c:f>
              <c:strCache>
                <c:ptCount val="14"/>
                <c:pt idx="0">
                  <c:v>201611</c:v>
                </c:pt>
                <c:pt idx="1">
                  <c:v>201612</c:v>
                </c:pt>
                <c:pt idx="2">
                  <c:v>201701</c:v>
                </c:pt>
                <c:pt idx="3">
                  <c:v>201702</c:v>
                </c:pt>
                <c:pt idx="4">
                  <c:v>201703</c:v>
                </c:pt>
                <c:pt idx="5">
                  <c:v>201704</c:v>
                </c:pt>
                <c:pt idx="6">
                  <c:v>201705</c:v>
                </c:pt>
                <c:pt idx="7">
                  <c:v>201706</c:v>
                </c:pt>
                <c:pt idx="8">
                  <c:v>201707</c:v>
                </c:pt>
                <c:pt idx="9">
                  <c:v>201708</c:v>
                </c:pt>
                <c:pt idx="10">
                  <c:v>201709</c:v>
                </c:pt>
                <c:pt idx="11">
                  <c:v>201710</c:v>
                </c:pt>
                <c:pt idx="12">
                  <c:v>201711</c:v>
                </c:pt>
                <c:pt idx="13">
                  <c:v>201712</c:v>
                </c:pt>
              </c:strCache>
            </c:strRef>
          </c:cat>
          <c:val>
            <c:numRef>
              <c:f>'dexa DMO'!$X$2:$X$16</c:f>
              <c:numCache>
                <c:formatCode>General</c:formatCode>
                <c:ptCount val="14"/>
                <c:pt idx="0">
                  <c:v>63</c:v>
                </c:pt>
                <c:pt idx="1">
                  <c:v>60</c:v>
                </c:pt>
                <c:pt idx="2">
                  <c:v>66</c:v>
                </c:pt>
                <c:pt idx="3">
                  <c:v>72</c:v>
                </c:pt>
                <c:pt idx="4">
                  <c:v>110</c:v>
                </c:pt>
                <c:pt idx="5">
                  <c:v>64</c:v>
                </c:pt>
                <c:pt idx="6">
                  <c:v>89</c:v>
                </c:pt>
                <c:pt idx="7">
                  <c:v>72</c:v>
                </c:pt>
                <c:pt idx="8">
                  <c:v>70</c:v>
                </c:pt>
                <c:pt idx="9">
                  <c:v>71</c:v>
                </c:pt>
                <c:pt idx="10">
                  <c:v>54</c:v>
                </c:pt>
                <c:pt idx="11">
                  <c:v>98</c:v>
                </c:pt>
                <c:pt idx="12">
                  <c:v>73</c:v>
                </c:pt>
                <c:pt idx="13">
                  <c:v>62</c:v>
                </c:pt>
              </c:numCache>
            </c:numRef>
          </c:val>
          <c:smooth val="0"/>
        </c:ser>
        <c:dLbls>
          <c:showLegendKey val="0"/>
          <c:showVal val="0"/>
          <c:showCatName val="0"/>
          <c:showSerName val="0"/>
          <c:showPercent val="0"/>
          <c:showBubbleSize val="0"/>
        </c:dLbls>
        <c:marker val="1"/>
        <c:smooth val="0"/>
        <c:axId val="582908544"/>
        <c:axId val="582918528"/>
      </c:lineChart>
      <c:catAx>
        <c:axId val="582908544"/>
        <c:scaling>
          <c:orientation val="minMax"/>
        </c:scaling>
        <c:delete val="0"/>
        <c:axPos val="b"/>
        <c:majorTickMark val="out"/>
        <c:minorTickMark val="none"/>
        <c:tickLblPos val="nextTo"/>
        <c:crossAx val="582918528"/>
        <c:crosses val="autoZero"/>
        <c:auto val="1"/>
        <c:lblAlgn val="ctr"/>
        <c:lblOffset val="100"/>
        <c:noMultiLvlLbl val="0"/>
      </c:catAx>
      <c:valAx>
        <c:axId val="582918528"/>
        <c:scaling>
          <c:orientation val="minMax"/>
        </c:scaling>
        <c:delete val="0"/>
        <c:axPos val="l"/>
        <c:majorGridlines/>
        <c:numFmt formatCode="General" sourceLinked="1"/>
        <c:majorTickMark val="out"/>
        <c:minorTickMark val="none"/>
        <c:tickLblPos val="nextTo"/>
        <c:crossAx val="582908544"/>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[Patients by month and indication (graphs).xlsx]RVO!PivotTable10</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lineChart>
        <c:grouping val="standard"/>
        <c:varyColors val="0"/>
        <c:ser>
          <c:idx val="0"/>
          <c:order val="0"/>
          <c:tx>
            <c:strRef>
              <c:f>RVO!$W$1</c:f>
              <c:strCache>
                <c:ptCount val="1"/>
                <c:pt idx="0">
                  <c:v>Treated patients RVO</c:v>
                </c:pt>
              </c:strCache>
            </c:strRef>
          </c:tx>
          <c:marker>
            <c:symbol val="none"/>
          </c:marker>
          <c:cat>
            <c:strRef>
              <c:f>RVO!$V$2:$V$32</c:f>
              <c:strCache>
                <c:ptCount val="30"/>
                <c:pt idx="0">
                  <c:v>201507</c:v>
                </c:pt>
                <c:pt idx="1">
                  <c:v>201508</c:v>
                </c:pt>
                <c:pt idx="2">
                  <c:v>201509</c:v>
                </c:pt>
                <c:pt idx="3">
                  <c:v>201510</c:v>
                </c:pt>
                <c:pt idx="4">
                  <c:v>201511</c:v>
                </c:pt>
                <c:pt idx="5">
                  <c:v>201512</c:v>
                </c:pt>
                <c:pt idx="6">
                  <c:v>201601</c:v>
                </c:pt>
                <c:pt idx="7">
                  <c:v>201602</c:v>
                </c:pt>
                <c:pt idx="8">
                  <c:v>201603</c:v>
                </c:pt>
                <c:pt idx="9">
                  <c:v>201604</c:v>
                </c:pt>
                <c:pt idx="10">
                  <c:v>201605</c:v>
                </c:pt>
                <c:pt idx="11">
                  <c:v>201606</c:v>
                </c:pt>
                <c:pt idx="12">
                  <c:v>201607</c:v>
                </c:pt>
                <c:pt idx="13">
                  <c:v>201608</c:v>
                </c:pt>
                <c:pt idx="14">
                  <c:v>201609</c:v>
                </c:pt>
                <c:pt idx="15">
                  <c:v>201610</c:v>
                </c:pt>
                <c:pt idx="16">
                  <c:v>201611</c:v>
                </c:pt>
                <c:pt idx="17">
                  <c:v>201612</c:v>
                </c:pt>
                <c:pt idx="18">
                  <c:v>201701</c:v>
                </c:pt>
                <c:pt idx="19">
                  <c:v>201702</c:v>
                </c:pt>
                <c:pt idx="20">
                  <c:v>201703</c:v>
                </c:pt>
                <c:pt idx="21">
                  <c:v>201704</c:v>
                </c:pt>
                <c:pt idx="22">
                  <c:v>201705</c:v>
                </c:pt>
                <c:pt idx="23">
                  <c:v>201706</c:v>
                </c:pt>
                <c:pt idx="24">
                  <c:v>201707</c:v>
                </c:pt>
                <c:pt idx="25">
                  <c:v>201708</c:v>
                </c:pt>
                <c:pt idx="26">
                  <c:v>201709</c:v>
                </c:pt>
                <c:pt idx="27">
                  <c:v>201710</c:v>
                </c:pt>
                <c:pt idx="28">
                  <c:v>201711</c:v>
                </c:pt>
                <c:pt idx="29">
                  <c:v>201712</c:v>
                </c:pt>
              </c:strCache>
            </c:strRef>
          </c:cat>
          <c:val>
            <c:numRef>
              <c:f>RVO!$W$2:$W$32</c:f>
              <c:numCache>
                <c:formatCode>General</c:formatCode>
                <c:ptCount val="30"/>
                <c:pt idx="0">
                  <c:v>487</c:v>
                </c:pt>
                <c:pt idx="1">
                  <c:v>1002</c:v>
                </c:pt>
                <c:pt idx="2">
                  <c:v>1337</c:v>
                </c:pt>
                <c:pt idx="3">
                  <c:v>1438</c:v>
                </c:pt>
                <c:pt idx="4">
                  <c:v>1447</c:v>
                </c:pt>
                <c:pt idx="5">
                  <c:v>1409</c:v>
                </c:pt>
                <c:pt idx="6">
                  <c:v>1308</c:v>
                </c:pt>
                <c:pt idx="7">
                  <c:v>1336</c:v>
                </c:pt>
                <c:pt idx="8">
                  <c:v>1678</c:v>
                </c:pt>
                <c:pt idx="9">
                  <c:v>1409</c:v>
                </c:pt>
                <c:pt idx="10">
                  <c:v>1868</c:v>
                </c:pt>
                <c:pt idx="11">
                  <c:v>2128</c:v>
                </c:pt>
                <c:pt idx="12">
                  <c:v>2319</c:v>
                </c:pt>
                <c:pt idx="13">
                  <c:v>2663</c:v>
                </c:pt>
                <c:pt idx="14">
                  <c:v>2695</c:v>
                </c:pt>
                <c:pt idx="15">
                  <c:v>2863</c:v>
                </c:pt>
                <c:pt idx="16">
                  <c:v>3091</c:v>
                </c:pt>
                <c:pt idx="17">
                  <c:v>3092</c:v>
                </c:pt>
                <c:pt idx="18">
                  <c:v>3303</c:v>
                </c:pt>
                <c:pt idx="19">
                  <c:v>3206</c:v>
                </c:pt>
                <c:pt idx="20">
                  <c:v>3595</c:v>
                </c:pt>
                <c:pt idx="21">
                  <c:v>3078</c:v>
                </c:pt>
                <c:pt idx="22">
                  <c:v>3813</c:v>
                </c:pt>
                <c:pt idx="23">
                  <c:v>3530</c:v>
                </c:pt>
                <c:pt idx="24">
                  <c:v>3599</c:v>
                </c:pt>
                <c:pt idx="25">
                  <c:v>3968</c:v>
                </c:pt>
                <c:pt idx="26">
                  <c:v>3734</c:v>
                </c:pt>
                <c:pt idx="27">
                  <c:v>3882</c:v>
                </c:pt>
                <c:pt idx="28">
                  <c:v>4067</c:v>
                </c:pt>
                <c:pt idx="29">
                  <c:v>3693</c:v>
                </c:pt>
              </c:numCache>
            </c:numRef>
          </c:val>
          <c:smooth val="0"/>
        </c:ser>
        <c:ser>
          <c:idx val="1"/>
          <c:order val="1"/>
          <c:tx>
            <c:strRef>
              <c:f>RVO!$X$1</c:f>
              <c:strCache>
                <c:ptCount val="1"/>
                <c:pt idx="0">
                  <c:v>Initiating patients RVO</c:v>
                </c:pt>
              </c:strCache>
            </c:strRef>
          </c:tx>
          <c:marker>
            <c:symbol val="none"/>
          </c:marker>
          <c:cat>
            <c:strRef>
              <c:f>RVO!$V$2:$V$32</c:f>
              <c:strCache>
                <c:ptCount val="30"/>
                <c:pt idx="0">
                  <c:v>201507</c:v>
                </c:pt>
                <c:pt idx="1">
                  <c:v>201508</c:v>
                </c:pt>
                <c:pt idx="2">
                  <c:v>201509</c:v>
                </c:pt>
                <c:pt idx="3">
                  <c:v>201510</c:v>
                </c:pt>
                <c:pt idx="4">
                  <c:v>201511</c:v>
                </c:pt>
                <c:pt idx="5">
                  <c:v>201512</c:v>
                </c:pt>
                <c:pt idx="6">
                  <c:v>201601</c:v>
                </c:pt>
                <c:pt idx="7">
                  <c:v>201602</c:v>
                </c:pt>
                <c:pt idx="8">
                  <c:v>201603</c:v>
                </c:pt>
                <c:pt idx="9">
                  <c:v>201604</c:v>
                </c:pt>
                <c:pt idx="10">
                  <c:v>201605</c:v>
                </c:pt>
                <c:pt idx="11">
                  <c:v>201606</c:v>
                </c:pt>
                <c:pt idx="12">
                  <c:v>201607</c:v>
                </c:pt>
                <c:pt idx="13">
                  <c:v>201608</c:v>
                </c:pt>
                <c:pt idx="14">
                  <c:v>201609</c:v>
                </c:pt>
                <c:pt idx="15">
                  <c:v>201610</c:v>
                </c:pt>
                <c:pt idx="16">
                  <c:v>201611</c:v>
                </c:pt>
                <c:pt idx="17">
                  <c:v>201612</c:v>
                </c:pt>
                <c:pt idx="18">
                  <c:v>201701</c:v>
                </c:pt>
                <c:pt idx="19">
                  <c:v>201702</c:v>
                </c:pt>
                <c:pt idx="20">
                  <c:v>201703</c:v>
                </c:pt>
                <c:pt idx="21">
                  <c:v>201704</c:v>
                </c:pt>
                <c:pt idx="22">
                  <c:v>201705</c:v>
                </c:pt>
                <c:pt idx="23">
                  <c:v>201706</c:v>
                </c:pt>
                <c:pt idx="24">
                  <c:v>201707</c:v>
                </c:pt>
                <c:pt idx="25">
                  <c:v>201708</c:v>
                </c:pt>
                <c:pt idx="26">
                  <c:v>201709</c:v>
                </c:pt>
                <c:pt idx="27">
                  <c:v>201710</c:v>
                </c:pt>
                <c:pt idx="28">
                  <c:v>201711</c:v>
                </c:pt>
                <c:pt idx="29">
                  <c:v>201712</c:v>
                </c:pt>
              </c:strCache>
            </c:strRef>
          </c:cat>
          <c:val>
            <c:numRef>
              <c:f>RVO!$X$2:$X$32</c:f>
              <c:numCache>
                <c:formatCode>General</c:formatCode>
                <c:ptCount val="30"/>
                <c:pt idx="0">
                  <c:v>487</c:v>
                </c:pt>
                <c:pt idx="1">
                  <c:v>681</c:v>
                </c:pt>
                <c:pt idx="2">
                  <c:v>625</c:v>
                </c:pt>
                <c:pt idx="3">
                  <c:v>486</c:v>
                </c:pt>
                <c:pt idx="4">
                  <c:v>496</c:v>
                </c:pt>
                <c:pt idx="5">
                  <c:v>416</c:v>
                </c:pt>
                <c:pt idx="6">
                  <c:v>276</c:v>
                </c:pt>
                <c:pt idx="7">
                  <c:v>308</c:v>
                </c:pt>
                <c:pt idx="8">
                  <c:v>365</c:v>
                </c:pt>
                <c:pt idx="9">
                  <c:v>347</c:v>
                </c:pt>
                <c:pt idx="10">
                  <c:v>358</c:v>
                </c:pt>
                <c:pt idx="11">
                  <c:v>427</c:v>
                </c:pt>
                <c:pt idx="12">
                  <c:v>374</c:v>
                </c:pt>
                <c:pt idx="13">
                  <c:v>405</c:v>
                </c:pt>
                <c:pt idx="14">
                  <c:v>384</c:v>
                </c:pt>
                <c:pt idx="15">
                  <c:v>312</c:v>
                </c:pt>
                <c:pt idx="16">
                  <c:v>460</c:v>
                </c:pt>
                <c:pt idx="17">
                  <c:v>458</c:v>
                </c:pt>
                <c:pt idx="18">
                  <c:v>458</c:v>
                </c:pt>
                <c:pt idx="19">
                  <c:v>479</c:v>
                </c:pt>
                <c:pt idx="20">
                  <c:v>544</c:v>
                </c:pt>
                <c:pt idx="21">
                  <c:v>366</c:v>
                </c:pt>
                <c:pt idx="22">
                  <c:v>495</c:v>
                </c:pt>
                <c:pt idx="23">
                  <c:v>390</c:v>
                </c:pt>
                <c:pt idx="24">
                  <c:v>410</c:v>
                </c:pt>
                <c:pt idx="25">
                  <c:v>472</c:v>
                </c:pt>
                <c:pt idx="26">
                  <c:v>380</c:v>
                </c:pt>
                <c:pt idx="27">
                  <c:v>376</c:v>
                </c:pt>
                <c:pt idx="28">
                  <c:v>405</c:v>
                </c:pt>
                <c:pt idx="29">
                  <c:v>362</c:v>
                </c:pt>
              </c:numCache>
            </c:numRef>
          </c:val>
          <c:smooth val="0"/>
        </c:ser>
        <c:dLbls>
          <c:showLegendKey val="0"/>
          <c:showVal val="0"/>
          <c:showCatName val="0"/>
          <c:showSerName val="0"/>
          <c:showPercent val="0"/>
          <c:showBubbleSize val="0"/>
        </c:dLbls>
        <c:marker val="1"/>
        <c:smooth val="0"/>
        <c:axId val="584268032"/>
        <c:axId val="584273920"/>
      </c:lineChart>
      <c:catAx>
        <c:axId val="584268032"/>
        <c:scaling>
          <c:orientation val="minMax"/>
        </c:scaling>
        <c:delete val="0"/>
        <c:axPos val="b"/>
        <c:majorTickMark val="out"/>
        <c:minorTickMark val="none"/>
        <c:tickLblPos val="nextTo"/>
        <c:crossAx val="584273920"/>
        <c:crosses val="autoZero"/>
        <c:auto val="1"/>
        <c:lblAlgn val="ctr"/>
        <c:lblOffset val="100"/>
        <c:noMultiLvlLbl val="0"/>
      </c:catAx>
      <c:valAx>
        <c:axId val="584273920"/>
        <c:scaling>
          <c:orientation val="minMax"/>
        </c:scaling>
        <c:delete val="0"/>
        <c:axPos val="l"/>
        <c:majorGridlines/>
        <c:numFmt formatCode="General" sourceLinked="1"/>
        <c:majorTickMark val="out"/>
        <c:minorTickMark val="none"/>
        <c:tickLblPos val="nextTo"/>
        <c:crossAx val="58426803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[Age of patients histogram.xlsx]RVO groups!PivotTable12</c:name>
    <c:fmtId val="12"/>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s>
    <c:plotArea>
      <c:layout/>
      <c:barChart>
        <c:barDir val="col"/>
        <c:grouping val="clustered"/>
        <c:varyColors val="0"/>
        <c:ser>
          <c:idx val="0"/>
          <c:order val="0"/>
          <c:tx>
            <c:strRef>
              <c:f>'RVO groups'!$B$3:$B$4</c:f>
              <c:strCache>
                <c:ptCount val="1"/>
                <c:pt idx="0">
                  <c:v>Initiated 2015</c:v>
                </c:pt>
              </c:strCache>
            </c:strRef>
          </c:tx>
          <c:invertIfNegative val="0"/>
          <c:cat>
            <c:strRef>
              <c:f>'RVO groups'!$A$5:$A$18</c:f>
              <c:strCache>
                <c:ptCount val="13"/>
                <c:pt idx="0">
                  <c:v>15-39</c:v>
                </c:pt>
                <c:pt idx="1">
                  <c:v>40-44</c:v>
                </c:pt>
                <c:pt idx="2">
                  <c:v>45-49</c:v>
                </c:pt>
                <c:pt idx="3">
                  <c:v>50-54</c:v>
                </c:pt>
                <c:pt idx="4">
                  <c:v>55-59</c:v>
                </c:pt>
                <c:pt idx="5">
                  <c:v>60-64</c:v>
                </c:pt>
                <c:pt idx="6">
                  <c:v>65-69</c:v>
                </c:pt>
                <c:pt idx="7">
                  <c:v>70-74</c:v>
                </c:pt>
                <c:pt idx="8">
                  <c:v>75-79</c:v>
                </c:pt>
                <c:pt idx="9">
                  <c:v>80-84</c:v>
                </c:pt>
                <c:pt idx="10">
                  <c:v>85-89</c:v>
                </c:pt>
                <c:pt idx="11">
                  <c:v>90-94</c:v>
                </c:pt>
                <c:pt idx="12">
                  <c:v>95-100+</c:v>
                </c:pt>
              </c:strCache>
            </c:strRef>
          </c:cat>
          <c:val>
            <c:numRef>
              <c:f>'RVO groups'!$B$5:$B$18</c:f>
              <c:numCache>
                <c:formatCode>General</c:formatCode>
                <c:ptCount val="13"/>
                <c:pt idx="0">
                  <c:v>7</c:v>
                </c:pt>
                <c:pt idx="1">
                  <c:v>11</c:v>
                </c:pt>
                <c:pt idx="2">
                  <c:v>28</c:v>
                </c:pt>
                <c:pt idx="3">
                  <c:v>44</c:v>
                </c:pt>
                <c:pt idx="4">
                  <c:v>89</c:v>
                </c:pt>
                <c:pt idx="5">
                  <c:v>110</c:v>
                </c:pt>
                <c:pt idx="6">
                  <c:v>187</c:v>
                </c:pt>
                <c:pt idx="7">
                  <c:v>180</c:v>
                </c:pt>
                <c:pt idx="8">
                  <c:v>202</c:v>
                </c:pt>
                <c:pt idx="9">
                  <c:v>203</c:v>
                </c:pt>
                <c:pt idx="10">
                  <c:v>155</c:v>
                </c:pt>
                <c:pt idx="11">
                  <c:v>47</c:v>
                </c:pt>
                <c:pt idx="12">
                  <c:v>10</c:v>
                </c:pt>
              </c:numCache>
            </c:numRef>
          </c:val>
        </c:ser>
        <c:ser>
          <c:idx val="1"/>
          <c:order val="1"/>
          <c:tx>
            <c:strRef>
              <c:f>'RVO groups'!$C$3:$C$4</c:f>
              <c:strCache>
                <c:ptCount val="1"/>
                <c:pt idx="0">
                  <c:v>Initiated 2016</c:v>
                </c:pt>
              </c:strCache>
            </c:strRef>
          </c:tx>
          <c:invertIfNegative val="0"/>
          <c:cat>
            <c:strRef>
              <c:f>'RVO groups'!$A$5:$A$18</c:f>
              <c:strCache>
                <c:ptCount val="13"/>
                <c:pt idx="0">
                  <c:v>15-39</c:v>
                </c:pt>
                <c:pt idx="1">
                  <c:v>40-44</c:v>
                </c:pt>
                <c:pt idx="2">
                  <c:v>45-49</c:v>
                </c:pt>
                <c:pt idx="3">
                  <c:v>50-54</c:v>
                </c:pt>
                <c:pt idx="4">
                  <c:v>55-59</c:v>
                </c:pt>
                <c:pt idx="5">
                  <c:v>60-64</c:v>
                </c:pt>
                <c:pt idx="6">
                  <c:v>65-69</c:v>
                </c:pt>
                <c:pt idx="7">
                  <c:v>70-74</c:v>
                </c:pt>
                <c:pt idx="8">
                  <c:v>75-79</c:v>
                </c:pt>
                <c:pt idx="9">
                  <c:v>80-84</c:v>
                </c:pt>
                <c:pt idx="10">
                  <c:v>85-89</c:v>
                </c:pt>
                <c:pt idx="11">
                  <c:v>90-94</c:v>
                </c:pt>
                <c:pt idx="12">
                  <c:v>95-100+</c:v>
                </c:pt>
              </c:strCache>
            </c:strRef>
          </c:cat>
          <c:val>
            <c:numRef>
              <c:f>'RVO groups'!$C$5:$C$18</c:f>
              <c:numCache>
                <c:formatCode>General</c:formatCode>
                <c:ptCount val="13"/>
                <c:pt idx="0">
                  <c:v>32</c:v>
                </c:pt>
                <c:pt idx="1">
                  <c:v>25</c:v>
                </c:pt>
                <c:pt idx="2">
                  <c:v>60</c:v>
                </c:pt>
                <c:pt idx="3">
                  <c:v>100</c:v>
                </c:pt>
                <c:pt idx="4">
                  <c:v>167</c:v>
                </c:pt>
                <c:pt idx="5">
                  <c:v>235</c:v>
                </c:pt>
                <c:pt idx="6">
                  <c:v>340</c:v>
                </c:pt>
                <c:pt idx="7">
                  <c:v>395</c:v>
                </c:pt>
                <c:pt idx="8">
                  <c:v>429</c:v>
                </c:pt>
                <c:pt idx="9">
                  <c:v>393</c:v>
                </c:pt>
                <c:pt idx="10">
                  <c:v>307</c:v>
                </c:pt>
                <c:pt idx="11">
                  <c:v>99</c:v>
                </c:pt>
                <c:pt idx="12">
                  <c:v>17</c:v>
                </c:pt>
              </c:numCache>
            </c:numRef>
          </c:val>
        </c:ser>
        <c:ser>
          <c:idx val="2"/>
          <c:order val="2"/>
          <c:tx>
            <c:strRef>
              <c:f>'RVO groups'!$D$3:$D$4</c:f>
              <c:strCache>
                <c:ptCount val="1"/>
                <c:pt idx="0">
                  <c:v>Initiated 2017</c:v>
                </c:pt>
              </c:strCache>
            </c:strRef>
          </c:tx>
          <c:invertIfNegative val="0"/>
          <c:cat>
            <c:strRef>
              <c:f>'RVO groups'!$A$5:$A$18</c:f>
              <c:strCache>
                <c:ptCount val="13"/>
                <c:pt idx="0">
                  <c:v>15-39</c:v>
                </c:pt>
                <c:pt idx="1">
                  <c:v>40-44</c:v>
                </c:pt>
                <c:pt idx="2">
                  <c:v>45-49</c:v>
                </c:pt>
                <c:pt idx="3">
                  <c:v>50-54</c:v>
                </c:pt>
                <c:pt idx="4">
                  <c:v>55-59</c:v>
                </c:pt>
                <c:pt idx="5">
                  <c:v>60-64</c:v>
                </c:pt>
                <c:pt idx="6">
                  <c:v>65-69</c:v>
                </c:pt>
                <c:pt idx="7">
                  <c:v>70-74</c:v>
                </c:pt>
                <c:pt idx="8">
                  <c:v>75-79</c:v>
                </c:pt>
                <c:pt idx="9">
                  <c:v>80-84</c:v>
                </c:pt>
                <c:pt idx="10">
                  <c:v>85-89</c:v>
                </c:pt>
                <c:pt idx="11">
                  <c:v>90-94</c:v>
                </c:pt>
                <c:pt idx="12">
                  <c:v>95-100+</c:v>
                </c:pt>
              </c:strCache>
            </c:strRef>
          </c:cat>
          <c:val>
            <c:numRef>
              <c:f>'RVO groups'!$D$5:$D$18</c:f>
              <c:numCache>
                <c:formatCode>General</c:formatCode>
                <c:ptCount val="13"/>
                <c:pt idx="0">
                  <c:v>33</c:v>
                </c:pt>
                <c:pt idx="1">
                  <c:v>40</c:v>
                </c:pt>
                <c:pt idx="2">
                  <c:v>84</c:v>
                </c:pt>
                <c:pt idx="3">
                  <c:v>169</c:v>
                </c:pt>
                <c:pt idx="4">
                  <c:v>229</c:v>
                </c:pt>
                <c:pt idx="5">
                  <c:v>345</c:v>
                </c:pt>
                <c:pt idx="6">
                  <c:v>511</c:v>
                </c:pt>
                <c:pt idx="7">
                  <c:v>599</c:v>
                </c:pt>
                <c:pt idx="8">
                  <c:v>643</c:v>
                </c:pt>
                <c:pt idx="9">
                  <c:v>596</c:v>
                </c:pt>
                <c:pt idx="10">
                  <c:v>437</c:v>
                </c:pt>
                <c:pt idx="11">
                  <c:v>190</c:v>
                </c:pt>
                <c:pt idx="12">
                  <c:v>29</c:v>
                </c:pt>
              </c:numCache>
            </c:numRef>
          </c:val>
        </c:ser>
        <c:dLbls>
          <c:showLegendKey val="0"/>
          <c:showVal val="0"/>
          <c:showCatName val="0"/>
          <c:showSerName val="0"/>
          <c:showPercent val="0"/>
          <c:showBubbleSize val="0"/>
        </c:dLbls>
        <c:gapWidth val="150"/>
        <c:axId val="584295552"/>
        <c:axId val="584297088"/>
      </c:barChart>
      <c:catAx>
        <c:axId val="584295552"/>
        <c:scaling>
          <c:orientation val="minMax"/>
        </c:scaling>
        <c:delete val="0"/>
        <c:axPos val="b"/>
        <c:majorTickMark val="out"/>
        <c:minorTickMark val="none"/>
        <c:tickLblPos val="nextTo"/>
        <c:crossAx val="584297088"/>
        <c:crosses val="autoZero"/>
        <c:auto val="1"/>
        <c:lblAlgn val="ctr"/>
        <c:lblOffset val="100"/>
        <c:noMultiLvlLbl val="0"/>
      </c:catAx>
      <c:valAx>
        <c:axId val="584297088"/>
        <c:scaling>
          <c:orientation val="minMax"/>
        </c:scaling>
        <c:delete val="0"/>
        <c:axPos val="l"/>
        <c:majorGridlines/>
        <c:numFmt formatCode="General" sourceLinked="1"/>
        <c:majorTickMark val="out"/>
        <c:minorTickMark val="none"/>
        <c:tickLblPos val="nextTo"/>
        <c:crossAx val="58429555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[Patient counts.xlsx]Init and treated!PivotTable1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s>
    <c:plotArea>
      <c:layout>
        <c:manualLayout>
          <c:layoutTarget val="inner"/>
          <c:xMode val="edge"/>
          <c:yMode val="edge"/>
          <c:x val="9.6452993127102898E-2"/>
          <c:y val="3.9793977365732508E-2"/>
          <c:w val="0.87922417657991758"/>
          <c:h val="0.71880986650862189"/>
        </c:manualLayout>
      </c:layout>
      <c:lineChart>
        <c:grouping val="standard"/>
        <c:varyColors val="0"/>
        <c:ser>
          <c:idx val="0"/>
          <c:order val="0"/>
          <c:tx>
            <c:strRef>
              <c:f>'Init and treated'!$B$3:$B$4</c:f>
              <c:strCache>
                <c:ptCount val="1"/>
                <c:pt idx="0">
                  <c:v>Initiating</c:v>
                </c:pt>
              </c:strCache>
            </c:strRef>
          </c:tx>
          <c:marker>
            <c:symbol val="none"/>
          </c:marker>
          <c:cat>
            <c:strRef>
              <c:f>'Init and treated'!$A$5:$A$130</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'Init and treated'!$B$5:$B$130</c:f>
              <c:numCache>
                <c:formatCode>General</c:formatCode>
                <c:ptCount val="125"/>
                <c:pt idx="0">
                  <c:v>2499</c:v>
                </c:pt>
                <c:pt idx="1">
                  <c:v>1855</c:v>
                </c:pt>
                <c:pt idx="2">
                  <c:v>1313</c:v>
                </c:pt>
                <c:pt idx="3">
                  <c:v>1058</c:v>
                </c:pt>
                <c:pt idx="4">
                  <c:v>753</c:v>
                </c:pt>
                <c:pt idx="5">
                  <c:v>655</c:v>
                </c:pt>
                <c:pt idx="6">
                  <c:v>739</c:v>
                </c:pt>
                <c:pt idx="7">
                  <c:v>697</c:v>
                </c:pt>
                <c:pt idx="8">
                  <c:v>723</c:v>
                </c:pt>
                <c:pt idx="9">
                  <c:v>718</c:v>
                </c:pt>
                <c:pt idx="10">
                  <c:v>666</c:v>
                </c:pt>
                <c:pt idx="11">
                  <c:v>566</c:v>
                </c:pt>
                <c:pt idx="12">
                  <c:v>718</c:v>
                </c:pt>
                <c:pt idx="13">
                  <c:v>608</c:v>
                </c:pt>
                <c:pt idx="14">
                  <c:v>616</c:v>
                </c:pt>
                <c:pt idx="15">
                  <c:v>658</c:v>
                </c:pt>
                <c:pt idx="16">
                  <c:v>841</c:v>
                </c:pt>
                <c:pt idx="17">
                  <c:v>528</c:v>
                </c:pt>
                <c:pt idx="18">
                  <c:v>729</c:v>
                </c:pt>
                <c:pt idx="19">
                  <c:v>753</c:v>
                </c:pt>
                <c:pt idx="20">
                  <c:v>687</c:v>
                </c:pt>
                <c:pt idx="21">
                  <c:v>680</c:v>
                </c:pt>
                <c:pt idx="22">
                  <c:v>710</c:v>
                </c:pt>
                <c:pt idx="23">
                  <c:v>681</c:v>
                </c:pt>
                <c:pt idx="24">
                  <c:v>687</c:v>
                </c:pt>
                <c:pt idx="25">
                  <c:v>678</c:v>
                </c:pt>
                <c:pt idx="26">
                  <c:v>635</c:v>
                </c:pt>
                <c:pt idx="27">
                  <c:v>648</c:v>
                </c:pt>
                <c:pt idx="28">
                  <c:v>709</c:v>
                </c:pt>
                <c:pt idx="29">
                  <c:v>442</c:v>
                </c:pt>
                <c:pt idx="30">
                  <c:v>731</c:v>
                </c:pt>
                <c:pt idx="31">
                  <c:v>705</c:v>
                </c:pt>
                <c:pt idx="32">
                  <c:v>610</c:v>
                </c:pt>
                <c:pt idx="33">
                  <c:v>655</c:v>
                </c:pt>
                <c:pt idx="34">
                  <c:v>631</c:v>
                </c:pt>
                <c:pt idx="35">
                  <c:v>655</c:v>
                </c:pt>
                <c:pt idx="36">
                  <c:v>678</c:v>
                </c:pt>
                <c:pt idx="37">
                  <c:v>582</c:v>
                </c:pt>
                <c:pt idx="38">
                  <c:v>620</c:v>
                </c:pt>
                <c:pt idx="39">
                  <c:v>688</c:v>
                </c:pt>
                <c:pt idx="40">
                  <c:v>657</c:v>
                </c:pt>
                <c:pt idx="41">
                  <c:v>414</c:v>
                </c:pt>
                <c:pt idx="42">
                  <c:v>559</c:v>
                </c:pt>
                <c:pt idx="43">
                  <c:v>649</c:v>
                </c:pt>
                <c:pt idx="44">
                  <c:v>567</c:v>
                </c:pt>
                <c:pt idx="45">
                  <c:v>656</c:v>
                </c:pt>
                <c:pt idx="46">
                  <c:v>627</c:v>
                </c:pt>
                <c:pt idx="47">
                  <c:v>562</c:v>
                </c:pt>
                <c:pt idx="48">
                  <c:v>641</c:v>
                </c:pt>
                <c:pt idx="49">
                  <c:v>653</c:v>
                </c:pt>
                <c:pt idx="50">
                  <c:v>588</c:v>
                </c:pt>
                <c:pt idx="51">
                  <c:v>607</c:v>
                </c:pt>
                <c:pt idx="52">
                  <c:v>574</c:v>
                </c:pt>
                <c:pt idx="53">
                  <c:v>471</c:v>
                </c:pt>
                <c:pt idx="54">
                  <c:v>605</c:v>
                </c:pt>
                <c:pt idx="55">
                  <c:v>622</c:v>
                </c:pt>
                <c:pt idx="56">
                  <c:v>495</c:v>
                </c:pt>
                <c:pt idx="57">
                  <c:v>692</c:v>
                </c:pt>
                <c:pt idx="58">
                  <c:v>608</c:v>
                </c:pt>
                <c:pt idx="59">
                  <c:v>539</c:v>
                </c:pt>
                <c:pt idx="60">
                  <c:v>576</c:v>
                </c:pt>
                <c:pt idx="61">
                  <c:v>470</c:v>
                </c:pt>
                <c:pt idx="62">
                  <c:v>587</c:v>
                </c:pt>
                <c:pt idx="63">
                  <c:v>556</c:v>
                </c:pt>
                <c:pt idx="64">
                  <c:v>653</c:v>
                </c:pt>
                <c:pt idx="65">
                  <c:v>667</c:v>
                </c:pt>
                <c:pt idx="66">
                  <c:v>666</c:v>
                </c:pt>
                <c:pt idx="67">
                  <c:v>733</c:v>
                </c:pt>
                <c:pt idx="68">
                  <c:v>627</c:v>
                </c:pt>
                <c:pt idx="69">
                  <c:v>722</c:v>
                </c:pt>
                <c:pt idx="70">
                  <c:v>602</c:v>
                </c:pt>
                <c:pt idx="71">
                  <c:v>632</c:v>
                </c:pt>
                <c:pt idx="72">
                  <c:v>650</c:v>
                </c:pt>
                <c:pt idx="73">
                  <c:v>602</c:v>
                </c:pt>
                <c:pt idx="74">
                  <c:v>626</c:v>
                </c:pt>
                <c:pt idx="75">
                  <c:v>566</c:v>
                </c:pt>
                <c:pt idx="76">
                  <c:v>672</c:v>
                </c:pt>
                <c:pt idx="77">
                  <c:v>534</c:v>
                </c:pt>
                <c:pt idx="78">
                  <c:v>660</c:v>
                </c:pt>
                <c:pt idx="79">
                  <c:v>700</c:v>
                </c:pt>
                <c:pt idx="80">
                  <c:v>620</c:v>
                </c:pt>
                <c:pt idx="81">
                  <c:v>689</c:v>
                </c:pt>
                <c:pt idx="82">
                  <c:v>704</c:v>
                </c:pt>
                <c:pt idx="83">
                  <c:v>636</c:v>
                </c:pt>
                <c:pt idx="84">
                  <c:v>585</c:v>
                </c:pt>
                <c:pt idx="85">
                  <c:v>628</c:v>
                </c:pt>
                <c:pt idx="86">
                  <c:v>649</c:v>
                </c:pt>
                <c:pt idx="87">
                  <c:v>596</c:v>
                </c:pt>
                <c:pt idx="88">
                  <c:v>625</c:v>
                </c:pt>
                <c:pt idx="89">
                  <c:v>577</c:v>
                </c:pt>
                <c:pt idx="90">
                  <c:v>628</c:v>
                </c:pt>
                <c:pt idx="91">
                  <c:v>743</c:v>
                </c:pt>
                <c:pt idx="92">
                  <c:v>609</c:v>
                </c:pt>
                <c:pt idx="93">
                  <c:v>657</c:v>
                </c:pt>
                <c:pt idx="94">
                  <c:v>645</c:v>
                </c:pt>
                <c:pt idx="95">
                  <c:v>1946</c:v>
                </c:pt>
                <c:pt idx="96">
                  <c:v>2074</c:v>
                </c:pt>
                <c:pt idx="97">
                  <c:v>2177</c:v>
                </c:pt>
                <c:pt idx="98">
                  <c:v>1958</c:v>
                </c:pt>
                <c:pt idx="99">
                  <c:v>1858</c:v>
                </c:pt>
                <c:pt idx="100">
                  <c:v>1711</c:v>
                </c:pt>
                <c:pt idx="101">
                  <c:v>1323</c:v>
                </c:pt>
                <c:pt idx="102">
                  <c:v>1585</c:v>
                </c:pt>
                <c:pt idx="103">
                  <c:v>1649</c:v>
                </c:pt>
                <c:pt idx="104">
                  <c:v>1318</c:v>
                </c:pt>
                <c:pt idx="105">
                  <c:v>1441</c:v>
                </c:pt>
                <c:pt idx="106">
                  <c:v>1452</c:v>
                </c:pt>
                <c:pt idx="107">
                  <c:v>1326</c:v>
                </c:pt>
                <c:pt idx="108">
                  <c:v>1434</c:v>
                </c:pt>
                <c:pt idx="109">
                  <c:v>1403</c:v>
                </c:pt>
                <c:pt idx="110">
                  <c:v>1240</c:v>
                </c:pt>
                <c:pt idx="111">
                  <c:v>1710</c:v>
                </c:pt>
                <c:pt idx="112">
                  <c:v>1732</c:v>
                </c:pt>
                <c:pt idx="113">
                  <c:v>1499</c:v>
                </c:pt>
                <c:pt idx="114">
                  <c:v>1699</c:v>
                </c:pt>
                <c:pt idx="115">
                  <c:v>1973</c:v>
                </c:pt>
                <c:pt idx="116">
                  <c:v>1326</c:v>
                </c:pt>
                <c:pt idx="117">
                  <c:v>1900</c:v>
                </c:pt>
                <c:pt idx="118">
                  <c:v>1688</c:v>
                </c:pt>
                <c:pt idx="119">
                  <c:v>1572</c:v>
                </c:pt>
                <c:pt idx="120">
                  <c:v>1738</c:v>
                </c:pt>
                <c:pt idx="121">
                  <c:v>1499</c:v>
                </c:pt>
                <c:pt idx="122">
                  <c:v>1562</c:v>
                </c:pt>
                <c:pt idx="123">
                  <c:v>1760</c:v>
                </c:pt>
                <c:pt idx="124">
                  <c:v>1445</c:v>
                </c:pt>
              </c:numCache>
            </c:numRef>
          </c:val>
          <c:smooth val="0"/>
        </c:ser>
        <c:ser>
          <c:idx val="1"/>
          <c:order val="1"/>
          <c:tx>
            <c:strRef>
              <c:f>'Init and treated'!$C$3:$C$4</c:f>
              <c:strCache>
                <c:ptCount val="1"/>
                <c:pt idx="0">
                  <c:v>Treated</c:v>
                </c:pt>
              </c:strCache>
            </c:strRef>
          </c:tx>
          <c:marker>
            <c:symbol val="none"/>
          </c:marker>
          <c:cat>
            <c:strRef>
              <c:f>'Init and treated'!$A$5:$A$130</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'Init and treated'!$C$5:$C$130</c:f>
              <c:numCache>
                <c:formatCode>General</c:formatCode>
                <c:ptCount val="125"/>
                <c:pt idx="0">
                  <c:v>2499</c:v>
                </c:pt>
                <c:pt idx="1">
                  <c:v>3127</c:v>
                </c:pt>
                <c:pt idx="2">
                  <c:v>3729</c:v>
                </c:pt>
                <c:pt idx="3">
                  <c:v>3781</c:v>
                </c:pt>
                <c:pt idx="4">
                  <c:v>3479</c:v>
                </c:pt>
                <c:pt idx="5">
                  <c:v>3806</c:v>
                </c:pt>
                <c:pt idx="6">
                  <c:v>4014</c:v>
                </c:pt>
                <c:pt idx="7">
                  <c:v>4013</c:v>
                </c:pt>
                <c:pt idx="8">
                  <c:v>4224</c:v>
                </c:pt>
                <c:pt idx="9">
                  <c:v>4693</c:v>
                </c:pt>
                <c:pt idx="10">
                  <c:v>4459</c:v>
                </c:pt>
                <c:pt idx="11">
                  <c:v>4715</c:v>
                </c:pt>
                <c:pt idx="12">
                  <c:v>4888</c:v>
                </c:pt>
                <c:pt idx="13">
                  <c:v>5101</c:v>
                </c:pt>
                <c:pt idx="14">
                  <c:v>5191</c:v>
                </c:pt>
                <c:pt idx="15">
                  <c:v>4850</c:v>
                </c:pt>
                <c:pt idx="16">
                  <c:v>5839</c:v>
                </c:pt>
                <c:pt idx="17">
                  <c:v>5718</c:v>
                </c:pt>
                <c:pt idx="18">
                  <c:v>5861</c:v>
                </c:pt>
                <c:pt idx="19">
                  <c:v>6484</c:v>
                </c:pt>
                <c:pt idx="20">
                  <c:v>6626</c:v>
                </c:pt>
                <c:pt idx="21">
                  <c:v>6613</c:v>
                </c:pt>
                <c:pt idx="22">
                  <c:v>7018</c:v>
                </c:pt>
                <c:pt idx="23">
                  <c:v>7546</c:v>
                </c:pt>
                <c:pt idx="24">
                  <c:v>7567</c:v>
                </c:pt>
                <c:pt idx="25">
                  <c:v>7823</c:v>
                </c:pt>
                <c:pt idx="26">
                  <c:v>8004</c:v>
                </c:pt>
                <c:pt idx="27">
                  <c:v>8160</c:v>
                </c:pt>
                <c:pt idx="28">
                  <c:v>8505</c:v>
                </c:pt>
                <c:pt idx="29">
                  <c:v>8316</c:v>
                </c:pt>
                <c:pt idx="30">
                  <c:v>8934</c:v>
                </c:pt>
                <c:pt idx="31">
                  <c:v>9631</c:v>
                </c:pt>
                <c:pt idx="32">
                  <c:v>9085</c:v>
                </c:pt>
                <c:pt idx="33">
                  <c:v>9609</c:v>
                </c:pt>
                <c:pt idx="34">
                  <c:v>9845</c:v>
                </c:pt>
                <c:pt idx="35">
                  <c:v>10195</c:v>
                </c:pt>
                <c:pt idx="36">
                  <c:v>10433</c:v>
                </c:pt>
                <c:pt idx="37">
                  <c:v>10261</c:v>
                </c:pt>
                <c:pt idx="38">
                  <c:v>10439</c:v>
                </c:pt>
                <c:pt idx="39">
                  <c:v>11031</c:v>
                </c:pt>
                <c:pt idx="40">
                  <c:v>11008</c:v>
                </c:pt>
                <c:pt idx="41">
                  <c:v>10697</c:v>
                </c:pt>
                <c:pt idx="42">
                  <c:v>10517</c:v>
                </c:pt>
                <c:pt idx="43">
                  <c:v>12048</c:v>
                </c:pt>
                <c:pt idx="44">
                  <c:v>10861</c:v>
                </c:pt>
                <c:pt idx="45">
                  <c:v>12363</c:v>
                </c:pt>
                <c:pt idx="46">
                  <c:v>12122</c:v>
                </c:pt>
                <c:pt idx="47">
                  <c:v>11884</c:v>
                </c:pt>
                <c:pt idx="48">
                  <c:v>12887</c:v>
                </c:pt>
                <c:pt idx="49">
                  <c:v>12360</c:v>
                </c:pt>
                <c:pt idx="50">
                  <c:v>12416</c:v>
                </c:pt>
                <c:pt idx="51">
                  <c:v>13121</c:v>
                </c:pt>
                <c:pt idx="52">
                  <c:v>12712</c:v>
                </c:pt>
                <c:pt idx="53">
                  <c:v>13225</c:v>
                </c:pt>
                <c:pt idx="54">
                  <c:v>13234</c:v>
                </c:pt>
                <c:pt idx="55">
                  <c:v>14082</c:v>
                </c:pt>
                <c:pt idx="56">
                  <c:v>12569</c:v>
                </c:pt>
                <c:pt idx="57">
                  <c:v>14500</c:v>
                </c:pt>
                <c:pt idx="58">
                  <c:v>13714</c:v>
                </c:pt>
                <c:pt idx="59">
                  <c:v>14370</c:v>
                </c:pt>
                <c:pt idx="60">
                  <c:v>14830</c:v>
                </c:pt>
                <c:pt idx="61">
                  <c:v>13371</c:v>
                </c:pt>
                <c:pt idx="62">
                  <c:v>15054</c:v>
                </c:pt>
                <c:pt idx="63">
                  <c:v>14281</c:v>
                </c:pt>
                <c:pt idx="64">
                  <c:v>14231</c:v>
                </c:pt>
                <c:pt idx="65">
                  <c:v>15819</c:v>
                </c:pt>
                <c:pt idx="66">
                  <c:v>14458</c:v>
                </c:pt>
                <c:pt idx="67">
                  <c:v>15930</c:v>
                </c:pt>
                <c:pt idx="68">
                  <c:v>13745</c:v>
                </c:pt>
                <c:pt idx="69">
                  <c:v>16034</c:v>
                </c:pt>
                <c:pt idx="70">
                  <c:v>14499</c:v>
                </c:pt>
                <c:pt idx="71">
                  <c:v>15879</c:v>
                </c:pt>
                <c:pt idx="72">
                  <c:v>15829</c:v>
                </c:pt>
                <c:pt idx="73">
                  <c:v>15219</c:v>
                </c:pt>
                <c:pt idx="74">
                  <c:v>16668</c:v>
                </c:pt>
                <c:pt idx="75">
                  <c:v>15714</c:v>
                </c:pt>
                <c:pt idx="76">
                  <c:v>15428</c:v>
                </c:pt>
                <c:pt idx="77">
                  <c:v>16911</c:v>
                </c:pt>
                <c:pt idx="78">
                  <c:v>15731</c:v>
                </c:pt>
                <c:pt idx="79">
                  <c:v>16420</c:v>
                </c:pt>
                <c:pt idx="80">
                  <c:v>15935</c:v>
                </c:pt>
                <c:pt idx="81">
                  <c:v>17559</c:v>
                </c:pt>
                <c:pt idx="82">
                  <c:v>16302</c:v>
                </c:pt>
                <c:pt idx="83">
                  <c:v>17905</c:v>
                </c:pt>
                <c:pt idx="84">
                  <c:v>16838</c:v>
                </c:pt>
                <c:pt idx="85">
                  <c:v>17164</c:v>
                </c:pt>
                <c:pt idx="86">
                  <c:v>17778</c:v>
                </c:pt>
                <c:pt idx="87">
                  <c:v>16231</c:v>
                </c:pt>
                <c:pt idx="88">
                  <c:v>17528</c:v>
                </c:pt>
                <c:pt idx="89">
                  <c:v>17193</c:v>
                </c:pt>
                <c:pt idx="90">
                  <c:v>17119</c:v>
                </c:pt>
                <c:pt idx="91">
                  <c:v>18258</c:v>
                </c:pt>
                <c:pt idx="92">
                  <c:v>17980</c:v>
                </c:pt>
                <c:pt idx="93">
                  <c:v>17832</c:v>
                </c:pt>
                <c:pt idx="94">
                  <c:v>18220</c:v>
                </c:pt>
                <c:pt idx="95">
                  <c:v>19507</c:v>
                </c:pt>
                <c:pt idx="96">
                  <c:v>20025</c:v>
                </c:pt>
                <c:pt idx="97">
                  <c:v>21544</c:v>
                </c:pt>
                <c:pt idx="98">
                  <c:v>22473</c:v>
                </c:pt>
                <c:pt idx="99">
                  <c:v>22766</c:v>
                </c:pt>
                <c:pt idx="100">
                  <c:v>23822</c:v>
                </c:pt>
                <c:pt idx="101">
                  <c:v>22827</c:v>
                </c:pt>
                <c:pt idx="102">
                  <c:v>24368</c:v>
                </c:pt>
                <c:pt idx="103">
                  <c:v>27996</c:v>
                </c:pt>
                <c:pt idx="104">
                  <c:v>21300</c:v>
                </c:pt>
                <c:pt idx="105">
                  <c:v>25501</c:v>
                </c:pt>
                <c:pt idx="106">
                  <c:v>25162</c:v>
                </c:pt>
                <c:pt idx="107">
                  <c:v>25102</c:v>
                </c:pt>
                <c:pt idx="108">
                  <c:v>27191</c:v>
                </c:pt>
                <c:pt idx="109">
                  <c:v>26407</c:v>
                </c:pt>
                <c:pt idx="110">
                  <c:v>26547</c:v>
                </c:pt>
                <c:pt idx="111">
                  <c:v>28264</c:v>
                </c:pt>
                <c:pt idx="112">
                  <c:v>26359</c:v>
                </c:pt>
                <c:pt idx="113">
                  <c:v>28483</c:v>
                </c:pt>
                <c:pt idx="114">
                  <c:v>26964</c:v>
                </c:pt>
                <c:pt idx="115">
                  <c:v>30295</c:v>
                </c:pt>
                <c:pt idx="116">
                  <c:v>26190</c:v>
                </c:pt>
                <c:pt idx="117">
                  <c:v>32389</c:v>
                </c:pt>
                <c:pt idx="118">
                  <c:v>29695</c:v>
                </c:pt>
                <c:pt idx="119">
                  <c:v>29706</c:v>
                </c:pt>
                <c:pt idx="120">
                  <c:v>31756</c:v>
                </c:pt>
                <c:pt idx="121">
                  <c:v>29439</c:v>
                </c:pt>
                <c:pt idx="122">
                  <c:v>30918</c:v>
                </c:pt>
                <c:pt idx="123">
                  <c:v>32361</c:v>
                </c:pt>
                <c:pt idx="124">
                  <c:v>28787</c:v>
                </c:pt>
              </c:numCache>
            </c:numRef>
          </c:val>
          <c:smooth val="0"/>
        </c:ser>
        <c:dLbls>
          <c:showLegendKey val="0"/>
          <c:showVal val="0"/>
          <c:showCatName val="0"/>
          <c:showSerName val="0"/>
          <c:showPercent val="0"/>
          <c:showBubbleSize val="0"/>
        </c:dLbls>
        <c:marker val="1"/>
        <c:smooth val="0"/>
        <c:axId val="585185920"/>
        <c:axId val="585200000"/>
      </c:lineChart>
      <c:catAx>
        <c:axId val="585185920"/>
        <c:scaling>
          <c:orientation val="minMax"/>
        </c:scaling>
        <c:delete val="0"/>
        <c:axPos val="b"/>
        <c:majorTickMark val="out"/>
        <c:minorTickMark val="none"/>
        <c:tickLblPos val="nextTo"/>
        <c:crossAx val="585200000"/>
        <c:crosses val="autoZero"/>
        <c:auto val="1"/>
        <c:lblAlgn val="ctr"/>
        <c:lblOffset val="100"/>
        <c:noMultiLvlLbl val="0"/>
      </c:catAx>
      <c:valAx>
        <c:axId val="585200000"/>
        <c:scaling>
          <c:orientation val="minMax"/>
        </c:scaling>
        <c:delete val="0"/>
        <c:axPos val="l"/>
        <c:majorGridlines/>
        <c:numFmt formatCode="#,##0" sourceLinked="0"/>
        <c:majorTickMark val="out"/>
        <c:minorTickMark val="none"/>
        <c:tickLblPos val="nextTo"/>
        <c:crossAx val="585185920"/>
        <c:crosses val="autoZero"/>
        <c:crossBetween val="between"/>
      </c:valAx>
    </c:plotArea>
    <c:legend>
      <c:legendPos val="b"/>
      <c:overlay val="0"/>
    </c:legend>
    <c:plotVisOnly val="1"/>
    <c:dispBlanksAs val="gap"/>
    <c:showDLblsOverMax val="0"/>
  </c:chart>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[Patients by month and indication (graphs).xlsx]all!PivotTable4</c:name>
    <c:fmtId val="5"/>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s>
    <c:plotArea>
      <c:layout/>
      <c:lineChart>
        <c:grouping val="standard"/>
        <c:varyColors val="0"/>
        <c:ser>
          <c:idx val="0"/>
          <c:order val="0"/>
          <c:tx>
            <c:strRef>
              <c:f>all!$W$1:$W$2</c:f>
              <c:strCache>
                <c:ptCount val="1"/>
                <c:pt idx="0">
                  <c:v>AMD treated patients</c:v>
                </c:pt>
              </c:strCache>
            </c:strRef>
          </c:tx>
          <c:marker>
            <c:symbol val="none"/>
          </c:marker>
          <c:cat>
            <c:strRef>
              <c:f>all!$V$3:$V$128</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all!$W$3:$W$128</c:f>
              <c:numCache>
                <c:formatCode>General</c:formatCode>
                <c:ptCount val="125"/>
                <c:pt idx="0">
                  <c:v>2496</c:v>
                </c:pt>
                <c:pt idx="1">
                  <c:v>3122</c:v>
                </c:pt>
                <c:pt idx="2">
                  <c:v>3725</c:v>
                </c:pt>
                <c:pt idx="3">
                  <c:v>3775</c:v>
                </c:pt>
                <c:pt idx="4">
                  <c:v>3474</c:v>
                </c:pt>
                <c:pt idx="5">
                  <c:v>3803</c:v>
                </c:pt>
                <c:pt idx="6">
                  <c:v>4009</c:v>
                </c:pt>
                <c:pt idx="7">
                  <c:v>3964</c:v>
                </c:pt>
                <c:pt idx="8">
                  <c:v>4188</c:v>
                </c:pt>
                <c:pt idx="9">
                  <c:v>4660</c:v>
                </c:pt>
                <c:pt idx="10">
                  <c:v>4446</c:v>
                </c:pt>
                <c:pt idx="11">
                  <c:v>4708</c:v>
                </c:pt>
                <c:pt idx="12">
                  <c:v>4886</c:v>
                </c:pt>
                <c:pt idx="13">
                  <c:v>5098</c:v>
                </c:pt>
                <c:pt idx="14">
                  <c:v>5186</c:v>
                </c:pt>
                <c:pt idx="15">
                  <c:v>4844</c:v>
                </c:pt>
                <c:pt idx="16">
                  <c:v>5833</c:v>
                </c:pt>
                <c:pt idx="17">
                  <c:v>5714</c:v>
                </c:pt>
                <c:pt idx="18">
                  <c:v>5855</c:v>
                </c:pt>
                <c:pt idx="19">
                  <c:v>6481</c:v>
                </c:pt>
                <c:pt idx="20">
                  <c:v>6621</c:v>
                </c:pt>
                <c:pt idx="21">
                  <c:v>6611</c:v>
                </c:pt>
                <c:pt idx="22">
                  <c:v>7015</c:v>
                </c:pt>
                <c:pt idx="23">
                  <c:v>7542</c:v>
                </c:pt>
                <c:pt idx="24">
                  <c:v>7563</c:v>
                </c:pt>
                <c:pt idx="25">
                  <c:v>7816</c:v>
                </c:pt>
                <c:pt idx="26">
                  <c:v>7999</c:v>
                </c:pt>
                <c:pt idx="27">
                  <c:v>8157</c:v>
                </c:pt>
                <c:pt idx="28">
                  <c:v>8502</c:v>
                </c:pt>
                <c:pt idx="29">
                  <c:v>8312</c:v>
                </c:pt>
                <c:pt idx="30">
                  <c:v>8928</c:v>
                </c:pt>
                <c:pt idx="31">
                  <c:v>9626</c:v>
                </c:pt>
                <c:pt idx="32">
                  <c:v>9080</c:v>
                </c:pt>
                <c:pt idx="33">
                  <c:v>9604</c:v>
                </c:pt>
                <c:pt idx="34">
                  <c:v>9838</c:v>
                </c:pt>
                <c:pt idx="35">
                  <c:v>10191</c:v>
                </c:pt>
                <c:pt idx="36">
                  <c:v>10424</c:v>
                </c:pt>
                <c:pt idx="37">
                  <c:v>10254</c:v>
                </c:pt>
                <c:pt idx="38">
                  <c:v>10434</c:v>
                </c:pt>
                <c:pt idx="39">
                  <c:v>11021</c:v>
                </c:pt>
                <c:pt idx="40">
                  <c:v>11004</c:v>
                </c:pt>
                <c:pt idx="41">
                  <c:v>10683</c:v>
                </c:pt>
                <c:pt idx="42">
                  <c:v>10509</c:v>
                </c:pt>
                <c:pt idx="43">
                  <c:v>12042</c:v>
                </c:pt>
                <c:pt idx="44">
                  <c:v>10857</c:v>
                </c:pt>
                <c:pt idx="45">
                  <c:v>12356</c:v>
                </c:pt>
                <c:pt idx="46">
                  <c:v>12114</c:v>
                </c:pt>
                <c:pt idx="47">
                  <c:v>11877</c:v>
                </c:pt>
                <c:pt idx="48">
                  <c:v>12879</c:v>
                </c:pt>
                <c:pt idx="49">
                  <c:v>12357</c:v>
                </c:pt>
                <c:pt idx="50">
                  <c:v>12411</c:v>
                </c:pt>
                <c:pt idx="51">
                  <c:v>13116</c:v>
                </c:pt>
                <c:pt idx="52">
                  <c:v>12708</c:v>
                </c:pt>
                <c:pt idx="53">
                  <c:v>13219</c:v>
                </c:pt>
                <c:pt idx="54">
                  <c:v>13229</c:v>
                </c:pt>
                <c:pt idx="55">
                  <c:v>14074</c:v>
                </c:pt>
                <c:pt idx="56">
                  <c:v>12562</c:v>
                </c:pt>
                <c:pt idx="57">
                  <c:v>14495</c:v>
                </c:pt>
                <c:pt idx="58">
                  <c:v>13707</c:v>
                </c:pt>
                <c:pt idx="59">
                  <c:v>14365</c:v>
                </c:pt>
                <c:pt idx="60">
                  <c:v>14822</c:v>
                </c:pt>
                <c:pt idx="61">
                  <c:v>13366</c:v>
                </c:pt>
                <c:pt idx="62">
                  <c:v>15051</c:v>
                </c:pt>
                <c:pt idx="63">
                  <c:v>14281</c:v>
                </c:pt>
                <c:pt idx="64">
                  <c:v>14226</c:v>
                </c:pt>
                <c:pt idx="65">
                  <c:v>15815</c:v>
                </c:pt>
                <c:pt idx="66">
                  <c:v>14456</c:v>
                </c:pt>
                <c:pt idx="67">
                  <c:v>15924</c:v>
                </c:pt>
                <c:pt idx="68">
                  <c:v>13742</c:v>
                </c:pt>
                <c:pt idx="69">
                  <c:v>16029</c:v>
                </c:pt>
                <c:pt idx="70">
                  <c:v>14496</c:v>
                </c:pt>
                <c:pt idx="71">
                  <c:v>15877</c:v>
                </c:pt>
                <c:pt idx="72">
                  <c:v>15822</c:v>
                </c:pt>
                <c:pt idx="73">
                  <c:v>15211</c:v>
                </c:pt>
                <c:pt idx="74">
                  <c:v>16661</c:v>
                </c:pt>
                <c:pt idx="75">
                  <c:v>15707</c:v>
                </c:pt>
                <c:pt idx="76">
                  <c:v>15425</c:v>
                </c:pt>
                <c:pt idx="77">
                  <c:v>16907</c:v>
                </c:pt>
                <c:pt idx="78">
                  <c:v>15725</c:v>
                </c:pt>
                <c:pt idx="79">
                  <c:v>16413</c:v>
                </c:pt>
                <c:pt idx="80">
                  <c:v>15926</c:v>
                </c:pt>
                <c:pt idx="81">
                  <c:v>17554</c:v>
                </c:pt>
                <c:pt idx="82">
                  <c:v>16297</c:v>
                </c:pt>
                <c:pt idx="83">
                  <c:v>17898</c:v>
                </c:pt>
                <c:pt idx="84">
                  <c:v>16834</c:v>
                </c:pt>
                <c:pt idx="85">
                  <c:v>17161</c:v>
                </c:pt>
                <c:pt idx="86">
                  <c:v>17771</c:v>
                </c:pt>
                <c:pt idx="87">
                  <c:v>16225</c:v>
                </c:pt>
                <c:pt idx="88">
                  <c:v>17521</c:v>
                </c:pt>
                <c:pt idx="89">
                  <c:v>17191</c:v>
                </c:pt>
                <c:pt idx="90">
                  <c:v>17111</c:v>
                </c:pt>
                <c:pt idx="91">
                  <c:v>18251</c:v>
                </c:pt>
                <c:pt idx="92">
                  <c:v>17975</c:v>
                </c:pt>
                <c:pt idx="93">
                  <c:v>17827</c:v>
                </c:pt>
                <c:pt idx="94">
                  <c:v>18207</c:v>
                </c:pt>
                <c:pt idx="95">
                  <c:v>18320</c:v>
                </c:pt>
                <c:pt idx="96">
                  <c:v>17843</c:v>
                </c:pt>
                <c:pt idx="97">
                  <c:v>18575</c:v>
                </c:pt>
                <c:pt idx="98">
                  <c:v>19066</c:v>
                </c:pt>
                <c:pt idx="99">
                  <c:v>19002</c:v>
                </c:pt>
                <c:pt idx="100">
                  <c:v>19948</c:v>
                </c:pt>
                <c:pt idx="101">
                  <c:v>19046</c:v>
                </c:pt>
                <c:pt idx="102">
                  <c:v>20378</c:v>
                </c:pt>
                <c:pt idx="103">
                  <c:v>23173</c:v>
                </c:pt>
                <c:pt idx="104">
                  <c:v>17420</c:v>
                </c:pt>
                <c:pt idx="105">
                  <c:v>20697</c:v>
                </c:pt>
                <c:pt idx="106">
                  <c:v>20030</c:v>
                </c:pt>
                <c:pt idx="107">
                  <c:v>19749</c:v>
                </c:pt>
                <c:pt idx="108">
                  <c:v>21163</c:v>
                </c:pt>
                <c:pt idx="109">
                  <c:v>20418</c:v>
                </c:pt>
                <c:pt idx="110">
                  <c:v>20348</c:v>
                </c:pt>
                <c:pt idx="111">
                  <c:v>21555</c:v>
                </c:pt>
                <c:pt idx="112">
                  <c:v>19907</c:v>
                </c:pt>
                <c:pt idx="113">
                  <c:v>21478</c:v>
                </c:pt>
                <c:pt idx="114">
                  <c:v>20224</c:v>
                </c:pt>
                <c:pt idx="115">
                  <c:v>22633</c:v>
                </c:pt>
                <c:pt idx="116">
                  <c:v>19609</c:v>
                </c:pt>
                <c:pt idx="117">
                  <c:v>24283</c:v>
                </c:pt>
                <c:pt idx="118">
                  <c:v>22076</c:v>
                </c:pt>
                <c:pt idx="119">
                  <c:v>21982</c:v>
                </c:pt>
                <c:pt idx="120">
                  <c:v>23471</c:v>
                </c:pt>
                <c:pt idx="121">
                  <c:v>21622</c:v>
                </c:pt>
                <c:pt idx="122">
                  <c:v>22721</c:v>
                </c:pt>
                <c:pt idx="123">
                  <c:v>23747</c:v>
                </c:pt>
                <c:pt idx="124">
                  <c:v>21119</c:v>
                </c:pt>
              </c:numCache>
            </c:numRef>
          </c:val>
          <c:smooth val="0"/>
        </c:ser>
        <c:ser>
          <c:idx val="1"/>
          <c:order val="1"/>
          <c:tx>
            <c:strRef>
              <c:f>all!$X$1:$X$2</c:f>
              <c:strCache>
                <c:ptCount val="1"/>
                <c:pt idx="0">
                  <c:v>DMO treated patients</c:v>
                </c:pt>
              </c:strCache>
            </c:strRef>
          </c:tx>
          <c:marker>
            <c:symbol val="none"/>
          </c:marker>
          <c:cat>
            <c:strRef>
              <c:f>all!$V$3:$V$128</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all!$X$3:$X$128</c:f>
              <c:numCache>
                <c:formatCode>General</c:formatCode>
                <c:ptCount val="125"/>
                <c:pt idx="95">
                  <c:v>696</c:v>
                </c:pt>
                <c:pt idx="96">
                  <c:v>1175</c:v>
                </c:pt>
                <c:pt idx="97">
                  <c:v>1634</c:v>
                </c:pt>
                <c:pt idx="98">
                  <c:v>1975</c:v>
                </c:pt>
                <c:pt idx="99">
                  <c:v>2321</c:v>
                </c:pt>
                <c:pt idx="100">
                  <c:v>2463</c:v>
                </c:pt>
                <c:pt idx="101">
                  <c:v>2471</c:v>
                </c:pt>
                <c:pt idx="102">
                  <c:v>2671</c:v>
                </c:pt>
                <c:pt idx="103">
                  <c:v>3160</c:v>
                </c:pt>
                <c:pt idx="104">
                  <c:v>2475</c:v>
                </c:pt>
                <c:pt idx="105">
                  <c:v>2956</c:v>
                </c:pt>
                <c:pt idx="106">
                  <c:v>3014</c:v>
                </c:pt>
                <c:pt idx="107">
                  <c:v>3042</c:v>
                </c:pt>
                <c:pt idx="108">
                  <c:v>3381</c:v>
                </c:pt>
                <c:pt idx="109">
                  <c:v>3312</c:v>
                </c:pt>
                <c:pt idx="110">
                  <c:v>3349</c:v>
                </c:pt>
                <c:pt idx="111">
                  <c:v>3640</c:v>
                </c:pt>
                <c:pt idx="112">
                  <c:v>3380</c:v>
                </c:pt>
                <c:pt idx="113">
                  <c:v>3732</c:v>
                </c:pt>
                <c:pt idx="114">
                  <c:v>3553</c:v>
                </c:pt>
                <c:pt idx="115">
                  <c:v>4106</c:v>
                </c:pt>
                <c:pt idx="116">
                  <c:v>3524</c:v>
                </c:pt>
                <c:pt idx="117">
                  <c:v>4339</c:v>
                </c:pt>
                <c:pt idx="118">
                  <c:v>4120</c:v>
                </c:pt>
                <c:pt idx="119">
                  <c:v>4149</c:v>
                </c:pt>
                <c:pt idx="120">
                  <c:v>4355</c:v>
                </c:pt>
                <c:pt idx="121">
                  <c:v>4107</c:v>
                </c:pt>
                <c:pt idx="122">
                  <c:v>4336</c:v>
                </c:pt>
                <c:pt idx="123">
                  <c:v>4562</c:v>
                </c:pt>
                <c:pt idx="124">
                  <c:v>3969</c:v>
                </c:pt>
              </c:numCache>
            </c:numRef>
          </c:val>
          <c:smooth val="0"/>
        </c:ser>
        <c:ser>
          <c:idx val="2"/>
          <c:order val="2"/>
          <c:tx>
            <c:strRef>
              <c:f>all!$Y$1:$Y$2</c:f>
              <c:strCache>
                <c:ptCount val="1"/>
                <c:pt idx="0">
                  <c:v>RVO treated patients</c:v>
                </c:pt>
              </c:strCache>
            </c:strRef>
          </c:tx>
          <c:marker>
            <c:symbol val="none"/>
          </c:marker>
          <c:cat>
            <c:strRef>
              <c:f>all!$V$3:$V$128</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all!$Y$3:$Y$128</c:f>
              <c:numCache>
                <c:formatCode>General</c:formatCode>
                <c:ptCount val="125"/>
                <c:pt idx="95">
                  <c:v>487</c:v>
                </c:pt>
                <c:pt idx="96">
                  <c:v>1002</c:v>
                </c:pt>
                <c:pt idx="97">
                  <c:v>1337</c:v>
                </c:pt>
                <c:pt idx="98">
                  <c:v>1438</c:v>
                </c:pt>
                <c:pt idx="99">
                  <c:v>1447</c:v>
                </c:pt>
                <c:pt idx="100">
                  <c:v>1409</c:v>
                </c:pt>
                <c:pt idx="101">
                  <c:v>1308</c:v>
                </c:pt>
                <c:pt idx="102">
                  <c:v>1336</c:v>
                </c:pt>
                <c:pt idx="103">
                  <c:v>1678</c:v>
                </c:pt>
                <c:pt idx="104">
                  <c:v>1409</c:v>
                </c:pt>
                <c:pt idx="105">
                  <c:v>1868</c:v>
                </c:pt>
                <c:pt idx="106">
                  <c:v>2128</c:v>
                </c:pt>
                <c:pt idx="107">
                  <c:v>2319</c:v>
                </c:pt>
                <c:pt idx="108">
                  <c:v>2663</c:v>
                </c:pt>
                <c:pt idx="109">
                  <c:v>2695</c:v>
                </c:pt>
                <c:pt idx="110">
                  <c:v>2863</c:v>
                </c:pt>
                <c:pt idx="111">
                  <c:v>3091</c:v>
                </c:pt>
                <c:pt idx="112">
                  <c:v>3092</c:v>
                </c:pt>
                <c:pt idx="113">
                  <c:v>3303</c:v>
                </c:pt>
                <c:pt idx="114">
                  <c:v>3206</c:v>
                </c:pt>
                <c:pt idx="115">
                  <c:v>3595</c:v>
                </c:pt>
                <c:pt idx="116">
                  <c:v>3078</c:v>
                </c:pt>
                <c:pt idx="117">
                  <c:v>3813</c:v>
                </c:pt>
                <c:pt idx="118">
                  <c:v>3530</c:v>
                </c:pt>
                <c:pt idx="119">
                  <c:v>3599</c:v>
                </c:pt>
                <c:pt idx="120">
                  <c:v>3968</c:v>
                </c:pt>
                <c:pt idx="121">
                  <c:v>3734</c:v>
                </c:pt>
                <c:pt idx="122">
                  <c:v>3882</c:v>
                </c:pt>
                <c:pt idx="123">
                  <c:v>4067</c:v>
                </c:pt>
                <c:pt idx="124">
                  <c:v>3693</c:v>
                </c:pt>
              </c:numCache>
            </c:numRef>
          </c:val>
          <c:smooth val="0"/>
        </c:ser>
        <c:ser>
          <c:idx val="3"/>
          <c:order val="3"/>
          <c:tx>
            <c:strRef>
              <c:f>all!$Z$1:$Z$2</c:f>
              <c:strCache>
                <c:ptCount val="1"/>
                <c:pt idx="0">
                  <c:v>TOTAL treated patients</c:v>
                </c:pt>
              </c:strCache>
            </c:strRef>
          </c:tx>
          <c:marker>
            <c:symbol val="none"/>
          </c:marker>
          <c:cat>
            <c:strRef>
              <c:f>all!$V$3:$V$128</c:f>
              <c:strCache>
                <c:ptCount val="125"/>
                <c:pt idx="0">
                  <c:v>200708</c:v>
                </c:pt>
                <c:pt idx="1">
                  <c:v>200709</c:v>
                </c:pt>
                <c:pt idx="2">
                  <c:v>200710</c:v>
                </c:pt>
                <c:pt idx="3">
                  <c:v>200711</c:v>
                </c:pt>
                <c:pt idx="4">
                  <c:v>200712</c:v>
                </c:pt>
                <c:pt idx="5">
                  <c:v>200801</c:v>
                </c:pt>
                <c:pt idx="6">
                  <c:v>200802</c:v>
                </c:pt>
                <c:pt idx="7">
                  <c:v>200803</c:v>
                </c:pt>
                <c:pt idx="8">
                  <c:v>200804</c:v>
                </c:pt>
                <c:pt idx="9">
                  <c:v>200805</c:v>
                </c:pt>
                <c:pt idx="10">
                  <c:v>200806</c:v>
                </c:pt>
                <c:pt idx="11">
                  <c:v>200807</c:v>
                </c:pt>
                <c:pt idx="12">
                  <c:v>200808</c:v>
                </c:pt>
                <c:pt idx="13">
                  <c:v>200809</c:v>
                </c:pt>
                <c:pt idx="14">
                  <c:v>200810</c:v>
                </c:pt>
                <c:pt idx="15">
                  <c:v>200811</c:v>
                </c:pt>
                <c:pt idx="16">
                  <c:v>200812</c:v>
                </c:pt>
                <c:pt idx="17">
                  <c:v>200901</c:v>
                </c:pt>
                <c:pt idx="18">
                  <c:v>200902</c:v>
                </c:pt>
                <c:pt idx="19">
                  <c:v>200903</c:v>
                </c:pt>
                <c:pt idx="20">
                  <c:v>200904</c:v>
                </c:pt>
                <c:pt idx="21">
                  <c:v>200905</c:v>
                </c:pt>
                <c:pt idx="22">
                  <c:v>200906</c:v>
                </c:pt>
                <c:pt idx="23">
                  <c:v>200907</c:v>
                </c:pt>
                <c:pt idx="24">
                  <c:v>200908</c:v>
                </c:pt>
                <c:pt idx="25">
                  <c:v>200909</c:v>
                </c:pt>
                <c:pt idx="26">
                  <c:v>200910</c:v>
                </c:pt>
                <c:pt idx="27">
                  <c:v>200911</c:v>
                </c:pt>
                <c:pt idx="28">
                  <c:v>200912</c:v>
                </c:pt>
                <c:pt idx="29">
                  <c:v>201001</c:v>
                </c:pt>
                <c:pt idx="30">
                  <c:v>201002</c:v>
                </c:pt>
                <c:pt idx="31">
                  <c:v>201003</c:v>
                </c:pt>
                <c:pt idx="32">
                  <c:v>201004</c:v>
                </c:pt>
                <c:pt idx="33">
                  <c:v>201005</c:v>
                </c:pt>
                <c:pt idx="34">
                  <c:v>201006</c:v>
                </c:pt>
                <c:pt idx="35">
                  <c:v>201007</c:v>
                </c:pt>
                <c:pt idx="36">
                  <c:v>201008</c:v>
                </c:pt>
                <c:pt idx="37">
                  <c:v>201009</c:v>
                </c:pt>
                <c:pt idx="38">
                  <c:v>201010</c:v>
                </c:pt>
                <c:pt idx="39">
                  <c:v>201011</c:v>
                </c:pt>
                <c:pt idx="40">
                  <c:v>201012</c:v>
                </c:pt>
                <c:pt idx="41">
                  <c:v>201101</c:v>
                </c:pt>
                <c:pt idx="42">
                  <c:v>201102</c:v>
                </c:pt>
                <c:pt idx="43">
                  <c:v>201103</c:v>
                </c:pt>
                <c:pt idx="44">
                  <c:v>201104</c:v>
                </c:pt>
                <c:pt idx="45">
                  <c:v>201105</c:v>
                </c:pt>
                <c:pt idx="46">
                  <c:v>201106</c:v>
                </c:pt>
                <c:pt idx="47">
                  <c:v>201107</c:v>
                </c:pt>
                <c:pt idx="48">
                  <c:v>201108</c:v>
                </c:pt>
                <c:pt idx="49">
                  <c:v>201109</c:v>
                </c:pt>
                <c:pt idx="50">
                  <c:v>201110</c:v>
                </c:pt>
                <c:pt idx="51">
                  <c:v>201111</c:v>
                </c:pt>
                <c:pt idx="52">
                  <c:v>201112</c:v>
                </c:pt>
                <c:pt idx="53">
                  <c:v>201201</c:v>
                </c:pt>
                <c:pt idx="54">
                  <c:v>201202</c:v>
                </c:pt>
                <c:pt idx="55">
                  <c:v>201203</c:v>
                </c:pt>
                <c:pt idx="56">
                  <c:v>201204</c:v>
                </c:pt>
                <c:pt idx="57">
                  <c:v>201205</c:v>
                </c:pt>
                <c:pt idx="58">
                  <c:v>201206</c:v>
                </c:pt>
                <c:pt idx="59">
                  <c:v>201207</c:v>
                </c:pt>
                <c:pt idx="60">
                  <c:v>201208</c:v>
                </c:pt>
                <c:pt idx="61">
                  <c:v>201209</c:v>
                </c:pt>
                <c:pt idx="62">
                  <c:v>201210</c:v>
                </c:pt>
                <c:pt idx="63">
                  <c:v>201211</c:v>
                </c:pt>
                <c:pt idx="64">
                  <c:v>201212</c:v>
                </c:pt>
                <c:pt idx="65">
                  <c:v>201301</c:v>
                </c:pt>
                <c:pt idx="66">
                  <c:v>201302</c:v>
                </c:pt>
                <c:pt idx="67">
                  <c:v>201303</c:v>
                </c:pt>
                <c:pt idx="68">
                  <c:v>201304</c:v>
                </c:pt>
                <c:pt idx="69">
                  <c:v>201305</c:v>
                </c:pt>
                <c:pt idx="70">
                  <c:v>201306</c:v>
                </c:pt>
                <c:pt idx="71">
                  <c:v>201307</c:v>
                </c:pt>
                <c:pt idx="72">
                  <c:v>201308</c:v>
                </c:pt>
                <c:pt idx="73">
                  <c:v>201309</c:v>
                </c:pt>
                <c:pt idx="74">
                  <c:v>201310</c:v>
                </c:pt>
                <c:pt idx="75">
                  <c:v>201311</c:v>
                </c:pt>
                <c:pt idx="76">
                  <c:v>201312</c:v>
                </c:pt>
                <c:pt idx="77">
                  <c:v>201401</c:v>
                </c:pt>
                <c:pt idx="78">
                  <c:v>201402</c:v>
                </c:pt>
                <c:pt idx="79">
                  <c:v>201403</c:v>
                </c:pt>
                <c:pt idx="80">
                  <c:v>201404</c:v>
                </c:pt>
                <c:pt idx="81">
                  <c:v>201405</c:v>
                </c:pt>
                <c:pt idx="82">
                  <c:v>201406</c:v>
                </c:pt>
                <c:pt idx="83">
                  <c:v>201407</c:v>
                </c:pt>
                <c:pt idx="84">
                  <c:v>201408</c:v>
                </c:pt>
                <c:pt idx="85">
                  <c:v>201409</c:v>
                </c:pt>
                <c:pt idx="86">
                  <c:v>201410</c:v>
                </c:pt>
                <c:pt idx="87">
                  <c:v>201411</c:v>
                </c:pt>
                <c:pt idx="88">
                  <c:v>201412</c:v>
                </c:pt>
                <c:pt idx="89">
                  <c:v>201501</c:v>
                </c:pt>
                <c:pt idx="90">
                  <c:v>201502</c:v>
                </c:pt>
                <c:pt idx="91">
                  <c:v>201503</c:v>
                </c:pt>
                <c:pt idx="92">
                  <c:v>201504</c:v>
                </c:pt>
                <c:pt idx="93">
                  <c:v>201505</c:v>
                </c:pt>
                <c:pt idx="94">
                  <c:v>201506</c:v>
                </c:pt>
                <c:pt idx="95">
                  <c:v>201507</c:v>
                </c:pt>
                <c:pt idx="96">
                  <c:v>201508</c:v>
                </c:pt>
                <c:pt idx="97">
                  <c:v>201509</c:v>
                </c:pt>
                <c:pt idx="98">
                  <c:v>201510</c:v>
                </c:pt>
                <c:pt idx="99">
                  <c:v>201511</c:v>
                </c:pt>
                <c:pt idx="100">
                  <c:v>201512</c:v>
                </c:pt>
                <c:pt idx="101">
                  <c:v>201601</c:v>
                </c:pt>
                <c:pt idx="102">
                  <c:v>201602</c:v>
                </c:pt>
                <c:pt idx="103">
                  <c:v>201603</c:v>
                </c:pt>
                <c:pt idx="104">
                  <c:v>201604</c:v>
                </c:pt>
                <c:pt idx="105">
                  <c:v>201605</c:v>
                </c:pt>
                <c:pt idx="106">
                  <c:v>201606</c:v>
                </c:pt>
                <c:pt idx="107">
                  <c:v>201607</c:v>
                </c:pt>
                <c:pt idx="108">
                  <c:v>201608</c:v>
                </c:pt>
                <c:pt idx="109">
                  <c:v>201609</c:v>
                </c:pt>
                <c:pt idx="110">
                  <c:v>201610</c:v>
                </c:pt>
                <c:pt idx="111">
                  <c:v>201611</c:v>
                </c:pt>
                <c:pt idx="112">
                  <c:v>201612</c:v>
                </c:pt>
                <c:pt idx="113">
                  <c:v>201701</c:v>
                </c:pt>
                <c:pt idx="114">
                  <c:v>201702</c:v>
                </c:pt>
                <c:pt idx="115">
                  <c:v>201703</c:v>
                </c:pt>
                <c:pt idx="116">
                  <c:v>201704</c:v>
                </c:pt>
                <c:pt idx="117">
                  <c:v>201705</c:v>
                </c:pt>
                <c:pt idx="118">
                  <c:v>201706</c:v>
                </c:pt>
                <c:pt idx="119">
                  <c:v>201707</c:v>
                </c:pt>
                <c:pt idx="120">
                  <c:v>201708</c:v>
                </c:pt>
                <c:pt idx="121">
                  <c:v>201709</c:v>
                </c:pt>
                <c:pt idx="122">
                  <c:v>201710</c:v>
                </c:pt>
                <c:pt idx="123">
                  <c:v>201711</c:v>
                </c:pt>
                <c:pt idx="124">
                  <c:v>201712</c:v>
                </c:pt>
              </c:strCache>
            </c:strRef>
          </c:cat>
          <c:val>
            <c:numRef>
              <c:f>all!$Z$3:$Z$128</c:f>
              <c:numCache>
                <c:formatCode>General</c:formatCode>
                <c:ptCount val="125"/>
                <c:pt idx="0">
                  <c:v>2496</c:v>
                </c:pt>
                <c:pt idx="1">
                  <c:v>3122</c:v>
                </c:pt>
                <c:pt idx="2">
                  <c:v>3725</c:v>
                </c:pt>
                <c:pt idx="3">
                  <c:v>3775</c:v>
                </c:pt>
                <c:pt idx="4">
                  <c:v>3474</c:v>
                </c:pt>
                <c:pt idx="5">
                  <c:v>3803</c:v>
                </c:pt>
                <c:pt idx="6">
                  <c:v>4009</c:v>
                </c:pt>
                <c:pt idx="7">
                  <c:v>3964</c:v>
                </c:pt>
                <c:pt idx="8">
                  <c:v>4188</c:v>
                </c:pt>
                <c:pt idx="9">
                  <c:v>4660</c:v>
                </c:pt>
                <c:pt idx="10">
                  <c:v>4446</c:v>
                </c:pt>
                <c:pt idx="11">
                  <c:v>4708</c:v>
                </c:pt>
                <c:pt idx="12">
                  <c:v>4886</c:v>
                </c:pt>
                <c:pt idx="13">
                  <c:v>5098</c:v>
                </c:pt>
                <c:pt idx="14">
                  <c:v>5186</c:v>
                </c:pt>
                <c:pt idx="15">
                  <c:v>4844</c:v>
                </c:pt>
                <c:pt idx="16">
                  <c:v>5833</c:v>
                </c:pt>
                <c:pt idx="17">
                  <c:v>5714</c:v>
                </c:pt>
                <c:pt idx="18">
                  <c:v>5855</c:v>
                </c:pt>
                <c:pt idx="19">
                  <c:v>6481</c:v>
                </c:pt>
                <c:pt idx="20">
                  <c:v>6621</c:v>
                </c:pt>
                <c:pt idx="21">
                  <c:v>6611</c:v>
                </c:pt>
                <c:pt idx="22">
                  <c:v>7015</c:v>
                </c:pt>
                <c:pt idx="23">
                  <c:v>7542</c:v>
                </c:pt>
                <c:pt idx="24">
                  <c:v>7563</c:v>
                </c:pt>
                <c:pt idx="25">
                  <c:v>7816</c:v>
                </c:pt>
                <c:pt idx="26">
                  <c:v>7999</c:v>
                </c:pt>
                <c:pt idx="27">
                  <c:v>8157</c:v>
                </c:pt>
                <c:pt idx="28">
                  <c:v>8502</c:v>
                </c:pt>
                <c:pt idx="29">
                  <c:v>8312</c:v>
                </c:pt>
                <c:pt idx="30">
                  <c:v>8928</c:v>
                </c:pt>
                <c:pt idx="31">
                  <c:v>9626</c:v>
                </c:pt>
                <c:pt idx="32">
                  <c:v>9080</c:v>
                </c:pt>
                <c:pt idx="33">
                  <c:v>9604</c:v>
                </c:pt>
                <c:pt idx="34">
                  <c:v>9838</c:v>
                </c:pt>
                <c:pt idx="35">
                  <c:v>10191</c:v>
                </c:pt>
                <c:pt idx="36">
                  <c:v>10424</c:v>
                </c:pt>
                <c:pt idx="37">
                  <c:v>10254</c:v>
                </c:pt>
                <c:pt idx="38">
                  <c:v>10434</c:v>
                </c:pt>
                <c:pt idx="39">
                  <c:v>11021</c:v>
                </c:pt>
                <c:pt idx="40">
                  <c:v>11004</c:v>
                </c:pt>
                <c:pt idx="41">
                  <c:v>10683</c:v>
                </c:pt>
                <c:pt idx="42">
                  <c:v>10509</c:v>
                </c:pt>
                <c:pt idx="43">
                  <c:v>12042</c:v>
                </c:pt>
                <c:pt idx="44">
                  <c:v>10857</c:v>
                </c:pt>
                <c:pt idx="45">
                  <c:v>12356</c:v>
                </c:pt>
                <c:pt idx="46">
                  <c:v>12114</c:v>
                </c:pt>
                <c:pt idx="47">
                  <c:v>11877</c:v>
                </c:pt>
                <c:pt idx="48">
                  <c:v>12879</c:v>
                </c:pt>
                <c:pt idx="49">
                  <c:v>12357</c:v>
                </c:pt>
                <c:pt idx="50">
                  <c:v>12411</c:v>
                </c:pt>
                <c:pt idx="51">
                  <c:v>13116</c:v>
                </c:pt>
                <c:pt idx="52">
                  <c:v>12708</c:v>
                </c:pt>
                <c:pt idx="53">
                  <c:v>13219</c:v>
                </c:pt>
                <c:pt idx="54">
                  <c:v>13229</c:v>
                </c:pt>
                <c:pt idx="55">
                  <c:v>14074</c:v>
                </c:pt>
                <c:pt idx="56">
                  <c:v>12562</c:v>
                </c:pt>
                <c:pt idx="57">
                  <c:v>14495</c:v>
                </c:pt>
                <c:pt idx="58">
                  <c:v>13707</c:v>
                </c:pt>
                <c:pt idx="59">
                  <c:v>14365</c:v>
                </c:pt>
                <c:pt idx="60">
                  <c:v>14822</c:v>
                </c:pt>
                <c:pt idx="61">
                  <c:v>13366</c:v>
                </c:pt>
                <c:pt idx="62">
                  <c:v>15051</c:v>
                </c:pt>
                <c:pt idx="63">
                  <c:v>14281</c:v>
                </c:pt>
                <c:pt idx="64">
                  <c:v>14226</c:v>
                </c:pt>
                <c:pt idx="65">
                  <c:v>15815</c:v>
                </c:pt>
                <c:pt idx="66">
                  <c:v>14456</c:v>
                </c:pt>
                <c:pt idx="67">
                  <c:v>15924</c:v>
                </c:pt>
                <c:pt idx="68">
                  <c:v>13742</c:v>
                </c:pt>
                <c:pt idx="69">
                  <c:v>16029</c:v>
                </c:pt>
                <c:pt idx="70">
                  <c:v>14496</c:v>
                </c:pt>
                <c:pt idx="71">
                  <c:v>15877</c:v>
                </c:pt>
                <c:pt idx="72">
                  <c:v>15822</c:v>
                </c:pt>
                <c:pt idx="73">
                  <c:v>15211</c:v>
                </c:pt>
                <c:pt idx="74">
                  <c:v>16661</c:v>
                </c:pt>
                <c:pt idx="75">
                  <c:v>15707</c:v>
                </c:pt>
                <c:pt idx="76">
                  <c:v>15425</c:v>
                </c:pt>
                <c:pt idx="77">
                  <c:v>16907</c:v>
                </c:pt>
                <c:pt idx="78">
                  <c:v>15725</c:v>
                </c:pt>
                <c:pt idx="79">
                  <c:v>16413</c:v>
                </c:pt>
                <c:pt idx="80">
                  <c:v>15926</c:v>
                </c:pt>
                <c:pt idx="81">
                  <c:v>17554</c:v>
                </c:pt>
                <c:pt idx="82">
                  <c:v>16297</c:v>
                </c:pt>
                <c:pt idx="83">
                  <c:v>17898</c:v>
                </c:pt>
                <c:pt idx="84">
                  <c:v>16834</c:v>
                </c:pt>
                <c:pt idx="85">
                  <c:v>17161</c:v>
                </c:pt>
                <c:pt idx="86">
                  <c:v>17771</c:v>
                </c:pt>
                <c:pt idx="87">
                  <c:v>16225</c:v>
                </c:pt>
                <c:pt idx="88">
                  <c:v>17521</c:v>
                </c:pt>
                <c:pt idx="89">
                  <c:v>17191</c:v>
                </c:pt>
                <c:pt idx="90">
                  <c:v>17111</c:v>
                </c:pt>
                <c:pt idx="91">
                  <c:v>18251</c:v>
                </c:pt>
                <c:pt idx="92">
                  <c:v>17975</c:v>
                </c:pt>
                <c:pt idx="93">
                  <c:v>17827</c:v>
                </c:pt>
                <c:pt idx="94">
                  <c:v>18207</c:v>
                </c:pt>
                <c:pt idx="95">
                  <c:v>19503</c:v>
                </c:pt>
                <c:pt idx="96">
                  <c:v>20020</c:v>
                </c:pt>
                <c:pt idx="97">
                  <c:v>21546</c:v>
                </c:pt>
                <c:pt idx="98">
                  <c:v>22479</c:v>
                </c:pt>
                <c:pt idx="99">
                  <c:v>22770</c:v>
                </c:pt>
                <c:pt idx="100">
                  <c:v>23820</c:v>
                </c:pt>
                <c:pt idx="101">
                  <c:v>22825</c:v>
                </c:pt>
                <c:pt idx="102">
                  <c:v>24385</c:v>
                </c:pt>
                <c:pt idx="103">
                  <c:v>28011</c:v>
                </c:pt>
                <c:pt idx="104">
                  <c:v>21304</c:v>
                </c:pt>
                <c:pt idx="105">
                  <c:v>25521</c:v>
                </c:pt>
                <c:pt idx="106">
                  <c:v>25172</c:v>
                </c:pt>
                <c:pt idx="107">
                  <c:v>25110</c:v>
                </c:pt>
                <c:pt idx="108">
                  <c:v>27207</c:v>
                </c:pt>
                <c:pt idx="109">
                  <c:v>26425</c:v>
                </c:pt>
                <c:pt idx="110">
                  <c:v>26560</c:v>
                </c:pt>
                <c:pt idx="111">
                  <c:v>28286</c:v>
                </c:pt>
                <c:pt idx="112">
                  <c:v>26379</c:v>
                </c:pt>
                <c:pt idx="113">
                  <c:v>28513</c:v>
                </c:pt>
                <c:pt idx="114">
                  <c:v>26983</c:v>
                </c:pt>
                <c:pt idx="115">
                  <c:v>30334</c:v>
                </c:pt>
                <c:pt idx="116">
                  <c:v>26211</c:v>
                </c:pt>
                <c:pt idx="117">
                  <c:v>32435</c:v>
                </c:pt>
                <c:pt idx="118">
                  <c:v>29726</c:v>
                </c:pt>
                <c:pt idx="119">
                  <c:v>29730</c:v>
                </c:pt>
                <c:pt idx="120">
                  <c:v>31794</c:v>
                </c:pt>
                <c:pt idx="121">
                  <c:v>29463</c:v>
                </c:pt>
                <c:pt idx="122">
                  <c:v>30939</c:v>
                </c:pt>
                <c:pt idx="123">
                  <c:v>32376</c:v>
                </c:pt>
                <c:pt idx="124">
                  <c:v>28781</c:v>
                </c:pt>
              </c:numCache>
            </c:numRef>
          </c:val>
          <c:smooth val="0"/>
        </c:ser>
        <c:dLbls>
          <c:showLegendKey val="0"/>
          <c:showVal val="0"/>
          <c:showCatName val="0"/>
          <c:showSerName val="0"/>
          <c:showPercent val="0"/>
          <c:showBubbleSize val="0"/>
        </c:dLbls>
        <c:marker val="1"/>
        <c:smooth val="0"/>
        <c:axId val="585249920"/>
        <c:axId val="585251456"/>
      </c:lineChart>
      <c:catAx>
        <c:axId val="585249920"/>
        <c:scaling>
          <c:orientation val="minMax"/>
        </c:scaling>
        <c:delete val="0"/>
        <c:axPos val="b"/>
        <c:majorTickMark val="out"/>
        <c:minorTickMark val="none"/>
        <c:tickLblPos val="nextTo"/>
        <c:crossAx val="585251456"/>
        <c:crosses val="autoZero"/>
        <c:auto val="1"/>
        <c:lblAlgn val="ctr"/>
        <c:lblOffset val="100"/>
        <c:noMultiLvlLbl val="0"/>
      </c:catAx>
      <c:valAx>
        <c:axId val="585251456"/>
        <c:scaling>
          <c:orientation val="minMax"/>
        </c:scaling>
        <c:delete val="0"/>
        <c:axPos val="l"/>
        <c:majorGridlines/>
        <c:numFmt formatCode="#,##0" sourceLinked="0"/>
        <c:majorTickMark val="out"/>
        <c:minorTickMark val="none"/>
        <c:tickLblPos val="nextTo"/>
        <c:crossAx val="585249920"/>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0.76679</cdr:x>
      <cdr:y>0.04559</cdr:y>
    </cdr:from>
    <cdr:to>
      <cdr:x>0.76679</cdr:x>
      <cdr:y>0.75611</cdr:y>
    </cdr:to>
    <cdr:cxnSp macro="">
      <cdr:nvCxnSpPr>
        <cdr:cNvPr id="3" name="Straight Connector 2" descr="Marker that shows ranibizumab listed for DMO, BRVO and CRVO July 2015" title="Ranibizumab listed for DMO, BRVO and CRVO July 2015"/>
        <cdr:cNvCxnSpPr/>
      </cdr:nvCxnSpPr>
      <cdr:spPr>
        <a:xfrm xmlns:a="http://schemas.openxmlformats.org/drawingml/2006/main">
          <a:off x="4404101" y="161541"/>
          <a:ext cx="0" cy="251756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0.78779</cdr:x>
      <cdr:y>0.04301</cdr:y>
    </cdr:from>
    <cdr:to>
      <cdr:x>0.78828</cdr:x>
      <cdr:y>0.75969</cdr:y>
    </cdr:to>
    <cdr:cxnSp macro="">
      <cdr:nvCxnSpPr>
        <cdr:cNvPr id="10" name="Straight Connector 9" descr="Aflibercept listed for DMO and CRVO October 2015" title="Aflibercept listed for DMO and CRVO October 2015"/>
        <cdr:cNvCxnSpPr/>
      </cdr:nvCxnSpPr>
      <cdr:spPr>
        <a:xfrm xmlns:a="http://schemas.openxmlformats.org/drawingml/2006/main" flipH="1">
          <a:off x="4524752" y="152388"/>
          <a:ext cx="2804" cy="253942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0.87956</cdr:x>
      <cdr:y>0.0438</cdr:y>
    </cdr:from>
    <cdr:to>
      <cdr:x>0.87956</cdr:x>
      <cdr:y>0.75431</cdr:y>
    </cdr:to>
    <cdr:cxnSp macro="">
      <cdr:nvCxnSpPr>
        <cdr:cNvPr id="11" name="Straight Connector 10" descr="Dexamethasone listed for DMO November 2016" title="Dexamethasone listed for DMO November 2016"/>
        <cdr:cNvCxnSpPr/>
      </cdr:nvCxnSpPr>
      <cdr:spPr>
        <a:xfrm xmlns:a="http://schemas.openxmlformats.org/drawingml/2006/main">
          <a:off x="5051807" y="155191"/>
          <a:ext cx="0" cy="251756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0.88619</cdr:x>
      <cdr:y>0.04559</cdr:y>
    </cdr:from>
    <cdr:to>
      <cdr:x>0.88619</cdr:x>
      <cdr:y>0.75611</cdr:y>
    </cdr:to>
    <cdr:cxnSp macro="">
      <cdr:nvCxnSpPr>
        <cdr:cNvPr id="13" name="Straight Connector 12" descr="Dexamethasone listed for DMO Nov 2016&#10;Aflibercept listed for BRVO Dec 2016&#10;" title="Aflibercept listed for BRVO Dec 2016"/>
        <cdr:cNvCxnSpPr/>
      </cdr:nvCxnSpPr>
      <cdr:spPr>
        <a:xfrm xmlns:a="http://schemas.openxmlformats.org/drawingml/2006/main">
          <a:off x="5089907" y="161541"/>
          <a:ext cx="0" cy="2517569"/>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0.62967</cdr:x>
      <cdr:y>0.04134</cdr:y>
    </cdr:from>
    <cdr:to>
      <cdr:x>0.78334</cdr:x>
      <cdr:y>0.2994</cdr:y>
    </cdr:to>
    <cdr:sp macro="" textlink="">
      <cdr:nvSpPr>
        <cdr:cNvPr id="14" name="Text Box 13" descr="Marker that shows ranibizumab listed for DMO, BRVO and CRVO July 2015" title="Ranibizumab listed for DMO, BRVO and CRVO July 2015"/>
        <cdr:cNvSpPr txBox="1"/>
      </cdr:nvSpPr>
      <cdr:spPr>
        <a:xfrm xmlns:a="http://schemas.openxmlformats.org/drawingml/2006/main">
          <a:off x="3616538" y="146467"/>
          <a:ext cx="882657"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t>Ranibizumab listed for DMO,</a:t>
          </a:r>
          <a:r>
            <a:rPr lang="en-AU" sz="900" baseline="0"/>
            <a:t> BRVO and CRVO Jul 2015</a:t>
          </a:r>
          <a:endParaRPr lang="en-AU" sz="900"/>
        </a:p>
      </cdr:txBody>
    </cdr:sp>
  </cdr:relSizeAnchor>
  <cdr:relSizeAnchor xmlns:cdr="http://schemas.openxmlformats.org/drawingml/2006/chartDrawing">
    <cdr:from>
      <cdr:x>0.77736</cdr:x>
      <cdr:y>0.04504</cdr:y>
    </cdr:from>
    <cdr:to>
      <cdr:x>0.96792</cdr:x>
      <cdr:y>0.23115</cdr:y>
    </cdr:to>
    <cdr:sp macro="" textlink="">
      <cdr:nvSpPr>
        <cdr:cNvPr id="15" name="Text Box 14" descr="Aflibercept listed for DMO and CRVO October 2015" title="Aflibercept listed for DMO and CRVO October 2015"/>
        <cdr:cNvSpPr txBox="1"/>
      </cdr:nvSpPr>
      <cdr:spPr>
        <a:xfrm xmlns:a="http://schemas.openxmlformats.org/drawingml/2006/main">
          <a:off x="4464797" y="159594"/>
          <a:ext cx="1094531" cy="6594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t>Aflibercept</a:t>
          </a:r>
          <a:r>
            <a:rPr lang="en-AU" sz="900" baseline="0"/>
            <a:t> listed for DMO and</a:t>
          </a:r>
        </a:p>
        <a:p xmlns:a="http://schemas.openxmlformats.org/drawingml/2006/main">
          <a:r>
            <a:rPr lang="en-AU" sz="900" baseline="0"/>
            <a:t>CRVO Oct </a:t>
          </a:r>
        </a:p>
        <a:p xmlns:a="http://schemas.openxmlformats.org/drawingml/2006/main">
          <a:r>
            <a:rPr lang="en-AU" sz="900" baseline="0"/>
            <a:t>2015</a:t>
          </a:r>
        </a:p>
        <a:p xmlns:a="http://schemas.openxmlformats.org/drawingml/2006/main">
          <a:endParaRPr lang="en-AU" sz="900"/>
        </a:p>
      </cdr:txBody>
    </cdr:sp>
  </cdr:relSizeAnchor>
  <cdr:relSizeAnchor xmlns:cdr="http://schemas.openxmlformats.org/drawingml/2006/chartDrawing">
    <cdr:from>
      <cdr:x>0.78111</cdr:x>
      <cdr:y>0.33679</cdr:y>
    </cdr:from>
    <cdr:to>
      <cdr:x>1</cdr:x>
      <cdr:y>0.52721</cdr:y>
    </cdr:to>
    <cdr:sp macro="" textlink="">
      <cdr:nvSpPr>
        <cdr:cNvPr id="18" name="Text Box 17" descr="Dexamethasone listed for DMO Nov 2016&#10;Aflibercept listed for BRVO Dec 2016&#10;" title="Dexamethasone listed for DMO Nov 2016"/>
        <cdr:cNvSpPr txBox="1"/>
      </cdr:nvSpPr>
      <cdr:spPr>
        <a:xfrm xmlns:a="http://schemas.openxmlformats.org/drawingml/2006/main">
          <a:off x="4487235" y="1193361"/>
          <a:ext cx="1257216" cy="674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t>Dexamethasone listed</a:t>
          </a:r>
          <a:r>
            <a:rPr lang="en-AU" sz="900" baseline="0"/>
            <a:t> for DMO Nov 2016</a:t>
          </a:r>
        </a:p>
        <a:p xmlns:a="http://schemas.openxmlformats.org/drawingml/2006/main">
          <a:r>
            <a:rPr lang="en-AU" sz="900" baseline="0"/>
            <a:t>Aflibercept listed for BRVO Dec 2016</a:t>
          </a:r>
          <a:endParaRPr lang="en-AU" sz="9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Bro12</b:Tag>
    <b:SourceType>JournalArticle</b:SourceType>
    <b:Guid>{A37FAE12-10B2-4D3E-B02A-2730C4D05749}</b:Guid>
    <b:Author>
      <b:Author>
        <b:NameList>
          <b:Person>
            <b:Last>Brown</b:Last>
            <b:First>DM</b:First>
            <b:Middle>et al.</b:Middle>
          </b:Person>
        </b:NameList>
      </b:Author>
    </b:Author>
    <b:Title>Intravitreal Aflibercept Injection for Macular Edema Secondary to Central Retinal Vein Occlusion: 1-Year Results From the Phase 3 COPERNICUS Study</b:Title>
    <b:JournalName>American Journal of Ophthalmology</b:JournalName>
    <b:Year>2012</b:Year>
    <b:RefOrder>1</b:RefOrder>
  </b:Source>
</b:Sources>
</file>

<file path=customXml/itemProps1.xml><?xml version="1.0" encoding="utf-8"?>
<ds:datastoreItem xmlns:ds="http://schemas.openxmlformats.org/officeDocument/2006/customXml" ds:itemID="{7FAF8E74-A57B-4FEA-AEB6-84879C16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21031</Words>
  <Characters>119878</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2018-10-16T00:21:00Z</dcterms:created>
  <dcterms:modified xsi:type="dcterms:W3CDTF">2018-10-16T00:27:00Z</dcterms:modified>
</cp:coreProperties>
</file>